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color w:val="000000" w:themeColor="text1"/>
          <w:sz w:val="44"/>
          <w:highlight w:val="none"/>
          <w14:textFill>
            <w14:solidFill>
              <w14:schemeClr w14:val="tx1"/>
            </w14:solidFill>
          </w14:textFill>
        </w:rPr>
      </w:pPr>
      <w:r>
        <w:rPr>
          <w:rFonts w:ascii="宋体" w:hAnsi="宋体" w:cs="宋体"/>
          <w:color w:val="000000" w:themeColor="text1"/>
          <w:sz w:val="44"/>
          <w:highlight w:val="none"/>
          <w14:textFill>
            <w14:solidFill>
              <w14:schemeClr w14:val="tx1"/>
            </w14:solidFill>
          </w14:textFill>
        </w:rPr>
      </w:r>
      <w:r/>
    </w:p>
    <w:p>
      <w:pPr>
        <w:jc w:val="center"/>
        <w:tabs>
          <w:tab w:val="left" w:pos="390" w:leader="none"/>
          <w:tab w:val="center" w:pos="4404" w:leader="none"/>
        </w:tabs>
        <w:rPr>
          <w:rFonts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 xml:space="preserve">竞争性磋商文件</w:t>
      </w:r>
      <w:r/>
    </w:p>
    <w:p>
      <w:pP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pStyle w:val="834"/>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Fonts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9525" b="1905"/>
                <wp:docPr id="5" name="图片 1" descr="我的插图-1"/>
                <wp:cNvGraphicFramePr/>
                <a:graphic xmlns:a="http://schemas.openxmlformats.org/drawingml/2006/main">
                  <a:graphicData uri="http://schemas.openxmlformats.org/drawingml/2006/picture">
                    <pic:pic xmlns:pic="http://schemas.openxmlformats.org/drawingml/2006/picture">
                      <pic:nvPicPr>
                        <pic:cNvPr id="1026" name="图片 1" descr="我的插图-1"/>
                        <pic:cNvPicPr/>
                        <pic:nvPr/>
                      </pic:nvPicPr>
                      <pic:blipFill>
                        <a:blip r:embed="rId17"/>
                        <a:stretch/>
                      </pic:blipFill>
                      <pic:spPr bwMode="auto">
                        <a:xfrm>
                          <a:off x="0" y="0"/>
                          <a:ext cx="1717675" cy="213169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17" o:title=""/>
              </v:shape>
            </w:pict>
          </mc:Fallback>
        </mc:AlternateContent>
      </w:r>
      <w:r/>
    </w:p>
    <w:p>
      <w:pPr>
        <w:rPr>
          <w:rFonts w:ascii="宋体" w:hAnsi="宋体" w:cs="宋体"/>
          <w:color w:val="000000" w:themeColor="text1"/>
          <w:sz w:val="44"/>
          <w:highlight w:val="none"/>
          <w14:textFill>
            <w14:solidFill>
              <w14:schemeClr w14:val="tx1"/>
            </w14:solidFill>
          </w14:textFill>
        </w:rPr>
      </w:pPr>
      <w:r>
        <w:rPr>
          <w:rFonts w:ascii="宋体" w:hAnsi="宋体" w:cs="宋体"/>
          <w:color w:val="000000" w:themeColor="text1"/>
          <w:sz w:val="44"/>
          <w:highlight w:val="none"/>
          <w14:textFill>
            <w14:solidFill>
              <w14:schemeClr w14:val="tx1"/>
            </w14:solidFill>
          </w14:textFill>
        </w:rPr>
      </w:r>
      <w:r/>
    </w:p>
    <w:tbl>
      <w:tblPr>
        <w:tblStyle w:val="828"/>
        <w:tblW w:w="949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6"/>
      </w:tblGrid>
      <w:tr>
        <w:trPr>
          <w:trHeight w:val="1523"/>
        </w:trPr>
        <w:tc>
          <w:tcPr>
            <w:tcBorders>
              <w:top w:val="none" w:color="000000" w:sz="4" w:space="0"/>
              <w:left w:val="none" w:color="000000" w:sz="4" w:space="0"/>
              <w:bottom w:val="none" w:color="000000" w:sz="4" w:space="0"/>
              <w:right w:val="none" w:color="000000" w:sz="4" w:space="0"/>
            </w:tcBorders>
            <w:tcW w:w="9496" w:type="dxa"/>
            <w:textDirection w:val="lrTb"/>
            <w:noWrap/>
          </w:tcPr>
          <w:p>
            <w:pPr>
              <w:ind w:firstLine="720"/>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项目编号：JSZC-320106-SNZX-C2026-0180</w:t>
            </w:r>
            <w:r/>
          </w:p>
          <w:p>
            <w:pPr>
              <w:ind w:firstLine="72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项目名称：鼓楼区养老服务指导中心智慧化运营项目</w:t>
            </w:r>
            <w:r/>
          </w:p>
          <w:p>
            <w:pPr>
              <w:ind w:firstLine="720"/>
              <w:rPr>
                <w:rFonts w:ascii="宋体" w:hAnsi="宋体" w:cs="宋体"/>
                <w:color w:val="000000" w:themeColor="text1"/>
                <w:sz w:val="44"/>
                <w:szCs w:val="44"/>
                <w:highlight w:val="none"/>
                <w:lang w:val="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采购类别：服务类</w:t>
            </w:r>
            <w:r/>
          </w:p>
        </w:tc>
      </w:tr>
    </w:tbl>
    <w:p>
      <w:pPr>
        <w:rPr>
          <w:rFonts w:ascii="宋体" w:hAnsi="宋体" w:cs="宋体"/>
          <w:color w:val="000000" w:themeColor="text1"/>
          <w:sz w:val="44"/>
          <w:highlight w:val="none"/>
          <w14:textFill>
            <w14:solidFill>
              <w14:schemeClr w14:val="tx1"/>
            </w14:solidFill>
          </w14:textFill>
        </w:rPr>
      </w:pPr>
      <w:r>
        <w:rPr>
          <w:rFonts w:ascii="宋体" w:hAnsi="宋体" w:cs="宋体"/>
          <w:color w:val="000000" w:themeColor="text1"/>
          <w:sz w:val="44"/>
          <w:highlight w:val="none"/>
          <w14:textFill>
            <w14:solidFill>
              <w14:schemeClr w14:val="tx1"/>
            </w14:solidFill>
          </w14:textFill>
        </w:rPr>
      </w:r>
      <w:r/>
    </w:p>
    <w:p>
      <w:pP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pStyle w:val="836"/>
        <w:ind w:left="126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pStyle w:val="834"/>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pStyle w:val="834"/>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72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采   购   人：南京市鼓楼区民政局</w:t>
      </w:r>
      <w:r/>
    </w:p>
    <w:p>
      <w:pPr>
        <w:ind w:firstLine="72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采购代理机构：南京苏宁工程咨询有限公司</w:t>
      </w:r>
      <w:r/>
    </w:p>
    <w:p>
      <w:pPr>
        <w:ind w:firstLine="72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日        期：二〇二六年十月</w:t>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br w:type="page" w:clear="all"/>
      </w:r>
      <w:r>
        <w:rPr>
          <w:rFonts w:hint="eastAsia" w:ascii="宋体" w:hAnsi="宋体" w:cs="宋体"/>
          <w:color w:val="000000" w:themeColor="text1"/>
          <w:spacing w:val="-10"/>
          <w:sz w:val="36"/>
          <w:szCs w:val="36"/>
          <w:highlight w:val="none"/>
          <w14:textFill>
            <w14:solidFill>
              <w14:schemeClr w14:val="tx1"/>
            </w14:solidFill>
          </w14:textFill>
        </w:rPr>
        <w:t xml:space="preserve">第一章 竞争性磋商邀请</w:t>
      </w:r>
      <w:r/>
    </w:p>
    <w:p>
      <w:pPr>
        <w:ind w:firstLine="560"/>
        <w:spacing w:line="360" w:lineRule="auto"/>
        <w:rPr>
          <w:rFonts w:ascii="宋体" w:hAnsi="宋体" w:cs="宋体"/>
          <w:color w:val="000000" w:themeColor="text1"/>
          <w:sz w:val="24"/>
          <w:szCs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 w:val="24"/>
          <w:szCs w:val="24"/>
          <w:highlight w:val="none"/>
          <w14:textFill>
            <w14:solidFill>
              <w14:schemeClr w14:val="tx1"/>
            </w14:solidFill>
          </w14:textFill>
        </w:rPr>
        <w:t xml:space="preserve">项目概况</w:t>
      </w:r>
      <w:r/>
    </w:p>
    <w:p>
      <w:pPr>
        <w:ind w:firstLine="562"/>
        <w:spacing w:line="360" w:lineRule="auto"/>
        <w:rPr>
          <w:rFonts w:ascii="宋体" w:hAnsi="宋体" w:cs="宋体"/>
          <w:color w:val="000000" w:themeColor="text1"/>
          <w:sz w:val="24"/>
          <w:szCs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
          <w:color w:val="000000" w:themeColor="text1"/>
          <w:sz w:val="24"/>
          <w:szCs w:val="24"/>
          <w:highlight w:val="none"/>
          <w:u w:val="single"/>
          <w14:textFill>
            <w14:solidFill>
              <w14:schemeClr w14:val="tx1"/>
            </w14:solidFill>
          </w14:textFill>
        </w:rPr>
        <w:t xml:space="preserve">鼓楼区养老服务指导中心智慧化运营项目</w:t>
      </w:r>
      <w:r>
        <w:rPr>
          <w:rFonts w:hint="eastAsia" w:ascii="宋体" w:hAnsi="宋体" w:cs="宋体"/>
          <w:color w:val="000000" w:themeColor="text1"/>
          <w:sz w:val="24"/>
          <w:szCs w:val="24"/>
          <w:highlight w:val="none"/>
          <w14:textFill>
            <w14:solidFill>
              <w14:schemeClr w14:val="tx1"/>
            </w14:solidFill>
          </w14:textFill>
        </w:rPr>
        <w:t xml:space="preserve">采购项目的潜在供应商应在</w:t>
      </w:r>
      <w:r>
        <w:rPr>
          <w:rFonts w:hint="eastAsia" w:ascii="宋体" w:hAnsi="宋体" w:cs="宋体"/>
          <w:b/>
          <w:color w:val="000000" w:themeColor="text1"/>
          <w:sz w:val="24"/>
          <w:szCs w:val="24"/>
          <w:highlight w:val="none"/>
          <w:u w:val="single"/>
          <w14:textFill>
            <w14:solidFill>
              <w14:schemeClr w14:val="tx1"/>
            </w14:solidFill>
          </w14:textFill>
        </w:rPr>
        <w:t xml:space="preserve">江苏政府采购网</w:t>
      </w:r>
      <w:r>
        <w:rPr>
          <w:rFonts w:hint="eastAsia" w:ascii="宋体" w:hAnsi="宋体" w:cs="宋体"/>
          <w:color w:val="000000" w:themeColor="text1"/>
          <w:sz w:val="24"/>
          <w:szCs w:val="24"/>
          <w:highlight w:val="none"/>
          <w14:textFill>
            <w14:solidFill>
              <w14:schemeClr w14:val="tx1"/>
            </w14:solidFill>
          </w14:textFill>
        </w:rPr>
        <w:t xml:space="preserve">获取采购文件，并于</w:t>
      </w:r>
      <w:r>
        <w:rPr>
          <w:rFonts w:hint="eastAsia" w:ascii="宋体" w:hAnsi="宋体" w:cs="宋体"/>
          <w:b/>
          <w:color w:val="000000" w:themeColor="text1"/>
          <w:sz w:val="24"/>
          <w:szCs w:val="24"/>
          <w:highlight w:val="none"/>
          <w:u w:val="single"/>
          <w14:textFill>
            <w14:solidFill>
              <w14:schemeClr w14:val="tx1"/>
            </w14:solidFill>
          </w14:textFill>
        </w:rPr>
        <w:t xml:space="preserve">2026年</w:t>
      </w:r>
      <w:r>
        <w:rPr>
          <w:rFonts w:hint="eastAsia" w:ascii="宋体" w:hAnsi="宋体" w:cs="宋体"/>
          <w:b/>
          <w:color w:val="000000" w:themeColor="text1"/>
          <w:sz w:val="24"/>
          <w:szCs w:val="24"/>
          <w:highlight w:val="none"/>
          <w:u w:val="single"/>
          <w:lang w:val="en-US" w:eastAsia="zh-CN"/>
          <w14:textFill>
            <w14:solidFill>
              <w14:schemeClr w14:val="tx1"/>
            </w14:solidFill>
          </w14:textFill>
        </w:rPr>
        <w:t xml:space="preserve">11</w:t>
      </w:r>
      <w:r>
        <w:rPr>
          <w:rFonts w:hint="eastAsia" w:ascii="宋体" w:hAnsi="宋体" w:cs="宋体"/>
          <w:b/>
          <w:color w:val="000000" w:themeColor="text1"/>
          <w:sz w:val="24"/>
          <w:szCs w:val="24"/>
          <w:highlight w:val="none"/>
          <w:u w:val="single"/>
          <w14:textFill>
            <w14:solidFill>
              <w14:schemeClr w14:val="tx1"/>
            </w14:solidFill>
          </w14:textFill>
        </w:rPr>
        <w:t xml:space="preserve">月</w:t>
      </w:r>
      <w:r>
        <w:rPr>
          <w:rFonts w:hint="eastAsia" w:ascii="宋体" w:hAnsi="宋体" w:cs="宋体"/>
          <w:b/>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cs="宋体"/>
          <w:b/>
          <w:bCs/>
          <w:color w:val="000000" w:themeColor="text1"/>
          <w:sz w:val="24"/>
          <w:szCs w:val="24"/>
          <w:highlight w:val="none"/>
          <w:u w:val="single"/>
          <w14:textFill>
            <w14:solidFill>
              <w14:schemeClr w14:val="tx1"/>
            </w14:solidFill>
          </w14:textFill>
        </w:rPr>
        <w:t xml:space="preserve">日</w:t>
      </w:r>
      <w:r>
        <w:rPr>
          <w:rFonts w:hint="eastAsia" w:ascii="宋体" w:hAnsi="宋体" w:cs="宋体"/>
          <w:b/>
          <w:bCs/>
          <w:color w:val="000000" w:themeColor="text1"/>
          <w:sz w:val="24"/>
          <w:szCs w:val="24"/>
          <w:highlight w:val="none"/>
          <w:u w:val="single"/>
          <w14:textFill>
            <w14:solidFill>
              <w14:schemeClr w14:val="tx1"/>
            </w14:solidFill>
          </w14:textFill>
        </w:rPr>
        <w:t xml:space="preserve">14时</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cs="宋体"/>
          <w:b/>
          <w:bCs/>
          <w:color w:val="000000" w:themeColor="text1"/>
          <w:sz w:val="24"/>
          <w:szCs w:val="24"/>
          <w:highlight w:val="none"/>
          <w:u w:val="single"/>
          <w14:textFill>
            <w14:solidFill>
              <w14:schemeClr w14:val="tx1"/>
            </w14:solidFill>
          </w14:textFill>
        </w:rPr>
        <w:t xml:space="preserve">分</w:t>
      </w:r>
      <w:r>
        <w:rPr>
          <w:rFonts w:hint="eastAsia" w:ascii="宋体" w:hAnsi="宋体" w:cs="宋体"/>
          <w:bCs/>
          <w:color w:val="000000" w:themeColor="text1"/>
          <w:sz w:val="24"/>
          <w:szCs w:val="24"/>
          <w:highlight w:val="none"/>
          <w14:textFill>
            <w14:solidFill>
              <w14:schemeClr w14:val="tx1"/>
            </w14:solidFill>
          </w14:textFill>
        </w:rPr>
        <w:t xml:space="preserve">（北京时间）前提交响应文件</w:t>
      </w:r>
      <w:r>
        <w:rPr>
          <w:rFonts w:hint="eastAsia" w:ascii="宋体" w:hAnsi="宋体" w:cs="宋体"/>
          <w:color w:val="000000" w:themeColor="text1"/>
          <w:sz w:val="24"/>
          <w:szCs w:val="24"/>
          <w:highlight w:val="none"/>
          <w14:textFill>
            <w14:solidFill>
              <w14:schemeClr w14:val="tx1"/>
            </w14:solidFill>
          </w14:textFill>
        </w:rPr>
        <w:t xml:space="preserve">。</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bookmarkStart w:id="0" w:name="_Toc35393629"/>
      <w:r/>
      <w:bookmarkStart w:id="1" w:name="_Toc35393798"/>
      <w:r/>
      <w:bookmarkStart w:id="2" w:name="_Toc28359089"/>
      <w:r/>
      <w:bookmarkStart w:id="3" w:name="_Toc28359012"/>
      <w:r>
        <w:rPr>
          <w:rFonts w:hint="eastAsia" w:ascii="宋体" w:hAnsi="宋体" w:cs="宋体"/>
          <w:color w:val="000000" w:themeColor="text1"/>
          <w:sz w:val="24"/>
          <w:szCs w:val="24"/>
          <w:highlight w:val="none"/>
          <w14:textFill>
            <w14:solidFill>
              <w14:schemeClr w14:val="tx1"/>
            </w14:solidFill>
          </w14:textFill>
        </w:rPr>
        <w:t xml:space="preserve">一、项目基本情况</w:t>
      </w:r>
      <w:bookmarkEnd w:id="0"/>
      <w:r/>
      <w:bookmarkEnd w:id="1"/>
      <w:r/>
      <w:bookmarkEnd w:id="2"/>
      <w:r/>
      <w:bookmarkEnd w:id="3"/>
      <w:r/>
      <w:r/>
    </w:p>
    <w:p>
      <w:pPr>
        <w:ind w:firstLine="56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项目编号：JSZC-320106-SNZX-C2026-0180</w:t>
      </w:r>
      <w:r/>
    </w:p>
    <w:p>
      <w:pPr>
        <w:ind w:firstLine="56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项目名称：鼓楼区养老服务指导中心智慧化运营项目</w:t>
      </w:r>
      <w:r/>
    </w:p>
    <w:p>
      <w:pPr>
        <w:ind w:firstLine="56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采购方式：竞争性磋商</w:t>
      </w:r>
      <w:r/>
    </w:p>
    <w:p>
      <w:pPr>
        <w:ind w:firstLine="560"/>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预算金额：220万元</w:t>
      </w:r>
      <w:r/>
    </w:p>
    <w:p>
      <w:pPr>
        <w:ind w:firstLine="56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最高限价：项目最高总限价220万元，其中：</w:t>
      </w:r>
      <w:r>
        <w:rPr>
          <w:rFonts w:ascii="宋体" w:hAnsi="宋体" w:cs="宋体"/>
          <w:color w:val="000000" w:themeColor="text1"/>
          <w:sz w:val="24"/>
          <w:szCs w:val="24"/>
          <w:highlight w:val="none"/>
          <w:lang w:val="zh-CN"/>
          <w14:textFill>
            <w14:solidFill>
              <w14:schemeClr w14:val="tx1"/>
            </w14:solidFill>
          </w14:textFill>
        </w:rPr>
        <w:t xml:space="preserve">第四章竞争性磋商需求及要求</w:t>
      </w:r>
      <w:r>
        <w:rPr>
          <w:rFonts w:hint="eastAsia" w:ascii="宋体" w:hAnsi="宋体" w:cs="宋体"/>
          <w:color w:val="000000" w:themeColor="text1"/>
          <w:sz w:val="24"/>
          <w:szCs w:val="24"/>
          <w:highlight w:val="none"/>
          <w14:textFill>
            <w14:solidFill>
              <w14:schemeClr w14:val="tx1"/>
            </w14:solidFill>
          </w14:textFill>
        </w:rPr>
        <w:t xml:space="preserve">“3、紧急呼叫中心运营”中“（1）紧急呼叫服务”单项限价20元/人/月；</w:t>
      </w:r>
      <w:r>
        <w:rPr>
          <w:rFonts w:ascii="宋体" w:hAnsi="宋体" w:cs="宋体"/>
          <w:color w:val="000000" w:themeColor="text1"/>
          <w:sz w:val="24"/>
          <w:szCs w:val="24"/>
          <w:highlight w:val="none"/>
          <w:lang w:val="zh-CN"/>
          <w14:textFill>
            <w14:solidFill>
              <w14:schemeClr w14:val="tx1"/>
            </w14:solidFill>
          </w14:textFill>
        </w:rPr>
        <w:t xml:space="preserve">第四章竞争性磋商需求及要求</w:t>
      </w:r>
      <w:r>
        <w:rPr>
          <w:rFonts w:hint="eastAsia" w:ascii="宋体" w:hAnsi="宋体" w:cs="宋体"/>
          <w:color w:val="000000" w:themeColor="text1"/>
          <w:sz w:val="24"/>
          <w:szCs w:val="24"/>
          <w:highlight w:val="none"/>
          <w14:textFill>
            <w14:solidFill>
              <w14:schemeClr w14:val="tx1"/>
            </w14:solidFill>
          </w14:textFill>
        </w:rPr>
        <w:t xml:space="preserve">“3、紧急呼叫中心运营”中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（2）服务质量抽检回访</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及相关服务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单项限价2元/次；响应报价超过最高限价或单项限价为无效响应。</w:t>
      </w:r>
      <w:r/>
    </w:p>
    <w:p>
      <w:pPr>
        <w:ind w:firstLine="56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采购需求：根据《中共中央国务院关于深化养老服务改革发展的意见》，拟采购鼓楼区养老服务质量指导中心日常运营服务，本项目旨在深度整合全区养老服务资</w:t>
      </w:r>
      <w:r>
        <w:rPr>
          <w:rFonts w:hint="eastAsia" w:ascii="宋体" w:hAnsi="宋体" w:cs="宋体"/>
          <w:color w:val="000000" w:themeColor="text1"/>
          <w:sz w:val="24"/>
          <w:szCs w:val="24"/>
          <w:highlight w:val="none"/>
          <w14:textFill>
            <w14:solidFill>
              <w14:schemeClr w14:val="tx1"/>
            </w14:solidFill>
          </w14:textFill>
        </w:rPr>
        <w:t xml:space="preserve">源，构建统一高效的管理指挥体系，利用智能化手段强化服务监管精度与安全保障能力，精准匹配和高效触达老年群体的服务需求，驱动养老服务模式的转型升级，并通过全域数据的汇聚分析与深度应用，为养老政策的精准制定、资源的科学配置以及服务供给的持续优化提供强有力支撑。构建响应迅速、服务精准、监管有力、体验优良的区域养老服务新格局，切实增强全区老年人的获得感、幸福感与安全感。项目主要服务内容为：指导中心运营、指导中心硬件运维、紧急呼叫中心运营、智慧驾驶舱迭代升级、智慧驾驶舱运营、智库中心运营等。具体内容及要求详见采购文件。</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合同履行期限：一年。</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本项目（是/否）接受联合体：否 </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bookmarkStart w:id="4" w:name="_Toc28359018"/>
      <w:r/>
      <w:bookmarkStart w:id="5" w:name="_Toc35393636"/>
      <w:r/>
      <w:bookmarkStart w:id="6" w:name="_Toc35393805"/>
      <w:r/>
      <w:bookmarkStart w:id="7" w:name="_Toc28359095"/>
      <w:r>
        <w:rPr>
          <w:rFonts w:hint="eastAsia" w:ascii="宋体" w:hAnsi="宋体" w:cs="宋体"/>
          <w:color w:val="000000" w:themeColor="text1"/>
          <w:sz w:val="24"/>
          <w:szCs w:val="24"/>
          <w:highlight w:val="none"/>
          <w14:textFill>
            <w14:solidFill>
              <w14:schemeClr w14:val="tx1"/>
            </w14:solidFill>
          </w14:textFill>
        </w:rPr>
        <w:t xml:space="preserve">二、申请人的资格要求：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8" w:name="_Toc35393623"/>
      <w:r/>
      <w:bookmarkStart w:id="9" w:name="_Toc28359004"/>
      <w:r/>
      <w:bookmarkStart w:id="10" w:name="_Toc28359005"/>
      <w:r/>
      <w:bookmarkStart w:id="11" w:name="_Toc35393792"/>
      <w:r/>
      <w:bookmarkStart w:id="12" w:name="_Toc28359081"/>
      <w:r/>
      <w:bookmarkStart w:id="13" w:name="_Toc35393793"/>
      <w:r/>
      <w:bookmarkStart w:id="14" w:name="_Toc35393624"/>
      <w:r/>
      <w:bookmarkStart w:id="15" w:name="_Toc28359082"/>
      <w:r>
        <w:rPr>
          <w:rFonts w:hint="eastAsia" w:ascii="宋体" w:hAnsi="宋体" w:cs="宋体"/>
          <w:color w:val="000000" w:themeColor="text1"/>
          <w:sz w:val="24"/>
          <w:szCs w:val="24"/>
          <w:highlight w:val="none"/>
          <w14:textFill>
            <w14:solidFill>
              <w14:schemeClr w14:val="tx1"/>
            </w14:solidFill>
          </w14:textFill>
        </w:rPr>
        <w:t xml:space="preserve">（一）满足《中华人民共和国政府采购法》第二十二条规定；</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1.具有独立承担民事责任的能力（提供法人或者其他组织的营业执照；供应商为自然人的提供其身份证，提供相关证明材料复印件并加盖公章）；</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具有良好的商业信誉和健全的财务会计制度（提供上一年度审计报告，或投标截止时间前六个月内任意一个月的财务状况报告（至少包括资产负债表和利润表）或投标截止时间前六个月内银行出具的资信证明）；</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3.具有履行合同所必需的设备和专业技术能力（投标人根据履行采购项目合同需要，提供履行合同所必需的设备和专业技术能力的证明材料或承诺书原件）；</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有依法缴纳税收和社会保障资金的良好记录（提供投标截止时间前六个月内任意一个月的纳税证明文件（依法免缴的应提供相应文件说明），并提供投标截止时间前六个月内任意一个月的依法为员工缴纳社会保障资金的证明材料（依法免缴的应提供相应文件说明））；</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5.参加政府采购活动前三年内，在经营活动中没有重大违法记录（提供承诺书原件）；</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6.法律、行政法规规定的其他条件，提供相关证明材料：无。</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注：①前款第5条所称重大违法记录，是指供应商因违法经营受到刑事处罚或者责令停产停业、吊销许可证或者执照、较大数额罚款等行政处罚。</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②供应商在参加政府采购活动前3年内因违法经营被禁止在一定期限内参加政府采购活动，期限届满的，可以参加政府采购活动。</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（二）落实政府采购政策需满足的资格要求：</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（如属于专门面向中小企业采购的项目，供应商应为中小微企业、监狱企业、残疾人福利性单位）本项目按照采用以下第（1）种方式落实政府采购促进中小企业发展的要求：</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（1）本项目整体专门面向中小企业采购服务。</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（2）本项目整体专门面向小微企业采购服务。</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（3）本项目通过以下第（）种方式预留部分采购份额采购中小企业服务：</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①本项目要求供应商以联合体形式参加，中小企业合同金额应当达到的比例为 / %。</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②本项目要求供应商进行合同分包，中小企业合同金额应当达到的比例为 / %。</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（4）本项目为非预留份额的采购项目或采购包，执行价格扣除优惠政策，具体详见第三章。</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（三）本项目的特定资格要求：</w:t>
      </w:r>
      <w:bookmarkEnd w:id="4"/>
      <w:r/>
      <w:bookmarkEnd w:id="5"/>
      <w:r/>
      <w:bookmarkEnd w:id="6"/>
      <w:r/>
      <w:bookmarkEnd w:id="7"/>
      <w:r/>
      <w:bookmarkEnd w:id="8"/>
      <w:r/>
      <w:bookmarkEnd w:id="9"/>
      <w:r/>
      <w:bookmarkEnd w:id="10"/>
      <w:r/>
      <w:bookmarkEnd w:id="11"/>
      <w:r/>
      <w:bookmarkEnd w:id="12"/>
      <w:r/>
      <w:bookmarkEnd w:id="13"/>
      <w:r/>
      <w:bookmarkEnd w:id="14"/>
      <w:r/>
      <w:bookmarkEnd w:id="15"/>
      <w:r>
        <w:rPr>
          <w:rFonts w:hint="eastAsia" w:ascii="宋体" w:hAnsi="宋体" w:cs="宋体"/>
          <w:color w:val="000000" w:themeColor="text1"/>
          <w:sz w:val="24"/>
          <w:szCs w:val="24"/>
          <w:highlight w:val="none"/>
          <w14:textFill>
            <w14:solidFill>
              <w14:schemeClr w14:val="tx1"/>
            </w14:solidFill>
          </w14:textFill>
        </w:rPr>
        <w:t xml:space="preserve">无。</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（四）拒绝下述供应商参加本次采购活动：</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（1）供应商单位负责人为同一人或者存在直接控股、管理关系的不同供应商，不得参加同一合同项下的采购活动。</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（3）拒绝列入失信被执行人、重大税收违法失信主体、政府采购严重违法失信行为记录名单中的供应商参加本项目的采购活动。</w:t>
      </w:r>
      <w:r/>
    </w:p>
    <w:p>
      <w:pPr>
        <w:ind w:firstLine="562"/>
        <w:jc w:val="left"/>
        <w:spacing w:line="360" w:lineRule="auto"/>
        <w:rPr>
          <w:rFonts w:ascii="宋体" w:hAnsi="宋体" w:cs="宋体"/>
          <w:color w:val="000000" w:themeColor="text1"/>
          <w:sz w:val="24"/>
          <w:szCs w:val="24"/>
          <w:highlight w:val="none"/>
          <w14:textFill>
            <w14:solidFill>
              <w14:schemeClr w14:val="tx1"/>
            </w14:solidFill>
          </w14:textFill>
        </w:rPr>
      </w:pPr>
      <w:r/>
      <w:bookmarkStart w:id="16" w:name="_Toc28359008"/>
      <w:r/>
      <w:bookmarkStart w:id="17" w:name="_Toc35393796"/>
      <w:r/>
      <w:bookmarkStart w:id="18" w:name="_Toc35393627"/>
      <w:r/>
      <w:bookmarkStart w:id="19" w:name="_Toc28359085"/>
      <w:r>
        <w:rPr>
          <w:rFonts w:hint="eastAsia" w:ascii="宋体" w:hAnsi="宋体" w:cs="宋体"/>
          <w:b/>
          <w:color w:val="000000" w:themeColor="text1"/>
          <w:sz w:val="24"/>
          <w:szCs w:val="24"/>
          <w:highlight w:val="none"/>
          <w14:textFill>
            <w14:solidFill>
              <w14:schemeClr w14:val="tx1"/>
            </w14:solidFill>
          </w14:textFill>
        </w:rPr>
        <w:t xml:space="preserve">三、</w:t>
      </w:r>
      <w:bookmarkStart w:id="20" w:name="_Toc35393795"/>
      <w:r/>
      <w:bookmarkStart w:id="21" w:name="_Toc35393626"/>
      <w:r>
        <w:rPr>
          <w:rFonts w:hint="eastAsia" w:ascii="宋体" w:hAnsi="宋体" w:cs="宋体"/>
          <w:b/>
          <w:color w:val="000000" w:themeColor="text1"/>
          <w:sz w:val="24"/>
          <w:szCs w:val="24"/>
          <w:highlight w:val="none"/>
          <w14:textFill>
            <w14:solidFill>
              <w14:schemeClr w14:val="tx1"/>
            </w14:solidFill>
          </w14:textFill>
        </w:rPr>
        <w:t xml:space="preserve">获取采购文件</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时间：自磋商文件公告发布之日起5个工作日 </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地点：江苏政府采购网 </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方式：网上下载 </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售价：0.00元</w:t>
      </w:r>
      <w:r/>
    </w:p>
    <w:p>
      <w:pPr>
        <w:ind w:firstLine="562"/>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四、提交投标文件截止时间、开标时间和地点</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时间：</w:t>
      </w:r>
      <w:r>
        <w:rPr>
          <w:rFonts w:hint="eastAsia" w:ascii="宋体" w:hAnsi="宋体" w:cs="宋体"/>
          <w:color w:val="000000" w:themeColor="text1"/>
          <w:sz w:val="24"/>
          <w:szCs w:val="24"/>
          <w:highlight w:val="none"/>
          <w:u w:val="single"/>
          <w14:textFill>
            <w14:solidFill>
              <w14:schemeClr w14:val="tx1"/>
            </w14:solidFill>
          </w14:textFill>
        </w:rPr>
        <w:t xml:space="preserve">2026年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u w:val="single"/>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u w:val="single"/>
          <w14:textFill>
            <w14:solidFill>
              <w14:schemeClr w14:val="tx1"/>
            </w14:solidFill>
          </w14:textFill>
        </w:rPr>
        <w:t xml:space="preserve">日</w:t>
      </w:r>
      <w:r>
        <w:rPr>
          <w:rFonts w:hint="eastAsia" w:ascii="宋体" w:hAnsi="宋体" w:cs="宋体"/>
          <w:color w:val="000000" w:themeColor="text1"/>
          <w:sz w:val="24"/>
          <w:szCs w:val="24"/>
          <w:highlight w:val="none"/>
          <w:u w:val="single"/>
          <w14:textFill>
            <w14:solidFill>
              <w14:schemeClr w14:val="tx1"/>
            </w14:solidFill>
          </w14:textFill>
        </w:rPr>
        <w:t xml:space="preserve">14时</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cs="宋体"/>
          <w:color w:val="000000" w:themeColor="text1"/>
          <w:sz w:val="24"/>
          <w:szCs w:val="24"/>
          <w:highlight w:val="none"/>
          <w:u w:val="single"/>
          <w14:textFill>
            <w14:solidFill>
              <w14:schemeClr w14:val="tx1"/>
            </w14:solidFill>
          </w14:textFill>
        </w:rPr>
        <w:t xml:space="preserve">分</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560"/>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地点：</w:t>
      </w:r>
      <w:r>
        <w:rPr>
          <w:rFonts w:hint="eastAsia" w:ascii="宋体" w:hAnsi="宋体" w:cs="宋体"/>
          <w:color w:val="000000" w:themeColor="text1"/>
          <w:sz w:val="24"/>
          <w:szCs w:val="24"/>
          <w:highlight w:val="none"/>
          <w:u w:val="single"/>
          <w14:textFill>
            <w14:solidFill>
              <w14:schemeClr w14:val="tx1"/>
            </w14:solidFill>
          </w14:textFill>
        </w:rPr>
        <w:t xml:space="preserve">“苏采云”网上开标大厅。</w:t>
      </w:r>
      <w:r/>
    </w:p>
    <w:p>
      <w:pPr>
        <w:ind w:firstLine="56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五、公告期限</w:t>
      </w:r>
      <w:bookmarkEnd w:id="20"/>
      <w:r/>
      <w:bookmarkEnd w:id="21"/>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自本公告在法定媒体发布之日起3个工作日。</w:t>
      </w:r>
      <w:r/>
    </w:p>
    <w:p>
      <w:pPr>
        <w:ind w:firstLine="562"/>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六、其他补充事宜</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bookmarkStart w:id="22" w:name="OLE_LINK1"/>
      <w:r>
        <w:rPr>
          <w:rFonts w:hint="eastAsia" w:ascii="宋体" w:hAnsi="宋体" w:cs="宋体"/>
          <w:color w:val="000000" w:themeColor="text1"/>
          <w:sz w:val="24"/>
          <w:szCs w:val="24"/>
          <w:highlight w:val="none"/>
          <w14:textFill>
            <w14:solidFill>
              <w14:schemeClr w14:val="tx1"/>
            </w14:solidFill>
          </w14:textFill>
        </w:rPr>
        <w:t xml:space="preserve">1、本项目采购标的所属行业为：其他未列明行业。</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2、集中考察或答疑：</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42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4、供应商如确定参加投标，可自行下载采购文件及有关资料，按照《操作手册》进行注册，领取CA和办理电子签章，并按《操作手册》要求制作、上传电子投标文件。</w:t>
      </w:r>
      <w:r/>
    </w:p>
    <w:p>
      <w:pPr>
        <w:ind w:firstLine="42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5、根据省财政厅《关于更换</w:t>
      </w:r>
      <w:r>
        <w:rPr>
          <w:rFonts w:hint="eastAsia" w:ascii="宋体" w:hAnsi="宋体" w:cs="宋体"/>
          <w:color w:val="000000" w:themeColor="text1"/>
          <w:sz w:val="24"/>
          <w:highlight w:val="none"/>
          <w14:textFill>
            <w14:solidFill>
              <w14:schemeClr w14:val="tx1"/>
            </w14:solidFill>
          </w14:textFill>
        </w:rPr>
        <w:t xml:space="preserve">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 gov. cn/jiangsu/zlxz/ee/ee3a4bc5a3454aa2b0d9312230633ce9. html.</w:t>
      </w:r>
      <w:r/>
    </w:p>
    <w:p>
      <w:pPr>
        <w:ind w:firstLine="42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领取CA和办理电子签章具体联系方式见《苏采云系统供应商操作手册》(以下简称《操作手册》))、进行注册并按《操作手册》要求制作、上传电子投标文件。</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6、公告媒体</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（1）本公告在江苏政府采购网（http：//www.ccgp-jiangsu.gov.cn/）公示发布，敬请各供应商关注；</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（2）若有关本次采购存在变动或修改，敬请各供应商及时关注江苏政府采购网（http：//www.ccgp-jiangsu.gov.cn/）发布的关于本项目的信息更正公告。</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7、采购项目需要落实的政府采购政策：</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（1）政府采购促进中小企业发展</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（2）政府采购支持监狱企业发展</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（3）政府采购促进残疾人就业</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（4）政府采购鼓励采购节能环保产品</w:t>
      </w:r>
      <w:r/>
    </w:p>
    <w:p>
      <w:pPr>
        <w:ind w:firstLine="560"/>
        <w:jc w:val="left"/>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bookmarkEnd w:id="22"/>
      <w:r/>
      <w:bookmarkStart w:id="23" w:name="OLE_LINK9"/>
      <w:r>
        <w:rPr>
          <w:rFonts w:hint="eastAsia" w:ascii="宋体" w:hAnsi="宋体" w:cs="宋体"/>
          <w:color w:val="000000" w:themeColor="text1"/>
          <w:sz w:val="24"/>
          <w:highlight w:val="none"/>
          <w14:textFill>
            <w14:solidFill>
              <w14:schemeClr w14:val="tx1"/>
            </w14:solidFill>
          </w14:textFill>
        </w:rPr>
        <w:t xml:space="preserve">根据《关于在政府采购活动中推行信用承诺制的通知》宁财购通(2021)5号规定，参加南京地区政府采购活动的供应商，应向采购人或政府采购代理机构作出信用承诺。</w:t>
      </w:r>
      <w:r/>
    </w:p>
    <w:p>
      <w:pPr>
        <w:ind w:firstLine="560"/>
        <w:jc w:val="left"/>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560"/>
        <w:jc w:val="left"/>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（1）符合国家相关规定的财务状况报告；</w:t>
      </w:r>
      <w:r/>
    </w:p>
    <w:p>
      <w:pPr>
        <w:ind w:firstLine="560"/>
        <w:jc w:val="left"/>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（2）依法缴纳税收的证明材料；</w:t>
      </w:r>
      <w:r/>
    </w:p>
    <w:p>
      <w:pPr>
        <w:ind w:firstLine="560"/>
        <w:jc w:val="left"/>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（3）依法缴纳社会保障资金的证明材料；</w:t>
      </w:r>
      <w:r/>
    </w:p>
    <w:p>
      <w:pPr>
        <w:ind w:firstLine="560"/>
        <w:jc w:val="left"/>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（4）具备履行政府采购合同所必需的设备和专业技术能力的证明材料；</w:t>
      </w:r>
      <w:r/>
    </w:p>
    <w:p>
      <w:pPr>
        <w:ind w:firstLine="560"/>
        <w:jc w:val="left"/>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（5）参加政府采购活动前三年内在经营活动中没有重大违法记录的证明材料；</w:t>
      </w:r>
      <w:r/>
    </w:p>
    <w:p>
      <w:pPr>
        <w:ind w:firstLine="560"/>
        <w:jc w:val="left"/>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（6）未被列入失信被执行人、重大税收违法失信主体、政府采购严重违法失信行为记录名单的证明材料。</w:t>
      </w:r>
      <w:r/>
    </w:p>
    <w:p>
      <w:pPr>
        <w:ind w:firstLine="560"/>
        <w:jc w:val="left"/>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供应商在中标（成交）后，应将上述由信用承诺书替代的证明材料（一式伍份），加盖公章胶装提交采购人或采购代理机构核验。经核验无误后，由采购人或采购代理机构发出中标（成交）通知书。</w:t>
      </w:r>
      <w:r/>
    </w:p>
    <w:p>
      <w:pPr>
        <w:ind w:firstLine="560"/>
        <w:jc w:val="left"/>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供应商涉及以下情形的，不适用信用承诺，仍须提供上述证明材料：</w:t>
      </w:r>
      <w:r/>
    </w:p>
    <w:p>
      <w:pPr>
        <w:ind w:firstLine="560"/>
        <w:jc w:val="left"/>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（1）供应商被列入严重失信主体名单；</w:t>
      </w:r>
      <w:r/>
    </w:p>
    <w:p>
      <w:pPr>
        <w:ind w:firstLine="560"/>
        <w:jc w:val="left"/>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（2）被相关监管部门作出行政处罚且尚在处罚有效期内；</w:t>
      </w:r>
      <w:r/>
    </w:p>
    <w:p>
      <w:pPr>
        <w:ind w:firstLine="560"/>
        <w:jc w:val="left"/>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（3）其他法律、行政法规规定的不适用信用承诺的情形。</w:t>
      </w:r>
      <w:r/>
    </w:p>
    <w:p>
      <w:pPr>
        <w:ind w:firstLine="480"/>
        <w:jc w:val="left"/>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供应商对信用承诺内容的真实性、合法性、有效性负责。如作出虚假信用承诺，视同为“提供虚假材料谋取中标、成交”的违法行为。</w:t>
      </w:r>
      <w:bookmarkEnd w:id="23"/>
      <w:r/>
      <w:r/>
    </w:p>
    <w:p>
      <w:pPr>
        <w:ind w:firstLine="560"/>
        <w:jc w:val="left"/>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七、对本次招标提出询问，请按以下方式联系。</w:t>
      </w:r>
      <w:bookmarkEnd w:id="16"/>
      <w:r/>
      <w:bookmarkEnd w:id="17"/>
      <w:r/>
      <w:bookmarkEnd w:id="18"/>
      <w:r/>
      <w:bookmarkEnd w:id="19"/>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bookmarkStart w:id="24" w:name="_Toc35393806"/>
      <w:r/>
      <w:bookmarkStart w:id="25" w:name="_Toc28359019"/>
      <w:r/>
      <w:bookmarkStart w:id="26" w:name="_Toc28359096"/>
      <w:r/>
      <w:bookmarkStart w:id="27" w:name="_Toc35393637"/>
      <w:r>
        <w:rPr>
          <w:rFonts w:hint="eastAsia" w:ascii="宋体" w:hAnsi="宋体" w:cs="宋体"/>
          <w:color w:val="000000" w:themeColor="text1"/>
          <w:sz w:val="24"/>
          <w:szCs w:val="24"/>
          <w:highlight w:val="none"/>
          <w14:textFill>
            <w14:solidFill>
              <w14:schemeClr w14:val="tx1"/>
            </w14:solidFill>
          </w14:textFill>
        </w:rPr>
        <w:t xml:space="preserve">1.采购人信息</w:t>
      </w:r>
      <w:bookmarkEnd w:id="24"/>
      <w:r/>
      <w:bookmarkEnd w:id="25"/>
      <w:r/>
      <w:bookmarkEnd w:id="26"/>
      <w:r/>
      <w:bookmarkEnd w:id="27"/>
      <w:r/>
      <w:r/>
    </w:p>
    <w:p>
      <w:pPr>
        <w:ind w:firstLine="560"/>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名称：南京市鼓楼区民政局</w:t>
      </w:r>
      <w:r/>
    </w:p>
    <w:p>
      <w:pPr>
        <w:ind w:firstLine="560"/>
        <w:spacing w:line="360" w:lineRule="auto"/>
        <w:rPr>
          <w:rFonts w:ascii="宋体" w:hAnsi="宋体" w:cs="宋体"/>
          <w:color w:val="000000" w:themeColor="text1"/>
          <w:sz w:val="24"/>
          <w:szCs w:val="24"/>
          <w:highlight w:val="none"/>
          <w14:textFill>
            <w14:solidFill>
              <w14:schemeClr w14:val="tx1"/>
            </w14:solidFill>
          </w14:textFill>
        </w:rPr>
      </w:pPr>
      <w:r/>
      <w:bookmarkStart w:id="28" w:name="_Toc28359097"/>
      <w:r/>
      <w:bookmarkStart w:id="29" w:name="_Toc35393638"/>
      <w:r/>
      <w:bookmarkStart w:id="30" w:name="_Toc28359020"/>
      <w:r/>
      <w:bookmarkStart w:id="31" w:name="_Toc35393807"/>
      <w:r>
        <w:rPr>
          <w:rFonts w:hint="eastAsia" w:ascii="宋体" w:hAnsi="宋体" w:cs="宋体"/>
          <w:color w:val="000000" w:themeColor="text1"/>
          <w:sz w:val="24"/>
          <w:szCs w:val="24"/>
          <w:highlight w:val="none"/>
          <w14:textFill>
            <w14:solidFill>
              <w14:schemeClr w14:val="tx1"/>
            </w14:solidFill>
          </w14:textFill>
        </w:rPr>
        <w:t xml:space="preserve">地址：鼓楼区山西路84号</w:t>
      </w:r>
      <w:r/>
    </w:p>
    <w:p>
      <w:pPr>
        <w:ind w:firstLine="56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联系人：郑科</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联系方式：025-84720691</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2.采购代理机构信息</w:t>
      </w:r>
      <w:bookmarkEnd w:id="28"/>
      <w:r/>
      <w:bookmarkEnd w:id="29"/>
      <w:r/>
      <w:bookmarkEnd w:id="30"/>
      <w:r/>
      <w:bookmarkEnd w:id="31"/>
      <w:r/>
      <w:r/>
    </w:p>
    <w:p>
      <w:pPr>
        <w:ind w:firstLine="56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名称：</w:t>
      </w:r>
      <w:r>
        <w:rPr>
          <w:rFonts w:hint="eastAsia" w:ascii="宋体" w:hAnsi="宋体" w:cs="宋体"/>
          <w:color w:val="000000" w:themeColor="text1"/>
          <w:sz w:val="24"/>
          <w:szCs w:val="24"/>
          <w:highlight w:val="none"/>
          <w:u w:val="single"/>
          <w14:textFill>
            <w14:solidFill>
              <w14:schemeClr w14:val="tx1"/>
            </w14:solidFill>
          </w14:textFill>
        </w:rPr>
        <w:t xml:space="preserve">南京苏宁工程咨询有限公司</w:t>
      </w:r>
      <w:r/>
    </w:p>
    <w:p>
      <w:pPr>
        <w:ind w:firstLine="56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u w:val="single"/>
          <w14:textFill>
            <w14:solidFill>
              <w14:schemeClr w14:val="tx1"/>
            </w14:solidFill>
          </w14:textFill>
        </w:rPr>
        <w:t xml:space="preserve">南京市鼓楼区中山路99号12楼</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r>
        <w:rPr>
          <w:rFonts w:hint="eastAsia" w:ascii="宋体" w:hAnsi="宋体" w:cs="宋体"/>
          <w:color w:val="000000" w:themeColor="text1"/>
          <w:sz w:val="24"/>
          <w:szCs w:val="24"/>
          <w:highlight w:val="none"/>
          <w:u w:val="single"/>
          <w14:textFill>
            <w14:solidFill>
              <w14:schemeClr w14:val="tx1"/>
            </w14:solidFill>
          </w14:textFill>
        </w:rPr>
        <w:t xml:space="preserve">李佳蓉、025-84200809</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bookmarkStart w:id="32" w:name="_Toc28359098"/>
      <w:r/>
      <w:bookmarkStart w:id="33" w:name="_Toc28359021"/>
      <w:r/>
      <w:bookmarkStart w:id="34" w:name="_Toc35393808"/>
      <w:r/>
      <w:bookmarkStart w:id="35" w:name="_Toc35393639"/>
      <w:r>
        <w:rPr>
          <w:rFonts w:hint="eastAsia" w:ascii="宋体" w:hAnsi="宋体" w:cs="宋体"/>
          <w:color w:val="000000" w:themeColor="text1"/>
          <w:sz w:val="24"/>
          <w:szCs w:val="24"/>
          <w:highlight w:val="none"/>
          <w14:textFill>
            <w14:solidFill>
              <w14:schemeClr w14:val="tx1"/>
            </w14:solidFill>
          </w14:textFill>
        </w:rPr>
        <w:t xml:space="preserve">3.项目联系方式</w:t>
      </w:r>
      <w:bookmarkEnd w:id="32"/>
      <w:r/>
      <w:bookmarkEnd w:id="33"/>
      <w:r/>
      <w:bookmarkEnd w:id="34"/>
      <w:r/>
      <w:bookmarkEnd w:id="35"/>
      <w:r/>
      <w:r/>
    </w:p>
    <w:p>
      <w:pPr>
        <w:pStyle w:val="839"/>
        <w:ind w:firstLine="560"/>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项目联系人：</w:t>
      </w:r>
      <w:r>
        <w:rPr>
          <w:rFonts w:hint="eastAsia" w:hAnsi="宋体" w:cs="宋体"/>
          <w:color w:val="000000" w:themeColor="text1"/>
          <w:sz w:val="24"/>
          <w:szCs w:val="24"/>
          <w:highlight w:val="none"/>
          <w:u w:val="single"/>
          <w14:textFill>
            <w14:solidFill>
              <w14:schemeClr w14:val="tx1"/>
            </w14:solidFill>
          </w14:textFill>
        </w:rPr>
        <w:t xml:space="preserve">李佳蓉</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电话：</w:t>
      </w:r>
      <w:r>
        <w:rPr>
          <w:rFonts w:hint="eastAsia" w:ascii="宋体" w:hAnsi="宋体" w:cs="宋体"/>
          <w:color w:val="000000" w:themeColor="text1"/>
          <w:sz w:val="24"/>
          <w:szCs w:val="24"/>
          <w:highlight w:val="none"/>
          <w:u w:val="single"/>
          <w14:textFill>
            <w14:solidFill>
              <w14:schemeClr w14:val="tx1"/>
            </w14:solidFill>
          </w14:textFill>
        </w:rPr>
        <w:t xml:space="preserve">025-84200809</w:t>
      </w:r>
      <w:r/>
    </w:p>
    <w:p>
      <w:pPr>
        <w:pStyle w:val="836"/>
        <w:ind w:left="126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40"/>
        <w:jc w:val="center"/>
        <w:rPr>
          <w:rFonts w:ascii="宋体" w:hAnsi="宋体" w:cs="宋体"/>
          <w:color w:val="000000" w:themeColor="text1"/>
          <w:spacing w:val="-10"/>
          <w:sz w:val="36"/>
          <w:szCs w:val="36"/>
          <w:highlight w:val="none"/>
          <w14:textFill>
            <w14:solidFill>
              <w14:schemeClr w14:val="tx1"/>
            </w14:solidFill>
          </w14:textFill>
        </w:rPr>
        <w:sectPr>
          <w:headerReference w:type="default" r:id="rId9"/>
          <w:footerReference w:type="default" r:id="rId11"/>
          <w:footnotePr/>
          <w:endnotePr/>
          <w:type w:val="nextPage"/>
          <w:pgSz w:w="11850" w:h="16783" w:orient="portrait"/>
          <w:pgMar w:top="850" w:right="850" w:bottom="850" w:left="1417" w:header="0" w:footer="1134" w:gutter="0"/>
          <w:cols w:num="1" w:sep="0" w:space="720" w:equalWidth="1"/>
          <w:docGrid w:linePitch="360"/>
        </w:sectPr>
      </w:pPr>
      <w:r>
        <w:rPr>
          <w:rFonts w:ascii="宋体" w:hAnsi="宋体" w:cs="宋体"/>
          <w:color w:val="000000" w:themeColor="text1"/>
          <w:spacing w:val="-10"/>
          <w:sz w:val="36"/>
          <w:szCs w:val="36"/>
          <w:highlight w:val="none"/>
          <w14:textFill>
            <w14:solidFill>
              <w14:schemeClr w14:val="tx1"/>
            </w14:solidFill>
          </w14:textFill>
        </w:rPr>
      </w:r>
      <w:r/>
    </w:p>
    <w:p>
      <w:pPr>
        <w:ind w:firstLine="340"/>
        <w:jc w:val="center"/>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pacing w:val="-10"/>
          <w:sz w:val="36"/>
          <w:szCs w:val="36"/>
          <w:highlight w:val="none"/>
          <w14:textFill>
            <w14:solidFill>
              <w14:schemeClr w14:val="tx1"/>
            </w14:solidFill>
          </w14:textFill>
        </w:rPr>
        <w:t xml:space="preserve">第二章  竞争性磋商须知</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一、总则</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1、适用法律</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1.1《中华人民共和国政府采购法》、《中华人民共和国政府采购法实施条例》、《政府采购非招标方式管理办法》等有关法律、规章和规定等。</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2、定义</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2.1“供应商”是指参加磋商竞争，并符合采购文件规定资格条件的法人、其他组织或者自然人。</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2.2“货物和服务”指本磋商文件中所述产品及相关服务。</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2.3“用户或使用单位”是指使用服务的单位。</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3、政策功能</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3.1 政府采购促进中小企业发展，在政府采购活动中，供应商提供的货物、工程或者服务符合下列情形的，享受中小企业扶持政策：</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（1）在货物采购项目中，货物由中小企业制造，即货物由中小企业生产且使用该中小企业商号或者注册商标；</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（2）在工程采购项目中，工程由中小企业承建，即工程施工单位为中小企业；</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（3）在服务采购项目中，服务由中小企业承接，即提供服务的人员为中小企业依照《中华人民共和国劳动民法典》订立劳动合同的从业人员。</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在货物采购项目中，供应商提供的货物既有中小企业制造货物，也有大型企业制造货物的，不享受中小企业扶持政策。</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中小企业供应商参加政府采购活动，应当出具《中小企业声明函》（格式见后附件），否则不得享受相关中小企业扶持政策。</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3.5 提供的产品属于信息安全产品的，供应商应当选择经国家认证的信息安全产品磋商，并提供由中国信息安全认证中心按国家标准认证颁发的有效认证证书扫描件。</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3.6 提供的产品属于政府强制采购节能产品的，供应商应当选择经过认证的节能产品磋商，并提供有效的节能产品认证证书扫描件。</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3.7 提供的产品属于环境标志产品的,供应商应当选择经过认证的环境标志产品磋商,并提供有效的环境标志产品认证证书扫描件。</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4、磋商费用</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4.1 供应商应承担所有与准备和参加磋商有关的费用，无论采购结果如何，代理机构和采购人在任何情况下均无义务和责任承担这些费用。</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4.2本次招标，中标服务费</w:t>
      </w:r>
      <w:r>
        <w:rPr>
          <w:rFonts w:hint="eastAsia" w:ascii="宋体" w:hAnsi="宋体" w:cs="宋体"/>
          <w:color w:val="000000" w:themeColor="text1"/>
          <w:szCs w:val="21"/>
          <w:highlight w:val="none"/>
          <w14:textFill>
            <w14:solidFill>
              <w14:schemeClr w14:val="tx1"/>
            </w14:solidFill>
          </w14:textFill>
        </w:rPr>
        <w:t xml:space="preserve">叁万元整，由各成交供应商均摊</w:t>
      </w:r>
      <w:r>
        <w:rPr>
          <w:rFonts w:hint="eastAsia" w:ascii="宋体" w:hAnsi="宋体" w:cs="宋体"/>
          <w:color w:val="000000" w:themeColor="text1"/>
          <w:szCs w:val="21"/>
          <w:highlight w:val="none"/>
          <w:lang w:val="zh-CN"/>
          <w14:textFill>
            <w14:solidFill>
              <w14:schemeClr w14:val="tx1"/>
            </w14:solidFill>
          </w14:textFill>
        </w:rPr>
        <w:t xml:space="preserve">。该项费用请供应商综合考虑在投标报价中，后期采购人不单独列支，必须在领取中标通知书前向招标代理机构支付招标服务费。</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二、响应文件编制</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5.递交响应文件</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5.1供应商应由其法定代表人或法定代表人授权委托人在规定的响应时间内，递交响应文件。</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5.2供应商应当对采购文件提出的要求和条件作出实质性响应，并在响应文件中逐条应答。</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供应商应对要求提供的资格证明文件（如资质证书、资格证书）、技术资料（如白皮书、彩页、手册、检测报告等）提供复印件加盖公章。</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服务属于小微企业提供的，应在响应文件中说明。</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6、响应文件的语言、计量单位、货币和编制</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6.1供应商提交的响应文件、技术文件和资料，包括图纸中的说明应使用中文。响应文件中若有英文或其他语言文字的资料，应提供相应的中文翻译资料。对不同文本响应文件的解释发生异议的，以中文文本为准。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6.2供应商所使用的计量单位应为国家法定计量单位。</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6.3供应商所使用的币种位应为人民币，单位为“元”。</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6.4供应商所使用的技术标准应遵循国家最新标准及规范。</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7、响应文件的组成</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7.1供应商应当根据磋商文件要求编制响应文件，并根据自己的商务能力、技术水平对磋商文件提出的要求和条件逐条标明是否响应。响应文件由商务部分、技术部分、价格部分，以及其他部分组成。</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7.2响应文件的商务部分。商务部分是证明供应商有资格参加磋商和成交后有能力履行合同的文件，这些文件应能满足竞争性磋商采购文件的要求，包括但不限于下列文件，其中加“★”项目不得有缺失或无效：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（1）★竞争性磋商申请及声明；</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（2）★法定代表人授权委托书及委托代理人的身份证复印件；</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（3）★第一章磋商邀请中二、申请人的资格要求；</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（4）《南京市政府采购供应商信用记录表暨信用承诺书》；</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（5）《商务条款偏离表》；</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（6）合同草案条款；</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（7）供应商认为需要提供的其他资格证明文件和商务资料。</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7.3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（1）服务内容的详细说明；</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（2）项目集成或实施方案；</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（3）服务承诺；</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（4）供应商认为需要提供的其他技术资料。</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7.4响应文件的价格部分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（1）价格部分是对货物和服务价格构成的说明，磋商文件如没有特别说明的话，对每一项货物和服务仅接受一个价格。</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（2）报价应包含完成本货物和服务项目发生的所有含税费用、支付给员工的工资和国家强制缴纳的各种社会保障资金，以及供应商认为需要的其他费用等。</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（3）供应商应充分考虑到市场价格变动，以及项目实施过程中的不可预见因素，一旦成交，总价格不变。如果有漏项，视同让利。</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（4）经磋商后，如果成交价高于或低于供应商在响应文件首次报价的，分项报价同比例调整。</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7.5响应文件的其他部分。其他部分由供应商根据编制响应文件需要提供的其他相关文件。</w:t>
      </w:r>
      <w:r/>
    </w:p>
    <w:p>
      <w:pPr>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7.6评审中出现下列情形之一的，评审委员会应当启动异常低价投标（响应）审查程序：</w:t>
      </w:r>
      <w:r/>
    </w:p>
    <w:p>
      <w:pPr>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（3）投标（响应）报价低于采购项目最高限价45%的，即投标（响应）报价&lt;采购项目最高限价×45%；</w:t>
      </w:r>
      <w:r/>
    </w:p>
    <w:p>
      <w:pPr>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相关法律法规对供应商报价有规定的，从其规定。</w:t>
      </w:r>
      <w:r/>
    </w:p>
    <w:p>
      <w:pPr>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8.竞争性磋商保证金：无。</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三、响应文件盖章、修改和撤回</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9.响应文件盖章</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9.1供应商应按照采购文件要求，对需要加盖公章的资格证明文件和有关资料加盖公章后编入响应文件。</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9.2供应商应在响应文件指定位置加盖公章。</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9.3有下列情形之一的响应文件将拒收：</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（1）在磋商文件要求提交响应文件的截止时间之后递交的。</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10.响应文件的修改和撤回</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 投标文件的修改</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.1投标人可在投标截止时间前对其电子投标文件进行修改，具体操作方法见《操作手册》。</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.2投标截止时间之后，投标人不得对其电子投标文件作任何修改。</w:t>
      </w:r>
      <w:r/>
    </w:p>
    <w:p>
      <w:pPr>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 投标文件的撤回</w:t>
      </w:r>
      <w:r/>
    </w:p>
    <w:p>
      <w:pPr>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10.2.1 投标人可在投标截止时间前撤回其电子投标文件，具体操作方法见《操作手册》。</w:t>
      </w:r>
      <w:r/>
    </w:p>
    <w:p>
      <w:pPr>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10.2.2 投标人撤回电子投标文件，则认为其不再参与本项目投标活动。</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3 在投标截止时间至招标文件中规定的投标有效期满之间的这段时间内，投标人不得撤回其投标。</w:t>
      </w:r>
      <w:bookmarkStart w:id="36" w:name="_Toc513029229"/>
      <w:r/>
      <w:bookmarkEnd w:id="36"/>
      <w:r/>
      <w:bookmarkStart w:id="37" w:name="_Toc16938545"/>
      <w:r/>
      <w:bookmarkEnd w:id="37"/>
      <w:r/>
      <w:bookmarkStart w:id="38" w:name="_Toc20823301"/>
      <w:r/>
      <w:bookmarkEnd w:id="38"/>
      <w:r/>
      <w:bookmarkStart w:id="39" w:name="_Toc120614218"/>
      <w:r/>
      <w:bookmarkEnd w:id="39"/>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四、磋商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11.联合体：本项目不接受联合体投标。</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11.1两个以上的自然人、法人或者其他组织可以组成一个联合体，以一个供应商的身份共同参加竞争性磋商。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11.2鼓励大中型企业和其他自然人、法人或者其他组织与小型、微型企业组成联合体共同参加非专门面向中小企业的政府采购活动。大中型企业和其他自然人、法人或者其他组织可以与小型、微型企业组成联合体共同参加非专门面向中小企业的政府采购活动。联合协议中约定，小型、微型企业的协议合同金额占到联合体协议合同总金额30%以上的，给予联合体2%的价格扣除。联合体各方均为小型、微型企业的，联合体视同为小型、微型企业享受10%价格扣除。组成联合体的大中型企业和其他自然人、法人或者其他组织，与小型、微型企业之间不得存在投资关系。</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11.3以联合体形式参加竞争性磋商</w:t>
      </w:r>
      <w:r>
        <w:rPr>
          <w:rFonts w:hint="eastAsia" w:ascii="宋体" w:hAnsi="宋体" w:cs="宋体"/>
          <w:color w:val="000000" w:themeColor="text1"/>
          <w:szCs w:val="21"/>
          <w:highlight w:val="none"/>
          <w:lang w:val="zh-CN"/>
          <w14:textFill>
            <w14:solidFill>
              <w14:schemeClr w14:val="tx1"/>
            </w14:solidFill>
          </w14:textFill>
        </w:rPr>
        <w:t xml:space="preserve">的，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11.4联合体各方之间应当签订共同投标联合体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11.5政府采购合同分包履行的，中标供应商就采购项目和分包项目向采购人负责，分包项目供应商就分包项目承担责任，中标供应商与分包供应商之间应该签订分包意向协议。</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11.6享受中小企业扶持政策获得政府采购合同的，小微企业不得将合同分包给大中型企业，中型企业不得将合同分包给大型企业。</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11.7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12.磋商组织及程序</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12.1在提交响应文件时间截止后，代理机构在规定的时间和地点组织磋商小组分别与供应商进行磋商。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12.2磋商工作由代理机构负责组织，具体磋商事务由依法组建的磋商小组负责。</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12.3磋商小组评审供应商所递交的响应性文件，并根据磋商文件规定的程序、评定成交的标准等事项与实质性响应磋商文件要求的供应商进行磋商。未实质性响应磋商文件的响应文件按无效处理，磋商小组应将告知有关供应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12.4磋商小组所有成员集中与单一供应商分别进行磋商，所有参加磋商的供应商均有同等的磋商机会。</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12.5磋商过程中，磋商小组根据磋商文件和磋商情况可能实质性变动采购需求中的技术、服务要求以及合同草案条款。实质性变动是磋商文件的有效组成部分，磋商小组将以书面形式通知所有参加磋商的供应商。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12.6供应商应当按照磋商文件的变动情况和磋商小组的要求重新提交响应文件，并由法定代表人或授权代表签字确认。</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12.7磋商结束后，磋商小组将要求所有继续参加磋商的供应商在规定时间内提交最后报价并由法定代表人或授权委托人签字确认，最后报价是供应商响应文件的有效组成部分。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12.8已提交响应文件的供应商，在提交最后报价之前，可以根据磋商情况退出磋商。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12.9出现下列情形之一的响应文件按照无效处理：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（1）未按磋商文件规定签署、盖章的；</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（2）不具备磋商文件规定资格条件的；</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（4）未实质性响应磋商文件要求的（用“★”加注或特别说明的内容为实质性要求。）；</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）属于磋商邀请中拒绝参加本次采购活动供应商的；</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）磋商小组认为供应商的报价明显低于其他供应商的报价，有可能影响服务质量或者不能诚信履约的，未在磋商现场合理的时间内提供书面说明或相关证明材料，不能证明其报价合理的；</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）不符合法律、法规和磋商文件规定的其他实质性要求的。</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12.10出现下列情形之一的，磋商终止：</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（1）因情况变化，不再符合规定的竞争性磋商采购方式适用情形的；</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（2）所有供应商的响应文件被磋商小组认定为无效的；</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（3）出现影响采购公正的违法、违规行为的；</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（4）所有供应商的最终报价均超过采购预算或最高限价</w:t>
      </w:r>
      <w:r>
        <w:rPr>
          <w:rFonts w:hint="eastAsia" w:ascii="宋体" w:hAnsi="宋体" w:cs="宋体"/>
          <w:color w:val="000000" w:themeColor="text1"/>
          <w:szCs w:val="21"/>
          <w:highlight w:val="none"/>
          <w14:textFill>
            <w14:solidFill>
              <w14:schemeClr w14:val="tx1"/>
            </w14:solidFill>
          </w14:textFill>
        </w:rPr>
        <w:t xml:space="preserve">或单项限价</w:t>
      </w:r>
      <w:r>
        <w:rPr>
          <w:rFonts w:hint="eastAsia" w:ascii="宋体" w:hAnsi="宋体" w:cs="宋体"/>
          <w:color w:val="000000" w:themeColor="text1"/>
          <w:szCs w:val="21"/>
          <w:highlight w:val="none"/>
          <w:lang w:val="zh-CN"/>
          <w14:textFill>
            <w14:solidFill>
              <w14:schemeClr w14:val="tx1"/>
            </w14:solidFill>
          </w14:textFill>
        </w:rPr>
        <w:t xml:space="preserve">的；</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（5）因重大变故，采购任务取消的；</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（6）采购人需求发生重大变化暂时不能确定或供应商提供的货物和服务不能满足需求等。</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（7）预留份额的采购项目或采购包，通过发布公告方式邀请供应商后，符合资格条件的中小企业数量不足3家的。</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lang w:val="zh-CN"/>
          <w14:textFill>
            <w14:solidFill>
              <w14:schemeClr w14:val="tx1"/>
            </w14:solidFill>
          </w14:textFill>
        </w:rPr>
        <w:t xml:space="preserve">）因苏采云系统故障造成开标不成功。</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13.评定成交方法和标准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13.1采用综合评分法。即在最大限度地满足竞争性磋商文件实质性要求前提下，按照磋商文件中规定的各项因素及诚信记录进行综合评审后，以评审总得分最高的供应商作为成交候选供应商或者成交供应商的评审方法。</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13.2综合评分的主要因素是：详见磋商文件第三章。</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13.4评定方法，详见磋商文件第三章。</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14.确定成交供应商</w:t>
      </w:r>
      <w:r/>
    </w:p>
    <w:p>
      <w:pPr>
        <w:ind w:firstLine="42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14.1综合比较与评价后按照得分高低顺序对供应商进行排列。得分相同的，按响应报价由低到高顺序排列。得分且响应报价相同的，按技术指标（</w:t>
      </w:r>
      <w:r>
        <w:rPr>
          <w:rFonts w:hint="eastAsia" w:ascii="宋体" w:hAnsi="宋体" w:cs="宋体"/>
          <w:color w:val="000000" w:themeColor="text1"/>
          <w:szCs w:val="21"/>
          <w:highlight w:val="none"/>
          <w14:textFill>
            <w14:solidFill>
              <w14:schemeClr w14:val="tx1"/>
            </w14:solidFill>
          </w14:textFill>
        </w:rPr>
        <w:t xml:space="preserve">技术部分</w:t>
      </w:r>
      <w:r>
        <w:rPr>
          <w:rFonts w:hint="eastAsia" w:ascii="宋体" w:hAnsi="宋体" w:cs="宋体"/>
          <w:color w:val="000000" w:themeColor="text1"/>
          <w:szCs w:val="21"/>
          <w:highlight w:val="none"/>
          <w:lang w:val="zh-CN"/>
          <w14:textFill>
            <w14:solidFill>
              <w14:schemeClr w14:val="tx1"/>
            </w14:solidFill>
          </w14:textFill>
        </w:rPr>
        <w:t xml:space="preserve">）优劣顺序排列。</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14.2按以下第（</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）种方式确定成交供应商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（1）磋商小组直接确定排名第一的成交候选人为成交供应商；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（2）采购人在磋商小组推荐的成交候选人中按顺序确定成交供应商。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14.3成交供应商确定之日起两个工作日内，将在财政部门指定的政府采购信息发布媒体上公告。</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14.4《成交通知书》对采购人和成交供应商具有同等法律效力。</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14.5代理机构对未成交的供应商不作未成交原因的解释。</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14.6所有响应文件不论成交与否，代理机构均不退回。</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14.7成交供应商及时到代理机构领取《成交通知书》。</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15.编写评审报告</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15.1磋商小组根据磋商过程和结果编写评审报告。</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16.签订合同</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16.1成交供应商应当自成交通知书发出之日起三十日内，与采购人签订政府采购合同，所签订的合同不得对磋商文件和响应文件作实质性修改。</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16.2采购人不得向成交供应商提出任何不合理的要求作为签订合同的条件，不得与成交供应商私下订立背离合同实质性内容的协议。</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16.3除不可抗力等因素外，成交通知书发出后，采购人改变成交结果，或者成交供应商拒绝签订政府采购合同的，应当承担相应的法律责任。</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16.4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六、询问、质疑、投诉和诚实信用</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17、询问</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17.1供应商对采购活动事项有疑问的，可以向代理机构提出询问，代理机构将在两个工作日内作出答复，但答复的内容不涉及商业秘密。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18、质疑</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18.1供应商认为采购文件、采购过程和成交结果使自己的合法权益受到损害的，可以在知道或者应当知道其权益受到损害之日起七个工作日内，将质疑文件原件送达南京苏宁工程咨询有限公司。</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18.2质疑供应商的质疑行为和质疑函的主要内容应符合财政部94号令相关规定，未参加采购活动的供应商或在采购活动中自身权益未受到损害的供应商所提出的质疑不予受理。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18.3上述应知其权益受到损害之日是指：</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（1）对采购文件提出质疑的，为采购文件公告期限届满之日起计算；</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（2）对采购过程提出质疑的，自采购程序环节结束之日起计算；</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（3）对采购结果提出质疑的，自采购结果公告期限届满之日起计算。</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18.4质疑供应商在法定质疑期内应当一次性提出针对同一采购环节的质疑事项。</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18.5代理机构在收到供应商的质疑后将及时组织调查核实，在七个工作日内作出答复，答复的内容不涉及商业秘密。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18.6代理机构遵循“谁过错谁负担”的原则，有过错的一方承担调查论证费用。违规质疑或多次质疑不成立的，将被列入不良行为记录。</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19、投诉</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19.1质疑供应商对代理机构的答复不满意，或代理机构未在规定的时间内作出答复的，可以在答复期满后十五个工作日内向采购项目同级财政部门投诉。</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20、诚实信用</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20.1供应商之间不得相互串通报价，不得妨碍其他供应商的公平竞争，不得损害采购人和其他供应商的合法权益。</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20.2供应商不得以向代理机构工作人员、磋商小组成员行贿或者采取其他不正当手段谋取成交。经查实供应商有此行为的，政府采购管理部门将供应商列入不良行为记录名单，按照《政府采购法》有关规定处理。</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20.3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20.4供应商不得虚假承诺，否则，按照提供虚假材料谋取成交处理。</w:t>
      </w:r>
      <w:r/>
    </w:p>
    <w:p>
      <w:pPr>
        <w:ind w:firstLine="420"/>
        <w:spacing w:line="259"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20.5供应商应自觉遵守磋商、评审纪律，扰乱磋商、评审现场秩序的，属于失信行为，根据《江苏省政府采购供应商监督管理暂行办法》，失信行为将被记入供应商诚信档案。</w:t>
      </w:r>
      <w:r/>
    </w:p>
    <w:p>
      <w:pPr>
        <w:ind w:firstLine="420"/>
        <w:spacing w:line="360" w:lineRule="auto"/>
        <w:rPr>
          <w:rFonts w:ascii="宋体" w:hAnsi="宋体" w:cs="宋体"/>
          <w:color w:val="000000" w:themeColor="text1"/>
          <w:sz w:val="24"/>
          <w:szCs w:val="24"/>
          <w:highlight w:val="none"/>
          <w:lang w:val="zh-CN"/>
          <w14:textFill>
            <w14:solidFill>
              <w14:schemeClr w14:val="tx1"/>
            </w14:solidFill>
          </w14:textFill>
        </w:rPr>
      </w:pPr>
      <w:r>
        <w:rPr>
          <w:rFonts w:ascii="宋体" w:hAnsi="宋体" w:cs="宋体"/>
          <w:color w:val="000000" w:themeColor="text1"/>
          <w:sz w:val="24"/>
          <w:szCs w:val="24"/>
          <w:highlight w:val="none"/>
          <w:lang w:val="zh-CN"/>
          <w14:textFill>
            <w14:solidFill>
              <w14:schemeClr w14:val="tx1"/>
            </w14:solidFill>
          </w14:textFill>
        </w:rPr>
      </w:r>
      <w:r/>
    </w:p>
    <w:p>
      <w:pPr>
        <w:spacing w:line="259"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p>
    <w:p>
      <w:pPr>
        <w:jc w:val="center"/>
        <w:spacing w:line="360" w:lineRule="auto"/>
        <w:rPr>
          <w:rFonts w:ascii="宋体" w:hAnsi="宋体" w:cs="宋体"/>
          <w:color w:val="000000" w:themeColor="text1"/>
          <w:spacing w:val="-10"/>
          <w:sz w:val="36"/>
          <w:szCs w:val="36"/>
          <w:highlight w:val="none"/>
          <w14:textFill>
            <w14:solidFill>
              <w14:schemeClr w14:val="tx1"/>
            </w14:solidFill>
          </w14:textFill>
        </w:rPr>
      </w:pPr>
      <w:r>
        <w:rPr>
          <w:rFonts w:hint="eastAsia" w:ascii="宋体" w:hAnsi="宋体" w:cs="宋体"/>
          <w:color w:val="000000" w:themeColor="text1"/>
          <w:spacing w:val="-10"/>
          <w:sz w:val="36"/>
          <w:szCs w:val="36"/>
          <w:highlight w:val="none"/>
          <w14:textFill>
            <w14:solidFill>
              <w14:schemeClr w14:val="tx1"/>
            </w14:solidFill>
          </w14:textFill>
        </w:rPr>
        <w:t xml:space="preserve">第三章 成交标准</w:t>
      </w:r>
      <w:r/>
    </w:p>
    <w:p>
      <w:pPr>
        <w:ind w:firstLine="5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一、评标方法：</w:t>
      </w:r>
      <w:r>
        <w:rPr>
          <w:rFonts w:hint="eastAsia" w:ascii="宋体" w:hAnsi="宋体" w:cs="宋体"/>
          <w:color w:val="000000" w:themeColor="text1"/>
          <w:szCs w:val="21"/>
          <w:highlight w:val="none"/>
          <w:lang w:val="zh-CN"/>
          <w14:textFill>
            <w14:solidFill>
              <w14:schemeClr w14:val="tx1"/>
            </w14:solidFill>
          </w14:textFill>
        </w:rPr>
        <w:t xml:space="preserve">本次评审采用综合评</w:t>
      </w:r>
      <w:r>
        <w:rPr>
          <w:rFonts w:hint="eastAsia" w:ascii="宋体" w:hAnsi="宋体" w:cs="宋体"/>
          <w:color w:val="000000" w:themeColor="text1"/>
          <w:szCs w:val="21"/>
          <w:highlight w:val="none"/>
          <w:lang w:val="en-US" w:eastAsia="zh-CN"/>
          <w14:textFill>
            <w14:solidFill>
              <w14:schemeClr w14:val="tx1"/>
            </w14:solidFill>
          </w14:textFill>
        </w:rPr>
        <w:t xml:space="preserve">分</w:t>
      </w:r>
      <w:r>
        <w:rPr>
          <w:rFonts w:hint="eastAsia" w:ascii="宋体" w:hAnsi="宋体" w:cs="宋体"/>
          <w:color w:val="000000" w:themeColor="text1"/>
          <w:szCs w:val="21"/>
          <w:highlight w:val="none"/>
          <w:lang w:val="zh-CN"/>
          <w14:textFill>
            <w14:solidFill>
              <w14:schemeClr w14:val="tx1"/>
            </w14:solidFill>
          </w14:textFill>
        </w:rPr>
        <w:t xml:space="preserve">法，是指投标文件满足招标文件全部实质性要求，且按照评审因素的量化指标评审得分最高的供应商为</w:t>
      </w:r>
      <w:r>
        <w:rPr>
          <w:rFonts w:hint="eastAsia" w:ascii="宋体" w:hAnsi="宋体" w:cs="宋体"/>
          <w:color w:val="000000" w:themeColor="text1"/>
          <w:szCs w:val="21"/>
          <w:highlight w:val="none"/>
          <w14:textFill>
            <w14:solidFill>
              <w14:schemeClr w14:val="tx1"/>
            </w14:solidFill>
          </w14:textFill>
        </w:rPr>
        <w:t xml:space="preserve">成交</w:t>
      </w:r>
      <w:r>
        <w:rPr>
          <w:rFonts w:hint="eastAsia" w:ascii="宋体" w:hAnsi="宋体" w:cs="宋体"/>
          <w:color w:val="000000" w:themeColor="text1"/>
          <w:szCs w:val="21"/>
          <w:highlight w:val="none"/>
          <w:lang w:val="zh-CN"/>
          <w14:textFill>
            <w14:solidFill>
              <w14:schemeClr w14:val="tx1"/>
            </w14:solidFill>
          </w14:textFill>
        </w:rPr>
        <w:t xml:space="preserve">候选</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lang w:val="zh-CN"/>
          <w14:textFill>
            <w14:solidFill>
              <w14:schemeClr w14:val="tx1"/>
            </w14:solidFill>
          </w14:textFill>
        </w:rPr>
        <w:t xml:space="preserve">的评标方法，评审因素详见评分标准。评分统计方法采用百分制（满分100分），将全部评委评分直接进行算术平均，小数点后保留2位。磋商小组遵循公平、公正、择优原则，独立按照评分标准分别评定供应商的分值；各供应商的最终得分为各评委所评定分值的平均值，按照得分高低顺序对供应商进行排列。得分相同的，按报价由低到高顺序排列。得分且报价相同的，按技术指标（</w:t>
      </w:r>
      <w:r>
        <w:rPr>
          <w:rFonts w:hint="eastAsia" w:ascii="宋体" w:hAnsi="宋体" w:cs="宋体"/>
          <w:color w:val="000000" w:themeColor="text1"/>
          <w:szCs w:val="21"/>
          <w:highlight w:val="none"/>
          <w14:textFill>
            <w14:solidFill>
              <w14:schemeClr w14:val="tx1"/>
            </w14:solidFill>
          </w14:textFill>
        </w:rPr>
        <w:t xml:space="preserve">技术部分</w:t>
      </w:r>
      <w:r>
        <w:rPr>
          <w:rFonts w:hint="eastAsia" w:ascii="宋体" w:hAnsi="宋体" w:cs="宋体"/>
          <w:color w:val="000000" w:themeColor="text1"/>
          <w:szCs w:val="21"/>
          <w:highlight w:val="none"/>
          <w:lang w:val="zh-CN"/>
          <w14:textFill>
            <w14:solidFill>
              <w14:schemeClr w14:val="tx1"/>
            </w14:solidFill>
          </w14:textFill>
        </w:rPr>
        <w:t xml:space="preserve">）优劣顺序排列。</w:t>
      </w:r>
      <w:r/>
    </w:p>
    <w:p>
      <w:pPr>
        <w:pStyle w:val="839"/>
        <w:ind w:firstLine="422"/>
        <w:spacing w:line="360" w:lineRule="auto"/>
        <w:tabs>
          <w:tab w:val="right" w:pos="8953" w:leader="none"/>
        </w:tabs>
        <w:rPr>
          <w:rFonts w:hAnsi="宋体" w:cs="宋体"/>
          <w:b/>
          <w:color w:val="000000" w:themeColor="text1"/>
          <w:highlight w:val="none"/>
          <w14:textFill>
            <w14:solidFill>
              <w14:schemeClr w14:val="tx1"/>
            </w14:solidFill>
          </w14:textFill>
        </w:rPr>
        <w:outlineLvl w:val="1"/>
      </w:pPr>
      <w:r>
        <w:rPr>
          <w:rFonts w:hint="eastAsia" w:hAnsi="宋体" w:cs="宋体"/>
          <w:b/>
          <w:color w:val="000000" w:themeColor="text1"/>
          <w:highlight w:val="none"/>
          <w14:textFill>
            <w14:solidFill>
              <w14:schemeClr w14:val="tx1"/>
            </w14:solidFill>
          </w14:textFill>
        </w:rPr>
        <w:t xml:space="preserve">二、评分标准：</w:t>
      </w:r>
      <w:r/>
    </w:p>
    <w:tbl>
      <w:tblPr>
        <w:tblStyle w:val="8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087"/>
        <w:gridCol w:w="7875"/>
        <w:gridCol w:w="697"/>
      </w:tblGrid>
      <w:tr>
        <w:trPr>
          <w:jc w:val="center"/>
          <w:trHeight w:val="511"/>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评分项目</w:t>
            </w:r>
            <w:r/>
          </w:p>
        </w:tc>
        <w:tc>
          <w:tcPr>
            <w:shd w:val="clear" w:color="auto" w:fill="auto"/>
            <w:tcBorders>
              <w:top w:val="single" w:color="auto" w:sz="4" w:space="0"/>
              <w:left w:val="none" w:color="000000" w:sz="4" w:space="0"/>
              <w:bottom w:val="single" w:color="auto" w:sz="4" w:space="0"/>
              <w:right w:val="single" w:color="auto" w:sz="4" w:space="0"/>
            </w:tcBorders>
            <w:tcW w:w="7875"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评分细则</w:t>
            </w:r>
            <w:r/>
          </w:p>
        </w:tc>
        <w:tc>
          <w:tcPr>
            <w:shd w:val="clear" w:color="auto" w:fill="auto"/>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分值</w:t>
            </w:r>
            <w:r/>
          </w:p>
        </w:tc>
      </w:tr>
      <w:tr>
        <w:trPr>
          <w:jc w:val="center"/>
          <w:trHeight w:val="511"/>
        </w:trPr>
        <w:tc>
          <w:tcPr>
            <w:gridSpan w:val="3"/>
            <w:shd w:val="clear" w:color="auto" w:fill="auto"/>
            <w:tcBorders>
              <w:top w:val="single" w:color="auto" w:sz="4" w:space="0"/>
              <w:left w:val="single" w:color="auto" w:sz="4" w:space="0"/>
              <w:bottom w:val="single" w:color="auto" w:sz="4" w:space="0"/>
              <w:right w:val="single" w:color="auto" w:sz="4" w:space="0"/>
            </w:tcBorders>
            <w:tcW w:w="9659"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14:textFill>
                  <w14:solidFill>
                    <w14:schemeClr w14:val="tx1"/>
                  </w14:solidFill>
                </w14:textFill>
              </w:rPr>
              <w:t xml:space="preserve">价格部分（10分）</w:t>
            </w:r>
            <w:r/>
          </w:p>
        </w:tc>
      </w:tr>
      <w:tr>
        <w:trPr>
          <w:jc w:val="center"/>
          <w:trHeight w:val="1118"/>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报价部分</w:t>
            </w:r>
            <w:r/>
          </w:p>
        </w:tc>
        <w:tc>
          <w:tcPr>
            <w:shd w:val="clear" w:color="auto" w:fill="auto"/>
            <w:tcBorders>
              <w:top w:val="single" w:color="auto" w:sz="4" w:space="0"/>
              <w:left w:val="none" w:color="000000" w:sz="4" w:space="0"/>
              <w:bottom w:val="single" w:color="auto" w:sz="4" w:space="0"/>
              <w:right w:val="single" w:color="auto" w:sz="4" w:space="0"/>
            </w:tcBorders>
            <w:tcW w:w="7875" w:type="dxa"/>
            <w:vAlign w:val="center"/>
            <w:textDirection w:val="lrTb"/>
            <w:noWrap w:val="false"/>
          </w:tcPr>
          <w:p>
            <w:pPr>
              <w:pStyle w:val="858"/>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满足招标文件要求且投标价格最低的有效投标报价为评标基准价，其价格分为满分10分。其他投标人的价格分统一按照下列公式计算：投标报价得分=（评标基准价/投标报价）*10，结果保留两位小数。</w:t>
            </w:r>
            <w:r/>
          </w:p>
        </w:tc>
        <w:tc>
          <w:tcPr>
            <w:shd w:val="clear" w:color="auto" w:fill="auto"/>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10分</w:t>
            </w:r>
            <w:r/>
          </w:p>
        </w:tc>
      </w:tr>
      <w:tr>
        <w:trPr>
          <w:jc w:val="center"/>
          <w:trHeight w:val="541"/>
        </w:trPr>
        <w:tc>
          <w:tcPr>
            <w:gridSpan w:val="3"/>
            <w:shd w:val="clear" w:color="auto" w:fill="auto"/>
            <w:tcBorders>
              <w:top w:val="single" w:color="auto" w:sz="4" w:space="0"/>
              <w:left w:val="single" w:color="auto" w:sz="4" w:space="0"/>
              <w:bottom w:val="single" w:color="auto" w:sz="4" w:space="0"/>
              <w:right w:val="single" w:color="auto" w:sz="4" w:space="0"/>
            </w:tcBorders>
            <w:tcW w:w="9659"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14:textFill>
                  <w14:solidFill>
                    <w14:schemeClr w14:val="tx1"/>
                  </w14:solidFill>
                </w14:textFill>
              </w:rPr>
              <w:t xml:space="preserve">商务部分（48分）</w:t>
            </w:r>
            <w:r/>
          </w:p>
        </w:tc>
      </w:tr>
      <w:tr>
        <w:trPr>
          <w:jc w:val="center"/>
          <w:trHeight w:val="1290"/>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服务响应</w:t>
            </w:r>
            <w:r/>
          </w:p>
        </w:tc>
        <w:tc>
          <w:tcPr>
            <w:shd w:val="clear" w:color="auto" w:fill="auto"/>
            <w:tcBorders>
              <w:top w:val="single" w:color="auto" w:sz="4" w:space="0"/>
              <w:left w:val="single" w:color="auto" w:sz="4" w:space="0"/>
              <w:bottom w:val="single" w:color="auto" w:sz="4" w:space="0"/>
              <w:right w:val="single" w:color="auto" w:sz="4" w:space="0"/>
            </w:tcBorders>
            <w:tcW w:w="7875" w:type="dxa"/>
            <w:vAlign w:val="center"/>
            <w:textDirection w:val="lrTb"/>
            <w:noWrap w:val="false"/>
          </w:tcPr>
          <w:p>
            <w:pPr>
              <w:jc w:val="left"/>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供应商对采购文件第四章的响应程度：全部响应即满足招标文件第四章中“（第二部分：技术部分）”及“（第三部分：商务部分）”所有内容，得25分。其中★项为实质性要求，如有负偏离按无效响应处理；▲项为重要指标，每一项负偏离扣2分；其余项，每一项负偏离扣1分，扣完为止。</w:t>
            </w:r>
            <w:r/>
          </w:p>
          <w:p>
            <w:pPr>
              <w:ind w:firstLine="482"/>
              <w:jc w:val="left"/>
              <w:widowControl/>
              <w:rPr>
                <w:rFonts w:ascii="宋体" w:hAnsi="宋体" w:cs="宋体"/>
                <w:color w:val="000000" w:themeColor="text1"/>
                <w:sz w:val="24"/>
                <w:szCs w:val="24"/>
                <w:highlight w:val="none"/>
                <w14:textFill>
                  <w14:solidFill>
                    <w14:schemeClr w14:val="tx1"/>
                  </w14:solidFill>
                </w14:textFill>
                <w14:ligatures w14:val="standardContextual"/>
              </w:rPr>
            </w:pPr>
            <w:r>
              <w:rPr>
                <w:rFonts w:hint="eastAsia" w:ascii="宋体" w:hAnsi="宋体" w:cs="宋体"/>
                <w:b/>
                <w:bCs/>
                <w:color w:val="000000" w:themeColor="text1"/>
                <w:sz w:val="24"/>
                <w:szCs w:val="24"/>
                <w:highlight w:val="none"/>
                <w14:textFill>
                  <w14:solidFill>
                    <w14:schemeClr w14:val="tx1"/>
                  </w14:solidFill>
                </w14:textFill>
              </w:rPr>
              <w:t xml:space="preserve">供应商需在《技术条款偏离表》或《商务条款偏离表》中进行响应。</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25分</w:t>
            </w:r>
            <w:r/>
          </w:p>
        </w:tc>
      </w:tr>
      <w:tr>
        <w:trPr>
          <w:jc w:val="center"/>
          <w:trHeight w:val="1423"/>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7875" w:type="dxa"/>
            <w:vAlign w:val="center"/>
            <w:textDirection w:val="lrTb"/>
            <w:noWrap w:val="false"/>
          </w:tcPr>
          <w:p>
            <w:pPr>
              <w:pStyle w:val="858"/>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投标人2023年9月1日以来承担过与本项目采购需求类似的建设或运营类业绩，每提供一份得3分，本项最高得9分。</w:t>
            </w:r>
            <w:r/>
          </w:p>
          <w:p>
            <w:pPr>
              <w:pStyle w:val="858"/>
              <w:spacing w:line="240" w:lineRule="auto"/>
              <w:rPr>
                <w:rFonts w:cs="宋体"/>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14:textFill>
                  <w14:solidFill>
                    <w14:schemeClr w14:val="tx1"/>
                  </w14:solidFill>
                </w14:textFill>
              </w:rPr>
              <w:t xml:space="preserve">提供服务合同扫描件并加盖公章，时间以合同签订时间为准。</w:t>
            </w:r>
            <w:r/>
          </w:p>
        </w:tc>
        <w:tc>
          <w:tcPr>
            <w:shd w:val="clear" w:color="auto" w:fill="auto"/>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9分</w:t>
            </w:r>
            <w:r/>
          </w:p>
        </w:tc>
      </w:tr>
      <w:tr>
        <w:trPr>
          <w:jc w:val="center"/>
          <w:trHeight w:val="1498"/>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管理体系保障</w:t>
            </w:r>
            <w:r/>
          </w:p>
        </w:tc>
        <w:tc>
          <w:tcPr>
            <w:shd w:val="clear" w:color="auto" w:fill="auto"/>
            <w:tcBorders>
              <w:top w:val="single" w:color="auto" w:sz="4" w:space="0"/>
              <w:left w:val="none" w:color="000000" w:sz="4" w:space="0"/>
              <w:bottom w:val="single" w:color="auto" w:sz="4" w:space="0"/>
              <w:right w:val="single" w:color="auto" w:sz="4" w:space="0"/>
            </w:tcBorders>
            <w:tcW w:w="7875" w:type="dxa"/>
            <w:vAlign w:val="center"/>
            <w:textDirection w:val="lrTb"/>
            <w:noWrap w:val="false"/>
          </w:tcPr>
          <w:p>
            <w:pPr>
              <w:pStyle w:val="858"/>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投标人具有①质量管理体系认证证书，得2分；②信息技术服务管理体系认证证书或信息安全管理体系认证证书，得2分；最多得4分。</w:t>
            </w:r>
            <w:r/>
          </w:p>
          <w:p>
            <w:pPr>
              <w:pStyle w:val="858"/>
              <w:spacing w:line="240" w:lineRule="auto"/>
              <w:rPr>
                <w:rFonts w:cs="宋体"/>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14:textFill>
                  <w14:solidFill>
                    <w14:schemeClr w14:val="tx1"/>
                  </w14:solidFill>
                </w14:textFill>
              </w:rPr>
              <w:t xml:space="preserve">提供有效证书扫描件并加盖公章，未提供或未按要求提供不得分。</w:t>
            </w:r>
            <w:r/>
          </w:p>
        </w:tc>
        <w:tc>
          <w:tcPr>
            <w:shd w:val="clear" w:color="auto" w:fill="auto"/>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4分</w:t>
            </w:r>
            <w:r/>
          </w:p>
        </w:tc>
      </w:tr>
      <w:tr>
        <w:trPr>
          <w:jc w:val="center"/>
          <w:trHeight w:val="1860"/>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技术能力保障</w:t>
            </w:r>
            <w:r/>
          </w:p>
        </w:tc>
        <w:tc>
          <w:tcPr>
            <w:shd w:val="clear" w:color="auto" w:fill="auto"/>
            <w:tcBorders>
              <w:top w:val="single" w:color="auto" w:sz="4" w:space="0"/>
              <w:left w:val="none" w:color="000000" w:sz="4" w:space="0"/>
              <w:bottom w:val="single" w:color="auto" w:sz="4" w:space="0"/>
              <w:right w:val="single" w:color="auto" w:sz="4" w:space="0"/>
            </w:tcBorders>
            <w:tcW w:w="7875" w:type="dxa"/>
            <w:vAlign w:val="center"/>
            <w:textDirection w:val="lrTb"/>
            <w:noWrap w:val="false"/>
          </w:tcPr>
          <w:p>
            <w:pPr>
              <w:pStyle w:val="858"/>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投标人具有与本项目相关研发内容的软件著作权，与紧急呼叫或数字化管理或智能化运营或电子健康档案管理系统等相关的软件著作权证书，提供1</w:t>
            </w:r>
            <w:r>
              <w:rPr>
                <w:rFonts w:hint="eastAsia" w:cs="宋体"/>
                <w:color w:val="000000" w:themeColor="text1"/>
                <w:sz w:val="24"/>
                <w:szCs w:val="24"/>
                <w:highlight w:val="none"/>
                <w:lang w:val="en-US" w:eastAsia="zh-CN"/>
                <w14:textFill>
                  <w14:solidFill>
                    <w14:schemeClr w14:val="tx1"/>
                  </w14:solidFill>
                </w14:textFill>
              </w:rPr>
              <w:t xml:space="preserve">种</w:t>
            </w:r>
            <w:r>
              <w:rPr>
                <w:rFonts w:hint="eastAsia" w:cs="宋体"/>
                <w:color w:val="000000" w:themeColor="text1"/>
                <w:sz w:val="24"/>
                <w:szCs w:val="24"/>
                <w:highlight w:val="none"/>
                <w14:textFill>
                  <w14:solidFill>
                    <w14:schemeClr w14:val="tx1"/>
                  </w14:solidFill>
                </w14:textFill>
              </w:rPr>
              <w:t xml:space="preserve">得2分，最高4分。</w:t>
            </w:r>
            <w:r/>
          </w:p>
          <w:p>
            <w:pPr>
              <w:pStyle w:val="858"/>
              <w:spacing w:line="240" w:lineRule="auto"/>
              <w:rPr>
                <w:rFonts w:cs="宋体"/>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14:textFill>
                  <w14:solidFill>
                    <w14:schemeClr w14:val="tx1"/>
                  </w14:solidFill>
                </w14:textFill>
              </w:rPr>
              <w:t xml:space="preserve">提供有效证书扫描件并加盖公章，未提供或未按要求不得分。</w:t>
            </w:r>
            <w:r/>
          </w:p>
        </w:tc>
        <w:tc>
          <w:tcPr>
            <w:shd w:val="clear" w:color="auto" w:fill="auto"/>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4分</w:t>
            </w:r>
            <w:r/>
          </w:p>
        </w:tc>
      </w:tr>
      <w:tr>
        <w:trPr>
          <w:jc w:val="center"/>
          <w:trHeight w:val="1460"/>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项目组负责人</w:t>
            </w:r>
            <w:r/>
          </w:p>
        </w:tc>
        <w:tc>
          <w:tcPr>
            <w:shd w:val="clear" w:color="auto" w:fill="auto"/>
            <w:tcBorders>
              <w:top w:val="single" w:color="auto" w:sz="4" w:space="0"/>
              <w:left w:val="none" w:color="000000" w:sz="4" w:space="0"/>
              <w:bottom w:val="single" w:color="auto" w:sz="4" w:space="0"/>
              <w:right w:val="single" w:color="auto" w:sz="4" w:space="0"/>
            </w:tcBorders>
            <w:tcW w:w="7875" w:type="dxa"/>
            <w:vAlign w:val="center"/>
            <w:textDirection w:val="lrTb"/>
            <w:noWrap w:val="false"/>
          </w:tcPr>
          <w:p>
            <w:pPr>
              <w:pStyle w:val="858"/>
              <w:jc w:val="left"/>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投标人拟投入本项目的项目组负责人具有系统架构设计师证的，得2分；</w:t>
            </w:r>
            <w:r/>
          </w:p>
          <w:p>
            <w:pPr>
              <w:pStyle w:val="858"/>
              <w:jc w:val="left"/>
              <w:spacing w:line="240" w:lineRule="auto"/>
              <w:rPr>
                <w:rFonts w:cs="宋体"/>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14:textFill>
                  <w14:solidFill>
                    <w14:schemeClr w14:val="tx1"/>
                  </w14:solidFill>
                </w14:textFill>
              </w:rPr>
              <w:t xml:space="preserve">提供证书及投标人近半年（2026年4月-2026年9月）任意一个月为其缴纳的社会保险证明材料加盖公章。</w:t>
            </w:r>
            <w:r/>
          </w:p>
        </w:tc>
        <w:tc>
          <w:tcPr>
            <w:shd w:val="clear" w:color="auto" w:fill="auto"/>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2分</w:t>
            </w:r>
            <w:r/>
          </w:p>
        </w:tc>
      </w:tr>
      <w:tr>
        <w:trPr>
          <w:jc w:val="center"/>
          <w:trHeight w:val="1188"/>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团队人员</w:t>
            </w:r>
            <w:r/>
          </w:p>
        </w:tc>
        <w:tc>
          <w:tcPr>
            <w:shd w:val="clear" w:color="auto" w:fill="auto"/>
            <w:tcBorders>
              <w:top w:val="single" w:color="auto" w:sz="4" w:space="0"/>
              <w:left w:val="none" w:color="000000" w:sz="4" w:space="0"/>
              <w:bottom w:val="single" w:color="auto" w:sz="4" w:space="0"/>
              <w:right w:val="single" w:color="auto" w:sz="4" w:space="0"/>
            </w:tcBorders>
            <w:tcW w:w="7875" w:type="dxa"/>
            <w:vAlign w:val="center"/>
            <w:textDirection w:val="lrTb"/>
            <w:noWrap w:val="false"/>
          </w:tcPr>
          <w:p>
            <w:pPr>
              <w:pStyle w:val="858"/>
              <w:ind w:firstLine="480"/>
              <w:jc w:val="left"/>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投标人拟投入本项目的团队人员（项目组负责人除外）：</w:t>
            </w:r>
            <w:r/>
          </w:p>
          <w:p>
            <w:pPr>
              <w:pStyle w:val="858"/>
              <w:ind w:firstLine="480"/>
              <w:jc w:val="left"/>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1、具有计算机或软件相关专业毕业（或学历）证书的，得1分/人，满分2分；</w:t>
            </w:r>
            <w:r/>
          </w:p>
          <w:p>
            <w:pPr>
              <w:pStyle w:val="858"/>
              <w:ind w:firstLine="480"/>
              <w:jc w:val="left"/>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2、具有养老护理员或社会工作师相关证书，得1分/人，满分2分。</w:t>
            </w:r>
            <w:r/>
          </w:p>
          <w:p>
            <w:pPr>
              <w:pStyle w:val="858"/>
              <w:ind w:firstLine="482"/>
              <w:jc w:val="left"/>
              <w:spacing w:line="240" w:lineRule="auto"/>
              <w:rPr>
                <w:rFonts w:cs="宋体"/>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14:textFill>
                  <w14:solidFill>
                    <w14:schemeClr w14:val="tx1"/>
                  </w14:solidFill>
                </w14:textFill>
              </w:rPr>
              <w:t xml:space="preserve">提供相关证书及投标人近半年（2026年4月-2026年9月）任意一个月为其缴纳的社会保险证明材料加盖公章，同一人员证书不重复计取。</w:t>
            </w:r>
            <w:r/>
          </w:p>
        </w:tc>
        <w:tc>
          <w:tcPr>
            <w:shd w:val="clear" w:color="auto" w:fill="auto"/>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4分</w:t>
            </w:r>
            <w:r/>
          </w:p>
        </w:tc>
      </w:tr>
      <w:tr>
        <w:trPr>
          <w:jc w:val="center"/>
          <w:trHeight w:val="571"/>
        </w:trPr>
        <w:tc>
          <w:tcPr>
            <w:gridSpan w:val="3"/>
            <w:shd w:val="clear" w:color="auto" w:fill="auto"/>
            <w:tcBorders>
              <w:top w:val="single" w:color="auto" w:sz="4" w:space="0"/>
              <w:left w:val="single" w:color="auto" w:sz="4" w:space="0"/>
              <w:bottom w:val="single" w:color="auto" w:sz="4" w:space="0"/>
              <w:right w:val="single" w:color="auto" w:sz="4" w:space="0"/>
            </w:tcBorders>
            <w:tcW w:w="9659"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14:textFill>
                  <w14:solidFill>
                    <w14:schemeClr w14:val="tx1"/>
                  </w14:solidFill>
                </w14:textFill>
              </w:rPr>
              <w:t xml:space="preserve">技术部分（42分）</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平台核心功能响应方案</w:t>
            </w:r>
            <w:r/>
          </w:p>
        </w:tc>
        <w:tc>
          <w:tcPr>
            <w:shd w:val="clear" w:color="auto" w:fill="auto"/>
            <w:tcBorders>
              <w:top w:val="single" w:color="auto" w:sz="4" w:space="0"/>
              <w:left w:val="none" w:color="000000" w:sz="4" w:space="0"/>
              <w:bottom w:val="single" w:color="auto" w:sz="4" w:space="0"/>
              <w:right w:val="single" w:color="auto" w:sz="4" w:space="0"/>
            </w:tcBorders>
            <w:tcW w:w="7875" w:type="dxa"/>
            <w:vAlign w:val="center"/>
            <w:textDirection w:val="lrTb"/>
            <w:noWrap w:val="false"/>
          </w:tcPr>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根据供应商所提供的平台核心功能响应方案（包括但不限于对核心功能的理解与实现方式、对项目预期目标的分析、对各功能可用性的保障措施等）进行评审：</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对项目内容的理解准确，整体方案可行性高，满足本项目任务要求：9分；</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对项目内容的理解比较准确，整体方案可行性较高，基本满足本项目任务要求：6分；</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对项目任务的理解不够准确，整体方案可行性不足，不能完全满足本项目任务要求：3分；</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未提供：0分。</w:t>
            </w:r>
            <w:r/>
          </w:p>
        </w:tc>
        <w:tc>
          <w:tcPr>
            <w:shd w:val="clear" w:color="auto" w:fill="auto"/>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9分</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呼叫中心运营管理方案</w:t>
            </w:r>
            <w:r/>
          </w:p>
        </w:tc>
        <w:tc>
          <w:tcPr>
            <w:shd w:val="clear" w:color="auto" w:fill="auto"/>
            <w:tcBorders>
              <w:top w:val="single" w:color="auto" w:sz="4" w:space="0"/>
              <w:left w:val="none" w:color="000000" w:sz="4" w:space="0"/>
              <w:bottom w:val="single" w:color="auto" w:sz="4" w:space="0"/>
              <w:right w:val="single" w:color="auto" w:sz="4" w:space="0"/>
            </w:tcBorders>
            <w:tcW w:w="7875" w:type="dxa"/>
            <w:vAlign w:val="center"/>
            <w:textDirection w:val="lrTb"/>
            <w:noWrap w:val="false"/>
          </w:tcPr>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根据供应商所提供的呼叫中心运营管理方案（包括但不限于业务流程设置、运营人员管理、综合保障措施等）进行评审：</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呼叫中心运营管理方案考虑全面，专业性、系统性强，操作可行，满足本项目任务要求：9分；</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呼叫中心运营管理方案考虑较为全面，专业性、系统性较高，操作较为可行，基本满足本项目任务要求：6分；</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呼叫中心运营管理方案考虑不全，专业性、系统性不强，操作可行性差，不能完全满足本项目任务要求：3分；</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未提供：0分。</w:t>
            </w:r>
            <w:r/>
          </w:p>
        </w:tc>
        <w:tc>
          <w:tcPr>
            <w:shd w:val="clear" w:color="auto" w:fill="auto"/>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9分</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数据保密方案</w:t>
            </w:r>
            <w:r/>
          </w:p>
        </w:tc>
        <w:tc>
          <w:tcPr>
            <w:shd w:val="clear" w:color="auto" w:fill="auto"/>
            <w:tcBorders>
              <w:top w:val="single" w:color="auto" w:sz="4" w:space="0"/>
              <w:left w:val="none" w:color="000000" w:sz="4" w:space="0"/>
              <w:bottom w:val="single" w:color="auto" w:sz="4" w:space="0"/>
              <w:right w:val="single" w:color="auto" w:sz="4" w:space="0"/>
            </w:tcBorders>
            <w:tcW w:w="7875" w:type="dxa"/>
            <w:vAlign w:val="center"/>
            <w:textDirection w:val="lrTb"/>
            <w:noWrap w:val="false"/>
          </w:tcPr>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根据供应商所提供的数据保密方案（包括但不限于保密制度、保密培训、保密技术措施等）进行评审：</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数据保密方案齐全、可行，满足本项目任务要求：8分；</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数据保密方案较为齐全、可行，基本满足本项目任务要求：5分；</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数据保密方案不齐全、可行差，不能完全满足本项目任务要求：2分；</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未提供：0分。</w:t>
            </w:r>
            <w:r/>
          </w:p>
        </w:tc>
        <w:tc>
          <w:tcPr>
            <w:shd w:val="clear" w:color="auto" w:fill="auto"/>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bookmarkStart w:id="40" w:name="OLE_LINK5"/>
            <w:r>
              <w:rPr>
                <w:rFonts w:hint="eastAsia" w:cs="宋体"/>
                <w:color w:val="000000" w:themeColor="text1"/>
                <w:sz w:val="24"/>
                <w:szCs w:val="24"/>
                <w:highlight w:val="none"/>
                <w14:textFill>
                  <w14:solidFill>
                    <w14:schemeClr w14:val="tx1"/>
                  </w14:solidFill>
                </w14:textFill>
              </w:rPr>
              <w:t xml:space="preserve">8分</w:t>
            </w:r>
            <w:bookmarkEnd w:id="40"/>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平台监管方案</w:t>
            </w:r>
            <w:r/>
          </w:p>
        </w:tc>
        <w:tc>
          <w:tcPr>
            <w:shd w:val="clear" w:color="auto" w:fill="auto"/>
            <w:tcBorders>
              <w:top w:val="single" w:color="auto" w:sz="4" w:space="0"/>
              <w:left w:val="none" w:color="000000" w:sz="4" w:space="0"/>
              <w:bottom w:val="single" w:color="auto" w:sz="4" w:space="0"/>
              <w:right w:val="single" w:color="auto" w:sz="4" w:space="0"/>
            </w:tcBorders>
            <w:tcW w:w="7875" w:type="dxa"/>
            <w:textDirection w:val="lrTb"/>
            <w:noWrap w:val="false"/>
          </w:tcPr>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根据供应商所提供的平台监管方案（包括但不限于监管制度、人员培训、监管措施等）进行评审：</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投标人提供的平台监管方案内容详细全面，针对性及合理性强，满足本项目任务要求：8分；</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内容较详细全面，针对性及合理性较强，基本满足本项目任务要求：5分；</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内容不全面，针对性及合理性差，不能完全满足本项目任务要求：2分；</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未提供：0分。</w:t>
            </w:r>
            <w:r/>
          </w:p>
        </w:tc>
        <w:tc>
          <w:tcPr>
            <w:shd w:val="clear" w:color="auto" w:fill="auto"/>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8分</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应急预案及安全保障措施</w:t>
            </w:r>
            <w:r/>
          </w:p>
        </w:tc>
        <w:tc>
          <w:tcPr>
            <w:shd w:val="clear" w:color="auto" w:fill="auto"/>
            <w:tcBorders>
              <w:top w:val="single" w:color="auto" w:sz="4" w:space="0"/>
              <w:left w:val="none" w:color="000000" w:sz="4" w:space="0"/>
              <w:bottom w:val="single" w:color="auto" w:sz="4" w:space="0"/>
              <w:right w:val="single" w:color="auto" w:sz="4" w:space="0"/>
            </w:tcBorders>
            <w:tcW w:w="7875" w:type="dxa"/>
            <w:vAlign w:val="center"/>
            <w:textDirection w:val="lrTb"/>
            <w:noWrap w:val="false"/>
          </w:tcPr>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根据供应商所提供的应急预案及安全保障措施（包括但不限于常见突发情况分析、应急保障措施及预案、安全保障手段等）进行评审：</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方案科学、严密、合理，具有针对性，满足本项目任务要求：8分；</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方案较合理、严密，具有一定的针对性，基本满足本项目任务要求：5分；</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方案合理性不足，针对性弱，不能完全满足本项目任务要求：2分；</w:t>
            </w:r>
            <w:r/>
          </w:p>
          <w:p>
            <w:pPr>
              <w:pStyle w:val="858"/>
              <w:ind w:firstLine="480"/>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未提供：0分。</w:t>
            </w:r>
            <w:r/>
          </w:p>
        </w:tc>
        <w:tc>
          <w:tcPr>
            <w:shd w:val="clear" w:color="auto" w:fill="auto"/>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pStyle w:val="858"/>
              <w:ind w:firstLine="0"/>
              <w:jc w:val="center"/>
              <w:spacing w:line="24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8分</w:t>
            </w:r>
            <w:r/>
          </w:p>
        </w:tc>
      </w:tr>
    </w:tbl>
    <w:p>
      <w:pP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说明：</w:t>
      </w:r>
      <w:r/>
    </w:p>
    <w:p>
      <w:pPr>
        <w:ind w:firstLine="4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ind w:firstLine="4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2.对小微企业生产的产品给予投标价的10%价格扣除，用扣除后的价格参与评审。</w:t>
      </w:r>
      <w:r/>
    </w:p>
    <w:p>
      <w:pPr>
        <w:ind w:firstLine="4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大中型企业和其他自然人、法人或者其他组织与小型、微型企业组成联合体共同参加投标，如果联合协议中约定，小型、微型企业的协议合同金额占到联合体协议合同总金额30%以上的，给予联合体2%的价格扣除。联合体各方均为中小型、微型企业的，联合体视同为小型、微型企业享受10%价格扣除，用扣除后的价格参与评审。</w:t>
      </w:r>
      <w:r/>
    </w:p>
    <w:p>
      <w:pPr>
        <w:ind w:firstLine="4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小企业（含小型、微型企业）应当同时符合以下条件：</w:t>
      </w:r>
      <w:r/>
    </w:p>
    <w:p>
      <w:pPr>
        <w:ind w:firstLine="4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（1）供应商为小企业，且符合中小企业划分标准；</w:t>
      </w:r>
      <w:r/>
    </w:p>
    <w:p>
      <w:pPr>
        <w:ind w:firstLine="4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（2）提供本企业制造的货物、承担的工程或者服务，或者提供其他小企业制造的货物。如果提供的货物为大中型企业注册商标的货物，视同大中型企业。</w:t>
      </w:r>
      <w:r/>
    </w:p>
    <w:p>
      <w:pPr>
        <w:ind w:firstLine="4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2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6.所有认证、证明和业绩均以有效的证明文件的复印件加盖公章</w:t>
      </w:r>
      <w:r/>
    </w:p>
    <w:p>
      <w:pPr>
        <w:spacing w:line="360" w:lineRule="auto"/>
        <w:tabs>
          <w:tab w:val="left" w:pos="1050" w:leader="none"/>
        </w:tabs>
        <w:rPr>
          <w:rFonts w:ascii="宋体" w:hAnsi="宋体" w:cs="宋体"/>
          <w:b/>
          <w:color w:val="000000" w:themeColor="text1"/>
          <w:sz w:val="24"/>
          <w:szCs w:val="24"/>
          <w:highlight w:val="none"/>
          <w:lang w:val="zh-CN"/>
          <w14:textFill>
            <w14:solidFill>
              <w14:schemeClr w14:val="tx1"/>
            </w14:solidFill>
          </w14:textFill>
        </w:rPr>
        <w:sectPr>
          <w:footnotePr/>
          <w:endnotePr/>
          <w:type w:val="nextPage"/>
          <w:pgSz w:w="11906" w:h="16838" w:orient="portrait"/>
          <w:pgMar w:top="850" w:right="850" w:bottom="850" w:left="1417" w:header="0" w:footer="680" w:gutter="0"/>
          <w:cols w:num="1" w:sep="0" w:space="720" w:equalWidth="1"/>
          <w:docGrid w:linePitch="360"/>
        </w:sectPr>
      </w:pPr>
      <w:r>
        <w:rPr>
          <w:rFonts w:ascii="宋体" w:hAnsi="宋体" w:cs="宋体"/>
          <w:b/>
          <w:color w:val="000000" w:themeColor="text1"/>
          <w:sz w:val="24"/>
          <w:szCs w:val="24"/>
          <w:highlight w:val="none"/>
          <w:lang w:val="zh-CN"/>
          <w14:textFill>
            <w14:solidFill>
              <w14:schemeClr w14:val="tx1"/>
            </w14:solidFill>
          </w14:textFill>
        </w:rPr>
      </w:r>
      <w:r/>
    </w:p>
    <w:p>
      <w:pPr>
        <w:jc w:val="center"/>
        <w:spacing w:line="360" w:lineRule="auto"/>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第四章 竞争性磋商需求及要求</w:t>
      </w:r>
      <w:r/>
    </w:p>
    <w:p>
      <w:pPr>
        <w:jc w:val="center"/>
        <w:spacing w:line="360" w:lineRule="auto"/>
        <w:rPr>
          <w:rFonts w:ascii="宋体" w:hAnsi="宋体" w:cs="宋体"/>
          <w:b/>
          <w:color w:val="000000" w:themeColor="text1"/>
          <w:sz w:val="2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1"/>
          <w:highlight w:val="none"/>
          <w14:textFill>
            <w14:solidFill>
              <w14:schemeClr w14:val="tx1"/>
            </w14:solidFill>
          </w14:textFill>
        </w:rPr>
        <w:t xml:space="preserve">（第一部分：项目概况）</w:t>
      </w:r>
      <w:r/>
    </w:p>
    <w:p>
      <w:pPr>
        <w:ind w:firstLine="480"/>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一、项目内容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项目背景与概况：</w:t>
      </w:r>
      <w:r>
        <w:rPr>
          <w:rFonts w:hint="eastAsia" w:ascii="宋体" w:hAnsi="宋体" w:cs="宋体"/>
          <w:color w:val="000000" w:themeColor="text1"/>
          <w:sz w:val="24"/>
          <w:szCs w:val="24"/>
          <w:highlight w:val="none"/>
          <w14:textFill>
            <w14:solidFill>
              <w14:schemeClr w14:val="tx1"/>
            </w14:solidFill>
          </w14:textFill>
        </w:rPr>
        <w:t xml:space="preserve">根据《中共中央国务院关于深化养老服务改革发展的意见》，拟采购鼓楼区养老服务质量指导中心日常运营服务，本项</w:t>
      </w:r>
      <w:r>
        <w:rPr>
          <w:rFonts w:hint="eastAsia" w:ascii="宋体" w:hAnsi="宋体" w:cs="宋体"/>
          <w:color w:val="000000" w:themeColor="text1"/>
          <w:sz w:val="24"/>
          <w:szCs w:val="24"/>
          <w:highlight w:val="none"/>
          <w14:textFill>
            <w14:solidFill>
              <w14:schemeClr w14:val="tx1"/>
            </w14:solidFill>
          </w14:textFill>
        </w:rPr>
        <w:t xml:space="preserve">目旨在深度整合全区养老服务资源，构建统一高效的管理指挥体系，利用智能化手段强化服务监管精度与安全保障能力，精准匹配和高效触达老年群体的服务需求，驱动养老服务模式的转型升级，并通过全域数据的汇聚分析与深度应用，为养老政策的精准制定、资源的科学配置以及服务供给的持续优化提供强有力支撑。构建响应迅速、服务精准、监管有力、体验优良的区域养老服务新格局，切实增强全区老年人的获得感、幸福感与安全感。项目主要服务内容为：指导中心运营、指导中心硬件运维、紧急呼叫中心运营、智慧驾驶舱迭代升级、智慧驾驶舱运营、智库中心运营等。</w:t>
      </w:r>
      <w:r/>
    </w:p>
    <w:p>
      <w:pPr>
        <w:jc w:val="center"/>
        <w:spacing w:line="360" w:lineRule="auto"/>
        <w:rPr>
          <w:rFonts w:ascii="宋体" w:hAnsi="宋体" w:cs="宋体"/>
          <w:b/>
          <w:color w:val="000000" w:themeColor="text1"/>
          <w:sz w:val="2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1"/>
          <w:highlight w:val="none"/>
          <w14:textFill>
            <w14:solidFill>
              <w14:schemeClr w14:val="tx1"/>
            </w14:solidFill>
          </w14:textFill>
        </w:rPr>
        <w:t xml:space="preserve">（第二部分：技术部分）</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二、技术要求</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（一）平台具体功能需求</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1、指导中心运营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本项目需建立业务指挥调度中心，要求如下: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（1）提供培训指导服务：负责开展养老服务标准化建设指导，完善服务流程、工作规范和相关制度。针对管理人员及一线工作人员开展分类培训，结合实际工作需要做好人才培养和队伍建设。</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（2）提供技术监管服务：供应商需整合机构运营、服务过程、服务质量等数据，做好日常监管和数据分析。通过服务核验、考核评价等方式及时发现问题，形成相关评价结果和改进建议。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（3）优化资源链接服务：提供老年人综合咨询服务，做好养老政策、服务项目及相关资源的咨询和转介。完善银发顾问服务，加强上下级之间的业务沟通和资源对接，做好相关事项的衔接办理。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（4）完善宣传推广服务：供应商应积极搭建养老服务行业交流平台，组织开展经验交流、案例分享等活动。做好养老服务宣传和典型经验总结，形成可推广的案例和成果，助力项目品牌建设。</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(5)其他工作:配合甲方完成其他工作。</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2、指导中心硬件运维</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（1）中心全域智能化设备年度维保</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维保需覆盖指导中心全套硬件，包含指挥调度大屏、触控一体机、专业音响功放系统、全套会议音视频设备、信号传输配套硬件、控制主机及周边附属配套设施。</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（2）视频会议设备配套建设运营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完成设备常态化巡检、参数调优、故障排查，统筹整套视频会议系统的链路布线、点位优化、设备安装、系统调试、故障修复，配套线缆、接头等辅材统一纳入服务范围。</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（3）服务器存储扩容运维</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承担 SAS 服务器硬盘、存储阵列设备日常运维管理，维护管理移动固态备份硬盘，落实养老业务核心数据离线安全备份机制，定期巡检服务器机房环境。</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3、紧急呼叫中心运营</w:t>
      </w:r>
      <w:r/>
    </w:p>
    <w:p>
      <w:pPr>
        <w:ind w:firstLine="480"/>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（1）紧急呼叫服务（需服务人员约4000人）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（1.1）提供紧急呼叫设备，定期确认设备可靠使用，2年内免费维护;</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（1.2）有专业的呼叫系统平台和24小时接受呼叫的服务人员;</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（1.3）为老年人建立“家庭、社区、社会、市场”四级应急救助体系，登记该老年人的生活自理能力数据，至少每半年更新一次信息;</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（1.4）响应日常生活紧急呼叫服务;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（1.5）对于危及生命的紧急呼叫，应立即转介至120急救系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（1.6）对于重点空巢、独居及其他“双老”家庭老人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（1.7）定实施关爱探访。</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★（1.8）本项服务单项限价20元/人/月，报价超过单项限价为无效响应。</w:t>
      </w:r>
      <w:r/>
    </w:p>
    <w:p>
      <w:pPr>
        <w:ind w:firstLine="480"/>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（2）服务质量抽检回访</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及相关服务</w:t>
      </w:r>
      <w:r>
        <w:rPr>
          <w:rFonts w:hint="eastAsia" w:ascii="宋体" w:hAnsi="宋体" w:cs="宋体"/>
          <w:b/>
          <w:bCs/>
          <w:color w:val="000000" w:themeColor="text1"/>
          <w:sz w:val="24"/>
          <w:szCs w:val="24"/>
          <w:highlight w:val="none"/>
          <w14:textFill>
            <w14:solidFill>
              <w14:schemeClr w14:val="tx1"/>
            </w14:solidFill>
          </w14:textFill>
        </w:rPr>
        <w:t xml:space="preserve">（需服务约60000次）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（2.1）供应商需7×24 小时承接养老服务热线进线，受理养老政策咨询、老人诉求反馈、投诉建议、居家养老服务申请等各类业务，做到诉求登记、分流转办、跟进督办、结果反馈全流程闭环管理。通过电话回访、线上工单核验方式，对居家上门服务开展常态化质量抽查，梳理汇总服务质量问题，形成问题整改台账。</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★（2.2）本项服务单项限价2元/次，报价超过单项限价为无效响应。</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4、智慧驾驶舱迭代升级</w:t>
      </w:r>
      <w:r/>
    </w:p>
    <w:tbl>
      <w:tblPr>
        <w:tblStyle w:val="8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926"/>
        <w:gridCol w:w="770"/>
        <w:gridCol w:w="7393"/>
      </w:tblGrid>
      <w:tr>
        <w:trPr>
          <w:jc w:val="center"/>
          <w:trHeight w:val="591"/>
        </w:trPr>
        <w:tc>
          <w:tcPr>
            <w:tcW w:w="704" w:type="dxa"/>
            <w:vAlign w:val="center"/>
            <w:textDirection w:val="lrTb"/>
            <w:noWrap w:val="false"/>
          </w:tcPr>
          <w:p>
            <w:pPr>
              <w:pStyle w:val="858"/>
              <w:ind w:firstLine="0"/>
              <w:jc w:val="center"/>
              <w:rPr>
                <w:rFonts w:cs="宋体"/>
                <w:b/>
                <w:bCs/>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14:textFill>
                  <w14:solidFill>
                    <w14:schemeClr w14:val="tx1"/>
                  </w14:solidFill>
                </w14:textFill>
              </w:rPr>
              <w:t xml:space="preserve">序号</w:t>
            </w:r>
            <w:r/>
          </w:p>
        </w:tc>
        <w:tc>
          <w:tcPr>
            <w:gridSpan w:val="2"/>
            <w:tcW w:w="1559" w:type="dxa"/>
            <w:vAlign w:val="center"/>
            <w:textDirection w:val="lrTb"/>
            <w:noWrap w:val="false"/>
          </w:tcPr>
          <w:p>
            <w:pPr>
              <w:pStyle w:val="858"/>
              <w:ind w:firstLine="0"/>
              <w:jc w:val="center"/>
              <w:rPr>
                <w:rFonts w:cs="宋体"/>
                <w:b/>
                <w:bCs/>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14:textFill>
                  <w14:solidFill>
                    <w14:schemeClr w14:val="tx1"/>
                  </w14:solidFill>
                </w14:textFill>
              </w:rPr>
              <w:t xml:space="preserve">功能模块</w:t>
            </w:r>
            <w:r/>
          </w:p>
        </w:tc>
        <w:tc>
          <w:tcPr>
            <w:tcW w:w="6797" w:type="dxa"/>
            <w:vAlign w:val="center"/>
            <w:textDirection w:val="lrTb"/>
            <w:noWrap w:val="false"/>
          </w:tcPr>
          <w:p>
            <w:pPr>
              <w:pStyle w:val="858"/>
              <w:ind w:firstLine="0"/>
              <w:jc w:val="center"/>
              <w:rPr>
                <w:rFonts w:cs="宋体"/>
                <w:b/>
                <w:bCs/>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14:textFill>
                  <w14:solidFill>
                    <w14:schemeClr w14:val="tx1"/>
                  </w14:solidFill>
                </w14:textFill>
              </w:rPr>
              <w:t xml:space="preserve">技术参数</w:t>
            </w:r>
            <w:r/>
          </w:p>
        </w:tc>
      </w:tr>
      <w:tr>
        <w:trPr>
          <w:jc w:val="center"/>
        </w:trPr>
        <w:tc>
          <w:tcPr>
            <w:tcW w:w="704" w:type="dxa"/>
            <w:vAlign w:val="center"/>
            <w:textDirection w:val="lrTb"/>
            <w:noWrap w:val="false"/>
          </w:tcPr>
          <w:p>
            <w:pPr>
              <w:pStyle w:val="858"/>
              <w:ind w:firstLine="0"/>
              <w:jc w:val="center"/>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1</w:t>
            </w:r>
            <w:r/>
          </w:p>
        </w:tc>
        <w:tc>
          <w:tcPr>
            <w:tcW w:w="851" w:type="dxa"/>
            <w:vAlign w:val="center"/>
            <w:vMerge w:val="restart"/>
            <w:textDirection w:val="lrTb"/>
            <w:noWrap w:val="false"/>
          </w:tcPr>
          <w:p>
            <w:pPr>
              <w:pStyle w:val="858"/>
              <w:ind w:firstLine="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AI 数字系统</w:t>
            </w:r>
            <w:r/>
          </w:p>
        </w:tc>
        <w:tc>
          <w:tcPr>
            <w:tcW w:w="708" w:type="dxa"/>
            <w:vAlign w:val="center"/>
            <w:vMerge w:val="restart"/>
            <w:textDirection w:val="lrTb"/>
            <w:noWrap w:val="false"/>
          </w:tcPr>
          <w:p>
            <w:pPr>
              <w:pStyle w:val="858"/>
              <w:ind w:firstLine="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AI 数字人</w:t>
            </w:r>
            <w:r/>
          </w:p>
        </w:tc>
        <w:tc>
          <w:tcPr>
            <w:tcW w:w="6797" w:type="dxa"/>
            <w:vAlign w:val="center"/>
            <w:textDirection w:val="lrTb"/>
            <w:noWrap w:val="false"/>
          </w:tcPr>
          <w:p>
            <w:pPr>
              <w:pStyle w:val="858"/>
              <w:ind w:firstLine="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AI 养老服务顾问</w:t>
            </w:r>
            <w:r/>
          </w:p>
          <w:p>
            <w:pPr>
              <w:pStyle w:val="858"/>
              <w:ind w:firstLine="0"/>
              <w:rPr>
                <w:rFonts w:cs="宋体"/>
                <w:color w:val="000000" w:themeColor="text1"/>
                <w:sz w:val="24"/>
                <w:szCs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w:t>
            </w:r>
            <w:r>
              <w:rPr>
                <w:rFonts w:hint="eastAsia" w:cs="宋体"/>
                <w:color w:val="000000" w:themeColor="text1"/>
                <w:sz w:val="24"/>
                <w:szCs w:val="24"/>
                <w:highlight w:val="none"/>
                <w14:textFill>
                  <w14:solidFill>
                    <w14:schemeClr w14:val="tx1"/>
                  </w14:solidFill>
                </w14:textFill>
              </w:rPr>
              <w:t xml:space="preserve">①养老服务知识库构建：具有养老政策文件、办事指南、服务目录、补贴申领规则、机构资质信息、常见问题解答等全品类资料归集功能，可进行分级分类梳理，具有知识库动态更新机制。</w:t>
            </w:r>
            <w:r/>
          </w:p>
          <w:p>
            <w:pPr>
              <w:pStyle w:val="858"/>
              <w:ind w:firstLine="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②大模型智能问答引擎：构建专属 AI 养老服务顾问智能体，支持语音、文字多形式提问。</w:t>
            </w:r>
            <w:r/>
          </w:p>
          <w:p>
            <w:pPr>
              <w:pStyle w:val="858"/>
              <w:ind w:firstLine="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③智能政策匹配与主动推荐：基于老人多维数字画像，整合年龄、健康状况、经济条件、居住情况、能力等级、家庭结构等核心标签，自动测算匹配老人可享受的养老政策、补贴项目与服务资源；建立主动推送机制。</w:t>
            </w:r>
            <w:r/>
          </w:p>
        </w:tc>
      </w:tr>
      <w:tr>
        <w:trPr>
          <w:jc w:val="center"/>
        </w:trPr>
        <w:tc>
          <w:tcPr>
            <w:tcW w:w="704" w:type="dxa"/>
            <w:vAlign w:val="center"/>
            <w:textDirection w:val="lrTb"/>
            <w:noWrap w:val="false"/>
          </w:tcPr>
          <w:p>
            <w:pPr>
              <w:pStyle w:val="858"/>
              <w:ind w:firstLine="0"/>
              <w:jc w:val="center"/>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w:t>
            </w:r>
            <w:r/>
          </w:p>
        </w:tc>
        <w:tc>
          <w:tcPr>
            <w:tcW w:w="851" w:type="dxa"/>
            <w:vAlign w:val="center"/>
            <w:vMerge w:val="continue"/>
            <w:textDirection w:val="lrTb"/>
            <w:noWrap w:val="false"/>
          </w:tcPr>
          <w:p>
            <w:pPr>
              <w:pStyle w:val="858"/>
              <w:ind w:firstLine="0"/>
              <w:rPr>
                <w:rFonts w:cs="宋体"/>
                <w:color w:val="000000" w:themeColor="text1"/>
                <w:sz w:val="24"/>
                <w:szCs w:val="24"/>
                <w:highlight w:val="none"/>
                <w14:textFill>
                  <w14:solidFill>
                    <w14:schemeClr w14:val="tx1"/>
                  </w14:solidFill>
                </w14:textFill>
              </w:rPr>
            </w:pPr>
            <w:r>
              <w:rPr>
                <w:rFonts w:cs="宋体"/>
                <w:color w:val="000000" w:themeColor="text1"/>
                <w:sz w:val="24"/>
                <w:szCs w:val="24"/>
                <w:highlight w:val="none"/>
                <w14:textFill>
                  <w14:solidFill>
                    <w14:schemeClr w14:val="tx1"/>
                  </w14:solidFill>
                </w14:textFill>
              </w:rPr>
            </w:r>
            <w:r/>
          </w:p>
        </w:tc>
        <w:tc>
          <w:tcPr>
            <w:tcW w:w="708" w:type="dxa"/>
            <w:vAlign w:val="center"/>
            <w:vMerge w:val="continue"/>
            <w:textDirection w:val="lrTb"/>
            <w:noWrap w:val="false"/>
          </w:tcPr>
          <w:p>
            <w:pPr>
              <w:pStyle w:val="858"/>
              <w:ind w:firstLine="0"/>
              <w:rPr>
                <w:rFonts w:cs="宋体"/>
                <w:color w:val="000000" w:themeColor="text1"/>
                <w:sz w:val="24"/>
                <w:szCs w:val="24"/>
                <w:highlight w:val="none"/>
                <w14:textFill>
                  <w14:solidFill>
                    <w14:schemeClr w14:val="tx1"/>
                  </w14:solidFill>
                </w14:textFill>
              </w:rPr>
            </w:pPr>
            <w:r>
              <w:rPr>
                <w:rFonts w:cs="宋体"/>
                <w:color w:val="000000" w:themeColor="text1"/>
                <w:sz w:val="24"/>
                <w:szCs w:val="24"/>
                <w:highlight w:val="none"/>
                <w14:textFill>
                  <w14:solidFill>
                    <w14:schemeClr w14:val="tx1"/>
                  </w14:solidFill>
                </w14:textFill>
              </w:rPr>
            </w:r>
            <w:r/>
          </w:p>
        </w:tc>
        <w:tc>
          <w:tcPr>
            <w:tcW w:w="6797" w:type="dxa"/>
            <w:vAlign w:val="center"/>
            <w:textDirection w:val="lrTb"/>
            <w:noWrap w:val="false"/>
          </w:tcPr>
          <w:p>
            <w:pPr>
              <w:pStyle w:val="858"/>
              <w:ind w:firstLine="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老人数字画像构建</w:t>
            </w:r>
            <w:r/>
          </w:p>
          <w:p>
            <w:pPr>
              <w:pStyle w:val="858"/>
              <w:ind w:firstLine="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供应商需构建覆盖基础属性、健康状况、能力等级、服务需求、风险标签五大维度的动态老人“数字画像”。画像数据应能够实时迭代，支撑风险预警、精准服务、资源调配与个性化关怀，严格落实数据隐私保护规范。</w:t>
            </w:r>
            <w:r/>
          </w:p>
        </w:tc>
      </w:tr>
      <w:tr>
        <w:trPr>
          <w:jc w:val="center"/>
          <w:trHeight w:val="2067"/>
        </w:trPr>
        <w:tc>
          <w:tcPr>
            <w:tcW w:w="704" w:type="dxa"/>
            <w:vAlign w:val="center"/>
            <w:textDirection w:val="lrTb"/>
            <w:noWrap w:val="false"/>
          </w:tcPr>
          <w:p>
            <w:pPr>
              <w:pStyle w:val="858"/>
              <w:ind w:firstLine="0"/>
              <w:jc w:val="center"/>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3</w:t>
            </w:r>
            <w:r/>
          </w:p>
        </w:tc>
        <w:tc>
          <w:tcPr>
            <w:tcW w:w="851" w:type="dxa"/>
            <w:vAlign w:val="center"/>
            <w:vMerge w:val="continue"/>
            <w:textDirection w:val="lrTb"/>
            <w:noWrap w:val="false"/>
          </w:tcPr>
          <w:p>
            <w:pPr>
              <w:pStyle w:val="858"/>
              <w:ind w:firstLine="0"/>
              <w:rPr>
                <w:rFonts w:cs="宋体"/>
                <w:color w:val="000000" w:themeColor="text1"/>
                <w:sz w:val="24"/>
                <w:szCs w:val="24"/>
                <w:highlight w:val="none"/>
                <w14:textFill>
                  <w14:solidFill>
                    <w14:schemeClr w14:val="tx1"/>
                  </w14:solidFill>
                </w14:textFill>
              </w:rPr>
            </w:pPr>
            <w:r>
              <w:rPr>
                <w:rFonts w:cs="宋体"/>
                <w:color w:val="000000" w:themeColor="text1"/>
                <w:sz w:val="24"/>
                <w:szCs w:val="24"/>
                <w:highlight w:val="none"/>
                <w14:textFill>
                  <w14:solidFill>
                    <w14:schemeClr w14:val="tx1"/>
                  </w14:solidFill>
                </w14:textFill>
              </w:rPr>
            </w:r>
            <w:r/>
          </w:p>
        </w:tc>
        <w:tc>
          <w:tcPr>
            <w:tcW w:w="708" w:type="dxa"/>
            <w:vAlign w:val="center"/>
            <w:vMerge w:val="continue"/>
            <w:textDirection w:val="lrTb"/>
            <w:noWrap w:val="false"/>
          </w:tcPr>
          <w:p>
            <w:pPr>
              <w:pStyle w:val="858"/>
              <w:ind w:firstLine="0"/>
              <w:rPr>
                <w:rFonts w:cs="宋体"/>
                <w:color w:val="000000" w:themeColor="text1"/>
                <w:sz w:val="24"/>
                <w:szCs w:val="24"/>
                <w:highlight w:val="none"/>
                <w14:textFill>
                  <w14:solidFill>
                    <w14:schemeClr w14:val="tx1"/>
                  </w14:solidFill>
                </w14:textFill>
              </w:rPr>
            </w:pPr>
            <w:r>
              <w:rPr>
                <w:rFonts w:cs="宋体"/>
                <w:color w:val="000000" w:themeColor="text1"/>
                <w:sz w:val="24"/>
                <w:szCs w:val="24"/>
                <w:highlight w:val="none"/>
                <w14:textFill>
                  <w14:solidFill>
                    <w14:schemeClr w14:val="tx1"/>
                  </w14:solidFill>
                </w14:textFill>
              </w:rPr>
            </w:r>
            <w:r/>
          </w:p>
        </w:tc>
        <w:tc>
          <w:tcPr>
            <w:tcW w:w="6797" w:type="dxa"/>
            <w:vAlign w:val="center"/>
            <w:textDirection w:val="lrTb"/>
            <w:noWrap w:val="false"/>
          </w:tcPr>
          <w:p>
            <w:pPr>
              <w:pStyle w:val="858"/>
              <w:ind w:firstLine="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智能匹配算法引擎</w:t>
            </w:r>
            <w:r/>
          </w:p>
          <w:p>
            <w:pPr>
              <w:pStyle w:val="858"/>
              <w:ind w:firstLine="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算法应能够综合老人画像需求、服务人员技能资质、服务距离、时段适配、历史服务评价、工单饱和度等多维度因素，自动匹配最优服务人员与服务项目，实现供需精准对接；建立算法持续迭代机制。</w:t>
            </w:r>
            <w:r/>
          </w:p>
        </w:tc>
      </w:tr>
      <w:tr>
        <w:trPr>
          <w:jc w:val="center"/>
          <w:trHeight w:val="2142"/>
        </w:trPr>
        <w:tc>
          <w:tcPr>
            <w:tcW w:w="704" w:type="dxa"/>
            <w:vAlign w:val="center"/>
            <w:textDirection w:val="lrTb"/>
            <w:noWrap w:val="false"/>
          </w:tcPr>
          <w:p>
            <w:pPr>
              <w:pStyle w:val="858"/>
              <w:ind w:firstLine="0"/>
              <w:jc w:val="center"/>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4</w:t>
            </w:r>
            <w:r/>
          </w:p>
        </w:tc>
        <w:tc>
          <w:tcPr>
            <w:tcW w:w="851" w:type="dxa"/>
            <w:vAlign w:val="center"/>
            <w:vMerge w:val="continue"/>
            <w:textDirection w:val="lrTb"/>
            <w:noWrap w:val="false"/>
          </w:tcPr>
          <w:p>
            <w:pPr>
              <w:pStyle w:val="858"/>
              <w:ind w:firstLine="0"/>
              <w:rPr>
                <w:rFonts w:cs="宋体"/>
                <w:color w:val="000000" w:themeColor="text1"/>
                <w:sz w:val="24"/>
                <w:szCs w:val="24"/>
                <w:highlight w:val="none"/>
                <w14:textFill>
                  <w14:solidFill>
                    <w14:schemeClr w14:val="tx1"/>
                  </w14:solidFill>
                </w14:textFill>
              </w:rPr>
            </w:pPr>
            <w:r>
              <w:rPr>
                <w:rFonts w:cs="宋体"/>
                <w:color w:val="000000" w:themeColor="text1"/>
                <w:sz w:val="24"/>
                <w:szCs w:val="24"/>
                <w:highlight w:val="none"/>
                <w14:textFill>
                  <w14:solidFill>
                    <w14:schemeClr w14:val="tx1"/>
                  </w14:solidFill>
                </w14:textFill>
              </w:rPr>
            </w:r>
            <w:r/>
          </w:p>
        </w:tc>
        <w:tc>
          <w:tcPr>
            <w:tcW w:w="708" w:type="dxa"/>
            <w:vAlign w:val="center"/>
            <w:vMerge w:val="continue"/>
            <w:textDirection w:val="lrTb"/>
            <w:noWrap w:val="false"/>
          </w:tcPr>
          <w:p>
            <w:pPr>
              <w:pStyle w:val="858"/>
              <w:ind w:firstLine="0"/>
              <w:rPr>
                <w:rFonts w:cs="宋体"/>
                <w:color w:val="000000" w:themeColor="text1"/>
                <w:sz w:val="24"/>
                <w:szCs w:val="24"/>
                <w:highlight w:val="none"/>
                <w14:textFill>
                  <w14:solidFill>
                    <w14:schemeClr w14:val="tx1"/>
                  </w14:solidFill>
                </w14:textFill>
              </w:rPr>
            </w:pPr>
            <w:r>
              <w:rPr>
                <w:rFonts w:cs="宋体"/>
                <w:color w:val="000000" w:themeColor="text1"/>
                <w:sz w:val="24"/>
                <w:szCs w:val="24"/>
                <w:highlight w:val="none"/>
                <w14:textFill>
                  <w14:solidFill>
                    <w14:schemeClr w14:val="tx1"/>
                  </w14:solidFill>
                </w14:textFill>
              </w:rPr>
            </w:r>
            <w:r/>
          </w:p>
        </w:tc>
        <w:tc>
          <w:tcPr>
            <w:tcW w:w="6797" w:type="dxa"/>
            <w:vAlign w:val="center"/>
            <w:textDirection w:val="lrTb"/>
            <w:noWrap w:val="false"/>
          </w:tcPr>
          <w:p>
            <w:pPr>
              <w:pStyle w:val="858"/>
              <w:ind w:firstLine="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AI 互动大屏</w:t>
            </w:r>
            <w:r/>
          </w:p>
          <w:p>
            <w:pPr>
              <w:pStyle w:val="858"/>
              <w:ind w:firstLine="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大屏应内置语音智能问答助手，支持监管人员通过自然语言问答形式，自动完成全区养老服务多维度数据分析、指标统计、趋势研判，同步生成可视化图表与简明分析结论。</w:t>
            </w:r>
            <w:r/>
          </w:p>
        </w:tc>
      </w:tr>
      <w:tr>
        <w:trPr>
          <w:jc w:val="center"/>
        </w:trPr>
        <w:tc>
          <w:tcPr>
            <w:tcW w:w="704" w:type="dxa"/>
            <w:vAlign w:val="center"/>
            <w:textDirection w:val="lrTb"/>
            <w:noWrap w:val="false"/>
          </w:tcPr>
          <w:p>
            <w:pPr>
              <w:pStyle w:val="858"/>
              <w:ind w:firstLine="0"/>
              <w:jc w:val="center"/>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5</w:t>
            </w:r>
            <w:r/>
          </w:p>
        </w:tc>
        <w:tc>
          <w:tcPr>
            <w:tcW w:w="851" w:type="dxa"/>
            <w:vAlign w:val="center"/>
            <w:vMerge w:val="continue"/>
            <w:textDirection w:val="lrTb"/>
            <w:noWrap w:val="false"/>
          </w:tcPr>
          <w:p>
            <w:pPr>
              <w:pStyle w:val="858"/>
              <w:ind w:firstLine="0"/>
              <w:rPr>
                <w:rFonts w:cs="宋体"/>
                <w:color w:val="000000" w:themeColor="text1"/>
                <w:sz w:val="24"/>
                <w:szCs w:val="24"/>
                <w:highlight w:val="none"/>
                <w14:textFill>
                  <w14:solidFill>
                    <w14:schemeClr w14:val="tx1"/>
                  </w14:solidFill>
                </w14:textFill>
              </w:rPr>
            </w:pPr>
            <w:r>
              <w:rPr>
                <w:rFonts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pStyle w:val="858"/>
              <w:ind w:firstLine="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智能稽核</w:t>
            </w:r>
            <w:r/>
          </w:p>
        </w:tc>
        <w:tc>
          <w:tcPr>
            <w:tcW w:w="6797" w:type="dxa"/>
            <w:vAlign w:val="center"/>
            <w:textDirection w:val="lrTb"/>
            <w:noWrap w:val="false"/>
          </w:tcPr>
          <w:p>
            <w:pPr>
              <w:pStyle w:val="858"/>
              <w:ind w:firstLine="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具有分析服务图片功能，建立稽核结果全闭环管理机制。</w:t>
            </w:r>
            <w:r/>
          </w:p>
        </w:tc>
      </w:tr>
    </w:tbl>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5、智慧驾驶舱运营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（1）技术支持：支持账号管理、系统培训、售后服务等功能。</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（2）数据归集与异常数据标记：支持死亡数据归集、特殊老人数据归集、定期开展异常数据专项复盘。</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（3）数据对接与数据推送：</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数据对接：对接市民卡公司全量刷卡数据，包括站点日间照料服务数据、助餐服务数据；对接银联助餐业务全量交易数据；对接鼓楼数字民政平台；对接区发改委“一网统管”平台，配合完成平台建设要求；建立数据对接常态化巡检机制。</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2）数据推送：完成居家上门服务工单的规范推送工作；整理高质量考核的名单；配合市抽查回访工作，对异常数据，对接服务组织，完成数据整改工作；建立数据推送全流程台账。</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（4）数据统计与数据分析</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1）根据采购人的业务管理、考核、决策需求，对80周岁照护服务、政府养老扶助对象照护服务、助餐服务、家庭养老床位服务、探访关爱服务、日间照料服务等全业务线数据进行多维度汇总统计；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2）出具养老服务数据分析报告，根据民政临时性、专项性工作需求，对平台各项服务数据、业务数据、资金数据进行专项分析，建立数据预警机制。</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（5）协助资金管理：配合采购人资金管理、建立资金相关台账管理机制等。</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（6）系统运维：能够实现日常监控与告警、故障排查与恢复、备份与容灾；定期更新系统补丁、修复漏洞；建立运维自动化体系。</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6、智库中心运营：</w:t>
      </w:r>
      <w:r>
        <w:rPr>
          <w:rFonts w:hint="eastAsia" w:ascii="宋体" w:hAnsi="宋体" w:cs="宋体"/>
          <w:color w:val="000000" w:themeColor="text1"/>
          <w:sz w:val="24"/>
          <w:szCs w:val="24"/>
          <w:highlight w:val="none"/>
          <w14:textFill>
            <w14:solidFill>
              <w14:schemeClr w14:val="tx1"/>
            </w14:solidFill>
          </w14:textFill>
        </w:rPr>
        <w:t xml:space="preserve">具备政策研究与行业研判职能，包含政策梳理、行业调研、任务指标监测研判等；行业监管与标准化指导职能，包含全域主体业务指导、安全常态化巡查督查、服务质量监管、行业标准建设等。</w:t>
      </w:r>
      <w:r/>
    </w:p>
    <w:p>
      <w:pPr>
        <w:ind w:firstLine="480"/>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三、项目组成员要求</w:t>
      </w:r>
      <w:r/>
    </w:p>
    <w:tbl>
      <w:tblPr>
        <w:tblStyle w:val="828"/>
        <w:tblW w:w="484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890"/>
        <w:gridCol w:w="7663"/>
      </w:tblGrid>
      <w:tr>
        <w:trPr>
          <w:jc w:val="center"/>
          <w:trHeight w:val="420"/>
        </w:trPr>
        <w:tc>
          <w:tcPr>
            <w:tcMar>
              <w:left w:w="108" w:type="dxa"/>
              <w:top w:w="0" w:type="dxa"/>
              <w:right w:w="108" w:type="dxa"/>
              <w:bottom w:w="0" w:type="dxa"/>
            </w:tcMar>
            <w:tcW w:w="989" w:type="pct"/>
            <w:vAlign w:val="center"/>
            <w:textDirection w:val="lrTb"/>
            <w:noWrap w:val="false"/>
          </w:tcPr>
          <w:p>
            <w:pPr>
              <w:pStyle w:val="858"/>
              <w:ind w:firstLine="0"/>
              <w:jc w:val="center"/>
              <w:rPr>
                <w:rFonts w:cs="宋体"/>
                <w:b/>
                <w:bCs/>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项目组负责人</w:t>
            </w:r>
            <w:r/>
          </w:p>
        </w:tc>
        <w:tc>
          <w:tcPr>
            <w:tcMar>
              <w:left w:w="108" w:type="dxa"/>
              <w:top w:w="0" w:type="dxa"/>
              <w:right w:w="108" w:type="dxa"/>
              <w:bottom w:w="0" w:type="dxa"/>
            </w:tcMar>
            <w:tcW w:w="4010" w:type="pct"/>
            <w:vAlign w:val="center"/>
            <w:textDirection w:val="lrTb"/>
            <w:noWrap w:val="false"/>
          </w:tcPr>
          <w:p>
            <w:pPr>
              <w:pStyle w:val="858"/>
              <w:rPr>
                <w:rFonts w:cs="宋体"/>
                <w:color w:val="000000" w:themeColor="text1"/>
                <w:sz w:val="24"/>
                <w:szCs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w:t>
            </w:r>
            <w:r>
              <w:rPr>
                <w:rFonts w:hint="eastAsia" w:cs="宋体"/>
                <w:color w:val="000000" w:themeColor="text1"/>
                <w:sz w:val="24"/>
                <w:szCs w:val="24"/>
                <w:highlight w:val="none"/>
                <w14:textFill>
                  <w14:solidFill>
                    <w14:schemeClr w14:val="tx1"/>
                  </w14:solidFill>
                </w14:textFill>
              </w:rPr>
              <w:t xml:space="preserve">项目组负责人1名，负责项目全流程管控（规划、执行、交付、风险管理），监督开发测试与验收，确保平台数据安全合规，处理系统级故障与投诉；需熟悉政府项目管理流程及养老政策。</w:t>
            </w:r>
            <w:r/>
          </w:p>
        </w:tc>
      </w:tr>
      <w:tr>
        <w:trPr>
          <w:jc w:val="center"/>
          <w:trHeight w:val="420"/>
        </w:trPr>
        <w:tc>
          <w:tcPr>
            <w:tcMar>
              <w:left w:w="108" w:type="dxa"/>
              <w:top w:w="0" w:type="dxa"/>
              <w:right w:w="108" w:type="dxa"/>
              <w:bottom w:w="0" w:type="dxa"/>
            </w:tcMar>
            <w:tcW w:w="989" w:type="pct"/>
            <w:vAlign w:val="center"/>
            <w:textDirection w:val="lrTb"/>
            <w:noWrap w:val="false"/>
          </w:tcPr>
          <w:p>
            <w:pPr>
              <w:pStyle w:val="858"/>
              <w:ind w:firstLine="0"/>
              <w:jc w:val="center"/>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项目组支持人员</w:t>
            </w:r>
            <w:r/>
          </w:p>
        </w:tc>
        <w:tc>
          <w:tcPr>
            <w:tcMar>
              <w:left w:w="108" w:type="dxa"/>
              <w:top w:w="0" w:type="dxa"/>
              <w:right w:w="108" w:type="dxa"/>
              <w:bottom w:w="0" w:type="dxa"/>
            </w:tcMar>
            <w:tcW w:w="4010" w:type="pct"/>
            <w:vAlign w:val="center"/>
            <w:textDirection w:val="lrTb"/>
            <w:noWrap w:val="false"/>
          </w:tcPr>
          <w:p>
            <w:pPr>
              <w:pStyle w:val="858"/>
              <w:rPr>
                <w:rFonts w:cs="宋体"/>
                <w:color w:val="000000" w:themeColor="text1"/>
                <w:sz w:val="24"/>
                <w:szCs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w:t>
            </w:r>
            <w:r>
              <w:rPr>
                <w:rFonts w:hint="eastAsia" w:cs="宋体"/>
                <w:color w:val="000000" w:themeColor="text1"/>
                <w:sz w:val="24"/>
                <w:szCs w:val="24"/>
                <w:highlight w:val="none"/>
                <w14:textFill>
                  <w14:solidFill>
                    <w14:schemeClr w14:val="tx1"/>
                  </w14:solidFill>
                </w14:textFill>
              </w:rPr>
              <w:t xml:space="preserve">项目组支持人员不低于10人，承担技术支持（功能测试、BUG跟踪、运维问题排查、材料准备）、售后支持（咨询响应、操作培训、用户手册编写）及综合辅助（需求文档整理、数据校对）工作。</w:t>
            </w:r>
            <w:r/>
          </w:p>
        </w:tc>
      </w:tr>
    </w:tbl>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★四、保密及售后</w:t>
      </w:r>
      <w:r/>
    </w:p>
    <w:p>
      <w:pPr>
        <w:ind w:left="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（1）保密要求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供应商必须对项目技术文件以及由采购人提供的所有内部资料、技术文档、数据和信息予以保密。</w:t>
      </w:r>
      <w:r>
        <w:rPr>
          <w:rFonts w:hint="eastAsia"/>
          <w:color w:val="000000" w:themeColor="text1"/>
          <w:sz w:val="24"/>
          <w:szCs w:val="24"/>
          <w:highlight w:val="none"/>
          <w14:textFill>
            <w14:solidFill>
              <w14:schemeClr w14:val="tx1"/>
            </w14:solidFill>
          </w14:textFill>
        </w:rPr>
        <w:t xml:space="preserve">合同签订前，中标供应商需与采购人签订保密协议</w:t>
      </w:r>
      <w:r>
        <w:rPr>
          <w:rFonts w:hint="eastAsia" w:ascii="宋体" w:hAnsi="宋体" w:cs="宋体"/>
          <w:color w:val="000000" w:themeColor="text1"/>
          <w:sz w:val="24"/>
          <w:szCs w:val="24"/>
          <w:highlight w:val="none"/>
          <w14:textFill>
            <w14:solidFill>
              <w14:schemeClr w14:val="tx1"/>
            </w14:solidFill>
          </w14:textFill>
        </w:rPr>
        <w:t xml:space="preserve">，未经采购人书面许可，中标供应商不得以任何形式向第三方透露本项目标的任何内容。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供应商需建立并维护一套完善的数据安全管理体系，包括但不限于数据脱敏管理、数据安全策略等，确保数据在采集、存储、传输和使用的全生命周期内的安全性。</w:t>
      </w:r>
      <w:r/>
    </w:p>
    <w:p>
      <w:pPr>
        <w:ind w:left="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（2）售后要求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供应商为本次项目提供全天候技术响应和服务，在合同期内，如果发生因供应商监管不力造成的事故责任、或者其他工作失误，由此所产生的一切责任由供应商承担。</w:t>
      </w:r>
      <w:r/>
    </w:p>
    <w:p>
      <w:pPr>
        <w:jc w:val="center"/>
        <w:spacing w:line="360" w:lineRule="auto"/>
        <w:rPr>
          <w:rFonts w:ascii="宋体" w:hAnsi="宋体" w:cs="宋体"/>
          <w:b/>
          <w:color w:val="000000" w:themeColor="text1"/>
          <w:sz w:val="2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szCs w:val="21"/>
          <w:highlight w:val="none"/>
          <w14:textFill>
            <w14:solidFill>
              <w14:schemeClr w14:val="tx1"/>
            </w14:solidFill>
          </w14:textFill>
        </w:rPr>
      </w:r>
      <w:r/>
    </w:p>
    <w:p>
      <w:pPr>
        <w:jc w:val="center"/>
        <w:spacing w:line="360" w:lineRule="auto"/>
        <w:rPr>
          <w:rFonts w:ascii="宋体" w:hAnsi="宋体" w:cs="宋体"/>
          <w:b/>
          <w:color w:val="000000" w:themeColor="text1"/>
          <w:sz w:val="2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1"/>
          <w:highlight w:val="none"/>
          <w:lang w:val="zh-CN"/>
          <w14:textFill>
            <w14:solidFill>
              <w14:schemeClr w14:val="tx1"/>
            </w14:solidFill>
          </w14:textFill>
        </w:rPr>
        <w:t xml:space="preserve">★</w:t>
      </w:r>
      <w:r>
        <w:rPr>
          <w:rFonts w:hint="eastAsia" w:ascii="宋体" w:hAnsi="宋体" w:cs="宋体"/>
          <w:b/>
          <w:color w:val="000000" w:themeColor="text1"/>
          <w:sz w:val="28"/>
          <w:szCs w:val="21"/>
          <w:highlight w:val="none"/>
          <w14:textFill>
            <w14:solidFill>
              <w14:schemeClr w14:val="tx1"/>
            </w14:solidFill>
          </w14:textFill>
        </w:rPr>
        <w:t xml:space="preserve">（第三部分：商务部分）</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五、验收标准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系统上线完成后，成交供应商应当对系统进行功能和性能检测，以确认实施项目符合要求并可以正常运行后，成交供应商向采购人提出验收申请。由采购人组织使用科室对系统进行验收。</w:t>
      </w:r>
      <w:r/>
    </w:p>
    <w:p>
      <w:pPr>
        <w:ind w:firstLine="480"/>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六、其他商务要求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1、合同履行期限：1年。</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2、报价说明</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（1）供应商需全额承担中心全部运营开支（每月房租、物业费、固定水电费、设备采购、办公设备及耗材、人员薪酬、社保、税费等），全部费用包含在年度合同价款内，采购人不额外付费。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请供应商认真测算，报价应包含但不限于：设计、制作、运输、安装、售后服务、人工、服务时间、工资社保及各项税金等；此外，项目实施过程中所需的采购文件中未列出的辅料、设备折旧等其他一切费用应由供应商在报价时一并考虑，项目实施过程中不再单独结算。</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（3）本章“3、紧急呼叫中心运营”中“（1）紧急呼叫服务”服务费，采购人据实结算，向中标供应商支付。</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（4）本章“3、紧急呼叫中心运营”中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（2）服务质量抽检回访</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及相关服务</w:t>
      </w:r>
      <w:r>
        <w:rPr>
          <w:rFonts w:hint="eastAsia" w:ascii="宋体" w:hAnsi="宋体" w:cs="宋体"/>
          <w:color w:val="000000" w:themeColor="text1"/>
          <w:sz w:val="24"/>
          <w:szCs w:val="24"/>
          <w:highlight w:val="none"/>
          <w14:textFill>
            <w14:solidFill>
              <w14:schemeClr w14:val="tx1"/>
            </w14:solidFill>
          </w14:textFill>
        </w:rPr>
        <w:t xml:space="preserve">”服务费，采购人据实结算，向中标供应商支付。</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（5）本项目除本项（3）、（4）内容外，剩余部分总价包干。</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3、付款方式</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1）项目合同签订后，支付合同款总价的10%；</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（2）合同签订6个月后，支付至合同款总价款项的50%；</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（3）服务期满后，经采购人整体验收合格后，据实支付尾款。</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（4）每次付款前成交供应商须提供等额发票，否则采购人有权拒绝付款。</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hd w:val="nil" w:color="auto"/>
        <w:rPr>
          <w:rFonts w:ascii="宋体" w:hAnsi="宋体" w:cs="宋体"/>
          <w:sz w:val="36"/>
          <w:szCs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br w:type="page" w:clear="all"/>
      </w:r>
      <w:r>
        <w:rPr>
          <w:rFonts w:hint="eastAsia" w:ascii="宋体" w:hAnsi="宋体" w:cs="宋体"/>
          <w:b/>
          <w:color w:val="000000" w:themeColor="text1"/>
          <w:sz w:val="36"/>
          <w:highlight w:val="none"/>
          <w14:textFill>
            <w14:solidFill>
              <w14:schemeClr w14:val="tx1"/>
            </w14:solidFill>
          </w14:textFill>
        </w:rPr>
      </w:r>
      <w:r/>
    </w:p>
    <w:p>
      <w:pPr>
        <w:jc w:val="center"/>
        <w:widowControl/>
        <w:rPr>
          <w:rFonts w:hint="eastAsia" w:ascii="宋体" w:hAnsi="宋体" w:cs="宋体"/>
          <w:b/>
          <w:bCs/>
          <w:sz w:val="36"/>
          <w:szCs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第五章合同主要条款及格式</w:t>
      </w:r>
      <w:r/>
    </w:p>
    <w:p>
      <w:pPr>
        <w:pStyle w:val="858"/>
        <w:ind w:firstLine="400"/>
        <w:jc w:val="center"/>
        <w:rPr>
          <w:rFonts w:cs="宋体"/>
          <w:color w:val="000000" w:themeColor="text1"/>
          <w:szCs w:val="21"/>
          <w:highlight w:val="none"/>
          <w:lang w:val="zh-CN"/>
          <w14:textFill>
            <w14:solidFill>
              <w14:schemeClr w14:val="tx1"/>
            </w14:solidFill>
          </w14:textFill>
        </w:rPr>
      </w:pPr>
      <w:r>
        <w:rPr>
          <w:rFonts w:cs="宋体"/>
          <w:color w:val="000000" w:themeColor="text1"/>
          <w:szCs w:val="21"/>
          <w:highlight w:val="none"/>
          <w:lang w:val="zh-CN"/>
          <w14:textFill>
            <w14:solidFill>
              <w14:schemeClr w14:val="tx1"/>
            </w14:solidFill>
          </w14:textFill>
        </w:rPr>
      </w:r>
      <w:r/>
    </w:p>
    <w:p>
      <w:pPr>
        <w:pStyle w:val="858"/>
        <w:ind w:firstLine="400"/>
        <w:jc w:val="center"/>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2"/>
          <w:highlight w:val="none"/>
          <w:lang w:val="zh-CN"/>
          <w14:textFill>
            <w14:solidFill>
              <w14:schemeClr w14:val="tx1"/>
            </w14:solidFill>
          </w14:textFill>
        </w:rPr>
        <w:t xml:space="preserve">（此合同格式及主要条款作为签订正式合同时的参考，最终以甲乙双方签订的合同为准。）</w:t>
      </w:r>
      <w:r/>
    </w:p>
    <w:p>
      <w:pPr>
        <w:jc w:val="center"/>
        <w:rPr>
          <w:rFonts w:ascii="宋体" w:hAnsi="宋体" w:cs="宋体"/>
          <w:color w:val="000000" w:themeColor="text1"/>
          <w:sz w:val="52"/>
          <w:highlight w:val="none"/>
          <w14:textFill>
            <w14:solidFill>
              <w14:schemeClr w14:val="tx1"/>
            </w14:solidFill>
          </w14:textFill>
        </w:rPr>
      </w:pPr>
      <w:r>
        <w:rPr>
          <w:rFonts w:hint="eastAsia" w:ascii="宋体" w:hAnsi="宋体" w:cs="宋体"/>
          <w:color w:val="000000" w:themeColor="text1"/>
          <w:sz w:val="52"/>
          <w:highlight w:val="none"/>
          <w14:textFill>
            <w14:solidFill>
              <w14:schemeClr w14:val="tx1"/>
            </w14:solidFill>
          </w14:textFill>
        </w:rPr>
        <w:t xml:space="preserve">南京市政府采购合同</w:t>
      </w:r>
      <w:r/>
    </w:p>
    <w:p>
      <w:pPr>
        <w:ind w:firstLine="1807"/>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pStyle w:val="1032"/>
        <w:ind w:firstLine="723"/>
        <w:rPr>
          <w:rFonts w:hAnsi="宋体" w:cs="宋体"/>
          <w:b/>
          <w:color w:val="000000" w:themeColor="text1"/>
          <w:sz w:val="36"/>
          <w:highlight w:val="none"/>
          <w14:textFill>
            <w14:solidFill>
              <w14:schemeClr w14:val="tx1"/>
            </w14:solidFill>
          </w14:textFill>
        </w:rPr>
      </w:pPr>
      <w:r>
        <w:rPr>
          <w:rFonts w:hAnsi="宋体" w:cs="宋体"/>
          <w:b/>
          <w:color w:val="000000" w:themeColor="text1"/>
          <w:sz w:val="36"/>
          <w:highlight w:val="none"/>
          <w14:textFill>
            <w14:solidFill>
              <w14:schemeClr w14:val="tx1"/>
            </w14:solidFill>
          </w14:textFill>
        </w:rPr>
      </w:r>
      <w:r/>
    </w:p>
    <w:p>
      <w:pPr>
        <w:pStyle w:val="1032"/>
        <w:ind w:firstLine="723"/>
        <w:rPr>
          <w:rFonts w:hAnsi="宋体" w:cs="宋体"/>
          <w:b/>
          <w:color w:val="000000" w:themeColor="text1"/>
          <w:sz w:val="36"/>
          <w:highlight w:val="none"/>
          <w14:textFill>
            <w14:solidFill>
              <w14:schemeClr w14:val="tx1"/>
            </w14:solidFill>
          </w14:textFill>
        </w:rPr>
      </w:pPr>
      <w:r>
        <w:rPr>
          <w:rFonts w:hAnsi="宋体" w:cs="宋体"/>
          <w:b/>
          <w:color w:val="000000" w:themeColor="text1"/>
          <w:sz w:val="36"/>
          <w:highlight w:val="none"/>
          <w14:textFill>
            <w14:solidFill>
              <w14:schemeClr w14:val="tx1"/>
            </w14:solidFill>
          </w14:textFill>
        </w:rPr>
      </w:r>
      <w:r/>
    </w:p>
    <w:p>
      <w:pPr>
        <w:pStyle w:val="1032"/>
        <w:ind w:firstLine="723"/>
        <w:rPr>
          <w:rFonts w:hAnsi="宋体" w:cs="宋体"/>
          <w:b/>
          <w:color w:val="000000" w:themeColor="text1"/>
          <w:sz w:val="36"/>
          <w:highlight w:val="none"/>
          <w14:textFill>
            <w14:solidFill>
              <w14:schemeClr w14:val="tx1"/>
            </w14:solidFill>
          </w14:textFill>
        </w:rPr>
      </w:pPr>
      <w:r>
        <w:rPr>
          <w:rFonts w:hAnsi="宋体" w:cs="宋体"/>
          <w:b/>
          <w:color w:val="000000" w:themeColor="text1"/>
          <w:sz w:val="36"/>
          <w:highlight w:val="none"/>
          <w14:textFill>
            <w14:solidFill>
              <w14:schemeClr w14:val="tx1"/>
            </w14:solidFill>
          </w14:textFill>
        </w:rPr>
      </w:r>
      <w:r/>
    </w:p>
    <w:p>
      <w:pPr>
        <w:pStyle w:val="1032"/>
        <w:ind w:firstLine="723"/>
        <w:rPr>
          <w:rFonts w:hAnsi="宋体" w:cs="宋体"/>
          <w:b/>
          <w:color w:val="000000" w:themeColor="text1"/>
          <w:sz w:val="36"/>
          <w:highlight w:val="none"/>
          <w14:textFill>
            <w14:solidFill>
              <w14:schemeClr w14:val="tx1"/>
            </w14:solidFill>
          </w14:textFill>
        </w:rPr>
      </w:pPr>
      <w:r>
        <w:rPr>
          <w:rFonts w:hAnsi="宋体" w:cs="宋体"/>
          <w:b/>
          <w:color w:val="000000" w:themeColor="text1"/>
          <w:sz w:val="36"/>
          <w:highlight w:val="none"/>
          <w14:textFill>
            <w14:solidFill>
              <w14:schemeClr w14:val="tx1"/>
            </w14:solidFill>
          </w14:textFill>
        </w:rPr>
      </w:r>
      <w:r/>
    </w:p>
    <w:p>
      <w:pPr>
        <w:pStyle w:val="1032"/>
        <w:ind w:firstLine="723"/>
        <w:rPr>
          <w:rFonts w:hAnsi="宋体" w:cs="宋体"/>
          <w:b/>
          <w:color w:val="000000" w:themeColor="text1"/>
          <w:sz w:val="36"/>
          <w:highlight w:val="none"/>
          <w14:textFill>
            <w14:solidFill>
              <w14:schemeClr w14:val="tx1"/>
            </w14:solidFill>
          </w14:textFill>
        </w:rPr>
      </w:pPr>
      <w:r>
        <w:rPr>
          <w:rFonts w:hAnsi="宋体" w:cs="宋体"/>
          <w:b/>
          <w:color w:val="000000" w:themeColor="text1"/>
          <w:sz w:val="36"/>
          <w:highlight w:val="none"/>
          <w14:textFill>
            <w14:solidFill>
              <w14:schemeClr w14:val="tx1"/>
            </w14:solidFill>
          </w14:textFill>
        </w:rPr>
      </w:r>
      <w:r/>
    </w:p>
    <w:p>
      <w:pPr>
        <w:ind w:firstLine="1807"/>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ind w:firstLine="1918"/>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合同编号：</w:t>
      </w:r>
      <w:r/>
    </w:p>
    <w:p>
      <w:pPr>
        <w:ind w:firstLine="1918"/>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项目名称：</w:t>
      </w:r>
      <w:r/>
    </w:p>
    <w:p>
      <w:pPr>
        <w:ind w:firstLine="1918"/>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使用单位：</w:t>
      </w:r>
      <w:r/>
    </w:p>
    <w:p>
      <w:pPr>
        <w:ind w:firstLine="1916"/>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供货单位：</w:t>
      </w:r>
      <w:r/>
    </w:p>
    <w:p>
      <w:pPr>
        <w:ind w:firstLine="1916"/>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签订日期：</w:t>
      </w:r>
      <w:r/>
    </w:p>
    <w:p>
      <w:pPr>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center"/>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南京市工商行政管理局</w:t>
      </w:r>
      <w:r/>
    </w:p>
    <w:p>
      <w:pPr>
        <w:jc w:val="center"/>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南京市财政局监制</w:t>
      </w:r>
      <w:r/>
    </w:p>
    <w:p>
      <w:pPr>
        <w:ind w:firstLine="440"/>
        <w:jc w:val="cente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 w:val="22"/>
          <w:szCs w:val="21"/>
          <w:highlight w:val="none"/>
          <w:lang w:val="zh-CN"/>
          <w14:textFill>
            <w14:solidFill>
              <w14:schemeClr w14:val="tx1"/>
            </w14:solidFill>
          </w14:textFill>
        </w:rPr>
        <w:br w:type="page" w:clear="all"/>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合同编号： </w:t>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政府采购计划号：</w:t>
      </w:r>
      <w:r/>
    </w:p>
    <w:tbl>
      <w:tblPr>
        <w:tblStyle w:val="828"/>
        <w:tblW w:w="0" w:type="auto"/>
        <w:jc w:val="center"/>
        <w:tblLayout w:type="fixed"/>
        <w:tblCellMar>
          <w:left w:w="0" w:type="dxa"/>
          <w:top w:w="0" w:type="dxa"/>
          <w:right w:w="0" w:type="dxa"/>
          <w:bottom w:w="0" w:type="dxa"/>
        </w:tblCellMar>
        <w:tblLook w:val="04A0" w:firstRow="1" w:lastRow="0" w:firstColumn="1" w:lastColumn="0" w:noHBand="0" w:noVBand="1"/>
      </w:tblPr>
      <w:tblGrid>
        <w:gridCol w:w="4829"/>
        <w:gridCol w:w="4829"/>
      </w:tblGrid>
      <w:tr>
        <w:trPr>
          <w:jc w:val="center"/>
        </w:trPr>
        <w:tc>
          <w:tcPr>
            <w:tcW w:w="4829" w:type="dxa"/>
            <w:textDirection w:val="lrTb"/>
            <w:noWrap/>
          </w:tcPr>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采购人：（以下称甲方）</w:t>
            </w:r>
            <w:r/>
          </w:p>
        </w:tc>
        <w:tc>
          <w:tcPr>
            <w:tcW w:w="4829" w:type="dxa"/>
            <w:textDirection w:val="lrTb"/>
            <w:noWrap/>
          </w:tcPr>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供应商：（以下称乙方）</w:t>
            </w:r>
            <w:r/>
          </w:p>
        </w:tc>
      </w:tr>
      <w:tr>
        <w:trPr>
          <w:jc w:val="center"/>
        </w:trPr>
        <w:tc>
          <w:tcPr>
            <w:tcW w:w="4829" w:type="dxa"/>
            <w:textDirection w:val="lrTb"/>
            <w:noWrap/>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住所地：</w:t>
            </w:r>
            <w:r/>
          </w:p>
        </w:tc>
        <w:tc>
          <w:tcPr>
            <w:tcW w:w="4829" w:type="dxa"/>
            <w:textDirection w:val="lrTb"/>
            <w:noWrap/>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住所地：</w:t>
            </w:r>
            <w:r/>
          </w:p>
        </w:tc>
      </w:tr>
    </w:tbl>
    <w:p>
      <w:pPr>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根据《中华人民共和国政府采购法》《中华人民共和国民法典》等法律法规规定，甲乙双方经协商签订本合同。</w:t>
      </w:r>
      <w:r/>
    </w:p>
    <w:p>
      <w:pPr>
        <w:ind w:firstLine="422"/>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第一条 合同标的</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乙方提供下列服务：，服务内容详见乙方投标（响应）文件。</w:t>
      </w:r>
      <w:r/>
    </w:p>
    <w:p>
      <w:pPr>
        <w:ind w:firstLine="422"/>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第二条 合同总价款</w:t>
      </w:r>
      <w:r/>
    </w:p>
    <w:p>
      <w:pPr>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本合同项下服务总价款为___________</w:t>
      </w:r>
      <w:r>
        <w:rPr>
          <w:rFonts w:hint="eastAsia" w:ascii="宋体" w:hAnsi="宋体" w:cs="宋体"/>
          <w:color w:val="000000" w:themeColor="text1"/>
          <w:szCs w:val="21"/>
          <w:highlight w:val="none"/>
          <w14:textFill>
            <w14:solidFill>
              <w14:schemeClr w14:val="tx1"/>
            </w14:solidFill>
          </w14:textFill>
        </w:rPr>
        <w:t xml:space="preserve">元</w:t>
      </w:r>
      <w:r>
        <w:rPr>
          <w:rFonts w:hint="eastAsia" w:ascii="宋体" w:hAnsi="宋体" w:cs="宋体"/>
          <w:color w:val="000000" w:themeColor="text1"/>
          <w:szCs w:val="21"/>
          <w:highlight w:val="none"/>
          <w:lang w:val="zh-CN"/>
          <w14:textFill>
            <w14:solidFill>
              <w14:schemeClr w14:val="tx1"/>
            </w14:solidFill>
          </w14:textFill>
        </w:rPr>
        <w:t xml:space="preserve">人民币，分项价款在“</w:t>
      </w:r>
      <w:r>
        <w:rPr>
          <w:rFonts w:hint="eastAsia" w:ascii="宋体" w:hAnsi="宋体" w:cs="宋体"/>
          <w:color w:val="000000" w:themeColor="text1"/>
          <w:szCs w:val="21"/>
          <w:highlight w:val="none"/>
          <w14:textFill>
            <w14:solidFill>
              <w14:schemeClr w14:val="tx1"/>
            </w14:solidFill>
          </w14:textFill>
        </w:rPr>
        <w:t xml:space="preserve">分项</w:t>
      </w:r>
      <w:r>
        <w:rPr>
          <w:rFonts w:hint="eastAsia" w:ascii="宋体" w:hAnsi="宋体" w:cs="宋体"/>
          <w:color w:val="000000" w:themeColor="text1"/>
          <w:szCs w:val="21"/>
          <w:highlight w:val="none"/>
          <w:lang w:val="zh-CN"/>
          <w14:textFill>
            <w14:solidFill>
              <w14:schemeClr w14:val="tx1"/>
            </w14:solidFill>
          </w14:textFill>
        </w:rPr>
        <w:t xml:space="preserve">报价表”中有明确规定。</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本合同总价款包含以下内容：</w:t>
      </w:r>
      <w:r/>
    </w:p>
    <w:p>
      <w:pPr>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完成本服务项目发生的所有含税费用；</w:t>
      </w:r>
      <w:r/>
    </w:p>
    <w:p>
      <w:pPr>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（2）支付给员工的工资和国家强制缴纳的各种社会保障资金；</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（3）乙方应当提供的伴随服务/售后服务费用；</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供应商认为需要的其他费用。</w:t>
      </w:r>
      <w:r/>
    </w:p>
    <w:p>
      <w:pPr>
        <w:ind w:firstLine="422"/>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第三条 合同期限</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年月日至年月日。</w:t>
      </w:r>
      <w:r/>
    </w:p>
    <w:p>
      <w:pPr>
        <w:ind w:firstLine="422"/>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第四条 组成本合同的有关文件</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下列关于号的招标（采购）文件、投标（响应）文件，以及与本次采购活动相关的文件及有关附件是本合同不可分割的组成部分，与本合同具有同等法律效力，这些文件包括但不限于：</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（1）投标（响应）文件和报价表；              （2）服务一览表；</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（3）交付一览表；                            （4）技术规格响应表；</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（5）投标（响应）承诺；                      （6）服务承诺；</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（7）中标（成交）通知书；                    （8）甲乙双方商定的其它文件。</w:t>
      </w:r>
      <w:r/>
    </w:p>
    <w:p>
      <w:pPr>
        <w:ind w:firstLine="422"/>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第五条 权利保证</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w:t>
      </w:r>
      <w:r/>
    </w:p>
    <w:p>
      <w:pPr>
        <w:ind w:firstLine="422"/>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第六条 质量保证</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乙方所提供的服务的技术规格应与招标（采购）文件规定的技术规格及所附的“技术规格响应表”相一致；若技术性能无特殊说明，则按国家有关部门最新颁布的标准及规范为准。</w:t>
      </w:r>
      <w:r/>
    </w:p>
    <w:p>
      <w:pPr>
        <w:ind w:firstLine="422"/>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第七条 交付和验收</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1.乙方应当在合同签订后天内完成服务事项。</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2.验收标准：按行业通行标准和乙方投标（响应）文件的承诺（详见合同附件载明的标准，并不低于国家相关标准）。</w:t>
      </w:r>
      <w:r/>
    </w:p>
    <w:p>
      <w:pPr>
        <w:ind w:firstLine="422"/>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第八条 履约保证金</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1.中标（成交）供应商应按以下第（</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）方式向采购人缴纳履约保证金：</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（1）无需缴纳履约保证金；</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（2）投标保证金转为履约保证金；</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（3）以支票、汇票、本票或者金融机构、担保机构出具的保函等非现金形式缴纳履约保证金，金额为万元。</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2.履约保证金的有效期至时止。</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3.如乙方未能履行合同规定的义务，甲方有权从履约保证金中取得补偿。</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4.履约保证金扣除甲方应得的补偿后的余额，在有效期满后个工作日内无息退还给乙方。</w:t>
      </w:r>
      <w:r/>
    </w:p>
    <w:p>
      <w:pPr>
        <w:ind w:firstLine="422"/>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第九条 合同款支付</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1.本合同项下所有款项均以人民币支付。</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2.本合同项下的采购资金由乙方开具发票，甲方按照本条第3款的约定支付。</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3.付款条件：</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1）项目合同签订后，支付合同款总价的10%；</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（2）合同签订6个月后，支付至合同款总价款项的50%；</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（3）服务期满后，经</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cs="宋体"/>
          <w:color w:val="000000" w:themeColor="text1"/>
          <w:sz w:val="24"/>
          <w:szCs w:val="24"/>
          <w:highlight w:val="none"/>
          <w14:textFill>
            <w14:solidFill>
              <w14:schemeClr w14:val="tx1"/>
            </w14:solidFill>
          </w14:textFill>
        </w:rPr>
        <w:t xml:space="preserve">整体验收合格后，据实支付尾款。</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）每次付款前乙方须提供等额发票，否则甲方有权拒绝付款。</w:t>
      </w:r>
      <w:r/>
    </w:p>
    <w:p>
      <w:pPr>
        <w:ind w:firstLine="422"/>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第十条 违约责任</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1.甲方无正当理由拒收服务、拒付服务款的，甲方向乙方偿付合同总价的</w:t>
      </w:r>
      <w:r>
        <w:rPr>
          <w:rFonts w:hint="eastAsia" w:ascii="宋体" w:hAnsi="宋体" w:cs="宋体"/>
          <w:color w:val="000000" w:themeColor="text1"/>
          <w:szCs w:val="21"/>
          <w:highlight w:val="none"/>
          <w:u w:val="singl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%违约金。</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2.甲方未按合同规定的期限向乙方支付服务款的，每逾期1天甲方向乙方偿付欠款总额的</w:t>
      </w:r>
      <w:r>
        <w:rPr>
          <w:rFonts w:hint="eastAsia" w:ascii="宋体" w:hAnsi="宋体" w:cs="宋体"/>
          <w:color w:val="000000" w:themeColor="text1"/>
          <w:szCs w:val="21"/>
          <w:highlight w:val="none"/>
          <w:u w:val="singl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‰滞纳金，但累计滞纳金总额不超过欠款总额的</w:t>
      </w:r>
      <w:r>
        <w:rPr>
          <w:rFonts w:hint="eastAsia" w:ascii="宋体" w:hAnsi="宋体" w:cs="宋体"/>
          <w:color w:val="000000" w:themeColor="text1"/>
          <w:szCs w:val="21"/>
          <w:highlight w:val="none"/>
          <w:u w:val="singl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 。</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3.如乙方不能交付服务的，甲方有权扣留全部履约保证金；同时乙方应向甲方支付合同总价</w:t>
      </w:r>
      <w:r>
        <w:rPr>
          <w:rFonts w:hint="eastAsia" w:ascii="宋体" w:hAnsi="宋体" w:cs="宋体"/>
          <w:color w:val="000000" w:themeColor="text1"/>
          <w:szCs w:val="21"/>
          <w:highlight w:val="none"/>
          <w:u w:val="singl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%的违约金。</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4.乙方逾期交付的，每逾期1天，乙方向甲方偿付合同总额的</w:t>
      </w:r>
      <w:r>
        <w:rPr>
          <w:rFonts w:hint="eastAsia" w:ascii="宋体" w:hAnsi="宋体" w:cs="宋体"/>
          <w:color w:val="000000" w:themeColor="text1"/>
          <w:szCs w:val="21"/>
          <w:highlight w:val="none"/>
          <w:u w:val="singl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‰的滞纳金。如乙方逾期交付达</w:t>
      </w:r>
      <w:r>
        <w:rPr>
          <w:rFonts w:hint="eastAsia" w:ascii="宋体" w:hAnsi="宋体" w:cs="宋体"/>
          <w:color w:val="000000" w:themeColor="text1"/>
          <w:szCs w:val="21"/>
          <w:highlight w:val="none"/>
          <w14:textFill>
            <w14:solidFill>
              <w14:schemeClr w14:val="tx1"/>
            </w14:solidFill>
          </w14:textFill>
        </w:rPr>
        <w:t xml:space="preserve">10</w:t>
      </w:r>
      <w:r>
        <w:rPr>
          <w:rFonts w:hint="eastAsia" w:ascii="宋体" w:hAnsi="宋体" w:cs="宋体"/>
          <w:color w:val="000000" w:themeColor="text1"/>
          <w:szCs w:val="21"/>
          <w:highlight w:val="none"/>
          <w:lang w:val="zh-CN"/>
          <w14:textFill>
            <w14:solidFill>
              <w14:schemeClr w14:val="tx1"/>
            </w14:solidFill>
          </w14:textFill>
        </w:rPr>
        <w:t xml:space="preserve">天，甲方有权解除合同，解除合同的通知自到达乙方时生效。</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5.乙方所交付的服务不符合合同规定的，甲方有权拒收。甲方拒收的，乙方应向甲方支付合同总款</w:t>
      </w:r>
      <w:r>
        <w:rPr>
          <w:rFonts w:hint="eastAsia" w:ascii="宋体" w:hAnsi="宋体" w:cs="宋体"/>
          <w:color w:val="000000" w:themeColor="text1"/>
          <w:szCs w:val="21"/>
          <w:highlight w:val="none"/>
          <w:u w:val="singl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%的违约金。</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6.在乙方承诺的或国家规定的质量保证期内（取两者中最长的期限），如经乙方</w:t>
      </w:r>
      <w:r>
        <w:rPr>
          <w:rFonts w:hint="eastAsia" w:ascii="宋体" w:hAnsi="宋体" w:cs="宋体"/>
          <w:color w:val="000000" w:themeColor="text1"/>
          <w:szCs w:val="21"/>
          <w:highlight w:val="none"/>
          <w:u w:val="singl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次整改仍不能达到合同约定的质量标准，乙方应退回全部合同价款，并按本条第3款处理，同时，乙方还须赔偿甲方因此遭受的损失。</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7.乙方未按本合同的规定和服务承诺提供伴随服务/售后服务的，应按合同总价款的</w:t>
      </w:r>
      <w:r>
        <w:rPr>
          <w:rFonts w:hint="eastAsia" w:ascii="宋体" w:hAnsi="宋体" w:cs="宋体"/>
          <w:color w:val="000000" w:themeColor="text1"/>
          <w:szCs w:val="21"/>
          <w:highlight w:val="none"/>
          <w:u w:val="singl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%向甲方承担违约责任。</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9.乙方响应属虚假承诺，或经权威部门检测提供的服务不能满足投标（响应）文件要求，或是由于乙方的过错造成合同无法继续履行的，乙方履约保证金不予退还外，还应向甲方支付不少于合同总价</w:t>
      </w:r>
      <w:r>
        <w:rPr>
          <w:rFonts w:hint="eastAsia" w:ascii="宋体" w:hAnsi="宋体" w:cs="宋体"/>
          <w:color w:val="000000" w:themeColor="text1"/>
          <w:szCs w:val="21"/>
          <w:highlight w:val="none"/>
          <w:u w:val="single"/>
          <w14:textFill>
            <w14:solidFill>
              <w14:schemeClr w14:val="tx1"/>
            </w14:solidFill>
          </w14:textFill>
        </w:rPr>
        <w:t xml:space="preserve">30</w:t>
      </w:r>
      <w:r>
        <w:rPr>
          <w:rFonts w:hint="eastAsia" w:ascii="宋体" w:hAnsi="宋体" w:cs="宋体"/>
          <w:color w:val="000000" w:themeColor="text1"/>
          <w:szCs w:val="21"/>
          <w:highlight w:val="none"/>
          <w:lang w:val="zh-CN"/>
          <w14:textFill>
            <w14:solidFill>
              <w14:schemeClr w14:val="tx1"/>
            </w14:solidFill>
          </w14:textFill>
        </w:rPr>
        <w:t xml:space="preserve">%赔偿金。</w:t>
      </w:r>
      <w:r/>
    </w:p>
    <w:p>
      <w:pPr>
        <w:ind w:firstLine="422"/>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第十一条 合同的变更和终止</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1.除《政府采购法》第50条规定的情形外，本合同一经签订，甲乙双方不得擅自变更、中止或终止。</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除发生法律规定的不能预见、不能避免并不能克服的客观情况外，甲乙双方不得放弃或拒绝履行合同。乙方放弃或拒绝履行合同，履约保证金不予退还，并按规定接受相关部门的处罚。</w:t>
      </w:r>
      <w:r/>
    </w:p>
    <w:p>
      <w:pPr>
        <w:ind w:firstLine="422"/>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第十二条 合同的转让</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乙方不得擅自部分或全部转让其应履行的合同义务。</w:t>
      </w:r>
      <w:r/>
    </w:p>
    <w:p>
      <w:pPr>
        <w:ind w:firstLine="422"/>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第十三条 争议的解决</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1.因服务的质量问题发生争议的，应当邀请国家认可的质量检测机构对服务质量进行鉴定。符合标准的，鉴定费由甲方承担；不符合标准的，鉴定费由乙方承担。</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2.因履行本合同引起的或与本合同有关的争议，甲、乙双方应首先通过友好协商解决，如果协商不能解决争议，则采取以下第（ ）种方式解决争议：</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（1）向甲方所在地有管辖权的人民法院提起诉讼；</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（2）向南京仲裁委员会按其仲裁规则申请仲裁。</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如没有约定，默认采取第2种方式解决争议。</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3.仲裁期间本合同应继续履行。</w:t>
      </w:r>
      <w:r/>
    </w:p>
    <w:p>
      <w:pPr>
        <w:ind w:firstLine="422"/>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第十四条 诚实信用</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乙方应诚实信用，严格按照招标（采购）文件要求和投标（响应）承诺履行合同，不向甲方进行商业贿赂或者提供不正当利益。</w:t>
      </w:r>
      <w:r/>
    </w:p>
    <w:p>
      <w:pPr>
        <w:ind w:firstLine="422"/>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第十五条 合同生效及其他</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1.本合同自签订之日起生效，两个工作日内在财政部门指定的媒体上公告。</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2.本合同一式肆份，甲乙双方各执二份。</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3.本合同按照中华人民共和国的现行法律进行解释。</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4.其他：。</w:t>
      </w:r>
      <w:r/>
    </w:p>
    <w:tbl>
      <w:tblPr>
        <w:tblStyle w:val="828"/>
        <w:tblW w:w="0" w:type="auto"/>
        <w:jc w:val="center"/>
        <w:tblLayout w:type="fixed"/>
        <w:tblCellMar>
          <w:left w:w="0" w:type="dxa"/>
          <w:top w:w="0" w:type="dxa"/>
          <w:right w:w="0" w:type="dxa"/>
          <w:bottom w:w="0" w:type="dxa"/>
        </w:tblCellMar>
        <w:tblLook w:val="04A0" w:firstRow="1" w:lastRow="0" w:firstColumn="1" w:lastColumn="0" w:noHBand="0" w:noVBand="1"/>
      </w:tblPr>
      <w:tblGrid>
        <w:gridCol w:w="4430"/>
        <w:gridCol w:w="4430"/>
      </w:tblGrid>
      <w:tr>
        <w:trPr>
          <w:jc w:val="center"/>
          <w:trHeight w:val="513"/>
        </w:trPr>
        <w:tc>
          <w:tcPr>
            <w:shd w:val="clear" w:color="auto" w:fill="auto"/>
            <w:tcBorders>
              <w:top w:val="single" w:color="auto" w:sz="4" w:space="0"/>
              <w:left w:val="single" w:color="auto" w:sz="4" w:space="0"/>
              <w:bottom w:val="single" w:color="auto" w:sz="4" w:space="0"/>
              <w:right w:val="single" w:color="auto" w:sz="4" w:space="0"/>
            </w:tcBorders>
            <w:tcW w:w="4430" w:type="dxa"/>
            <w:vAlign w:val="center"/>
            <w:textDirection w:val="lrTb"/>
            <w:noWrap/>
          </w:tcPr>
          <w:p>
            <w:pPr>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甲  方（采购人）：（盖章）</w:t>
            </w:r>
            <w:r/>
          </w:p>
        </w:tc>
        <w:tc>
          <w:tcPr>
            <w:shd w:val="clear" w:color="auto" w:fill="auto"/>
            <w:tcBorders>
              <w:top w:val="single" w:color="auto" w:sz="4" w:space="0"/>
              <w:left w:val="single" w:color="auto" w:sz="4" w:space="0"/>
              <w:bottom w:val="single" w:color="auto" w:sz="4" w:space="0"/>
              <w:right w:val="single" w:color="auto" w:sz="4" w:space="0"/>
            </w:tcBorders>
            <w:tcW w:w="4430" w:type="dxa"/>
            <w:vAlign w:val="center"/>
            <w:textDirection w:val="lrTb"/>
            <w:noWrap/>
          </w:tcPr>
          <w:p>
            <w:pPr>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  方（供应商）：（盖章）</w:t>
            </w:r>
            <w:r/>
          </w:p>
        </w:tc>
      </w:tr>
      <w:tr>
        <w:trPr>
          <w:jc w:val="center"/>
          <w:trHeight w:val="513"/>
        </w:trPr>
        <w:tc>
          <w:tcPr>
            <w:shd w:val="clear" w:color="auto" w:fill="auto"/>
            <w:tcBorders>
              <w:top w:val="single" w:color="auto" w:sz="4" w:space="0"/>
              <w:left w:val="single" w:color="auto" w:sz="4" w:space="0"/>
              <w:bottom w:val="single" w:color="auto" w:sz="4" w:space="0"/>
              <w:right w:val="single" w:color="auto" w:sz="4" w:space="0"/>
            </w:tcBorders>
            <w:tcW w:w="4430" w:type="dxa"/>
            <w:vAlign w:val="center"/>
            <w:textDirection w:val="lrTb"/>
            <w:noWrap/>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代表人：</w:t>
            </w:r>
            <w:r/>
          </w:p>
        </w:tc>
        <w:tc>
          <w:tcPr>
            <w:shd w:val="clear" w:color="auto" w:fill="auto"/>
            <w:tcBorders>
              <w:top w:val="single" w:color="auto" w:sz="4" w:space="0"/>
              <w:left w:val="single" w:color="auto" w:sz="4" w:space="0"/>
              <w:bottom w:val="single" w:color="auto" w:sz="4" w:space="0"/>
              <w:right w:val="single" w:color="auto" w:sz="4" w:space="0"/>
            </w:tcBorders>
            <w:tcW w:w="4430" w:type="dxa"/>
            <w:vAlign w:val="center"/>
            <w:textDirection w:val="lrTb"/>
            <w:noWrap/>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代表人</w:t>
            </w:r>
            <w:r>
              <w:rPr>
                <w:rFonts w:hint="eastAsia" w:ascii="宋体" w:hAnsi="宋体" w:cs="宋体"/>
                <w:color w:val="000000" w:themeColor="text1"/>
                <w:szCs w:val="21"/>
                <w:highlight w:val="none"/>
                <w14:textFill>
                  <w14:solidFill>
                    <w14:schemeClr w14:val="tx1"/>
                  </w14:solidFill>
                </w14:textFill>
              </w:rPr>
              <w:t xml:space="preserve">：</w:t>
            </w:r>
            <w:r/>
          </w:p>
        </w:tc>
      </w:tr>
      <w:tr>
        <w:trPr>
          <w:jc w:val="center"/>
          <w:trHeight w:val="513"/>
        </w:trPr>
        <w:tc>
          <w:tcPr>
            <w:shd w:val="clear" w:color="auto" w:fill="auto"/>
            <w:tcBorders>
              <w:top w:val="single" w:color="auto" w:sz="4" w:space="0"/>
              <w:left w:val="single" w:color="auto" w:sz="4" w:space="0"/>
              <w:bottom w:val="single" w:color="auto" w:sz="4" w:space="0"/>
              <w:right w:val="single" w:color="auto" w:sz="4" w:space="0"/>
            </w:tcBorders>
            <w:tcW w:w="4430" w:type="dxa"/>
            <w:vAlign w:val="center"/>
            <w:textDirection w:val="lrTb"/>
            <w:noWrap/>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电话：</w:t>
            </w:r>
            <w:r/>
          </w:p>
        </w:tc>
        <w:tc>
          <w:tcPr>
            <w:shd w:val="clear" w:color="auto" w:fill="auto"/>
            <w:tcBorders>
              <w:top w:val="single" w:color="auto" w:sz="4" w:space="0"/>
              <w:left w:val="single" w:color="auto" w:sz="4" w:space="0"/>
              <w:bottom w:val="single" w:color="auto" w:sz="4" w:space="0"/>
              <w:right w:val="single" w:color="auto" w:sz="4" w:space="0"/>
            </w:tcBorders>
            <w:tcW w:w="4430" w:type="dxa"/>
            <w:vAlign w:val="center"/>
            <w:textDirection w:val="lrTb"/>
            <w:noWrap/>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电话：</w:t>
            </w:r>
            <w:r/>
          </w:p>
        </w:tc>
      </w:tr>
      <w:tr>
        <w:trPr>
          <w:jc w:val="center"/>
          <w:trHeight w:val="513"/>
        </w:trPr>
        <w:tc>
          <w:tcPr>
            <w:shd w:val="clear" w:color="auto" w:fill="auto"/>
            <w:tcBorders>
              <w:top w:val="single" w:color="auto" w:sz="4" w:space="0"/>
              <w:left w:val="single" w:color="auto" w:sz="4" w:space="0"/>
              <w:bottom w:val="single" w:color="auto" w:sz="4" w:space="0"/>
              <w:right w:val="single" w:color="auto" w:sz="4" w:space="0"/>
            </w:tcBorders>
            <w:tcW w:w="4430" w:type="dxa"/>
            <w:vAlign w:val="center"/>
            <w:textDirection w:val="lrTb"/>
            <w:noWrap/>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tc>
        <w:tc>
          <w:tcPr>
            <w:shd w:val="clear" w:color="auto" w:fill="auto"/>
            <w:tcBorders>
              <w:top w:val="single" w:color="auto" w:sz="4" w:space="0"/>
              <w:left w:val="single" w:color="auto" w:sz="4" w:space="0"/>
              <w:bottom w:val="single" w:color="auto" w:sz="4" w:space="0"/>
              <w:right w:val="single" w:color="auto" w:sz="4" w:space="0"/>
            </w:tcBorders>
            <w:tcW w:w="4430" w:type="dxa"/>
            <w:vAlign w:val="center"/>
            <w:textDirection w:val="lrTb"/>
            <w:noWrap/>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tc>
      </w:tr>
      <w:tr>
        <w:trPr>
          <w:jc w:val="center"/>
          <w:trHeight w:val="545"/>
        </w:trPr>
        <w:tc>
          <w:tcPr>
            <w:shd w:val="clear" w:color="auto" w:fill="auto"/>
            <w:tcBorders>
              <w:top w:val="single" w:color="auto" w:sz="4" w:space="0"/>
              <w:left w:val="single" w:color="auto" w:sz="4" w:space="0"/>
              <w:bottom w:val="single" w:color="auto" w:sz="4" w:space="0"/>
              <w:right w:val="single" w:color="auto" w:sz="4" w:space="0"/>
            </w:tcBorders>
            <w:tcW w:w="4430" w:type="dxa"/>
            <w:vAlign w:val="center"/>
            <w:textDirection w:val="lrTb"/>
            <w:noWrap/>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帐  号：</w:t>
            </w:r>
            <w:r/>
          </w:p>
        </w:tc>
        <w:tc>
          <w:tcPr>
            <w:shd w:val="clear" w:color="auto" w:fill="auto"/>
            <w:tcBorders>
              <w:top w:val="single" w:color="auto" w:sz="4" w:space="0"/>
              <w:left w:val="single" w:color="auto" w:sz="4" w:space="0"/>
              <w:bottom w:val="single" w:color="auto" w:sz="4" w:space="0"/>
              <w:right w:val="single" w:color="auto" w:sz="4" w:space="0"/>
            </w:tcBorders>
            <w:tcW w:w="4430" w:type="dxa"/>
            <w:vAlign w:val="center"/>
            <w:textDirection w:val="lrTb"/>
            <w:noWrap/>
          </w:tcPr>
          <w:p>
            <w:pPr>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帐  号：</w:t>
            </w:r>
            <w:r/>
          </w:p>
        </w:tc>
      </w:tr>
    </w:tbl>
    <w:p>
      <w:pPr>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br w:type="page" w:clear="all"/>
      </w:r>
      <w:r/>
    </w:p>
    <w:p>
      <w:pPr>
        <w:jc w:val="center"/>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第六章 竞争性磋商文件格式及附件</w:t>
      </w:r>
      <w:r/>
    </w:p>
    <w:p>
      <w:pPr>
        <w:jc w:val="center"/>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（项目编号）</w:t>
      </w:r>
      <w:r/>
    </w:p>
    <w:p>
      <w:pPr>
        <w:jc w:val="center"/>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（项目名称）</w:t>
      </w:r>
      <w:r/>
    </w:p>
    <w:p>
      <w:pPr>
        <w:jc w:val="center"/>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响应文件</w:t>
      </w:r>
      <w:r/>
    </w:p>
    <w:p>
      <w:pPr>
        <w:jc w:val="center"/>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供应商：（加盖CA电子公章）</w:t>
      </w:r>
      <w:r/>
    </w:p>
    <w:p>
      <w:pPr>
        <w:jc w:val="center"/>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年  月  日</w:t>
      </w:r>
      <w:r/>
    </w:p>
    <w:p>
      <w:pPr>
        <w:ind w:firstLine="560"/>
        <w:jc w:val="center"/>
        <w:rPr>
          <w:rFonts w:ascii="宋体" w:hAnsi="宋体" w:cs="宋体"/>
          <w:b/>
          <w:bCs/>
          <w:color w:val="000000" w:themeColor="text1"/>
          <w:sz w:val="32"/>
          <w:szCs w:val="32"/>
          <w:highlight w:val="none"/>
          <w14:textFill>
            <w14:solidFill>
              <w14:schemeClr w14:val="tx1"/>
            </w14:solidFill>
          </w14:textFill>
        </w:rPr>
      </w:pPr>
      <w:r>
        <w:rPr>
          <w:rFonts w:ascii="宋体" w:hAnsi="宋体" w:cs="宋体"/>
          <w:b/>
          <w:bCs/>
          <w:color w:val="000000" w:themeColor="text1"/>
          <w:sz w:val="32"/>
          <w:szCs w:val="32"/>
          <w:highlight w:val="none"/>
          <w14:textFill>
            <w14:solidFill>
              <w14:schemeClr w14:val="tx1"/>
            </w14:solidFill>
          </w14:textFill>
        </w:rPr>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p>
    <w:p>
      <w:pPr>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附件一、磋商申请及声明</w:t>
      </w:r>
      <w:r/>
    </w:p>
    <w:p>
      <w:pP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磋商申请及声明</w:t>
      </w:r>
      <w:r/>
    </w:p>
    <w:p>
      <w:pP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致：南京市鼓楼区民政局：</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根据贵方（项目名称）（项目编号）磋商邀请，正式授权下述签字人(姓名和职务)代表（供应商名称），提交响应文件并参加磋商。</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据此函，签字人兹宣布同意如下：</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b/>
          <w:color w:val="000000" w:themeColor="text1"/>
          <w:szCs w:val="21"/>
          <w:highlight w:val="none"/>
          <w:lang w:val="zh-CN"/>
          <w14:textFill>
            <w14:solidFill>
              <w14:schemeClr w14:val="tx1"/>
            </w14:solidFill>
          </w14:textFill>
        </w:rPr>
        <w:t xml:space="preserve">我们的资格条件完全符合政府采购法和本次采购要求</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我们</w:t>
      </w:r>
      <w:r>
        <w:rPr>
          <w:rFonts w:hint="eastAsia" w:ascii="宋体" w:hAnsi="宋体" w:cs="宋体"/>
          <w:color w:val="000000" w:themeColor="text1"/>
          <w:szCs w:val="21"/>
          <w:highlight w:val="none"/>
          <w:lang w:val="zh-CN"/>
          <w14:textFill>
            <w14:solidFill>
              <w14:schemeClr w14:val="tx1"/>
            </w14:solidFill>
          </w14:textFill>
        </w:rPr>
        <w:t xml:space="preserve">同意并向贵方提供了与本次采购活动有关的所有证据和资料</w:t>
      </w:r>
      <w:r>
        <w:rPr>
          <w:rFonts w:hint="eastAsia" w:ascii="宋体" w:hAnsi="宋体" w:cs="宋体"/>
          <w:color w:val="000000" w:themeColor="text1"/>
          <w:highlight w:val="none"/>
          <w14:textFill>
            <w14:solidFill>
              <w14:schemeClr w14:val="tx1"/>
            </w14:solidFill>
          </w14:textFill>
        </w:rPr>
        <w:t xml:space="preserve">。</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2、项目名称： 。</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3、根据已收到的本项目磋商文件，遵照规定，</w:t>
      </w:r>
      <w:r>
        <w:rPr>
          <w:rFonts w:hint="eastAsia" w:ascii="宋体" w:hAnsi="宋体" w:cs="宋体"/>
          <w:color w:val="000000" w:themeColor="text1"/>
          <w:highlight w:val="none"/>
          <w:lang w:val="zh-CN"/>
          <w14:textFill>
            <w14:solidFill>
              <w14:schemeClr w14:val="tx1"/>
            </w14:solidFill>
          </w14:textFill>
        </w:rPr>
        <w:t xml:space="preserve">我们的投标</w:t>
      </w:r>
      <w:r>
        <w:rPr>
          <w:rFonts w:hint="eastAsia" w:ascii="宋体" w:hAnsi="宋体" w:cs="宋体"/>
          <w:color w:val="000000" w:themeColor="text1"/>
          <w:highlight w:val="none"/>
          <w14:textFill>
            <w14:solidFill>
              <w14:schemeClr w14:val="tx1"/>
            </w14:solidFill>
          </w14:textFill>
        </w:rPr>
        <w:t xml:space="preserve">报价为：</w:t>
      </w:r>
      <w:r>
        <w:rPr>
          <w:rFonts w:hint="eastAsia" w:ascii="宋体" w:hAnsi="宋体" w:cs="宋体"/>
          <w:color w:val="000000" w:themeColor="text1"/>
          <w:szCs w:val="21"/>
          <w:highlight w:val="none"/>
          <w:lang w:val="zh-CN"/>
          <w14:textFill>
            <w14:solidFill>
              <w14:schemeClr w14:val="tx1"/>
            </w14:solidFill>
          </w14:textFill>
        </w:rPr>
        <w:t xml:space="preserve">人民币</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（小写）</w:t>
      </w:r>
      <w:r>
        <w:rPr>
          <w:rFonts w:hint="eastAsia" w:ascii="宋体" w:hAnsi="宋体" w:cs="宋体"/>
          <w:color w:val="000000" w:themeColor="text1"/>
          <w:szCs w:val="21"/>
          <w:highlight w:val="none"/>
          <w14:textFill>
            <w14:solidFill>
              <w14:schemeClr w14:val="tx1"/>
            </w14:solidFill>
          </w14:textFill>
        </w:rPr>
        <w:t xml:space="preserve">元</w:t>
      </w:r>
      <w:r>
        <w:rPr>
          <w:rFonts w:hint="eastAsia" w:ascii="宋体" w:hAnsi="宋体" w:cs="宋体"/>
          <w:color w:val="000000" w:themeColor="text1"/>
          <w:szCs w:val="21"/>
          <w:highlight w:val="none"/>
          <w:lang w:val="zh-CN"/>
          <w14:textFill>
            <w14:solidFill>
              <w14:schemeClr w14:val="tx1"/>
            </w14:solidFill>
          </w14:textFill>
        </w:rPr>
        <w:t xml:space="preserve">，人民币</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（大写）</w:t>
      </w:r>
      <w:r>
        <w:rPr>
          <w:rFonts w:hint="eastAsia" w:ascii="宋体" w:hAnsi="宋体" w:cs="宋体"/>
          <w:color w:val="000000" w:themeColor="text1"/>
          <w:szCs w:val="21"/>
          <w:highlight w:val="none"/>
          <w14:textFill>
            <w14:solidFill>
              <w14:schemeClr w14:val="tx1"/>
            </w14:solidFill>
          </w14:textFill>
        </w:rPr>
        <w:t xml:space="preserve">元；合同履行期限：</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我们已详细审核全部磋商文件及其有效补充文件，我们放弃对磋商文件任何误解的权利，提交响应文件后，</w:t>
      </w:r>
      <w:r>
        <w:rPr>
          <w:rFonts w:hint="eastAsia" w:ascii="宋体" w:hAnsi="宋体" w:cs="宋体"/>
          <w:b/>
          <w:color w:val="000000" w:themeColor="text1"/>
          <w:szCs w:val="21"/>
          <w:highlight w:val="none"/>
          <w:lang w:val="zh-CN"/>
          <w14:textFill>
            <w14:solidFill>
              <w14:schemeClr w14:val="tx1"/>
            </w14:solidFill>
          </w14:textFill>
        </w:rPr>
        <w:t xml:space="preserve">不对磋商文件本身提出质疑</w:t>
      </w:r>
      <w:r>
        <w:rPr>
          <w:rFonts w:hint="eastAsia" w:ascii="宋体" w:hAnsi="宋体" w:cs="宋体"/>
          <w:color w:val="000000" w:themeColor="text1"/>
          <w:szCs w:val="21"/>
          <w:highlight w:val="none"/>
          <w:lang w:val="zh-CN"/>
          <w14:textFill>
            <w14:solidFill>
              <w14:schemeClr w14:val="tx1"/>
            </w14:solidFill>
          </w14:textFill>
        </w:rPr>
        <w:t xml:space="preserve">。否则，属于不诚信和故意扰乱政府采购活动行为，我们将无条件接受处罚。</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5、一旦我方成交，我方将根据磋商文件的规定，严格履行合同，保证于承诺的时间内完成本项目规定的服务内容。</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6、我方决不</w:t>
      </w:r>
      <w:r>
        <w:rPr>
          <w:rFonts w:hint="eastAsia" w:ascii="宋体" w:hAnsi="宋体" w:cs="宋体"/>
          <w:color w:val="000000" w:themeColor="text1"/>
          <w:szCs w:val="21"/>
          <w:highlight w:val="none"/>
          <w14:textFill>
            <w14:solidFill>
              <w14:schemeClr w14:val="tx1"/>
            </w14:solidFill>
          </w14:textFill>
        </w:rPr>
        <w:t xml:space="preserve">提供虚假材料谋取成交、</w:t>
      </w:r>
      <w:r>
        <w:rPr>
          <w:rFonts w:hint="eastAsia" w:ascii="宋体" w:hAnsi="宋体" w:cs="宋体"/>
          <w:color w:val="000000" w:themeColor="text1"/>
          <w:highlight w:val="none"/>
          <w14:textFill>
            <w14:solidFill>
              <w14:schemeClr w14:val="tx1"/>
            </w14:solidFill>
          </w14:textFill>
        </w:rPr>
        <w:t xml:space="preserve">决不</w:t>
      </w:r>
      <w:r>
        <w:rPr>
          <w:rFonts w:hint="eastAsia" w:ascii="宋体" w:hAnsi="宋体" w:cs="宋体"/>
          <w:color w:val="000000" w:themeColor="text1"/>
          <w:szCs w:val="21"/>
          <w:highlight w:val="none"/>
          <w14:textFill>
            <w14:solidFill>
              <w14:schemeClr w14:val="tx1"/>
            </w14:solidFill>
          </w14:textFill>
        </w:rPr>
        <w:t xml:space="preserve">采取不正当手段诋毁、排挤其他供应商、</w:t>
      </w:r>
      <w:r>
        <w:rPr>
          <w:rFonts w:hint="eastAsia" w:ascii="宋体" w:hAnsi="宋体" w:cs="宋体"/>
          <w:color w:val="000000" w:themeColor="text1"/>
          <w:highlight w:val="none"/>
          <w14:textFill>
            <w14:solidFill>
              <w14:schemeClr w14:val="tx1"/>
            </w14:solidFill>
          </w14:textFill>
        </w:rPr>
        <w:t xml:space="preserve">决不</w:t>
      </w:r>
      <w:r>
        <w:rPr>
          <w:rFonts w:hint="eastAsia" w:ascii="宋体" w:hAnsi="宋体" w:cs="宋体"/>
          <w:color w:val="000000" w:themeColor="text1"/>
          <w:szCs w:val="21"/>
          <w:highlight w:val="none"/>
          <w14:textFill>
            <w14:solidFill>
              <w14:schemeClr w14:val="tx1"/>
            </w14:solidFill>
          </w14:textFill>
        </w:rPr>
        <w:t xml:space="preserve">与采购人、其它供应商或者代理机构恶意串通、</w:t>
      </w:r>
      <w:r>
        <w:rPr>
          <w:rFonts w:hint="eastAsia" w:ascii="宋体" w:hAnsi="宋体" w:cs="宋体"/>
          <w:color w:val="000000" w:themeColor="text1"/>
          <w:highlight w:val="none"/>
          <w14:textFill>
            <w14:solidFill>
              <w14:schemeClr w14:val="tx1"/>
            </w14:solidFill>
          </w14:textFill>
        </w:rPr>
        <w:t xml:space="preserve">决不</w:t>
      </w:r>
      <w:r>
        <w:rPr>
          <w:rFonts w:hint="eastAsia" w:ascii="宋体" w:hAnsi="宋体" w:cs="宋体"/>
          <w:color w:val="000000" w:themeColor="text1"/>
          <w:szCs w:val="21"/>
          <w:highlight w:val="none"/>
          <w14:textFill>
            <w14:solidFill>
              <w14:schemeClr w14:val="tx1"/>
            </w14:solidFill>
          </w14:textFill>
        </w:rPr>
        <w:t xml:space="preserve">向</w:t>
      </w:r>
      <w:r>
        <w:rPr>
          <w:rFonts w:hint="eastAsia" w:ascii="宋体" w:hAnsi="宋体" w:cs="宋体"/>
          <w:color w:val="000000" w:themeColor="text1"/>
          <w:highlight w:val="none"/>
          <w14:textFill>
            <w14:solidFill>
              <w14:schemeClr w14:val="tx1"/>
            </w14:solidFill>
          </w14:textFill>
        </w:rPr>
        <w:t xml:space="preserve">采购人、代理机构工作人员和磋商小组进行商业贿赂</w:t>
      </w:r>
      <w:r>
        <w:rPr>
          <w:rFonts w:hint="eastAsia" w:ascii="宋体" w:hAnsi="宋体" w:cs="宋体"/>
          <w:color w:val="000000" w:themeColor="text1"/>
          <w:szCs w:val="21"/>
          <w:highlight w:val="none"/>
          <w14:textFill>
            <w14:solidFill>
              <w14:schemeClr w14:val="tx1"/>
            </w14:solidFill>
          </w14:textFill>
        </w:rPr>
        <w:t xml:space="preserve">、决不拒绝有关部门监督检查或提供虚假情况，如有违反，</w:t>
      </w:r>
      <w:r>
        <w:rPr>
          <w:rFonts w:hint="eastAsia" w:ascii="宋体" w:hAnsi="宋体" w:cs="宋体"/>
          <w:color w:val="000000" w:themeColor="text1"/>
          <w:highlight w:val="none"/>
          <w14:textFill>
            <w14:solidFill>
              <w14:schemeClr w14:val="tx1"/>
            </w14:solidFill>
          </w14:textFill>
        </w:rPr>
        <w:t xml:space="preserve">无条件接受贵方及相关管理部门的处罚。</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7、我方正式通讯方式为：</w:t>
      </w:r>
      <w:r/>
    </w:p>
    <w:p>
      <w:pPr>
        <w:ind w:firstLine="42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   址：</w:t>
      </w:r>
      <w:r/>
    </w:p>
    <w:p>
      <w:pPr>
        <w:ind w:firstLine="42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   话：</w:t>
      </w:r>
      <w:r/>
    </w:p>
    <w:p>
      <w:pPr>
        <w:ind w:firstLine="42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传   真：</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8、我方正式开户银行和帐号为：</w:t>
      </w:r>
      <w:r/>
    </w:p>
    <w:p>
      <w:pPr>
        <w:ind w:firstLine="42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开户银行：</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帐    号：</w:t>
      </w:r>
      <w:r/>
    </w:p>
    <w:p>
      <w:pPr>
        <w:ind w:firstLine="42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供应商授权代表姓名（签字）：</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供应商名称（公章）：</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期：年月日</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附件二、法定代表人授权书格式</w:t>
      </w:r>
      <w:r/>
    </w:p>
    <w:p>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法定代表人授权书</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南京市鼓楼区民政局：</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本授权书于年月日签字生效，特此声明。</w:t>
      </w:r>
      <w:r/>
    </w:p>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法定代表人签字</w:t>
      </w:r>
      <w:r>
        <w:rPr>
          <w:rFonts w:hint="eastAsia" w:ascii="宋体" w:hAnsi="宋体" w:cs="宋体"/>
          <w:color w:val="000000" w:themeColor="text1"/>
          <w:szCs w:val="21"/>
          <w:highlight w:val="none"/>
          <w14:textFill>
            <w14:solidFill>
              <w14:schemeClr w14:val="tx1"/>
            </w14:solidFill>
          </w14:textFill>
        </w:rPr>
        <w:t xml:space="preserve">或盖章</w:t>
      </w:r>
      <w:r>
        <w:rPr>
          <w:rFonts w:hint="eastAsia" w:ascii="宋体" w:hAnsi="宋体" w:cs="宋体"/>
          <w:color w:val="000000" w:themeColor="text1"/>
          <w:szCs w:val="21"/>
          <w:highlight w:val="none"/>
          <w:lang w:val="zh-CN"/>
          <w14:textFill>
            <w14:solidFill>
              <w14:schemeClr w14:val="tx1"/>
            </w14:solidFill>
          </w14:textFill>
        </w:rPr>
        <w:t xml:space="preserve">：</w:t>
      </w:r>
      <w:r/>
    </w:p>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被授权人签字：</w:t>
      </w:r>
      <w:r/>
    </w:p>
    <w:p>
      <w:pPr>
        <w:jc w:val="left"/>
        <w:spacing w:line="360" w:lineRule="auto"/>
        <w:tabs>
          <w:tab w:val="left" w:pos="144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w:t>
      </w:r>
      <w:r>
        <w:rPr>
          <w:rFonts w:hint="eastAsia" w:ascii="宋体" w:hAnsi="宋体" w:cs="宋体"/>
          <w:color w:val="000000" w:themeColor="text1"/>
          <w:szCs w:val="21"/>
          <w:highlight w:val="none"/>
          <w:lang w:val="zh-CN"/>
          <w14:textFill>
            <w14:solidFill>
              <w14:schemeClr w14:val="tx1"/>
            </w14:solidFill>
          </w14:textFill>
        </w:rPr>
        <w:t xml:space="preserve">（盖章）</w:t>
      </w:r>
      <w:r/>
    </w:p>
    <w:p>
      <w:pPr>
        <w:jc w:val="left"/>
        <w:spacing w:line="360" w:lineRule="auto"/>
        <w:tabs>
          <w:tab w:val="left" w:pos="144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日期：年月日</w:t>
      </w:r>
      <w:r/>
    </w:p>
    <w:p>
      <w:pPr>
        <w:jc w:val="left"/>
        <w:spacing w:line="360" w:lineRule="auto"/>
        <w:tabs>
          <w:tab w:val="left" w:pos="1440" w:leader="none"/>
        </w:tabs>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tabs>
          <w:tab w:val="left" w:pos="144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法定代表人身份证复印件：</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被授权人身份证复印件：</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附件三、</w:t>
      </w:r>
      <w:r>
        <w:rPr>
          <w:rFonts w:hint="eastAsia" w:ascii="宋体" w:hAnsi="宋体" w:cs="宋体"/>
          <w:b/>
          <w:bCs/>
          <w:color w:val="000000" w:themeColor="text1"/>
          <w:szCs w:val="21"/>
          <w:highlight w:val="none"/>
          <w14:textFill>
            <w14:solidFill>
              <w14:schemeClr w14:val="tx1"/>
            </w14:solidFill>
          </w14:textFill>
        </w:rPr>
        <w:t xml:space="preserve">磋商</w:t>
      </w:r>
      <w:r>
        <w:rPr>
          <w:rFonts w:hint="eastAsia" w:ascii="宋体" w:hAnsi="宋体" w:cs="宋体"/>
          <w:b/>
          <w:bCs/>
          <w:color w:val="000000" w:themeColor="text1"/>
          <w:szCs w:val="21"/>
          <w:highlight w:val="none"/>
          <w:lang w:val="zh-CN"/>
          <w14:textFill>
            <w14:solidFill>
              <w14:schemeClr w14:val="tx1"/>
            </w14:solidFill>
          </w14:textFill>
        </w:rPr>
        <w:t xml:space="preserve">报价表格式</w:t>
      </w:r>
      <w:r/>
    </w:p>
    <w:p>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磋商报价表</w:t>
      </w:r>
      <w:r/>
    </w:p>
    <w:p>
      <w:pPr>
        <w:pStyle w:val="854"/>
        <w:spacing w:beforeAutospacing="0" w:afterAutospacing="0"/>
        <w:rPr>
          <w:rFonts w:hint="default"/>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本次为首次报价                     货币单位：人民币元</w:t>
      </w:r>
      <w:r/>
    </w:p>
    <w:p>
      <w:pPr>
        <w:pStyle w:val="854"/>
        <w:rPr>
          <w:rFonts w:hint="default"/>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项目编号：项目编号 </w:t>
      </w:r>
      <w:r/>
    </w:p>
    <w:tbl>
      <w:tblPr>
        <w:tblStyle w:val="828"/>
        <w:tblW w:w="9385" w:type="dxa"/>
        <w:tblInd w:w="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583"/>
        <w:gridCol w:w="3660"/>
        <w:gridCol w:w="2142"/>
      </w:tblGrid>
      <w:tr>
        <w:trPr>
          <w:trHeight w:val="737"/>
        </w:trPr>
        <w:tc>
          <w:tcPr>
            <w:tcBorders>
              <w:top w:val="single" w:color="auto" w:sz="4" w:space="0"/>
              <w:left w:val="single" w:color="auto" w:sz="4" w:space="0"/>
              <w:bottom w:val="single" w:color="auto" w:sz="4" w:space="0"/>
              <w:right w:val="single" w:color="auto" w:sz="4" w:space="0"/>
            </w:tcBorders>
            <w:tcW w:w="3583" w:type="dxa"/>
            <w:vAlign w:val="center"/>
            <w:textDirection w:val="lrTb"/>
            <w:noWrap/>
          </w:tcPr>
          <w:p>
            <w:pPr>
              <w:jc w:val="left"/>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tcPr>
          <w:p>
            <w:pPr>
              <w:jc w:val="lef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项目内容</w:t>
            </w:r>
            <w:r/>
          </w:p>
        </w:tc>
        <w:tc>
          <w:tcPr>
            <w:tcBorders>
              <w:top w:val="single" w:color="auto" w:sz="4" w:space="0"/>
              <w:left w:val="single" w:color="auto" w:sz="4" w:space="0"/>
              <w:bottom w:val="single" w:color="auto" w:sz="4" w:space="0"/>
              <w:right w:val="single" w:color="auto" w:sz="4" w:space="0"/>
            </w:tcBorders>
            <w:tcW w:w="2142" w:type="dxa"/>
            <w:vAlign w:val="center"/>
            <w:textDirection w:val="lrTb"/>
            <w:noWrap/>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总价（小写）</w:t>
            </w:r>
            <w:r/>
          </w:p>
        </w:tc>
      </w:tr>
      <w:tr>
        <w:trPr>
          <w:trHeight w:val="1257"/>
        </w:trPr>
        <w:tc>
          <w:tcPr>
            <w:tcBorders>
              <w:top w:val="single" w:color="auto" w:sz="4" w:space="0"/>
              <w:left w:val="single" w:color="auto" w:sz="4" w:space="0"/>
              <w:bottom w:val="single" w:color="auto" w:sz="4" w:space="0"/>
              <w:right w:val="single" w:color="auto" w:sz="4" w:space="0"/>
            </w:tcBorders>
            <w:tcW w:w="3583" w:type="dxa"/>
            <w:vAlign w:val="center"/>
            <w:textDirection w:val="lrTb"/>
            <w:noWrap/>
          </w:tcPr>
          <w:p>
            <w:pPr>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tcPr>
          <w:p>
            <w:pPr>
              <w:jc w:val="lef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详见响应文件</w:t>
            </w:r>
            <w:r/>
          </w:p>
        </w:tc>
        <w:tc>
          <w:tcPr>
            <w:tcBorders>
              <w:top w:val="single" w:color="auto" w:sz="4" w:space="0"/>
              <w:left w:val="single" w:color="auto" w:sz="4" w:space="0"/>
              <w:bottom w:val="single" w:color="auto" w:sz="4" w:space="0"/>
              <w:right w:val="single" w:color="auto" w:sz="4" w:space="0"/>
            </w:tcBorders>
            <w:tcW w:w="2142" w:type="dxa"/>
            <w:vAlign w:val="center"/>
            <w:textDirection w:val="lrTb"/>
            <w:noWrap/>
          </w:tcPr>
          <w:p>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      </w:t>
            </w:r>
            <w:bookmarkStart w:id="41" w:name="_GoBack"/>
            <w:r/>
            <w:bookmarkEnd w:id="41"/>
            <w:r>
              <w:rPr>
                <w:rFonts w:hint="eastAsia" w:ascii="宋体" w:hAnsi="宋体" w:cs="宋体"/>
                <w:color w:val="000000" w:themeColor="text1"/>
                <w:szCs w:val="21"/>
                <w:highlight w:val="none"/>
                <w:lang w:val="en-US" w:eastAsia="zh-CN"/>
                <w14:textFill>
                  <w14:solidFill>
                    <w14:schemeClr w14:val="tx1"/>
                  </w14:solidFill>
                </w14:textFill>
              </w:rPr>
              <w:t xml:space="preserve">元</w:t>
            </w:r>
            <w:r/>
          </w:p>
        </w:tc>
      </w:tr>
      <w:tr>
        <w:trPr>
          <w:trHeight w:val="737"/>
        </w:trPr>
        <w:tc>
          <w:tcPr>
            <w:tcBorders>
              <w:top w:val="single" w:color="auto" w:sz="4" w:space="0"/>
              <w:left w:val="single" w:color="auto" w:sz="4" w:space="0"/>
              <w:bottom w:val="single" w:color="auto" w:sz="4" w:space="0"/>
              <w:right w:val="single" w:color="auto" w:sz="4" w:space="0"/>
            </w:tcBorders>
            <w:tcW w:w="3583" w:type="dxa"/>
            <w:vAlign w:val="center"/>
            <w:textDirection w:val="lrTb"/>
            <w:noWrap/>
          </w:tcPr>
          <w:p>
            <w:pPr>
              <w:jc w:val="left"/>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总价（大写）：</w:t>
            </w:r>
            <w:r/>
          </w:p>
        </w:tc>
        <w:tc>
          <w:tcPr>
            <w:gridSpan w:val="2"/>
            <w:tcBorders>
              <w:top w:val="single" w:color="auto" w:sz="4" w:space="0"/>
              <w:left w:val="single" w:color="auto" w:sz="4" w:space="0"/>
              <w:bottom w:val="single" w:color="auto" w:sz="4" w:space="0"/>
              <w:right w:val="single" w:color="auto" w:sz="4" w:space="0"/>
            </w:tcBorders>
            <w:tcW w:w="5802" w:type="dxa"/>
            <w:vAlign w:val="center"/>
            <w:textDirection w:val="lrTb"/>
            <w:noWrap/>
          </w:tcPr>
          <w:p>
            <w:pPr>
              <w:pStyle w:val="830"/>
              <w:jc w:val="lef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金额大写</w:t>
            </w:r>
            <w:r/>
          </w:p>
        </w:tc>
      </w:tr>
    </w:tbl>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854"/>
        <w:rPr>
          <w:rFonts w:hint="default"/>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报价说明：</w:t>
      </w:r>
      <w:r/>
    </w:p>
    <w:p>
      <w:pPr>
        <w:pStyle w:val="854"/>
        <w:rPr>
          <w:rFonts w:hint="default"/>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1、报价包括完成项目的所有费用。采购人不再支付报价以外的任何费用。</w:t>
      </w:r>
      <w:r/>
    </w:p>
    <w:p>
      <w:pPr>
        <w:pStyle w:val="854"/>
        <w:rPr>
          <w:rFonts w:hint="default"/>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2、报价以总价为准，大小写不一致以大写为准；</w:t>
      </w:r>
      <w:r/>
    </w:p>
    <w:p>
      <w:pPr>
        <w:pStyle w:val="854"/>
        <w:rPr>
          <w:rFonts w:hint="default"/>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3、偏离说明：详见《偏离表》；</w:t>
      </w:r>
      <w:r/>
    </w:p>
    <w:p>
      <w:pPr>
        <w:pStyle w:val="854"/>
        <w:rPr>
          <w:rFonts w:hint="default"/>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供应商（电子签章）：</w:t>
      </w:r>
      <w:r/>
    </w:p>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834"/>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34"/>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34"/>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34"/>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34"/>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34"/>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34"/>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clear="all"/>
      </w:r>
      <w:r/>
    </w:p>
    <w:p>
      <w:pPr>
        <w:jc w:val="left"/>
        <w:spacing w:line="240" w:lineRule="atLeas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附件四、分项报价表格式</w:t>
      </w:r>
      <w:r/>
    </w:p>
    <w:p>
      <w:pPr>
        <w:jc w:val="center"/>
        <w:spacing w:line="240" w:lineRule="atLeast"/>
        <w:widowControl/>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分项报价表</w:t>
      </w:r>
      <w:r/>
    </w:p>
    <w:p>
      <w:pPr>
        <w:ind w:firstLine="420"/>
        <w:jc w:val="lef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bl>
      <w:tblPr>
        <w:tblStyle w:val="859"/>
        <w:tblW w:w="0" w:type="auto"/>
        <w:tblInd w:w="-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2110"/>
        <w:gridCol w:w="1197"/>
        <w:gridCol w:w="1187"/>
        <w:gridCol w:w="2199"/>
        <w:gridCol w:w="2405"/>
      </w:tblGrid>
      <w:tr>
        <w:trPr>
          <w:trHeight w:val="736"/>
        </w:trPr>
        <w:tc>
          <w:tcPr>
            <w:tcW w:w="920" w:type="dxa"/>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110" w:type="dxa"/>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项目明细</w:t>
            </w:r>
            <w:r/>
          </w:p>
        </w:tc>
        <w:tc>
          <w:tcPr>
            <w:tcW w:w="1197" w:type="dxa"/>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单价（元）</w:t>
            </w:r>
            <w:r/>
          </w:p>
        </w:tc>
        <w:tc>
          <w:tcPr>
            <w:tcW w:w="1187" w:type="dxa"/>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W w:w="2199" w:type="dxa"/>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W w:w="2405" w:type="dxa"/>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小计（一年）</w:t>
            </w:r>
            <w:r/>
          </w:p>
        </w:tc>
      </w:tr>
      <w:tr>
        <w:trPr>
          <w:trHeight w:val="840"/>
        </w:trPr>
        <w:tc>
          <w:tcPr>
            <w:tcW w:w="920"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110" w:type="dxa"/>
            <w:vAlign w:val="center"/>
            <w:textDirection w:val="lrTb"/>
            <w:noWrap w:val="false"/>
          </w:tcPr>
          <w:p>
            <w:pPr>
              <w:jc w:val="left"/>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t xml:space="preserve">第四章竞争性磋商需求及要求“3、紧急呼叫中心运营”中“（1）紧急呼叫服务”</w:t>
            </w:r>
            <w:r/>
          </w:p>
        </w:tc>
        <w:tc>
          <w:tcPr>
            <w:tcW w:w="1197" w:type="dxa"/>
            <w:vAlign w:val="center"/>
            <w:textDirection w:val="lrTb"/>
            <w:noWrap w:val="false"/>
          </w:tcPr>
          <w:p>
            <w:pPr>
              <w:jc w:val="center"/>
              <w:spacing w:line="240" w:lineRule="atLeast"/>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187" w:type="dxa"/>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4000</w:t>
            </w:r>
            <w:r/>
          </w:p>
        </w:tc>
        <w:tc>
          <w:tcPr>
            <w:tcW w:w="2199" w:type="dxa"/>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人/月</w:t>
            </w:r>
            <w:r/>
          </w:p>
        </w:tc>
        <w:tc>
          <w:tcPr>
            <w:tcW w:w="2405" w:type="dxa"/>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840"/>
        </w:trPr>
        <w:tc>
          <w:tcPr>
            <w:tcW w:w="920"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110" w:type="dxa"/>
            <w:vAlign w:val="center"/>
            <w:textDirection w:val="lrTb"/>
            <w:noWrap w:val="false"/>
          </w:tcPr>
          <w:p>
            <w:pPr>
              <w:jc w:val="left"/>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t xml:space="preserve">第四章竞争性磋商需求及要求</w:t>
            </w:r>
            <w:r>
              <w:rPr>
                <w:rFonts w:hint="eastAsia" w:ascii="宋体" w:hAnsi="宋体" w:cs="宋体"/>
                <w:color w:val="000000" w:themeColor="text1"/>
                <w:szCs w:val="21"/>
                <w:highlight w:val="none"/>
                <w:lang w:val="zh-CN"/>
                <w14:textFill>
                  <w14:solidFill>
                    <w14:schemeClr w14:val="tx1"/>
                  </w14:solidFill>
                </w14:textFill>
              </w:rPr>
              <w:t xml:space="preserve">“3、紧急呼叫中心运营”</w:t>
            </w:r>
            <w:r>
              <w:rPr>
                <w:rFonts w:hint="eastAsia" w:ascii="宋体" w:hAnsi="宋体" w:cs="宋体"/>
                <w:color w:val="000000" w:themeColor="text1"/>
                <w:szCs w:val="21"/>
                <w:highlight w:val="none"/>
                <w14:textFill>
                  <w14:solidFill>
                    <w14:schemeClr w14:val="tx1"/>
                  </w14:solidFill>
                </w14:textFill>
              </w:rPr>
              <w:t xml:space="preserve">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（2）服务质量抽检回访</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及相关服务</w:t>
            </w:r>
            <w:r>
              <w:rPr>
                <w:rFonts w:hint="eastAsia" w:ascii="宋体" w:hAnsi="宋体" w:cs="宋体"/>
                <w:color w:val="000000" w:themeColor="text1"/>
                <w:sz w:val="24"/>
                <w:szCs w:val="24"/>
                <w:highlight w:val="none"/>
                <w14:textFill>
                  <w14:solidFill>
                    <w14:schemeClr w14:val="tx1"/>
                  </w14:solidFill>
                </w14:textFill>
              </w:rPr>
              <w:t xml:space="preserve">”</w:t>
            </w:r>
            <w:r/>
          </w:p>
        </w:tc>
        <w:tc>
          <w:tcPr>
            <w:tcW w:w="1197" w:type="dxa"/>
            <w:vAlign w:val="center"/>
            <w:textDirection w:val="lrTb"/>
            <w:noWrap w:val="false"/>
          </w:tcPr>
          <w:p>
            <w:pPr>
              <w:jc w:val="center"/>
              <w:spacing w:line="240" w:lineRule="atLeast"/>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187" w:type="dxa"/>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60000</w:t>
            </w:r>
            <w:r/>
          </w:p>
        </w:tc>
        <w:tc>
          <w:tcPr>
            <w:tcW w:w="2199" w:type="dxa"/>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次</w:t>
            </w:r>
            <w:r/>
          </w:p>
        </w:tc>
        <w:tc>
          <w:tcPr>
            <w:tcW w:w="2405" w:type="dxa"/>
            <w:vAlign w:val="center"/>
            <w:textDirection w:val="lrTb"/>
            <w:noWrap w:val="false"/>
          </w:tcPr>
          <w:p>
            <w:pPr>
              <w:jc w:val="center"/>
              <w:spacing w:line="240" w:lineRule="atLeast"/>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trHeight w:val="374"/>
        </w:trPr>
        <w:tc>
          <w:tcPr>
            <w:tcW w:w="920" w:type="dxa"/>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2110" w:type="dxa"/>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剩余部分服务费</w:t>
            </w:r>
            <w:r/>
          </w:p>
        </w:tc>
        <w:tc>
          <w:tcPr>
            <w:tcW w:w="1197" w:type="dxa"/>
            <w:textDirection w:val="lrTb"/>
            <w:noWrap w:val="false"/>
          </w:tcPr>
          <w:p>
            <w:pPr>
              <w:jc w:val="left"/>
              <w:spacing w:line="240" w:lineRule="atLeast"/>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187" w:type="dxa"/>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199" w:type="dxa"/>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W w:w="2405" w:type="dxa"/>
            <w:textDirection w:val="lrTb"/>
            <w:noWrap w:val="false"/>
          </w:tcPr>
          <w:p>
            <w:pPr>
              <w:jc w:val="left"/>
              <w:spacing w:line="240" w:lineRule="atLeast"/>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trHeight w:val="388"/>
        </w:trPr>
        <w:tc>
          <w:tcPr>
            <w:gridSpan w:val="6"/>
            <w:tcW w:w="10018" w:type="dxa"/>
            <w:textDirection w:val="lrTb"/>
            <w:noWrap w:val="false"/>
          </w:tcPr>
          <w:p>
            <w:pPr>
              <w:jc w:val="left"/>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合计：</w:t>
            </w:r>
            <w:r/>
          </w:p>
        </w:tc>
      </w:tr>
    </w:tbl>
    <w:p>
      <w:pPr>
        <w:jc w:val="left"/>
        <w:spacing w:line="240" w:lineRule="atLeast"/>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240" w:lineRule="atLeast"/>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说明：</w:t>
      </w:r>
      <w:r>
        <w:rPr>
          <w:rFonts w:hint="eastAsia" w:ascii="宋体" w:hAnsi="宋体" w:cs="宋体"/>
          <w:b/>
          <w:color w:val="000000" w:themeColor="text1"/>
          <w:szCs w:val="21"/>
          <w:highlight w:val="none"/>
          <w:lang w:val="zh-CN"/>
          <w14:textFill>
            <w14:solidFill>
              <w14:schemeClr w14:val="tx1"/>
            </w14:solidFill>
          </w14:textFill>
        </w:rPr>
        <w:t xml:space="preserve">经磋商后，如果成交价低于供应商在响应文件首次报价的，分项报价同比例调整。</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附件五、技术条款偏离表格式</w:t>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技术条款偏离表</w:t>
      </w:r>
      <w:r/>
    </w:p>
    <w:tbl>
      <w:tblPr>
        <w:tblStyle w:val="828"/>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2864"/>
        <w:gridCol w:w="148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5085"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bottom w:val="single" w:color="auto" w:sz="6" w:space="0"/>
              <w:right w:val="none" w:color="000000" w:sz="4" w:space="0"/>
            </w:tcBorders>
            <w:tcW w:w="4350"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w:t>
            </w:r>
            <w:r>
              <w:rPr>
                <w:rFonts w:hint="eastAsia" w:ascii="宋体" w:hAnsi="宋体" w:cs="宋体"/>
                <w:color w:val="000000" w:themeColor="text1"/>
                <w:szCs w:val="21"/>
                <w:highlight w:val="none"/>
                <w:lang w:val="zh-CN"/>
                <w14:textFill>
                  <w14:solidFill>
                    <w14:schemeClr w14:val="tx1"/>
                  </w14:solidFill>
                </w14:textFill>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w:t>
            </w:r>
            <w:r>
              <w:rPr>
                <w:rFonts w:hint="eastAsia" w:ascii="宋体" w:hAnsi="宋体" w:cs="宋体"/>
                <w:color w:val="000000" w:themeColor="text1"/>
                <w:szCs w:val="21"/>
                <w:highlight w:val="none"/>
                <w:lang w:val="zh-CN"/>
                <w14:textFill>
                  <w14:solidFill>
                    <w14:schemeClr w14:val="tx1"/>
                  </w14:solidFill>
                </w14:textFill>
              </w:rPr>
              <w:t xml:space="preserve">文件要求的</w:t>
            </w:r>
            <w:r>
              <w:rPr>
                <w:rFonts w:hint="eastAsia" w:ascii="宋体" w:hAnsi="宋体" w:cs="宋体"/>
                <w:color w:val="000000" w:themeColor="text1"/>
                <w:szCs w:val="21"/>
                <w:highlight w:val="none"/>
                <w14:textFill>
                  <w14:solidFill>
                    <w14:schemeClr w14:val="tx1"/>
                  </w14:solidFill>
                </w14:textFill>
              </w:rPr>
              <w:t xml:space="preserve">技术</w:t>
            </w:r>
            <w:r>
              <w:rPr>
                <w:rFonts w:hint="eastAsia" w:ascii="宋体" w:hAnsi="宋体" w:cs="宋体"/>
                <w:color w:val="000000" w:themeColor="text1"/>
                <w:szCs w:val="21"/>
                <w:highlight w:val="none"/>
                <w:lang w:val="zh-CN"/>
                <w14:textFill>
                  <w14:solidFill>
                    <w14:schemeClr w14:val="tx1"/>
                  </w14:solidFill>
                </w14:textFill>
              </w:rPr>
              <w:t xml:space="preserve">条款</w:t>
            </w:r>
            <w:r/>
          </w:p>
        </w:tc>
        <w:tc>
          <w:tcPr>
            <w:tcBorders>
              <w:top w:val="single" w:color="auto" w:sz="6" w:space="0"/>
              <w:left w:val="single" w:color="auto" w:sz="6" w:space="0"/>
              <w:bottom w:val="single" w:color="auto" w:sz="6" w:space="0"/>
              <w:right w:val="single" w:color="auto" w:sz="6" w:space="0"/>
            </w:tcBorders>
            <w:tcW w:w="2864"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w:t>
            </w:r>
            <w:r>
              <w:rPr>
                <w:rFonts w:hint="eastAsia" w:ascii="宋体" w:hAnsi="宋体" w:cs="宋体"/>
                <w:color w:val="000000" w:themeColor="text1"/>
                <w:szCs w:val="21"/>
                <w:highlight w:val="none"/>
                <w:lang w:val="zh-CN"/>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486" w:type="dxa"/>
            <w:vAlign w:val="center"/>
            <w:textDirection w:val="lrTb"/>
            <w:noWrap w:val="false"/>
          </w:tcPr>
          <w:p>
            <w:pPr>
              <w:jc w:val="cente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64"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8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64"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8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64"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8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64"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8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bl>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供应商名称：（盖章）</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说明：</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如果行数不够，请自行增加。</w:t>
      </w:r>
      <w:r/>
    </w:p>
    <w:p>
      <w:pPr>
        <w:ind w:firstLine="843"/>
        <w:jc w:val="left"/>
        <w:spacing w:line="360" w:lineRule="auto"/>
        <w:widowControl/>
        <w:rPr>
          <w:rFonts w:ascii="宋体" w:hAnsi="宋体" w:cs="宋体"/>
          <w:b/>
          <w:bCs/>
          <w:color w:val="000000" w:themeColor="text1"/>
          <w:sz w:val="28"/>
          <w:szCs w:val="28"/>
          <w:highlight w:val="none"/>
          <w:lang w:val="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2.供应商需在上表中对第四章“（第二部分：技术部分）”相关内容进行响应。</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附件六</w:t>
      </w:r>
      <w:r>
        <w:rPr>
          <w:rFonts w:hint="eastAsia" w:ascii="宋体" w:hAnsi="宋体" w:cs="宋体"/>
          <w:b/>
          <w:color w:val="000000" w:themeColor="text1"/>
          <w:szCs w:val="21"/>
          <w:highlight w:val="none"/>
          <w:lang w:val="zh-CN"/>
          <w14:textFill>
            <w14:solidFill>
              <w14:schemeClr w14:val="tx1"/>
            </w14:solidFill>
          </w14:textFill>
        </w:rPr>
        <w:t xml:space="preserve">、商务条款偏离表格式</w:t>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商务条款偏离表</w:t>
      </w:r>
      <w:r/>
    </w:p>
    <w:tbl>
      <w:tblPr>
        <w:tblStyle w:val="828"/>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jc w:val="center"/>
          <w:trHeight w:val="284"/>
          <w:tblHeader/>
        </w:trPr>
        <w:tc>
          <w:tcPr>
            <w:gridSpan w:val="3"/>
            <w:tcBorders>
              <w:top w:val="none" w:color="000000" w:sz="4" w:space="0"/>
              <w:left w:val="none" w:color="000000" w:sz="4" w:space="0"/>
              <w:right w:val="none" w:color="000000" w:sz="4" w:space="0"/>
            </w:tcBorders>
            <w:tcW w:w="4971"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4245"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w:t>
            </w:r>
            <w:r>
              <w:rPr>
                <w:rFonts w:hint="eastAsia" w:ascii="宋体" w:hAnsi="宋体" w:cs="宋体"/>
                <w:color w:val="000000" w:themeColor="text1"/>
                <w:szCs w:val="21"/>
                <w:highlight w:val="none"/>
                <w:lang w:val="zh-CN"/>
                <w14:textFill>
                  <w14:solidFill>
                    <w14:schemeClr w14:val="tx1"/>
                  </w14:solidFill>
                </w14:textFill>
              </w:rPr>
              <w:t xml:space="preserve">文件条目号</w:t>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w:t>
            </w:r>
            <w:r>
              <w:rPr>
                <w:rFonts w:hint="eastAsia" w:ascii="宋体" w:hAnsi="宋体" w:cs="宋体"/>
                <w:color w:val="000000" w:themeColor="text1"/>
                <w:szCs w:val="21"/>
                <w:highlight w:val="none"/>
                <w:lang w:val="zh-CN"/>
                <w14:textFill>
                  <w14:solidFill>
                    <w14:schemeClr w14:val="tx1"/>
                  </w14:solidFill>
                </w14:textFill>
              </w:rPr>
              <w:t xml:space="preserve">文件要求的商务条款</w:t>
            </w:r>
            <w:r/>
          </w:p>
        </w:tc>
        <w:tc>
          <w:tcPr>
            <w:tcW w:w="287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w:t>
            </w:r>
            <w:r>
              <w:rPr>
                <w:rFonts w:hint="eastAsia" w:ascii="宋体" w:hAnsi="宋体" w:cs="宋体"/>
                <w:color w:val="000000" w:themeColor="text1"/>
                <w:szCs w:val="21"/>
                <w:highlight w:val="none"/>
                <w:lang w:val="zh-CN"/>
                <w14:textFill>
                  <w14:solidFill>
                    <w14:schemeClr w14:val="tx1"/>
                  </w14:solidFill>
                </w14:textFill>
              </w:rPr>
              <w:t xml:space="preserve">响应</w:t>
            </w:r>
            <w:r/>
          </w:p>
        </w:tc>
        <w:tc>
          <w:tcPr>
            <w:tcW w:w="1372" w:type="dxa"/>
            <w:vAlign w:val="center"/>
            <w:textDirection w:val="lrTb"/>
            <w:noWrap w:val="false"/>
          </w:tcPr>
          <w:p>
            <w:pPr>
              <w:jc w:val="cente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87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87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87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87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bl>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供应商名称：（盖章）</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说明：</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如果行数不够，请自行增加。</w:t>
      </w:r>
      <w:r/>
    </w:p>
    <w:p>
      <w:pPr>
        <w:ind w:firstLine="843"/>
        <w:jc w:val="left"/>
        <w:spacing w:line="360" w:lineRule="auto"/>
        <w:widowControl/>
        <w:rPr>
          <w:rFonts w:ascii="宋体" w:hAnsi="宋体" w:cs="宋体"/>
          <w:b/>
          <w:bCs/>
          <w:color w:val="000000" w:themeColor="text1"/>
          <w:sz w:val="28"/>
          <w:szCs w:val="28"/>
          <w:highlight w:val="none"/>
          <w:lang w:val="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2.</w:t>
      </w:r>
      <w:r>
        <w:rPr>
          <w:rFonts w:hint="eastAsia" w:ascii="宋体" w:hAnsi="宋体" w:cs="宋体"/>
          <w:b/>
          <w:bCs/>
          <w:color w:val="000000" w:themeColor="text1"/>
          <w:sz w:val="28"/>
          <w:szCs w:val="28"/>
          <w:highlight w:val="none"/>
          <w:lang w:val="zh-CN"/>
          <w14:textFill>
            <w14:solidFill>
              <w14:schemeClr w14:val="tx1"/>
            </w14:solidFill>
          </w14:textFill>
        </w:rPr>
        <w:t xml:space="preserve">供应商需在上表中对第四章</w:t>
      </w:r>
      <w:r>
        <w:rPr>
          <w:rFonts w:hint="eastAsia" w:ascii="宋体" w:hAnsi="宋体" w:cs="宋体"/>
          <w:b/>
          <w:bCs/>
          <w:color w:val="000000" w:themeColor="text1"/>
          <w:sz w:val="28"/>
          <w:szCs w:val="28"/>
          <w:highlight w:val="none"/>
          <w14:textFill>
            <w14:solidFill>
              <w14:schemeClr w14:val="tx1"/>
            </w14:solidFill>
          </w14:textFill>
        </w:rPr>
        <w:t xml:space="preserve">“（第三部分：商务部分）”相关内容</w:t>
      </w:r>
      <w:r>
        <w:rPr>
          <w:rFonts w:hint="eastAsia" w:ascii="宋体" w:hAnsi="宋体" w:cs="宋体"/>
          <w:b/>
          <w:bCs/>
          <w:color w:val="000000" w:themeColor="text1"/>
          <w:sz w:val="28"/>
          <w:szCs w:val="28"/>
          <w:highlight w:val="none"/>
          <w:lang w:val="zh-CN"/>
          <w14:textFill>
            <w14:solidFill>
              <w14:schemeClr w14:val="tx1"/>
            </w14:solidFill>
          </w14:textFill>
        </w:rPr>
        <w:t xml:space="preserve">进行响应。</w:t>
      </w:r>
      <w:r/>
    </w:p>
    <w:p>
      <w:pPr>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附件七、竞争性磋商文件要求及供应商认为需要提供的证明文件及材料等（格式自拟）</w:t>
      </w:r>
      <w:r/>
    </w:p>
    <w:p>
      <w:pPr>
        <w:spacing w:line="240" w:lineRule="atLeast"/>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240" w:lineRule="atLeast"/>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240" w:lineRule="atLeast"/>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240" w:lineRule="atLeast"/>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left"/>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附件八、中小企业声明函格式</w:t>
      </w:r>
      <w:r/>
    </w:p>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中小企业声明函（工程、服务）</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highlight w:val="none"/>
          <w:u w:val="single"/>
          <w14:textFill>
            <w14:solidFill>
              <w14:schemeClr w14:val="tx1"/>
            </w14:solidFill>
          </w14:textFill>
        </w:rPr>
        <w:t xml:space="preserve">（单位名称）</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highlight w:val="none"/>
          <w:u w:val="single"/>
          <w14:textFill>
            <w14:solidFill>
              <w14:schemeClr w14:val="tx1"/>
            </w14:solidFill>
          </w14:textFill>
        </w:rPr>
        <w:t xml:space="preserve">（项目名称）</w:t>
      </w:r>
      <w:r>
        <w:rPr>
          <w:rFonts w:hint="eastAsia" w:ascii="宋体" w:hAnsi="宋体" w:cs="宋体"/>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 xml:space="preserve">（标的名称）</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 其他未列明行业 </w:t>
      </w:r>
      <w:r>
        <w:rPr>
          <w:rFonts w:hint="eastAsia" w:ascii="宋体" w:hAnsi="宋体" w:cs="宋体"/>
          <w:color w:val="000000" w:themeColor="text1"/>
          <w:highlight w:val="none"/>
          <w14:textFill>
            <w14:solidFill>
              <w14:schemeClr w14:val="tx1"/>
            </w14:solidFill>
          </w14:textFill>
        </w:rPr>
        <w:t xml:space="preserve">；承建（承接）企业为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（企业名称），从业人员</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（中型企业、小型企业、微型企业）；</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本企业对上述声明内容的真实性负责。如有虚假，将依法承担相应责任。</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企业名称（盖章）：</w:t>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spacing w:line="240" w:lineRule="atLeas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注3：供应商如不提供此声明函，价格将不做相应扣除。</w:t>
      </w:r>
      <w:r/>
    </w:p>
    <w:p>
      <w:pPr>
        <w:spacing w:line="440" w:lineRule="exact"/>
        <w:rPr>
          <w:rFonts w:cs="宋体"/>
          <w:color w:val="000000" w:themeColor="text1"/>
          <w:sz w:val="22"/>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注4：</w:t>
      </w:r>
      <w:r>
        <w:rPr>
          <w:rFonts w:hint="eastAsia" w:cs="宋体"/>
          <w:color w:val="000000" w:themeColor="text1"/>
          <w:sz w:val="22"/>
          <w:szCs w:val="21"/>
          <w:highlight w:val="none"/>
          <w14:textFill>
            <w14:solidFill>
              <w14:schemeClr w14:val="tx1"/>
            </w14:solidFill>
          </w14:textFill>
        </w:rPr>
        <w:t xml:space="preserve">依据《关于印发中小企业划型标准规定的通知》（工信部联企业〔2011〕300号 ）：</w:t>
      </w:r>
      <w:r/>
    </w:p>
    <w:p>
      <w:pPr>
        <w:spacing w:line="440" w:lineRule="exact"/>
        <w:rPr>
          <w:rFonts w:cs="宋体"/>
          <w:color w:val="000000" w:themeColor="text1"/>
          <w:szCs w:val="2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（十六）其他未列明行业。</w:t>
      </w:r>
      <w:r>
        <w:rPr>
          <w:rFonts w:hint="eastAsia" w:cs="宋体"/>
          <w:color w:val="000000" w:themeColor="text1"/>
          <w:szCs w:val="21"/>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 </w:t>
      </w:r>
      <w:r/>
    </w:p>
    <w:p>
      <w:pPr>
        <w:spacing w:line="240" w:lineRule="atLeast"/>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240" w:lineRule="atLeast"/>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240" w:lineRule="atLeast"/>
        <w:widowControl/>
        <w:rPr>
          <w:rFonts w:ascii="宋体" w:hAnsi="宋体" w:cs="宋体"/>
          <w:b/>
          <w:color w:val="000000" w:themeColor="text1"/>
          <w:highlight w:val="none"/>
          <w14:textFill>
            <w14:solidFill>
              <w14:schemeClr w14:val="tx1"/>
            </w14:solidFill>
          </w14:textFill>
        </w:rPr>
        <w:sectPr>
          <w:headerReference w:type="default" r:id="rId10"/>
          <w:footnotePr/>
          <w:endnotePr/>
          <w:type w:val="nextPage"/>
          <w:pgSz w:w="11906" w:h="16838" w:orient="portrait"/>
          <w:pgMar w:top="850" w:right="850" w:bottom="850" w:left="1417" w:header="0" w:footer="680" w:gutter="0"/>
          <w:cols w:num="1" w:sep="0" w:space="720" w:equalWidth="1"/>
          <w:docGrid w:linePitch="360"/>
        </w:sectPr>
      </w:pPr>
      <w:r>
        <w:rPr>
          <w:rFonts w:ascii="宋体" w:hAnsi="宋体" w:cs="宋体"/>
          <w:b/>
          <w:color w:val="000000" w:themeColor="text1"/>
          <w:highlight w:val="none"/>
          <w14:textFill>
            <w14:solidFill>
              <w14:schemeClr w14:val="tx1"/>
            </w14:solidFill>
          </w14:textFill>
        </w:rPr>
      </w:r>
      <w:r/>
    </w:p>
    <w:p>
      <w:pPr>
        <w:jc w:val="left"/>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附件九、具备履行合同所必需的设备和专业技术能力的声明格式</w:t>
      </w:r>
      <w:r/>
    </w:p>
    <w:p>
      <w:pPr>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具备履行合同所必需的设备和专业技术能力的声明</w:t>
      </w:r>
      <w:r/>
    </w:p>
    <w:p>
      <w:pPr>
        <w:jc w:val="center"/>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南京市鼓楼区民政局：</w:t>
      </w:r>
      <w:r/>
    </w:p>
    <w:p>
      <w:pPr>
        <w:ind w:firstLine="492"/>
        <w:spacing w:line="4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主要设备有：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ind w:firstLine="492"/>
        <w:spacing w:line="4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主要专业技术能力有：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525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声明人（公章）：</w:t>
      </w:r>
      <w:r/>
    </w:p>
    <w:p>
      <w:pPr>
        <w:ind w:firstLine="525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        年     月    日</w:t>
      </w:r>
      <w:r/>
    </w:p>
    <w:p>
      <w:pPr>
        <w:ind w:firstLine="492"/>
        <w:spacing w:line="4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其他证明材料及文件：（如果投标人认为需要提供的话）  </w:t>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pStyle w:val="858"/>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pStyle w:val="858"/>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pStyle w:val="858"/>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pStyle w:val="858"/>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jc w:val="left"/>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附件十、无重大违法记录声明格式</w:t>
      </w:r>
      <w:r/>
    </w:p>
    <w:p>
      <w:pPr>
        <w:spacing w:line="240" w:lineRule="atLeast"/>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无重大违法记录声明</w:t>
      </w:r>
      <w:r/>
    </w:p>
    <w:p>
      <w:pPr>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南京市鼓楼区民政局</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我单位（供应商名称）郑重声明：</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参加政府采购活动前3年内在经营活动中</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（在下划线上如实填写：有或没有）重大违法记录。</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声明人：          （公章）</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        年     月    日</w:t>
      </w:r>
      <w:r/>
    </w:p>
    <w:p>
      <w:pPr>
        <w:pStyle w:val="1037"/>
        <w:ind w:left="0"/>
        <w:spacing w:before="20"/>
        <w:widowControl/>
        <w:rPr>
          <w:rFonts w:hint="default" w:cs="宋体"/>
          <w:color w:val="000000" w:themeColor="text1"/>
          <w:highlight w:val="none"/>
          <w14:textFill>
            <w14:solidFill>
              <w14:schemeClr w14:val="tx1"/>
            </w14:solidFill>
          </w14:textFill>
        </w:rPr>
        <w:sectPr>
          <w:footnotePr/>
          <w:endnotePr/>
          <w:type w:val="nextPage"/>
          <w:pgSz w:w="11906" w:h="16838" w:orient="portrait"/>
          <w:pgMar w:top="850" w:right="850" w:bottom="850" w:left="1417" w:header="510" w:footer="680" w:gutter="0"/>
          <w:cols w:num="1" w:sep="0" w:space="720" w:equalWidth="1"/>
          <w:docGrid w:linePitch="360"/>
        </w:sectPr>
      </w:pPr>
      <w:r>
        <w:rPr>
          <w:rFonts w:hint="default" w:cs="宋体"/>
          <w:color w:val="000000" w:themeColor="text1"/>
          <w:highlight w:val="none"/>
          <w14:textFill>
            <w14:solidFill>
              <w14:schemeClr w14:val="tx1"/>
            </w14:solidFill>
          </w14:textFill>
        </w:rPr>
      </w:r>
      <w:r/>
    </w:p>
    <w:p>
      <w:pPr>
        <w:jc w:val="left"/>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附件十一、残疾人福利性单位声明函格式</w:t>
      </w:r>
      <w:r/>
    </w:p>
    <w:p>
      <w:pPr>
        <w:pStyle w:val="834"/>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pStyle w:val="1037"/>
        <w:ind w:left="3832"/>
        <w:spacing w:before="167"/>
        <w:widowControl/>
        <w:rPr>
          <w:rFonts w:hint="default"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t xml:space="preserve">残疾人福利性单位声明函</w:t>
      </w:r>
      <w:r/>
    </w:p>
    <w:p>
      <w:pPr>
        <w:pStyle w:val="834"/>
        <w:spacing w:before="7"/>
        <w:widowControl/>
        <w:rPr>
          <w:rFonts w:ascii="宋体" w:hAnsi="宋体" w:cs="宋体"/>
          <w:b/>
          <w:color w:val="000000" w:themeColor="text1"/>
          <w:sz w:val="18"/>
          <w:highlight w:val="none"/>
          <w14:textFill>
            <w14:solidFill>
              <w14:schemeClr w14:val="tx1"/>
            </w14:solidFill>
          </w14:textFill>
        </w:rPr>
      </w:pPr>
      <w:r>
        <w:rPr>
          <w:rFonts w:ascii="宋体" w:hAnsi="宋体" w:cs="宋体"/>
          <w:b/>
          <w:color w:val="000000" w:themeColor="text1"/>
          <w:sz w:val="18"/>
          <w:highlight w:val="none"/>
          <w14:textFill>
            <w14:solidFill>
              <w14:schemeClr w14:val="tx1"/>
            </w14:solidFill>
          </w14:textFill>
        </w:rPr>
      </w:r>
      <w:r/>
    </w:p>
    <w:p>
      <w:pPr>
        <w:pStyle w:val="834"/>
        <w:ind w:right="617" w:firstLine="480"/>
        <w:spacing w:line="422" w:lineRule="auto"/>
        <w:widowControl/>
        <w:tabs>
          <w:tab w:val="left" w:pos="3711" w:leader="none"/>
          <w:tab w:val="left" w:pos="5151"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本单位郑重声明</w:t>
      </w:r>
      <w:r>
        <w:rPr>
          <w:rFonts w:hint="eastAsia" w:ascii="宋体" w:hAnsi="宋体" w:cs="宋体"/>
          <w:color w:val="000000" w:themeColor="text1"/>
          <w:spacing w:val="-27"/>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根</w:t>
      </w:r>
      <w:r>
        <w:rPr>
          <w:rFonts w:hint="eastAsia" w:ascii="宋体" w:hAnsi="宋体" w:cs="宋体"/>
          <w:color w:val="000000" w:themeColor="text1"/>
          <w:spacing w:val="-24"/>
          <w:highlight w:val="none"/>
          <w14:textFill>
            <w14:solidFill>
              <w14:schemeClr w14:val="tx1"/>
            </w14:solidFill>
          </w14:textFill>
        </w:rPr>
        <w:t xml:space="preserve">据</w:t>
      </w:r>
      <w:r>
        <w:rPr>
          <w:rFonts w:hint="eastAsia" w:ascii="宋体" w:hAnsi="宋体" w:cs="宋体"/>
          <w:color w:val="000000" w:themeColor="text1"/>
          <w:highlight w:val="none"/>
          <w14:textFill>
            <w14:solidFill>
              <w14:schemeClr w14:val="tx1"/>
            </w14:solidFill>
          </w14:textFill>
        </w:rPr>
        <w:t xml:space="preserve">《财政部民政部中国残疾人联合会关于促进残疾人就业</w:t>
      </w:r>
      <w:r>
        <w:rPr>
          <w:rFonts w:hint="eastAsia" w:ascii="宋体" w:hAnsi="宋体" w:cs="宋体"/>
          <w:color w:val="000000" w:themeColor="text1"/>
          <w:spacing w:val="-18"/>
          <w:highlight w:val="none"/>
          <w14:textFill>
            <w14:solidFill>
              <w14:schemeClr w14:val="tx1"/>
            </w14:solidFill>
          </w14:textFill>
        </w:rPr>
        <w:t xml:space="preserve">政</w:t>
      </w:r>
      <w:r>
        <w:rPr>
          <w:rFonts w:hint="eastAsia" w:ascii="宋体" w:hAnsi="宋体" w:cs="宋体"/>
          <w:color w:val="000000" w:themeColor="text1"/>
          <w:highlight w:val="none"/>
          <w14:textFill>
            <w14:solidFill>
              <w14:schemeClr w14:val="tx1"/>
            </w14:solidFill>
          </w14:textFill>
        </w:rPr>
        <w:t xml:space="preserve">府采购政策的通知</w:t>
      </w:r>
      <w:r>
        <w:rPr>
          <w:rFonts w:hint="eastAsia" w:ascii="宋体" w:hAnsi="宋体" w:cs="宋体"/>
          <w:color w:val="000000" w:themeColor="text1"/>
          <w:spacing w:val="-39"/>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（财</w:t>
      </w:r>
      <w:r>
        <w:rPr>
          <w:rFonts w:hint="eastAsia" w:ascii="宋体" w:hAnsi="宋体" w:cs="宋体"/>
          <w:color w:val="000000" w:themeColor="text1"/>
          <w:spacing w:val="-17"/>
          <w:highlight w:val="none"/>
          <w14:textFill>
            <w14:solidFill>
              <w14:schemeClr w14:val="tx1"/>
            </w14:solidFill>
          </w14:textFill>
        </w:rPr>
        <w:t xml:space="preserve">库</w:t>
      </w:r>
      <w:r>
        <w:rPr>
          <w:rFonts w:hint="eastAsia" w:ascii="宋体" w:hAnsi="宋体" w:cs="宋体"/>
          <w:color w:val="000000" w:themeColor="text1"/>
          <w:highlight w:val="none"/>
          <w14:textFill>
            <w14:solidFill>
              <w14:schemeClr w14:val="tx1"/>
            </w14:solidFill>
          </w14:textFill>
        </w:rPr>
        <w:t xml:space="preserve">〔2017〕141号</w:t>
      </w:r>
      <w:r>
        <w:rPr>
          <w:rFonts w:hint="eastAsia" w:ascii="宋体" w:hAnsi="宋体" w:cs="宋体"/>
          <w:color w:val="000000" w:themeColor="text1"/>
          <w:spacing w:val="-20"/>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的规定</w:t>
      </w:r>
      <w:r>
        <w:rPr>
          <w:rFonts w:hint="eastAsia" w:ascii="宋体" w:hAnsi="宋体" w:cs="宋体"/>
          <w:color w:val="000000" w:themeColor="text1"/>
          <w:spacing w:val="-17"/>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本单位为符合条件的残疾人福</w:t>
      </w:r>
      <w:r>
        <w:rPr>
          <w:rFonts w:hint="eastAsia" w:ascii="宋体" w:hAnsi="宋体" w:cs="宋体"/>
          <w:color w:val="000000" w:themeColor="text1"/>
          <w:spacing w:val="-16"/>
          <w:highlight w:val="none"/>
          <w14:textFill>
            <w14:solidFill>
              <w14:schemeClr w14:val="tx1"/>
            </w14:solidFill>
          </w14:textFill>
        </w:rPr>
        <w:t xml:space="preserve">利</w:t>
      </w:r>
      <w:r>
        <w:rPr>
          <w:rFonts w:hint="eastAsia" w:ascii="宋体" w:hAnsi="宋体" w:cs="宋体"/>
          <w:color w:val="000000" w:themeColor="text1"/>
          <w:highlight w:val="none"/>
          <w14:textFill>
            <w14:solidFill>
              <w14:schemeClr w14:val="tx1"/>
            </w14:solidFill>
          </w14:textFill>
        </w:rPr>
        <w:t xml:space="preserve">性单位</w:t>
      </w:r>
      <w:r>
        <w:rPr>
          <w:rFonts w:hint="eastAsia" w:ascii="宋体" w:hAnsi="宋体" w:cs="宋体"/>
          <w:color w:val="000000" w:themeColor="text1"/>
          <w:spacing w:val="-27"/>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且本单位参加</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单位的</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项目采购活动提供本单位制造的货</w:t>
      </w:r>
      <w:r>
        <w:rPr>
          <w:rFonts w:hint="eastAsia" w:ascii="宋体" w:hAnsi="宋体" w:cs="宋体"/>
          <w:color w:val="000000" w:themeColor="text1"/>
          <w:spacing w:val="-24"/>
          <w:highlight w:val="none"/>
          <w14:textFill>
            <w14:solidFill>
              <w14:schemeClr w14:val="tx1"/>
            </w14:solidFill>
          </w14:textFill>
        </w:rPr>
        <w:t xml:space="preserve">物</w:t>
      </w:r>
      <w:r>
        <w:rPr>
          <w:rFonts w:hint="eastAsia" w:ascii="宋体" w:hAnsi="宋体" w:cs="宋体"/>
          <w:color w:val="000000" w:themeColor="text1"/>
          <w:highlight w:val="none"/>
          <w14:textFill>
            <w14:solidFill>
              <w14:schemeClr w14:val="tx1"/>
            </w14:solidFill>
          </w14:textFill>
        </w:rPr>
        <w:t xml:space="preserve">（由</w:t>
      </w:r>
      <w:r>
        <w:rPr>
          <w:rFonts w:hint="eastAsia" w:ascii="宋体" w:hAnsi="宋体" w:cs="宋体"/>
          <w:color w:val="000000" w:themeColor="text1"/>
          <w:spacing w:val="-18"/>
          <w:highlight w:val="none"/>
          <w14:textFill>
            <w14:solidFill>
              <w14:schemeClr w14:val="tx1"/>
            </w14:solidFill>
          </w14:textFill>
        </w:rPr>
        <w:t xml:space="preserve">本</w:t>
      </w:r>
      <w:r>
        <w:rPr>
          <w:rFonts w:hint="eastAsia" w:ascii="宋体" w:hAnsi="宋体" w:cs="宋体"/>
          <w:color w:val="000000" w:themeColor="text1"/>
          <w:highlight w:val="none"/>
          <w14:textFill>
            <w14:solidFill>
              <w14:schemeClr w14:val="tx1"/>
            </w14:solidFill>
          </w14:textFill>
        </w:rPr>
        <w:t xml:space="preserve">单位承担工程/提供服务），或者提供其他残疾人福利性单位制造的货物（不包括使用非残疾人福利性单位注册商标的货物）。</w:t>
      </w:r>
      <w:r/>
    </w:p>
    <w:p>
      <w:pPr>
        <w:pStyle w:val="834"/>
        <w:ind w:left="1098"/>
        <w:spacing w:before="3"/>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本单位对上述声明的真实性负责。如有虚假，将依法承担相应责任。</w:t>
      </w:r>
      <w:r/>
    </w:p>
    <w:p>
      <w:pPr>
        <w:pStyle w:val="834"/>
        <w:spacing w:before="6"/>
        <w:widowControl/>
        <w:rPr>
          <w:rFonts w:ascii="宋体" w:hAnsi="宋体" w:cs="宋体"/>
          <w:color w:val="000000" w:themeColor="text1"/>
          <w:sz w:val="18"/>
          <w:highlight w:val="none"/>
          <w14:textFill>
            <w14:solidFill>
              <w14:schemeClr w14:val="tx1"/>
            </w14:solidFill>
          </w14:textFill>
        </w:rPr>
      </w:pPr>
      <w:r>
        <w:rPr>
          <w:rFonts w:ascii="宋体" w:hAnsi="宋体" w:cs="宋体"/>
          <w:color w:val="000000" w:themeColor="text1"/>
          <w:sz w:val="18"/>
          <w:highlight w:val="none"/>
          <w14:textFill>
            <w14:solidFill>
              <w14:schemeClr w14:val="tx1"/>
            </w14:solidFill>
          </w14:textFill>
        </w:rPr>
      </w:r>
      <w:r/>
    </w:p>
    <w:p>
      <w:pPr>
        <w:pStyle w:val="834"/>
        <w:ind w:right="2725"/>
        <w:spacing w:line="420" w:lineRule="auto"/>
        <w:widowControl/>
        <w:tabs>
          <w:tab w:val="left" w:pos="7098" w:leader="none"/>
        </w:tabs>
        <w:rPr>
          <w:rFonts w:ascii="宋体" w:hAnsi="宋体" w:cs="宋体"/>
          <w:color w:val="000000" w:themeColor="text1"/>
          <w:spacing w:val="-9"/>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单位名称（盖章</w:t>
      </w:r>
      <w:r>
        <w:rPr>
          <w:rFonts w:hint="eastAsia" w:ascii="宋体" w:hAnsi="宋体" w:cs="宋体"/>
          <w:color w:val="000000" w:themeColor="text1"/>
          <w:spacing w:val="-9"/>
          <w:highlight w:val="none"/>
          <w14:textFill>
            <w14:solidFill>
              <w14:schemeClr w14:val="tx1"/>
            </w14:solidFill>
          </w14:textFill>
        </w:rPr>
        <w:t xml:space="preserve">）：</w:t>
      </w:r>
      <w:r/>
    </w:p>
    <w:p>
      <w:pPr>
        <w:pStyle w:val="834"/>
        <w:ind w:right="2725"/>
        <w:spacing w:line="420" w:lineRule="auto"/>
        <w:widowControl/>
        <w:tabs>
          <w:tab w:val="left" w:pos="7098" w:leader="none"/>
        </w:tabs>
        <w:rPr>
          <w:rFonts w:ascii="宋体" w:hAnsi="宋体" w:cs="宋体"/>
          <w:color w:val="000000" w:themeColor="text1"/>
          <w:spacing w:val="-9"/>
          <w:highlight w:val="none"/>
          <w14:textFill>
            <w14:solidFill>
              <w14:schemeClr w14:val="tx1"/>
            </w14:solidFill>
          </w14:textFill>
        </w:rPr>
      </w:pPr>
      <w:r>
        <w:rPr>
          <w:rFonts w:hint="eastAsia" w:ascii="宋体" w:hAnsi="宋体" w:cs="宋体"/>
          <w:color w:val="000000" w:themeColor="text1"/>
          <w:spacing w:val="-9"/>
          <w:highlight w:val="none"/>
          <w14:textFill>
            <w14:solidFill>
              <w14:schemeClr w14:val="tx1"/>
            </w14:solidFill>
          </w14:textFill>
        </w:rPr>
        <w:t xml:space="preserve">日</w:t>
      </w:r>
      <w:r>
        <w:rPr>
          <w:rFonts w:hint="eastAsia" w:ascii="宋体" w:hAnsi="宋体" w:cs="宋体"/>
          <w:color w:val="000000" w:themeColor="text1"/>
          <w:highlight w:val="none"/>
          <w14:textFill>
            <w14:solidFill>
              <w14:schemeClr w14:val="tx1"/>
            </w14:solidFill>
          </w14:textFill>
        </w:rPr>
        <w:t xml:space="preserve">期</w:t>
      </w:r>
      <w:r>
        <w:rPr>
          <w:rFonts w:hint="eastAsia" w:ascii="宋体" w:hAnsi="宋体" w:cs="宋体"/>
          <w:color w:val="000000" w:themeColor="text1"/>
          <w:spacing w:val="-17"/>
          <w:highlight w:val="none"/>
          <w14:textFill>
            <w14:solidFill>
              <w14:schemeClr w14:val="tx1"/>
            </w14:solidFill>
          </w14:textFill>
        </w:rPr>
        <w:t xml:space="preserve">：</w:t>
      </w:r>
      <w:r/>
    </w:p>
    <w:p>
      <w:pPr>
        <w:pStyle w:val="1037"/>
        <w:ind w:left="0"/>
        <w:widowControl/>
        <w:rPr>
          <w:rFonts w:hint="default" w:cs="宋体"/>
          <w:color w:val="000000" w:themeColor="text1"/>
          <w:highlight w:val="none"/>
          <w14:textFill>
            <w14:solidFill>
              <w14:schemeClr w14:val="tx1"/>
            </w14:solidFill>
          </w14:textFill>
        </w:rPr>
      </w:pPr>
      <w:r>
        <w:rPr>
          <w:rFonts w:hint="default" w:cs="宋体"/>
          <w:color w:val="000000" w:themeColor="text1"/>
          <w:highlight w:val="none"/>
          <w14:textFill>
            <w14:solidFill>
              <w14:schemeClr w14:val="tx1"/>
            </w14:solidFill>
          </w14:textFill>
        </w:rPr>
      </w:r>
      <w:r/>
    </w:p>
    <w:p>
      <w:pPr>
        <w:pStyle w:val="1037"/>
        <w:ind w:left="0"/>
        <w:widowControl/>
        <w:rPr>
          <w:rFonts w:hint="default" w:cs="宋体"/>
          <w:color w:val="000000" w:themeColor="text1"/>
          <w:highlight w:val="none"/>
          <w14:textFill>
            <w14:solidFill>
              <w14:schemeClr w14:val="tx1"/>
            </w14:solidFill>
          </w14:textFill>
        </w:rPr>
      </w:pPr>
      <w:r>
        <w:rPr>
          <w:rFonts w:hint="default" w:cs="宋体"/>
          <w:color w:val="000000" w:themeColor="text1"/>
          <w:highlight w:val="none"/>
          <w14:textFill>
            <w14:solidFill>
              <w14:schemeClr w14:val="tx1"/>
            </w14:solidFill>
          </w14:textFill>
        </w:rPr>
      </w:r>
      <w:r/>
    </w:p>
    <w:p>
      <w:pPr>
        <w:jc w:val="left"/>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附件十二、属于监狱企业的证明文件</w:t>
      </w:r>
      <w:r/>
    </w:p>
    <w:p>
      <w:pPr>
        <w:pStyle w:val="834"/>
        <w:ind w:right="554" w:firstLine="480"/>
        <w:spacing w:before="165" w:line="422"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提供由省级以上监狱管理局、戒毒管理局(含新疆生产建设兵团)出具的属于监狱企业的证明文件</w:t>
      </w:r>
      <w:r>
        <w:rPr>
          <w:rFonts w:hint="eastAsia" w:ascii="宋体" w:hAnsi="宋体" w:cs="宋体"/>
          <w:color w:val="000000" w:themeColor="text1"/>
          <w:highlight w:val="none"/>
          <w14:textFill>
            <w14:solidFill>
              <w14:schemeClr w14:val="tx1"/>
            </w14:solidFill>
          </w14:textFill>
        </w:rPr>
        <w:br w:type="page" w:clear="all"/>
      </w:r>
      <w:r/>
    </w:p>
    <w:p>
      <w:pPr>
        <w:jc w:val="left"/>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附件十三、南京市政府采购供应商信用记录表暨信用承诺书</w:t>
      </w:r>
      <w:r/>
    </w:p>
    <w:p>
      <w:pPr>
        <w:jc w:val="center"/>
        <w:spacing w:line="360" w:lineRule="auto"/>
        <w:widowControl/>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jc w:val="center"/>
        <w:spacing w:line="360" w:lineRule="auto"/>
        <w:widowControl/>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南京市政府采购供应商信用记录表暨信用承诺书</w:t>
      </w:r>
      <w:r/>
    </w:p>
    <w:p>
      <w:pPr>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righ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   年  月   日</w:t>
      </w:r>
      <w:r/>
    </w:p>
    <w:p>
      <w:pPr>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bl>
      <w:tblPr>
        <w:tblStyle w:val="828"/>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tcPr>
          <w:p>
            <w:pPr>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单位名称</w:t>
            </w:r>
            <w:r/>
          </w:p>
        </w:tc>
        <w:tc>
          <w:tcPr>
            <w:tcW w:w="2205" w:type="dxa"/>
            <w:vAlign w:val="center"/>
            <w:textDirection w:val="lrTb"/>
            <w:noWrap/>
          </w:tcPr>
          <w:p>
            <w:pPr>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c>
          <w:tcPr>
            <w:tcW w:w="2048" w:type="dxa"/>
            <w:vAlign w:val="center"/>
            <w:textDirection w:val="lrTb"/>
            <w:noWrap/>
          </w:tcPr>
          <w:p>
            <w:pPr>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统一社会信用代码</w:t>
            </w:r>
            <w:r/>
          </w:p>
        </w:tc>
        <w:tc>
          <w:tcPr>
            <w:tcW w:w="3472" w:type="dxa"/>
            <w:vAlign w:val="center"/>
            <w:textDirection w:val="lrTb"/>
            <w:noWrap/>
          </w:tcPr>
          <w:p>
            <w:pPr>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r>
      <w:tr>
        <w:trPr>
          <w:jc w:val="center"/>
          <w:trHeight w:val="510"/>
        </w:trPr>
        <w:tc>
          <w:tcPr>
            <w:tcW w:w="2137" w:type="dxa"/>
            <w:vAlign w:val="center"/>
            <w:textDirection w:val="lrTb"/>
            <w:noWrap/>
          </w:tcPr>
          <w:p>
            <w:pPr>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法定代表人</w:t>
            </w:r>
            <w:r/>
          </w:p>
        </w:tc>
        <w:tc>
          <w:tcPr>
            <w:tcW w:w="2205" w:type="dxa"/>
            <w:vAlign w:val="center"/>
            <w:textDirection w:val="lrTb"/>
            <w:noWrap/>
          </w:tcPr>
          <w:p>
            <w:pPr>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c>
          <w:tcPr>
            <w:tcW w:w="2048" w:type="dxa"/>
            <w:vAlign w:val="center"/>
            <w:textDirection w:val="lrTb"/>
            <w:noWrap/>
          </w:tcPr>
          <w:p>
            <w:pPr>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联系人</w:t>
            </w:r>
            <w:r/>
          </w:p>
        </w:tc>
        <w:tc>
          <w:tcPr>
            <w:tcW w:w="3472" w:type="dxa"/>
            <w:vAlign w:val="center"/>
            <w:textDirection w:val="lrTb"/>
            <w:noWrap/>
          </w:tcPr>
          <w:p>
            <w:pPr>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r>
      <w:tr>
        <w:trPr>
          <w:jc w:val="center"/>
          <w:trHeight w:val="510"/>
        </w:trPr>
        <w:tc>
          <w:tcPr>
            <w:tcW w:w="2137" w:type="dxa"/>
            <w:vAlign w:val="center"/>
            <w:textDirection w:val="lrTb"/>
            <w:noWrap/>
          </w:tcPr>
          <w:p>
            <w:pPr>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联系地址</w:t>
            </w:r>
            <w:r/>
          </w:p>
        </w:tc>
        <w:tc>
          <w:tcPr>
            <w:tcW w:w="2205" w:type="dxa"/>
            <w:vAlign w:val="center"/>
            <w:textDirection w:val="lrTb"/>
            <w:noWrap/>
          </w:tcPr>
          <w:p>
            <w:pPr>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c>
          <w:tcPr>
            <w:tcW w:w="2048" w:type="dxa"/>
            <w:vAlign w:val="center"/>
            <w:textDirection w:val="lrTb"/>
            <w:noWrap/>
          </w:tcPr>
          <w:p>
            <w:pPr>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联系电话</w:t>
            </w:r>
            <w:r/>
          </w:p>
        </w:tc>
        <w:tc>
          <w:tcPr>
            <w:tcW w:w="3472" w:type="dxa"/>
            <w:vAlign w:val="center"/>
            <w:textDirection w:val="lrTb"/>
            <w:noWrap/>
          </w:tcPr>
          <w:p>
            <w:pPr>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r>
      <w:tr>
        <w:trPr>
          <w:jc w:val="center"/>
          <w:trHeight w:val="1710"/>
        </w:trPr>
        <w:tc>
          <w:tcPr>
            <w:tcW w:w="2137" w:type="dxa"/>
            <w:vAlign w:val="center"/>
            <w:textDirection w:val="lrTb"/>
            <w:noWrap/>
          </w:tcPr>
          <w:p>
            <w:pPr>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诚信档案记录情况</w:t>
            </w:r>
            <w:r/>
          </w:p>
        </w:tc>
        <w:tc>
          <w:tcPr>
            <w:gridSpan w:val="3"/>
            <w:tcW w:w="7725" w:type="dxa"/>
            <w:vAlign w:val="center"/>
            <w:textDirection w:val="lrTb"/>
            <w:noWrap/>
          </w:tcPr>
          <w:p>
            <w:pPr>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r>
      <w:tr>
        <w:trPr>
          <w:jc w:val="center"/>
          <w:trHeight w:val="4075"/>
        </w:trPr>
        <w:tc>
          <w:tcPr>
            <w:tcW w:w="2137"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信用承诺</w:t>
            </w:r>
            <w:r/>
          </w:p>
        </w:tc>
        <w:tc>
          <w:tcPr>
            <w:gridSpan w:val="3"/>
            <w:tcW w:w="7725" w:type="dxa"/>
            <w:vAlign w:val="center"/>
            <w:textDirection w:val="lrTb"/>
            <w:noWrap/>
          </w:tcPr>
          <w:p>
            <w:pPr>
              <w:ind w:left="42" w:firstLine="480"/>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我公司自愿参加贵中心（公司）组织的本次采购活动，严格遵守《中华人民共和国政府采购法》及相关法</w:t>
            </w:r>
            <w:r>
              <w:rPr>
                <w:rFonts w:hint="eastAsia" w:ascii="宋体" w:hAnsi="宋体" w:cs="宋体"/>
                <w:color w:val="000000" w:themeColor="text1"/>
                <w:sz w:val="24"/>
                <w:highlight w:val="none"/>
                <w14:textFill>
                  <w14:solidFill>
                    <w14:schemeClr w14:val="tx1"/>
                  </w14:solidFill>
                </w14:textFill>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240"/>
        </w:trPr>
        <w:tc>
          <w:tcPr>
            <w:tcW w:w="2137" w:type="dxa"/>
            <w:vAlign w:val="center"/>
            <w:vMerge w:val="continue"/>
            <w:textDirection w:val="lrTb"/>
            <w:noWrap/>
          </w:tcPr>
          <w:p>
            <w:pPr>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gridSpan w:val="3"/>
            <w:tcW w:w="7725" w:type="dxa"/>
            <w:vAlign w:val="center"/>
            <w:textDirection w:val="lrTb"/>
            <w:noWrap/>
          </w:tcPr>
          <w:p>
            <w:pPr>
              <w:ind w:left="3780"/>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供应商名称（盖章）∶</w:t>
            </w:r>
            <w:r/>
          </w:p>
          <w:p>
            <w:pPr>
              <w:ind w:left="3780"/>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法定代表人（签字）∶</w:t>
            </w:r>
            <w:r/>
          </w:p>
          <w:p>
            <w:pPr>
              <w:ind w:left="3780"/>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二O  年  月  日</w:t>
            </w:r>
            <w:r/>
          </w:p>
        </w:tc>
      </w:tr>
    </w:tbl>
    <w:p>
      <w:pP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r>
      <w:r/>
    </w:p>
    <w:p>
      <w:pP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r>
      <w:r/>
    </w:p>
    <w:p>
      <w:pPr>
        <w:rPr>
          <w:rFonts w:hint="eastAsia" w:ascii="宋体" w:hAnsi="宋体" w:cs="宋体"/>
          <w:color w:val="000000" w:themeColor="text1"/>
          <w:highlight w:val="none"/>
          <w:lang w:val="en-US" w:eastAsia="zh-CN"/>
          <w14:textFill>
            <w14:solidFill>
              <w14:schemeClr w14:val="tx1"/>
            </w14:solidFill>
          </w14:textFill>
        </w:rPr>
        <w:sectPr>
          <w:footerReference w:type="default" r:id="rId12"/>
          <w:footerReference w:type="even" r:id="rId13"/>
          <w:footnotePr/>
          <w:endnotePr/>
          <w:type w:val="nextPage"/>
          <w:pgSz w:w="11906" w:h="16838" w:orient="portrait"/>
          <w:pgMar w:top="850" w:right="850" w:bottom="850" w:left="1417" w:header="0" w:footer="680" w:gutter="0"/>
          <w:cols w:num="1" w:sep="0" w:space="720" w:equalWidth="1"/>
          <w:docGrid w:linePitch="360"/>
        </w:sectPr>
      </w:pPr>
      <w:r>
        <w:rPr>
          <w:rFonts w:hint="eastAsia" w:ascii="宋体" w:hAnsi="宋体" w:cs="宋体"/>
          <w:color w:val="000000" w:themeColor="text1"/>
          <w:highlight w:val="none"/>
          <w:lang w:val="en-US" w:eastAsia="zh-CN"/>
          <w14:textFill>
            <w14:solidFill>
              <w14:schemeClr w14:val="tx1"/>
            </w14:solidFill>
          </w14:textFill>
        </w:rPr>
      </w:r>
      <w:r/>
    </w:p>
    <w:p>
      <w:pP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r>
      <w:r/>
    </w:p>
    <w:p>
      <w:pPr>
        <w:widowControl/>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r>
      <w:r/>
    </w:p>
    <w:p>
      <w:pPr>
        <w:widowControl/>
        <w:rPr>
          <w:rFonts w:hint="default"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营业执照：</w:t>
      </w:r>
      <w:r/>
    </w:p>
    <w:sectPr>
      <w:footnotePr/>
      <w:endnotePr/>
      <w:type w:val="nextPage"/>
      <w:pgSz w:w="11906" w:h="16838" w:orient="portrait"/>
      <w:pgMar w:top="850" w:right="850" w:bottom="850" w:left="1417" w:header="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微软雅黑">
    <w:panose1 w:val="020B0503020204020204"/>
  </w:font>
  <w:font w:name="Helvetica Neue">
    <w:panose1 w:val="020B0503020202020204"/>
  </w:font>
  <w:font w:name="Calibri">
    <w:panose1 w:val="020F0502020204030204"/>
  </w:font>
  <w:font w:name="Cambria">
    <w:panose1 w:val="02040503050406030204"/>
  </w:font>
  <w:font w:name="Courier New">
    <w:panose1 w:val="02070309020205020404"/>
  </w:font>
  <w:font w:name="楷体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43"/>
                          </w:pPr>
                          <w:r>
                            <w:rPr>
                              <w:rFonts w:hint="eastAsia"/>
                            </w:rPr>
                            <w:t xml:space="preserve">第 </w:t>
                          </w:r>
                          <w:r>
                            <w:fldChar w:fldCharType="begin"/>
                          </w:r>
                          <w:r>
                            <w:instrText xml:space="preserve"> PAGE  \* MERGEFORMAT </w:instrText>
                          </w:r>
                          <w:r>
                            <w:fldChar w:fldCharType="separate"/>
                          </w:r>
                          <w:r>
                            <w:t xml:space="preserve">20</w:t>
                          </w:r>
                          <w:r>
                            <w:fldChar w:fldCharType="end"/>
                          </w:r>
                          <w:r>
                            <w:rPr>
                              <w:rFonts w:hint="eastAsia"/>
                            </w:rPr>
                            <w:t xml:space="preserve"> 页 共 </w:t>
                          </w:r>
                          <w:r>
                            <w:fldChar w:fldCharType="begin"/>
                          </w:r>
                          <w:r>
                            <w:instrText xml:space="preserve"> NUMPAGES  \* MERGEFORMAT </w:instrText>
                          </w:r>
                          <w:r>
                            <w:fldChar w:fldCharType="separate"/>
                          </w:r>
                          <w:r>
                            <w:t xml:space="preserve">32</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43"/>
                    </w:pPr>
                    <w:r>
                      <w:rPr>
                        <w:rFonts w:hint="eastAsia"/>
                      </w:rPr>
                      <w:t xml:space="preserve">第 </w:t>
                    </w:r>
                    <w:r>
                      <w:fldChar w:fldCharType="begin"/>
                    </w:r>
                    <w:r>
                      <w:instrText xml:space="preserve"> PAGE  \* MERGEFORMAT </w:instrText>
                    </w:r>
                    <w:r>
                      <w:fldChar w:fldCharType="separate"/>
                    </w:r>
                    <w:r>
                      <w:t xml:space="preserve">20</w:t>
                    </w:r>
                    <w:r>
                      <w:fldChar w:fldCharType="end"/>
                    </w:r>
                    <w:r>
                      <w:rPr>
                        <w:rFonts w:hint="eastAsia"/>
                      </w:rPr>
                      <w:t xml:space="preserve"> 页 共 </w:t>
                    </w:r>
                    <w:r>
                      <w:fldChar w:fldCharType="begin"/>
                    </w:r>
                    <w:r>
                      <w:instrText xml:space="preserve"> NUMPAGES  \* MERGEFORMAT </w:instrText>
                    </w:r>
                    <w:r>
                      <w:fldChar w:fldCharType="separate"/>
                    </w:r>
                    <w:r>
                      <w:t xml:space="preserve">32</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43"/>
                          </w:pPr>
                          <w:r>
                            <w:rPr>
                              <w:rFonts w:hint="eastAsia"/>
                            </w:rPr>
                            <w:t xml:space="preserve">第 </w:t>
                          </w:r>
                          <w:r>
                            <w:fldChar w:fldCharType="begin"/>
                          </w:r>
                          <w:r>
                            <w:instrText xml:space="preserve"> PAGE  \* MERGEFORMAT </w:instrText>
                          </w:r>
                          <w:r>
                            <w:fldChar w:fldCharType="separate"/>
                          </w:r>
                          <w:r>
                            <w:t xml:space="preserve">32</w:t>
                          </w:r>
                          <w:r>
                            <w:fldChar w:fldCharType="end"/>
                          </w:r>
                          <w:r>
                            <w:rPr>
                              <w:rFonts w:hint="eastAsia"/>
                            </w:rPr>
                            <w:t xml:space="preserve"> 页 共 </w:t>
                          </w:r>
                          <w:r>
                            <w:fldChar w:fldCharType="begin"/>
                          </w:r>
                          <w:r>
                            <w:instrText xml:space="preserve"> NUMPAGES  \* MERGEFORMAT </w:instrText>
                          </w:r>
                          <w:r>
                            <w:fldChar w:fldCharType="separate"/>
                          </w:r>
                          <w:r>
                            <w:t xml:space="preserve">32</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43"/>
                    </w:pPr>
                    <w:r>
                      <w:rPr>
                        <w:rFonts w:hint="eastAsia"/>
                      </w:rPr>
                      <w:t xml:space="preserve">第 </w:t>
                    </w:r>
                    <w:r>
                      <w:fldChar w:fldCharType="begin"/>
                    </w:r>
                    <w:r>
                      <w:instrText xml:space="preserve"> PAGE  \* MERGEFORMAT </w:instrText>
                    </w:r>
                    <w:r>
                      <w:fldChar w:fldCharType="separate"/>
                    </w:r>
                    <w:r>
                      <w:t xml:space="preserve">32</w:t>
                    </w:r>
                    <w:r>
                      <w:fldChar w:fldCharType="end"/>
                    </w:r>
                    <w:r>
                      <w:rPr>
                        <w:rFonts w:hint="eastAsia"/>
                      </w:rPr>
                      <w:t xml:space="preserve"> 页 共 </w:t>
                    </w:r>
                    <w:r>
                      <w:fldChar w:fldCharType="begin"/>
                    </w:r>
                    <w:r>
                      <w:instrText xml:space="preserve"> NUMPAGES  \* MERGEFORMAT </w:instrText>
                    </w:r>
                    <w:r>
                      <w:fldChar w:fldCharType="separate"/>
                    </w:r>
                    <w:r>
                      <w:t xml:space="preserve">32</w:t>
                    </w:r>
                    <w:r>
                      <w:fldChar w:fldCharType="end"/>
                    </w:r>
                    <w:r>
                      <w:rPr>
                        <w:rFonts w:hint="eastAsi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rPr>
        <w:rStyle w:val="862"/>
      </w:rPr>
      <w:framePr w:wrap="around" w:vAnchor="text" w:hAnchor="margin" w:xAlign="center" w:y="1"/>
    </w:pPr>
    <w:r>
      <w:fldChar w:fldCharType="begin"/>
    </w:r>
    <w:r>
      <w:rPr>
        <w:rStyle w:val="862"/>
      </w:rPr>
      <w:instrText xml:space="preserve">PAGE  </w:instrText>
    </w:r>
    <w:r>
      <w:fldChar w:fldCharType="separate"/>
    </w:r>
    <w:r>
      <w:rPr>
        <w:rStyle w:val="862"/>
      </w:rPr>
      <w:t xml:space="preserve">1</w:t>
    </w:r>
    <w:r>
      <w:fldChar w:fldCharType="end"/>
    </w:r>
    <w:r/>
  </w:p>
  <w:p>
    <w:pPr>
      <w:pStyle w:val="843"/>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left"/>
      <w:tabs>
        <w:tab w:val="left" w:pos="600" w:leader="none"/>
      </w:tabs>
    </w:pPr>
    <w:r/>
    <w:r/>
  </w:p>
  <w:p>
    <w:pPr>
      <w:pStyle w:val="844"/>
      <w:jc w:val="left"/>
      <w:tabs>
        <w:tab w:val="left" w:pos="600" w:leader="none"/>
      </w:tabs>
    </w:pPr>
    <w:r>
      <mc:AlternateContent>
        <mc:Choice Requires="wpg">
          <w:drawing>
            <wp:inline xmlns:wp="http://schemas.openxmlformats.org/drawingml/2006/wordprocessingDrawing" distT="0" distB="0" distL="0" distR="0">
              <wp:extent cx="1377315" cy="386715"/>
              <wp:effectExtent l="0" t="0" r="13333" b="13333"/>
              <wp:docPr id="1" name="图片 6" descr="c826bae80687e3a7b3b8bc243736336"/>
              <wp:cNvGraphicFramePr/>
              <a:graphic xmlns:a="http://schemas.openxmlformats.org/drawingml/2006/main">
                <a:graphicData uri="http://schemas.openxmlformats.org/drawingml/2006/picture">
                  <pic:pic xmlns:pic="http://schemas.openxmlformats.org/drawingml/2006/picture">
                    <pic:nvPicPr>
                      <pic:cNvPr id="4097" name="图片 6" descr="c826bae80687e3a7b3b8bc243736336"/>
                      <pic:cNvPicPr/>
                      <pic:nvPr/>
                    </pic:nvPicPr>
                    <pic:blipFill>
                      <a:blip r:embed="rId1"/>
                      <a:stretch/>
                    </pic:blipFill>
                    <pic:spPr bwMode="auto">
                      <a:xfrm>
                        <a:off x="0" y="0"/>
                        <a:ext cx="1377315" cy="38671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30.4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left"/>
      <w:tabs>
        <w:tab w:val="left" w:pos="600" w:leader="none"/>
      </w:tabs>
    </w:pPr>
    <w:r/>
    <w:r/>
  </w:p>
  <w:p>
    <w:pPr>
      <w:pStyle w:val="844"/>
      <w:jc w:val="left"/>
      <w:tabs>
        <w:tab w:val="left" w:pos="600" w:leader="none"/>
      </w:tabs>
    </w:pPr>
    <w:r>
      <mc:AlternateContent>
        <mc:Choice Requires="wpg">
          <w:drawing>
            <wp:inline xmlns:wp="http://schemas.openxmlformats.org/drawingml/2006/wordprocessingDrawing" distT="0" distB="0" distL="0" distR="0">
              <wp:extent cx="1377315" cy="386715"/>
              <wp:effectExtent l="0" t="0" r="13333" b="13333"/>
              <wp:docPr id="2" name="图片 6" descr="c826bae80687e3a7b3b8bc243736336"/>
              <wp:cNvGraphicFramePr/>
              <a:graphic xmlns:a="http://schemas.openxmlformats.org/drawingml/2006/main">
                <a:graphicData uri="http://schemas.openxmlformats.org/drawingml/2006/picture">
                  <pic:pic xmlns:pic="http://schemas.openxmlformats.org/drawingml/2006/picture">
                    <pic:nvPicPr>
                      <pic:cNvPr id="1" name="图片 6" descr="c826bae80687e3a7b3b8bc243736336"/>
                      <pic:cNvPicPr/>
                      <pic:nvPr/>
                    </pic:nvPicPr>
                    <pic:blipFill>
                      <a:blip r:embed="rId1"/>
                      <a:stretch/>
                    </pic:blipFill>
                    <pic:spPr bwMode="auto">
                      <a:xfrm>
                        <a:off x="0" y="0"/>
                        <a:ext cx="1377315" cy="38671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4pt;height:30.4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56"/>
      <w:isLgl w:val="false"/>
      <w:suff w:val="nothing"/>
      <w:lvlText w:val="第%1章"/>
      <w:lvlJc w:val="left"/>
      <w:pPr>
        <w:ind w:left="3990" w:firstLine="0"/>
      </w:pPr>
    </w:lvl>
    <w:lvl w:ilvl="1">
      <w:start w:val="1"/>
      <w:numFmt w:val="decimal"/>
      <w:isLgl w:val="false"/>
      <w:suff w:val="nothing"/>
      <w:lvlText w:val=""/>
      <w:lvlJc w:val="left"/>
      <w:pPr>
        <w:ind w:left="3990" w:firstLine="0"/>
      </w:pPr>
    </w:lvl>
    <w:lvl w:ilvl="2">
      <w:start w:val="1"/>
      <w:numFmt w:val="decimal"/>
      <w:isLgl w:val="false"/>
      <w:suff w:val="nothing"/>
      <w:lvlText w:val=""/>
      <w:lvlJc w:val="left"/>
      <w:pPr>
        <w:ind w:left="3990" w:firstLine="0"/>
      </w:pPr>
    </w:lvl>
    <w:lvl w:ilvl="3">
      <w:start w:val="1"/>
      <w:numFmt w:val="decimal"/>
      <w:isLgl w:val="false"/>
      <w:suff w:val="nothing"/>
      <w:lvlText w:val=""/>
      <w:lvlJc w:val="left"/>
      <w:pPr>
        <w:ind w:left="3990" w:firstLine="0"/>
      </w:pPr>
    </w:lvl>
    <w:lvl w:ilvl="4">
      <w:start w:val="1"/>
      <w:numFmt w:val="decimal"/>
      <w:isLgl w:val="false"/>
      <w:suff w:val="nothing"/>
      <w:lvlText w:val=""/>
      <w:lvlJc w:val="left"/>
      <w:pPr>
        <w:ind w:left="3990" w:firstLine="0"/>
      </w:pPr>
    </w:lvl>
    <w:lvl w:ilvl="5">
      <w:start w:val="1"/>
      <w:numFmt w:val="decimal"/>
      <w:isLgl w:val="false"/>
      <w:suff w:val="nothing"/>
      <w:lvlText w:val=""/>
      <w:lvlJc w:val="left"/>
      <w:pPr>
        <w:ind w:left="3990" w:firstLine="0"/>
      </w:pPr>
    </w:lvl>
    <w:lvl w:ilvl="6">
      <w:start w:val="1"/>
      <w:numFmt w:val="decimal"/>
      <w:isLgl w:val="false"/>
      <w:suff w:val="nothing"/>
      <w:lvlText w:val=""/>
      <w:lvlJc w:val="left"/>
      <w:pPr>
        <w:ind w:left="3990" w:firstLine="0"/>
      </w:pPr>
    </w:lvl>
    <w:lvl w:ilvl="7">
      <w:start w:val="1"/>
      <w:numFmt w:val="decimal"/>
      <w:isLgl w:val="false"/>
      <w:suff w:val="nothing"/>
      <w:lvlText w:val=""/>
      <w:lvlJc w:val="left"/>
      <w:pPr>
        <w:ind w:left="3990" w:firstLine="0"/>
      </w:pPr>
    </w:lvl>
    <w:lvl w:ilvl="8">
      <w:start w:val="1"/>
      <w:numFmt w:val="decimal"/>
      <w:isLgl w:val="false"/>
      <w:suff w:val="nothing"/>
      <w:lvlText w:val=""/>
      <w:lvlJc w:val="left"/>
      <w:pPr>
        <w:ind w:left="3990" w:firstLine="0"/>
      </w:pPr>
    </w:lvl>
  </w:abstractNum>
  <w:abstractNum w:abstractNumId="1">
    <w:multiLevelType w:val="hybridMultilevel"/>
    <w:lvl w:ilvl="0">
      <w:start w:val="1"/>
      <w:numFmt w:val="decimal"/>
      <w:pStyle w:val="818"/>
      <w:isLgl w:val="false"/>
      <w:suff w:val="tab"/>
      <w:lvlText w:val="%1"/>
      <w:lvlJc w:val="left"/>
      <w:pPr>
        <w:ind w:left="0" w:firstLine="0"/>
      </w:pPr>
      <w:rPr>
        <w:rFonts w:hint="eastAsia"/>
      </w:rPr>
    </w:lvl>
    <w:lvl w:ilvl="1">
      <w:start w:val="1"/>
      <w:numFmt w:val="decimal"/>
      <w:isLgl w:val="false"/>
      <w:suff w:val="tab"/>
      <w:lvlText w:val="%1.%2"/>
      <w:lvlJc w:val="left"/>
      <w:pPr>
        <w:ind w:left="8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2">
    <w:name w:val="Heading 1 Char"/>
    <w:basedOn w:val="827"/>
    <w:link w:val="818"/>
    <w:uiPriority w:val="9"/>
    <w:rPr>
      <w:rFonts w:ascii="Arial" w:hAnsi="Arial" w:eastAsia="Arial" w:cs="Arial"/>
      <w:sz w:val="40"/>
      <w:szCs w:val="40"/>
    </w:rPr>
  </w:style>
  <w:style w:type="character" w:styleId="803">
    <w:name w:val="Heading 2 Char"/>
    <w:basedOn w:val="827"/>
    <w:link w:val="819"/>
    <w:uiPriority w:val="9"/>
    <w:rPr>
      <w:rFonts w:ascii="Arial" w:hAnsi="Arial" w:eastAsia="Arial" w:cs="Arial"/>
      <w:sz w:val="34"/>
    </w:rPr>
  </w:style>
  <w:style w:type="character" w:styleId="804">
    <w:name w:val="Heading 3 Char"/>
    <w:basedOn w:val="827"/>
    <w:link w:val="820"/>
    <w:uiPriority w:val="9"/>
    <w:rPr>
      <w:rFonts w:ascii="Arial" w:hAnsi="Arial" w:eastAsia="Arial" w:cs="Arial"/>
      <w:sz w:val="30"/>
      <w:szCs w:val="30"/>
    </w:rPr>
  </w:style>
  <w:style w:type="character" w:styleId="805">
    <w:name w:val="Heading 4 Char"/>
    <w:basedOn w:val="827"/>
    <w:link w:val="821"/>
    <w:uiPriority w:val="9"/>
    <w:rPr>
      <w:rFonts w:ascii="Arial" w:hAnsi="Arial" w:eastAsia="Arial" w:cs="Arial"/>
      <w:b/>
      <w:bCs/>
      <w:sz w:val="26"/>
      <w:szCs w:val="26"/>
    </w:rPr>
  </w:style>
  <w:style w:type="character" w:styleId="806">
    <w:name w:val="Heading 5 Char"/>
    <w:basedOn w:val="827"/>
    <w:link w:val="822"/>
    <w:uiPriority w:val="9"/>
    <w:rPr>
      <w:rFonts w:ascii="Arial" w:hAnsi="Arial" w:eastAsia="Arial" w:cs="Arial"/>
      <w:b/>
      <w:bCs/>
      <w:sz w:val="24"/>
      <w:szCs w:val="24"/>
    </w:rPr>
  </w:style>
  <w:style w:type="character" w:styleId="807">
    <w:name w:val="Heading 6 Char"/>
    <w:basedOn w:val="827"/>
    <w:link w:val="823"/>
    <w:uiPriority w:val="9"/>
    <w:rPr>
      <w:rFonts w:ascii="Arial" w:hAnsi="Arial" w:eastAsia="Arial" w:cs="Arial"/>
      <w:b/>
      <w:bCs/>
      <w:sz w:val="22"/>
      <w:szCs w:val="22"/>
    </w:rPr>
  </w:style>
  <w:style w:type="character" w:styleId="808">
    <w:name w:val="Heading 7 Char"/>
    <w:basedOn w:val="827"/>
    <w:link w:val="824"/>
    <w:uiPriority w:val="9"/>
    <w:rPr>
      <w:rFonts w:ascii="Arial" w:hAnsi="Arial" w:eastAsia="Arial" w:cs="Arial"/>
      <w:b/>
      <w:bCs/>
      <w:i/>
      <w:iCs/>
      <w:sz w:val="22"/>
      <w:szCs w:val="22"/>
    </w:rPr>
  </w:style>
  <w:style w:type="character" w:styleId="809">
    <w:name w:val="Heading 8 Char"/>
    <w:basedOn w:val="827"/>
    <w:link w:val="825"/>
    <w:uiPriority w:val="9"/>
    <w:rPr>
      <w:rFonts w:ascii="Arial" w:hAnsi="Arial" w:eastAsia="Arial" w:cs="Arial"/>
      <w:i/>
      <w:iCs/>
      <w:sz w:val="22"/>
      <w:szCs w:val="22"/>
    </w:rPr>
  </w:style>
  <w:style w:type="character" w:styleId="810">
    <w:name w:val="Heading 9 Char"/>
    <w:basedOn w:val="827"/>
    <w:link w:val="826"/>
    <w:uiPriority w:val="9"/>
    <w:rPr>
      <w:rFonts w:ascii="Arial" w:hAnsi="Arial" w:eastAsia="Arial" w:cs="Arial"/>
      <w:i/>
      <w:iCs/>
      <w:sz w:val="21"/>
      <w:szCs w:val="21"/>
    </w:rPr>
  </w:style>
  <w:style w:type="character" w:styleId="811">
    <w:name w:val="Title Char"/>
    <w:basedOn w:val="827"/>
    <w:link w:val="855"/>
    <w:uiPriority w:val="10"/>
    <w:rPr>
      <w:sz w:val="48"/>
      <w:szCs w:val="48"/>
    </w:rPr>
  </w:style>
  <w:style w:type="character" w:styleId="812">
    <w:name w:val="Quote Char"/>
    <w:link w:val="892"/>
    <w:uiPriority w:val="29"/>
    <w:rPr>
      <w:i/>
    </w:rPr>
  </w:style>
  <w:style w:type="character" w:styleId="813">
    <w:name w:val="Intense Quote Char"/>
    <w:link w:val="894"/>
    <w:uiPriority w:val="30"/>
    <w:rPr>
      <w:i/>
    </w:rPr>
  </w:style>
  <w:style w:type="character" w:styleId="814">
    <w:name w:val="Header Char"/>
    <w:basedOn w:val="827"/>
    <w:link w:val="844"/>
    <w:uiPriority w:val="99"/>
  </w:style>
  <w:style w:type="character" w:styleId="815">
    <w:name w:val="Footer Char"/>
    <w:basedOn w:val="827"/>
    <w:link w:val="843"/>
    <w:uiPriority w:val="99"/>
  </w:style>
  <w:style w:type="paragraph" w:styleId="816">
    <w:name w:val="TOC Heading"/>
    <w:uiPriority w:val="39"/>
    <w:unhideWhenUsed/>
  </w:style>
  <w:style w:type="paragraph" w:styleId="81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18">
    <w:name w:val="Heading 1"/>
    <w:basedOn w:val="817"/>
    <w:next w:val="817"/>
    <w:uiPriority w:val="9"/>
    <w:qFormat/>
    <w:pPr>
      <w:numPr>
        <w:ilvl w:val="0"/>
        <w:numId w:val="1"/>
      </w:numPr>
      <w:keepLines/>
      <w:keepNext/>
      <w:spacing w:before="340" w:after="330" w:line="578" w:lineRule="auto"/>
      <w:outlineLvl w:val="0"/>
    </w:pPr>
    <w:rPr>
      <w:b/>
      <w:bCs/>
      <w:sz w:val="44"/>
      <w:szCs w:val="44"/>
    </w:rPr>
  </w:style>
  <w:style w:type="paragraph" w:styleId="819">
    <w:name w:val="Heading 2"/>
    <w:basedOn w:val="817"/>
    <w:next w:val="817"/>
    <w:link w:val="1048"/>
    <w:uiPriority w:val="0"/>
    <w:qFormat/>
    <w:pPr>
      <w:keepLines/>
      <w:keepNext/>
      <w:spacing w:before="260" w:after="260" w:line="415" w:lineRule="auto"/>
      <w:outlineLvl w:val="1"/>
    </w:pPr>
    <w:rPr>
      <w:rFonts w:ascii="Arial" w:hAnsi="Arial" w:eastAsia="黑体" w:cs="Arial"/>
      <w:b/>
      <w:bCs/>
      <w:sz w:val="32"/>
      <w:szCs w:val="32"/>
    </w:rPr>
  </w:style>
  <w:style w:type="paragraph" w:styleId="820">
    <w:name w:val="Heading 3"/>
    <w:basedOn w:val="817"/>
    <w:next w:val="817"/>
    <w:link w:val="1047"/>
    <w:uiPriority w:val="0"/>
    <w:qFormat/>
    <w:pPr>
      <w:keepLines/>
      <w:keepNext/>
      <w:spacing w:before="260" w:after="260" w:line="412" w:lineRule="auto"/>
      <w:outlineLvl w:val="2"/>
    </w:pPr>
    <w:rPr>
      <w:b/>
      <w:sz w:val="32"/>
      <w:szCs w:val="32"/>
    </w:rPr>
  </w:style>
  <w:style w:type="paragraph" w:styleId="821">
    <w:name w:val="Heading 4"/>
    <w:basedOn w:val="817"/>
    <w:next w:val="817"/>
    <w:link w:val="1036"/>
    <w:uiPriority w:val="0"/>
    <w:qFormat/>
    <w:pPr>
      <w:keepLines/>
      <w:keepNext/>
      <w:spacing w:before="120" w:after="120"/>
      <w:outlineLvl w:val="3"/>
    </w:pPr>
    <w:rPr>
      <w:rFonts w:ascii="Arial" w:hAnsi="Arial" w:eastAsia="黑体"/>
      <w:b/>
      <w:sz w:val="28"/>
    </w:rPr>
  </w:style>
  <w:style w:type="paragraph" w:styleId="822">
    <w:name w:val="Heading 5"/>
    <w:basedOn w:val="817"/>
    <w:next w:val="817"/>
    <w:link w:val="885"/>
    <w:uiPriority w:val="9"/>
    <w:qFormat/>
    <w:pPr>
      <w:keepLines/>
      <w:keepNext/>
      <w:spacing w:before="320" w:after="200"/>
      <w:outlineLvl w:val="4"/>
    </w:pPr>
    <w:rPr>
      <w:rFonts w:ascii="Arial" w:hAnsi="Arial" w:eastAsia="Arial" w:cs="Arial"/>
      <w:b/>
      <w:bCs/>
      <w:sz w:val="24"/>
      <w:szCs w:val="24"/>
    </w:rPr>
  </w:style>
  <w:style w:type="paragraph" w:styleId="823">
    <w:name w:val="Heading 6"/>
    <w:basedOn w:val="817"/>
    <w:next w:val="817"/>
    <w:link w:val="886"/>
    <w:uiPriority w:val="9"/>
    <w:qFormat/>
    <w:pPr>
      <w:keepLines/>
      <w:keepNext/>
      <w:spacing w:before="320" w:after="200"/>
      <w:outlineLvl w:val="5"/>
    </w:pPr>
    <w:rPr>
      <w:rFonts w:ascii="Arial" w:hAnsi="Arial" w:eastAsia="Arial" w:cs="Arial"/>
      <w:b/>
      <w:bCs/>
      <w:sz w:val="22"/>
      <w:szCs w:val="22"/>
    </w:rPr>
  </w:style>
  <w:style w:type="paragraph" w:styleId="824">
    <w:name w:val="Heading 7"/>
    <w:basedOn w:val="817"/>
    <w:next w:val="817"/>
    <w:link w:val="887"/>
    <w:uiPriority w:val="9"/>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link w:val="888"/>
    <w:uiPriority w:val="9"/>
    <w:qFormat/>
    <w:pPr>
      <w:keepLines/>
      <w:keepNext/>
      <w:spacing w:before="320" w:after="200"/>
      <w:outlineLvl w:val="7"/>
    </w:pPr>
    <w:rPr>
      <w:rFonts w:ascii="Arial" w:hAnsi="Arial" w:eastAsia="Arial" w:cs="Arial"/>
      <w:i/>
      <w:iCs/>
      <w:sz w:val="22"/>
      <w:szCs w:val="22"/>
    </w:rPr>
  </w:style>
  <w:style w:type="paragraph" w:styleId="826">
    <w:name w:val="Heading 9"/>
    <w:basedOn w:val="817"/>
    <w:next w:val="817"/>
    <w:link w:val="889"/>
    <w:uiPriority w:val="9"/>
    <w:qFormat/>
    <w:pPr>
      <w:keepLines/>
      <w:keepNext/>
      <w:spacing w:before="320" w:after="200"/>
      <w:outlineLvl w:val="8"/>
    </w:pPr>
    <w:rPr>
      <w:rFonts w:ascii="Arial" w:hAnsi="Arial" w:eastAsia="Arial" w:cs="Arial"/>
      <w:i/>
      <w:iCs/>
      <w:szCs w:val="21"/>
    </w:rPr>
  </w:style>
  <w:style w:type="character" w:styleId="827" w:default="1">
    <w:name w:val="Default Paragraph Font"/>
    <w:uiPriority w:val="1"/>
    <w:semiHidden/>
    <w:unhideWhenUsed/>
  </w:style>
  <w:style w:type="table" w:styleId="828" w:default="1">
    <w:name w:val="Normal Table"/>
    <w:uiPriority w:val="99"/>
    <w:semiHidden/>
    <w:unhideWhenUsed/>
    <w:tblPr>
      <w:tblCellMar>
        <w:left w:w="108" w:type="dxa"/>
        <w:top w:w="0" w:type="dxa"/>
        <w:right w:w="108" w:type="dxa"/>
        <w:bottom w:w="0" w:type="dxa"/>
      </w:tblCellMar>
    </w:tblPr>
  </w:style>
  <w:style w:type="paragraph" w:styleId="829">
    <w:name w:val="toc 7"/>
    <w:basedOn w:val="817"/>
    <w:next w:val="817"/>
    <w:uiPriority w:val="39"/>
    <w:qFormat/>
    <w:pPr>
      <w:ind w:left="1701"/>
      <w:spacing w:after="57"/>
    </w:pPr>
  </w:style>
  <w:style w:type="paragraph" w:styleId="830">
    <w:name w:val="Normal Indent"/>
    <w:basedOn w:val="817"/>
    <w:uiPriority w:val="0"/>
    <w:qFormat/>
  </w:style>
  <w:style w:type="paragraph" w:styleId="831">
    <w:name w:val="Caption"/>
    <w:basedOn w:val="817"/>
    <w:next w:val="817"/>
    <w:uiPriority w:val="35"/>
    <w:qFormat/>
    <w:pPr>
      <w:spacing w:line="276" w:lineRule="auto"/>
    </w:pPr>
    <w:rPr>
      <w:b/>
      <w:bCs/>
      <w:color w:val="5b9bd5"/>
      <w:sz w:val="18"/>
      <w:szCs w:val="18"/>
    </w:rPr>
  </w:style>
  <w:style w:type="paragraph" w:styleId="832">
    <w:name w:val="toa heading"/>
    <w:basedOn w:val="817"/>
    <w:next w:val="817"/>
    <w:uiPriority w:val="0"/>
    <w:semiHidden/>
    <w:qFormat/>
    <w:pPr>
      <w:spacing w:before="120"/>
    </w:pPr>
    <w:rPr>
      <w:rFonts w:ascii="Arial" w:hAnsi="Arial" w:cs="Arial"/>
      <w:sz w:val="24"/>
      <w:szCs w:val="24"/>
    </w:rPr>
  </w:style>
  <w:style w:type="paragraph" w:styleId="833">
    <w:name w:val="annotation text"/>
    <w:basedOn w:val="817"/>
    <w:link w:val="1064"/>
    <w:uiPriority w:val="0"/>
    <w:qFormat/>
    <w:pPr>
      <w:jc w:val="left"/>
    </w:pPr>
  </w:style>
  <w:style w:type="paragraph" w:styleId="834">
    <w:name w:val="Body Text"/>
    <w:basedOn w:val="817"/>
    <w:link w:val="1039"/>
    <w:uiPriority w:val="0"/>
    <w:qFormat/>
    <w:pPr>
      <w:spacing w:after="120"/>
    </w:pPr>
    <w:rPr>
      <w:sz w:val="24"/>
      <w:szCs w:val="24"/>
    </w:rPr>
  </w:style>
  <w:style w:type="paragraph" w:styleId="835">
    <w:name w:val="Body Text Indent"/>
    <w:basedOn w:val="817"/>
    <w:next w:val="821"/>
    <w:uiPriority w:val="99"/>
    <w:qFormat/>
    <w:pPr>
      <w:ind w:left="420"/>
      <w:spacing w:after="120"/>
    </w:pPr>
    <w:rPr>
      <w:rFonts w:ascii="楷体_GB2312" w:eastAsia="楷体_GB2312"/>
      <w:sz w:val="32"/>
    </w:rPr>
  </w:style>
  <w:style w:type="paragraph" w:styleId="836">
    <w:name w:val="index 4"/>
    <w:basedOn w:val="817"/>
    <w:next w:val="817"/>
    <w:uiPriority w:val="99"/>
    <w:qFormat/>
    <w:pPr>
      <w:ind w:left="600"/>
    </w:pPr>
    <w:rPr>
      <w:rFonts w:ascii="Verdana" w:hAnsi="Verdana"/>
    </w:rPr>
  </w:style>
  <w:style w:type="paragraph" w:styleId="837">
    <w:name w:val="toc 5"/>
    <w:basedOn w:val="817"/>
    <w:next w:val="817"/>
    <w:uiPriority w:val="39"/>
    <w:qFormat/>
    <w:pPr>
      <w:ind w:left="1134"/>
      <w:spacing w:after="57"/>
    </w:pPr>
  </w:style>
  <w:style w:type="paragraph" w:styleId="838">
    <w:name w:val="toc 3"/>
    <w:basedOn w:val="817"/>
    <w:next w:val="817"/>
    <w:uiPriority w:val="39"/>
    <w:qFormat/>
    <w:pPr>
      <w:ind w:left="567"/>
      <w:spacing w:after="57"/>
    </w:pPr>
  </w:style>
  <w:style w:type="paragraph" w:styleId="839">
    <w:name w:val="Plain Text"/>
    <w:basedOn w:val="817"/>
    <w:link w:val="1049"/>
    <w:uiPriority w:val="0"/>
    <w:qFormat/>
    <w:rPr>
      <w:rFonts w:ascii="宋体" w:hAnsi="Courier New" w:cs="Arial"/>
      <w:szCs w:val="22"/>
    </w:rPr>
  </w:style>
  <w:style w:type="paragraph" w:styleId="840">
    <w:name w:val="toc 8"/>
    <w:basedOn w:val="817"/>
    <w:next w:val="817"/>
    <w:uiPriority w:val="39"/>
    <w:qFormat/>
    <w:pPr>
      <w:ind w:left="1984"/>
      <w:spacing w:after="57"/>
    </w:pPr>
  </w:style>
  <w:style w:type="paragraph" w:styleId="841">
    <w:name w:val="endnote text"/>
    <w:basedOn w:val="817"/>
    <w:link w:val="1025"/>
    <w:uiPriority w:val="99"/>
    <w:qFormat/>
    <w:rPr>
      <w:sz w:val="20"/>
    </w:rPr>
  </w:style>
  <w:style w:type="paragraph" w:styleId="842">
    <w:name w:val="Balloon Text"/>
    <w:basedOn w:val="817"/>
    <w:link w:val="1045"/>
    <w:uiPriority w:val="0"/>
    <w:qFormat/>
    <w:rPr>
      <w:sz w:val="18"/>
      <w:szCs w:val="18"/>
    </w:rPr>
  </w:style>
  <w:style w:type="paragraph" w:styleId="843">
    <w:name w:val="Footer"/>
    <w:basedOn w:val="817"/>
    <w:link w:val="1040"/>
    <w:uiPriority w:val="0"/>
    <w:qFormat/>
    <w:pPr>
      <w:jc w:val="left"/>
      <w:tabs>
        <w:tab w:val="center" w:pos="4153" w:leader="none"/>
        <w:tab w:val="right" w:pos="8306" w:leader="none"/>
      </w:tabs>
    </w:pPr>
    <w:rPr>
      <w:sz w:val="18"/>
    </w:rPr>
  </w:style>
  <w:style w:type="paragraph" w:styleId="844">
    <w:name w:val="Header"/>
    <w:basedOn w:val="817"/>
    <w:link w:val="104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45">
    <w:name w:val="toc 1"/>
    <w:basedOn w:val="817"/>
    <w:next w:val="817"/>
    <w:uiPriority w:val="39"/>
    <w:qFormat/>
    <w:pPr>
      <w:spacing w:after="57"/>
    </w:pPr>
  </w:style>
  <w:style w:type="paragraph" w:styleId="846">
    <w:name w:val="toc 4"/>
    <w:basedOn w:val="817"/>
    <w:next w:val="817"/>
    <w:uiPriority w:val="39"/>
    <w:qFormat/>
    <w:pPr>
      <w:ind w:left="850"/>
      <w:spacing w:after="57"/>
    </w:pPr>
  </w:style>
  <w:style w:type="paragraph" w:styleId="847">
    <w:name w:val="Subtitle"/>
    <w:basedOn w:val="817"/>
    <w:next w:val="817"/>
    <w:link w:val="891"/>
    <w:uiPriority w:val="11"/>
    <w:qFormat/>
    <w:pPr>
      <w:spacing w:before="200" w:after="200"/>
    </w:pPr>
    <w:rPr>
      <w:sz w:val="24"/>
      <w:szCs w:val="24"/>
    </w:rPr>
  </w:style>
  <w:style w:type="paragraph" w:styleId="848">
    <w:name w:val="footnote text"/>
    <w:basedOn w:val="817"/>
    <w:link w:val="1024"/>
    <w:uiPriority w:val="99"/>
    <w:qFormat/>
    <w:pPr>
      <w:spacing w:after="40"/>
    </w:pPr>
    <w:rPr>
      <w:sz w:val="18"/>
    </w:rPr>
  </w:style>
  <w:style w:type="paragraph" w:styleId="849">
    <w:name w:val="toc 6"/>
    <w:basedOn w:val="817"/>
    <w:next w:val="817"/>
    <w:uiPriority w:val="99"/>
    <w:qFormat/>
    <w:pPr>
      <w:ind w:left="1050"/>
      <w:jc w:val="left"/>
    </w:pPr>
    <w:rPr>
      <w:szCs w:val="21"/>
    </w:rPr>
  </w:style>
  <w:style w:type="paragraph" w:styleId="850">
    <w:name w:val="table of figures"/>
    <w:basedOn w:val="817"/>
    <w:next w:val="817"/>
    <w:uiPriority w:val="99"/>
    <w:qFormat/>
  </w:style>
  <w:style w:type="paragraph" w:styleId="851">
    <w:name w:val="toc 2"/>
    <w:basedOn w:val="817"/>
    <w:next w:val="817"/>
    <w:uiPriority w:val="39"/>
    <w:qFormat/>
    <w:pPr>
      <w:ind w:left="283"/>
      <w:spacing w:after="57"/>
    </w:pPr>
  </w:style>
  <w:style w:type="paragraph" w:styleId="852">
    <w:name w:val="toc 9"/>
    <w:basedOn w:val="817"/>
    <w:next w:val="817"/>
    <w:uiPriority w:val="39"/>
    <w:qFormat/>
    <w:pPr>
      <w:ind w:left="2268"/>
      <w:spacing w:after="57"/>
    </w:pPr>
  </w:style>
  <w:style w:type="paragraph" w:styleId="853">
    <w:name w:val="HTML Preformatted"/>
    <w:basedOn w:val="817"/>
    <w:link w:val="10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54">
    <w:name w:val="Normal (Web)"/>
    <w:basedOn w:val="817"/>
    <w:uiPriority w:val="0"/>
    <w:qFormat/>
    <w:pPr>
      <w:jc w:val="left"/>
      <w:spacing w:beforeAutospacing="1" w:afterAutospacing="1"/>
      <w:widowControl/>
    </w:pPr>
    <w:rPr>
      <w:rFonts w:hint="eastAsia" w:ascii="宋体" w:hAnsi="宋体"/>
      <w:sz w:val="24"/>
      <w:szCs w:val="24"/>
    </w:rPr>
  </w:style>
  <w:style w:type="paragraph" w:styleId="855">
    <w:name w:val="Title"/>
    <w:basedOn w:val="817"/>
    <w:next w:val="817"/>
    <w:link w:val="890"/>
    <w:uiPriority w:val="10"/>
    <w:qFormat/>
    <w:pPr>
      <w:contextualSpacing/>
      <w:spacing w:before="300" w:after="200"/>
    </w:pPr>
    <w:rPr>
      <w:sz w:val="48"/>
      <w:szCs w:val="48"/>
    </w:rPr>
  </w:style>
  <w:style w:type="paragraph" w:styleId="856">
    <w:name w:val="annotation subject"/>
    <w:basedOn w:val="833"/>
    <w:next w:val="833"/>
    <w:link w:val="1065"/>
    <w:uiPriority w:val="0"/>
    <w:qFormat/>
    <w:rPr>
      <w:b/>
      <w:bCs/>
    </w:rPr>
  </w:style>
  <w:style w:type="paragraph" w:styleId="857">
    <w:name w:val="Body Text First Indent"/>
    <w:basedOn w:val="834"/>
    <w:next w:val="849"/>
    <w:uiPriority w:val="99"/>
    <w:qFormat/>
    <w:pPr>
      <w:ind w:firstLine="420"/>
    </w:pPr>
  </w:style>
  <w:style w:type="paragraph" w:styleId="858">
    <w:name w:val="Body Text First Indent 2"/>
    <w:basedOn w:val="835"/>
    <w:uiPriority w:val="99"/>
    <w:qFormat/>
    <w:pPr>
      <w:ind w:left="0" w:firstLine="420"/>
      <w:spacing w:after="0" w:line="360" w:lineRule="auto"/>
    </w:pPr>
    <w:rPr>
      <w:rFonts w:ascii="宋体" w:hAnsi="宋体" w:eastAsia="宋体"/>
      <w:sz w:val="20"/>
    </w:rPr>
  </w:style>
  <w:style w:type="table" w:styleId="859">
    <w:name w:val="Table Grid"/>
    <w:basedOn w:val="82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0">
    <w:name w:val="Strong"/>
    <w:uiPriority w:val="0"/>
    <w:qFormat/>
    <w:rPr>
      <w:b/>
      <w:bCs/>
    </w:rPr>
  </w:style>
  <w:style w:type="character" w:styleId="861">
    <w:name w:val="endnote reference"/>
    <w:basedOn w:val="827"/>
    <w:uiPriority w:val="99"/>
    <w:qFormat/>
    <w:rPr>
      <w:vertAlign w:val="superscript"/>
    </w:rPr>
  </w:style>
  <w:style w:type="character" w:styleId="862">
    <w:name w:val="page number"/>
    <w:basedOn w:val="827"/>
    <w:uiPriority w:val="0"/>
    <w:qFormat/>
  </w:style>
  <w:style w:type="character" w:styleId="863">
    <w:name w:val="FollowedHyperlink"/>
    <w:basedOn w:val="827"/>
    <w:uiPriority w:val="0"/>
    <w:qFormat/>
    <w:rPr>
      <w:color w:val="800080"/>
      <w:u w:val="single"/>
    </w:rPr>
  </w:style>
  <w:style w:type="character" w:styleId="864">
    <w:name w:val="Emphasis"/>
    <w:basedOn w:val="827"/>
    <w:uiPriority w:val="20"/>
    <w:qFormat/>
    <w:rPr>
      <w:i/>
    </w:rPr>
  </w:style>
  <w:style w:type="character" w:styleId="865">
    <w:name w:val="Hyperlink"/>
    <w:basedOn w:val="827"/>
    <w:uiPriority w:val="0"/>
    <w:qFormat/>
    <w:rPr>
      <w:color w:val="0000ff"/>
      <w:u w:val="single"/>
    </w:rPr>
  </w:style>
  <w:style w:type="character" w:styleId="866">
    <w:name w:val="annotation reference"/>
    <w:basedOn w:val="827"/>
    <w:uiPriority w:val="0"/>
    <w:qFormat/>
    <w:rPr>
      <w:sz w:val="21"/>
      <w:szCs w:val="21"/>
    </w:rPr>
  </w:style>
  <w:style w:type="character" w:styleId="867">
    <w:name w:val="footnote reference"/>
    <w:basedOn w:val="827"/>
    <w:uiPriority w:val="99"/>
    <w:qFormat/>
    <w:rPr>
      <w:vertAlign w:val="superscript"/>
    </w:rPr>
  </w:style>
  <w:style w:type="paragraph" w:styleId="868" w:customStyle="1">
    <w:name w:val="正文文本1"/>
    <w:basedOn w:val="817"/>
    <w:next w:val="817"/>
    <w:uiPriority w:val="0"/>
    <w:qFormat/>
    <w:rPr>
      <w:rFonts w:ascii="楷体_GB2312" w:hAnsi="Arial" w:eastAsia="楷体_GB2312"/>
      <w:sz w:val="28"/>
    </w:rPr>
  </w:style>
  <w:style w:type="character" w:styleId="869" w:customStyle="1">
    <w:name w:val="Heading 5 Char_dadd53c0-8f38-4f55-bcab-2bcdf1f3e634"/>
    <w:basedOn w:val="827"/>
    <w:uiPriority w:val="9"/>
    <w:qFormat/>
    <w:rPr>
      <w:rFonts w:ascii="Arial" w:hAnsi="Arial" w:eastAsia="Arial" w:cs="Arial"/>
      <w:b/>
      <w:bCs/>
      <w:sz w:val="24"/>
      <w:szCs w:val="24"/>
    </w:rPr>
  </w:style>
  <w:style w:type="character" w:styleId="870" w:customStyle="1">
    <w:name w:val="Heading 6 Char_7af03f61-ec2d-4f7b-ab91-d662190fe7e9"/>
    <w:basedOn w:val="827"/>
    <w:uiPriority w:val="9"/>
    <w:qFormat/>
    <w:rPr>
      <w:rFonts w:ascii="Arial" w:hAnsi="Arial" w:eastAsia="Arial" w:cs="Arial"/>
      <w:b/>
      <w:bCs/>
      <w:sz w:val="22"/>
      <w:szCs w:val="22"/>
    </w:rPr>
  </w:style>
  <w:style w:type="character" w:styleId="871" w:customStyle="1">
    <w:name w:val="Heading 7 Char_e5a13096-daca-4e09-a2cd-f4667f4f83a5"/>
    <w:basedOn w:val="827"/>
    <w:uiPriority w:val="9"/>
    <w:qFormat/>
    <w:rPr>
      <w:rFonts w:ascii="Arial" w:hAnsi="Arial" w:eastAsia="Arial" w:cs="Arial"/>
      <w:b/>
      <w:bCs/>
      <w:i/>
      <w:iCs/>
      <w:sz w:val="22"/>
      <w:szCs w:val="22"/>
    </w:rPr>
  </w:style>
  <w:style w:type="character" w:styleId="872" w:customStyle="1">
    <w:name w:val="Heading 8 Char_cf5750f9-ed2f-4d07-a8fe-748a8e46a50d"/>
    <w:basedOn w:val="827"/>
    <w:uiPriority w:val="9"/>
    <w:qFormat/>
    <w:rPr>
      <w:rFonts w:ascii="Arial" w:hAnsi="Arial" w:eastAsia="Arial" w:cs="Arial"/>
      <w:i/>
      <w:iCs/>
      <w:sz w:val="22"/>
      <w:szCs w:val="22"/>
    </w:rPr>
  </w:style>
  <w:style w:type="character" w:styleId="873" w:customStyle="1">
    <w:name w:val="Heading 9 Char_cd4a9d77-7969-43db-888e-757a9d1b64b0"/>
    <w:basedOn w:val="827"/>
    <w:uiPriority w:val="9"/>
    <w:qFormat/>
    <w:rPr>
      <w:rFonts w:ascii="Arial" w:hAnsi="Arial" w:eastAsia="Arial" w:cs="Arial"/>
      <w:i/>
      <w:iCs/>
      <w:sz w:val="21"/>
      <w:szCs w:val="21"/>
    </w:rPr>
  </w:style>
  <w:style w:type="character" w:styleId="874" w:customStyle="1">
    <w:name w:val="Title Char_f7e2b8e9-d283-4953-900f-f7f821e762da"/>
    <w:basedOn w:val="827"/>
    <w:uiPriority w:val="10"/>
    <w:qFormat/>
    <w:rPr>
      <w:sz w:val="48"/>
      <w:szCs w:val="48"/>
    </w:rPr>
  </w:style>
  <w:style w:type="character" w:styleId="875" w:customStyle="1">
    <w:name w:val="Subtitle Char"/>
    <w:basedOn w:val="827"/>
    <w:uiPriority w:val="11"/>
    <w:qFormat/>
    <w:rPr>
      <w:sz w:val="24"/>
      <w:szCs w:val="24"/>
    </w:rPr>
  </w:style>
  <w:style w:type="character" w:styleId="876" w:customStyle="1">
    <w:name w:val="Quote Char_7520f436-0df6-43b0-b9b5-d131c655b0f0"/>
    <w:uiPriority w:val="29"/>
    <w:qFormat/>
    <w:rPr>
      <w:i/>
    </w:rPr>
  </w:style>
  <w:style w:type="character" w:styleId="877" w:customStyle="1">
    <w:name w:val="Intense Quote Char_d2ce13f9-5c06-4d33-9e49-2bc1df7e704c"/>
    <w:uiPriority w:val="30"/>
    <w:qFormat/>
    <w:rPr>
      <w:i/>
    </w:rPr>
  </w:style>
  <w:style w:type="character" w:styleId="878" w:customStyle="1">
    <w:name w:val="Footnote Text Char"/>
    <w:uiPriority w:val="99"/>
    <w:qFormat/>
    <w:rPr>
      <w:sz w:val="18"/>
    </w:rPr>
  </w:style>
  <w:style w:type="character" w:styleId="879" w:customStyle="1">
    <w:name w:val="Endnote Text Char"/>
    <w:uiPriority w:val="99"/>
    <w:qFormat/>
    <w:rPr>
      <w:sz w:val="20"/>
    </w:rPr>
  </w:style>
  <w:style w:type="paragraph" w:styleId="880" w:customStyle="1">
    <w:name w:val="TOC Heading_48892d7f-5e29-4b90-b948-c0579e100026"/>
    <w:uiPriority w:val="39"/>
    <w:qFormat/>
    <w:rPr>
      <w:rFonts w:ascii="Times New Roman" w:hAnsi="Times New Roman" w:eastAsia="宋体" w:cs="Times New Roman"/>
      <w:lang w:val="en-US" w:eastAsia="zh-CN" w:bidi="ar-SA"/>
    </w:rPr>
  </w:style>
  <w:style w:type="character" w:styleId="881" w:customStyle="1">
    <w:name w:val="Heading 1 Char_df37836f-815c-4778-aa14-6241fba9327e"/>
    <w:basedOn w:val="827"/>
    <w:uiPriority w:val="9"/>
    <w:qFormat/>
    <w:rPr>
      <w:rFonts w:ascii="Arial" w:hAnsi="Arial" w:eastAsia="Arial" w:cs="Arial"/>
      <w:sz w:val="40"/>
      <w:szCs w:val="40"/>
    </w:rPr>
  </w:style>
  <w:style w:type="character" w:styleId="882" w:customStyle="1">
    <w:name w:val="Heading 2 Char_1858e92c-0070-4339-a381-e97f1caf6e71"/>
    <w:basedOn w:val="827"/>
    <w:uiPriority w:val="9"/>
    <w:qFormat/>
    <w:rPr>
      <w:rFonts w:ascii="Arial" w:hAnsi="Arial" w:eastAsia="Arial" w:cs="Arial"/>
      <w:sz w:val="34"/>
    </w:rPr>
  </w:style>
  <w:style w:type="character" w:styleId="883" w:customStyle="1">
    <w:name w:val="Heading 3 Char_5d10c7fe-7a13-4ff6-9891-d1e60c4b88f2"/>
    <w:basedOn w:val="827"/>
    <w:uiPriority w:val="9"/>
    <w:qFormat/>
    <w:rPr>
      <w:rFonts w:ascii="Arial" w:hAnsi="Arial" w:eastAsia="Arial" w:cs="Arial"/>
      <w:sz w:val="30"/>
      <w:szCs w:val="30"/>
    </w:rPr>
  </w:style>
  <w:style w:type="character" w:styleId="884" w:customStyle="1">
    <w:name w:val="Heading 4 Char_dee7834b-d294-4468-bbaa-071bce0866d9"/>
    <w:basedOn w:val="827"/>
    <w:uiPriority w:val="9"/>
    <w:qFormat/>
    <w:rPr>
      <w:rFonts w:ascii="Arial" w:hAnsi="Arial" w:eastAsia="Arial" w:cs="Arial"/>
      <w:b/>
      <w:bCs/>
      <w:sz w:val="26"/>
      <w:szCs w:val="26"/>
    </w:rPr>
  </w:style>
  <w:style w:type="character" w:styleId="885" w:customStyle="1">
    <w:name w:val="标题 5 Char"/>
    <w:basedOn w:val="827"/>
    <w:link w:val="822"/>
    <w:uiPriority w:val="9"/>
    <w:qFormat/>
    <w:rPr>
      <w:rFonts w:ascii="Arial" w:hAnsi="Arial" w:eastAsia="Arial" w:cs="Arial"/>
      <w:b/>
      <w:bCs/>
      <w:sz w:val="24"/>
      <w:szCs w:val="24"/>
    </w:rPr>
  </w:style>
  <w:style w:type="character" w:styleId="886" w:customStyle="1">
    <w:name w:val="标题 6 Char"/>
    <w:basedOn w:val="827"/>
    <w:link w:val="823"/>
    <w:uiPriority w:val="9"/>
    <w:qFormat/>
    <w:rPr>
      <w:rFonts w:ascii="Arial" w:hAnsi="Arial" w:eastAsia="Arial" w:cs="Arial"/>
      <w:b/>
      <w:bCs/>
      <w:sz w:val="22"/>
      <w:szCs w:val="22"/>
    </w:rPr>
  </w:style>
  <w:style w:type="character" w:styleId="887" w:customStyle="1">
    <w:name w:val="标题 7 Char"/>
    <w:basedOn w:val="827"/>
    <w:link w:val="824"/>
    <w:uiPriority w:val="9"/>
    <w:qFormat/>
    <w:rPr>
      <w:rFonts w:ascii="Arial" w:hAnsi="Arial" w:eastAsia="Arial" w:cs="Arial"/>
      <w:b/>
      <w:bCs/>
      <w:i/>
      <w:iCs/>
      <w:sz w:val="22"/>
      <w:szCs w:val="22"/>
    </w:rPr>
  </w:style>
  <w:style w:type="character" w:styleId="888" w:customStyle="1">
    <w:name w:val="标题 8 Char"/>
    <w:basedOn w:val="827"/>
    <w:link w:val="825"/>
    <w:uiPriority w:val="9"/>
    <w:qFormat/>
    <w:rPr>
      <w:rFonts w:ascii="Arial" w:hAnsi="Arial" w:eastAsia="Arial" w:cs="Arial"/>
      <w:i/>
      <w:iCs/>
      <w:sz w:val="22"/>
      <w:szCs w:val="22"/>
    </w:rPr>
  </w:style>
  <w:style w:type="character" w:styleId="889" w:customStyle="1">
    <w:name w:val="标题 9 Char"/>
    <w:basedOn w:val="827"/>
    <w:link w:val="826"/>
    <w:uiPriority w:val="9"/>
    <w:qFormat/>
    <w:rPr>
      <w:rFonts w:ascii="Arial" w:hAnsi="Arial" w:eastAsia="Arial" w:cs="Arial"/>
      <w:i/>
      <w:iCs/>
      <w:sz w:val="21"/>
      <w:szCs w:val="21"/>
    </w:rPr>
  </w:style>
  <w:style w:type="character" w:styleId="890" w:customStyle="1">
    <w:name w:val="标题 Char"/>
    <w:basedOn w:val="827"/>
    <w:link w:val="855"/>
    <w:uiPriority w:val="10"/>
    <w:qFormat/>
    <w:rPr>
      <w:sz w:val="48"/>
      <w:szCs w:val="48"/>
    </w:rPr>
  </w:style>
  <w:style w:type="character" w:styleId="891" w:customStyle="1">
    <w:name w:val="副标题 Char"/>
    <w:basedOn w:val="827"/>
    <w:link w:val="847"/>
    <w:uiPriority w:val="11"/>
    <w:qFormat/>
    <w:rPr>
      <w:sz w:val="24"/>
      <w:szCs w:val="24"/>
    </w:rPr>
  </w:style>
  <w:style w:type="paragraph" w:styleId="892">
    <w:name w:val="Quote"/>
    <w:basedOn w:val="817"/>
    <w:next w:val="817"/>
    <w:link w:val="893"/>
    <w:uiPriority w:val="29"/>
    <w:qFormat/>
    <w:pPr>
      <w:ind w:left="720" w:right="720"/>
    </w:pPr>
    <w:rPr>
      <w:i/>
    </w:rPr>
  </w:style>
  <w:style w:type="character" w:styleId="893" w:customStyle="1">
    <w:name w:val="引用 Char"/>
    <w:link w:val="892"/>
    <w:uiPriority w:val="29"/>
    <w:qFormat/>
    <w:rPr>
      <w:i/>
    </w:rPr>
  </w:style>
  <w:style w:type="paragraph" w:styleId="894">
    <w:name w:val="Intense Quote"/>
    <w:basedOn w:val="817"/>
    <w:next w:val="817"/>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Char"/>
    <w:link w:val="894"/>
    <w:uiPriority w:val="30"/>
    <w:qFormat/>
    <w:rPr>
      <w:i/>
    </w:rPr>
  </w:style>
  <w:style w:type="character" w:styleId="896" w:customStyle="1">
    <w:name w:val="Header Char_9a8cf32b-cfe8-49f0-9e4d-1881769e6574"/>
    <w:basedOn w:val="827"/>
    <w:uiPriority w:val="99"/>
    <w:qFormat/>
  </w:style>
  <w:style w:type="character" w:styleId="897" w:customStyle="1">
    <w:name w:val="Footer Char_67e98b2e-e693-4351-a2a5-c50d9e08f645"/>
    <w:basedOn w:val="827"/>
    <w:uiPriority w:val="99"/>
    <w:qFormat/>
  </w:style>
  <w:style w:type="character" w:styleId="898" w:customStyle="1">
    <w:name w:val="Caption Char"/>
    <w:uiPriority w:val="99"/>
    <w:qFormat/>
  </w:style>
  <w:style w:type="table" w:styleId="899" w:customStyle="1">
    <w:name w:val="Table Grid Light"/>
    <w:basedOn w:val="82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00" w:customStyle="1">
    <w:name w:val="Plain Table 1"/>
    <w:basedOn w:val="82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2"/>
    <w:basedOn w:val="828"/>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3"/>
    <w:basedOn w:val="82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Plain Table 4"/>
    <w:basedOn w:val="82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Plain Table 5"/>
    <w:basedOn w:val="82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Grid Table 1 Light"/>
    <w:basedOn w:val="828"/>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06" w:customStyle="1">
    <w:name w:val="Grid Table 1 Light - Accent 1"/>
    <w:basedOn w:val="828"/>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828"/>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828"/>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828"/>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828"/>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828"/>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912" w:customStyle="1">
    <w:name w:val="Grid Table 2"/>
    <w:basedOn w:val="828"/>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13" w:customStyle="1">
    <w:name w:val="Grid Table 2 - Accent 1"/>
    <w:basedOn w:val="828"/>
    <w:uiPriority w:val="99"/>
    <w:qFormat/>
    <w:tblPr>
      <w:tblBorders>
        <w:bottom w:val="single" w:color="68A3D8" w:sz="4" w:space="0"/>
        <w:insideH w:val="single" w:color="68A3D8" w:sz="4" w:space="0"/>
        <w:insideV w:val="single" w:color="68A3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914" w:customStyle="1">
    <w:name w:val="Grid Table 2 - Accent 2"/>
    <w:basedOn w:val="828"/>
    <w:uiPriority w:val="99"/>
    <w:qFormat/>
    <w:tblPr>
      <w:tblBorders>
        <w:bottom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915" w:customStyle="1">
    <w:name w:val="Grid Table 2 - Accent 3"/>
    <w:basedOn w:val="828"/>
    <w:uiPriority w:val="99"/>
    <w:qFormat/>
    <w:tblPr>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916" w:customStyle="1">
    <w:name w:val="Grid Table 2 - Accent 4"/>
    <w:basedOn w:val="828"/>
    <w:uiPriority w:val="99"/>
    <w:qFormat/>
    <w:tblPr>
      <w:tblBorders>
        <w:bottom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917" w:customStyle="1">
    <w:name w:val="Grid Table 2 - Accent 5"/>
    <w:basedOn w:val="828"/>
    <w:uiPriority w:val="99"/>
    <w:qFormat/>
    <w:tblPr>
      <w:tblBorders>
        <w:bottom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918" w:customStyle="1">
    <w:name w:val="Grid Table 2 - Accent 6"/>
    <w:basedOn w:val="828"/>
    <w:uiPriority w:val="99"/>
    <w:qFormat/>
    <w:tblPr>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919" w:customStyle="1">
    <w:name w:val="Grid Table 3"/>
    <w:basedOn w:val="828"/>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basedOn w:val="828"/>
    <w:uiPriority w:val="99"/>
    <w:qFormat/>
    <w:tblPr>
      <w:tblBorders>
        <w:bottom w:val="single" w:color="68A3D8" w:sz="4" w:space="0"/>
        <w:insideH w:val="single" w:color="68A3D8" w:sz="4" w:space="0"/>
        <w:insideV w:val="single" w:color="68A3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828"/>
    <w:uiPriority w:val="99"/>
    <w:qFormat/>
    <w:tblPr>
      <w:tblBorders>
        <w:bottom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828"/>
    <w:uiPriority w:val="99"/>
    <w:qFormat/>
    <w:tblPr>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828"/>
    <w:uiPriority w:val="99"/>
    <w:qFormat/>
    <w:tblPr>
      <w:tblBorders>
        <w:bottom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828"/>
    <w:uiPriority w:val="99"/>
    <w:qFormat/>
    <w:tblPr>
      <w:tblBorders>
        <w:bottom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828"/>
    <w:uiPriority w:val="99"/>
    <w:qFormat/>
    <w:tblPr>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4"/>
    <w:basedOn w:val="828"/>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27" w:customStyle="1">
    <w:name w:val="Grid Table 4 - Accent 1"/>
    <w:basedOn w:val="828"/>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928" w:customStyle="1">
    <w:name w:val="Grid Table 4 - Accent 2"/>
    <w:basedOn w:val="828"/>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929" w:customStyle="1">
    <w:name w:val="Grid Table 4 - Accent 3"/>
    <w:basedOn w:val="828"/>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930" w:customStyle="1">
    <w:name w:val="Grid Table 4 - Accent 4"/>
    <w:basedOn w:val="828"/>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931" w:customStyle="1">
    <w:name w:val="Grid Table 4 - Accent 5"/>
    <w:basedOn w:val="828"/>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932" w:customStyle="1">
    <w:name w:val="Grid Table 4 - Accent 6"/>
    <w:basedOn w:val="828"/>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933" w:customStyle="1">
    <w:name w:val="Grid Table 5 Dark"/>
    <w:basedOn w:val="82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34" w:customStyle="1">
    <w:name w:val="Grid Table 5 Dark- Accent 1"/>
    <w:basedOn w:val="82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935" w:customStyle="1">
    <w:name w:val="Grid Table 5 Dark - Accent 2"/>
    <w:basedOn w:val="82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936" w:customStyle="1">
    <w:name w:val="Grid Table 5 Dark - Accent 3"/>
    <w:basedOn w:val="82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937" w:customStyle="1">
    <w:name w:val="Grid Table 5 Dark- Accent 4"/>
    <w:basedOn w:val="82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938" w:customStyle="1">
    <w:name w:val="Grid Table 5 Dark - Accent 5"/>
    <w:basedOn w:val="82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939" w:customStyle="1">
    <w:name w:val="Grid Table 5 Dark - Accent 6"/>
    <w:basedOn w:val="82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940" w:customStyle="1">
    <w:name w:val="Grid Table 6 Colorful"/>
    <w:basedOn w:val="828"/>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41" w:customStyle="1">
    <w:name w:val="Grid Table 6 Colorful - Accent 1"/>
    <w:basedOn w:val="828"/>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CellMar>
        <w:left w:w="108" w:type="dxa"/>
        <w:top w:w="0" w:type="dxa"/>
        <w:right w:w="108" w:type="dxa"/>
        <w:bottom w:w="0" w:type="dxa"/>
      </w:tblCellMar>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b/>
        <w:color w:val="accdea"/>
      </w:rPr>
    </w:tblStylePr>
    <w:tblStylePr w:type="firstRow">
      <w:rPr>
        <w:b/>
        <w:color w:val="accdea"/>
      </w:rPr>
      <w:tcPr>
        <w:tcBorders>
          <w:bottom w:val="single" w:color="ACCCE9" w:sz="12" w:space="0"/>
        </w:tcBorders>
      </w:tcPr>
    </w:tblStylePr>
    <w:tblStylePr w:type="lastCol">
      <w:rPr>
        <w:b/>
        <w:color w:val="accdea"/>
      </w:rPr>
    </w:tblStylePr>
    <w:tblStylePr w:type="lastRow">
      <w:rPr>
        <w:b/>
        <w:color w:val="accdea"/>
      </w:rPr>
    </w:tblStylePr>
  </w:style>
  <w:style w:type="table" w:styleId="942" w:customStyle="1">
    <w:name w:val="Grid Table 6 Colorful - Accent 2"/>
    <w:basedOn w:val="828"/>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943" w:customStyle="1">
    <w:name w:val="Grid Table 6 Colorful - Accent 3"/>
    <w:basedOn w:val="828"/>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944" w:customStyle="1">
    <w:name w:val="Grid Table 6 Colorful - Accent 4"/>
    <w:basedOn w:val="828"/>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945" w:customStyle="1">
    <w:name w:val="Grid Table 6 Colorful - Accent 5"/>
    <w:basedOn w:val="828"/>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12" w:space="0"/>
        </w:tcBorders>
      </w:tcPr>
    </w:tblStylePr>
    <w:tblStylePr w:type="lastCol">
      <w:rPr>
        <w:b/>
        <w:color w:val="254174"/>
      </w:rPr>
    </w:tblStylePr>
    <w:tblStylePr w:type="lastRow">
      <w:rPr>
        <w:b/>
        <w:color w:val="254174"/>
      </w:rPr>
    </w:tblStylePr>
  </w:style>
  <w:style w:type="table" w:styleId="946" w:customStyle="1">
    <w:name w:val="Grid Table 6 Colorful - Accent 6"/>
    <w:basedOn w:val="828"/>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254174"/>
        <w:sz w:val="22"/>
      </w:rPr>
      <w:tcPr>
        <w:shd w:val="clear" w:color="e1efd8" w:fill="e1efd8"/>
      </w:tcPr>
    </w:tblStylePr>
    <w:tblStylePr w:type="band1Vert">
      <w:tcPr>
        <w:shd w:val="clear" w:color="e1efd8" w:fill="e1efd8"/>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70AD47" w:sz="12" w:space="0"/>
        </w:tcBorders>
      </w:tcPr>
    </w:tblStylePr>
    <w:tblStylePr w:type="lastCol">
      <w:rPr>
        <w:b/>
        <w:color w:val="254174"/>
      </w:rPr>
    </w:tblStylePr>
    <w:tblStylePr w:type="lastRow">
      <w:rPr>
        <w:b/>
        <w:color w:val="254174"/>
      </w:rPr>
    </w:tblStylePr>
  </w:style>
  <w:style w:type="table" w:styleId="947" w:customStyle="1">
    <w:name w:val="Grid Table 7 Colorful"/>
    <w:basedOn w:val="828"/>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48" w:customStyle="1">
    <w:name w:val="Grid Table 7 Colorful - Accent 1"/>
    <w:basedOn w:val="828"/>
    <w:uiPriority w:val="99"/>
    <w:qFormat/>
    <w:tblPr>
      <w:tblBorders>
        <w:bottom w:val="single" w:color="ACCCE9" w:sz="4" w:space="0"/>
        <w:right w:val="single" w:color="ACCCE9" w:sz="4" w:space="0"/>
        <w:insideH w:val="single" w:color="ACCCE9" w:sz="4" w:space="0"/>
        <w:insideV w:val="single" w:color="ACCCE9" w:sz="4" w:space="0"/>
      </w:tblBorders>
      <w:tblCellMar>
        <w:left w:w="108" w:type="dxa"/>
        <w:top w:w="0" w:type="dxa"/>
        <w:right w:w="108" w:type="dxa"/>
        <w:bottom w:w="0" w:type="dxa"/>
      </w:tblCellMar>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rFonts w:ascii="Arial" w:hAnsi="Arial"/>
        <w:i/>
        <w:color w:val="ac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c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c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c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949" w:customStyle="1">
    <w:name w:val="Grid Table 7 Colorful - Accent 2"/>
    <w:basedOn w:val="828"/>
    <w:uiPriority w:val="99"/>
    <w:qFormat/>
    <w:tblPr>
      <w:tblBorders>
        <w:bottom w:val="single" w:color="F4B285" w:sz="4" w:space="0"/>
        <w:right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50" w:customStyle="1">
    <w:name w:val="Grid Table 7 Colorful - Accent 3"/>
    <w:basedOn w:val="828"/>
    <w:uiPriority w:val="99"/>
    <w:qFormat/>
    <w:tblPr>
      <w:tblBorders>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51" w:customStyle="1">
    <w:name w:val="Grid Table 7 Colorful - Accent 4"/>
    <w:basedOn w:val="828"/>
    <w:uiPriority w:val="99"/>
    <w:qFormat/>
    <w:tblPr>
      <w:tblBorders>
        <w:bottom w:val="single" w:color="FFD864" w:sz="4" w:space="0"/>
        <w:right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52" w:customStyle="1">
    <w:name w:val="Grid Table 7 Colorful - Accent 5"/>
    <w:basedOn w:val="828"/>
    <w:uiPriority w:val="99"/>
    <w:qFormat/>
    <w:tblPr>
      <w:tblBorders>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953" w:customStyle="1">
    <w:name w:val="Grid Table 7 Colorful - Accent 6"/>
    <w:basedOn w:val="828"/>
    <w:uiPriority w:val="99"/>
    <w:qFormat/>
    <w:tblPr>
      <w:tblBorders>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54" w:customStyle="1">
    <w:name w:val="List Table 1 Light"/>
    <w:basedOn w:val="828"/>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55" w:customStyle="1">
    <w:name w:val="List Table 1 Light - Accent 1"/>
    <w:basedOn w:val="828"/>
    <w:uiPriority w:val="99"/>
    <w:qFormat/>
    <w:tblPr>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56" w:customStyle="1">
    <w:name w:val="List Table 1 Light - Accent 2"/>
    <w:basedOn w:val="828"/>
    <w:uiPriority w:val="99"/>
    <w:qFormat/>
    <w:tblPr>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57" w:customStyle="1">
    <w:name w:val="List Table 1 Light - Accent 3"/>
    <w:basedOn w:val="828"/>
    <w:uiPriority w:val="99"/>
    <w:qFormat/>
    <w:tblPr>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58" w:customStyle="1">
    <w:name w:val="List Table 1 Light - Accent 4"/>
    <w:basedOn w:val="828"/>
    <w:uiPriority w:val="99"/>
    <w:qFormat/>
    <w:tblPr>
      <w:tblCellMar>
        <w:left w:w="108" w:type="dxa"/>
        <w:top w:w="0" w:type="dxa"/>
        <w:right w:w="108" w:type="dxa"/>
        <w:bottom w:w="0" w:type="dxa"/>
      </w:tblCellMar>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59" w:customStyle="1">
    <w:name w:val="List Table 1 Light - Accent 5"/>
    <w:basedOn w:val="828"/>
    <w:uiPriority w:val="99"/>
    <w:qFormat/>
    <w:tblPr>
      <w:tblCellMar>
        <w:left w:w="108" w:type="dxa"/>
        <w:top w:w="0" w:type="dxa"/>
        <w:right w:w="108" w:type="dxa"/>
        <w:bottom w:w="0" w:type="dxa"/>
      </w:tblCellMar>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60" w:customStyle="1">
    <w:name w:val="List Table 1 Light - Accent 6"/>
    <w:basedOn w:val="828"/>
    <w:uiPriority w:val="99"/>
    <w:qFormat/>
    <w:tblPr>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61" w:customStyle="1">
    <w:name w:val="List Table 2"/>
    <w:basedOn w:val="828"/>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62" w:customStyle="1">
    <w:name w:val="List Table 2 - Accent 1"/>
    <w:basedOn w:val="828"/>
    <w:uiPriority w:val="99"/>
    <w:qFormat/>
    <w:tblPr>
      <w:tblBorders>
        <w:top w:val="single" w:color="A2C6E7" w:sz="4" w:space="0"/>
        <w:bottom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63" w:customStyle="1">
    <w:name w:val="List Table 2 - Accent 2"/>
    <w:basedOn w:val="828"/>
    <w:uiPriority w:val="99"/>
    <w:qFormat/>
    <w:tblPr>
      <w:tblBorders>
        <w:top w:val="single" w:color="F4B58A" w:sz="4" w:space="0"/>
        <w:bottom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64" w:customStyle="1">
    <w:name w:val="List Table 2 - Accent 3"/>
    <w:basedOn w:val="828"/>
    <w:uiPriority w:val="99"/>
    <w:qFormat/>
    <w:tblPr>
      <w:tblBorders>
        <w:top w:val="single" w:color="CCCCCC" w:sz="4" w:space="0"/>
        <w:bottom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65" w:customStyle="1">
    <w:name w:val="List Table 2 - Accent 4"/>
    <w:basedOn w:val="828"/>
    <w:uiPriority w:val="99"/>
    <w:qFormat/>
    <w:tblPr>
      <w:tblBorders>
        <w:top w:val="single" w:color="FFDB6E" w:sz="4" w:space="0"/>
        <w:bottom w:val="single" w:color="FFDB6E" w:sz="4" w:space="0"/>
        <w:insideH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66" w:customStyle="1">
    <w:name w:val="List Table 2 - Accent 5"/>
    <w:basedOn w:val="828"/>
    <w:uiPriority w:val="99"/>
    <w:qFormat/>
    <w:tblPr>
      <w:tblBorders>
        <w:top w:val="single" w:color="95AFDD" w:sz="4" w:space="0"/>
        <w:bottom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67" w:customStyle="1">
    <w:name w:val="List Table 2 - Accent 6"/>
    <w:basedOn w:val="828"/>
    <w:uiPriority w:val="99"/>
    <w:qFormat/>
    <w:tblPr>
      <w:tblBorders>
        <w:top w:val="single" w:color="ADD394" w:sz="4" w:space="0"/>
        <w:bottom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68" w:customStyle="1">
    <w:name w:val="List Table 3"/>
    <w:basedOn w:val="828"/>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9" w:customStyle="1">
    <w:name w:val="List Table 3 - Accent 1"/>
    <w:basedOn w:val="828"/>
    <w:uiPriority w:val="99"/>
    <w:qFormat/>
    <w:tblPr>
      <w:tblBorders>
        <w:top w:val="single" w:color="5B9BD5" w:sz="4" w:space="0"/>
        <w:left w:val="single" w:color="5B9BD5" w:sz="4" w:space="0"/>
        <w:bottom w:val="single" w:color="5B9BD5" w:sz="4" w:space="0"/>
        <w:right w:val="single" w:color="5B9BD5"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70" w:customStyle="1">
    <w:name w:val="List Table 3 - Accent 2"/>
    <w:basedOn w:val="828"/>
    <w:uiPriority w:val="99"/>
    <w:qFormat/>
    <w:tblPr>
      <w:tblBorders>
        <w:top w:val="single" w:color="F4B285" w:sz="4" w:space="0"/>
        <w:left w:val="single" w:color="F4B285" w:sz="4" w:space="0"/>
        <w:bottom w:val="single" w:color="F4B285" w:sz="4" w:space="0"/>
        <w:right w:val="single" w:color="F4B285"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71" w:customStyle="1">
    <w:name w:val="List Table 3 - Accent 3"/>
    <w:basedOn w:val="828"/>
    <w:uiPriority w:val="99"/>
    <w:qFormat/>
    <w:tblPr>
      <w:tblBorders>
        <w:top w:val="single" w:color="C9C9C9" w:sz="4" w:space="0"/>
        <w:left w:val="single" w:color="C9C9C9" w:sz="4" w:space="0"/>
        <w:bottom w:val="single" w:color="C9C9C9" w:sz="4" w:space="0"/>
        <w:right w:val="single" w:color="C9C9C9"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72" w:customStyle="1">
    <w:name w:val="List Table 3 - Accent 4"/>
    <w:basedOn w:val="828"/>
    <w:uiPriority w:val="99"/>
    <w:qFormat/>
    <w:tblPr>
      <w:tblBorders>
        <w:top w:val="single" w:color="FFD864" w:sz="4" w:space="0"/>
        <w:left w:val="single" w:color="FFD864" w:sz="4" w:space="0"/>
        <w:bottom w:val="single" w:color="FFD864" w:sz="4" w:space="0"/>
        <w:right w:val="single" w:color="FFD864"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73" w:customStyle="1">
    <w:name w:val="List Table 3 - Accent 5"/>
    <w:basedOn w:val="828"/>
    <w:uiPriority w:val="99"/>
    <w:qFormat/>
    <w:tblPr>
      <w:tblBorders>
        <w:top w:val="single" w:color="8EA9DB" w:sz="4" w:space="0"/>
        <w:left w:val="single" w:color="8EA9DB" w:sz="4" w:space="0"/>
        <w:bottom w:val="single" w:color="8EA9DB" w:sz="4" w:space="0"/>
        <w:right w:val="single" w:color="8EA9DB"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74" w:customStyle="1">
    <w:name w:val="List Table 3 - Accent 6"/>
    <w:basedOn w:val="828"/>
    <w:uiPriority w:val="99"/>
    <w:qFormat/>
    <w:tblPr>
      <w:tblBorders>
        <w:top w:val="single" w:color="A9D08E" w:sz="4" w:space="0"/>
        <w:left w:val="single" w:color="A9D08E" w:sz="4" w:space="0"/>
        <w:bottom w:val="single" w:color="A9D08E" w:sz="4" w:space="0"/>
        <w:right w:val="single" w:color="A9D08E"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75" w:customStyle="1">
    <w:name w:val="List Table 4"/>
    <w:basedOn w:val="8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76" w:customStyle="1">
    <w:name w:val="List Table 4 - Accent 1"/>
    <w:basedOn w:val="828"/>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77" w:customStyle="1">
    <w:name w:val="List Table 4 - Accent 2"/>
    <w:basedOn w:val="828"/>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78" w:customStyle="1">
    <w:name w:val="List Table 4 - Accent 3"/>
    <w:basedOn w:val="828"/>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79" w:customStyle="1">
    <w:name w:val="List Table 4 - Accent 4"/>
    <w:basedOn w:val="828"/>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80" w:customStyle="1">
    <w:name w:val="List Table 4 - Accent 5"/>
    <w:basedOn w:val="828"/>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81" w:customStyle="1">
    <w:name w:val="List Table 4 - Accent 6"/>
    <w:basedOn w:val="828"/>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82" w:customStyle="1">
    <w:name w:val="List Table 5 Dark"/>
    <w:basedOn w:val="828"/>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83" w:customStyle="1">
    <w:name w:val="List Table 5 Dark - Accent 1"/>
    <w:basedOn w:val="828"/>
    <w:uiPriority w:val="99"/>
    <w:qFormat/>
    <w:tblPr>
      <w:tblBorders>
        <w:top w:val="single" w:color="5B9BD5" w:sz="32" w:space="0"/>
        <w:left w:val="single" w:color="5B9BD5" w:sz="32" w:space="0"/>
        <w:bottom w:val="single" w:color="5B9BD5" w:sz="32" w:space="0"/>
        <w:right w:val="single" w:color="5B9BD5" w:sz="32" w:space="0"/>
      </w:tblBorders>
      <w:tblCellMar>
        <w:left w:w="108" w:type="dxa"/>
        <w:top w:w="0" w:type="dxa"/>
        <w:right w:w="108" w:type="dxa"/>
        <w:bottom w:w="0" w:type="dxa"/>
      </w:tblCellMar>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984" w:customStyle="1">
    <w:name w:val="List Table 5 Dark - Accent 2"/>
    <w:basedOn w:val="828"/>
    <w:uiPriority w:val="99"/>
    <w:qFormat/>
    <w:tblPr>
      <w:tblBorders>
        <w:top w:val="single" w:color="F4B285" w:sz="32" w:space="0"/>
        <w:left w:val="single" w:color="F4B285" w:sz="32" w:space="0"/>
        <w:bottom w:val="single" w:color="F4B285" w:sz="32" w:space="0"/>
        <w:right w:val="single" w:color="F4B285" w:sz="32" w:space="0"/>
      </w:tblBorders>
      <w:tblCellMar>
        <w:left w:w="108" w:type="dxa"/>
        <w:top w:w="0" w:type="dxa"/>
        <w:right w:w="108" w:type="dxa"/>
        <w:bottom w:w="0" w:type="dxa"/>
      </w:tblCellMar>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85" w:customStyle="1">
    <w:name w:val="List Table 5 Dark - Accent 3"/>
    <w:basedOn w:val="828"/>
    <w:uiPriority w:val="99"/>
    <w:qFormat/>
    <w:tblPr>
      <w:tblBorders>
        <w:top w:val="single" w:color="C9C9C9" w:sz="32" w:space="0"/>
        <w:left w:val="single" w:color="C9C9C9" w:sz="32" w:space="0"/>
        <w:bottom w:val="single" w:color="C9C9C9" w:sz="32" w:space="0"/>
        <w:right w:val="single" w:color="C9C9C9" w:sz="32" w:space="0"/>
      </w:tblBorders>
      <w:tblCellMar>
        <w:left w:w="108" w:type="dxa"/>
        <w:top w:w="0" w:type="dxa"/>
        <w:right w:w="108" w:type="dxa"/>
        <w:bottom w:w="0" w:type="dxa"/>
      </w:tblCellMar>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86" w:customStyle="1">
    <w:name w:val="List Table 5 Dark - Accent 4"/>
    <w:basedOn w:val="828"/>
    <w:uiPriority w:val="99"/>
    <w:qFormat/>
    <w:tblPr>
      <w:tblBorders>
        <w:top w:val="single" w:color="FFD864" w:sz="32" w:space="0"/>
        <w:left w:val="single" w:color="FFD864" w:sz="32" w:space="0"/>
        <w:bottom w:val="single" w:color="FFD864" w:sz="32" w:space="0"/>
        <w:right w:val="single" w:color="FFD864" w:sz="32" w:space="0"/>
      </w:tblBorders>
      <w:tblCellMar>
        <w:left w:w="108" w:type="dxa"/>
        <w:top w:w="0" w:type="dxa"/>
        <w:right w:w="108" w:type="dxa"/>
        <w:bottom w:w="0" w:type="dxa"/>
      </w:tblCellMar>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87" w:customStyle="1">
    <w:name w:val="List Table 5 Dark - Accent 5"/>
    <w:basedOn w:val="828"/>
    <w:uiPriority w:val="99"/>
    <w:qFormat/>
    <w:tblPr>
      <w:tblBorders>
        <w:top w:val="single" w:color="8EA9DB" w:sz="32" w:space="0"/>
        <w:left w:val="single" w:color="8EA9DB" w:sz="32" w:space="0"/>
        <w:bottom w:val="single" w:color="8EA9DB" w:sz="32" w:space="0"/>
        <w:right w:val="single" w:color="8EA9DB" w:sz="32" w:space="0"/>
      </w:tblBorders>
      <w:tblCellMar>
        <w:left w:w="108" w:type="dxa"/>
        <w:top w:w="0" w:type="dxa"/>
        <w:right w:w="108" w:type="dxa"/>
        <w:bottom w:w="0" w:type="dxa"/>
      </w:tblCellMar>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988" w:customStyle="1">
    <w:name w:val="List Table 5 Dark - Accent 6"/>
    <w:basedOn w:val="828"/>
    <w:uiPriority w:val="99"/>
    <w:qFormat/>
    <w:tblPr>
      <w:tblBorders>
        <w:top w:val="single" w:color="A9D08E" w:sz="32" w:space="0"/>
        <w:left w:val="single" w:color="A9D08E" w:sz="32" w:space="0"/>
        <w:bottom w:val="single" w:color="A9D08E" w:sz="32" w:space="0"/>
        <w:right w:val="single" w:color="A9D08E" w:sz="32" w:space="0"/>
      </w:tblBorders>
      <w:tblCellMar>
        <w:left w:w="108" w:type="dxa"/>
        <w:top w:w="0" w:type="dxa"/>
        <w:right w:w="108" w:type="dxa"/>
        <w:bottom w:w="0" w:type="dxa"/>
      </w:tblCellMar>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89" w:customStyle="1">
    <w:name w:val="List Table 6 Colorful"/>
    <w:basedOn w:val="828"/>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90" w:customStyle="1">
    <w:name w:val="List Table 6 Colorful - Accent 1"/>
    <w:basedOn w:val="828"/>
    <w:uiPriority w:val="99"/>
    <w:qFormat/>
    <w:tblPr>
      <w:tblBorders>
        <w:top w:val="single" w:color="5B9BD5" w:sz="4" w:space="0"/>
        <w:bottom w:val="single" w:color="5B9BD5" w:sz="4" w:space="0"/>
      </w:tblBorders>
      <w:tblCellMar>
        <w:left w:w="108" w:type="dxa"/>
        <w:top w:w="0" w:type="dxa"/>
        <w:right w:w="108" w:type="dxa"/>
        <w:bottom w:w="0" w:type="dxa"/>
      </w:tblCellMar>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4" w:space="0"/>
        </w:tcBorders>
      </w:tcPr>
    </w:tblStylePr>
    <w:tblStylePr w:type="lastCol">
      <w:rPr>
        <w:b/>
        <w:color w:val="245b8c"/>
      </w:rPr>
    </w:tblStylePr>
    <w:tblStylePr w:type="lastRow">
      <w:rPr>
        <w:b/>
        <w:color w:val="245b8c"/>
      </w:rPr>
      <w:tcPr>
        <w:tcBorders>
          <w:top w:val="single" w:color="5B9BD5" w:sz="4" w:space="0"/>
        </w:tcBorders>
      </w:tcPr>
    </w:tblStylePr>
  </w:style>
  <w:style w:type="table" w:styleId="991" w:customStyle="1">
    <w:name w:val="List Table 6 Colorful - Accent 2"/>
    <w:basedOn w:val="828"/>
    <w:uiPriority w:val="99"/>
    <w:qFormat/>
    <w:tblPr>
      <w:tblBorders>
        <w:top w:val="single" w:color="F4B285" w:sz="4" w:space="0"/>
        <w:bottom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92" w:customStyle="1">
    <w:name w:val="List Table 6 Colorful - Accent 3"/>
    <w:basedOn w:val="828"/>
    <w:uiPriority w:val="99"/>
    <w:qFormat/>
    <w:tblPr>
      <w:tblBorders>
        <w:top w:val="single" w:color="C9C9C9" w:sz="4" w:space="0"/>
        <w:bottom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93" w:customStyle="1">
    <w:name w:val="List Table 6 Colorful - Accent 4"/>
    <w:basedOn w:val="828"/>
    <w:uiPriority w:val="99"/>
    <w:qFormat/>
    <w:tblPr>
      <w:tblBorders>
        <w:top w:val="single" w:color="FFD864" w:sz="4" w:space="0"/>
        <w:bottom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994" w:customStyle="1">
    <w:name w:val="List Table 6 Colorful - Accent 5"/>
    <w:basedOn w:val="828"/>
    <w:uiPriority w:val="99"/>
    <w:qFormat/>
    <w:tblPr>
      <w:tblBorders>
        <w:top w:val="single" w:color="8EA9DB" w:sz="4" w:space="0"/>
        <w:bottom w:val="single" w:color="8EA9DB" w:sz="4" w:space="0"/>
      </w:tblBorders>
      <w:tblCellMar>
        <w:left w:w="108" w:type="dxa"/>
        <w:top w:w="0" w:type="dxa"/>
        <w:right w:w="108" w:type="dxa"/>
        <w:bottom w:w="0" w:type="dxa"/>
      </w:tblCellMar>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995" w:customStyle="1">
    <w:name w:val="List Table 6 Colorful - Accent 6"/>
    <w:basedOn w:val="828"/>
    <w:uiPriority w:val="99"/>
    <w:qFormat/>
    <w:tblPr>
      <w:tblBorders>
        <w:top w:val="single" w:color="A9D08E" w:sz="4" w:space="0"/>
        <w:bottom w:val="single" w:color="A9D08E" w:sz="4" w:space="0"/>
      </w:tblBorders>
      <w:tblCellMar>
        <w:left w:w="108" w:type="dxa"/>
        <w:top w:w="0" w:type="dxa"/>
        <w:right w:w="108" w:type="dxa"/>
        <w:bottom w:w="0" w:type="dxa"/>
      </w:tblCellMar>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96" w:customStyle="1">
    <w:name w:val="List Table 7 Colorful"/>
    <w:basedOn w:val="828"/>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97" w:customStyle="1">
    <w:name w:val="List Table 7 Colorful - Accent 1"/>
    <w:basedOn w:val="828"/>
    <w:uiPriority w:val="99"/>
    <w:qFormat/>
    <w:tblPr>
      <w:tblBorders>
        <w:right w:val="single" w:color="5B9BD5" w:sz="4" w:space="0"/>
      </w:tblBorders>
      <w:tblCellMar>
        <w:left w:w="108" w:type="dxa"/>
        <w:top w:w="0" w:type="dxa"/>
        <w:right w:w="108" w:type="dxa"/>
        <w:bottom w:w="0" w:type="dxa"/>
      </w:tblCellMar>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b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b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998" w:customStyle="1">
    <w:name w:val="List Table 7 Colorful - Accent 2"/>
    <w:basedOn w:val="828"/>
    <w:uiPriority w:val="99"/>
    <w:qFormat/>
    <w:tblPr>
      <w:tblBorders>
        <w:right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99" w:customStyle="1">
    <w:name w:val="List Table 7 Colorful - Accent 3"/>
    <w:basedOn w:val="828"/>
    <w:uiPriority w:val="99"/>
    <w:qFormat/>
    <w:tblPr>
      <w:tblBorders>
        <w:right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000" w:customStyle="1">
    <w:name w:val="List Table 7 Colorful - Accent 4"/>
    <w:basedOn w:val="828"/>
    <w:uiPriority w:val="99"/>
    <w:qFormat/>
    <w:tblPr>
      <w:tblBorders>
        <w:right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1001" w:customStyle="1">
    <w:name w:val="List Table 7 Colorful - Accent 5"/>
    <w:basedOn w:val="828"/>
    <w:uiPriority w:val="99"/>
    <w:qFormat/>
    <w:tblPr>
      <w:tblBorders>
        <w:right w:val="single" w:color="8EA9DB" w:sz="4" w:space="0"/>
      </w:tblBorders>
      <w:tblCellMar>
        <w:left w:w="108" w:type="dxa"/>
        <w:top w:w="0" w:type="dxa"/>
        <w:right w:w="108" w:type="dxa"/>
        <w:bottom w:w="0" w:type="dxa"/>
      </w:tblCellMar>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1002" w:customStyle="1">
    <w:name w:val="List Table 7 Colorful - Accent 6"/>
    <w:basedOn w:val="828"/>
    <w:uiPriority w:val="99"/>
    <w:qFormat/>
    <w:tblPr>
      <w:tblBorders>
        <w:right w:val="single" w:color="A9D08E" w:sz="4" w:space="0"/>
      </w:tblBorders>
      <w:tblCellMar>
        <w:left w:w="108" w:type="dxa"/>
        <w:top w:w="0" w:type="dxa"/>
        <w:right w:w="108" w:type="dxa"/>
        <w:bottom w:w="0" w:type="dxa"/>
      </w:tblCellMar>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003" w:customStyle="1">
    <w:name w:val="Lined - Accent"/>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04" w:customStyle="1">
    <w:name w:val="Lined - Accent 1"/>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1005" w:customStyle="1">
    <w:name w:val="Lined - Accent 2"/>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1006" w:customStyle="1">
    <w:name w:val="Lined - Accent 3"/>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07" w:customStyle="1">
    <w:name w:val="Lined - Accent 4"/>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1008" w:customStyle="1">
    <w:name w:val="Lined - Accent 5"/>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009" w:customStyle="1">
    <w:name w:val="Lined - Accent 6"/>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10" w:customStyle="1">
    <w:name w:val="Bordered &amp; Lined - Accent"/>
    <w:basedOn w:val="828"/>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1" w:customStyle="1">
    <w:name w:val="Bordered &amp; Lined - Accent 1"/>
    <w:basedOn w:val="828"/>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1012" w:customStyle="1">
    <w:name w:val="Bordered &amp; Lined - Accent 2"/>
    <w:basedOn w:val="828"/>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1013" w:customStyle="1">
    <w:name w:val="Bordered &amp; Lined - Accent 3"/>
    <w:basedOn w:val="828"/>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14" w:customStyle="1">
    <w:name w:val="Bordered &amp; Lined - Accent 4"/>
    <w:basedOn w:val="828"/>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1015" w:customStyle="1">
    <w:name w:val="Bordered &amp; Lined - Accent 5"/>
    <w:basedOn w:val="828"/>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016" w:customStyle="1">
    <w:name w:val="Bordered &amp; Lined - Accent 6"/>
    <w:basedOn w:val="828"/>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17" w:customStyle="1">
    <w:name w:val="Bordered"/>
    <w:basedOn w:val="828"/>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18" w:customStyle="1">
    <w:name w:val="Bordered - Accent 1"/>
    <w:basedOn w:val="828"/>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1019" w:customStyle="1">
    <w:name w:val="Bordered - Accent 2"/>
    <w:basedOn w:val="828"/>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1020" w:customStyle="1">
    <w:name w:val="Bordered - Accent 3"/>
    <w:basedOn w:val="828"/>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021" w:customStyle="1">
    <w:name w:val="Bordered - Accent 4"/>
    <w:basedOn w:val="828"/>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1022" w:customStyle="1">
    <w:name w:val="Bordered - Accent 5"/>
    <w:basedOn w:val="828"/>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1023" w:customStyle="1">
    <w:name w:val="Bordered - Accent 6"/>
    <w:basedOn w:val="828"/>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1024" w:customStyle="1">
    <w:name w:val="脚注文本 Char"/>
    <w:link w:val="848"/>
    <w:uiPriority w:val="99"/>
    <w:qFormat/>
    <w:rPr>
      <w:sz w:val="18"/>
    </w:rPr>
  </w:style>
  <w:style w:type="character" w:styleId="1025" w:customStyle="1">
    <w:name w:val="尾注文本 Char"/>
    <w:link w:val="841"/>
    <w:uiPriority w:val="99"/>
    <w:qFormat/>
    <w:rPr>
      <w:sz w:val="20"/>
    </w:rPr>
  </w:style>
  <w:style w:type="paragraph" w:styleId="1026" w:customStyle="1">
    <w:name w:val="TOC 标题1"/>
    <w:uiPriority w:val="39"/>
    <w:qFormat/>
    <w:rPr>
      <w:rFonts w:ascii="Times New Roman" w:hAnsi="Times New Roman" w:eastAsia="宋体" w:cs="Times New Roman"/>
      <w:lang w:val="en-US" w:eastAsia="zh-CN" w:bidi="ar-SA"/>
    </w:rPr>
  </w:style>
  <w:style w:type="paragraph" w:styleId="1027" w:customStyle="1">
    <w:name w:val="首行缩进"/>
    <w:basedOn w:val="817"/>
    <w:uiPriority w:val="99"/>
    <w:qFormat/>
    <w:pPr>
      <w:ind w:left="420" w:firstLine="480"/>
      <w:spacing w:line="400" w:lineRule="exact"/>
    </w:pPr>
  </w:style>
  <w:style w:type="paragraph" w:styleId="1028">
    <w:name w:val="List Paragraph"/>
    <w:basedOn w:val="817"/>
    <w:next w:val="833"/>
    <w:uiPriority w:val="34"/>
    <w:qFormat/>
    <w:pPr>
      <w:ind w:firstLine="420"/>
    </w:pPr>
    <w:rPr>
      <w:szCs w:val="24"/>
    </w:rPr>
  </w:style>
  <w:style w:type="paragraph" w:styleId="1029" w:customStyle="1">
    <w:name w:val="标题 41"/>
    <w:basedOn w:val="817"/>
    <w:next w:val="817"/>
    <w:uiPriority w:val="0"/>
    <w:qFormat/>
    <w:pPr>
      <w:keepLines/>
      <w:keepNext/>
      <w:spacing w:before="120" w:after="120"/>
    </w:pPr>
    <w:rPr>
      <w:rFonts w:ascii="Arial" w:hAnsi="Arial" w:eastAsia="黑体"/>
      <w:b/>
      <w:sz w:val="28"/>
    </w:rPr>
  </w:style>
  <w:style w:type="paragraph" w:styleId="1030" w:customStyle="1">
    <w:name w:val="正文缩进1"/>
    <w:basedOn w:val="817"/>
    <w:uiPriority w:val="0"/>
    <w:qFormat/>
    <w:pPr>
      <w:ind w:firstLine="420"/>
    </w:pPr>
  </w:style>
  <w:style w:type="paragraph" w:styleId="103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2" w:customStyle="1">
    <w:name w:val="段"/>
    <w:uiPriority w:val="0"/>
    <w:qFormat/>
    <w:pPr>
      <w:ind w:firstLine="200"/>
      <w:jc w:val="both"/>
    </w:pPr>
    <w:rPr>
      <w:rFonts w:ascii="宋体" w:hAnsi="Times New Roman" w:eastAsia="宋体" w:cs="Times New Roman"/>
      <w:sz w:val="21"/>
      <w:lang w:val="en-US" w:eastAsia="zh-CN" w:bidi="ar-SA"/>
    </w:rPr>
  </w:style>
  <w:style w:type="paragraph" w:styleId="1033" w:customStyle="1">
    <w:name w:val="正文文本缩进 31"/>
    <w:basedOn w:val="817"/>
    <w:uiPriority w:val="0"/>
    <w:qFormat/>
    <w:pPr>
      <w:ind w:firstLine="504"/>
      <w:spacing w:line="360" w:lineRule="auto"/>
      <w:tabs>
        <w:tab w:val="left" w:pos="0" w:leader="none"/>
      </w:tabs>
    </w:pPr>
    <w:rPr>
      <w:rFonts w:ascii="宋体"/>
      <w:b/>
      <w:bCs/>
      <w:sz w:val="24"/>
      <w:szCs w:val="24"/>
    </w:rPr>
  </w:style>
  <w:style w:type="paragraph" w:styleId="1034" w:customStyle="1">
    <w:name w:val="Table Paragraph"/>
    <w:basedOn w:val="817"/>
    <w:uiPriority w:val="1"/>
    <w:qFormat/>
    <w:rPr>
      <w:rFonts w:ascii="宋体" w:hAnsi="宋体" w:cs="宋体"/>
      <w:lang w:val="zh-CN" w:bidi="zh-CN"/>
    </w:rPr>
  </w:style>
  <w:style w:type="paragraph" w:styleId="1035" w:customStyle="1">
    <w:name w:val="列出段落1"/>
    <w:basedOn w:val="817"/>
    <w:uiPriority w:val="99"/>
    <w:qFormat/>
    <w:pPr>
      <w:ind w:firstLine="420"/>
    </w:pPr>
  </w:style>
  <w:style w:type="character" w:styleId="1036" w:customStyle="1">
    <w:name w:val="标题 4 Char"/>
    <w:basedOn w:val="827"/>
    <w:link w:val="821"/>
    <w:uiPriority w:val="0"/>
    <w:qFormat/>
    <w:rPr>
      <w:rFonts w:ascii="Cambria" w:hAnsi="Cambria" w:eastAsia="宋体" w:cs="Times New Roman"/>
      <w:b/>
      <w:sz w:val="28"/>
      <w:szCs w:val="28"/>
    </w:rPr>
  </w:style>
  <w:style w:type="paragraph" w:styleId="1037" w:customStyle="1">
    <w:name w:val="标题 411"/>
    <w:basedOn w:val="817"/>
    <w:next w:val="1038"/>
    <w:uiPriority w:val="0"/>
    <w:qFormat/>
    <w:pPr>
      <w:ind w:left="618"/>
      <w:jc w:val="left"/>
      <w:outlineLvl w:val="4"/>
    </w:pPr>
    <w:rPr>
      <w:rFonts w:hint="eastAsia" w:ascii="宋体" w:hAnsi="宋体"/>
      <w:b/>
      <w:sz w:val="24"/>
      <w:szCs w:val="24"/>
    </w:rPr>
  </w:style>
  <w:style w:type="paragraph" w:styleId="1038" w:customStyle="1">
    <w:name w:val="正文1"/>
    <w:basedOn w:val="817"/>
    <w:next w:val="1037"/>
    <w:uiPriority w:val="0"/>
    <w:qFormat/>
    <w:pPr>
      <w:ind w:firstLine="510"/>
      <w:spacing w:before="156" w:line="360" w:lineRule="auto"/>
    </w:pPr>
    <w:rPr>
      <w:sz w:val="24"/>
    </w:rPr>
  </w:style>
  <w:style w:type="character" w:styleId="1039" w:customStyle="1">
    <w:name w:val="正文文本 Char"/>
    <w:basedOn w:val="827"/>
    <w:link w:val="834"/>
    <w:uiPriority w:val="0"/>
    <w:qFormat/>
    <w:rPr>
      <w:rFonts w:hint="default" w:ascii="Times New Roman" w:hAnsi="Times New Roman" w:eastAsia="宋体" w:cs="Times New Roman"/>
      <w:sz w:val="24"/>
      <w:szCs w:val="24"/>
    </w:rPr>
  </w:style>
  <w:style w:type="character" w:styleId="1040" w:customStyle="1">
    <w:name w:val="页脚 Char"/>
    <w:basedOn w:val="827"/>
    <w:link w:val="843"/>
    <w:uiPriority w:val="0"/>
    <w:qFormat/>
    <w:rPr>
      <w:rFonts w:hint="default" w:ascii="Times New Roman" w:hAnsi="Times New Roman" w:eastAsia="宋体" w:cs="Times New Roman"/>
      <w:sz w:val="18"/>
      <w:szCs w:val="18"/>
    </w:rPr>
  </w:style>
  <w:style w:type="character" w:styleId="1041" w:customStyle="1">
    <w:name w:val="页眉 Char"/>
    <w:basedOn w:val="827"/>
    <w:link w:val="844"/>
    <w:uiPriority w:val="0"/>
    <w:qFormat/>
    <w:rPr>
      <w:rFonts w:hint="default" w:ascii="Times New Roman" w:hAnsi="Times New Roman" w:eastAsia="宋体" w:cs="Times New Roman"/>
      <w:sz w:val="18"/>
      <w:szCs w:val="18"/>
    </w:rPr>
  </w:style>
  <w:style w:type="paragraph" w:styleId="1042" w:customStyle="1">
    <w:name w:val="ewb-con-p2"/>
    <w:basedOn w:val="817"/>
    <w:uiPriority w:val="0"/>
    <w:qFormat/>
    <w:pPr>
      <w:jc w:val="left"/>
      <w:spacing w:before="100" w:beforeAutospacing="1" w:after="100" w:afterAutospacing="1"/>
      <w:widowControl/>
    </w:pPr>
    <w:rPr>
      <w:rFonts w:ascii="宋体" w:hAnsi="宋体" w:cs="宋体"/>
      <w:sz w:val="24"/>
    </w:rPr>
  </w:style>
  <w:style w:type="paragraph" w:styleId="1043" w:customStyle="1">
    <w:name w:val="正文2"/>
    <w:basedOn w:val="817"/>
    <w:uiPriority w:val="0"/>
    <w:qFormat/>
    <w:pPr>
      <w:ind w:firstLine="510"/>
      <w:spacing w:before="156" w:line="360" w:lineRule="auto"/>
    </w:pPr>
    <w:rPr>
      <w:sz w:val="24"/>
    </w:rPr>
  </w:style>
  <w:style w:type="character" w:styleId="1044" w:customStyle="1">
    <w:name w:val="标题 3 Char1"/>
    <w:basedOn w:val="827"/>
    <w:uiPriority w:val="0"/>
    <w:qFormat/>
    <w:rPr>
      <w:b/>
      <w:bCs/>
      <w:sz w:val="32"/>
      <w:szCs w:val="32"/>
    </w:rPr>
  </w:style>
  <w:style w:type="character" w:styleId="1045" w:customStyle="1">
    <w:name w:val="批注框文本 Char"/>
    <w:basedOn w:val="827"/>
    <w:link w:val="842"/>
    <w:uiPriority w:val="0"/>
    <w:qFormat/>
    <w:rPr>
      <w:sz w:val="18"/>
      <w:szCs w:val="18"/>
    </w:rPr>
  </w:style>
  <w:style w:type="paragraph" w:styleId="1046" w:customStyle="1">
    <w:name w:val="msolistparagraph"/>
    <w:basedOn w:val="817"/>
    <w:uiPriority w:val="0"/>
    <w:qFormat/>
    <w:pPr>
      <w:ind w:firstLine="420"/>
      <w:spacing w:line="360" w:lineRule="auto"/>
    </w:pPr>
    <w:rPr>
      <w:rFonts w:ascii="Calibri" w:hAnsi="Calibri"/>
      <w:sz w:val="20"/>
    </w:rPr>
  </w:style>
  <w:style w:type="character" w:styleId="1047" w:customStyle="1">
    <w:name w:val="标题 3 Char"/>
    <w:basedOn w:val="827"/>
    <w:link w:val="820"/>
    <w:uiPriority w:val="0"/>
    <w:qFormat/>
    <w:rPr>
      <w:b/>
      <w:sz w:val="32"/>
      <w:szCs w:val="32"/>
    </w:rPr>
  </w:style>
  <w:style w:type="character" w:styleId="1048" w:customStyle="1">
    <w:name w:val="标题 2 Char"/>
    <w:basedOn w:val="827"/>
    <w:link w:val="819"/>
    <w:uiPriority w:val="0"/>
    <w:qFormat/>
    <w:rPr>
      <w:rFonts w:hint="default" w:ascii="Arial" w:hAnsi="Arial" w:eastAsia="黑体" w:cs="Arial"/>
      <w:b/>
      <w:sz w:val="32"/>
      <w:szCs w:val="32"/>
    </w:rPr>
  </w:style>
  <w:style w:type="character" w:styleId="1049" w:customStyle="1">
    <w:name w:val="纯文本 Char"/>
    <w:basedOn w:val="827"/>
    <w:link w:val="839"/>
    <w:uiPriority w:val="0"/>
    <w:qFormat/>
    <w:rPr>
      <w:rFonts w:hint="eastAsia" w:ascii="宋体" w:hAnsi="Courier New" w:eastAsia="宋体" w:cs="宋体"/>
      <w:sz w:val="21"/>
      <w:szCs w:val="21"/>
    </w:rPr>
  </w:style>
  <w:style w:type="character" w:styleId="1050" w:customStyle="1">
    <w:name w:val="HTML 预设格式 Char"/>
    <w:basedOn w:val="827"/>
    <w:link w:val="853"/>
    <w:uiPriority w:val="0"/>
    <w:qFormat/>
    <w:rPr>
      <w:rFonts w:hint="eastAsia" w:ascii="宋体" w:hAnsi="宋体" w:eastAsia="宋体" w:cs="宋体"/>
      <w:sz w:val="24"/>
      <w:szCs w:val="24"/>
    </w:rPr>
  </w:style>
  <w:style w:type="character" w:styleId="1051" w:customStyle="1">
    <w:name w:val="列出段落 Char"/>
    <w:basedOn w:val="827"/>
    <w:uiPriority w:val="0"/>
    <w:qFormat/>
    <w:rPr>
      <w:rFonts w:hint="default" w:ascii="Calibri" w:hAnsi="Calibri" w:cs="Calibri"/>
    </w:rPr>
  </w:style>
  <w:style w:type="paragraph" w:styleId="1052" w:customStyle="1">
    <w:name w:val="NormalIndent"/>
    <w:basedOn w:val="817"/>
    <w:uiPriority w:val="0"/>
    <w:qFormat/>
    <w:pPr>
      <w:ind w:firstLine="420"/>
    </w:pPr>
    <w:rPr>
      <w:rFonts w:ascii="Calibri" w:hAnsi="Calibri"/>
      <w:szCs w:val="24"/>
    </w:rPr>
  </w:style>
  <w:style w:type="paragraph" w:styleId="1053" w:customStyle="1">
    <w:name w:val="正文3"/>
    <w:basedOn w:val="817"/>
    <w:uiPriority w:val="0"/>
    <w:qFormat/>
    <w:rPr>
      <w:sz w:val="20"/>
    </w:rPr>
  </w:style>
  <w:style w:type="table" w:styleId="1054" w:customStyle="1">
    <w:name w:val="Table Normal"/>
    <w:uiPriority w:val="0"/>
    <w:qFormat/>
    <w:tblPr>
      <w:tblCellMar>
        <w:left w:w="0" w:type="dxa"/>
        <w:top w:w="0" w:type="dxa"/>
        <w:right w:w="0" w:type="dxa"/>
        <w:bottom w:w="0" w:type="dxa"/>
      </w:tblCellMar>
    </w:tblPr>
  </w:style>
  <w:style w:type="paragraph" w:styleId="1055" w:customStyle="1">
    <w:name w:val="标准文本"/>
    <w:basedOn w:val="817"/>
    <w:uiPriority w:val="0"/>
    <w:qFormat/>
    <w:pPr>
      <w:ind w:firstLine="480"/>
    </w:pPr>
    <w:rPr>
      <w:rFonts w:cs="宋体"/>
    </w:rPr>
  </w:style>
  <w:style w:type="paragraph" w:styleId="1056" w:customStyle="1">
    <w:name w:val="标题 11"/>
    <w:basedOn w:val="817"/>
    <w:next w:val="817"/>
    <w:uiPriority w:val="0"/>
    <w:qFormat/>
    <w:pPr>
      <w:numPr>
        <w:ilvl w:val="0"/>
        <w:numId w:val="2"/>
      </w:numPr>
      <w:jc w:val="center"/>
      <w:keepLines/>
      <w:keepNext/>
      <w:spacing w:before="340" w:after="330" w:line="578" w:lineRule="auto"/>
    </w:pPr>
    <w:rPr>
      <w:b/>
      <w:bCs/>
      <w:sz w:val="32"/>
      <w:szCs w:val="44"/>
    </w:rPr>
  </w:style>
  <w:style w:type="character" w:styleId="1057" w:customStyle="1">
    <w:name w:val="NormalCharacter"/>
    <w:uiPriority w:val="0"/>
    <w:qFormat/>
  </w:style>
  <w:style w:type="paragraph" w:styleId="1058" w:customStyle="1">
    <w:name w:val="UserStyle_13"/>
    <w:uiPriority w:val="0"/>
    <w:qFormat/>
    <w:pPr>
      <w:spacing w:line="460" w:lineRule="exact"/>
    </w:pPr>
    <w:rPr>
      <w:rFonts w:ascii="Helvetica Neue" w:hAnsi="Helvetica Neue" w:eastAsia="宋体" w:cs="宋体"/>
      <w:color w:val="000000"/>
      <w:sz w:val="22"/>
      <w:szCs w:val="22"/>
      <w:lang w:val="en-US" w:eastAsia="zh-CN" w:bidi="ar-SA"/>
    </w:rPr>
  </w:style>
  <w:style w:type="paragraph" w:styleId="1059" w:customStyle="1">
    <w:name w:val="UserStyle_0"/>
    <w:next w:val="817"/>
    <w:uiPriority w:val="0"/>
    <w:qFormat/>
    <w:pPr>
      <w:ind w:firstLine="200"/>
      <w:jc w:val="both"/>
    </w:pPr>
    <w:rPr>
      <w:rFonts w:ascii="宋体" w:hAnsi="Calibri" w:eastAsia="宋体" w:cs="宋体"/>
      <w:sz w:val="21"/>
      <w:lang w:val="en-US" w:eastAsia="zh-CN" w:bidi="ar-SA"/>
    </w:rPr>
  </w:style>
  <w:style w:type="paragraph" w:styleId="1060">
    <w:name w:val="No Spacing"/>
    <w:uiPriority w:val="0"/>
    <w:qFormat/>
    <w:rPr>
      <w:rFonts w:ascii="Calibri" w:hAnsi="Calibri" w:eastAsia="宋体" w:cs="Times New Roman"/>
      <w:sz w:val="22"/>
      <w:szCs w:val="22"/>
      <w:lang w:val="en-US" w:eastAsia="zh-CN" w:bidi="ar-SA"/>
    </w:rPr>
  </w:style>
  <w:style w:type="character" w:styleId="1061" w:customStyle="1">
    <w:name w:val="font21"/>
    <w:basedOn w:val="827"/>
    <w:uiPriority w:val="0"/>
    <w:qFormat/>
    <w:rPr>
      <w:rFonts w:hint="eastAsia" w:ascii="仿宋" w:hAnsi="仿宋" w:eastAsia="仿宋" w:cs="仿宋"/>
      <w:color w:val="ff0000"/>
      <w:sz w:val="24"/>
      <w:szCs w:val="24"/>
      <w:u w:val="none"/>
    </w:rPr>
  </w:style>
  <w:style w:type="character" w:styleId="1062" w:customStyle="1">
    <w:name w:val="font11"/>
    <w:basedOn w:val="827"/>
    <w:uiPriority w:val="0"/>
    <w:qFormat/>
    <w:rPr>
      <w:rFonts w:hint="eastAsia" w:ascii="仿宋" w:hAnsi="仿宋" w:eastAsia="仿宋" w:cs="仿宋"/>
      <w:color w:val="000000"/>
      <w:sz w:val="24"/>
      <w:szCs w:val="24"/>
      <w:u w:val="none"/>
    </w:rPr>
  </w:style>
  <w:style w:type="paragraph" w:styleId="1063" w:customStyle="1">
    <w:name w:val="修订1"/>
    <w:uiPriority w:val="99"/>
    <w:qFormat/>
    <w:rPr>
      <w:rFonts w:ascii="Times New Roman" w:hAnsi="Times New Roman" w:eastAsia="宋体" w:cs="Times New Roman"/>
      <w:sz w:val="21"/>
      <w:lang w:val="en-US" w:eastAsia="zh-CN" w:bidi="ar-SA"/>
    </w:rPr>
  </w:style>
  <w:style w:type="character" w:styleId="1064" w:customStyle="1">
    <w:name w:val="批注文字 Char"/>
    <w:basedOn w:val="827"/>
    <w:link w:val="833"/>
    <w:uiPriority w:val="0"/>
    <w:qFormat/>
    <w:rPr>
      <w:sz w:val="21"/>
    </w:rPr>
  </w:style>
  <w:style w:type="character" w:styleId="1065" w:customStyle="1">
    <w:name w:val="批注主题 Char"/>
    <w:basedOn w:val="1064"/>
    <w:link w:val="856"/>
    <w:uiPriority w:val="0"/>
    <w:qFormat/>
    <w:rPr>
      <w:b/>
      <w:bCs/>
      <w:sz w:val="21"/>
    </w:rPr>
  </w:style>
  <w:style w:type="table" w:styleId="1066" w:customStyle="1">
    <w:name w:val="网格型1"/>
    <w:basedOn w:val="828"/>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E58C8E7-8F49-49E1-ABB3-4CF6F0ADCFAC}"/>
</file>

<file path=customXml/itemProps2.xml><?xml version="1.0" encoding="utf-8"?>
<ds:datastoreItem xmlns:ds="http://schemas.openxmlformats.org/officeDocument/2006/customXml" ds:itemID="{BBEBD37E-054D-4E5F-AE71-D3094C38946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Misaker</dc:creator>
  <cp:lastModifiedBy>李佳蓉</cp:lastModifiedBy>
  <cp:revision>32</cp:revision>
  <dcterms:created xsi:type="dcterms:W3CDTF">2024-02-20T05:50:00Z</dcterms:created>
  <dcterms:modified xsi:type="dcterms:W3CDTF">2026-10-23T06:10:50Z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6BA51F3F78CE45B8B996BC5FE13122C4_13</vt:lpwstr>
  </property>
  <property fmtid="{D5CDD505-2E9C-101B-9397-08002B2CF9AE}" pid="4" name="commondata">
    <vt:lpwstr>eyJoZGlkIjoiNzZmMjFmYzJiODZhY2Q0NjJjMDg2MTg5NzA0OGYzNjgifQ==</vt:lpwstr>
  </property>
  <property fmtid="{D5CDD505-2E9C-101B-9397-08002B2CF9AE}" pid="5" name="KSOTemplateDocerSaveRecord">
    <vt:lpwstr>eyJoZGlkIjoiMTZmMWFjYjdjZDQxZmQ0NzhhZjUxMGNjODdlYTkzZGYiLCJ1c2VySWQiOiIxNjQ5OTE5MjIyIn0=</vt:lpwstr>
  </property>
</Properties>
</file>