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1285"/>
        <w:spacing w:line="480" w:lineRule="auto"/>
        <w:rPr>
          <w:rFonts w:ascii="黑体" w:hAnsi="Arial" w:eastAsia="黑体" w:cs="Times New Roman"/>
          <w:b/>
          <w:color w:val="000000"/>
          <w:sz w:val="44"/>
          <w:szCs w:val="21"/>
          <w:highlight w:val="none"/>
        </w:rPr>
      </w:pPr>
      <w:r>
        <w:rPr>
          <w:rFonts w:hint="eastAsia" w:ascii="Arial" w:hAnsi="Arial" w:eastAsia="宋体" w:cs="Times New Roman"/>
          <w:b/>
          <w:bCs/>
          <w:color w:val="000000"/>
          <w:sz w:val="32"/>
          <w:szCs w:val="24"/>
          <w:highlight w:val="none"/>
        </w:rPr>
        <w:t xml:space="preserve">项目名称：</w:t>
      </w:r>
      <w:r>
        <w:rPr>
          <w:rFonts w:hint="eastAsia" w:ascii="新宋体" w:hAnsi="新宋体" w:eastAsia="新宋体"/>
          <w:b/>
          <w:bCs/>
          <w:color w:val="000000"/>
          <w:sz w:val="32"/>
          <w:szCs w:val="24"/>
          <w:highlight w:val="none"/>
        </w:rPr>
        <w:t xml:space="preserve">连云港市中医院算力租赁服务</w:t>
      </w:r>
      <w:r/>
    </w:p>
    <w:p>
      <w:pPr>
        <w:ind w:firstLine="1285"/>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项目编号：SZC-320700-JZCG-G2026-0133</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highlight w:val="none"/>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highlight w:val="none"/>
        </w:rPr>
        <w:fldChar w:fldCharType="begin"/>
      </w:r>
      <w:r>
        <w:rPr>
          <w:rFonts w:asciiTheme="minorEastAsia" w:hAnsiTheme="minorEastAsia"/>
          <w:sz w:val="24"/>
          <w:highlight w:val="none"/>
        </w:rPr>
        <w:instrText xml:space="preserve"> TOC \o "1-1" \u </w:instrText>
      </w:r>
      <w:r>
        <w:rPr>
          <w:rFonts w:asciiTheme="minorEastAsia" w:hAnsiTheme="minorEastAsia"/>
          <w:sz w:val="24"/>
          <w:highlight w:val="none"/>
        </w:rPr>
        <w:fldChar w:fldCharType="separate"/>
      </w:r>
      <w:r/>
    </w:p>
    <w:p>
      <w:pPr>
        <w:jc w:val="center"/>
        <w:keepLines/>
        <w:keepNext/>
        <w:spacing w:before="156" w:after="156" w:line="360" w:lineRule="auto"/>
        <w:rPr>
          <w:rFonts w:asciiTheme="minorEastAsia" w:hAnsiTheme="minorEastAsia"/>
          <w:bCs/>
          <w:sz w:val="44"/>
          <w:szCs w:val="44"/>
          <w:highlight w:val="none"/>
        </w:rPr>
        <w:outlineLvl w:val="0"/>
      </w:pPr>
      <w:r>
        <w:rPr>
          <w:rFonts w:hint="eastAsia" w:asciiTheme="minorEastAsia" w:hAnsiTheme="minorEastAsia"/>
          <w:bCs/>
          <w:sz w:val="44"/>
          <w:szCs w:val="44"/>
          <w:highlight w:val="none"/>
        </w:rPr>
        <w:t xml:space="preserve">目  录</w:t>
      </w:r>
      <w:r/>
    </w:p>
    <w:p>
      <w:pPr>
        <w:pStyle w:val="863"/>
        <w:rPr>
          <w:sz w:val="28"/>
          <w:highlight w:val="none"/>
        </w:rPr>
      </w:pPr>
      <w:r>
        <w:rPr>
          <w:sz w:val="28"/>
          <w:highlight w:val="none"/>
        </w:rPr>
      </w:r>
      <w:r/>
    </w:p>
    <w:p>
      <w:pPr>
        <w:pStyle w:val="863"/>
        <w:rPr>
          <w:sz w:val="28"/>
          <w:highlight w:val="none"/>
        </w:rPr>
      </w:pPr>
      <w:r>
        <w:rPr>
          <w:rFonts w:hint="eastAsia"/>
          <w:sz w:val="28"/>
          <w:highlight w:val="none"/>
        </w:rPr>
        <w:t xml:space="preserve">第一章</w:t>
      </w:r>
      <w:r>
        <w:rPr>
          <w:sz w:val="28"/>
          <w:highlight w:val="none"/>
        </w:rPr>
        <w:t xml:space="preserve">  </w:t>
      </w:r>
      <w:r>
        <w:rPr>
          <w:rFonts w:hint="eastAsia"/>
          <w:sz w:val="28"/>
          <w:highlight w:val="none"/>
        </w:rPr>
        <w:t xml:space="preserve">投标邀请...................................................................................</w:t>
      </w:r>
      <w:r>
        <w:rPr>
          <w:sz w:val="28"/>
          <w:highlight w:val="none"/>
        </w:rPr>
        <w:fldChar w:fldCharType="begin"/>
      </w:r>
      <w:r>
        <w:rPr>
          <w:sz w:val="28"/>
          <w:highlight w:val="none"/>
        </w:rPr>
        <w:instrText xml:space="preserve"> PAGEREF _Toc162361610 \h </w:instrText>
      </w:r>
      <w:r>
        <w:rPr>
          <w:sz w:val="28"/>
          <w:highlight w:val="none"/>
        </w:rPr>
        <w:fldChar w:fldCharType="separate"/>
      </w:r>
      <w:r>
        <w:rPr>
          <w:sz w:val="28"/>
          <w:highlight w:val="none"/>
        </w:rPr>
        <w:t xml:space="preserve">1</w:t>
      </w:r>
      <w:r>
        <w:rPr>
          <w:sz w:val="28"/>
          <w:highlight w:val="none"/>
        </w:rPr>
        <w:fldChar w:fldCharType="end"/>
      </w:r>
      <w:r/>
    </w:p>
    <w:p>
      <w:pPr>
        <w:pStyle w:val="863"/>
        <w:rPr>
          <w:sz w:val="28"/>
          <w:highlight w:val="none"/>
        </w:rPr>
      </w:pPr>
      <w:r>
        <w:rPr>
          <w:rFonts w:hint="eastAsia"/>
          <w:sz w:val="28"/>
          <w:highlight w:val="none"/>
        </w:rPr>
        <w:t xml:space="preserve">第二章</w:t>
      </w:r>
      <w:r>
        <w:rPr>
          <w:sz w:val="28"/>
          <w:highlight w:val="none"/>
        </w:rPr>
        <w:t xml:space="preserve">  </w:t>
      </w:r>
      <w:r>
        <w:rPr>
          <w:rFonts w:hint="eastAsia"/>
          <w:sz w:val="28"/>
          <w:highlight w:val="none"/>
        </w:rPr>
        <w:t xml:space="preserve">投标人须知...............................................................................</w:t>
      </w:r>
      <w:r>
        <w:rPr>
          <w:sz w:val="28"/>
          <w:highlight w:val="none"/>
        </w:rPr>
        <w:fldChar w:fldCharType="begin"/>
      </w:r>
      <w:r>
        <w:rPr>
          <w:sz w:val="28"/>
          <w:highlight w:val="none"/>
        </w:rPr>
        <w:instrText xml:space="preserve"> PAGEREF _Toc162361611 \h </w:instrText>
      </w:r>
      <w:r>
        <w:rPr>
          <w:sz w:val="28"/>
          <w:highlight w:val="none"/>
        </w:rPr>
        <w:fldChar w:fldCharType="separate"/>
      </w:r>
      <w:r>
        <w:rPr>
          <w:sz w:val="28"/>
          <w:highlight w:val="none"/>
        </w:rPr>
        <w:t xml:space="preserve">5</w:t>
      </w:r>
      <w:r>
        <w:rPr>
          <w:sz w:val="28"/>
          <w:highlight w:val="none"/>
        </w:rPr>
        <w:fldChar w:fldCharType="end"/>
      </w:r>
      <w:r/>
    </w:p>
    <w:p>
      <w:pPr>
        <w:pStyle w:val="863"/>
        <w:rPr>
          <w:sz w:val="28"/>
          <w:highlight w:val="none"/>
        </w:rPr>
      </w:pPr>
      <w:r>
        <w:rPr>
          <w:rFonts w:hint="eastAsia"/>
          <w:sz w:val="28"/>
          <w:highlight w:val="none"/>
        </w:rPr>
        <w:t xml:space="preserve">第三章</w:t>
      </w:r>
      <w:r>
        <w:rPr>
          <w:sz w:val="28"/>
          <w:highlight w:val="none"/>
        </w:rPr>
        <w:t xml:space="preserve">  </w:t>
      </w:r>
      <w:r>
        <w:rPr>
          <w:rFonts w:hint="eastAsia"/>
          <w:sz w:val="28"/>
          <w:highlight w:val="none"/>
        </w:rPr>
        <w:t xml:space="preserve">合同文本.................................................................................</w:t>
      </w:r>
      <w:r>
        <w:rPr>
          <w:sz w:val="28"/>
          <w:highlight w:val="none"/>
        </w:rPr>
        <w:fldChar w:fldCharType="begin"/>
      </w:r>
      <w:r>
        <w:rPr>
          <w:sz w:val="28"/>
          <w:highlight w:val="none"/>
        </w:rPr>
        <w:instrText xml:space="preserve"> PAGEREF _Toc162361612 \h </w:instrText>
      </w:r>
      <w:r>
        <w:rPr>
          <w:sz w:val="28"/>
          <w:highlight w:val="none"/>
        </w:rPr>
        <w:fldChar w:fldCharType="separate"/>
      </w:r>
      <w:r>
        <w:rPr>
          <w:sz w:val="28"/>
          <w:highlight w:val="none"/>
        </w:rPr>
        <w:t xml:space="preserve">2</w:t>
      </w:r>
      <w:r>
        <w:rPr>
          <w:rFonts w:hint="eastAsia"/>
          <w:sz w:val="28"/>
          <w:highlight w:val="none"/>
        </w:rPr>
        <w:t xml:space="preserve">4</w:t>
      </w:r>
      <w:r>
        <w:rPr>
          <w:sz w:val="28"/>
          <w:highlight w:val="none"/>
        </w:rPr>
        <w:fldChar w:fldCharType="end"/>
      </w:r>
      <w:r/>
    </w:p>
    <w:p>
      <w:pPr>
        <w:pStyle w:val="863"/>
        <w:rPr>
          <w:sz w:val="28"/>
          <w:highlight w:val="none"/>
        </w:rPr>
      </w:pPr>
      <w:r>
        <w:rPr>
          <w:rFonts w:hint="eastAsia"/>
          <w:sz w:val="28"/>
          <w:highlight w:val="none"/>
        </w:rPr>
        <w:t xml:space="preserve">第四章</w:t>
      </w:r>
      <w:r>
        <w:rPr>
          <w:sz w:val="28"/>
          <w:highlight w:val="none"/>
        </w:rPr>
        <w:t xml:space="preserve">  </w:t>
      </w:r>
      <w:r>
        <w:rPr>
          <w:rFonts w:hint="eastAsia"/>
          <w:sz w:val="28"/>
          <w:highlight w:val="none"/>
        </w:rPr>
        <w:t xml:space="preserve">采购需求.................................................................................</w:t>
      </w:r>
      <w:r>
        <w:rPr>
          <w:sz w:val="28"/>
          <w:highlight w:val="none"/>
        </w:rPr>
        <w:fldChar w:fldCharType="begin"/>
      </w:r>
      <w:r>
        <w:rPr>
          <w:sz w:val="28"/>
          <w:highlight w:val="none"/>
        </w:rPr>
        <w:instrText xml:space="preserve"> PAGEREF _Toc162361613 \h </w:instrText>
      </w:r>
      <w:r>
        <w:rPr>
          <w:sz w:val="28"/>
          <w:highlight w:val="none"/>
        </w:rPr>
        <w:fldChar w:fldCharType="separate"/>
      </w:r>
      <w:r>
        <w:rPr>
          <w:sz w:val="28"/>
          <w:highlight w:val="none"/>
        </w:rPr>
        <w:t xml:space="preserve">2</w:t>
      </w:r>
      <w:r>
        <w:rPr>
          <w:rFonts w:hint="eastAsia"/>
          <w:sz w:val="28"/>
          <w:highlight w:val="none"/>
        </w:rPr>
        <w:t xml:space="preserve">9</w:t>
      </w:r>
      <w:r>
        <w:rPr>
          <w:sz w:val="28"/>
          <w:highlight w:val="none"/>
        </w:rPr>
        <w:fldChar w:fldCharType="end"/>
      </w:r>
      <w:r/>
    </w:p>
    <w:p>
      <w:pPr>
        <w:pStyle w:val="863"/>
        <w:rPr>
          <w:sz w:val="28"/>
          <w:highlight w:val="none"/>
        </w:rPr>
      </w:pPr>
      <w:r>
        <w:rPr>
          <w:rFonts w:hint="eastAsia"/>
          <w:sz w:val="28"/>
          <w:highlight w:val="none"/>
        </w:rPr>
        <w:t xml:space="preserve">第五章</w:t>
      </w:r>
      <w:r>
        <w:rPr>
          <w:sz w:val="28"/>
          <w:highlight w:val="none"/>
        </w:rPr>
        <w:t xml:space="preserve">  </w:t>
      </w:r>
      <w:r>
        <w:rPr>
          <w:rFonts w:hint="eastAsia"/>
          <w:sz w:val="28"/>
          <w:highlight w:val="none"/>
        </w:rPr>
        <w:t xml:space="preserve">评标方法与评标标准.............................................................</w:t>
      </w:r>
      <w:r>
        <w:rPr>
          <w:sz w:val="28"/>
          <w:highlight w:val="none"/>
        </w:rPr>
        <w:fldChar w:fldCharType="begin"/>
      </w:r>
      <w:r>
        <w:rPr>
          <w:sz w:val="28"/>
          <w:highlight w:val="none"/>
        </w:rPr>
        <w:instrText xml:space="preserve"> PAGEREF _Toc162361614 \h </w:instrText>
      </w:r>
      <w:r>
        <w:rPr>
          <w:sz w:val="28"/>
          <w:highlight w:val="none"/>
        </w:rPr>
        <w:fldChar w:fldCharType="separate"/>
      </w:r>
      <w:r>
        <w:rPr>
          <w:sz w:val="28"/>
          <w:highlight w:val="none"/>
        </w:rPr>
        <w:t xml:space="preserve">3</w:t>
      </w:r>
      <w:r>
        <w:rPr>
          <w:rFonts w:hint="eastAsia"/>
          <w:sz w:val="28"/>
          <w:highlight w:val="none"/>
        </w:rPr>
        <w:t xml:space="preserve">7</w:t>
      </w:r>
      <w:r>
        <w:rPr>
          <w:sz w:val="28"/>
          <w:highlight w:val="none"/>
        </w:rPr>
        <w:fldChar w:fldCharType="end"/>
      </w:r>
      <w:r/>
    </w:p>
    <w:p>
      <w:pPr>
        <w:pStyle w:val="863"/>
        <w:rPr>
          <w:sz w:val="28"/>
          <w:highlight w:val="none"/>
        </w:rPr>
      </w:pPr>
      <w:r>
        <w:rPr>
          <w:rFonts w:hint="eastAsia"/>
          <w:sz w:val="28"/>
          <w:highlight w:val="none"/>
        </w:rPr>
        <w:t xml:space="preserve">第六章</w:t>
      </w:r>
      <w:r>
        <w:rPr>
          <w:sz w:val="28"/>
          <w:highlight w:val="none"/>
        </w:rPr>
        <w:t xml:space="preserve">  </w:t>
      </w:r>
      <w:r>
        <w:rPr>
          <w:rFonts w:hint="eastAsia"/>
          <w:sz w:val="28"/>
          <w:highlight w:val="none"/>
        </w:rPr>
        <w:t xml:space="preserve">投标文件格式.........................................................................41</w:t>
      </w:r>
      <w:r/>
    </w:p>
    <w:p>
      <w:pPr>
        <w:jc w:val="left"/>
        <w:spacing w:line="360" w:lineRule="auto"/>
        <w:widowControl/>
        <w:rPr>
          <w:rFonts w:asciiTheme="minorEastAsia" w:hAnsiTheme="minorEastAsia"/>
          <w:sz w:val="28"/>
          <w:highlight w:val="none"/>
        </w:rPr>
      </w:pPr>
      <w:r>
        <w:rPr>
          <w:rFonts w:asciiTheme="minorEastAsia" w:hAnsiTheme="minorEastAsia"/>
          <w:sz w:val="24"/>
          <w:highlight w:val="none"/>
        </w:rPr>
        <w:fldChar w:fldCharType="end"/>
      </w:r>
      <w:r>
        <w:rPr>
          <w:rFonts w:asciiTheme="minorEastAsia" w:hAnsiTheme="minorEastAsia"/>
          <w:sz w:val="28"/>
          <w:highlight w:val="none"/>
        </w:rPr>
        <w:br w:type="page" w:clear="all"/>
      </w:r>
      <w:r/>
    </w:p>
    <w:p>
      <w:pPr>
        <w:pStyle w:val="851"/>
        <w:jc w:val="center"/>
        <w:spacing w:before="156" w:after="156"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851"/>
        <w:jc w:val="center"/>
        <w:spacing w:before="156" w:after="156" w:line="360" w:lineRule="auto"/>
        <w:rPr>
          <w:rFonts w:ascii="黑体" w:hAnsi="黑体" w:eastAsia="黑体"/>
          <w:b w:val="0"/>
          <w:highlight w:val="none"/>
        </w:rPr>
      </w:pPr>
      <w:r/>
      <w:bookmarkStart w:id="0" w:name="_Toc162361610"/>
      <w:r>
        <w:rPr>
          <w:rFonts w:hint="eastAsia" w:ascii="黑体" w:hAnsi="黑体" w:eastAsia="黑体"/>
          <w:b w:val="0"/>
          <w:highlight w:val="none"/>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新宋体" w:hAnsi="新宋体" w:eastAsia="新宋体"/>
          <w:sz w:val="24"/>
          <w:szCs w:val="24"/>
          <w:highlight w:val="none"/>
        </w:rPr>
        <w:t xml:space="preserve">连云港市中医院</w:t>
      </w:r>
      <w:r>
        <w:rPr>
          <w:rFonts w:hint="eastAsia" w:asciiTheme="minorEastAsia" w:hAnsiTheme="minorEastAsia"/>
          <w:sz w:val="24"/>
          <w:szCs w:val="24"/>
          <w:highlight w:val="none"/>
        </w:rPr>
        <w:t xml:space="preserve">的委托，连云港市公共资源交易中心就</w:t>
      </w:r>
      <w:r>
        <w:rPr>
          <w:rFonts w:hint="eastAsia" w:ascii="新宋体" w:hAnsi="新宋体" w:eastAsia="新宋体"/>
          <w:sz w:val="24"/>
          <w:szCs w:val="24"/>
          <w:highlight w:val="none"/>
        </w:rPr>
        <w:t xml:space="preserve">连云港市中医院算力租赁服务</w:t>
      </w:r>
      <w:r>
        <w:rPr>
          <w:rFonts w:hint="eastAsia" w:asciiTheme="minorEastAsia" w:hAnsiTheme="minorEastAsia"/>
          <w:sz w:val="24"/>
          <w:szCs w:val="24"/>
          <w:highlight w:val="none"/>
        </w:rPr>
        <w:t xml:space="preserve">项目进行公开招标采购，欢迎符合条件的供应商投标。</w:t>
      </w:r>
      <w:r/>
    </w:p>
    <w:tbl>
      <w:tblPr>
        <w:tblStyle w:val="865"/>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6"/>
      </w:tblGrid>
      <w:tr>
        <w:trPr/>
        <w:tc>
          <w:tcPr>
            <w:tcW w:w="9597"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新宋体" w:hAnsi="新宋体" w:eastAsia="新宋体"/>
                <w:sz w:val="24"/>
                <w:szCs w:val="24"/>
                <w:highlight w:val="none"/>
              </w:rPr>
              <w:t xml:space="preserve">连云港市中医院算力租赁服务</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2026年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5</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highlight w:val="none"/>
              </w:rPr>
              <w:t xml:space="preserve">（北京时间）前递交（上传）投标文件。</w:t>
            </w:r>
            <w:r/>
          </w:p>
        </w:tc>
      </w:tr>
    </w:tbl>
    <w:p>
      <w:pPr>
        <w:pStyle w:val="852"/>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一、项目基本情况</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项目编号：SZC-320700-JZCG-G2026-0133</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项目名称：</w:t>
      </w:r>
      <w:r>
        <w:rPr>
          <w:rFonts w:hint="eastAsia" w:ascii="新宋体" w:hAnsi="新宋体" w:eastAsia="新宋体"/>
          <w:sz w:val="24"/>
          <w:szCs w:val="24"/>
          <w:highlight w:val="none"/>
        </w:rPr>
        <w:t xml:space="preserve">连云港市中医院算力租赁服务</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预算金额：人民币</w:t>
      </w:r>
      <w:r>
        <w:rPr>
          <w:rFonts w:hint="eastAsia" w:ascii="新宋体" w:hAnsi="新宋体" w:eastAsia="新宋体"/>
          <w:sz w:val="24"/>
          <w:szCs w:val="24"/>
          <w:highlight w:val="none"/>
        </w:rPr>
        <w:t xml:space="preserve">633.74万元，投标报价超过预算金额的投标无效。</w:t>
      </w:r>
      <w:r/>
    </w:p>
    <w:p>
      <w:pPr>
        <w:ind w:firstLine="480"/>
        <w:spacing w:line="500" w:lineRule="exact"/>
        <w:rPr>
          <w:rFonts w:ascii="新宋体" w:hAnsi="新宋体" w:eastAsia="新宋体"/>
          <w:sz w:val="24"/>
          <w:szCs w:val="24"/>
          <w:highlight w:val="none"/>
        </w:rPr>
      </w:pPr>
      <w:r>
        <w:rPr>
          <w:rFonts w:hint="eastAsia" w:asciiTheme="minorEastAsia" w:hAnsiTheme="minorEastAsia"/>
          <w:sz w:val="24"/>
          <w:szCs w:val="24"/>
          <w:highlight w:val="none"/>
        </w:rPr>
        <w:t xml:space="preserve">采购需求：</w:t>
      </w:r>
      <w:r>
        <w:rPr>
          <w:rFonts w:hint="eastAsia" w:ascii="新宋体" w:hAnsi="新宋体" w:eastAsia="新宋体"/>
          <w:sz w:val="24"/>
          <w:szCs w:val="24"/>
          <w:highlight w:val="none"/>
        </w:rPr>
        <w:t xml:space="preserve">连云港市中医院信息化经过多年的建设，取得了一定的成效，初步建成以电子病历和数据中心为基础，在信息安全管理体系支撑下的智慧医疗、智慧服务、智慧管理三位一体的智慧医院体系，并于2023年7月成功获批为第五批国家区域医疗中心项目。随着人民群众对高质量医疗服务需求的日益增长，连云港市中医院在追求卓越发展的道路上也面临着新的挑战，单纯依靠传统模式的信息系统优化已难以适应当前发展形势，迫切需要引入人工智能等新兴技术破解发展难题。</w:t>
      </w:r>
      <w:r/>
    </w:p>
    <w:p>
      <w:pPr>
        <w:ind w:firstLine="480"/>
        <w:jc w:val="left"/>
        <w:spacing w:line="500" w:lineRule="exact"/>
        <w:rPr>
          <w:rFonts w:ascii="新宋体" w:hAnsi="新宋体" w:eastAsia="新宋体"/>
          <w:sz w:val="24"/>
          <w:szCs w:val="24"/>
          <w:highlight w:val="none"/>
        </w:rPr>
      </w:pPr>
      <w:r>
        <w:rPr>
          <w:rFonts w:hint="eastAsia" w:ascii="新宋体" w:hAnsi="新宋体" w:eastAsia="新宋体"/>
          <w:sz w:val="24"/>
          <w:szCs w:val="24"/>
          <w:highlight w:val="none"/>
        </w:rPr>
        <w:t xml:space="preserve">针对当下连云港市中医院的AI资源平台需求，规划建设院内自有医疗AI算力，配置高性能AI服务器，满足未来3年内大模型推理高并发、高强度的计算需求。配套一套AI算力管理平台，方便算力容器管理和模型训推管理。</w:t>
      </w:r>
      <w:r/>
    </w:p>
    <w:p>
      <w:pPr>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合同履行期限：</w:t>
      </w:r>
      <w:r>
        <w:rPr>
          <w:rFonts w:hint="eastAsia" w:ascii="新宋体" w:hAnsi="新宋体" w:eastAsia="新宋体"/>
          <w:sz w:val="24"/>
          <w:szCs w:val="24"/>
          <w:highlight w:val="none"/>
        </w:rPr>
        <w:t xml:space="preserve">合同签订后45天内完成租赁设备软硬件的安装调试要求，并通过验收，验收通过后提供3年算力服务。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22</w:t>
      </w:r>
      <w:r>
        <w:rPr>
          <w:rFonts w:hint="eastAsia" w:asciiTheme="minorEastAsia" w:hAnsiTheme="minorEastAsia"/>
          <w:sz w:val="24"/>
          <w:szCs w:val="24"/>
          <w:highlight w:val="none"/>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2"/>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rPr>
          <w:highlight w:val="none"/>
        </w:rP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05</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rPr>
          <w:highlight w:val="none"/>
        </w:rP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05</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rPr>
          <w:highlight w:val="none"/>
        </w:rPr>
      </w:r>
    </w:p>
    <w:p>
      <w:pPr>
        <w:ind w:firstLine="480"/>
        <w:spacing w:line="500" w:lineRule="exact"/>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rPr>
          <w:highlight w:val="none"/>
        </w:rPr>
      </w:r>
    </w:p>
    <w:p>
      <w:pPr>
        <w:pStyle w:val="8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w:t>
      </w:r>
      <w:r>
        <w:rPr>
          <w:rFonts w:hint="eastAsia" w:ascii="新宋体" w:hAnsi="新宋体" w:eastAsia="新宋体" w:cs="宋体"/>
          <w:sz w:val="24"/>
          <w:szCs w:val="24"/>
          <w:highlight w:val="none"/>
          <w:lang w:bidi="ar"/>
        </w:rPr>
        <w:t xml:space="preserve">连云港市中医院</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址：连云港市海州区朝阳中路160号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 </w:t>
      </w:r>
      <w:r>
        <w:rPr>
          <w:rFonts w:ascii="新宋体" w:hAnsi="新宋体" w:eastAsia="新宋体" w:cs="Calibri"/>
          <w:sz w:val="24"/>
          <w:szCs w:val="24"/>
          <w:highlight w:val="none"/>
          <w:lang w:bidi="ar"/>
        </w:rPr>
        <w:t xml:space="preserve">0518</w:t>
      </w:r>
      <w:r>
        <w:rPr>
          <w:rFonts w:hint="eastAsia" w:ascii="新宋体" w:hAnsi="新宋体" w:eastAsia="新宋体" w:cs="Calibri"/>
          <w:sz w:val="24"/>
          <w:szCs w:val="24"/>
          <w:highlight w:val="none"/>
          <w:lang w:bidi="ar"/>
        </w:rPr>
        <w:t xml:space="preserve">-85489620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spacing w:line="500" w:lineRule="exact"/>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王工</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0518-8586</w:t>
      </w:r>
      <w:r>
        <w:rPr>
          <w:rFonts w:hint="eastAsia" w:cs="Times New Roman" w:asciiTheme="minorEastAsia" w:hAnsiTheme="minorEastAsia"/>
          <w:sz w:val="24"/>
          <w:szCs w:val="24"/>
          <w:highlight w:val="none"/>
          <w:lang w:val="en-US" w:eastAsia="zh-CN"/>
        </w:rPr>
        <w:t xml:space="preserve">2316</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项目联系人：郑东鹏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电      话：15305131910</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rFonts w:ascii="黑体" w:hAnsi="黑体" w:eastAsia="黑体"/>
        </w:rPr>
      </w:pPr>
      <w:r/>
      <w:bookmarkStart w:id="1" w:name="_Toc162361611"/>
      <w:r>
        <w:rPr>
          <w:rFonts w:hint="eastAsia" w:ascii="黑体" w:hAnsi="黑体" w:eastAsia="黑体"/>
        </w:rPr>
        <w:br w:type="page" w:clear="all"/>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9.投标文件编写注意事项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9.3根据关于印发《连云港市本级优化政府采购领域营商环境2026年重点举措》的通知（连采购〔2026〕11号）规定，自2026年4月1日起，针对市本级全部集中采购项目实施暗标盲评。</w:t>
      </w:r>
      <w:r/>
    </w:p>
    <w:p>
      <w:pPr>
        <w:ind w:left="0" w:right="0" w:firstLine="480"/>
        <w:spacing w:before="0" w:after="0" w:line="85" w:lineRule="atLeast"/>
        <w:tabs>
          <w:tab w:val="left" w:pos="58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9.4.暗标编制要求</w:t>
      </w:r>
      <w:r/>
    </w:p>
    <w:p>
      <w:pPr>
        <w:ind w:left="0" w:right="0" w:firstLine="480"/>
        <w:spacing w:before="0" w:after="0" w:line="85" w:lineRule="atLeast"/>
        <w:tabs>
          <w:tab w:val="left" w:pos="58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本项目评审因素中技术（方案）部分采用暗标评审。要求如下：方案内容、文字、各类型图表、框图均不得出现供应商名称、相关人员姓名和其他可识别供应商身份的字符、徽标、人员名称、投标人独享的企业标准或编号等内容；</w:t>
      </w:r>
      <w:r>
        <w:rPr>
          <w:rFonts w:ascii="SimSun" w:hAnsi="SimSun" w:eastAsia="SimSun" w:cs="SimSun"/>
          <w:b/>
          <w:color w:val="000000"/>
          <w:sz w:val="24"/>
        </w:rPr>
        <w:t xml:space="preserve">不得出现能显示企业特征或批注、底纹、阴影、水印等提示性的标记或标识</w:t>
      </w:r>
      <w:r>
        <w:rPr>
          <w:rFonts w:ascii="SimSun" w:hAnsi="SimSun" w:eastAsia="SimSun" w:cs="SimSun"/>
          <w:color w:val="000000"/>
          <w:sz w:val="24"/>
        </w:rPr>
        <w:t xml:space="preserve">；不得出现以前所承担过的项目名称，不得作任何标识或暗示该供应商单位名称或人员姓名的标记，相关人员姓名应以职务或职称代替。</w:t>
      </w:r>
      <w:r/>
    </w:p>
    <w:p>
      <w:pPr>
        <w:ind w:left="0" w:right="0" w:firstLine="480"/>
        <w:spacing w:before="0" w:after="0" w:line="85" w:lineRule="atLeast"/>
        <w:tabs>
          <w:tab w:val="left" w:pos="58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sz w:val="21"/>
        </w:rPr>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1.投标报价低于全部通过符合性审查供应商投标报价平均值</w:t>
      </w:r>
      <w:r>
        <w:rPr>
          <w:rFonts w:hint="eastAsia" w:ascii="宋体" w:hAnsi="宋体" w:eastAsia="宋体" w:cs="宋体"/>
          <w:bCs/>
          <w:color w:val="auto"/>
          <w:sz w:val="24"/>
          <w:szCs w:val="24"/>
          <w:highlight w:val="none"/>
          <w:lang w:val="en-US" w:eastAsia="zh-CN"/>
        </w:rPr>
        <w:t xml:space="preserve">65</w:t>
      </w:r>
      <w:r>
        <w:rPr>
          <w:rFonts w:hint="eastAsia" w:ascii="宋体" w:hAnsi="宋体" w:eastAsia="宋体" w:cs="宋体"/>
          <w:bCs/>
          <w:color w:val="auto"/>
          <w:sz w:val="24"/>
          <w:szCs w:val="24"/>
          <w:highlight w:val="none"/>
        </w:rPr>
        <w:t xml:space="preserve">%的，即投标报价&lt;全部通过符合性审查供应商投标报价平均值×</w:t>
      </w:r>
      <w:r>
        <w:rPr>
          <w:rFonts w:hint="eastAsia" w:ascii="宋体" w:hAnsi="宋体" w:eastAsia="宋体" w:cs="宋体"/>
          <w:bCs/>
          <w:color w:val="auto"/>
          <w:sz w:val="24"/>
          <w:szCs w:val="24"/>
          <w:highlight w:val="none"/>
          <w:lang w:val="en-US" w:eastAsia="zh-CN"/>
        </w:rPr>
        <w:t xml:space="preserve">65</w:t>
      </w:r>
      <w:r>
        <w:rPr>
          <w:rFonts w:hint="eastAsia" w:ascii="宋体" w:hAnsi="宋体" w:eastAsia="宋体" w:cs="宋体"/>
          <w:bCs/>
          <w:color w:val="auto"/>
          <w:sz w:val="24"/>
          <w:szCs w:val="24"/>
          <w:highlight w:val="none"/>
        </w:rPr>
        <w:t xml:space="preserve">%；</w:t>
      </w:r>
      <w:r/>
    </w:p>
    <w:p>
      <w:pPr>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2.投标报价低于通过符合性审查的次低报价供应商投标报价</w:t>
      </w:r>
      <w:r>
        <w:rPr>
          <w:rFonts w:hint="eastAsia" w:ascii="宋体" w:hAnsi="宋体" w:eastAsia="宋体" w:cs="宋体"/>
          <w:bCs/>
          <w:color w:val="auto"/>
          <w:sz w:val="24"/>
          <w:szCs w:val="24"/>
          <w:highlight w:val="none"/>
          <w:lang w:val="en-US" w:eastAsia="zh-CN"/>
        </w:rPr>
        <w:t xml:space="preserve">65</w:t>
      </w:r>
      <w:r>
        <w:rPr>
          <w:rFonts w:hint="eastAsia" w:ascii="宋体" w:hAnsi="宋体" w:eastAsia="宋体" w:cs="宋体"/>
          <w:bCs/>
          <w:color w:val="auto"/>
          <w:sz w:val="24"/>
          <w:szCs w:val="24"/>
          <w:highlight w:val="none"/>
        </w:rPr>
        <w:t xml:space="preserve">%的，即投标报价&lt;通过符合性审查的次低报价供应商投标报价×</w:t>
      </w:r>
      <w:r>
        <w:rPr>
          <w:rFonts w:hint="eastAsia" w:ascii="宋体" w:hAnsi="宋体" w:eastAsia="宋体" w:cs="宋体"/>
          <w:bCs/>
          <w:color w:val="auto"/>
          <w:sz w:val="24"/>
          <w:szCs w:val="24"/>
          <w:highlight w:val="none"/>
          <w:lang w:val="en-US" w:eastAsia="zh-CN"/>
        </w:rPr>
        <w:t xml:space="preserve">65</w:t>
      </w:r>
      <w:r>
        <w:rPr>
          <w:rFonts w:hint="eastAsia" w:ascii="宋体" w:hAnsi="宋体" w:eastAsia="宋体" w:cs="宋体"/>
          <w:bCs/>
          <w:color w:val="auto"/>
          <w:sz w:val="24"/>
          <w:szCs w:val="24"/>
          <w:highlight w:val="none"/>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color w:val="auto"/>
          <w:sz w:val="24"/>
          <w:szCs w:val="24"/>
          <w:highlight w:val="none"/>
        </w:rPr>
        <w:t xml:space="preserve">3.投标报价低于采购项目最高限价65%的，即投标报价&lt;采购项目最高限价</w:t>
      </w:r>
      <w:r>
        <w:rPr>
          <w:rFonts w:hint="eastAsia" w:ascii="宋体" w:hAnsi="宋体" w:eastAsia="宋体" w:cs="宋体"/>
          <w:bCs/>
          <w:sz w:val="24"/>
          <w:szCs w:val="24"/>
        </w:rPr>
        <w:t xml:space="preserve">×45%；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关于推动解决政府采购异常低价问题的通知》（财库〔2026〕2号）中规定：采购人可以结合具体项目实际情况，提高上述第1项至第3项中启动异常低价投标（响应）审查的数值标准，但是最高不得超过65%。相关法律法规对供应商报价有规定的，从其规定。请采购人修改完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5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黑体" w:hAnsi="黑体" w:eastAsia="黑体"/>
        </w:rPr>
      </w:pPr>
      <w:r>
        <w:rPr>
          <w:sz w:val="24"/>
          <w:szCs w:val="24"/>
        </w:rPr>
        <w:br w:type="page" w:clear="all"/>
      </w:r>
      <w:bookmarkStart w:id="5" w:name="_Toc162361612"/>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highlight w:val="none"/>
        </w:rPr>
      </w:pPr>
      <w:r>
        <w:rPr>
          <w:rFonts w:hint="eastAsia"/>
          <w:sz w:val="24"/>
          <w:szCs w:val="24"/>
        </w:rPr>
        <w:t xml:space="preserve">9.3 交付</w:t>
      </w:r>
      <w:r>
        <w:rPr>
          <w:rFonts w:hint="eastAsia"/>
          <w:sz w:val="24"/>
          <w:szCs w:val="24"/>
          <w:highlight w:val="none"/>
        </w:rPr>
        <w:t xml:space="preserve">地点：</w:t>
      </w:r>
      <w:r>
        <w:rPr>
          <w:rFonts w:hint="eastAsia" w:ascii="新宋体" w:hAnsi="新宋体" w:eastAsia="新宋体"/>
          <w:sz w:val="24"/>
          <w:szCs w:val="24"/>
          <w:highlight w:val="none"/>
        </w:rPr>
        <w:t xml:space="preserve">要求本次项目所租赁的设备和服务全部安装部署在连云港市中医院本地数据中心机房内。</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w:t>
      </w:r>
      <w:r>
        <w:rPr>
          <w:rFonts w:hint="eastAsia" w:ascii="新宋体" w:hAnsi="新宋体" w:eastAsia="新宋体"/>
          <w:i/>
          <w:iCs/>
          <w:sz w:val="24"/>
          <w:szCs w:val="24"/>
          <w:highlight w:val="none"/>
          <w:u w:val="single"/>
        </w:rPr>
        <w:t xml:space="preserve">合同签订后支付合同金额的30%，安装调试验收合格后支付合同金额的70%,每次付款前中标人须提供合法正规发票。</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highlight w:val="none"/>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rFonts w:ascii="黑体" w:hAnsi="黑体" w:eastAsia="黑体"/>
        </w:rPr>
      </w:pPr>
      <w:r>
        <w:rPr>
          <w:sz w:val="24"/>
          <w:szCs w:val="24"/>
        </w:rPr>
        <w:br w:type="page" w:clear="all"/>
      </w:r>
      <w:bookmarkStart w:id="8" w:name="_Toc162361613"/>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8"/>
      <w:r/>
      <w:r/>
    </w:p>
    <w:p>
      <w:pPr>
        <w:ind w:firstLine="482"/>
        <w:jc w:val="left"/>
        <w:spacing w:line="500" w:lineRule="exact"/>
        <w:rPr>
          <w:b/>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ascii="新宋体" w:hAnsi="新宋体" w:eastAsia="新宋体"/>
          <w:sz w:val="24"/>
          <w:szCs w:val="24"/>
          <w:highlight w:val="none"/>
          <w:u w:val="single"/>
        </w:rPr>
        <w:t xml:space="preserve">租赁和商务服务业 </w:t>
      </w:r>
      <w:r>
        <w:rPr>
          <w:rFonts w:hint="eastAsia" w:ascii="新宋体" w:hAnsi="新宋体" w:eastAsia="新宋体"/>
          <w:sz w:val="24"/>
          <w:szCs w:val="24"/>
          <w:highlight w:val="none"/>
        </w:rPr>
        <w:t xml:space="preserve">。</w:t>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根据《关于印发中小企业划型标准规定的通知》（工信部联企业〔2011〕300号）规定，租赁和商务服务业</w:t>
      </w:r>
      <w:r>
        <w:rPr>
          <w:rFonts w:hint="eastAsia" w:ascii="宋体" w:hAnsi="宋体"/>
          <w:color w:val="000000"/>
          <w:sz w:val="24"/>
          <w:szCs w:val="24"/>
          <w:highlight w:val="none"/>
        </w:rPr>
        <w:t xml:space="preserve">行业划型标准：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highlight w:val="none"/>
        </w:rPr>
        <w:t xml:space="preserve">1.根据《政府采购需求管理办法》等有关规</w:t>
      </w:r>
      <w:r>
        <w:rPr>
          <w:rFonts w:hint="eastAsia" w:asciiTheme="minorEastAsia" w:hAnsiTheme="minorEastAsia"/>
          <w:sz w:val="24"/>
          <w:szCs w:val="24"/>
        </w:rPr>
        <w:t xml:space="preserve">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rPr>
          <w:sz w:val="24"/>
          <w:szCs w:val="24"/>
        </w:rPr>
      </w:pPr>
      <w:r>
        <w:rPr>
          <w:sz w:val="24"/>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rFonts w:ascii="新宋体" w:hAnsi="新宋体" w:eastAsia="新宋体"/>
          <w:sz w:val="24"/>
          <w:highlight w:val="none"/>
        </w:rPr>
      </w:pPr>
      <w:r>
        <w:rPr>
          <w:rFonts w:hint="eastAsia" w:ascii="新宋体" w:hAnsi="新宋体" w:eastAsia="新宋体"/>
          <w:sz w:val="24"/>
          <w:highlight w:val="none"/>
        </w:rPr>
        <w:t xml:space="preserve">连云港市中医院信息化经过多年的建设，取得了一定的成效，初步建成以电子病历和数据中心为基础，在信息安全管理体系支撑下的智慧医疗、智慧服务、智慧管理三位一体的智慧医院体系，并于</w:t>
      </w:r>
      <w:r>
        <w:rPr>
          <w:rFonts w:ascii="新宋体" w:hAnsi="新宋体" w:eastAsia="新宋体"/>
          <w:sz w:val="24"/>
          <w:highlight w:val="none"/>
        </w:rPr>
        <w:t xml:space="preserve">2023</w:t>
      </w:r>
      <w:r>
        <w:rPr>
          <w:rFonts w:hint="eastAsia" w:ascii="新宋体" w:hAnsi="新宋体" w:eastAsia="新宋体"/>
          <w:sz w:val="24"/>
          <w:highlight w:val="none"/>
        </w:rPr>
        <w:t xml:space="preserve">年</w:t>
      </w:r>
      <w:r>
        <w:rPr>
          <w:rFonts w:ascii="新宋体" w:hAnsi="新宋体" w:eastAsia="新宋体"/>
          <w:sz w:val="24"/>
          <w:highlight w:val="none"/>
        </w:rPr>
        <w:t xml:space="preserve">7</w:t>
      </w:r>
      <w:r>
        <w:rPr>
          <w:rFonts w:hint="eastAsia" w:ascii="新宋体" w:hAnsi="新宋体" w:eastAsia="新宋体"/>
          <w:sz w:val="24"/>
          <w:highlight w:val="none"/>
        </w:rPr>
        <w:t xml:space="preserve">月成功获批为第五批国家区域医疗中心项目。随着人民群众对高质量医疗服务需求的日益增长，连云港市中医院在追求卓越发展的道路上也面临着新的挑战，单纯依靠传统模式的信息系统优化已难以适应当前发展形势，迫切需要引入人工智能等新兴技术破解发展难题。</w:t>
      </w:r>
      <w:r/>
    </w:p>
    <w:p>
      <w:pPr>
        <w:ind w:firstLine="480"/>
        <w:spacing w:line="360" w:lineRule="auto"/>
        <w:rPr>
          <w:sz w:val="24"/>
          <w:highlight w:val="none"/>
        </w:rPr>
      </w:pPr>
      <w:r/>
      <w:bookmarkStart w:id="9" w:name="OLE_LINK11"/>
      <w:r/>
      <w:bookmarkStart w:id="10" w:name="OLE_LINK9"/>
      <w:r>
        <w:rPr>
          <w:rFonts w:hint="eastAsia" w:ascii="新宋体" w:hAnsi="新宋体" w:eastAsia="新宋体"/>
          <w:sz w:val="24"/>
          <w:highlight w:val="none"/>
        </w:rPr>
        <w:t xml:space="preserve">针对当下连云港市中医院的</w:t>
      </w:r>
      <w:r>
        <w:rPr>
          <w:rFonts w:ascii="新宋体" w:hAnsi="新宋体" w:eastAsia="新宋体"/>
          <w:sz w:val="24"/>
          <w:highlight w:val="none"/>
        </w:rPr>
        <w:t xml:space="preserve">AI</w:t>
      </w:r>
      <w:r>
        <w:rPr>
          <w:rFonts w:hint="eastAsia" w:ascii="新宋体" w:hAnsi="新宋体" w:eastAsia="新宋体"/>
          <w:sz w:val="24"/>
          <w:highlight w:val="none"/>
        </w:rPr>
        <w:t xml:space="preserve">资源平台需求，规划建设院内自有医疗</w:t>
      </w:r>
      <w:r>
        <w:rPr>
          <w:rFonts w:ascii="新宋体" w:hAnsi="新宋体" w:eastAsia="新宋体"/>
          <w:sz w:val="24"/>
          <w:highlight w:val="none"/>
        </w:rPr>
        <w:t xml:space="preserve">AI</w:t>
      </w:r>
      <w:r>
        <w:rPr>
          <w:rFonts w:hint="eastAsia" w:ascii="新宋体" w:hAnsi="新宋体" w:eastAsia="新宋体"/>
          <w:sz w:val="24"/>
          <w:highlight w:val="none"/>
        </w:rPr>
        <w:t xml:space="preserve">算力，配置高性能</w:t>
      </w:r>
      <w:r>
        <w:rPr>
          <w:rFonts w:ascii="新宋体" w:hAnsi="新宋体" w:eastAsia="新宋体"/>
          <w:sz w:val="24"/>
          <w:highlight w:val="none"/>
        </w:rPr>
        <w:t xml:space="preserve">AI</w:t>
      </w:r>
      <w:r>
        <w:rPr>
          <w:rFonts w:hint="eastAsia" w:ascii="新宋体" w:hAnsi="新宋体" w:eastAsia="新宋体"/>
          <w:sz w:val="24"/>
          <w:highlight w:val="none"/>
        </w:rPr>
        <w:t xml:space="preserve">服务器，满足未来</w:t>
      </w:r>
      <w:r>
        <w:rPr>
          <w:rFonts w:ascii="新宋体" w:hAnsi="新宋体" w:eastAsia="新宋体"/>
          <w:sz w:val="24"/>
          <w:highlight w:val="none"/>
        </w:rPr>
        <w:t xml:space="preserve">3</w:t>
      </w:r>
      <w:r>
        <w:rPr>
          <w:rFonts w:hint="eastAsia" w:ascii="新宋体" w:hAnsi="新宋体" w:eastAsia="新宋体"/>
          <w:sz w:val="24"/>
          <w:highlight w:val="none"/>
        </w:rPr>
        <w:t xml:space="preserve">年内大模型推理高并发、高强度的计算需求。</w:t>
      </w:r>
      <w:bookmarkEnd w:id="9"/>
      <w:r/>
      <w:bookmarkEnd w:id="10"/>
      <w:r>
        <w:rPr>
          <w:rFonts w:hint="eastAsia" w:ascii="新宋体" w:hAnsi="新宋体" w:eastAsia="新宋体"/>
          <w:sz w:val="24"/>
          <w:highlight w:val="none"/>
        </w:rPr>
        <w:t xml:space="preserve">配套一套</w:t>
      </w:r>
      <w:r>
        <w:rPr>
          <w:rFonts w:ascii="新宋体" w:hAnsi="新宋体" w:eastAsia="新宋体"/>
          <w:sz w:val="24"/>
          <w:highlight w:val="none"/>
        </w:rPr>
        <w:t xml:space="preserve">AI</w:t>
      </w:r>
      <w:r>
        <w:rPr>
          <w:rFonts w:hint="eastAsia" w:ascii="新宋体" w:hAnsi="新宋体" w:eastAsia="新宋体"/>
          <w:sz w:val="24"/>
          <w:highlight w:val="none"/>
        </w:rPr>
        <w:t xml:space="preserve">算力管理平台，方便算力容器管理和模型训推管理。</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sz w:val="24"/>
        </w:rPr>
      </w:pPr>
      <w:r>
        <w:rPr>
          <w:rFonts w:hint="eastAsia"/>
          <w:sz w:val="24"/>
        </w:rPr>
        <w:t xml:space="preserve">详细描述本项目采购内容，至少包含下列内容。</w:t>
      </w:r>
      <w:r/>
    </w:p>
    <w:p>
      <w:pPr>
        <w:ind w:firstLine="480"/>
        <w:spacing w:line="360" w:lineRule="auto"/>
        <w:rPr>
          <w:rFonts w:asciiTheme="minorEastAsia" w:hAnsiTheme="minorEastAsia"/>
          <w:sz w:val="24"/>
          <w:highlight w:val="none"/>
        </w:rPr>
      </w:pPr>
      <w:r>
        <w:rPr>
          <w:rFonts w:hint="eastAsia" w:asciiTheme="minorEastAsia" w:hAnsiTheme="minorEastAsia"/>
          <w:sz w:val="24"/>
          <w:highlight w:val="none"/>
        </w:rPr>
        <w:t xml:space="preserve">1.服务范围（服务内容）</w:t>
      </w:r>
      <w:r/>
    </w:p>
    <w:p>
      <w:pPr>
        <w:ind w:firstLine="480"/>
        <w:spacing w:line="360" w:lineRule="auto"/>
        <w:rPr>
          <w:rFonts w:asciiTheme="minorEastAsia" w:hAnsiTheme="minorEastAsia"/>
          <w:sz w:val="24"/>
          <w:highlight w:val="none"/>
        </w:rPr>
      </w:pPr>
      <w:r>
        <w:rPr>
          <w:rFonts w:asciiTheme="minorEastAsia" w:hAnsiTheme="minorEastAsia"/>
          <w:sz w:val="24"/>
          <w:highlight w:val="none"/>
        </w:rPr>
        <w:t xml:space="preserve">内容包括</w:t>
      </w:r>
      <w:r>
        <w:rPr>
          <w:rFonts w:hint="eastAsia" w:asciiTheme="minorEastAsia" w:hAnsiTheme="minorEastAsia"/>
          <w:sz w:val="24"/>
          <w:highlight w:val="none"/>
        </w:rPr>
        <w:t xml:space="preserve">AI算力服务器租赁、AI算力管理平台租赁服务，</w:t>
      </w:r>
      <w:r>
        <w:rPr>
          <w:rFonts w:asciiTheme="minorEastAsia" w:hAnsiTheme="minorEastAsia"/>
          <w:sz w:val="24"/>
          <w:highlight w:val="none"/>
        </w:rPr>
        <w:t xml:space="preserve">具体服务内容如下：</w:t>
      </w:r>
      <w:r/>
    </w:p>
    <w:p>
      <w:pPr>
        <w:ind w:firstLine="480"/>
        <w:spacing w:line="360" w:lineRule="auto"/>
        <w:rPr>
          <w:rFonts w:asciiTheme="minorEastAsia" w:hAnsiTheme="minorEastAsia"/>
          <w:sz w:val="24"/>
          <w:highlight w:val="none"/>
        </w:rPr>
      </w:pPr>
      <w:r>
        <w:rPr>
          <w:rFonts w:asciiTheme="minorEastAsia" w:hAnsiTheme="minorEastAsia"/>
          <w:sz w:val="24"/>
          <w:highlight w:val="none"/>
        </w:rPr>
      </w:r>
      <w:r/>
    </w:p>
    <w:tbl>
      <w:tblPr>
        <w:tblStyle w:val="855"/>
        <w:tblW w:w="4903"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4385"/>
        <w:gridCol w:w="726"/>
        <w:gridCol w:w="890"/>
        <w:gridCol w:w="1388"/>
      </w:tblGrid>
      <w:tr>
        <w:trPr/>
        <w:tc>
          <w:tcPr>
            <w:tcW w:w="459" w:type="pct"/>
            <w:vAlign w:val="center"/>
            <w:textDirection w:val="lrTb"/>
            <w:noWrap w:val="false"/>
          </w:tcPr>
          <w:p>
            <w:pPr>
              <w:jc w:val="center"/>
              <w:widowControl/>
              <w:rPr>
                <w:rFonts w:ascii="新宋体" w:hAnsi="新宋体" w:eastAsia="新宋体" w:cs="宋体"/>
                <w:b/>
                <w:bCs/>
                <w:color w:val="000000"/>
                <w:szCs w:val="21"/>
                <w:highlight w:val="none"/>
              </w:rPr>
            </w:pPr>
            <w:r>
              <w:rPr>
                <w:rFonts w:hint="eastAsia" w:ascii="新宋体" w:hAnsi="新宋体" w:eastAsia="新宋体" w:cs="宋体"/>
                <w:b/>
                <w:bCs/>
                <w:color w:val="000000"/>
                <w:szCs w:val="21"/>
                <w:highlight w:val="none"/>
              </w:rPr>
              <w:t xml:space="preserve">序号</w:t>
            </w:r>
            <w:r/>
          </w:p>
        </w:tc>
        <w:tc>
          <w:tcPr>
            <w:tcW w:w="2695" w:type="pct"/>
            <w:vAlign w:val="center"/>
            <w:textDirection w:val="lrTb"/>
            <w:noWrap w:val="false"/>
          </w:tcPr>
          <w:p>
            <w:pPr>
              <w:jc w:val="center"/>
              <w:widowControl/>
              <w:rPr>
                <w:rFonts w:ascii="新宋体" w:hAnsi="新宋体" w:eastAsia="新宋体" w:cs="宋体"/>
                <w:b/>
                <w:bCs/>
                <w:color w:val="000000"/>
                <w:szCs w:val="21"/>
                <w:highlight w:val="none"/>
              </w:rPr>
            </w:pPr>
            <w:r>
              <w:rPr>
                <w:rFonts w:hint="eastAsia" w:ascii="新宋体" w:hAnsi="新宋体" w:eastAsia="新宋体" w:cs="宋体"/>
                <w:b/>
                <w:bCs/>
                <w:color w:val="000000"/>
                <w:szCs w:val="21"/>
                <w:highlight w:val="none"/>
              </w:rPr>
              <w:t xml:space="preserve">名称</w:t>
            </w:r>
            <w:r/>
          </w:p>
        </w:tc>
        <w:tc>
          <w:tcPr>
            <w:tcW w:w="446" w:type="pct"/>
            <w:vAlign w:val="center"/>
            <w:textDirection w:val="lrTb"/>
            <w:noWrap w:val="false"/>
          </w:tcPr>
          <w:p>
            <w:pPr>
              <w:jc w:val="center"/>
              <w:widowControl/>
              <w:rPr>
                <w:rFonts w:ascii="新宋体" w:hAnsi="新宋体" w:eastAsia="新宋体" w:cs="宋体"/>
                <w:b/>
                <w:bCs/>
                <w:color w:val="000000"/>
                <w:szCs w:val="21"/>
                <w:highlight w:val="none"/>
              </w:rPr>
            </w:pPr>
            <w:r>
              <w:rPr>
                <w:rFonts w:hint="eastAsia" w:ascii="新宋体" w:hAnsi="新宋体" w:eastAsia="新宋体" w:cs="宋体"/>
                <w:b/>
                <w:bCs/>
                <w:color w:val="000000"/>
                <w:szCs w:val="21"/>
                <w:highlight w:val="none"/>
              </w:rPr>
              <w:t xml:space="preserve">数量</w:t>
            </w:r>
            <w:r/>
          </w:p>
        </w:tc>
        <w:tc>
          <w:tcPr>
            <w:tcW w:w="547" w:type="pct"/>
            <w:vAlign w:val="center"/>
            <w:textDirection w:val="lrTb"/>
            <w:noWrap w:val="false"/>
          </w:tcPr>
          <w:p>
            <w:pPr>
              <w:jc w:val="center"/>
              <w:widowControl/>
              <w:rPr>
                <w:rFonts w:ascii="新宋体" w:hAnsi="新宋体" w:eastAsia="新宋体" w:cs="宋体"/>
                <w:b/>
                <w:bCs/>
                <w:color w:val="000000"/>
                <w:szCs w:val="21"/>
                <w:highlight w:val="none"/>
              </w:rPr>
            </w:pPr>
            <w:r>
              <w:rPr>
                <w:rFonts w:hint="eastAsia" w:ascii="新宋体" w:hAnsi="新宋体" w:eastAsia="新宋体" w:cs="宋体"/>
                <w:b/>
                <w:bCs/>
                <w:color w:val="000000"/>
                <w:szCs w:val="21"/>
                <w:highlight w:val="none"/>
              </w:rPr>
              <w:t xml:space="preserve">单位</w:t>
            </w:r>
            <w:r/>
          </w:p>
        </w:tc>
        <w:tc>
          <w:tcPr>
            <w:tcW w:w="854" w:type="pct"/>
            <w:textDirection w:val="lrTb"/>
            <w:noWrap w:val="false"/>
          </w:tcPr>
          <w:p>
            <w:pPr>
              <w:jc w:val="center"/>
              <w:widowControl/>
              <w:rPr>
                <w:rFonts w:ascii="新宋体" w:hAnsi="新宋体" w:eastAsia="新宋体" w:cs="宋体"/>
                <w:b/>
                <w:bCs/>
                <w:color w:val="000000"/>
                <w:szCs w:val="21"/>
                <w:highlight w:val="none"/>
              </w:rPr>
            </w:pPr>
            <w:r>
              <w:rPr>
                <w:rFonts w:hint="eastAsia" w:ascii="新宋体" w:hAnsi="新宋体" w:eastAsia="新宋体" w:cs="宋体"/>
                <w:b/>
                <w:bCs/>
                <w:color w:val="000000"/>
                <w:szCs w:val="21"/>
                <w:highlight w:val="none"/>
              </w:rPr>
              <w:t xml:space="preserve">所属行业</w:t>
            </w:r>
            <w:r/>
          </w:p>
        </w:tc>
      </w:tr>
      <w:tr>
        <w:trPr/>
        <w:tc>
          <w:tcPr>
            <w:tcW w:w="459" w:type="pct"/>
            <w:vAlign w:val="center"/>
            <w:textDirection w:val="lrTb"/>
            <w:noWrap w:val="false"/>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w:t>
            </w:r>
            <w:r/>
          </w:p>
        </w:tc>
        <w:tc>
          <w:tcPr>
            <w:tcW w:w="2695" w:type="pct"/>
            <w:vAlign w:val="center"/>
            <w:textDirection w:val="lrTb"/>
            <w:noWrap/>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AI算力服务器租赁（3年、共2台）</w:t>
            </w:r>
            <w:r/>
          </w:p>
        </w:tc>
        <w:tc>
          <w:tcPr>
            <w:tcW w:w="446" w:type="pct"/>
            <w:vAlign w:val="center"/>
            <w:textDirection w:val="lrTb"/>
            <w:noWrap/>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w:t>
            </w:r>
            <w:r/>
          </w:p>
        </w:tc>
        <w:tc>
          <w:tcPr>
            <w:tcW w:w="547" w:type="pct"/>
            <w:vAlign w:val="center"/>
            <w:textDirection w:val="lrTb"/>
            <w:noWrap/>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w:t>
            </w:r>
            <w:r/>
          </w:p>
        </w:tc>
        <w:tc>
          <w:tcPr>
            <w:tcW w:w="854" w:type="pct"/>
            <w:textDirection w:val="lrTb"/>
            <w:noWrap w:val="false"/>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租赁和商务服务业</w:t>
            </w:r>
            <w:r/>
          </w:p>
        </w:tc>
      </w:tr>
      <w:tr>
        <w:trPr/>
        <w:tc>
          <w:tcPr>
            <w:tcW w:w="459" w:type="pct"/>
            <w:vAlign w:val="center"/>
            <w:textDirection w:val="lrTb"/>
            <w:noWrap w:val="false"/>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w:t>
            </w:r>
            <w:r/>
          </w:p>
        </w:tc>
        <w:tc>
          <w:tcPr>
            <w:tcW w:w="2695" w:type="pct"/>
            <w:vAlign w:val="center"/>
            <w:textDirection w:val="lrTb"/>
            <w:noWrap/>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AI算力管理平台租赁服务（3年）</w:t>
            </w:r>
            <w:r/>
          </w:p>
        </w:tc>
        <w:tc>
          <w:tcPr>
            <w:tcW w:w="446" w:type="pct"/>
            <w:vAlign w:val="center"/>
            <w:textDirection w:val="lrTb"/>
            <w:noWrap/>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w:t>
            </w:r>
            <w:r/>
          </w:p>
        </w:tc>
        <w:tc>
          <w:tcPr>
            <w:tcW w:w="547" w:type="pct"/>
            <w:vAlign w:val="center"/>
            <w:textDirection w:val="lrTb"/>
            <w:noWrap/>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w:t>
            </w:r>
            <w:r/>
          </w:p>
        </w:tc>
        <w:tc>
          <w:tcPr>
            <w:tcW w:w="854" w:type="pct"/>
            <w:textDirection w:val="lrTb"/>
            <w:noWrap w:val="false"/>
          </w:tcPr>
          <w:p>
            <w:pPr>
              <w:jc w:val="center"/>
              <w:widowControl/>
              <w:rPr>
                <w:rFonts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租赁和商务服务业</w:t>
            </w:r>
            <w:r/>
          </w:p>
        </w:tc>
      </w:tr>
    </w:tbl>
    <w:p>
      <w:pPr>
        <w:spacing w:line="360" w:lineRule="auto"/>
        <w:rPr>
          <w:rFonts w:asciiTheme="minorEastAsia" w:hAnsiTheme="minorEastAsia"/>
          <w:sz w:val="24"/>
          <w:highlight w:val="none"/>
        </w:rPr>
      </w:pPr>
      <w:r>
        <w:rPr>
          <w:rFonts w:asciiTheme="minorEastAsia" w:hAnsiTheme="minorEastAsia"/>
          <w:sz w:val="24"/>
          <w:highlight w:val="none"/>
        </w:rPr>
      </w:r>
      <w:r/>
    </w:p>
    <w:p>
      <w:pPr>
        <w:ind w:firstLine="480"/>
        <w:spacing w:line="360" w:lineRule="auto"/>
        <w:rPr>
          <w:rFonts w:asciiTheme="minorEastAsia" w:hAnsiTheme="minorEastAsia"/>
          <w:sz w:val="24"/>
          <w:highlight w:val="none"/>
        </w:rPr>
      </w:pPr>
      <w:r>
        <w:rPr>
          <w:rFonts w:hint="eastAsia" w:asciiTheme="minorEastAsia" w:hAnsiTheme="minorEastAsia"/>
          <w:sz w:val="24"/>
          <w:highlight w:val="none"/>
        </w:rPr>
        <w:t xml:space="preserve">2.服务技术要求</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3"/>
        <w:gridCol w:w="1322"/>
        <w:gridCol w:w="6541"/>
      </w:tblGrid>
      <w:tr>
        <w:trPr/>
        <w:tc>
          <w:tcPr>
            <w:tcW w:w="261" w:type="pct"/>
            <w:vAlign w:val="center"/>
            <w:textDirection w:val="lrTb"/>
            <w:noWrap w:val="false"/>
          </w:tcPr>
          <w:p>
            <w:pPr>
              <w:jc w:val="center"/>
              <w:spacing w:line="276" w:lineRule="auto"/>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序号</w:t>
            </w:r>
            <w:r/>
          </w:p>
        </w:tc>
        <w:tc>
          <w:tcPr>
            <w:tcW w:w="797" w:type="pct"/>
            <w:vAlign w:val="center"/>
            <w:textDirection w:val="lrTb"/>
            <w:noWrap w:val="false"/>
          </w:tcPr>
          <w:p>
            <w:pPr>
              <w:jc w:val="center"/>
              <w:spacing w:line="276" w:lineRule="auto"/>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名称</w:t>
            </w:r>
            <w:r/>
          </w:p>
        </w:tc>
        <w:tc>
          <w:tcPr>
            <w:tcW w:w="3942" w:type="pct"/>
            <w:textDirection w:val="lrTb"/>
            <w:noWrap w:val="false"/>
          </w:tcPr>
          <w:p>
            <w:pPr>
              <w:jc w:val="center"/>
              <w:spacing w:line="276" w:lineRule="auto"/>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技术参数</w:t>
            </w:r>
            <w:r/>
          </w:p>
        </w:tc>
      </w:tr>
      <w:tr>
        <w:trPr/>
        <w:tc>
          <w:tcPr>
            <w:tcW w:w="261" w:type="pct"/>
            <w:vAlign w:val="center"/>
            <w:textDirection w:val="lrTb"/>
            <w:noWrap w:val="false"/>
          </w:tcPr>
          <w:p>
            <w:pPr>
              <w:jc w:val="center"/>
              <w:spacing w:line="276" w:lineRule="auto"/>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p>
        </w:tc>
        <w:tc>
          <w:tcPr>
            <w:tcW w:w="797" w:type="pct"/>
            <w:vAlign w:val="center"/>
            <w:textDirection w:val="lrTb"/>
            <w:noWrap/>
          </w:tcPr>
          <w:p>
            <w:pPr>
              <w:jc w:val="center"/>
              <w:spacing w:line="276" w:lineRule="auto"/>
              <w:widowControl/>
              <w:rPr>
                <w:rFonts w:ascii="新宋体" w:hAnsi="新宋体" w:eastAsia="新宋体" w:cs="宋体"/>
                <w:color w:val="000000"/>
                <w:szCs w:val="21"/>
              </w:rPr>
            </w:pPr>
            <w:r>
              <w:rPr>
                <w:rFonts w:hint="eastAsia" w:ascii="新宋体" w:hAnsi="新宋体" w:eastAsia="新宋体" w:cs="宋体"/>
                <w:color w:val="000000"/>
                <w:szCs w:val="21"/>
              </w:rPr>
              <w:t xml:space="preserve">算力服务器租赁（3年）（共2台）</w:t>
            </w:r>
            <w:r/>
          </w:p>
        </w:tc>
        <w:tc>
          <w:tcPr>
            <w:tcW w:w="3942" w:type="pct"/>
            <w:textDirection w:val="lrTb"/>
            <w:noWrap w:val="false"/>
          </w:tcPr>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1、CPU:配置≥4颗ARM架构处理器，单颗核心数≥80，主频≥2.9GHz；</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2、内存:配置≥1024GB DDR5内存；</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3、硬盘: ≥2块960G SSD 硬盘单元，≥2块3.84TB NVME SSD 硬盘单元；</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4、AI算力：配置≥8个国产化AI算力模组，任意两个算力模组之间双向带宽≥700GB/s，单模组提供≥560 TFLOPS FP16算力,总计提供算力≥4.48PFLOPS FP16；双机组网实现超节点架构，实现基于总线的内存统一编址，提升内存访存效率；</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5、单个AI芯片内存配置≥128GB HBM，整机不低于1024G；</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6、网络：配置≥2口10GE/25GE光口;配置≥56个400GE光口；配置≥2个100GE光口；</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7、模块：配置对应≥56个400G模块、≥2个光模块-SFP+-10G-多模模块(850nm,0.3km,LC)；</w:t>
            </w:r>
            <w:r/>
          </w:p>
          <w:p>
            <w:pPr>
              <w:jc w:val="left"/>
              <w:spacing w:line="276" w:lineRule="auto"/>
              <w:widowControl/>
              <w:rPr>
                <w:rFonts w:ascii="新宋体" w:hAnsi="新宋体" w:eastAsia="新宋体" w:cs="宋体"/>
                <w:i/>
                <w:iCs/>
                <w:color w:val="000000"/>
                <w:szCs w:val="21"/>
                <w:highlight w:val="none"/>
                <w:u w:val="single"/>
              </w:rPr>
            </w:pPr>
            <w:r>
              <w:rPr>
                <w:rFonts w:hint="eastAsia" w:ascii="新宋体" w:hAnsi="新宋体" w:eastAsia="新宋体" w:cs="宋体"/>
                <w:i/>
                <w:iCs/>
                <w:color w:val="000000"/>
                <w:szCs w:val="21"/>
                <w:highlight w:val="none"/>
                <w:u w:val="single"/>
              </w:rPr>
              <w:t xml:space="preserve">8、电源：配置≥6个3000W冗余电源模块；</w:t>
            </w:r>
            <w:r/>
          </w:p>
          <w:p>
            <w:pPr>
              <w:jc w:val="left"/>
              <w:spacing w:line="276" w:lineRule="auto"/>
              <w:widowControl/>
              <w:rPr>
                <w:rFonts w:ascii="新宋体" w:hAnsi="新宋体" w:eastAsia="新宋体" w:cs="宋体"/>
                <w:color w:val="000000"/>
                <w:szCs w:val="21"/>
                <w:highlight w:val="none"/>
              </w:rPr>
            </w:pPr>
            <w:r>
              <w:rPr>
                <w:rFonts w:hint="eastAsia" w:ascii="新宋体" w:hAnsi="新宋体" w:eastAsia="新宋体" w:cs="宋体"/>
                <w:i/>
                <w:iCs/>
                <w:color w:val="000000"/>
                <w:szCs w:val="21"/>
                <w:highlight w:val="none"/>
                <w:u w:val="single"/>
              </w:rPr>
              <w:t xml:space="preserve">9、服务:提供三年原厂质保服务，并提供服务器上架服务。</w:t>
            </w:r>
            <w:r/>
          </w:p>
        </w:tc>
      </w:tr>
      <w:tr>
        <w:trPr/>
        <w:tc>
          <w:tcPr>
            <w:tcW w:w="261" w:type="pct"/>
            <w:vAlign w:val="center"/>
            <w:textDirection w:val="lrTb"/>
            <w:noWrap w:val="false"/>
          </w:tcPr>
          <w:p>
            <w:pPr>
              <w:jc w:val="center"/>
              <w:spacing w:line="276" w:lineRule="auto"/>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p>
        </w:tc>
        <w:tc>
          <w:tcPr>
            <w:tcW w:w="797" w:type="pct"/>
            <w:vAlign w:val="center"/>
            <w:textDirection w:val="lrTb"/>
            <w:noWrap/>
          </w:tcPr>
          <w:p>
            <w:pPr>
              <w:jc w:val="center"/>
              <w:spacing w:line="276" w:lineRule="auto"/>
              <w:widowControl/>
              <w:rPr>
                <w:rFonts w:ascii="新宋体" w:hAnsi="新宋体" w:eastAsia="新宋体" w:cs="宋体"/>
                <w:color w:val="000000"/>
                <w:szCs w:val="21"/>
              </w:rPr>
            </w:pPr>
            <w:r>
              <w:rPr>
                <w:rFonts w:hint="eastAsia" w:ascii="新宋体" w:hAnsi="新宋体" w:eastAsia="新宋体" w:cs="宋体"/>
                <w:color w:val="000000"/>
                <w:szCs w:val="21"/>
              </w:rPr>
              <w:t xml:space="preserve">算力管理平台租赁服务（3年）</w:t>
            </w:r>
            <w:r/>
          </w:p>
        </w:tc>
        <w:tc>
          <w:tcPr>
            <w:tcW w:w="3942" w:type="pct"/>
            <w:vAlign w:val="center"/>
            <w:textDirection w:val="lrTb"/>
            <w:noWrap w:val="false"/>
          </w:tcPr>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1.异构算力纳管：平台支持多AI业务集群管理，支持X86、ARM异构集群统一管理，并且不同AI集群可支持部署不同的OS，异构多集群统一管理平台，可提供多集群推理服务下发，服务和资源监控功能，支持多集群下启动单节点、多节点分布式训练和微调，训练可视化与自动断点续训，并且支持模型、数据集、文件管理等数据本地加速的功能，支持平台多集群异构部署及纳管异构算力功能</w:t>
            </w:r>
            <w:r>
              <w:rPr>
                <w:rFonts w:ascii="新宋体" w:hAnsi="新宋体" w:eastAsia="新宋体"/>
                <w:sz w:val="21"/>
                <w:szCs w:val="21"/>
              </w:rPr>
              <w:t xml:space="preserve">。</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2.数据管理：预置常用数据清洗算子，异常数据清洗包括但不限于清除不可见字符、清除乱码、清除表情、清除html标识符、规范空格等，样本过滤包括但不限于核查词数目、核查字重复率、核查词重复率、检查特殊字符率、检查色情暴力词率、检查语言概率，异常数据清洗和处理的能力，需提供CNAS首页和关键页报告证明</w:t>
            </w:r>
            <w:r>
              <w:rPr>
                <w:rFonts w:ascii="新宋体" w:hAnsi="新宋体" w:eastAsia="新宋体"/>
                <w:sz w:val="21"/>
                <w:szCs w:val="21"/>
              </w:rPr>
              <w:t xml:space="preserve">。</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3.模型管理：支持从文件管理导入、gitclone在线下载、本地上传模型，并对模型版本迭代进行统一管理，支持对模型版本进行下载、部署、补充上传、查看文件树、导出、删除等操作，供模型广场，模型广场的模型支持展示模型提供方、模型类型、上下文长度、模型来源筛选，支持模型部署入口和模型信息展示。</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▲4.模型训练：支持通过模板创建训练任务，在提升模型开发效率的同时保障项目质量。</w:t>
            </w:r>
            <w:r>
              <w:rPr>
                <w:rFonts w:hint="eastAsia" w:ascii="新宋体" w:hAnsi="新宋体" w:eastAsia="新宋体"/>
                <w:b/>
                <w:bCs/>
                <w:sz w:val="21"/>
                <w:szCs w:val="21"/>
              </w:rPr>
              <w:t xml:space="preserve">(提供产品技术白皮书或官网截图或产品功能截图等证明材料并加盖投标人公章。)</w:t>
            </w:r>
            <w:r/>
          </w:p>
          <w:p>
            <w:pPr>
              <w:pStyle w:val="880"/>
              <w:spacing w:line="276" w:lineRule="auto"/>
              <w:rPr>
                <w:rFonts w:ascii="新宋体" w:hAnsi="新宋体" w:eastAsia="新宋体"/>
                <w:b/>
                <w:bCs/>
                <w:sz w:val="21"/>
                <w:szCs w:val="21"/>
              </w:rPr>
            </w:pPr>
            <w:r>
              <w:rPr>
                <w:rFonts w:hint="eastAsia" w:ascii="新宋体" w:hAnsi="新宋体" w:eastAsia="新宋体"/>
                <w:sz w:val="21"/>
                <w:szCs w:val="21"/>
              </w:rPr>
              <w:t xml:space="preserve">▲5.模型微调：支持Lora微调和全参微调，支持SFT、DPO 等关键训练范式；支持微调任务配置设置，包括学习率、训练轮次、截断长度、数据集的最大样本数、梯度累计步数、验证数据集比例、LoRA 微调矩阵秩、LoRA 缩放系数等参数设置。</w:t>
            </w:r>
            <w:r>
              <w:rPr>
                <w:rFonts w:hint="eastAsia" w:ascii="新宋体" w:hAnsi="新宋体" w:eastAsia="新宋体"/>
                <w:b/>
                <w:bCs/>
                <w:sz w:val="21"/>
                <w:szCs w:val="21"/>
              </w:rPr>
              <w:t xml:space="preserve">(提供产品技术白皮书或官网截图或产品功能截图等证明材料并加盖投标人公章。)</w:t>
            </w:r>
            <w:r/>
          </w:p>
          <w:p>
            <w:pPr>
              <w:pStyle w:val="880"/>
              <w:spacing w:line="276" w:lineRule="auto"/>
              <w:rPr>
                <w:rFonts w:ascii="新宋体" w:hAnsi="新宋体" w:eastAsia="新宋体"/>
                <w:b/>
                <w:bCs/>
                <w:sz w:val="21"/>
                <w:szCs w:val="21"/>
              </w:rPr>
            </w:pPr>
            <w:r>
              <w:rPr>
                <w:rFonts w:hint="eastAsia" w:ascii="新宋体" w:hAnsi="新宋体" w:eastAsia="新宋体"/>
                <w:sz w:val="21"/>
                <w:szCs w:val="21"/>
              </w:rPr>
              <w:t xml:space="preserve">▲6.推理服务：支持查看API-key调用的微服务统计，包括但不限于调用量、总token数、输入输出token数等。</w:t>
            </w:r>
            <w:r>
              <w:rPr>
                <w:rFonts w:hint="eastAsia" w:ascii="新宋体" w:hAnsi="新宋体" w:eastAsia="新宋体"/>
                <w:b/>
                <w:bCs/>
                <w:sz w:val="21"/>
                <w:szCs w:val="21"/>
              </w:rPr>
              <w:t xml:space="preserve">(提供产品技术白皮书或官网截图或产品功能截图等证明材料并加盖投标人公章。)</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▲7.推理加速：推理加速引擎支持开启KV Cache卸载和KV Cache QAT压缩功能，在长上下文多轮对话场景，实现首Token时延降80% ，吞吐提升50%，存储成本降50%，提升推理加速优化效果。</w:t>
            </w:r>
            <w:r>
              <w:rPr>
                <w:rFonts w:hint="eastAsia" w:ascii="新宋体" w:hAnsi="新宋体" w:eastAsia="新宋体"/>
                <w:b/>
                <w:bCs/>
                <w:sz w:val="21"/>
                <w:szCs w:val="21"/>
              </w:rPr>
              <w:t xml:space="preserve">(提供国家认可的第三方检测机构出具的检测报告证明扫描件，至少包含首页和关键页报告证明加盖投标人公章，到货验收时提供完整版检测报告。)</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8.算法开发：支持WEB在线开发环境，提供Notebook（Jupyter/JupyterLab）交互式编程环境，支持用户本地开发环境（PyCharm、VSCode等）对接平台调试和同步数据，支持上传算法和或Fork已有算法。</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9.高性能路由：推理加速引擎支持高性能路由加速功能，推理加速引擎通过智能路由与全局KVCache亲和性算法，能够在多人多轮对话场景下复用上下文缓存并降低首Token时间，开启高性能路由后，首Token时间降低60%。</w:t>
            </w:r>
            <w:r>
              <w:rPr>
                <w:rFonts w:hint="eastAsia" w:ascii="新宋体" w:hAnsi="新宋体" w:eastAsia="新宋体"/>
                <w:b/>
                <w:bCs/>
                <w:sz w:val="21"/>
                <w:szCs w:val="21"/>
              </w:rPr>
              <w:t xml:space="preserve">(提供国家认可的第三方检测机构出具的检测报告证明扫描件，至少包含首页和关键页报告证明加盖投标人公章，到货验收时提供完整版检测报告。)</w:t>
            </w:r>
            <w:r/>
          </w:p>
          <w:p>
            <w:pPr>
              <w:pStyle w:val="880"/>
              <w:spacing w:line="276" w:lineRule="auto"/>
              <w:rPr>
                <w:rFonts w:ascii="新宋体" w:hAnsi="新宋体" w:eastAsia="新宋体"/>
                <w:b/>
                <w:bCs/>
                <w:sz w:val="21"/>
                <w:szCs w:val="21"/>
              </w:rPr>
            </w:pPr>
            <w:r>
              <w:rPr>
                <w:rFonts w:hint="eastAsia" w:ascii="新宋体" w:hAnsi="新宋体" w:eastAsia="新宋体"/>
                <w:sz w:val="21"/>
                <w:szCs w:val="21"/>
              </w:rPr>
              <w:t xml:space="preserve">▲10.推理部署：支持PD分离部署，支持多机单实例PD分离推理服务，P实例支持单机/分布式，D实例支持单机/分布式，实现提升吞吐、降低延迟的效果。(</w:t>
            </w:r>
            <w:r>
              <w:rPr>
                <w:rFonts w:hint="eastAsia" w:ascii="新宋体" w:hAnsi="新宋体" w:eastAsia="新宋体"/>
                <w:b/>
                <w:bCs/>
                <w:sz w:val="21"/>
                <w:szCs w:val="21"/>
              </w:rPr>
              <w:t xml:space="preserve">提供国家认可的第三方检测机构出具的检测报告证明扫描件，至少包含首页和关键页报告证明加盖投标人公章，到货验收时提供完整版检测报告。)</w:t>
            </w:r>
            <w:r/>
          </w:p>
          <w:p>
            <w:pPr>
              <w:pStyle w:val="880"/>
              <w:spacing w:line="276" w:lineRule="auto"/>
              <w:rPr>
                <w:rFonts w:ascii="新宋体" w:hAnsi="新宋体" w:eastAsia="新宋体"/>
                <w:sz w:val="21"/>
                <w:szCs w:val="21"/>
              </w:rPr>
            </w:pPr>
            <w:r>
              <w:rPr>
                <w:rFonts w:hint="eastAsia" w:ascii="新宋体" w:hAnsi="新宋体" w:eastAsia="新宋体"/>
                <w:sz w:val="21"/>
                <w:szCs w:val="21"/>
              </w:rPr>
              <w:t xml:space="preserve">▲11.智能运维：支持硬盘故障预测，支持查看HDD/SSD硬盘的健康状况、硬盘风险预测图表和风险硬盘统计等详细信息，可在故障发生前识别潜在风险，内存故障时可实现内存隔离自愈，体现平台从“被动告警”向“预测运维”的能力升级。(</w:t>
            </w:r>
            <w:r>
              <w:rPr>
                <w:rFonts w:hint="eastAsia" w:ascii="新宋体" w:hAnsi="新宋体" w:eastAsia="新宋体"/>
                <w:b/>
                <w:bCs/>
                <w:sz w:val="21"/>
                <w:szCs w:val="21"/>
              </w:rPr>
              <w:t xml:space="preserve">提供产品技术白皮书或官网截图或产品功能截图等证明材料并加盖投标人公章。)</w:t>
            </w:r>
            <w:r/>
          </w:p>
          <w:p>
            <w:pPr>
              <w:jc w:val="left"/>
              <w:spacing w:line="276" w:lineRule="auto"/>
              <w:widowControl/>
              <w:rPr>
                <w:rFonts w:ascii="新宋体" w:hAnsi="新宋体" w:eastAsia="新宋体" w:cs="宋体"/>
                <w:color w:val="000000"/>
                <w:szCs w:val="21"/>
              </w:rPr>
            </w:pPr>
            <w:r>
              <w:rPr>
                <w:rFonts w:hint="eastAsia" w:ascii="新宋体" w:hAnsi="新宋体" w:eastAsia="新宋体"/>
                <w:szCs w:val="21"/>
              </w:rPr>
              <w:t xml:space="preserve">12.为业务系统提供定制化接入独立可用的小服务功能；不同业务可以共同使用的功能性智能体。其它AI赋能的功能性入口</w:t>
            </w:r>
            <w:r/>
          </w:p>
        </w:tc>
      </w:tr>
    </w:tbl>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jc w:val="left"/>
        <w:spacing w:line="480" w:lineRule="exact"/>
        <w:widowControl/>
        <w:tabs>
          <w:tab w:val="left" w:pos="2020" w:leader="none"/>
        </w:tabs>
        <w:rPr>
          <w:rFonts w:ascii="新宋体" w:hAnsi="新宋体" w:eastAsia="新宋体" w:cs="宋体"/>
          <w:sz w:val="24"/>
          <w:szCs w:val="32"/>
        </w:rPr>
      </w:pPr>
      <w:r>
        <w:rPr>
          <w:rFonts w:hint="eastAsia" w:ascii="新宋体" w:hAnsi="新宋体" w:eastAsia="新宋体" w:cs="宋体"/>
          <w:sz w:val="24"/>
          <w:szCs w:val="32"/>
        </w:rPr>
        <w:t xml:space="preserve">1、项目在实施过程中，为顺利完成本次项目，应严格按照项目管理的要求进行项目实施。根据项目整体安排科学性、合理性、可操作性，投标人需提供的项目实施方案，包含需要的环境、项目实施方案、人员组成、质量保证、进度要求、风险预防、控制措施、突发事件处置方案，有明确的时间节点和进度安排，项目管理运行机制健全。</w:t>
      </w:r>
      <w:r/>
    </w:p>
    <w:p>
      <w:pPr>
        <w:ind w:left="127" w:firstLine="480"/>
        <w:spacing w:line="480" w:lineRule="exact"/>
        <w:rPr>
          <w:rFonts w:ascii="新宋体" w:hAnsi="新宋体" w:eastAsia="新宋体" w:cs="宋体"/>
          <w:bCs/>
          <w:sz w:val="24"/>
          <w:szCs w:val="32"/>
        </w:rPr>
      </w:pPr>
      <w:r>
        <w:rPr>
          <w:rFonts w:hint="eastAsia" w:ascii="新宋体" w:hAnsi="新宋体" w:eastAsia="新宋体" w:cs="宋体"/>
          <w:bCs/>
          <w:sz w:val="24"/>
          <w:szCs w:val="32"/>
        </w:rPr>
        <w:t xml:space="preserve">2、</w:t>
      </w:r>
      <w:r>
        <w:rPr>
          <w:rFonts w:hint="eastAsia" w:ascii="新宋体" w:hAnsi="新宋体" w:eastAsia="新宋体" w:cs="宋体"/>
          <w:sz w:val="24"/>
          <w:szCs w:val="32"/>
        </w:rPr>
        <w:t xml:space="preserve">人员配备要求，</w:t>
      </w:r>
      <w:r>
        <w:rPr>
          <w:rFonts w:hint="eastAsia" w:ascii="新宋体" w:hAnsi="新宋体" w:eastAsia="新宋体" w:cs="宋体"/>
          <w:bCs/>
          <w:sz w:val="24"/>
          <w:szCs w:val="32"/>
        </w:rPr>
        <w:t xml:space="preserve">本项目最低配备服务人员不少于4人，包含项目负责人（项目经理）1名，项目组成员（项目技术人员）不少于3人。</w:t>
      </w:r>
      <w:r/>
    </w:p>
    <w:p>
      <w:pPr>
        <w:ind w:firstLine="480"/>
        <w:jc w:val="left"/>
        <w:spacing w:line="480" w:lineRule="exact"/>
        <w:widowControl/>
        <w:tabs>
          <w:tab w:val="left" w:pos="2020" w:leader="none"/>
        </w:tabs>
        <w:rPr>
          <w:rFonts w:ascii="新宋体" w:hAnsi="新宋体" w:eastAsia="新宋体" w:cs="宋体"/>
          <w:sz w:val="24"/>
          <w:szCs w:val="32"/>
        </w:rPr>
      </w:pPr>
      <w:r>
        <w:rPr>
          <w:rFonts w:hint="eastAsia" w:ascii="新宋体" w:hAnsi="新宋体" w:eastAsia="新宋体" w:cs="宋体"/>
          <w:sz w:val="24"/>
          <w:szCs w:val="32"/>
        </w:rPr>
        <w:t xml:space="preserve">项目负责人职责：负责整个项目的计划、组织、指导和控制。确保项目按时、按质量完成，并与客户保持沟通，解决项目过程中的问题，从项目架构、技术要求和实施方法论上指导项目实施。</w:t>
      </w:r>
      <w:r/>
    </w:p>
    <w:p>
      <w:pPr>
        <w:ind w:firstLine="480"/>
        <w:jc w:val="left"/>
        <w:spacing w:line="480" w:lineRule="exact"/>
        <w:widowControl/>
        <w:tabs>
          <w:tab w:val="left" w:pos="2020" w:leader="none"/>
        </w:tabs>
        <w:rPr>
          <w:rFonts w:ascii="新宋体" w:hAnsi="新宋体" w:eastAsia="新宋体" w:cs="宋体"/>
          <w:sz w:val="24"/>
          <w:szCs w:val="32"/>
        </w:rPr>
      </w:pPr>
      <w:r>
        <w:rPr>
          <w:rFonts w:hint="eastAsia" w:ascii="新宋体" w:hAnsi="新宋体" w:eastAsia="新宋体" w:cs="宋体"/>
          <w:sz w:val="24"/>
          <w:szCs w:val="32"/>
        </w:rPr>
        <w:t xml:space="preserve">技术人员职责：制定进度计划，控制项目质量，完成分析和实施工作。负责项目的设计规划和安装、调试、集成，保证系统运行安全，负责在试运行期间调试和优化，保证系统顺利上线。</w:t>
      </w:r>
      <w:r/>
    </w:p>
    <w:p>
      <w:pPr>
        <w:ind w:firstLine="480"/>
        <w:jc w:val="left"/>
        <w:spacing w:line="480" w:lineRule="exact"/>
        <w:widowControl/>
        <w:tabs>
          <w:tab w:val="left" w:pos="2020" w:leader="none"/>
        </w:tabs>
        <w:rPr>
          <w:rFonts w:ascii="新宋体" w:hAnsi="新宋体" w:eastAsia="新宋体" w:cs="宋体"/>
          <w:sz w:val="24"/>
          <w:szCs w:val="32"/>
        </w:rPr>
      </w:pPr>
      <w:r>
        <w:rPr>
          <w:rFonts w:hint="eastAsia" w:ascii="新宋体" w:hAnsi="新宋体" w:eastAsia="新宋体" w:cs="宋体"/>
          <w:sz w:val="24"/>
          <w:szCs w:val="32"/>
        </w:rPr>
        <w:t xml:space="preserve">3、设备进场前，中标供应商应提供详细专业的项目技术方案，包括但不限于网络规划、实施方案、优化方案及项目实施过程中的节点控制、质量和现场管理情况。</w:t>
      </w:r>
      <w:r/>
    </w:p>
    <w:p>
      <w:pPr>
        <w:ind w:firstLine="480"/>
        <w:jc w:val="left"/>
        <w:spacing w:line="480" w:lineRule="exact"/>
        <w:widowControl/>
        <w:tabs>
          <w:tab w:val="left" w:pos="2020" w:leader="none"/>
        </w:tabs>
        <w:rPr>
          <w:rFonts w:ascii="新宋体" w:hAnsi="新宋体" w:eastAsia="新宋体" w:cs="宋体"/>
          <w:sz w:val="24"/>
          <w:szCs w:val="32"/>
        </w:rPr>
      </w:pPr>
      <w:r>
        <w:rPr>
          <w:rFonts w:hint="eastAsia" w:ascii="新宋体" w:hAnsi="新宋体" w:eastAsia="新宋体" w:cs="宋体"/>
          <w:sz w:val="24"/>
          <w:szCs w:val="32"/>
        </w:rPr>
        <w:t xml:space="preserve">4、设备安装、调试期间，保障业务的连续性，如期间出现任何非计划内中断事故，中标供应商应承担相应责任。</w:t>
      </w:r>
      <w:r/>
    </w:p>
    <w:p>
      <w:pPr>
        <w:ind w:firstLine="480"/>
        <w:jc w:val="left"/>
        <w:spacing w:line="480" w:lineRule="exact"/>
        <w:widowControl/>
        <w:tabs>
          <w:tab w:val="left" w:pos="2020" w:leader="none"/>
        </w:tabs>
        <w:rPr>
          <w:rFonts w:ascii="新宋体" w:hAnsi="新宋体" w:eastAsia="新宋体" w:cs="宋体"/>
          <w:sz w:val="24"/>
          <w:szCs w:val="32"/>
        </w:rPr>
      </w:pPr>
      <w:r>
        <w:rPr>
          <w:rFonts w:hint="eastAsia" w:ascii="新宋体" w:hAnsi="新宋体" w:eastAsia="新宋体" w:cs="宋体"/>
          <w:sz w:val="24"/>
          <w:szCs w:val="32"/>
        </w:rPr>
        <w:t xml:space="preserve">5、按照采购人要求提供完整的技术文档，包括采用的AI平台软硬件等。</w:t>
      </w:r>
      <w:r/>
    </w:p>
    <w:p>
      <w:pPr>
        <w:ind w:firstLine="480"/>
        <w:jc w:val="left"/>
        <w:spacing w:line="480" w:lineRule="exact"/>
        <w:widowControl/>
        <w:tabs>
          <w:tab w:val="left" w:pos="2020" w:leader="none"/>
        </w:tabs>
        <w:rPr>
          <w:rFonts w:ascii="黑体" w:hAnsi="黑体" w:eastAsia="黑体"/>
          <w:b/>
          <w:sz w:val="24"/>
        </w:rPr>
      </w:pPr>
      <w:r>
        <w:rPr>
          <w:rFonts w:hint="eastAsia" w:ascii="新宋体" w:hAnsi="新宋体" w:eastAsia="新宋体" w:cs="宋体"/>
          <w:sz w:val="24"/>
          <w:szCs w:val="32"/>
        </w:rPr>
        <w:t xml:space="preserve">6、中标供应商入场前需进行公司和人员资质核验，核验过程中若发现有虚假应标嫌疑，采购人有权向相关部门报告并依法追究相应责任。</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新宋体" w:hAnsi="新宋体" w:eastAsia="新宋体" w:cs="宋体"/>
          <w:b/>
          <w:bCs/>
          <w:i/>
          <w:iCs/>
          <w:sz w:val="24"/>
          <w:szCs w:val="24"/>
          <w:u w:val="single"/>
          <w:lang w:val="zh-CN"/>
        </w:rPr>
      </w:pPr>
      <w:r>
        <w:rPr>
          <w:rFonts w:hint="eastAsia" w:ascii="新宋体" w:hAnsi="新宋体" w:eastAsia="新宋体" w:cs="宋体"/>
          <w:b/>
          <w:bCs/>
          <w:i/>
          <w:iCs/>
          <w:sz w:val="24"/>
          <w:szCs w:val="24"/>
          <w:u w:val="single"/>
          <w:lang w:val="zh-CN" w:bidi="ar"/>
        </w:rPr>
        <w:t xml:space="preserve">合同签订后45天内完成租赁设备软硬件的安装调试要求，并通过验收，验收通过后提供3年算力服务。</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本项目整体服务需严格遵循规范化、标准化、安全化实施准则，全面覆盖项目实施全流程、技术落地、质量管控、进度管理、风险防控、后期运维及合规管理等各项要求，具体服务标准如下：</w:t>
      </w:r>
      <w:r/>
    </w:p>
    <w:p>
      <w:pPr>
        <w:ind w:firstLine="480"/>
        <w:spacing w:line="360" w:lineRule="auto"/>
        <w:rPr>
          <w:rFonts w:ascii="新宋体" w:hAnsi="新宋体" w:eastAsia="新宋体" w:cs="Times New Roman"/>
          <w:sz w:val="24"/>
        </w:rPr>
      </w:pPr>
      <w:r>
        <w:rPr>
          <w:rFonts w:hint="eastAsia" w:ascii="新宋体" w:hAnsi="新宋体" w:eastAsia="新宋体" w:cs="Times New Roman"/>
          <w:sz w:val="24"/>
        </w:rPr>
        <w:t xml:space="preserve">1、项目实施管理标准：投标人需充分理解本项目背景、现状及核心需求，确保平台功能设计完全贴合项目实际需求。项目全程落实科学化、合理化、可操作化的管理机制，建立健全项目管理运行体系，编制完整的项目实施方案，明确实施环境、人员组成、质量保证体系、进度安排、风险预防与管控措施、突发事件处置方案，细化各工作环节时间节点，保障项目有序落地。</w:t>
      </w:r>
      <w:r/>
    </w:p>
    <w:p>
      <w:pPr>
        <w:ind w:firstLine="480"/>
        <w:spacing w:line="360" w:lineRule="auto"/>
        <w:rPr>
          <w:rFonts w:ascii="新宋体" w:hAnsi="新宋体" w:eastAsia="新宋体" w:cs="Times New Roman"/>
          <w:sz w:val="24"/>
        </w:rPr>
      </w:pPr>
      <w:r>
        <w:rPr>
          <w:rFonts w:hint="eastAsia" w:ascii="新宋体" w:hAnsi="新宋体" w:eastAsia="新宋体" w:cs="Times New Roman"/>
          <w:sz w:val="24"/>
        </w:rPr>
        <w:t xml:space="preserve">2、技术落地与现场施工标准：设备进场前，中标供应商须提交专业详尽的项目技术方案，包含网络规划、落地实施方案、系统优化方案，同时明确项目实施全过程的节点控制、质量管控及现场管理规范。设备安装、调试期间，必须全力保障原有业务连续性，若出现非计划内业务中断事故，由中标供应商承担全部对应责任。</w:t>
      </w:r>
      <w:r/>
    </w:p>
    <w:p>
      <w:pPr>
        <w:ind w:firstLine="480"/>
        <w:spacing w:line="360" w:lineRule="auto"/>
        <w:rPr>
          <w:rFonts w:ascii="新宋体" w:hAnsi="新宋体" w:eastAsia="新宋体" w:cs="Times New Roman"/>
          <w:sz w:val="24"/>
        </w:rPr>
      </w:pPr>
      <w:r>
        <w:rPr>
          <w:rFonts w:hint="eastAsia" w:ascii="新宋体" w:hAnsi="新宋体" w:eastAsia="新宋体" w:cs="Times New Roman"/>
          <w:sz w:val="24"/>
        </w:rPr>
        <w:t xml:space="preserve">3、数据安全与资料交付标准：项目实施全过程严格恪守数据保密性、安全性、可靠性要求，所有数据操作全程留痕、可追溯，实现规范化管控。同时需严格按照采购人要求，完整交付涵盖AI平台软硬件在内的全套项目技术文档，确保资料齐全、规范、可用。</w:t>
      </w:r>
      <w:r/>
    </w:p>
    <w:p>
      <w:pPr>
        <w:ind w:firstLine="480"/>
        <w:spacing w:line="360" w:lineRule="auto"/>
        <w:rPr>
          <w:rFonts w:ascii="新宋体" w:hAnsi="新宋体" w:eastAsia="新宋体" w:cs="Times New Roman"/>
          <w:sz w:val="24"/>
        </w:rPr>
      </w:pPr>
      <w:r>
        <w:rPr>
          <w:rFonts w:hint="eastAsia" w:ascii="新宋体" w:hAnsi="新宋体" w:eastAsia="新宋体" w:cs="Times New Roman"/>
          <w:sz w:val="24"/>
        </w:rPr>
        <w:t xml:space="preserve">4、入场合规管理标准：中标供应商正式入场开展项目工作前，必须配合采购人完成企业资质、从业人员资质的全面核验工作。若核验过程中发现存在虚假应标等违规情形，采购人有权向相关部门上报，并依法追究中标供应商的相关责任。</w:t>
      </w:r>
      <w:r/>
    </w:p>
    <w:p>
      <w:pPr>
        <w:ind w:firstLine="480"/>
        <w:spacing w:line="360" w:lineRule="auto"/>
        <w:rPr>
          <w:rFonts w:ascii="新宋体" w:hAnsi="新宋体" w:eastAsia="新宋体" w:cs="Times New Roman"/>
          <w:sz w:val="24"/>
        </w:rPr>
      </w:pPr>
      <w:r>
        <w:rPr>
          <w:rFonts w:hint="eastAsia" w:ascii="新宋体" w:hAnsi="新宋体" w:eastAsia="新宋体" w:cs="Times New Roman"/>
          <w:sz w:val="24"/>
        </w:rPr>
        <w:t xml:space="preserve">5、运维巡检服务标准：项目交付后，中标供应商需提供常态化系统运维巡检服务，定期开展远程巡检工作，全面核查系统运行状态、故障报警情况、设备使用状况，主动排查各类软件故障，及时协调、处置系统问题，并定期向采购人汇报系统运维整体情况。</w:t>
      </w:r>
      <w:r/>
    </w:p>
    <w:p>
      <w:pPr>
        <w:ind w:firstLine="480"/>
        <w:spacing w:line="360" w:lineRule="auto"/>
        <w:rPr>
          <w:rFonts w:ascii="新宋体" w:hAnsi="新宋体" w:eastAsia="新宋体" w:cs="Times New Roman"/>
          <w:sz w:val="24"/>
        </w:rPr>
      </w:pPr>
      <w:r>
        <w:rPr>
          <w:rFonts w:hint="eastAsia" w:ascii="新宋体" w:hAnsi="新宋体" w:eastAsia="新宋体" w:cs="Times New Roman"/>
          <w:sz w:val="24"/>
        </w:rPr>
        <w:t xml:space="preserve">6、安全保障服务标准：中标供应商需具备完善的系统平台数据安全管理与保障能力，针对本项目系统平台制定系统性、全方位的数据安全解决方案，提供常态化、专业化的安全保障服务，全面守护项目系统运行及数据安全。</w:t>
      </w:r>
      <w:r/>
    </w:p>
    <w:p>
      <w:pPr>
        <w:ind w:firstLine="480"/>
        <w:spacing w:line="360" w:lineRule="auto"/>
        <w:rPr>
          <w:rFonts w:ascii="新宋体" w:hAnsi="新宋体" w:eastAsia="新宋体" w:cs="宋体"/>
          <w:b/>
          <w:i/>
          <w:iCs/>
          <w:sz w:val="24"/>
          <w:highlight w:val="none"/>
          <w:u w:val="single"/>
        </w:rPr>
      </w:pPr>
      <w:r>
        <w:rPr>
          <w:rFonts w:hint="eastAsia" w:ascii="新宋体" w:hAnsi="新宋体" w:eastAsia="新宋体" w:cs="Times New Roman"/>
          <w:i/>
          <w:iCs/>
          <w:sz w:val="24"/>
          <w:highlight w:val="none"/>
          <w:u w:val="single"/>
        </w:rPr>
        <w:t xml:space="preserve">7、要求投标人提供算力服务器双机超节点的部署服务。</w:t>
      </w:r>
      <w:r/>
    </w:p>
    <w:p>
      <w:pPr>
        <w:pStyle w:val="877"/>
        <w:ind w:firstLine="480"/>
        <w:spacing w:line="360" w:lineRule="auto"/>
        <w:rPr>
          <w:rFonts w:ascii="宋体" w:hAnsi="宋体" w:cs="宋体"/>
          <w:bCs/>
          <w:i/>
          <w:iCs/>
          <w:sz w:val="24"/>
          <w:szCs w:val="28"/>
          <w:u w:val="single"/>
        </w:rPr>
      </w:pPr>
      <w:r>
        <w:rPr>
          <w:rFonts w:hint="eastAsia" w:ascii="宋体" w:hAnsi="宋体" w:cs="宋体"/>
          <w:bCs/>
          <w:i/>
          <w:sz w:val="24"/>
          <w:szCs w:val="32"/>
          <w:u w:val="single"/>
        </w:rPr>
        <w:t xml:space="preserve">8.</w:t>
      </w:r>
      <w:r>
        <w:rPr>
          <w:rFonts w:hint="eastAsia" w:ascii="宋体" w:hAnsi="宋体" w:cs="宋体"/>
          <w:bCs/>
          <w:i/>
          <w:iCs/>
          <w:sz w:val="24"/>
          <w:szCs w:val="32"/>
          <w:u w:val="single"/>
        </w:rPr>
        <w:t xml:space="preserve">测试验证要求:针对采购内容和需求参数，采购人有权要求中标单位无条件提供投标产品，逐一对采购需求参数的各项指标进行验证测试。若测试结果与投标文件中提供的技术偏离表及证明材料不一致，则视为中标单位虚假应标，采购人有权拒绝与中标单位签订合同，并要求中标单位赔偿由此带来的损失，且有权追究中标单位其他相关法律责任。</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360" w:lineRule="auto"/>
        <w:rPr>
          <w:rFonts w:ascii="新宋体" w:hAnsi="新宋体" w:eastAsia="新宋体" w:cs="宋体"/>
          <w:sz w:val="24"/>
          <w:szCs w:val="24"/>
        </w:rPr>
      </w:pPr>
      <w:r>
        <w:rPr>
          <w:rFonts w:ascii="新宋体" w:hAnsi="新宋体" w:eastAsia="新宋体" w:cs="宋体"/>
          <w:sz w:val="24"/>
          <w:szCs w:val="24"/>
        </w:rPr>
        <w:t xml:space="preserve">1</w:t>
      </w:r>
      <w:r>
        <w:rPr>
          <w:rFonts w:hint="eastAsia" w:ascii="新宋体" w:hAnsi="新宋体" w:eastAsia="新宋体" w:cs="宋体"/>
          <w:sz w:val="24"/>
          <w:szCs w:val="24"/>
        </w:rPr>
        <w:t xml:space="preserve">、培训内容及目的：对采购人单位相关使用人员进行全面的技术培训，主要内容侧重于系统的使用及系统的基本维护、常见问题及解决办法等，保证使用人员能独立进行日常维护管理和简易故障处理等工作，以便所使用的软件产品能够正常、安全地运行。 </w:t>
      </w:r>
      <w:r/>
    </w:p>
    <w:p>
      <w:pPr>
        <w:ind w:firstLine="480"/>
        <w:spacing w:line="360" w:lineRule="auto"/>
        <w:rPr>
          <w:rFonts w:ascii="新宋体" w:hAnsi="新宋体" w:eastAsia="新宋体" w:cs="宋体"/>
          <w:sz w:val="24"/>
          <w:szCs w:val="24"/>
        </w:rPr>
      </w:pPr>
      <w:r>
        <w:rPr>
          <w:rFonts w:ascii="新宋体" w:hAnsi="新宋体" w:eastAsia="新宋体" w:cs="宋体"/>
          <w:sz w:val="24"/>
          <w:szCs w:val="24"/>
        </w:rPr>
        <w:t xml:space="preserve">2</w:t>
      </w:r>
      <w:r>
        <w:rPr>
          <w:rFonts w:hint="eastAsia" w:ascii="新宋体" w:hAnsi="新宋体" w:eastAsia="新宋体" w:cs="宋体"/>
          <w:sz w:val="24"/>
          <w:szCs w:val="24"/>
        </w:rPr>
        <w:t xml:space="preserve">、培训对象：为系统管理员和系统使用人员，中标人需提供培训教材，并提供理论与实操相结合的多样化培训方式。采购人负责对培训质量的监控，并有权对培训内容提出改正意见。</w:t>
      </w:r>
      <w:r/>
    </w:p>
    <w:p>
      <w:pPr>
        <w:ind w:firstLine="480"/>
        <w:spacing w:line="360" w:lineRule="auto"/>
        <w:rPr>
          <w:rFonts w:ascii="新宋体" w:hAnsi="新宋体" w:eastAsia="新宋体" w:cs="宋体"/>
          <w:sz w:val="24"/>
          <w:szCs w:val="24"/>
        </w:rPr>
      </w:pPr>
      <w:r>
        <w:rPr>
          <w:rFonts w:ascii="新宋体" w:hAnsi="新宋体" w:eastAsia="新宋体" w:cs="宋体"/>
          <w:sz w:val="24"/>
          <w:szCs w:val="24"/>
        </w:rPr>
        <w:t xml:space="preserve">3</w:t>
      </w:r>
      <w:r>
        <w:rPr>
          <w:rFonts w:hint="eastAsia" w:ascii="新宋体" w:hAnsi="新宋体" w:eastAsia="新宋体" w:cs="宋体"/>
          <w:sz w:val="24"/>
          <w:szCs w:val="24"/>
        </w:rPr>
        <w:t xml:space="preserve">、培训方式：培训方式采用集中培训、现场培训相结合的方式，针对不同层次的人员，开设不同的培训课程和确定培训方式。</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七、履约验收</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1、服务期完成，招标人对中标人提交的产品或服务依据招标文件上的项目需求要求、中标人响应文件及国家有关质量标准进行验收。</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2、中标人交付前应对产品或服务做出全面检查和对验收文件进行整理，并列出清单，作为采购人验收和使用的技术条件依据，检验的结果应随服务一起提交甲方。</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3、招标人对中标人提供的产品或服务在使用前，中标人需负责培训采购人的使用操作人员，并协助甲方一起试用，直到符合技术要求，采购人才做最终验收。</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4、招标人可请系统使用人员或组织业内专家进行项目验收，并出具验收报告。</w:t>
      </w:r>
      <w:r/>
    </w:p>
    <w:p>
      <w:pPr>
        <w:ind w:firstLine="480"/>
        <w:spacing w:line="360" w:lineRule="auto"/>
      </w:pPr>
      <w:r>
        <w:rPr>
          <w:rFonts w:hint="eastAsia" w:ascii="新宋体" w:hAnsi="新宋体" w:eastAsia="新宋体" w:cs="宋体"/>
          <w:sz w:val="24"/>
          <w:szCs w:val="24"/>
        </w:rPr>
        <w:t xml:space="preserve">5、验收时中标人必须在现场，验收完毕后作出验收结果报告；招标文件规定以外的验收费用由招标人及中标人双方协商解决。</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cs="Times New Roman" w:asciiTheme="minorEastAsia" w:hAnsiTheme="minorEastAsia"/>
          <w:sz w:val="24"/>
          <w:szCs w:val="24"/>
        </w:rPr>
      </w:pPr>
      <w:r>
        <w:rPr>
          <w:rFonts w:hint="eastAsia" w:ascii="新宋体" w:hAnsi="新宋体" w:eastAsia="新宋体" w:cs="宋体"/>
          <w:i/>
          <w:iCs/>
          <w:color w:val="000000"/>
          <w:sz w:val="24"/>
          <w:szCs w:val="24"/>
          <w:u w:val="single"/>
        </w:rPr>
        <w:t xml:space="preserve">合同签订后支付合同金额的30%，安装调试验收合格后支付合同金额的70%,每次付款前中标人须提供合法正规发票</w:t>
      </w:r>
      <w:r>
        <w:rPr>
          <w:rFonts w:hint="eastAsia" w:ascii="新宋体" w:hAnsi="新宋体" w:eastAsia="新宋体" w:cs="宋体"/>
          <w:i/>
          <w:iCs/>
          <w:sz w:val="24"/>
          <w:szCs w:val="24"/>
          <w:u w:val="single"/>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sz w:val="24"/>
          <w:highlight w:val="yellow"/>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九、报价要求</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1、报价币种为人民币，项目报价不得超过预算价。</w:t>
      </w:r>
      <w:r/>
    </w:p>
    <w:p>
      <w:pPr>
        <w:ind w:firstLine="480"/>
        <w:spacing w:line="360" w:lineRule="auto"/>
        <w:rPr>
          <w:rFonts w:ascii="黑体" w:hAnsi="黑体" w:eastAsia="黑体"/>
          <w:b/>
          <w:sz w:val="24"/>
        </w:rPr>
      </w:pPr>
      <w:r>
        <w:rPr>
          <w:rFonts w:hint="eastAsia" w:ascii="Calibri" w:hAnsi="Calibri" w:eastAsia="宋体" w:cs="Times New Roman"/>
          <w:sz w:val="24"/>
        </w:rPr>
        <w:t xml:space="preserve">2、报价除标的物的价款外还应包括开发、安装、测试、验收、培训、人工费用、管理、质保、税费、利润、完成合同所需的工作开支，政策性文件规定及合同包含的所有风险、责任和管理等各项全部费用。合同履约期内不因国家提高最低工资标准、保险金比例等政策调整因素而调整合同价。</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rFonts w:ascii="黑体" w:hAnsi="黑体" w:eastAsia="黑体"/>
          <w:b/>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p>
      <w:pPr>
        <w:jc w:val="left"/>
        <w:widowControl/>
        <w:rPr>
          <w:rFonts w:ascii="黑体" w:hAnsi="黑体" w:eastAsia="黑体"/>
          <w:b/>
        </w:rPr>
      </w:pPr>
      <w:r>
        <w:rPr>
          <w:rFonts w:ascii="黑体" w:hAnsi="黑体" w:eastAsia="黑体"/>
          <w:b/>
        </w:rPr>
      </w:r>
      <w:r/>
    </w:p>
    <w:p>
      <w:pPr>
        <w:rPr>
          <w:rFonts w:ascii="黑体" w:hAnsi="黑体" w:eastAsia="黑体"/>
        </w:rPr>
      </w:pPr>
      <w:r/>
      <w:bookmarkStart w:id="11" w:name="_Toc162361614"/>
      <w:r/>
      <w:r/>
    </w:p>
    <w:p>
      <w:pPr>
        <w:pStyle w:val="85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评标结果按评审后得分由高到低顺序排列。得分相同的，按投标报价由低到高顺序排列。得分且投标报价相同的并列。评标委员会按照评审得分由高到低顺序推荐 1 名中标候选人。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采购人合理确认推荐几名中标候选人，防止有供应商中标之后放弃，或者被质疑投诉成立之后，在符合法定条件下没有其他中标候选人。</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rFonts w:hint="eastAsia" w:ascii="新宋体" w:hAnsi="新宋体" w:eastAsia="新宋体"/>
          <w:sz w:val="24"/>
          <w:szCs w:val="24"/>
          <w:highlight w:val="none"/>
        </w:rPr>
        <w:t xml:space="preserve">10分。</w:t>
      </w:r>
      <w:r/>
    </w:p>
    <w:p>
      <w:pPr>
        <w:ind w:firstLine="480"/>
        <w:jc w:val="left"/>
        <w:spacing w:line="500" w:lineRule="exact"/>
        <w:rPr>
          <w:sz w:val="24"/>
          <w:szCs w:val="24"/>
          <w:highlight w:val="none"/>
        </w:rPr>
      </w:pPr>
      <w:r>
        <w:rPr>
          <w:rFonts w:hint="eastAsia"/>
          <w:sz w:val="24"/>
          <w:szCs w:val="24"/>
          <w:highlight w:val="none"/>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2.商务分（60分）</w:t>
      </w:r>
      <w:r/>
    </w:p>
    <w:tbl>
      <w:tblPr>
        <w:tblStyle w:val="855"/>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tcW w:w="1804"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技术</w:t>
            </w:r>
            <w:r>
              <w:rPr>
                <w:rFonts w:hint="eastAsia" w:ascii="宋体" w:hAnsi="宋体"/>
                <w:sz w:val="24"/>
                <w:szCs w:val="24"/>
                <w:highlight w:val="none"/>
              </w:rPr>
              <w:t xml:space="preserve">参数</w:t>
            </w:r>
            <w:r>
              <w:rPr>
                <w:rFonts w:ascii="宋体" w:hAnsi="宋体"/>
                <w:sz w:val="24"/>
                <w:szCs w:val="24"/>
                <w:highlight w:val="none"/>
              </w:rPr>
              <w:t xml:space="preserve">响应</w:t>
            </w:r>
            <w:r/>
          </w:p>
          <w:p>
            <w:pPr>
              <w:jc w:val="center"/>
              <w:spacing w:line="276" w:lineRule="auto"/>
              <w:rPr>
                <w:highlight w:val="none"/>
              </w:rPr>
            </w:pPr>
            <w:r>
              <w:rPr>
                <w:rFonts w:hint="eastAsia" w:ascii="宋体" w:hAnsi="宋体"/>
                <w:sz w:val="24"/>
                <w:szCs w:val="24"/>
                <w:highlight w:val="none"/>
              </w:rPr>
              <w:t xml:space="preserve">（28分）</w:t>
            </w:r>
            <w:r/>
          </w:p>
        </w:tc>
        <w:tc>
          <w:tcPr>
            <w:tcW w:w="6493" w:type="dxa"/>
            <w:vAlign w:val="center"/>
            <w:textDirection w:val="lrTb"/>
            <w:noWrap w:val="false"/>
          </w:tcPr>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技术参数评审基准分28分，标▲部分为重要技术参数，要求提供证明材料的投标文件中每缺少一项证明材料或每有一项负偏离扣4分，本项扣完为止。其它未标▲部分技术参数，每有一项负偏离扣2分，本项扣完为止</w:t>
            </w:r>
            <w:r/>
          </w:p>
          <w:p>
            <w:pPr>
              <w:jc w:val="left"/>
              <w:spacing w:line="276" w:lineRule="auto"/>
              <w:rPr>
                <w:highlight w:val="none"/>
              </w:rPr>
            </w:pPr>
            <w:r>
              <w:rPr>
                <w:rFonts w:hint="eastAsia" w:ascii="新宋体" w:hAnsi="新宋体" w:eastAsia="新宋体" w:cs="宋体"/>
                <w:color w:val="000000"/>
                <w:sz w:val="22"/>
                <w:highlight w:val="none"/>
              </w:rPr>
              <w:t xml:space="preserve">（</w:t>
            </w:r>
            <w:r>
              <w:rPr>
                <w:rFonts w:hint="eastAsia" w:ascii="宋体" w:hAnsi="宋体" w:cs="宋体"/>
                <w:b/>
                <w:bCs/>
                <w:color w:val="000000"/>
                <w:sz w:val="22"/>
                <w:highlight w:val="none"/>
              </w:rPr>
              <w:t xml:space="preserve">注：投标文件中详细填写技术要求响应及偏离表，须逐条响应。要求提供证明材料的未提供证明材料或经评审委员会认定所提供材料与招标文件要求不符的均视为负偏离。投标人可在证明材料中做明显标识及说明，便于评审。）</w:t>
            </w:r>
            <w:r/>
          </w:p>
        </w:tc>
      </w:tr>
      <w:tr>
        <w:trPr>
          <w:jc w:val="center"/>
          <w:trHeight w:val="621"/>
        </w:trPr>
        <w:tc>
          <w:tcPr>
            <w:tcW w:w="180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供应保障</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（5分）</w:t>
            </w:r>
            <w:r/>
          </w:p>
        </w:tc>
        <w:tc>
          <w:tcPr>
            <w:tcW w:w="6493" w:type="dxa"/>
            <w:vAlign w:val="center"/>
            <w:textDirection w:val="lrTb"/>
            <w:noWrap w:val="false"/>
          </w:tcPr>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Cs w:val="21"/>
                <w:highlight w:val="none"/>
              </w:rPr>
              <w:t xml:space="preserve">投标人提供针对本项目的供应保障承诺函并加盖投标人公章：在中标后签订合同前提供本次所投服务器厂商以及AI芯片厂商针对本项目的供应保障承诺函，保障项目货源供应，得5分。</w:t>
            </w:r>
            <w:r/>
          </w:p>
        </w:tc>
      </w:tr>
      <w:tr>
        <w:trPr>
          <w:jc w:val="center"/>
          <w:trHeight w:val="621"/>
        </w:trPr>
        <w:tc>
          <w:tcPr>
            <w:tcW w:w="1804" w:type="dxa"/>
            <w:vAlign w:val="center"/>
            <w:textDirection w:val="lrTb"/>
            <w:noWrap w:val="false"/>
          </w:tcPr>
          <w:p>
            <w:pPr>
              <w:jc w:val="center"/>
              <w:spacing w:line="276" w:lineRule="auto"/>
              <w:rPr>
                <w:highlight w:val="none"/>
              </w:rPr>
            </w:pPr>
            <w:r>
              <w:rPr>
                <w:rFonts w:hint="eastAsia" w:ascii="宋体" w:hAnsi="宋体" w:cs="宋体"/>
                <w:color w:val="000000"/>
                <w:sz w:val="24"/>
                <w:szCs w:val="24"/>
                <w:highlight w:val="none"/>
              </w:rPr>
              <w:t xml:space="preserve">项目实施保障（9分）</w:t>
            </w:r>
            <w:r/>
          </w:p>
        </w:tc>
        <w:tc>
          <w:tcPr>
            <w:tcW w:w="6493" w:type="dxa"/>
            <w:vAlign w:val="center"/>
            <w:textDirection w:val="lrTb"/>
            <w:noWrap w:val="false"/>
          </w:tcPr>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投标人具有质量管理体系认证证书的，得1分；</w:t>
            </w:r>
            <w:r/>
          </w:p>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投标人具有职业健康安全管理体系认证证书的，得2分；</w:t>
            </w:r>
            <w:r/>
          </w:p>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投标人具有信息技术服务管理体系认证证书，得2分；</w:t>
            </w:r>
            <w:r/>
          </w:p>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投标人具有信息安全管理体系认证证书，得2分；</w:t>
            </w:r>
            <w:r/>
          </w:p>
          <w:p>
            <w:pPr>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投标人具有环境管理体系认证证书，得2分；</w:t>
            </w:r>
            <w:r/>
          </w:p>
          <w:p>
            <w:pPr>
              <w:jc w:val="left"/>
              <w:spacing w:line="276" w:lineRule="auto"/>
              <w:rPr>
                <w:highlight w:val="none"/>
              </w:rPr>
            </w:pPr>
            <w:r>
              <w:rPr>
                <w:rFonts w:hint="eastAsia" w:ascii="新宋体" w:hAnsi="新宋体" w:eastAsia="新宋体" w:cs="宋体"/>
                <w:color w:val="000000"/>
                <w:sz w:val="22"/>
                <w:highlight w:val="none"/>
              </w:rPr>
              <w:t xml:space="preserve">投标文件中提供有效期内的相关证书扫描件或电子件并加盖投标人公章，未提供不得分。</w:t>
            </w:r>
            <w:r/>
          </w:p>
        </w:tc>
      </w:tr>
      <w:tr>
        <w:trPr>
          <w:jc w:val="center"/>
          <w:trHeight w:val="621"/>
        </w:trPr>
        <w:tc>
          <w:tcPr>
            <w:tcW w:w="1804" w:type="dxa"/>
            <w:vAlign w:val="center"/>
            <w:textDirection w:val="lrTb"/>
            <w:noWrap w:val="false"/>
          </w:tcPr>
          <w:p>
            <w:pPr>
              <w:jc w:val="center"/>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团队资质</w:t>
            </w:r>
            <w:r/>
          </w:p>
          <w:p>
            <w:pPr>
              <w:jc w:val="center"/>
              <w:spacing w:line="276" w:lineRule="auto"/>
              <w:rPr>
                <w:highlight w:val="none"/>
              </w:rPr>
            </w:pPr>
            <w:r>
              <w:rPr>
                <w:rFonts w:hint="eastAsia" w:ascii="宋体" w:hAnsi="宋体" w:cs="宋体"/>
                <w:color w:val="000000"/>
                <w:sz w:val="24"/>
                <w:szCs w:val="24"/>
                <w:highlight w:val="none"/>
              </w:rPr>
              <w:t xml:space="preserve">（10分）</w:t>
            </w:r>
            <w:r/>
          </w:p>
        </w:tc>
        <w:tc>
          <w:tcPr>
            <w:tcW w:w="6493" w:type="dxa"/>
            <w:vAlign w:val="center"/>
            <w:textDirection w:val="lrTb"/>
            <w:noWrap w:val="false"/>
          </w:tcPr>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1.项目经理同时具备高级网络规划设计师，</w:t>
            </w:r>
            <w:r>
              <w:rPr>
                <w:rFonts w:hint="eastAsia" w:ascii="新宋体" w:hAnsi="新宋体" w:eastAsia="新宋体" w:cs="宋体"/>
                <w:color w:val="ff0000"/>
                <w:sz w:val="22"/>
                <w:highlight w:val="none"/>
              </w:rPr>
              <w:t xml:space="preserve">PMP证</w:t>
            </w:r>
            <w:r>
              <w:rPr>
                <w:rFonts w:hint="eastAsia" w:ascii="新宋体" w:hAnsi="新宋体" w:eastAsia="新宋体" w:cs="宋体"/>
                <w:color w:val="000000"/>
                <w:sz w:val="22"/>
                <w:highlight w:val="none"/>
              </w:rPr>
              <w:t xml:space="preserve">书或CSPM证书的，得4分，仅具备其中一个证书的，得2分，本项最高得4分；</w:t>
            </w:r>
            <w:r/>
          </w:p>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2、投标人针对本项目，拟投入的项目团队成员（不含项目经理）具有系统集成项目管理工程师中级及以上证书、信息系统项目管理师证书、信息安全工程师中级及以上证书得，每有一个得2分，本项最高得6分。 （一人多证不重复计分）</w:t>
            </w:r>
            <w:r/>
          </w:p>
          <w:p>
            <w:pPr>
              <w:jc w:val="left"/>
              <w:spacing w:line="276" w:lineRule="auto"/>
              <w:rPr>
                <w:highlight w:val="none"/>
              </w:rPr>
            </w:pPr>
            <w:r>
              <w:rPr>
                <w:rFonts w:hint="eastAsia" w:ascii="新宋体" w:hAnsi="新宋体" w:eastAsia="新宋体" w:cs="宋体"/>
                <w:color w:val="000000"/>
                <w:sz w:val="22"/>
                <w:highlight w:val="none"/>
              </w:rPr>
              <w:t xml:space="preserve">投标文件中提供项目成员名单，附有效相关证书的扫描件或电子件，同时提供自2026年7月1日以来任意一个月由投标人为持证人员缴纳社保证明材料扫描件，并加盖投标人公章，缺项或未提供不得分。</w:t>
            </w:r>
            <w:r/>
          </w:p>
        </w:tc>
      </w:tr>
      <w:tr>
        <w:trPr>
          <w:jc w:val="center"/>
          <w:trHeight w:val="621"/>
        </w:trPr>
        <w:tc>
          <w:tcPr>
            <w:tcW w:w="1804" w:type="dxa"/>
            <w:vAlign w:val="center"/>
            <w:textDirection w:val="lrTb"/>
            <w:noWrap w:val="false"/>
          </w:tcPr>
          <w:p>
            <w:pPr>
              <w:jc w:val="center"/>
              <w:spacing w:line="440" w:lineRule="atLeast"/>
              <w:rPr>
                <w:rFonts w:ascii="宋体" w:hAnsi="宋体" w:cs="宋体"/>
                <w:sz w:val="24"/>
                <w:szCs w:val="24"/>
                <w:highlight w:val="none"/>
              </w:rPr>
            </w:pPr>
            <w:r>
              <w:rPr>
                <w:rFonts w:hint="eastAsia" w:ascii="宋体" w:hAnsi="宋体" w:cs="宋体"/>
                <w:sz w:val="24"/>
                <w:szCs w:val="24"/>
                <w:highlight w:val="none"/>
              </w:rPr>
              <w:t xml:space="preserve">业绩</w:t>
            </w:r>
            <w:r/>
          </w:p>
          <w:p>
            <w:pPr>
              <w:jc w:val="center"/>
              <w:spacing w:line="276" w:lineRule="auto"/>
              <w:rPr>
                <w:highlight w:val="none"/>
              </w:rPr>
            </w:pPr>
            <w:r>
              <w:rPr>
                <w:rFonts w:hint="eastAsia" w:ascii="宋体" w:hAnsi="宋体" w:cs="宋体"/>
                <w:sz w:val="24"/>
                <w:szCs w:val="24"/>
                <w:highlight w:val="none"/>
              </w:rPr>
              <w:t xml:space="preserve">（8分）</w:t>
            </w:r>
            <w:r/>
          </w:p>
        </w:tc>
        <w:tc>
          <w:tcPr>
            <w:tcW w:w="6493" w:type="dxa"/>
            <w:vAlign w:val="center"/>
            <w:textDirection w:val="lrTb"/>
            <w:noWrap w:val="false"/>
          </w:tcPr>
          <w:p>
            <w:pPr>
              <w:jc w:val="left"/>
              <w:widowControl/>
              <w:rPr>
                <w:rFonts w:ascii="新宋体" w:hAnsi="新宋体" w:eastAsia="新宋体" w:cs="宋体"/>
                <w:color w:val="000000"/>
                <w:sz w:val="22"/>
                <w:highlight w:val="none"/>
              </w:rPr>
            </w:pPr>
            <w:r>
              <w:rPr>
                <w:rFonts w:hint="eastAsia" w:ascii="新宋体" w:hAnsi="新宋体" w:eastAsia="新宋体" w:cs="宋体"/>
                <w:color w:val="000000"/>
                <w:sz w:val="22"/>
                <w:highlight w:val="none"/>
              </w:rPr>
              <w:t xml:space="preserve">投标人自2023年1月1日（含）以来，以合同签订时间为准，承担过类似算力租赁业绩，每提供一个业绩得4分；承担过算力销售业绩，每提供一个业绩得2分；本项最高8分。</w:t>
            </w:r>
            <w:r/>
          </w:p>
          <w:p>
            <w:pPr>
              <w:spacing w:line="360" w:lineRule="auto"/>
              <w:rPr>
                <w:rFonts w:asciiTheme="minorEastAsia" w:hAnsiTheme="minorEastAsia"/>
                <w:b/>
                <w:sz w:val="24"/>
                <w:highlight w:val="none"/>
              </w:rPr>
            </w:pPr>
            <w:r>
              <w:rPr>
                <w:rFonts w:hint="eastAsia" w:ascii="新宋体" w:hAnsi="新宋体" w:eastAsia="新宋体" w:cs="宋体"/>
                <w:color w:val="000000"/>
                <w:sz w:val="22"/>
                <w:highlight w:val="none"/>
              </w:rPr>
              <w:t xml:space="preserve">注：投标文件中提供合同复印件、扫描件或电子件，合同必须能清晰反映需要明示的内容等，否则不予认可。</w:t>
            </w:r>
            <w:r/>
          </w:p>
        </w:tc>
      </w:tr>
    </w:tbl>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3.技术分（30分）</w:t>
      </w:r>
      <w:r/>
    </w:p>
    <w:tbl>
      <w:tblPr>
        <w:tblStyle w:val="855"/>
        <w:tblW w:w="8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572"/>
      </w:tblGrid>
      <w:tr>
        <w:trPr>
          <w:jc w:val="center"/>
          <w:trHeight w:val="621"/>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ind w:firstLine="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新宋体" w:hAnsi="新宋体" w:eastAsia="新宋体" w:cs="Times New Roman"/>
                <w:b/>
                <w:color w:val="000000"/>
                <w:sz w:val="24"/>
                <w:szCs w:val="24"/>
              </w:rPr>
            </w:pPr>
            <w:r>
              <w:rPr>
                <w:rFonts w:hint="eastAsia" w:ascii="新宋体" w:hAnsi="新宋体" w:eastAsia="新宋体" w:cs="Times New Roman"/>
                <w:b/>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576" w:type="dxa"/>
            <w:vAlign w:val="center"/>
            <w:textDirection w:val="lrTb"/>
            <w:noWrap w:val="false"/>
          </w:tcPr>
          <w:p>
            <w:pPr>
              <w:ind w:firstLine="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新宋体" w:hAnsi="新宋体" w:eastAsia="新宋体" w:cs="Times New Roman"/>
                <w:b/>
                <w:color w:val="000000"/>
                <w:sz w:val="24"/>
                <w:szCs w:val="24"/>
              </w:rPr>
            </w:pPr>
            <w:r>
              <w:rPr>
                <w:rFonts w:hint="eastAsia" w:ascii="新宋体" w:hAnsi="新宋体" w:eastAsia="新宋体" w:cs="Times New Roman"/>
                <w:b/>
                <w:color w:val="000000"/>
                <w:sz w:val="24"/>
                <w:szCs w:val="24"/>
              </w:rPr>
              <w:t xml:space="preserve">评审标准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技术设计方案</w:t>
            </w:r>
            <w:r/>
          </w:p>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W w:w="6576" w:type="dxa"/>
            <w:vAlign w:val="center"/>
            <w:textDirection w:val="lrTb"/>
            <w:noWrap w:val="false"/>
          </w:tcPr>
          <w:p>
            <w:pPr>
              <w:ind w:firstLine="30"/>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根据投标人提供的技术设计方案，从总体设计、建设方案、详细阐述系统的体系架构、功能模块等，以及对功能设计的建议，方案是否科学合理、安全严密、具有一定的前瞻性，是否有独到的优势综合打分：</w:t>
            </w:r>
            <w:r/>
          </w:p>
          <w:p>
            <w:pPr>
              <w:numPr>
                <w:ilvl w:val="0"/>
                <w:numId w:val="1"/>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整体方案科学合理、落地性强。总体设计、建设方案完全适配项目需求；系统架构完整规范，核心功能无缺失，全面覆盖项目算力部署、调度、管理、运维、安全等全部需求；方案安全严密、具备前瞻性，拥有差异化优势，得6分；</w:t>
            </w:r>
            <w:r/>
          </w:p>
          <w:p>
            <w:pPr>
              <w:numPr>
                <w:ilvl w:val="0"/>
                <w:numId w:val="1"/>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整体方案合规可行、满足核心需求。建设方案合理，系统架构完整；仅次要非核心功能存在轻微欠缺，不影响项目核心业务运行与整体实施；方案安全、前瞻设计基本到位，无实质性缺陷，得5分；</w:t>
            </w:r>
            <w:r/>
          </w:p>
          <w:p>
            <w:pPr>
              <w:numPr>
                <w:ilvl w:val="0"/>
                <w:numId w:val="1"/>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方案整体完整性一般。建设方案合理性普通，系统架构基本可用；存在部分核心功能缺失，对业务适配性有一定影响；安全及前瞻性设计有所欠缺，整体质量一般，得3分；</w:t>
            </w:r>
            <w:r/>
          </w:p>
          <w:p>
            <w:pPr>
              <w:numPr>
                <w:ilvl w:val="0"/>
                <w:numId w:val="1"/>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方案整体质量差、落地性弱。建设方案不合理，系统架构不完善；关键核心功能缺失较多，无法支撑项目核心业务；安全体系不完善、无前瞻性，无竞争优势，得1分。</w:t>
            </w:r>
            <w:r/>
          </w:p>
          <w:p>
            <w:pPr>
              <w:numPr>
                <w:ilvl w:val="0"/>
                <w:numId w:val="1"/>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未提供方案的不得分。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项目实施方案</w:t>
            </w:r>
            <w:r/>
          </w:p>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W w:w="6576" w:type="dxa"/>
            <w:vAlign w:val="center"/>
            <w:textDirection w:val="lrTb"/>
            <w:noWrap w:val="false"/>
          </w:tcPr>
          <w:p>
            <w:pPr>
              <w:ind w:firstLine="30"/>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投标人提供项目实施实施方案，内容包含但不限于项目组织规划、项目实施进度安排、AI应用对接保证措施等。</w:t>
            </w:r>
            <w:r/>
          </w:p>
          <w:p>
            <w:pPr>
              <w:numPr>
                <w:ilvl w:val="0"/>
                <w:numId w:val="2"/>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项目组织架构完整清晰、岗位职责明确；实施进度规划科学合理、节点完整可落地；AI应用对接保障措施齐全、针对性强，可全面保障项目顺利实施，得6分；</w:t>
            </w:r>
            <w:r/>
          </w:p>
          <w:p>
            <w:pPr>
              <w:numPr>
                <w:ilvl w:val="0"/>
                <w:numId w:val="2"/>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项目组织架构基本清晰、主要岗位齐全；实施进度规划合理、关键节点完备；AI应用对接保障措施较为完善，可满足项目常规实施要求，仅存在少量非关键性瑕疵，得5分；</w:t>
            </w:r>
            <w:r/>
          </w:p>
          <w:p>
            <w:pPr>
              <w:numPr>
                <w:ilvl w:val="0"/>
                <w:numId w:val="2"/>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项目组织架构完整性一般，岗位划分不够细致；实施进度规划较为笼统，节点清晰度不足；AI应用对接保障措施内容单薄，仅能满足基础实施需求，整体方案亮点不足、完善度一般，得3分。</w:t>
            </w:r>
            <w:r/>
          </w:p>
          <w:p>
            <w:pPr>
              <w:numPr>
                <w:ilvl w:val="0"/>
                <w:numId w:val="2"/>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项目组织架构模糊、权责不清；实施进度规划不合理、关键节点缺失；AI应用对接保障措施不完善，可落地性差，无法有效保障项目实施，得1分。</w:t>
            </w:r>
            <w:r/>
          </w:p>
          <w:p>
            <w:pPr>
              <w:numPr>
                <w:ilvl w:val="0"/>
                <w:numId w:val="2"/>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未提供方案的不得分。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应急方案</w:t>
            </w:r>
            <w:r/>
          </w:p>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W w:w="6576" w:type="dxa"/>
            <w:vAlign w:val="center"/>
            <w:textDirection w:val="lrTb"/>
            <w:noWrap w:val="false"/>
          </w:tcPr>
          <w:p>
            <w:pPr>
              <w:ind w:firstLine="30"/>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投标文件提供应急方案，包含但不限于应急响应保障措施、应急响应流程及应急处理预案等内容。</w:t>
            </w:r>
            <w:r/>
          </w:p>
          <w:p>
            <w:pPr>
              <w:numPr>
                <w:ilvl w:val="0"/>
                <w:numId w:val="3"/>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应急保障措施全面完善，应急流程规范清晰、逻辑严谨，应急预案贴合项目实际、可操作性强，可全面覆盖各类突发场景，应急保障能力充足，得6分；</w:t>
            </w:r>
            <w:r/>
          </w:p>
          <w:p>
            <w:pPr>
              <w:numPr>
                <w:ilvl w:val="0"/>
                <w:numId w:val="3"/>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应急保障措施较为齐全，应急流程合理通顺，应急预案具备较好可行性，仅存在少量非核心内容细化不足，不影响整体应急处置效果，得5分；</w:t>
            </w:r>
            <w:r/>
          </w:p>
          <w:p>
            <w:pPr>
              <w:numPr>
                <w:ilvl w:val="0"/>
                <w:numId w:val="3"/>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应急保障措施完整性一般，应急流程框架基本可行但细节欠缺，应急预案针对性不足，仅能满足基础、常规应急需求，的得3分；</w:t>
            </w:r>
            <w:r/>
          </w:p>
          <w:p>
            <w:pPr>
              <w:numPr>
                <w:ilvl w:val="0"/>
                <w:numId w:val="3"/>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应急保障措施缺失较多、有效性差，应急流程不合理、逻辑混乱，应急预案脱离项目实际、落地性弱，无法有效应对突发情况，得1分。</w:t>
            </w:r>
            <w:r/>
          </w:p>
          <w:p>
            <w:pPr>
              <w:numPr>
                <w:ilvl w:val="0"/>
                <w:numId w:val="3"/>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未提供方案的不得分。</w:t>
            </w:r>
            <w:r/>
          </w:p>
        </w:tc>
      </w:tr>
      <w:tr>
        <w:trPr>
          <w:jc w:val="center"/>
          <w:trHeight w:val="671"/>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ind w:firstLine="30"/>
              <w:jc w:val="center"/>
              <w:spacing w:line="276" w:lineRule="auto"/>
              <w:rPr>
                <w:rFonts w:ascii="新宋体" w:hAnsi="新宋体" w:eastAsia="新宋体" w:cs="Times New Roman"/>
              </w:rPr>
            </w:pPr>
            <w:r>
              <w:rPr>
                <w:rFonts w:hint="eastAsia" w:ascii="新宋体" w:hAnsi="新宋体" w:eastAsia="新宋体" w:cs="宋体"/>
                <w:color w:val="000000"/>
                <w:sz w:val="22"/>
              </w:rPr>
              <w:t xml:space="preserve">售后服务方案</w:t>
            </w:r>
            <w:r>
              <w:rPr>
                <w:rFonts w:hint="eastAsia" w:ascii="新宋体" w:hAnsi="新宋体" w:eastAsia="新宋体" w:cs="宋体"/>
                <w:color w:val="000000"/>
                <w:sz w:val="22"/>
              </w:rPr>
              <w:br/>
            </w:r>
            <w:r>
              <w:rPr>
                <w:rFonts w:hint="eastAsia" w:ascii="新宋体" w:hAnsi="新宋体" w:eastAsia="新宋体" w:cs="宋体"/>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W w:w="6576" w:type="dxa"/>
            <w:vAlign w:val="center"/>
            <w:textDirection w:val="lrTb"/>
            <w:noWrap w:val="false"/>
          </w:tcPr>
          <w:p>
            <w:pPr>
              <w:ind w:firstLine="30"/>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投标文件提供售后服务方案，方案包含但不限于服务流程机制、服务内容、售后人员安排等内容：</w:t>
            </w:r>
            <w:r/>
          </w:p>
          <w:p>
            <w:pPr>
              <w:numPr>
                <w:ilvl w:val="0"/>
                <w:numId w:val="4"/>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售后服务方案内容详实完整，服务流程机制规范清晰、落地可行性强，服务内容全面覆盖且优于招标需求，售后人员配置充足、分工明确，安排科学合理，可充分保障项目售后运维服务质量，得6分；</w:t>
            </w:r>
            <w:r/>
          </w:p>
          <w:p>
            <w:pPr>
              <w:numPr>
                <w:ilvl w:val="0"/>
                <w:numId w:val="4"/>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售后服务方案内容较为详实，服务流程机制合理可行，服务内容完全满足招标全部需求，售后人员安排规范合理，仅存在少量非核心细节有待完善，不影响整体售后服务开展，得5分；</w:t>
            </w:r>
            <w:r/>
          </w:p>
          <w:p>
            <w:pPr>
              <w:numPr>
                <w:ilvl w:val="0"/>
                <w:numId w:val="4"/>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售后服务方案内容较为简略，服务流程机制基本通顺、可行性一般，仅基本满足招标基础需求，售后人员安排合理性一般，方案无明显亮点，完善度不足，得3分；</w:t>
            </w:r>
            <w:r/>
          </w:p>
          <w:p>
            <w:pPr>
              <w:numPr>
                <w:ilvl w:val="0"/>
                <w:numId w:val="4"/>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售后服务方案内容缺失严重，服务流程机制不完善、可行性差，服务内容与招标需求偏差较大，售后人员安排不合理，无法有效支撑项目售后服务工作，得1分；</w:t>
            </w:r>
            <w:r/>
          </w:p>
          <w:p>
            <w:pPr>
              <w:numPr>
                <w:ilvl w:val="0"/>
                <w:numId w:val="4"/>
              </w:numPr>
              <w:jc w:val="left"/>
              <w:widowControl/>
              <w:rPr>
                <w:rFonts w:ascii="新宋体" w:hAnsi="新宋体" w:eastAsia="新宋体" w:cs="宋体"/>
                <w:color w:val="000000"/>
                <w:sz w:val="22"/>
              </w:rPr>
            </w:pPr>
            <w:r>
              <w:rPr>
                <w:rFonts w:hint="eastAsia" w:ascii="新宋体" w:hAnsi="新宋体" w:eastAsia="新宋体" w:cs="宋体"/>
                <w:color w:val="000000"/>
                <w:sz w:val="22"/>
              </w:rPr>
              <w:t xml:space="preserve">未提供方案的不得分。</w:t>
            </w:r>
            <w:r/>
          </w:p>
        </w:tc>
      </w:tr>
      <w:tr>
        <w:trPr>
          <w:jc w:val="center"/>
          <w:trHeight w:val="671"/>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培训方案</w:t>
            </w:r>
            <w:r/>
          </w:p>
          <w:p>
            <w:pPr>
              <w:ind w:firstLine="30"/>
              <w:jc w:val="center"/>
              <w:spacing w:line="276" w:lineRule="auto"/>
              <w:rPr>
                <w:rFonts w:ascii="新宋体" w:hAnsi="新宋体" w:eastAsia="新宋体" w:cs="宋体"/>
                <w:color w:val="000000"/>
                <w:sz w:val="22"/>
              </w:rPr>
            </w:pPr>
            <w:r>
              <w:rPr>
                <w:rFonts w:hint="eastAsia" w:ascii="新宋体" w:hAnsi="新宋体" w:eastAsia="新宋体" w:cs="宋体"/>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W w:w="6576" w:type="dxa"/>
            <w:vAlign w:val="center"/>
            <w:textDirection w:val="lrTb"/>
            <w:noWrap w:val="false"/>
          </w:tcPr>
          <w:p>
            <w:pPr>
              <w:spacing w:line="440" w:lineRule="exact"/>
              <w:rPr>
                <w:rFonts w:ascii="新宋体" w:hAnsi="新宋体" w:eastAsia="新宋体" w:cs="等线"/>
                <w:sz w:val="22"/>
                <w:szCs w:val="20"/>
              </w:rPr>
            </w:pPr>
            <w:r>
              <w:rPr>
                <w:rFonts w:hint="eastAsia" w:ascii="新宋体" w:hAnsi="新宋体" w:eastAsia="新宋体" w:cs="宋体"/>
                <w:sz w:val="22"/>
                <w:szCs w:val="20"/>
              </w:rPr>
              <w:t xml:space="preserve">投标人结合项目需求提供培训方案，内容包括但不限于培训计划、培训内容、培训对象等</w:t>
            </w:r>
            <w:r>
              <w:rPr>
                <w:rFonts w:hint="eastAsia" w:ascii="新宋体" w:hAnsi="新宋体" w:eastAsia="新宋体" w:cs="等线"/>
                <w:sz w:val="22"/>
                <w:szCs w:val="20"/>
              </w:rPr>
              <w:t xml:space="preserve">。</w:t>
            </w:r>
            <w:r/>
          </w:p>
          <w:p>
            <w:pPr>
              <w:numPr>
                <w:ilvl w:val="0"/>
                <w:numId w:val="5"/>
              </w:numPr>
              <w:spacing w:line="440" w:lineRule="exact"/>
              <w:rPr>
                <w:rFonts w:ascii="新宋体" w:hAnsi="新宋体" w:eastAsia="新宋体" w:cs="宋体"/>
                <w:sz w:val="22"/>
                <w:szCs w:val="20"/>
              </w:rPr>
            </w:pPr>
            <w:r>
              <w:rPr>
                <w:rFonts w:hint="eastAsia" w:ascii="新宋体" w:hAnsi="新宋体" w:eastAsia="新宋体" w:cs="宋体"/>
                <w:sz w:val="22"/>
                <w:szCs w:val="20"/>
              </w:rPr>
              <w:t xml:space="preserve">内容丰富，科学合理，培训形式多样，具有可操作性的，</w:t>
            </w:r>
            <w:r>
              <w:rPr>
                <w:rFonts w:hint="eastAsia" w:ascii="新宋体" w:hAnsi="新宋体" w:eastAsia="新宋体" w:cs="宋体"/>
                <w:b/>
                <w:sz w:val="22"/>
                <w:szCs w:val="20"/>
              </w:rPr>
              <w:t xml:space="preserve">得6分；</w:t>
            </w:r>
            <w:r/>
          </w:p>
          <w:p>
            <w:pPr>
              <w:numPr>
                <w:ilvl w:val="0"/>
                <w:numId w:val="5"/>
              </w:numPr>
              <w:spacing w:line="440" w:lineRule="exact"/>
              <w:rPr>
                <w:rFonts w:ascii="新宋体" w:hAnsi="新宋体" w:eastAsia="新宋体" w:cs="宋体"/>
                <w:sz w:val="22"/>
                <w:szCs w:val="20"/>
              </w:rPr>
            </w:pPr>
            <w:r>
              <w:rPr>
                <w:rFonts w:hint="eastAsia" w:ascii="新宋体" w:hAnsi="新宋体" w:eastAsia="新宋体" w:cs="宋体"/>
                <w:sz w:val="22"/>
                <w:szCs w:val="20"/>
              </w:rPr>
              <w:t xml:space="preserve">内容较丰富，较合理，培训形式较多样，可操作性较强的，</w:t>
            </w:r>
            <w:r>
              <w:rPr>
                <w:rFonts w:hint="eastAsia" w:ascii="新宋体" w:hAnsi="新宋体" w:eastAsia="新宋体" w:cs="宋体"/>
                <w:b/>
                <w:sz w:val="22"/>
                <w:szCs w:val="20"/>
              </w:rPr>
              <w:t xml:space="preserve">得5分；</w:t>
            </w:r>
            <w:r/>
          </w:p>
          <w:p>
            <w:pPr>
              <w:numPr>
                <w:ilvl w:val="0"/>
                <w:numId w:val="5"/>
              </w:numPr>
              <w:spacing w:line="440" w:lineRule="exact"/>
              <w:rPr>
                <w:rFonts w:ascii="新宋体" w:hAnsi="新宋体" w:eastAsia="新宋体" w:cs="宋体"/>
                <w:b/>
                <w:sz w:val="22"/>
                <w:szCs w:val="20"/>
              </w:rPr>
            </w:pPr>
            <w:r>
              <w:rPr>
                <w:rFonts w:hint="eastAsia" w:ascii="新宋体" w:hAnsi="新宋体" w:eastAsia="新宋体" w:cs="宋体"/>
                <w:sz w:val="22"/>
                <w:szCs w:val="20"/>
              </w:rPr>
              <w:t xml:space="preserve">内容简单，合理性一般，形式单一，可操作性一般的</w:t>
            </w:r>
            <w:r>
              <w:rPr>
                <w:rFonts w:hint="eastAsia" w:ascii="新宋体" w:hAnsi="新宋体" w:eastAsia="新宋体" w:cs="宋体"/>
                <w:b/>
                <w:sz w:val="22"/>
                <w:szCs w:val="20"/>
              </w:rPr>
              <w:t xml:space="preserve">得3，分；</w:t>
            </w:r>
            <w:r/>
          </w:p>
          <w:p>
            <w:pPr>
              <w:numPr>
                <w:ilvl w:val="0"/>
                <w:numId w:val="5"/>
              </w:numPr>
              <w:spacing w:line="440" w:lineRule="exact"/>
              <w:rPr>
                <w:rFonts w:ascii="新宋体" w:hAnsi="新宋体" w:eastAsia="新宋体" w:cs="宋体"/>
                <w:b/>
                <w:sz w:val="22"/>
                <w:szCs w:val="20"/>
              </w:rPr>
            </w:pPr>
            <w:r>
              <w:rPr>
                <w:rFonts w:hint="eastAsia" w:ascii="新宋体" w:hAnsi="新宋体" w:eastAsia="新宋体" w:cs="宋体"/>
                <w:bCs/>
                <w:sz w:val="22"/>
                <w:szCs w:val="20"/>
              </w:rPr>
              <w:t xml:space="preserve">内容存在偏差，培训安排不合理，形式安排不合理，可操作性不合理的，</w:t>
            </w:r>
            <w:r>
              <w:rPr>
                <w:rFonts w:hint="eastAsia" w:ascii="新宋体" w:hAnsi="新宋体" w:eastAsia="新宋体" w:cs="宋体"/>
                <w:b/>
                <w:sz w:val="22"/>
                <w:szCs w:val="20"/>
              </w:rPr>
              <w:t xml:space="preserve">得1分；</w:t>
            </w:r>
            <w:r/>
          </w:p>
          <w:p>
            <w:pPr>
              <w:numPr>
                <w:ilvl w:val="0"/>
                <w:numId w:val="5"/>
              </w:numPr>
              <w:jc w:val="left"/>
              <w:widowControl/>
              <w:rPr>
                <w:rFonts w:ascii="新宋体" w:hAnsi="新宋体" w:eastAsia="新宋体" w:cs="宋体"/>
                <w:color w:val="000000"/>
                <w:sz w:val="22"/>
                <w:szCs w:val="20"/>
              </w:rPr>
            </w:pPr>
            <w:r>
              <w:rPr>
                <w:rFonts w:hint="eastAsia" w:ascii="新宋体" w:hAnsi="新宋体" w:eastAsia="新宋体" w:cs="宋体"/>
                <w:b/>
                <w:sz w:val="22"/>
                <w:szCs w:val="20"/>
              </w:rPr>
              <w:t xml:space="preserve">该项未见阐述不得分。</w:t>
            </w:r>
            <w:r/>
          </w:p>
        </w:tc>
      </w:tr>
    </w:tbl>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1.本项目评标标准中的技术分（X分）采用暗标方式进行评审。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sz w:val="24"/>
          <w:szCs w:val="24"/>
        </w:rPr>
      </w:pPr>
      <w:r>
        <w:rPr>
          <w:rFonts w:hint="eastAsia" w:ascii="宋体" w:hAnsi="宋体" w:cs="Calibri"/>
          <w:b/>
          <w:color w:val="000000"/>
          <w:sz w:val="24"/>
          <w:szCs w:val="24"/>
        </w:rPr>
        <w:t xml:space="preserve">2.3供应商需按照上述要求编制方案，未按要求编制的本项不得分。</w:t>
      </w:r>
      <w:r/>
    </w:p>
    <w:p>
      <w:pPr>
        <w:jc w:val="left"/>
        <w:widowControl/>
        <w:rPr>
          <w:sz w:val="24"/>
          <w:szCs w:val="24"/>
        </w:rPr>
      </w:pPr>
      <w:r>
        <w:rPr>
          <w:sz w:val="24"/>
          <w:szCs w:val="24"/>
        </w:rPr>
        <w:br w:type="page" w:clear="all"/>
      </w:r>
      <w:r/>
    </w:p>
    <w:p>
      <w:pPr>
        <w:pStyle w:val="851"/>
        <w:jc w:val="center"/>
        <w:spacing w:before="156" w:after="156" w:line="360" w:lineRule="auto"/>
        <w:rPr>
          <w:rFonts w:ascii="黑体" w:hAnsi="黑体" w:eastAsia="黑体"/>
          <w:b w:val="0"/>
        </w:rPr>
      </w:pPr>
      <w:r/>
      <w:bookmarkStart w:id="12" w:name="_Toc162361615"/>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单位：元</w:t>
      </w:r>
      <w:r/>
    </w:p>
    <w:tbl>
      <w:tblPr>
        <w:tblStyle w:val="85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十五、技术要求响应及偏离表（分包号：**）（如有请提供）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3" w:name="_Hlt26955054"/>
      <w:r/>
      <w:bookmarkEnd w:id="13"/>
      <w:r>
        <w:rPr>
          <w:rFonts w:hint="eastAsia" w:ascii="Arial" w:hAnsi="Arial" w:eastAsia="宋体" w:cs="Arial"/>
          <w:b/>
          <w:iCs/>
          <w:sz w:val="36"/>
        </w:rPr>
        <w:t xml:space="preserve">十六、商务要求响应</w:t>
      </w:r>
      <w:r>
        <w:rPr>
          <w:rFonts w:hint="eastAsia" w:ascii="Arial" w:hAnsi="Arial" w:eastAsia="宋体" w:cs="Arial"/>
          <w:b/>
          <w:iCs/>
          <w:sz w:val="36"/>
          <w:highlight w:val="none"/>
        </w:rPr>
        <w:t xml:space="preserve">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4" w:name="_Hlt26782999"/>
            <w:r/>
            <w:bookmarkEnd w:id="14"/>
            <w:r/>
            <w:bookmarkStart w:id="15" w:name="_Hlt26671372"/>
            <w:r/>
            <w:bookmarkEnd w:id="15"/>
            <w:r/>
            <w:bookmarkStart w:id="16" w:name="_Hlt26955056"/>
            <w:r/>
            <w:bookmarkEnd w:id="16"/>
            <w:r/>
            <w:bookmarkStart w:id="17" w:name="_Hlt26671343"/>
            <w:r/>
            <w:bookmarkEnd w:id="17"/>
            <w:r/>
            <w:bookmarkStart w:id="18" w:name="_Hlt24879081"/>
            <w:r/>
            <w:bookmarkEnd w:id="18"/>
            <w:r/>
            <w:bookmarkStart w:id="19" w:name="_Hlt26955064"/>
            <w:r/>
            <w:bookmarkEnd w:id="19"/>
            <w:r/>
            <w:bookmarkStart w:id="20" w:name="_Hlt26609391"/>
            <w:r/>
            <w:bookmarkEnd w:id="20"/>
            <w:r/>
            <w:bookmarkStart w:id="21" w:name="_Hlt26580838"/>
            <w:r/>
            <w:bookmarkEnd w:id="21"/>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格式2__法定代表人授权书"/>
      <w:r/>
      <w:bookmarkEnd w:id="22"/>
      <w:r/>
      <w:bookmarkStart w:id="23" w:name="_Hlt26955066"/>
      <w:r/>
      <w:bookmarkEnd w:id="23"/>
      <w:r/>
      <w:bookmarkStart w:id="24" w:name="_Hlt26671374"/>
      <w:r/>
      <w:bookmarkEnd w:id="24"/>
      <w:r/>
      <w:bookmarkStart w:id="25" w:name="_Hlt26609389"/>
      <w:r/>
      <w:bookmarkEnd w:id="25"/>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w:t>
      </w:r>
      <w:r>
        <w:rPr>
          <w:rFonts w:hint="eastAsia" w:ascii="Arial" w:hAnsi="Arial" w:eastAsia="宋体" w:cs="Arial"/>
          <w:b/>
          <w:iCs/>
          <w:sz w:val="36"/>
          <w:highlight w:val="none"/>
        </w:rPr>
        <w:t xml:space="preserve">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2427"/>
        <w:gridCol w:w="3399"/>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w:t>
      </w:r>
      <w:bookmarkStart w:id="26" w:name="_GoBack"/>
      <w:r/>
      <w:bookmarkEnd w:id="26"/>
      <w:r>
        <w:rPr>
          <w:rFonts w:hint="eastAsia" w:ascii="宋体" w:hAnsi="宋体" w:eastAsia="宋体" w:cs="Times New Roman"/>
          <w:color w:val="000000"/>
          <w:sz w:val="24"/>
          <w:szCs w:val="24"/>
        </w:rPr>
        <w:t xml:space="preserve">“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8"/>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新宋体">
    <w:panose1 w:val="02010609030101010101"/>
  </w:font>
  <w:font w:name="黑体">
    <w:panose1 w:val="02010609060101010101"/>
  </w:font>
  <w:font w:name="Calibri">
    <w:panose1 w:val="020F0502020204030204"/>
  </w:font>
  <w:font w:name="MS Mincho">
    <w:panose1 w:val="02020603050405090304"/>
  </w:font>
  <w:font w:name="Courier New">
    <w:panose1 w:val="02070309020205020404"/>
  </w:font>
  <w:font w:name="Times New Roman">
    <w:panose1 w:val="020206030504050203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
  </w:p>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61"/>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Title"/>
    <w:basedOn w:val="850"/>
    <w:next w:val="850"/>
    <w:link w:val="698"/>
    <w:uiPriority w:val="10"/>
    <w:qFormat/>
    <w:pPr>
      <w:contextualSpacing/>
      <w:spacing w:before="300" w:after="200"/>
    </w:pPr>
    <w:rPr>
      <w:sz w:val="48"/>
      <w:szCs w:val="48"/>
    </w:rPr>
  </w:style>
  <w:style w:type="character" w:styleId="698">
    <w:name w:val="Title Char"/>
    <w:basedOn w:val="854"/>
    <w:link w:val="697"/>
    <w:uiPriority w:val="10"/>
    <w:rPr>
      <w:sz w:val="48"/>
      <w:szCs w:val="48"/>
    </w:rPr>
  </w:style>
  <w:style w:type="paragraph" w:styleId="699">
    <w:name w:val="Subtitle"/>
    <w:basedOn w:val="850"/>
    <w:next w:val="850"/>
    <w:link w:val="700"/>
    <w:uiPriority w:val="11"/>
    <w:qFormat/>
    <w:pPr>
      <w:spacing w:before="200" w:after="200"/>
    </w:pPr>
    <w:rPr>
      <w:sz w:val="24"/>
      <w:szCs w:val="24"/>
    </w:rPr>
  </w:style>
  <w:style w:type="character" w:styleId="700">
    <w:name w:val="Subtitle Char"/>
    <w:basedOn w:val="854"/>
    <w:link w:val="699"/>
    <w:uiPriority w:val="11"/>
    <w:rPr>
      <w:sz w:val="24"/>
      <w:szCs w:val="24"/>
    </w:rPr>
  </w:style>
  <w:style w:type="paragraph" w:styleId="701">
    <w:name w:val="Quote"/>
    <w:basedOn w:val="850"/>
    <w:next w:val="850"/>
    <w:link w:val="702"/>
    <w:uiPriority w:val="29"/>
    <w:qFormat/>
    <w:pPr>
      <w:ind w:left="720" w:right="720"/>
    </w:pPr>
    <w:rPr>
      <w:i/>
    </w:rPr>
  </w:style>
  <w:style w:type="character" w:styleId="702">
    <w:name w:val="Quote Char"/>
    <w:link w:val="701"/>
    <w:uiPriority w:val="29"/>
    <w:rPr>
      <w:i/>
    </w:rPr>
  </w:style>
  <w:style w:type="paragraph" w:styleId="703">
    <w:name w:val="Intense Quote"/>
    <w:basedOn w:val="850"/>
    <w:next w:val="850"/>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4"/>
    <w:link w:val="862"/>
    <w:uiPriority w:val="99"/>
  </w:style>
  <w:style w:type="character" w:styleId="706">
    <w:name w:val="Footer Char"/>
    <w:basedOn w:val="854"/>
    <w:link w:val="861"/>
    <w:uiPriority w:val="99"/>
  </w:style>
  <w:style w:type="paragraph" w:styleId="707">
    <w:name w:val="Caption"/>
    <w:basedOn w:val="850"/>
    <w:next w:val="850"/>
    <w:uiPriority w:val="35"/>
    <w:semiHidden/>
    <w:unhideWhenUsed/>
    <w:qFormat/>
    <w:pPr>
      <w:spacing w:line="276" w:lineRule="auto"/>
    </w:pPr>
    <w:rPr>
      <w:b/>
      <w:bCs/>
      <w:color w:val="4f81bd" w:themeColor="accent1"/>
      <w:sz w:val="18"/>
      <w:szCs w:val="18"/>
    </w:rPr>
  </w:style>
  <w:style w:type="character" w:styleId="708">
    <w:name w:val="Caption Char"/>
    <w:basedOn w:val="707"/>
    <w:link w:val="861"/>
    <w:uiPriority w:val="99"/>
  </w:style>
  <w:style w:type="table" w:styleId="709">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0"/>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4"/>
    <w:uiPriority w:val="99"/>
    <w:unhideWhenUsed/>
    <w:rPr>
      <w:vertAlign w:val="superscript"/>
    </w:rPr>
  </w:style>
  <w:style w:type="paragraph" w:styleId="837">
    <w:name w:val="endnote text"/>
    <w:basedOn w:val="850"/>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4"/>
    <w:uiPriority w:val="99"/>
    <w:semiHidden/>
    <w:unhideWhenUsed/>
    <w:rPr>
      <w:vertAlign w:val="superscript"/>
    </w:r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1">
    <w:name w:val="Heading 1"/>
    <w:basedOn w:val="850"/>
    <w:next w:val="850"/>
    <w:link w:val="870"/>
    <w:uiPriority w:val="9"/>
    <w:qFormat/>
    <w:pPr>
      <w:keepLines/>
      <w:keepNext/>
      <w:spacing w:before="340" w:after="330" w:line="578" w:lineRule="auto"/>
      <w:outlineLvl w:val="0"/>
    </w:pPr>
    <w:rPr>
      <w:b/>
      <w:bCs/>
      <w:sz w:val="44"/>
      <w:szCs w:val="44"/>
    </w:rPr>
  </w:style>
  <w:style w:type="paragraph" w:styleId="852">
    <w:name w:val="Heading 2"/>
    <w:basedOn w:val="850"/>
    <w:next w:val="850"/>
    <w:link w:val="8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73"/>
    <w:uiPriority w:val="9"/>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Document Map"/>
    <w:basedOn w:val="850"/>
    <w:link w:val="871"/>
    <w:uiPriority w:val="99"/>
    <w:semiHidden/>
    <w:unhideWhenUsed/>
    <w:qFormat/>
    <w:rPr>
      <w:rFonts w:ascii="宋体" w:eastAsia="宋体"/>
      <w:sz w:val="18"/>
      <w:szCs w:val="18"/>
    </w:rPr>
  </w:style>
  <w:style w:type="paragraph" w:styleId="857">
    <w:name w:val="annotation text"/>
    <w:basedOn w:val="850"/>
    <w:link w:val="875"/>
    <w:uiPriority w:val="0"/>
    <w:qFormat/>
    <w:pPr>
      <w:ind w:firstLine="922"/>
      <w:jc w:val="left"/>
      <w:spacing w:line="360" w:lineRule="auto"/>
    </w:pPr>
    <w:rPr>
      <w:rFonts w:ascii="Times New Roman" w:hAnsi="Times New Roman" w:eastAsia="宋体" w:cs="Times New Roman"/>
      <w:szCs w:val="24"/>
    </w:rPr>
  </w:style>
  <w:style w:type="paragraph" w:styleId="858">
    <w:name w:val="Plain Text"/>
    <w:basedOn w:val="850"/>
    <w:link w:val="879"/>
    <w:uiPriority w:val="0"/>
    <w:qFormat/>
    <w:rPr>
      <w:rFonts w:ascii="宋体" w:hAnsi="Courier New" w:eastAsia="宋体" w:cs="Times New Roman"/>
      <w:szCs w:val="20"/>
    </w:rPr>
  </w:style>
  <w:style w:type="paragraph" w:styleId="859">
    <w:name w:val="Date"/>
    <w:basedOn w:val="850"/>
    <w:next w:val="850"/>
    <w:link w:val="874"/>
    <w:uiPriority w:val="99"/>
    <w:semiHidden/>
    <w:unhideWhenUsed/>
    <w:qFormat/>
    <w:pPr>
      <w:ind w:left="100"/>
    </w:pPr>
  </w:style>
  <w:style w:type="paragraph" w:styleId="860">
    <w:name w:val="Balloon Text"/>
    <w:basedOn w:val="850"/>
    <w:link w:val="876"/>
    <w:uiPriority w:val="99"/>
    <w:semiHidden/>
    <w:unhideWhenUsed/>
    <w:qFormat/>
    <w:rPr>
      <w:sz w:val="18"/>
      <w:szCs w:val="18"/>
    </w:rPr>
  </w:style>
  <w:style w:type="paragraph" w:styleId="861">
    <w:name w:val="Footer"/>
    <w:basedOn w:val="850"/>
    <w:link w:val="869"/>
    <w:uiPriority w:val="99"/>
    <w:unhideWhenUsed/>
    <w:qFormat/>
    <w:pPr>
      <w:jc w:val="left"/>
      <w:tabs>
        <w:tab w:val="center" w:pos="4153" w:leader="none"/>
        <w:tab w:val="right" w:pos="8306" w:leader="none"/>
      </w:tabs>
    </w:pPr>
    <w:rPr>
      <w:sz w:val="18"/>
      <w:szCs w:val="18"/>
    </w:rPr>
  </w:style>
  <w:style w:type="paragraph" w:styleId="862">
    <w:name w:val="Header"/>
    <w:basedOn w:val="850"/>
    <w:link w:val="86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50"/>
    <w:next w:val="850"/>
    <w:uiPriority w:val="39"/>
    <w:unhideWhenUsed/>
    <w:qFormat/>
    <w:pPr>
      <w:jc w:val="center"/>
      <w:spacing w:line="360" w:lineRule="auto"/>
      <w:tabs>
        <w:tab w:val="right" w:pos="9628" w:leader="dot"/>
      </w:tabs>
    </w:pPr>
    <w:rPr>
      <w:sz w:val="32"/>
    </w:rPr>
  </w:style>
  <w:style w:type="paragraph" w:styleId="864">
    <w:name w:val="annotation subject"/>
    <w:basedOn w:val="857"/>
    <w:next w:val="857"/>
    <w:link w:val="881"/>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5">
    <w:name w:val="Table Grid"/>
    <w:basedOn w:val="8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Hyperlink"/>
    <w:uiPriority w:val="99"/>
    <w:qFormat/>
    <w:rPr>
      <w:color w:val="0000ff"/>
      <w:u w:val="none"/>
    </w:rPr>
  </w:style>
  <w:style w:type="character" w:styleId="867">
    <w:name w:val="annotation reference"/>
    <w:uiPriority w:val="0"/>
    <w:qFormat/>
    <w:rPr>
      <w:sz w:val="21"/>
      <w:szCs w:val="21"/>
    </w:rPr>
  </w:style>
  <w:style w:type="character" w:styleId="868" w:customStyle="1">
    <w:name w:val="页眉 字符"/>
    <w:basedOn w:val="854"/>
    <w:link w:val="862"/>
    <w:uiPriority w:val="99"/>
    <w:qFormat/>
    <w:rPr>
      <w:sz w:val="18"/>
      <w:szCs w:val="18"/>
    </w:rPr>
  </w:style>
  <w:style w:type="character" w:styleId="869" w:customStyle="1">
    <w:name w:val="页脚 字符"/>
    <w:basedOn w:val="854"/>
    <w:link w:val="861"/>
    <w:uiPriority w:val="99"/>
    <w:qFormat/>
    <w:rPr>
      <w:sz w:val="18"/>
      <w:szCs w:val="18"/>
    </w:rPr>
  </w:style>
  <w:style w:type="character" w:styleId="870" w:customStyle="1">
    <w:name w:val="标题 1 字符"/>
    <w:basedOn w:val="854"/>
    <w:link w:val="851"/>
    <w:uiPriority w:val="9"/>
    <w:qFormat/>
    <w:rPr>
      <w:b/>
      <w:bCs/>
      <w:sz w:val="44"/>
      <w:szCs w:val="44"/>
    </w:rPr>
  </w:style>
  <w:style w:type="character" w:styleId="871" w:customStyle="1">
    <w:name w:val="文档结构图 字符"/>
    <w:basedOn w:val="854"/>
    <w:link w:val="856"/>
    <w:uiPriority w:val="99"/>
    <w:semiHidden/>
    <w:qFormat/>
    <w:rPr>
      <w:rFonts w:ascii="宋体" w:eastAsia="宋体"/>
      <w:sz w:val="18"/>
      <w:szCs w:val="18"/>
    </w:rPr>
  </w:style>
  <w:style w:type="character" w:styleId="872" w:customStyle="1">
    <w:name w:val="标题 2 字符"/>
    <w:basedOn w:val="854"/>
    <w:link w:val="852"/>
    <w:uiPriority w:val="9"/>
    <w:qFormat/>
    <w:rPr>
      <w:rFonts w:asciiTheme="majorHAnsi" w:hAnsiTheme="majorHAnsi" w:eastAsiaTheme="majorEastAsia" w:cstheme="majorBidi"/>
      <w:b/>
      <w:bCs/>
      <w:sz w:val="32"/>
      <w:szCs w:val="32"/>
    </w:rPr>
  </w:style>
  <w:style w:type="character" w:styleId="873" w:customStyle="1">
    <w:name w:val="标题 3 字符"/>
    <w:basedOn w:val="854"/>
    <w:link w:val="853"/>
    <w:uiPriority w:val="9"/>
    <w:qFormat/>
    <w:rPr>
      <w:b/>
      <w:bCs/>
      <w:sz w:val="32"/>
      <w:szCs w:val="32"/>
    </w:rPr>
  </w:style>
  <w:style w:type="character" w:styleId="874" w:customStyle="1">
    <w:name w:val="日期 字符"/>
    <w:basedOn w:val="854"/>
    <w:link w:val="859"/>
    <w:uiPriority w:val="99"/>
    <w:semiHidden/>
    <w:qFormat/>
  </w:style>
  <w:style w:type="character" w:styleId="875" w:customStyle="1">
    <w:name w:val="批注文字 字符"/>
    <w:basedOn w:val="854"/>
    <w:link w:val="857"/>
    <w:uiPriority w:val="0"/>
    <w:qFormat/>
    <w:rPr>
      <w:rFonts w:ascii="Times New Roman" w:hAnsi="Times New Roman" w:eastAsia="宋体" w:cs="Times New Roman"/>
      <w:szCs w:val="24"/>
    </w:rPr>
  </w:style>
  <w:style w:type="character" w:styleId="876" w:customStyle="1">
    <w:name w:val="批注框文本 字符"/>
    <w:basedOn w:val="854"/>
    <w:link w:val="860"/>
    <w:uiPriority w:val="99"/>
    <w:semiHidden/>
    <w:qFormat/>
    <w:rPr>
      <w:sz w:val="18"/>
      <w:szCs w:val="18"/>
    </w:rPr>
  </w:style>
  <w:style w:type="paragraph" w:styleId="877" w:customStyle="1">
    <w:name w:val="Default"/>
    <w:link w:val="878"/>
    <w:uiPriority w:val="99"/>
    <w:qFormat/>
    <w:pPr>
      <w:widowControl w:val="off"/>
    </w:pPr>
    <w:rPr>
      <w:rFonts w:ascii="MS Mincho" w:hAnsi="Calibri" w:eastAsia="宋体" w:cs="Times New Roman"/>
      <w:color w:val="000000"/>
      <w:sz w:val="21"/>
      <w:szCs w:val="24"/>
      <w:lang w:val="en-US" w:eastAsia="zh-CN" w:bidi="ar-SA"/>
    </w:rPr>
  </w:style>
  <w:style w:type="character" w:styleId="878" w:customStyle="1">
    <w:name w:val="Default Char"/>
    <w:link w:val="877"/>
    <w:uiPriority w:val="99"/>
    <w:qFormat/>
    <w:rPr>
      <w:rFonts w:ascii="MS Mincho" w:hAnsi="Calibri" w:eastAsia="宋体" w:cs="Times New Roman"/>
      <w:color w:val="000000"/>
      <w:szCs w:val="24"/>
    </w:rPr>
  </w:style>
  <w:style w:type="character" w:styleId="879" w:customStyle="1">
    <w:name w:val="纯文本 字符"/>
    <w:basedOn w:val="854"/>
    <w:link w:val="858"/>
    <w:uiPriority w:val="0"/>
    <w:qFormat/>
    <w:rPr>
      <w:rFonts w:ascii="宋体" w:hAnsi="Courier New" w:eastAsia="宋体" w:cs="Times New Roman"/>
      <w:szCs w:val="20"/>
    </w:r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批注主题 字符"/>
    <w:basedOn w:val="875"/>
    <w:link w:val="864"/>
    <w:uiPriority w:val="99"/>
    <w:semiHidden/>
    <w:qFormat/>
    <w:rPr>
      <w:rFonts w:ascii="Times New Roman" w:hAnsi="Times New Roman" w:eastAsia="宋体" w:cs="Times New Roman"/>
      <w:b/>
      <w:bCs/>
      <w:sz w:val="21"/>
      <w:szCs w:val="22"/>
    </w:rPr>
  </w:style>
  <w:style w:type="paragraph" w:styleId="882">
    <w:name w:val="List Paragraph"/>
    <w:basedOn w:val="850"/>
    <w:uiPriority w:val="99"/>
    <w:unhideWhenUsed/>
    <w:qFormat/>
    <w:pPr>
      <w:ind w:firstLine="420"/>
    </w:pPr>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48</cp:revision>
  <dcterms:created xsi:type="dcterms:W3CDTF">2026-09-10T10:49:00Z</dcterms:created>
  <dcterms:modified xsi:type="dcterms:W3CDTF">2026-10-12T06:31:09Z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2052-12.1.0.28505</vt:lpwstr>
  </property>
  <property fmtid="{D5CDD505-2E9C-101B-9397-08002B2CF9AE}" pid="4" name="ICV">
    <vt:lpwstr>6AD3ED36830042C5A362DAF3095DD4F8_13</vt:lpwstr>
  </property>
</Properties>
</file>