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spacing w:val="76"/>
          <w:sz w:val="24"/>
        </w:rPr>
      </w:pPr>
      <w:r>
        <w:rPr>
          <w:rFonts w:hint="eastAsia" w:ascii="宋体" w:hAnsi="宋体" w:eastAsia="宋体" w:cs="宋体"/>
          <w:b/>
          <w:spacing w:val="76"/>
          <w:sz w:val="24"/>
        </w:rPr>
      </w:r>
      <w:r/>
    </w:p>
    <w:p>
      <w:pPr>
        <w:rPr>
          <w:rFonts w:hint="eastAsia" w:ascii="宋体" w:hAnsi="宋体" w:eastAsia="宋体" w:cs="宋体"/>
          <w:b/>
          <w:spacing w:val="76"/>
          <w:sz w:val="24"/>
        </w:rPr>
      </w:pPr>
      <w:r>
        <w:rPr>
          <w:rFonts w:hint="eastAsia" w:ascii="宋体" w:hAnsi="宋体" w:eastAsia="宋体" w:cs="宋体"/>
          <w:b/>
          <w:spacing w:val="76"/>
          <w:sz w:val="24"/>
        </w:rPr>
      </w:r>
      <w:r/>
    </w:p>
    <w:p>
      <w:pPr>
        <w:rPr>
          <w:rFonts w:hint="eastAsia" w:ascii="宋体" w:hAnsi="宋体" w:eastAsia="宋体" w:cs="宋体"/>
          <w:b/>
          <w:spacing w:val="76"/>
          <w:sz w:val="24"/>
        </w:rPr>
      </w:pPr>
      <w:r>
        <w:rPr>
          <w:rFonts w:hint="eastAsia" w:ascii="宋体" w:hAnsi="宋体" w:eastAsia="宋体" w:cs="宋体"/>
          <w:b/>
          <w:spacing w:val="76"/>
          <w:sz w:val="24"/>
        </w:rPr>
      </w:r>
      <w:r/>
    </w:p>
    <w:p>
      <w:pPr>
        <w:pStyle w:val="772"/>
        <w:ind w:firstLine="0"/>
        <w:rPr>
          <w:rFonts w:hint="eastAsia" w:ascii="宋体" w:hAnsi="宋体" w:eastAsia="宋体" w:cs="宋体"/>
          <w:b/>
          <w:spacing w:val="76"/>
          <w:sz w:val="24"/>
        </w:rPr>
      </w:pPr>
      <w:r>
        <w:rPr>
          <w:rFonts w:hint="eastAsia" w:ascii="宋体" w:hAnsi="宋体" w:eastAsia="宋体" w:cs="宋体"/>
          <w:b/>
          <w:spacing w:val="76"/>
          <w:sz w:val="24"/>
        </w:rPr>
      </w:r>
      <w:r/>
    </w:p>
    <w:p>
      <w:pPr>
        <w:pStyle w:val="772"/>
        <w:rPr>
          <w:rFonts w:hint="eastAsia" w:ascii="宋体" w:hAnsi="宋体" w:eastAsia="宋体" w:cs="宋体"/>
          <w:b/>
          <w:spacing w:val="76"/>
          <w:sz w:val="24"/>
        </w:rPr>
      </w:pPr>
      <w:r>
        <w:rPr>
          <w:rFonts w:hint="eastAsia" w:ascii="宋体" w:hAnsi="宋体" w:eastAsia="宋体" w:cs="宋体"/>
          <w:b/>
          <w:spacing w:val="76"/>
          <w:sz w:val="24"/>
        </w:rPr>
      </w:r>
      <w:r/>
    </w:p>
    <w:p>
      <w:pPr>
        <w:jc w:val="center"/>
        <w:rPr>
          <w:rFonts w:hint="eastAsia" w:ascii="宋体" w:hAnsi="宋体" w:eastAsia="宋体" w:cs="宋体"/>
          <w:b/>
          <w:spacing w:val="76"/>
          <w:sz w:val="156"/>
        </w:rPr>
      </w:pPr>
      <w:r>
        <w:rPr>
          <w:rFonts w:hint="eastAsia" w:ascii="宋体" w:hAnsi="宋体" w:eastAsia="宋体" w:cs="宋体"/>
          <w:b/>
          <w:spacing w:val="76"/>
          <w:sz w:val="156"/>
        </w:rPr>
        <w:t xml:space="preserve">招标文件</w:t>
      </w:r>
      <w:r/>
    </w:p>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b/>
          <w:sz w:val="24"/>
        </w:rPr>
      </w:pPr>
      <w:r>
        <w:rPr>
          <w:rFonts w:hint="eastAsia" w:ascii="宋体" w:hAnsi="宋体" w:eastAsia="宋体" w:cs="宋体"/>
          <w:b/>
          <w:sz w:val="24"/>
        </w:rPr>
      </w:r>
      <w:r/>
    </w:p>
    <w:p>
      <w:pPr>
        <w:pStyle w:val="772"/>
        <w:ind w:left="0" w:firstLine="0"/>
        <w:rPr>
          <w:rFonts w:hint="eastAsia" w:ascii="宋体" w:hAnsi="宋体" w:eastAsia="宋体" w:cs="宋体"/>
          <w:sz w:val="32"/>
        </w:rPr>
      </w:pPr>
      <w:r>
        <w:rPr>
          <w:rFonts w:hint="eastAsia" w:ascii="宋体" w:hAnsi="宋体" w:eastAsia="宋体" w:cs="宋体"/>
          <w:sz w:val="32"/>
        </w:rPr>
      </w:r>
      <w:r/>
    </w:p>
    <w:p>
      <w:pPr>
        <w:pStyle w:val="772"/>
        <w:ind w:left="0" w:firstLine="0"/>
        <w:rPr>
          <w:rFonts w:hint="eastAsia" w:ascii="宋体" w:hAnsi="宋体" w:eastAsia="宋体" w:cs="宋体"/>
          <w:sz w:val="32"/>
        </w:rPr>
      </w:pPr>
      <w:r>
        <w:rPr>
          <w:rFonts w:hint="eastAsia" w:ascii="宋体" w:hAnsi="宋体" w:eastAsia="宋体" w:cs="宋体"/>
          <w:sz w:val="32"/>
        </w:rPr>
      </w:r>
      <w:r/>
    </w:p>
    <w:p>
      <w:pPr>
        <w:ind w:firstLine="320"/>
        <w:spacing w:line="600" w:lineRule="exact"/>
        <w:rPr>
          <w:rFonts w:hint="eastAsia" w:ascii="宋体" w:hAnsi="宋体" w:eastAsia="宋体" w:cs="宋体"/>
          <w:color w:val="auto"/>
          <w:sz w:val="32"/>
          <w:szCs w:val="32"/>
          <w:lang w:eastAsia="zh-CN"/>
        </w:rPr>
      </w:pPr>
      <w:r>
        <w:rPr>
          <w:rFonts w:hint="eastAsia" w:ascii="宋体" w:hAnsi="宋体" w:eastAsia="宋体" w:cs="宋体"/>
          <w:color w:val="auto"/>
          <w:sz w:val="32"/>
          <w:szCs w:val="32"/>
        </w:rPr>
        <w:t xml:space="preserve">项目编号：</w:t>
      </w:r>
      <w:r>
        <w:rPr>
          <w:rFonts w:hint="eastAsia" w:ascii="宋体" w:hAnsi="宋体" w:cs="宋体"/>
          <w:color w:val="auto"/>
          <w:sz w:val="32"/>
          <w:szCs w:val="32"/>
          <w:highlight w:val="none"/>
          <w:lang w:eastAsia="zh-CN"/>
        </w:rPr>
        <w:t xml:space="preserve">JSZC-320321-YHXZ-G2026-0002</w:t>
      </w:r>
      <w:r/>
    </w:p>
    <w:p>
      <w:pPr>
        <w:ind w:firstLine="960"/>
        <w:spacing w:line="600" w:lineRule="exact"/>
        <w:rPr>
          <w:rFonts w:hint="eastAsia" w:ascii="宋体" w:hAnsi="宋体" w:eastAsia="宋体" w:cs="宋体"/>
          <w:sz w:val="32"/>
          <w:szCs w:val="32"/>
        </w:rPr>
      </w:pPr>
      <w:r>
        <w:rPr>
          <w:rFonts w:hint="eastAsia" w:ascii="宋体" w:hAnsi="宋体" w:eastAsia="宋体" w:cs="宋体"/>
          <w:sz w:val="32"/>
          <w:szCs w:val="32"/>
        </w:rPr>
      </w:r>
      <w:r/>
    </w:p>
    <w:p>
      <w:pPr>
        <w:ind w:firstLine="320"/>
        <w:spacing w:line="600" w:lineRule="exact"/>
        <w:rPr>
          <w:rFonts w:hint="eastAsia" w:ascii="宋体" w:hAnsi="宋体" w:eastAsia="宋体" w:cs="宋体"/>
          <w:sz w:val="32"/>
          <w:szCs w:val="32"/>
          <w:lang w:eastAsia="zh-CN"/>
        </w:rPr>
      </w:pPr>
      <w:r>
        <w:rPr>
          <w:rFonts w:hint="eastAsia" w:ascii="宋体" w:hAnsi="宋体" w:eastAsia="宋体" w:cs="宋体"/>
          <w:sz w:val="32"/>
          <w:szCs w:val="32"/>
        </w:rPr>
        <w:t xml:space="preserve">项目名称：</w:t>
      </w:r>
      <w:r>
        <w:rPr>
          <w:rFonts w:hint="eastAsia" w:ascii="宋体" w:hAnsi="宋体" w:cs="宋体"/>
          <w:sz w:val="32"/>
          <w:szCs w:val="32"/>
          <w:lang w:eastAsia="zh-CN"/>
        </w:rPr>
        <w:t xml:space="preserve">丰县2026年全民健身设施配建项目</w:t>
      </w:r>
      <w:r/>
    </w:p>
    <w:p>
      <w:pPr>
        <w:ind w:firstLine="960"/>
        <w:spacing w:line="600" w:lineRule="exact"/>
        <w:rPr>
          <w:rFonts w:hint="eastAsia" w:ascii="宋体" w:hAnsi="宋体" w:eastAsia="宋体" w:cs="宋体"/>
          <w:sz w:val="32"/>
          <w:szCs w:val="32"/>
        </w:rPr>
      </w:pPr>
      <w:r>
        <w:rPr>
          <w:rFonts w:hint="eastAsia" w:ascii="宋体" w:hAnsi="宋体" w:eastAsia="宋体" w:cs="宋体"/>
          <w:sz w:val="32"/>
          <w:szCs w:val="32"/>
        </w:rPr>
      </w:r>
      <w:r/>
    </w:p>
    <w:p>
      <w:pPr>
        <w:ind w:firstLine="320"/>
        <w:spacing w:line="600" w:lineRule="exact"/>
        <w:rPr>
          <w:rFonts w:hint="eastAsia" w:ascii="宋体" w:hAnsi="宋体" w:eastAsia="宋体" w:cs="宋体"/>
          <w:sz w:val="32"/>
          <w:szCs w:val="32"/>
          <w:lang w:eastAsia="zh-CN"/>
        </w:rPr>
      </w:pPr>
      <w:r>
        <w:rPr>
          <w:rFonts w:hint="eastAsia" w:ascii="宋体" w:hAnsi="宋体" w:eastAsia="宋体" w:cs="宋体"/>
          <w:sz w:val="32"/>
          <w:szCs w:val="32"/>
        </w:rPr>
        <w:t xml:space="preserve">采 购 人：</w:t>
      </w:r>
      <w:r>
        <w:rPr>
          <w:rFonts w:hint="eastAsia" w:ascii="宋体" w:hAnsi="宋体" w:cs="宋体"/>
          <w:sz w:val="32"/>
          <w:szCs w:val="32"/>
          <w:lang w:eastAsia="zh-CN"/>
        </w:rPr>
        <w:t xml:space="preserve">丰县文体广电和旅游局</w:t>
      </w:r>
      <w:r/>
    </w:p>
    <w:p>
      <w:pPr>
        <w:ind w:right="-159" w:firstLine="2112"/>
        <w:spacing w:line="300" w:lineRule="auto"/>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pStyle w:val="778"/>
        <w:ind w:firstLine="0"/>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32"/>
          <w:szCs w:val="32"/>
        </w:rPr>
      </w:pPr>
      <w:r>
        <w:rPr>
          <w:rFonts w:hint="eastAsia" w:ascii="宋体" w:hAnsi="宋体" w:eastAsia="宋体" w:cs="宋体"/>
          <w:sz w:val="32"/>
          <w:szCs w:val="32"/>
        </w:rPr>
      </w:r>
      <w:r/>
    </w:p>
    <w:p>
      <w:pPr>
        <w:pStyle w:val="790"/>
        <w:ind w:left="0" w:firstLine="0"/>
        <w:rPr>
          <w:rFonts w:hint="eastAsia" w:ascii="宋体" w:hAnsi="宋体" w:eastAsia="宋体" w:cs="宋体"/>
          <w:sz w:val="32"/>
          <w:szCs w:val="32"/>
        </w:rPr>
      </w:pPr>
      <w:r>
        <w:rPr>
          <w:rFonts w:hint="eastAsia" w:ascii="宋体" w:hAnsi="宋体" w:eastAsia="宋体" w:cs="宋体"/>
          <w:sz w:val="32"/>
          <w:szCs w:val="32"/>
        </w:rPr>
      </w:r>
      <w:r/>
    </w:p>
    <w:p>
      <w:pPr>
        <w:pStyle w:val="790"/>
        <w:ind w:left="0" w:firstLine="0"/>
        <w:rPr>
          <w:rFonts w:hint="eastAsia" w:ascii="宋体" w:hAnsi="宋体" w:eastAsia="宋体" w:cs="宋体"/>
          <w:sz w:val="32"/>
          <w:szCs w:val="32"/>
        </w:rPr>
      </w:pPr>
      <w:r>
        <w:rPr>
          <w:rFonts w:hint="eastAsia" w:ascii="宋体" w:hAnsi="宋体" w:eastAsia="宋体" w:cs="宋体"/>
          <w:sz w:val="32"/>
          <w:szCs w:val="32"/>
        </w:rPr>
      </w:r>
      <w:r/>
    </w:p>
    <w:p>
      <w:pPr>
        <w:ind w:right="-159" w:firstLine="1440"/>
        <w:spacing w:line="300" w:lineRule="auto"/>
        <w:rPr>
          <w:rFonts w:hint="eastAsia" w:ascii="宋体" w:hAnsi="宋体" w:eastAsia="宋体" w:cs="宋体"/>
          <w:sz w:val="32"/>
          <w:szCs w:val="32"/>
        </w:rPr>
      </w:pPr>
      <w:r>
        <w:rPr>
          <w:rFonts w:hint="eastAsia" w:ascii="宋体" w:hAnsi="宋体" w:eastAsia="宋体" w:cs="宋体"/>
          <w:sz w:val="32"/>
          <w:szCs w:val="32"/>
        </w:rPr>
      </w:r>
      <w:r/>
    </w:p>
    <w:p>
      <w:pPr>
        <w:ind w:right="-159" w:firstLine="2112"/>
        <w:spacing w:line="300" w:lineRule="auto"/>
        <w:rPr>
          <w:rFonts w:hint="eastAsia" w:ascii="宋体" w:hAnsi="宋体" w:eastAsia="宋体" w:cs="宋体"/>
          <w:sz w:val="32"/>
          <w:szCs w:val="32"/>
        </w:rPr>
      </w:pPr>
      <w:r>
        <w:rPr>
          <w:rFonts w:hint="eastAsia" w:ascii="宋体" w:hAnsi="宋体" w:eastAsia="宋体" w:cs="宋体"/>
          <w:sz w:val="32"/>
          <w:szCs w:val="32"/>
        </w:rPr>
      </w:r>
      <w:r/>
    </w:p>
    <w:p>
      <w:pPr>
        <w:jc w:val="center"/>
        <w:spacing w:line="360" w:lineRule="auto"/>
        <w:rPr>
          <w:rFonts w:hint="eastAsia" w:ascii="宋体" w:hAnsi="宋体" w:eastAsia="宋体" w:cs="宋体"/>
          <w:sz w:val="32"/>
          <w:szCs w:val="32"/>
          <w:lang w:eastAsia="zh-CN"/>
        </w:rPr>
      </w:pPr>
      <w:r>
        <w:rPr>
          <w:rFonts w:hint="eastAsia" w:ascii="宋体" w:hAnsi="宋体" w:eastAsia="宋体" w:cs="宋体"/>
          <w:sz w:val="32"/>
          <w:szCs w:val="32"/>
        </w:rPr>
        <w:t xml:space="preserve">采购代理机构：</w:t>
      </w:r>
      <w:r>
        <w:rPr>
          <w:rFonts w:hint="eastAsia" w:ascii="宋体" w:hAnsi="宋体" w:cs="宋体"/>
          <w:sz w:val="32"/>
          <w:szCs w:val="32"/>
          <w:lang w:eastAsia="zh-CN"/>
        </w:rPr>
        <w:t xml:space="preserve">徐州易合工程管理有限公司</w:t>
      </w:r>
      <w:r/>
    </w:p>
    <w:p>
      <w:pPr>
        <w:jc w:val="center"/>
        <w:spacing w:line="360" w:lineRule="auto"/>
        <w:rPr>
          <w:rFonts w:hint="eastAsia" w:ascii="宋体" w:hAnsi="宋体" w:eastAsia="宋体" w:cs="宋体"/>
          <w:sz w:val="32"/>
          <w:szCs w:val="32"/>
        </w:rPr>
      </w:pPr>
      <w:r>
        <w:rPr>
          <w:rFonts w:hint="eastAsia" w:ascii="宋体" w:hAnsi="宋体" w:eastAsia="宋体" w:cs="宋体"/>
          <w:bCs/>
          <w:sz w:val="32"/>
          <w:szCs w:val="32"/>
        </w:rPr>
        <w:t xml:space="preserve">二〇二</w:t>
      </w:r>
      <w:r>
        <w:rPr>
          <w:rFonts w:hint="eastAsia" w:ascii="宋体" w:hAnsi="宋体" w:eastAsia="宋体" w:cs="宋体"/>
          <w:bCs/>
          <w:sz w:val="32"/>
          <w:szCs w:val="32"/>
          <w:lang w:val="en-US" w:eastAsia="zh-CN"/>
        </w:rPr>
        <w:t xml:space="preserve">六</w:t>
      </w:r>
      <w:r>
        <w:rPr>
          <w:rFonts w:hint="eastAsia" w:ascii="宋体" w:hAnsi="宋体" w:eastAsia="宋体" w:cs="宋体"/>
          <w:bCs/>
          <w:sz w:val="32"/>
          <w:szCs w:val="32"/>
        </w:rPr>
        <w:t xml:space="preserve">年</w:t>
      </w:r>
      <w:r>
        <w:rPr>
          <w:rFonts w:hint="eastAsia" w:ascii="宋体" w:hAnsi="宋体" w:cs="宋体"/>
          <w:bCs/>
          <w:sz w:val="32"/>
          <w:szCs w:val="32"/>
          <w:lang w:val="en-US" w:eastAsia="zh-CN"/>
        </w:rPr>
        <w:t xml:space="preserve">八</w:t>
      </w:r>
      <w:r>
        <w:rPr>
          <w:rFonts w:hint="eastAsia" w:ascii="宋体" w:hAnsi="宋体" w:eastAsia="宋体" w:cs="宋体"/>
          <w:bCs/>
          <w:sz w:val="32"/>
          <w:szCs w:val="32"/>
        </w:rPr>
        <w:t xml:space="preserve">月</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rPr>
        <w:t xml:space="preserve">目 录</w:t>
      </w:r>
      <w:r/>
    </w:p>
    <w:p>
      <w:pPr>
        <w:jc w:val="center"/>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jc w:val="center"/>
        <w:spacing w:line="519" w:lineRule="atLeast"/>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sz w:val="30"/>
          <w:szCs w:val="30"/>
        </w:rPr>
        <w:fldChar w:fldCharType="separate"/>
      </w:r>
      <w:r>
        <w:rPr>
          <w:rStyle w:val="810"/>
          <w:rFonts w:hint="eastAsia" w:ascii="宋体" w:hAnsi="宋体" w:eastAsia="宋体" w:cs="宋体"/>
          <w:color w:val="auto"/>
          <w:sz w:val="30"/>
          <w:szCs w:val="30"/>
        </w:rPr>
        <w:t xml:space="preserve">第一章</w:t>
      </w:r>
      <w:r>
        <w:rPr>
          <w:rStyle w:val="810"/>
          <w:rFonts w:hint="eastAsia" w:ascii="宋体" w:hAnsi="宋体" w:eastAsia="宋体" w:cs="宋体"/>
          <w:color w:val="auto"/>
          <w:sz w:val="30"/>
          <w:szCs w:val="30"/>
          <w:lang w:val="en-US" w:eastAsia="zh-CN"/>
        </w:rPr>
        <w:t xml:space="preserve"> </w:t>
      </w:r>
      <w:r>
        <w:rPr>
          <w:rStyle w:val="810"/>
          <w:rFonts w:hint="eastAsia" w:ascii="宋体" w:hAnsi="宋体" w:eastAsia="宋体" w:cs="宋体"/>
          <w:color w:val="auto"/>
          <w:sz w:val="30"/>
          <w:szCs w:val="30"/>
        </w:rPr>
        <w:t xml:space="preserve">投标邀请</w:t>
      </w:r>
      <w:r>
        <w:rPr>
          <w:rStyle w:val="810"/>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sz w:val="30"/>
          <w:szCs w:val="30"/>
        </w:rPr>
        <w:fldChar w:fldCharType="separate"/>
      </w:r>
      <w:r>
        <w:rPr>
          <w:rStyle w:val="810"/>
          <w:rFonts w:hint="eastAsia" w:ascii="宋体" w:hAnsi="宋体" w:eastAsia="宋体" w:cs="宋体"/>
          <w:color w:val="auto"/>
          <w:sz w:val="30"/>
          <w:szCs w:val="30"/>
        </w:rPr>
        <w:t xml:space="preserve">第二章</w:t>
      </w:r>
      <w:r>
        <w:rPr>
          <w:rStyle w:val="810"/>
          <w:rFonts w:hint="eastAsia" w:ascii="宋体" w:hAnsi="宋体" w:eastAsia="宋体" w:cs="宋体"/>
          <w:color w:val="auto"/>
          <w:sz w:val="30"/>
          <w:szCs w:val="30"/>
          <w:lang w:val="en-US" w:eastAsia="zh-CN"/>
        </w:rPr>
        <w:t xml:space="preserve"> </w:t>
      </w:r>
      <w:r>
        <w:rPr>
          <w:rStyle w:val="810"/>
          <w:rFonts w:hint="eastAsia" w:ascii="宋体" w:hAnsi="宋体" w:eastAsia="宋体" w:cs="宋体"/>
          <w:color w:val="auto"/>
          <w:sz w:val="30"/>
          <w:szCs w:val="30"/>
        </w:rPr>
        <w:t xml:space="preserve">投标人须知</w:t>
      </w:r>
      <w:r>
        <w:rPr>
          <w:rStyle w:val="810"/>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sz w:val="30"/>
          <w:szCs w:val="30"/>
        </w:rPr>
        <w:fldChar w:fldCharType="separate"/>
      </w:r>
      <w:r>
        <w:rPr>
          <w:rStyle w:val="810"/>
          <w:rFonts w:hint="eastAsia" w:ascii="宋体" w:hAnsi="宋体" w:eastAsia="宋体" w:cs="宋体"/>
          <w:color w:val="auto"/>
          <w:sz w:val="30"/>
          <w:szCs w:val="30"/>
        </w:rPr>
        <w:t xml:space="preserve">第三章</w:t>
      </w:r>
      <w:r>
        <w:rPr>
          <w:rStyle w:val="810"/>
          <w:rFonts w:hint="eastAsia" w:ascii="宋体" w:hAnsi="宋体" w:eastAsia="宋体" w:cs="宋体"/>
          <w:color w:val="auto"/>
          <w:sz w:val="30"/>
          <w:szCs w:val="30"/>
          <w:lang w:val="en-US" w:eastAsia="zh-CN"/>
        </w:rPr>
        <w:t xml:space="preserve"> </w:t>
      </w:r>
      <w:r>
        <w:rPr>
          <w:rStyle w:val="810"/>
          <w:rFonts w:hint="eastAsia" w:ascii="宋体" w:hAnsi="宋体" w:eastAsia="宋体" w:cs="宋体"/>
          <w:color w:val="auto"/>
          <w:sz w:val="30"/>
          <w:szCs w:val="30"/>
        </w:rPr>
        <w:t xml:space="preserve">投标资料表</w:t>
      </w:r>
      <w:r>
        <w:rPr>
          <w:rStyle w:val="810"/>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sz w:val="30"/>
          <w:szCs w:val="30"/>
        </w:rPr>
        <w:fldChar w:fldCharType="separate"/>
      </w:r>
      <w:r>
        <w:rPr>
          <w:rStyle w:val="810"/>
          <w:rFonts w:hint="eastAsia" w:ascii="宋体" w:hAnsi="宋体" w:eastAsia="宋体" w:cs="宋体"/>
          <w:color w:val="auto"/>
          <w:sz w:val="30"/>
          <w:szCs w:val="30"/>
        </w:rPr>
        <w:t xml:space="preserve">第四章</w:t>
      </w:r>
      <w:r>
        <w:rPr>
          <w:rStyle w:val="810"/>
          <w:rFonts w:hint="eastAsia" w:ascii="宋体" w:hAnsi="宋体" w:eastAsia="宋体" w:cs="宋体"/>
          <w:color w:val="auto"/>
          <w:sz w:val="30"/>
          <w:szCs w:val="30"/>
          <w:lang w:val="en-US" w:eastAsia="zh-CN"/>
        </w:rPr>
        <w:t xml:space="preserve"> </w:t>
      </w:r>
      <w:r>
        <w:rPr>
          <w:rStyle w:val="810"/>
          <w:rFonts w:hint="eastAsia" w:ascii="宋体" w:hAnsi="宋体" w:eastAsia="宋体" w:cs="宋体"/>
          <w:color w:val="auto"/>
          <w:sz w:val="30"/>
          <w:szCs w:val="30"/>
        </w:rPr>
        <w:t xml:space="preserve">评标标准</w:t>
      </w:r>
      <w:r>
        <w:rPr>
          <w:rStyle w:val="810"/>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sz w:val="30"/>
          <w:szCs w:val="30"/>
        </w:rPr>
        <w:fldChar w:fldCharType="separate"/>
      </w:r>
      <w:r>
        <w:rPr>
          <w:rStyle w:val="810"/>
          <w:rFonts w:hint="eastAsia" w:ascii="宋体" w:hAnsi="宋体" w:eastAsia="宋体" w:cs="宋体"/>
          <w:color w:val="auto"/>
          <w:sz w:val="30"/>
          <w:szCs w:val="30"/>
        </w:rPr>
        <w:t xml:space="preserve">第五章</w:t>
      </w:r>
      <w:r>
        <w:rPr>
          <w:rStyle w:val="810"/>
          <w:rFonts w:hint="eastAsia" w:ascii="宋体" w:hAnsi="宋体" w:eastAsia="宋体" w:cs="宋体"/>
          <w:color w:val="auto"/>
          <w:sz w:val="30"/>
          <w:szCs w:val="30"/>
          <w:lang w:val="en-US" w:eastAsia="zh-CN"/>
        </w:rPr>
        <w:t xml:space="preserve"> </w:t>
      </w:r>
      <w:r>
        <w:rPr>
          <w:rStyle w:val="810"/>
          <w:rFonts w:hint="eastAsia" w:ascii="宋体" w:hAnsi="宋体" w:eastAsia="宋体" w:cs="宋体"/>
          <w:color w:val="auto"/>
          <w:sz w:val="30"/>
          <w:szCs w:val="30"/>
        </w:rPr>
        <w:t xml:space="preserve">拟签订的合同文本</w:t>
      </w:r>
      <w:r>
        <w:rPr>
          <w:rStyle w:val="810"/>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sz w:val="30"/>
          <w:szCs w:val="30"/>
        </w:rPr>
        <w:fldChar w:fldCharType="separate"/>
      </w:r>
      <w:r>
        <w:rPr>
          <w:rStyle w:val="810"/>
          <w:rFonts w:hint="eastAsia" w:ascii="宋体" w:hAnsi="宋体" w:eastAsia="宋体" w:cs="宋体"/>
          <w:color w:val="auto"/>
          <w:sz w:val="30"/>
          <w:szCs w:val="30"/>
        </w:rPr>
        <w:t xml:space="preserve">第六章</w:t>
      </w:r>
      <w:r>
        <w:rPr>
          <w:rStyle w:val="810"/>
          <w:rFonts w:hint="eastAsia" w:ascii="宋体" w:hAnsi="宋体" w:eastAsia="宋体" w:cs="宋体"/>
          <w:color w:val="auto"/>
          <w:sz w:val="30"/>
          <w:szCs w:val="30"/>
          <w:lang w:val="en-US" w:eastAsia="zh-CN"/>
        </w:rPr>
        <w:t xml:space="preserve"> </w:t>
      </w:r>
      <w:r>
        <w:rPr>
          <w:rStyle w:val="810"/>
          <w:rFonts w:hint="eastAsia" w:ascii="宋体" w:hAnsi="宋体" w:eastAsia="宋体" w:cs="宋体"/>
          <w:color w:val="auto"/>
          <w:sz w:val="30"/>
          <w:szCs w:val="30"/>
        </w:rPr>
        <w:t xml:space="preserve">采购需求</w:t>
      </w:r>
      <w:r>
        <w:rPr>
          <w:rStyle w:val="810"/>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sz w:val="30"/>
          <w:szCs w:val="30"/>
        </w:rPr>
        <w:fldChar w:fldCharType="separate"/>
      </w:r>
      <w:r>
        <w:rPr>
          <w:rStyle w:val="810"/>
          <w:rFonts w:hint="eastAsia" w:ascii="宋体" w:hAnsi="宋体" w:eastAsia="宋体" w:cs="宋体"/>
          <w:color w:val="auto"/>
          <w:sz w:val="30"/>
          <w:szCs w:val="30"/>
        </w:rPr>
        <w:t xml:space="preserve">第七章</w:t>
      </w:r>
      <w:r>
        <w:rPr>
          <w:rStyle w:val="810"/>
          <w:rFonts w:hint="eastAsia" w:ascii="宋体" w:hAnsi="宋体" w:eastAsia="宋体" w:cs="宋体"/>
          <w:color w:val="auto"/>
          <w:sz w:val="30"/>
          <w:szCs w:val="30"/>
          <w:lang w:val="en-US" w:eastAsia="zh-CN"/>
        </w:rPr>
        <w:t xml:space="preserve"> </w:t>
      </w:r>
      <w:r>
        <w:rPr>
          <w:rStyle w:val="810"/>
          <w:rFonts w:hint="eastAsia" w:ascii="宋体" w:hAnsi="宋体" w:eastAsia="宋体" w:cs="宋体"/>
          <w:color w:val="auto"/>
          <w:sz w:val="30"/>
          <w:szCs w:val="30"/>
        </w:rPr>
        <w:t xml:space="preserve">投标文件相关格式</w:t>
      </w:r>
      <w:r>
        <w:rPr>
          <w:rStyle w:val="810"/>
          <w:rFonts w:hint="eastAsia" w:ascii="宋体" w:hAnsi="宋体" w:eastAsia="宋体" w:cs="宋体"/>
          <w:color w:val="auto"/>
          <w:sz w:val="30"/>
          <w:szCs w:val="30"/>
        </w:rPr>
        <w:fldChar w:fldCharType="end"/>
      </w:r>
      <w:r/>
    </w:p>
    <w:p>
      <w:pPr>
        <w:jc w:val="center"/>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jc w:val="center"/>
        <w:spacing w:line="519" w:lineRule="atLeast"/>
        <w:rPr>
          <w:rFonts w:hint="eastAsia" w:ascii="宋体" w:hAnsi="宋体" w:eastAsia="宋体" w:cs="宋体"/>
          <w:b/>
          <w:sz w:val="44"/>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sz w:val="44"/>
        </w:rPr>
      </w:r>
      <w:r/>
    </w:p>
    <w:p>
      <w:pPr>
        <w:jc w:val="center"/>
        <w:spacing w:line="240" w:lineRule="auto"/>
        <w:rPr>
          <w:rFonts w:hint="eastAsia" w:ascii="宋体" w:hAnsi="宋体" w:eastAsia="宋体" w:cs="宋体"/>
          <w:b/>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6"/>
          <w:szCs w:val="36"/>
          <w:lang w:eastAsia="zh-CN"/>
        </w:rPr>
        <w:t xml:space="preserve">丰县文体广电和旅游局</w:t>
      </w:r>
      <w:r/>
    </w:p>
    <w:p>
      <w:pPr>
        <w:jc w:val="center"/>
        <w:spacing w:line="240" w:lineRule="auto"/>
        <w:rPr>
          <w:rFonts w:hint="eastAsia" w:ascii="宋体" w:hAnsi="宋体" w:eastAsia="宋体" w:cs="宋体"/>
          <w:b/>
          <w:sz w:val="36"/>
          <w:szCs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szCs w:val="36"/>
        </w:rPr>
        <w:t xml:space="preserve">《</w:t>
      </w:r>
      <w:r>
        <w:rPr>
          <w:rFonts w:hint="eastAsia" w:ascii="宋体" w:hAnsi="宋体" w:cs="宋体"/>
          <w:b/>
          <w:sz w:val="36"/>
          <w:szCs w:val="36"/>
          <w:lang w:eastAsia="zh-CN"/>
        </w:rPr>
        <w:t xml:space="preserve">丰县2026年全民健身设施配建项目</w:t>
      </w:r>
      <w:r>
        <w:rPr>
          <w:rFonts w:hint="eastAsia" w:ascii="宋体" w:hAnsi="宋体" w:eastAsia="宋体" w:cs="宋体"/>
          <w:b/>
          <w:sz w:val="36"/>
          <w:szCs w:val="36"/>
        </w:rPr>
        <w:t xml:space="preserve">》</w:t>
      </w:r>
      <w:r/>
    </w:p>
    <w:p>
      <w:pPr>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szCs w:val="36"/>
        </w:rPr>
        <w:t xml:space="preserve">招标文件</w:t>
      </w:r>
      <w:r/>
    </w:p>
    <w:p>
      <w:pPr>
        <w:ind w:firstLine="600"/>
        <w:keepLines w:val="0"/>
        <w:keepNext w:val="0"/>
        <w:pageBreakBefore w:val="0"/>
        <w:spacing w:line="24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600"/>
        <w:keepLines w:val="0"/>
        <w:keepNext w:val="0"/>
        <w:pageBreakBefore w:val="0"/>
        <w:spacing w:line="360" w:lineRule="auto"/>
        <w:widowControl w:val="off"/>
        <w:rPr>
          <w:rFonts w:hint="eastAsia" w:ascii="宋体" w:hAnsi="宋体" w:eastAsia="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第二章，投标人须知</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第三章，投标资料表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第四章，评标标准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第五章，拟签订的合同文本</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第六章，采购需求</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第七章，投标文件相关格式。</w:t>
      </w:r>
      <w:r/>
    </w:p>
    <w:p>
      <w:pPr>
        <w:jc w:val="center"/>
        <w:keepLines w:val="0"/>
        <w:keepNext w:val="0"/>
        <w:pageBreakBefore w:val="0"/>
        <w:spacing w:line="240" w:lineRule="auto"/>
        <w:widowControl w:val="off"/>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4"/>
          <w:szCs w:val="24"/>
        </w:rPr>
      </w:r>
      <w:r/>
    </w:p>
    <w:p>
      <w:pPr>
        <w:jc w:val="center"/>
        <w:keepLines w:val="0"/>
        <w:keepNext w:val="0"/>
        <w:pageBreakBefore w:val="0"/>
        <w:spacing w:line="360" w:lineRule="auto"/>
        <w:widowControl w:val="off"/>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szCs w:val="30"/>
        </w:rPr>
        <w:t xml:space="preserve">第一章</w:t>
      </w:r>
      <w:r>
        <w:rPr>
          <w:rFonts w:hint="eastAsia" w:ascii="宋体" w:hAnsi="宋体" w:eastAsia="宋体" w:cs="宋体"/>
          <w:b/>
          <w:sz w:val="30"/>
          <w:szCs w:val="30"/>
          <w:lang w:val="en-US" w:eastAsia="zh-CN"/>
        </w:rPr>
        <w:t xml:space="preserve"> </w:t>
      </w:r>
      <w:r>
        <w:rPr>
          <w:rFonts w:hint="eastAsia" w:ascii="宋体" w:hAnsi="宋体" w:eastAsia="宋体" w:cs="宋体"/>
          <w:b/>
          <w:sz w:val="30"/>
          <w:szCs w:val="30"/>
        </w:rPr>
        <w:t xml:space="preserve">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u w:val="single"/>
          <w:lang w:eastAsia="zh-CN"/>
        </w:rPr>
        <w:t xml:space="preserve">徐州易合工程管理有限公司</w:t>
      </w:r>
      <w:r>
        <w:rPr>
          <w:rFonts w:hint="eastAsia" w:ascii="宋体" w:hAnsi="宋体" w:eastAsia="宋体" w:cs="宋体"/>
          <w:color w:val="auto"/>
          <w:sz w:val="24"/>
          <w:szCs w:val="24"/>
        </w:rPr>
        <w:t xml:space="preserve">对</w:t>
      </w:r>
      <w:r>
        <w:rPr>
          <w:rFonts w:hint="eastAsia" w:ascii="宋体" w:hAnsi="宋体" w:cs="宋体"/>
          <w:color w:val="auto"/>
          <w:sz w:val="24"/>
          <w:szCs w:val="24"/>
          <w:u w:val="single"/>
          <w:lang w:eastAsia="zh-CN"/>
        </w:rPr>
        <w:t xml:space="preserve">丰县2026年全民健身设施配建项目</w:t>
      </w:r>
      <w:r>
        <w:rPr>
          <w:rFonts w:hint="eastAsia" w:ascii="宋体" w:hAnsi="宋体" w:eastAsia="宋体" w:cs="宋体"/>
          <w:color w:val="auto"/>
          <w:sz w:val="24"/>
          <w:szCs w:val="24"/>
        </w:rPr>
        <w:t xml:space="preserve">进行公开招标采购，现邀请符合相关条件的供应商投标。</w:t>
      </w:r>
      <w:r/>
    </w:p>
    <w:p>
      <w:pPr>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一、项目名称和项目编号</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项目</w:t>
      </w:r>
      <w:r>
        <w:rPr>
          <w:rFonts w:hint="eastAsia" w:ascii="宋体" w:hAnsi="宋体" w:eastAsia="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丰县2026年全民健身设施配建项目</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yellow"/>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JSZC-320321-YHXZ-G2026-0002</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二、对投标人的资格要求</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详见本项目公开招标公告。</w:t>
      </w:r>
      <w:r/>
    </w:p>
    <w:p>
      <w:pPr>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三、获取招标文件</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（3）“CA数字证书”的获取：</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cs="宋体"/>
          <w:color w:val="000000"/>
          <w:sz w:val="24"/>
          <w:szCs w:val="24"/>
          <w:lang w:val="en-US" w:eastAsia="zh-CN"/>
        </w:rPr>
        <w:t xml:space="preserve">办事指南</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资料下载</w:t>
      </w:r>
      <w:r>
        <w:rPr>
          <w:rFonts w:hint="eastAsia" w:ascii="宋体" w:hAnsi="宋体" w:cs="宋体"/>
          <w:color w:val="000000"/>
          <w:sz w:val="24"/>
          <w:szCs w:val="24"/>
        </w:rPr>
        <w:t xml:space="preserve">”中的《“苏采云”系统政务CA办理材料、操作手册及控件下载》。</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（三）售价：免费。</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四、投标有关信息</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（一）投标截止时间：</w:t>
      </w:r>
      <w:r>
        <w:rPr>
          <w:rFonts w:hint="eastAsia" w:ascii="宋体" w:hAnsi="宋体" w:eastAsia="宋体" w:cs="宋体"/>
          <w:b/>
          <w:color w:val="auto"/>
          <w:sz w:val="24"/>
          <w:szCs w:val="24"/>
          <w:highlight w:val="none"/>
          <w:lang w:eastAsia="zh-CN"/>
        </w:rPr>
        <w:t xml:space="preserve">2026</w:t>
      </w:r>
      <w:r>
        <w:rPr>
          <w:rFonts w:hint="eastAsia" w:ascii="宋体" w:hAnsi="宋体" w:eastAsia="宋体" w:cs="宋体"/>
          <w:b/>
          <w:color w:val="auto"/>
          <w:sz w:val="24"/>
          <w:szCs w:val="24"/>
          <w:highlight w:val="none"/>
        </w:rPr>
        <w:t xml:space="preserve">年</w:t>
      </w:r>
      <w:r>
        <w:rPr>
          <w:rFonts w:hint="eastAsia" w:ascii="宋体" w:hAnsi="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rPr>
        <w:t xml:space="preserve">月</w:t>
      </w:r>
      <w:r>
        <w:rPr>
          <w:rFonts w:hint="eastAsia" w:ascii="宋体" w:hAnsi="宋体" w:cs="宋体"/>
          <w:b/>
          <w:color w:val="auto"/>
          <w:sz w:val="24"/>
          <w:szCs w:val="24"/>
          <w:highlight w:val="none"/>
          <w:lang w:val="en-US" w:eastAsia="zh-CN"/>
        </w:rPr>
        <w:t xml:space="preserve">08</w:t>
      </w:r>
      <w:r>
        <w:rPr>
          <w:rFonts w:hint="eastAsia" w:ascii="宋体" w:hAnsi="宋体" w:eastAsia="宋体" w:cs="宋体"/>
          <w:b/>
          <w:color w:val="auto"/>
          <w:sz w:val="24"/>
          <w:szCs w:val="24"/>
          <w:highlight w:val="none"/>
        </w:rPr>
        <w:t xml:space="preserve">日北京时间09：</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rPr>
          <w:highlight w:val="none"/>
        </w:rP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（二）开标时间：</w:t>
      </w:r>
      <w:r>
        <w:rPr>
          <w:rFonts w:hint="eastAsia" w:ascii="宋体" w:hAnsi="宋体" w:eastAsia="宋体" w:cs="宋体"/>
          <w:b/>
          <w:color w:val="auto"/>
          <w:sz w:val="24"/>
          <w:szCs w:val="24"/>
          <w:highlight w:val="none"/>
          <w:lang w:eastAsia="zh-CN"/>
        </w:rPr>
        <w:t xml:space="preserve">2026</w:t>
      </w:r>
      <w:r>
        <w:rPr>
          <w:rFonts w:hint="eastAsia" w:ascii="宋体" w:hAnsi="宋体" w:eastAsia="宋体" w:cs="宋体"/>
          <w:b/>
          <w:color w:val="auto"/>
          <w:sz w:val="24"/>
          <w:szCs w:val="24"/>
          <w:highlight w:val="none"/>
        </w:rPr>
        <w:t xml:space="preserve">年</w:t>
      </w:r>
      <w:r>
        <w:rPr>
          <w:rFonts w:hint="eastAsia" w:ascii="宋体" w:hAnsi="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rPr>
        <w:t xml:space="preserve">月</w:t>
      </w:r>
      <w:r>
        <w:rPr>
          <w:rFonts w:hint="eastAsia" w:ascii="宋体" w:hAnsi="宋体" w:cs="宋体"/>
          <w:b/>
          <w:color w:val="auto"/>
          <w:sz w:val="24"/>
          <w:szCs w:val="24"/>
          <w:highlight w:val="none"/>
          <w:lang w:val="en-US" w:eastAsia="zh-CN"/>
        </w:rPr>
        <w:t xml:space="preserve">08</w:t>
      </w:r>
      <w:r>
        <w:rPr>
          <w:rFonts w:hint="eastAsia" w:ascii="宋体" w:hAnsi="宋体" w:eastAsia="宋体" w:cs="宋体"/>
          <w:b/>
          <w:color w:val="auto"/>
          <w:sz w:val="24"/>
          <w:szCs w:val="24"/>
          <w:highlight w:val="none"/>
        </w:rPr>
        <w:t xml:space="preserve">日北京时间09：</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rPr>
          <w:highlight w:val="none"/>
        </w:rP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五、采购人</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（一）名称：</w:t>
      </w:r>
      <w:r>
        <w:rPr>
          <w:rFonts w:hint="eastAsia" w:ascii="宋体" w:hAnsi="宋体" w:cs="宋体"/>
          <w:color w:val="auto"/>
          <w:sz w:val="24"/>
          <w:szCs w:val="24"/>
          <w:highlight w:val="none"/>
          <w:lang w:eastAsia="zh-CN"/>
        </w:rPr>
        <w:t xml:space="preserve">丰县文体广电和旅游局</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（二）地址：</w:t>
      </w:r>
      <w:r>
        <w:rPr>
          <w:rFonts w:hint="eastAsia" w:ascii="宋体" w:hAnsi="宋体" w:cs="宋体"/>
          <w:color w:val="auto"/>
          <w:sz w:val="24"/>
          <w:szCs w:val="24"/>
          <w:highlight w:val="none"/>
          <w:lang w:eastAsia="zh-CN"/>
        </w:rPr>
        <w:t xml:space="preserve">丰县人民路15号</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（三）采购项目联系人：</w:t>
      </w:r>
      <w:r>
        <w:rPr>
          <w:rFonts w:hint="eastAsia" w:ascii="宋体" w:hAnsi="宋体" w:cs="宋体"/>
          <w:color w:val="auto"/>
          <w:sz w:val="24"/>
          <w:szCs w:val="24"/>
          <w:highlight w:val="none"/>
          <w:lang w:val="en-US" w:eastAsia="zh-CN"/>
        </w:rPr>
        <w:t xml:space="preserve">师翔</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（四）联系电话：</w:t>
      </w:r>
      <w:r>
        <w:rPr>
          <w:rFonts w:hint="eastAsia" w:ascii="宋体" w:hAnsi="宋体" w:cs="宋体"/>
          <w:color w:val="auto"/>
          <w:sz w:val="24"/>
          <w:szCs w:val="24"/>
          <w:highlight w:val="none"/>
          <w:lang w:val="en-US" w:eastAsia="zh-CN"/>
        </w:rPr>
        <w:t xml:space="preserve">15365876866</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六、采购代理机构</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（一）名称：</w:t>
      </w:r>
      <w:r>
        <w:rPr>
          <w:rFonts w:hint="eastAsia" w:ascii="宋体" w:hAnsi="宋体" w:cs="宋体"/>
          <w:color w:val="auto"/>
          <w:sz w:val="24"/>
          <w:szCs w:val="24"/>
          <w:highlight w:val="none"/>
          <w:lang w:eastAsia="zh-CN"/>
        </w:rPr>
        <w:t xml:space="preserve">徐州易合工程管理有限公司</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（二）地址：</w:t>
      </w:r>
      <w:r>
        <w:rPr>
          <w:rFonts w:hint="eastAsia" w:ascii="宋体" w:hAnsi="宋体" w:cs="宋体"/>
          <w:color w:val="auto"/>
          <w:sz w:val="24"/>
          <w:szCs w:val="24"/>
          <w:highlight w:val="none"/>
          <w:lang w:eastAsia="zh-CN"/>
        </w:rPr>
        <w:t xml:space="preserve">徐州市云龙区昆仑大道8号永嘉新城中心广场B座</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（三）采购项目联系人：</w:t>
      </w:r>
      <w:r>
        <w:rPr>
          <w:rFonts w:hint="eastAsia" w:ascii="宋体" w:hAnsi="宋体" w:cs="宋体"/>
          <w:color w:val="auto"/>
          <w:sz w:val="24"/>
          <w:szCs w:val="24"/>
          <w:highlight w:val="none"/>
          <w:lang w:val="en-US" w:eastAsia="zh-CN"/>
        </w:rPr>
        <w:t xml:space="preserve">张工</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（四）联系电话：</w:t>
      </w:r>
      <w:r>
        <w:rPr>
          <w:rFonts w:hint="eastAsia" w:ascii="宋体" w:hAnsi="宋体" w:cs="宋体"/>
          <w:color w:val="auto"/>
          <w:sz w:val="24"/>
          <w:szCs w:val="24"/>
          <w:highlight w:val="none"/>
          <w:lang w:eastAsia="zh-CN"/>
        </w:rPr>
        <w:t xml:space="preserve">19707857717</w:t>
      </w:r>
      <w:r/>
    </w:p>
    <w:p>
      <w:pPr>
        <w:ind w:firstLine="300"/>
        <w:spacing w:line="51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ind w:firstLine="600"/>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jc w:val="center"/>
        <w:spacing w:line="720" w:lineRule="atLeast"/>
        <w:rPr>
          <w:rFonts w:hint="eastAsia" w:ascii="宋体" w:hAnsi="宋体" w:eastAsia="宋体" w:cs="宋体"/>
          <w:b/>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宋体" w:hAnsi="宋体" w:eastAsia="宋体" w:cs="宋体"/>
          <w:b/>
          <w:sz w:val="30"/>
        </w:rPr>
      </w:r>
      <w:r/>
    </w:p>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szCs w:val="30"/>
        </w:rPr>
        <w:t xml:space="preserve">第二章</w:t>
      </w:r>
      <w:r>
        <w:rPr>
          <w:rFonts w:hint="eastAsia" w:ascii="宋体" w:hAnsi="宋体" w:eastAsia="宋体" w:cs="宋体"/>
          <w:b/>
          <w:sz w:val="30"/>
          <w:szCs w:val="30"/>
          <w:lang w:val="en-US" w:eastAsia="zh-CN"/>
        </w:rPr>
        <w:t xml:space="preserve"> </w:t>
      </w:r>
      <w:r>
        <w:rPr>
          <w:rFonts w:hint="eastAsia" w:ascii="宋体" w:hAnsi="宋体" w:eastAsia="宋体" w:cs="宋体"/>
          <w:b/>
          <w:sz w:val="30"/>
          <w:szCs w:val="30"/>
        </w:rPr>
        <w:t xml:space="preserve">投标人须知</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三、投标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5.不同投标人的投标文件相互混装；</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7.投标文件未按规定期限投标的；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8.投标文件未按招标文件要求签署和盖章的；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9.投标人未在规定时间内解密电子投标文件的；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10.投标文件未按招标文件规定的内容和要求填写的；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12.报价超过招标文件中规定的预算金额或者最高限价的；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13.投标文件含有采购人不能接受的条件的；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14.法律、法规和招标文件规定的其他无效情形。</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（8）核对评标结果，对有《</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"http://www.caigou2003.com/" \o "http://www.caigou2003.com/" </w:instrText>
      </w:r>
      <w:r>
        <w:rPr>
          <w:rFonts w:hint="eastAsia" w:ascii="宋体" w:hAnsi="宋体" w:eastAsia="宋体" w:cs="宋体"/>
          <w:color w:val="auto"/>
          <w:sz w:val="24"/>
          <w:szCs w:val="24"/>
        </w:rPr>
        <w:fldChar w:fldCharType="separate"/>
      </w:r>
      <w:r>
        <w:rPr>
          <w:rStyle w:val="810"/>
          <w:rFonts w:hint="eastAsia" w:ascii="宋体" w:hAnsi="宋体" w:eastAsia="宋体" w:cs="宋体"/>
          <w:color w:val="auto"/>
          <w:sz w:val="24"/>
          <w:szCs w:val="24"/>
          <w:u w:val="none"/>
        </w:rPr>
        <w:t xml:space="preserve">政府采购</w:t>
      </w:r>
      <w:r>
        <w:rPr>
          <w:rStyle w:val="810"/>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①资格性审查。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"http://lilun.caigou2003.com/recijiedu/2365668.html" \o "http://lilun.caigou2003.com/recijiedu/2365668.html" </w:instrText>
      </w:r>
      <w:r>
        <w:rPr>
          <w:rFonts w:hint="eastAsia" w:ascii="宋体" w:hAnsi="宋体" w:eastAsia="宋体" w:cs="宋体"/>
          <w:color w:val="auto"/>
          <w:sz w:val="24"/>
          <w:szCs w:val="24"/>
        </w:rPr>
        <w:fldChar w:fldCharType="separate"/>
      </w:r>
      <w:r>
        <w:rPr>
          <w:rStyle w:val="810"/>
          <w:rFonts w:hint="eastAsia" w:ascii="宋体" w:hAnsi="宋体" w:eastAsia="宋体" w:cs="宋体"/>
          <w:color w:val="auto"/>
          <w:sz w:val="24"/>
          <w:szCs w:val="24"/>
          <w:u w:val="none"/>
        </w:rPr>
        <w:t xml:space="preserve">最低评标价法</w:t>
      </w:r>
      <w:r>
        <w:rPr>
          <w:rStyle w:val="810"/>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"http://lilun.caigou2003.com/recijiedu/2365667.html" \o "http://lilun.caigou2003.com/recijiedu/2365667.html" </w:instrText>
      </w:r>
      <w:r>
        <w:rPr>
          <w:rFonts w:hint="eastAsia" w:ascii="宋体" w:hAnsi="宋体" w:eastAsia="宋体" w:cs="宋体"/>
          <w:color w:val="auto"/>
          <w:sz w:val="24"/>
          <w:szCs w:val="24"/>
        </w:rPr>
        <w:fldChar w:fldCharType="separate"/>
      </w:r>
      <w:r>
        <w:rPr>
          <w:rStyle w:val="810"/>
          <w:rFonts w:hint="eastAsia" w:ascii="宋体" w:hAnsi="宋体" w:eastAsia="宋体" w:cs="宋体"/>
          <w:color w:val="auto"/>
          <w:sz w:val="24"/>
          <w:szCs w:val="24"/>
          <w:u w:val="none"/>
        </w:rPr>
        <w:t xml:space="preserve">综合评分法</w:t>
      </w:r>
      <w:r>
        <w:rPr>
          <w:rStyle w:val="810"/>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1.投标（响应）报价低于全部通过符合性审查供应商投标（响应）报价平均值</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，即投标（响应）报价&lt;全部通过符合性审查供应商投标（响应）报价平均值</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2.投标（响应）报价低于通过符合性审查的次低报价供应商投标（响应）报价</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，即投标（响应）报价&lt;通过符合性审查的次低报价供应商投标（响应）报价</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3.投标（响应）报价低于采购项目最高限价（未设定最高限价的采购项目，以采购项目预算金额作为最高限价）</w:t>
      </w:r>
      <w:r>
        <w:rPr>
          <w:rFonts w:hint="eastAsia" w:ascii="宋体" w:hAnsi="宋体" w:eastAsia="宋体" w:cs="宋体"/>
          <w:b/>
          <w:bCs/>
          <w:color w:val="auto"/>
          <w:sz w:val="24"/>
          <w:szCs w:val="24"/>
        </w:rPr>
        <w:t xml:space="preserve">45%的，</w:t>
      </w:r>
      <w:r>
        <w:rPr>
          <w:rFonts w:hint="eastAsia" w:ascii="宋体" w:hAnsi="宋体" w:eastAsia="宋体" w:cs="宋体"/>
          <w:color w:val="auto"/>
          <w:sz w:val="24"/>
          <w:szCs w:val="24"/>
        </w:rPr>
        <w:t xml:space="preserve">即投标（响应）报价&lt;采购项目最高限价</w:t>
      </w:r>
      <w:r>
        <w:rPr>
          <w:rFonts w:hint="eastAsia" w:ascii="宋体" w:hAnsi="宋体" w:eastAsia="宋体" w:cs="宋体"/>
          <w:b/>
          <w:bCs/>
          <w:color w:val="auto"/>
          <w:sz w:val="24"/>
          <w:szCs w:val="24"/>
        </w:rPr>
        <w:t xml:space="preserve">×45%；</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六、定标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九、电子招标投标交易平台</w:t>
      </w:r>
      <w:r/>
    </w:p>
    <w:p>
      <w:pPr>
        <w:ind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（四十一）电子招标投标交易平台（即“苏采云”系统，网址：http://jszfcg.jsczt.cn/）相关要求是本招标文件的组成部分。</w:t>
      </w:r>
      <w:r>
        <w:rPr>
          <w:rFonts w:hint="eastAsia" w:ascii="宋体" w:hAnsi="宋体" w:eastAsia="宋体" w:cs="宋体"/>
        </w:rPr>
        <w:br w:type="page" w:clear="all"/>
      </w:r>
      <w:r/>
    </w:p>
    <w:p>
      <w:pPr>
        <w:jc w:val="center"/>
        <w:spacing w:line="360" w:lineRule="auto"/>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szCs w:val="30"/>
        </w:rPr>
        <w:t xml:space="preserve">第三章 投标资料表</w:t>
      </w:r>
      <w:r/>
    </w:p>
    <w:p>
      <w:pPr>
        <w:ind w:firstLine="60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807"/>
        <w:tblW w:w="51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477"/>
      </w:tblGrid>
      <w:tr>
        <w:trPr>
          <w:jc w:val="center"/>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条款项号</w:t>
            </w:r>
            <w:r/>
          </w:p>
        </w:tc>
        <w:tc>
          <w:tcPr>
            <w:tcMar>
              <w:left w:w="108" w:type="dxa"/>
              <w:top w:w="0" w:type="dxa"/>
              <w:right w:w="108" w:type="dxa"/>
              <w:bottom w:w="0" w:type="dxa"/>
            </w:tcMar>
            <w:tcW w:w="4275"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内 容</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总则</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本项目采购人：</w:t>
            </w:r>
            <w:r>
              <w:rPr>
                <w:rFonts w:hint="eastAsia" w:ascii="宋体" w:hAnsi="宋体" w:cs="宋体"/>
                <w:color w:val="auto"/>
                <w:sz w:val="24"/>
                <w:szCs w:val="24"/>
                <w:lang w:eastAsia="zh-CN"/>
              </w:rPr>
              <w:t xml:space="preserve">丰县文体广电和旅游局</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本次采购采用的政府采购方式：公开招标</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(四)</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采购人确定的采购项目属性：</w:t>
            </w:r>
            <w:r>
              <w:rPr>
                <w:rFonts w:hint="eastAsia" w:ascii="宋体" w:hAnsi="宋体" w:eastAsia="宋体" w:cs="宋体"/>
                <w:b w:val="0"/>
                <w:bCs w:val="0"/>
                <w:color w:val="auto"/>
                <w:sz w:val="24"/>
                <w:szCs w:val="24"/>
                <w:lang w:val="en-US" w:eastAsia="zh-CN"/>
              </w:rPr>
              <w:t xml:space="preserve">货物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本项目采购代理机构：</w:t>
            </w:r>
            <w:r>
              <w:rPr>
                <w:rFonts w:hint="eastAsia" w:ascii="宋体" w:hAnsi="宋体" w:cs="宋体"/>
                <w:color w:val="auto"/>
                <w:sz w:val="24"/>
                <w:szCs w:val="24"/>
                <w:lang w:eastAsia="zh-CN"/>
              </w:rPr>
              <w:t xml:space="preserve">徐州易合工程管理有限公司</w:t>
            </w:r>
            <w:r/>
          </w:p>
        </w:tc>
      </w:tr>
      <w:tr>
        <w:trPr>
          <w:jc w:val="center"/>
          <w:trHeight w:val="508"/>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投标人的资格条件：</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一、符合《中华人民共和国政府采购法》第二十二条的规定；</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二、</w:t>
            </w:r>
            <w:r>
              <w:rPr>
                <w:rFonts w:hint="eastAsia" w:ascii="宋体" w:hAnsi="宋体" w:eastAsia="宋体" w:cs="宋体"/>
                <w:b/>
                <w:color w:val="auto"/>
                <w:sz w:val="24"/>
                <w:szCs w:val="24"/>
              </w:rPr>
              <w:t xml:space="preserve">此项目属于专门面向中小微企业采购的项目，</w:t>
            </w:r>
            <w:r>
              <w:rPr>
                <w:rFonts w:hint="eastAsia" w:ascii="宋体" w:hAnsi="宋体" w:cs="宋体"/>
                <w:b/>
                <w:color w:val="auto"/>
                <w:sz w:val="24"/>
                <w:szCs w:val="24"/>
                <w:lang w:val="en-US" w:eastAsia="zh-CN"/>
              </w:rPr>
              <w:t xml:space="preserve">投标人</w:t>
            </w:r>
            <w:r>
              <w:rPr>
                <w:rFonts w:hint="eastAsia" w:ascii="宋体" w:hAnsi="宋体" w:eastAsia="宋体" w:cs="宋体"/>
                <w:b/>
                <w:color w:val="auto"/>
                <w:sz w:val="24"/>
                <w:szCs w:val="24"/>
              </w:rPr>
              <w:t xml:space="preserve">所提供的货物全部由符合政策要求的中小企业制造，</w:t>
            </w:r>
            <w:r>
              <w:rPr>
                <w:rFonts w:hint="eastAsia" w:ascii="宋体" w:hAnsi="宋体" w:cs="宋体"/>
                <w:b/>
                <w:color w:val="auto"/>
                <w:sz w:val="24"/>
                <w:szCs w:val="24"/>
                <w:lang w:val="en-US" w:eastAsia="zh-CN"/>
              </w:rPr>
              <w:t xml:space="preserve">投标人</w:t>
            </w:r>
            <w:r>
              <w:rPr>
                <w:rFonts w:hint="eastAsia" w:ascii="宋体" w:hAnsi="宋体" w:eastAsia="宋体" w:cs="宋体"/>
                <w:b/>
                <w:color w:val="auto"/>
                <w:sz w:val="24"/>
                <w:szCs w:val="24"/>
              </w:rPr>
              <w:t xml:space="preserve">提供的货物的制造商应全部为中小微企业、监狱企业、残疾人福利性单位。</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同时明确相关事项如下</w:t>
            </w:r>
            <w:r>
              <w:rPr>
                <w:rFonts w:hint="eastAsia" w:ascii="宋体" w:hAnsi="宋体" w:eastAsia="宋体" w:cs="宋体"/>
                <w:b/>
                <w:bCs/>
                <w:color w:val="auto"/>
                <w:sz w:val="24"/>
                <w:szCs w:val="24"/>
              </w:rPr>
              <w:t xml:space="preserve">：</w:t>
            </w:r>
            <w:r/>
          </w:p>
          <w:p>
            <w:pPr>
              <w:ind w:firstLine="2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1、本项目不接受联合体参与采购活动。</w:t>
            </w:r>
            <w:r/>
          </w:p>
          <w:p>
            <w:pPr>
              <w:ind w:firstLine="2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2、单位负责人为同一人或者存在直接控股、管理关系的不同</w:t>
            </w:r>
            <w:r>
              <w:rPr>
                <w:rFonts w:hint="eastAsia" w:ascii="宋体" w:hAnsi="宋体" w:cs="宋体"/>
                <w:color w:val="auto"/>
                <w:sz w:val="24"/>
                <w:szCs w:val="24"/>
                <w:lang w:val="en-US" w:eastAsia="zh-CN"/>
              </w:rPr>
              <w:t xml:space="preserve">投标人</w:t>
            </w:r>
            <w:r>
              <w:rPr>
                <w:rFonts w:hint="eastAsia" w:ascii="宋体" w:hAnsi="宋体" w:eastAsia="宋体" w:cs="宋体"/>
                <w:color w:val="auto"/>
                <w:sz w:val="24"/>
                <w:szCs w:val="24"/>
              </w:rPr>
              <w:t xml:space="preserve">，不得参加同一合同项下的政府采购活动。</w:t>
            </w:r>
            <w:r/>
          </w:p>
          <w:p>
            <w:pPr>
              <w:ind w:firstLine="2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3、为本采购项目提供整体设计、规范编制或者项目管理、监理、检测等服务的</w:t>
            </w:r>
            <w:r>
              <w:rPr>
                <w:rFonts w:hint="eastAsia" w:ascii="宋体" w:hAnsi="宋体" w:cs="宋体"/>
                <w:color w:val="auto"/>
                <w:sz w:val="24"/>
                <w:szCs w:val="24"/>
                <w:lang w:val="en-US" w:eastAsia="zh-CN"/>
              </w:rPr>
              <w:t xml:space="preserve">投标人</w:t>
            </w:r>
            <w:r>
              <w:rPr>
                <w:rFonts w:hint="eastAsia" w:ascii="宋体" w:hAnsi="宋体" w:eastAsia="宋体" w:cs="宋体"/>
                <w:color w:val="auto"/>
                <w:sz w:val="24"/>
                <w:szCs w:val="24"/>
              </w:rPr>
              <w:t xml:space="preserve">，不得再参加本采购项目的采购活动。</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t xml:space="preserve">五</w:t>
            </w:r>
            <w:r>
              <w:rPr>
                <w:rFonts w:hint="eastAsia" w:ascii="宋体" w:hAnsi="宋体" w:eastAsia="宋体" w:cs="宋体"/>
                <w:b/>
                <w:bCs/>
                <w:color w:val="auto"/>
                <w:sz w:val="24"/>
                <w:szCs w:val="24"/>
              </w:rPr>
              <w:t xml:space="preserve">、查询及使用</w:t>
            </w:r>
            <w:r>
              <w:rPr>
                <w:rFonts w:hint="eastAsia" w:ascii="宋体" w:hAnsi="宋体" w:cs="宋体"/>
                <w:b/>
                <w:bCs/>
                <w:color w:val="auto"/>
                <w:sz w:val="24"/>
                <w:szCs w:val="24"/>
                <w:lang w:val="en-US" w:eastAsia="zh-CN"/>
              </w:rPr>
              <w:t xml:space="preserve">投标人</w:t>
            </w:r>
            <w:r>
              <w:rPr>
                <w:rFonts w:hint="eastAsia" w:ascii="宋体" w:hAnsi="宋体" w:eastAsia="宋体" w:cs="宋体"/>
                <w:b/>
                <w:bCs/>
                <w:color w:val="auto"/>
                <w:sz w:val="24"/>
                <w:szCs w:val="24"/>
              </w:rPr>
              <w:t xml:space="preserve">信用记录：</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由采购人查询信用信息。</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查询渠道包括：</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1、“信用中国”网（www.creditchina.gov.cn）；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2、中国政府采购网（www.ccgp.gov.cn）；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3、“信用江苏”网（http://credit.jiangsu.gov.cn）；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4、“信用中国（江苏徐州）”（http://www.xuzhoucredit.gov.cn）；</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三</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截止时点（查询环节）：开标后资格审查结束前。</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信用信息查询记录和证据留存的具体方式：网页截屏打印，与其他采购文件一并保存。</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五</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信用信息的使用规则：</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采购人对</w:t>
            </w:r>
            <w:r>
              <w:rPr>
                <w:rFonts w:hint="eastAsia" w:ascii="宋体" w:hAnsi="宋体" w:cs="宋体"/>
                <w:color w:val="auto"/>
                <w:sz w:val="24"/>
                <w:szCs w:val="24"/>
                <w:lang w:val="en-US" w:eastAsia="zh-CN"/>
              </w:rPr>
              <w:t xml:space="preserve">投标人</w:t>
            </w:r>
            <w:r>
              <w:rPr>
                <w:rFonts w:hint="eastAsia" w:ascii="宋体" w:hAnsi="宋体" w:eastAsia="宋体" w:cs="宋体"/>
                <w:color w:val="auto"/>
                <w:sz w:val="24"/>
                <w:szCs w:val="24"/>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宋体" w:hAnsi="宋体" w:cs="宋体"/>
                <w:color w:val="auto"/>
                <w:sz w:val="24"/>
                <w:szCs w:val="24"/>
                <w:lang w:val="en-US" w:eastAsia="zh-CN"/>
              </w:rPr>
              <w:t xml:space="preserve">投标人</w:t>
            </w:r>
            <w:r>
              <w:rPr>
                <w:rFonts w:hint="eastAsia" w:ascii="宋体" w:hAnsi="宋体" w:eastAsia="宋体" w:cs="宋体"/>
                <w:color w:val="auto"/>
                <w:sz w:val="24"/>
                <w:szCs w:val="24"/>
              </w:rPr>
              <w:t xml:space="preserve">，拒绝其参与政府采购活动。</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(七)</w:t>
            </w:r>
            <w:r/>
          </w:p>
        </w:tc>
        <w:tc>
          <w:tcPr>
            <w:tcMar>
              <w:left w:w="108" w:type="dxa"/>
              <w:top w:w="0" w:type="dxa"/>
              <w:right w:w="108" w:type="dxa"/>
              <w:bottom w:w="0" w:type="dxa"/>
            </w:tcMar>
            <w:tcW w:w="4275" w:type="pct"/>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招标代理服务费由中标人支付，按照本章附件：《招标代理服务收费标准》收取。</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二</w:t>
            </w:r>
            <w:r/>
          </w:p>
        </w:tc>
        <w:tc>
          <w:tcPr>
            <w:tcMar>
              <w:left w:w="108" w:type="dxa"/>
              <w:top w:w="0" w:type="dxa"/>
              <w:right w:w="108" w:type="dxa"/>
              <w:bottom w:w="0" w:type="dxa"/>
            </w:tcMar>
            <w:tcW w:w="4275" w:type="pct"/>
            <w:textDirection w:val="lrTb"/>
            <w:noWrap w:val="false"/>
          </w:tcPr>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招标</w:t>
            </w:r>
            <w:r/>
          </w:p>
        </w:tc>
      </w:tr>
      <w:tr>
        <w:trPr>
          <w:jc w:val="center"/>
          <w:trHeight w:val="1504"/>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九</w:t>
            </w:r>
            <w:r>
              <w:rPr>
                <w:rFonts w:hint="eastAsia" w:ascii="宋体" w:hAnsi="宋体" w:eastAsia="宋体" w:cs="宋体"/>
                <w:color w:val="auto"/>
                <w:sz w:val="24"/>
                <w:szCs w:val="24"/>
              </w:rPr>
              <w:t xml:space="preserve">)1</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(九)2</w:t>
            </w:r>
            <w:r/>
          </w:p>
        </w:tc>
        <w:tc>
          <w:tcPr>
            <w:tcMar>
              <w:left w:w="108" w:type="dxa"/>
              <w:top w:w="0" w:type="dxa"/>
              <w:right w:w="108" w:type="dxa"/>
              <w:bottom w:w="0" w:type="dxa"/>
            </w:tcMar>
            <w:tcW w:w="4275" w:type="pct"/>
            <w:vAlign w:val="top"/>
            <w:textDirection w:val="lrTb"/>
            <w:noWrap w:val="false"/>
          </w:tcPr>
          <w:p>
            <w:pPr>
              <w:tabs>
                <w:tab w:val="left" w:pos="5760" w:leader="none"/>
              </w:tabs>
              <w:rPr>
                <w:rFonts w:hint="eastAsia" w:ascii="宋体" w:hAnsi="宋体" w:eastAsia="宋体" w:cs="宋体"/>
                <w:sz w:val="24"/>
                <w:szCs w:val="24"/>
              </w:rPr>
            </w:pPr>
            <w:r>
              <w:rPr>
                <w:rFonts w:hint="eastAsia" w:ascii="宋体" w:hAnsi="宋体" w:eastAsia="宋体" w:cs="宋体"/>
                <w:b/>
                <w:bCs/>
                <w:color w:val="auto"/>
                <w:sz w:val="24"/>
                <w:szCs w:val="24"/>
              </w:rPr>
              <w:t xml:space="preserve">自行现场勘察。</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(九)3</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不安排开标前答疑会。</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w:t>
            </w:r>
            <w:r/>
          </w:p>
        </w:tc>
      </w:tr>
      <w:tr>
        <w:trPr>
          <w:jc w:val="center"/>
          <w:trHeight w:val="90"/>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投标文件的语言为中文</w:t>
            </w:r>
            <w:r/>
          </w:p>
        </w:tc>
      </w:tr>
      <w:tr>
        <w:trPr>
          <w:jc w:val="center"/>
          <w:trHeight w:val="472"/>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(十二)1</w:t>
            </w:r>
            <w:r/>
          </w:p>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(十二)2</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线上投标文件编制要求：</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请按照以下要求（包括但不限于以下要求）制作：</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一、基本目录</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1、《开标一览表》（加盖电子签章，政府采购客户端工具输入报价自动生成）；</w:t>
            </w:r>
            <w:r/>
          </w:p>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2、所投产品的环境标志产品认证证书原件的扫描件（如有）。</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（2）环境标志产品认证证书是否符合要求，采购人评标时查询中国政府采购网（www.ccgp.gov.cn）相关内容后确定。</w:t>
            </w:r>
            <w:r/>
          </w:p>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3、所投产品的节能产品认证证书原件的扫描件（如有）。</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（2）节能产品认证证书是否符合要求，采购人评标时查询中国政府采购网（www.ccgp.gov.cn）相关内容后确定。</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lang w:val="en-US" w:eastAsia="zh-CN"/>
              </w:rPr>
              <w:t xml:space="preserve">4、其它（包含但不限于本国产品的声明函等，如有）。</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二、资格条件（必须提供，否则投标将被拒绝）</w:t>
            </w:r>
            <w:r/>
          </w:p>
          <w:p>
            <w:pP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投标人合法有效的营业执照扫描件，或事业单位法人证书扫描件，或民办非企业单位登记证书扫描件；</w:t>
            </w:r>
            <w:r/>
          </w:p>
          <w:p>
            <w:pPr>
              <w:ind w:right="28"/>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财务状况报告（即提供投标人的本项目开标时间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不含开标当月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前6个月内任何时间的</w:t>
            </w:r>
            <w:r>
              <w:rPr>
                <w:rFonts w:hint="eastAsia" w:ascii="宋体" w:hAnsi="宋体" w:eastAsia="宋体" w:cs="宋体"/>
                <w:b/>
                <w:color w:val="auto"/>
                <w:sz w:val="24"/>
                <w:szCs w:val="24"/>
              </w:rPr>
              <w:t xml:space="preserve">资产负债表、利润表扫描件各一份</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提供投标人</w:t>
            </w:r>
            <w:r>
              <w:rPr>
                <w:rFonts w:hint="eastAsia" w:ascii="宋体" w:hAnsi="宋体" w:eastAsia="宋体" w:cs="宋体"/>
                <w:b/>
                <w:bCs/>
                <w:color w:val="auto"/>
                <w:sz w:val="24"/>
                <w:szCs w:val="24"/>
                <w:lang w:val="en-US" w:eastAsia="zh-CN"/>
              </w:rPr>
              <w:t xml:space="preserve">2025年度</w:t>
            </w:r>
            <w:r>
              <w:rPr>
                <w:rFonts w:hint="eastAsia" w:ascii="宋体" w:hAnsi="宋体" w:eastAsia="宋体" w:cs="宋体"/>
                <w:b/>
                <w:bCs/>
                <w:color w:val="auto"/>
                <w:sz w:val="24"/>
                <w:szCs w:val="24"/>
              </w:rPr>
              <w:t xml:space="preserve">经审计</w:t>
            </w:r>
            <w:r>
              <w:rPr>
                <w:rFonts w:hint="eastAsia" w:ascii="宋体" w:hAnsi="宋体" w:eastAsia="宋体" w:cs="宋体"/>
                <w:color w:val="auto"/>
                <w:sz w:val="24"/>
                <w:szCs w:val="24"/>
              </w:rPr>
              <w:t xml:space="preserve">的财务报告扫描件一份；</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财政部门认可的政府采购专业担保机构出具的有效的投标担保函扫描件一份；</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投标人的本项目开标时间（不含开标当月）前6个月内银行出具的</w:t>
            </w:r>
            <w:r>
              <w:rPr>
                <w:rFonts w:hint="eastAsia" w:ascii="宋体" w:hAnsi="宋体" w:eastAsia="宋体" w:cs="宋体"/>
                <w:b/>
                <w:color w:val="auto"/>
                <w:sz w:val="24"/>
                <w:szCs w:val="24"/>
              </w:rPr>
              <w:t xml:space="preserve">资信证明扫描件</w:t>
            </w:r>
            <w:r>
              <w:rPr>
                <w:rFonts w:hint="eastAsia" w:ascii="宋体" w:hAnsi="宋体" w:eastAsia="宋体" w:cs="宋体"/>
                <w:color w:val="auto"/>
                <w:sz w:val="24"/>
                <w:szCs w:val="24"/>
              </w:rPr>
              <w:t xml:space="preserve">一份）；</w:t>
            </w:r>
            <w:r/>
          </w:p>
          <w:p>
            <w:pPr>
              <w:ind w:right="28"/>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投标人的本项目开标时间（不含开标当月）前6个月内任何1个月的</w:t>
            </w:r>
            <w:r>
              <w:rPr>
                <w:rFonts w:hint="eastAsia" w:ascii="宋体" w:hAnsi="宋体" w:eastAsia="宋体" w:cs="宋体"/>
                <w:b/>
                <w:color w:val="auto"/>
                <w:sz w:val="24"/>
                <w:szCs w:val="24"/>
              </w:rPr>
              <w:t xml:space="preserve">依法缴纳税收扫描件和社会保障资金扫描件</w:t>
            </w:r>
            <w:r>
              <w:rPr>
                <w:rFonts w:hint="eastAsia" w:ascii="宋体" w:hAnsi="宋体" w:eastAsia="宋体" w:cs="宋体"/>
                <w:color w:val="auto"/>
                <w:sz w:val="24"/>
                <w:szCs w:val="24"/>
              </w:rPr>
              <w:t xml:space="preserve">的相关材料</w:t>
            </w:r>
            <w:r>
              <w:rPr>
                <w:rFonts w:hint="eastAsia" w:ascii="宋体" w:hAnsi="宋体" w:eastAsia="宋体" w:cs="宋体"/>
                <w:b/>
                <w:color w:val="auto"/>
                <w:sz w:val="24"/>
                <w:szCs w:val="24"/>
              </w:rPr>
              <w:t xml:space="preserve">各一份</w:t>
            </w:r>
            <w:r>
              <w:rPr>
                <w:rFonts w:hint="eastAsia" w:ascii="宋体" w:hAnsi="宋体" w:eastAsia="宋体" w:cs="宋体"/>
                <w:color w:val="auto"/>
                <w:sz w:val="24"/>
                <w:szCs w:val="24"/>
              </w:rPr>
              <w:t xml:space="preserve">（依法免税或不需要缴纳社会保障资金的</w:t>
            </w:r>
            <w:r>
              <w:rPr>
                <w:rFonts w:hint="eastAsia" w:ascii="宋体" w:hAnsi="宋体" w:cs="宋体"/>
                <w:color w:val="auto"/>
                <w:sz w:val="24"/>
                <w:szCs w:val="24"/>
                <w:lang w:val="en-US" w:eastAsia="zh-CN"/>
              </w:rPr>
              <w:t xml:space="preserve">投标人</w:t>
            </w:r>
            <w:r>
              <w:rPr>
                <w:rFonts w:hint="eastAsia" w:ascii="宋体" w:hAnsi="宋体" w:eastAsia="宋体" w:cs="宋体"/>
                <w:color w:val="auto"/>
                <w:sz w:val="24"/>
                <w:szCs w:val="24"/>
              </w:rPr>
              <w:t xml:space="preserve">,提供相应文件扫描件证明其依法免税或不需要缴纳社会保障资金)；</w:t>
            </w:r>
            <w:r/>
          </w:p>
          <w:p>
            <w:pPr>
              <w:ind w:right="28"/>
              <w:spacing w:line="240" w:lineRule="auto"/>
              <w:rPr>
                <w:rFonts w:hint="eastAsia" w:ascii="宋体" w:hAnsi="宋体" w:eastAsia="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具备履行合同所必需的设备和专业技术能力的证明材料。</w:t>
            </w:r>
            <w:r>
              <w:rPr>
                <w:rFonts w:hint="eastAsia" w:ascii="宋体" w:hAnsi="宋体" w:eastAsia="宋体" w:cs="宋体"/>
                <w:b/>
                <w:bCs/>
                <w:color w:val="auto"/>
                <w:sz w:val="24"/>
                <w:szCs w:val="24"/>
              </w:rPr>
              <w:t xml:space="preserve">即投标文件中提供《具备履行合同所必需的设备和专业技术能力的书面声明（附证明材料扫描件）》（加盖电子签章，格式见招标文件第七章《投标文件相关格式》,所附证明材料扫描件可不加盖电子签章）</w:t>
            </w:r>
            <w:r>
              <w:rPr>
                <w:rFonts w:hint="eastAsia" w:ascii="宋体" w:hAnsi="宋体" w:cs="宋体"/>
                <w:b/>
                <w:bCs/>
                <w:color w:val="auto"/>
                <w:sz w:val="24"/>
                <w:szCs w:val="24"/>
                <w:lang w:eastAsia="zh-CN"/>
              </w:rPr>
              <w:t xml:space="preserve">；</w:t>
            </w:r>
            <w:r/>
          </w:p>
          <w:p>
            <w:pPr>
              <w:ind w:right="28"/>
              <w:rPr>
                <w:rFonts w:hint="eastAsia" w:ascii="宋体" w:hAnsi="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（五）投标人参加政府采购活动前3年内在经营活动中没有重大违法记录的书面声明，加盖</w:t>
            </w:r>
            <w:r>
              <w:rPr>
                <w:rFonts w:hint="eastAsia" w:ascii="宋体" w:hAnsi="宋体" w:eastAsia="宋体" w:cs="宋体"/>
                <w:b/>
                <w:color w:val="auto"/>
                <w:sz w:val="24"/>
                <w:szCs w:val="24"/>
              </w:rPr>
              <w:t xml:space="preserve">电子签章</w:t>
            </w:r>
            <w:r>
              <w:rPr>
                <w:rFonts w:hint="eastAsia" w:ascii="宋体" w:hAnsi="宋体" w:eastAsia="宋体" w:cs="宋体"/>
                <w:color w:val="auto"/>
                <w:sz w:val="24"/>
                <w:szCs w:val="24"/>
              </w:rPr>
              <w:t xml:space="preserve">，格式见本文件第七章《投标文件相关格式》</w:t>
            </w:r>
            <w:r>
              <w:rPr>
                <w:rFonts w:hint="eastAsia" w:ascii="宋体" w:hAnsi="宋体" w:cs="宋体"/>
                <w:color w:val="auto"/>
                <w:sz w:val="24"/>
                <w:szCs w:val="24"/>
                <w:lang w:eastAsia="zh-CN"/>
              </w:rPr>
              <w:t xml:space="preserve">；</w:t>
            </w:r>
            <w:r/>
          </w:p>
          <w:p>
            <w:pPr>
              <w:ind w:right="28"/>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六</w:t>
            </w:r>
            <w:r>
              <w:rPr>
                <w:rFonts w:hint="eastAsia" w:ascii="宋体" w:hAnsi="宋体" w:eastAsia="宋体" w:cs="宋体"/>
                <w:b w:val="0"/>
                <w:bCs w:val="0"/>
                <w:color w:val="auto"/>
                <w:sz w:val="24"/>
                <w:szCs w:val="24"/>
                <w:lang w:eastAsia="zh-CN"/>
              </w:rPr>
              <w:t xml:space="preserve">）投标人提供的货物全部由符合政策要求的中小企业制造的，提供《中小企业声明函》（填写完整，加盖电子签章，格式见招标文件第七章《投标文件相关格式》，</w:t>
            </w:r>
            <w:r>
              <w:rPr>
                <w:rFonts w:hint="eastAsia" w:ascii="宋体" w:hAnsi="宋体" w:eastAsia="宋体" w:cs="宋体"/>
                <w:b/>
                <w:bCs/>
                <w:color w:val="auto"/>
                <w:sz w:val="24"/>
                <w:szCs w:val="24"/>
                <w:lang w:eastAsia="zh-CN"/>
              </w:rPr>
              <w:t xml:space="preserve">必须提供</w:t>
            </w:r>
            <w:r>
              <w:rPr>
                <w:rFonts w:hint="eastAsia" w:ascii="宋体" w:hAnsi="宋体" w:eastAsia="宋体" w:cs="宋体"/>
                <w:b w:val="0"/>
                <w:bCs w:val="0"/>
                <w:color w:val="auto"/>
                <w:sz w:val="24"/>
                <w:szCs w:val="24"/>
                <w:lang w:eastAsia="zh-CN"/>
              </w:rPr>
              <w:t xml:space="preserve">）。 </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14:textFill>
                  <w14:solidFill>
                    <w14:schemeClr w14:val="tx1"/>
                  </w14:solidFill>
                </w14:textFill>
              </w:rPr>
              <w:t xml:space="preserve">注：</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注：具体以《财政部 司法部关于政府采购支持监狱企业发展有关问题的通知》（财库〔2014〕68号）的规定为准。</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享受政府采购支持政策的残疾人福利性单位应当同时满足以下条件：</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①安置的残疾人占本单位在职职工人数的比例不低于25%（含25%），并且安置的残疾人人数不少于10人（含10人）；</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②依法与安置的每位残疾人签订了一年以上（含一年）的劳动合同或服务协议；</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具体以《三部门联合发布关于促进残疾人就业政府采购政策的通知》（财库〔2017〕141号）规定为准。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三、符合条件（必须提供，否则投标无效）</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(一)报价</w:t>
            </w:r>
            <w:r/>
          </w:p>
          <w:p>
            <w:pPr>
              <w:rPr>
                <w:rFonts w:hint="eastAsia" w:ascii="宋体" w:hAnsi="宋体" w:eastAsia="宋体" w:cs="宋体"/>
                <w:b/>
                <w:bCs/>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1、</w:t>
            </w:r>
            <w:r>
              <w:rPr>
                <w:rFonts w:hint="eastAsia" w:ascii="宋体" w:hAnsi="宋体" w:cs="宋体"/>
                <w:b/>
                <w:bCs/>
                <w:color w:val="auto"/>
                <w:sz w:val="24"/>
                <w:lang w:eastAsia="zh-CN"/>
              </w:rPr>
              <w:t xml:space="preserve">《</w:t>
            </w:r>
            <w:r>
              <w:rPr>
                <w:rFonts w:hint="eastAsia" w:ascii="宋体" w:hAnsi="宋体" w:cs="宋体"/>
                <w:b/>
                <w:bCs/>
                <w:color w:val="auto"/>
                <w:sz w:val="24"/>
                <w:lang w:val="en-US" w:eastAsia="zh-CN"/>
              </w:rPr>
              <w:t xml:space="preserve">报价符合性审查</w:t>
            </w:r>
            <w:r>
              <w:rPr>
                <w:rFonts w:hint="eastAsia" w:ascii="宋体" w:hAnsi="宋体" w:cs="宋体"/>
                <w:b/>
                <w:bCs/>
                <w:color w:val="auto"/>
                <w:sz w:val="24"/>
                <w:lang w:eastAsia="zh-CN"/>
              </w:rPr>
              <w:t xml:space="preserve">》。</w:t>
            </w:r>
            <w:r>
              <w:rPr>
                <w:rFonts w:hint="eastAsia" w:ascii="宋体" w:hAnsi="宋体" w:cs="宋体"/>
                <w:b w:val="0"/>
                <w:bCs w:val="0"/>
                <w:color w:val="auto"/>
                <w:sz w:val="24"/>
                <w:lang w:eastAsia="zh-CN"/>
              </w:rPr>
              <w:t xml:space="preserve">属于投标（响应）报价低于采购项目最高限价45%的，即投标（响应）报价&lt;采购项目最高限价×45%，</w:t>
            </w:r>
            <w:r>
              <w:rPr>
                <w:rFonts w:hint="eastAsia" w:ascii="宋体" w:hAnsi="宋体" w:cs="宋体"/>
                <w:b w:val="0"/>
                <w:bCs w:val="0"/>
                <w:color w:val="auto"/>
                <w:sz w:val="24"/>
                <w:lang w:val="en-US" w:eastAsia="zh-CN"/>
              </w:rPr>
              <w:t xml:space="preserve">投标人</w:t>
            </w:r>
            <w:r>
              <w:rPr>
                <w:rFonts w:hint="eastAsia" w:ascii="宋体" w:hAnsi="宋体" w:cs="宋体"/>
                <w:b w:val="0"/>
                <w:bCs w:val="0"/>
                <w:color w:val="auto"/>
                <w:sz w:val="24"/>
                <w:lang w:eastAsia="zh-CN"/>
              </w:rPr>
              <w:t xml:space="preserve">可随投标（响应）文件一并提交相关书面说明及必要的证明材料。</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lang w:val="en-US" w:eastAsia="zh-CN"/>
              </w:rPr>
              <w:t xml:space="preserve">2、</w:t>
            </w:r>
            <w:r>
              <w:rPr>
                <w:rFonts w:hint="eastAsia" w:ascii="宋体" w:hAnsi="宋体" w:cs="宋体"/>
                <w:b/>
                <w:bCs/>
                <w:color w:val="auto"/>
                <w:sz w:val="24"/>
              </w:rPr>
              <w:t xml:space="preserve">《开标一览表》。</w:t>
            </w:r>
            <w:r>
              <w:rPr>
                <w:rFonts w:hint="eastAsia" w:ascii="宋体" w:hAnsi="宋体" w:cs="宋体"/>
                <w:color w:val="auto"/>
                <w:sz w:val="24"/>
              </w:rPr>
              <w:t xml:space="preserve">政府采购客户端工具输入报价自动生成。</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lang w:val="en-US" w:eastAsia="zh-CN"/>
              </w:rPr>
              <w:t xml:space="preserve">3</w:t>
            </w:r>
            <w:r>
              <w:rPr>
                <w:rFonts w:hint="eastAsia" w:ascii="宋体" w:hAnsi="宋体" w:cs="宋体"/>
                <w:b/>
                <w:color w:val="auto"/>
                <w:sz w:val="24"/>
              </w:rPr>
              <w:t xml:space="preserve">、《分项价格表》。</w:t>
            </w:r>
            <w:r>
              <w:rPr>
                <w:rFonts w:hint="eastAsia" w:ascii="宋体" w:hAnsi="宋体" w:cs="宋体"/>
                <w:bCs/>
                <w:color w:val="auto"/>
                <w:sz w:val="24"/>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（二）商务资信</w:t>
            </w:r>
            <w:r/>
          </w:p>
          <w:p>
            <w:pP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1、《投标函》</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eastAsia="宋体" w:cs="宋体"/>
                <w:b/>
                <w:color w:val="auto"/>
                <w:sz w:val="24"/>
                <w:szCs w:val="24"/>
              </w:rPr>
              <w:t xml:space="preserve">《授权委托书》。</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3、</w:t>
            </w:r>
            <w:r>
              <w:rPr>
                <w:rFonts w:hint="eastAsia" w:ascii="宋体" w:hAnsi="宋体" w:eastAsia="宋体" w:cs="宋体"/>
                <w:b/>
                <w:bCs/>
                <w:color w:val="auto"/>
                <w:sz w:val="24"/>
                <w:szCs w:val="24"/>
                <w:lang w:val="en-US" w:eastAsia="zh-CN"/>
              </w:rPr>
              <w:t xml:space="preserve">法律、法规和招标文件规定的其他投标无效情形</w:t>
            </w:r>
            <w:r>
              <w:rPr>
                <w:rFonts w:hint="default" w:ascii="宋体" w:hAnsi="宋体" w:eastAsia="宋体" w:cs="宋体"/>
                <w:b/>
                <w:color w:val="auto"/>
                <w:sz w:val="24"/>
                <w:szCs w:val="24"/>
              </w:rPr>
              <w:t xml:space="preserve">（无内容及格式要求，投标人可自行拟定）</w:t>
            </w:r>
            <w:r>
              <w:rPr>
                <w:rFonts w:hint="eastAsia" w:ascii="宋体" w:hAnsi="宋体" w:eastAsia="宋体" w:cs="宋体"/>
                <w:b/>
                <w:bCs/>
                <w:color w:val="auto"/>
                <w:sz w:val="24"/>
                <w:szCs w:val="24"/>
                <w:lang w:val="en-US" w:eastAsia="zh-CN"/>
              </w:rPr>
              <w:t xml:space="preserve">。</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（三）技术响应</w:t>
            </w:r>
            <w:r/>
          </w:p>
          <w:p>
            <w:pP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1、《偏离表》</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四、综合评审评分项</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（一）技术部分</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技术参数响应</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项目实施方案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、质量管控方案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售后服务方案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5、技术培训方案</w:t>
            </w:r>
            <w:r>
              <w:rPr>
                <w:rFonts w:hint="eastAsia" w:ascii="宋体" w:hAnsi="宋体" w:eastAsia="宋体" w:cs="宋体"/>
                <w:color w:val="auto"/>
                <w:sz w:val="24"/>
                <w:szCs w:val="24"/>
                <w:highlight w:val="none"/>
              </w:rPr>
              <w:t xml:space="preserve">（要求见招标文件第六章《采购需求》及第四章《评标标准》中《评分细则》）</w:t>
            </w:r>
            <w:r>
              <w:rPr>
                <w:rFonts w:hint="eastAsia" w:ascii="宋体" w:hAnsi="宋体" w:cs="宋体"/>
                <w:color w:val="auto"/>
                <w:sz w:val="24"/>
                <w:szCs w:val="24"/>
                <w:highlight w:val="none"/>
                <w:lang w:eastAsia="zh-CN"/>
              </w:rPr>
              <w:t xml:space="preserve">；</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评分细则中评分得分需提供的相关证明文件扫描件。</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eastAsia="宋体" w:cs="宋体"/>
                <w:b/>
                <w:bCs/>
                <w:color w:val="auto"/>
                <w:sz w:val="24"/>
                <w:szCs w:val="24"/>
                <w:highlight w:val="none"/>
              </w:rPr>
              <w:t xml:space="preserve">商务部分</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1、投标人业绩</w:t>
            </w:r>
            <w:r>
              <w:rPr>
                <w:rFonts w:hint="eastAsia" w:ascii="宋体" w:hAnsi="宋体" w:eastAsia="宋体" w:cs="宋体"/>
                <w:color w:val="auto"/>
                <w:sz w:val="24"/>
                <w:szCs w:val="24"/>
                <w:highlight w:val="none"/>
              </w:rPr>
              <w:t xml:space="preserve">（要求见本文件第四章《评标标准》中《评分细则》）</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、投标人或所投产品认证证书</w:t>
            </w:r>
            <w:r>
              <w:rPr>
                <w:rFonts w:hint="eastAsia" w:ascii="宋体" w:hAnsi="宋体" w:eastAsia="宋体" w:cs="宋体"/>
                <w:color w:val="auto"/>
                <w:sz w:val="24"/>
                <w:szCs w:val="24"/>
                <w:highlight w:val="none"/>
              </w:rPr>
              <w:t xml:space="preserve">（要求见本文件第四章《评标标准》中《评分细则》）</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投标人其它证明文件及材料扫描件。</w:t>
            </w:r>
            <w:r/>
          </w:p>
          <w:p>
            <w:pPr>
              <w:rPr>
                <w:rFonts w:hint="eastAsia"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rPr>
                <w:rFonts w:hint="eastAsia" w:ascii="宋体" w:hAnsi="宋体" w:eastAsia="宋体" w:cs="宋体"/>
                <w:b/>
                <w:bCs/>
                <w:color w:val="auto"/>
                <w:sz w:val="24"/>
                <w:szCs w:val="24"/>
                <w:lang w:val="en-US" w:eastAsia="zh-CN"/>
              </w:rPr>
              <w:t xml:space="preserve">其他部分</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政府采购相关政策说明：</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（一）支持中小企业发展相关政策：</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投标人提供的货物全部由符合政策要求的：</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1.中小企业制造的，提供《中小企业声明函》（加盖电子签章，格式见招标文件第七章《投标文件相关格式》）。</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注：具体以《政府采购促进中小企业发展管理办法》（财库[2020]46号）和《关于印发中小企业划型标准规定的通知》（工信部联企业[2011]300号）的规定为准。</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2.监狱企业制造的，提供省级以上监狱管理局、戒毒管理局（含新疆生产建设兵团）出具的属于监狱企业的证明文件的扫描件。</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注：具体以《财政部 司法部关于政府采购支持监狱企业发展有关问题的通知》（财库〔2014〕68号）的规定为准。</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3.享受政府采购支持政策的残疾人福利性单位制造的，提供《残疾人福利性单位声明函》（加盖电子签章，格式见招标文件第七章《投标文件相关格式》）。</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享受政府采购支持政策的残疾人福利性单位应当同时满足以下条件：</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①安置的残疾人占本单位在职职工人数的比例不低于25%（含25%），并且安置的残疾人人数不少于10人（含10人）；</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②依法与安置的每位残疾人签订了一年以上（含一年）的劳动合同或服务协议；</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③为安置的每位残疾人按月足额缴纳了基本养老保险、基本医疗保险、失业保险、工伤保险和生育保险等社会保险费；</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④通过银行等金融机构向安置的每位残疾人，按月支付了不低于单位所在区县适用的经省级人民政府批准的月最低工资标准的工资；</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⑤提供本单位制造的货物、承担的工程或者服务（以下简称产品），或者提供其他残疾人福利性单位制造的货物（不包括使用非残疾人福利性单位注册商标的货物）。</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具体以《三部门联合发布关于促进残疾人就业政府采购政策的通知》（财库〔2017〕141号）规定为准。</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企业报价折扣证明：</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（二）支持本国产品标准及相关政策：</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投标人《关于符合本国产品标准的声明函》（填写完整，加盖公章，格式见招标文件第七章《投标文件相关格式》）（请填写完整，如不填写完整或未按要求填写的，视为非本国产品）</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本国产品应当符合以下条件：</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1.在中国境内生产</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产品应当在中国境内生产，即在中华人民共和国关境内实现从原材料、组件到产品的属性改变。</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属性改变是指经过制造、加工或者组装等工序，产生完全不同于原材料、组件的新产品，并具有新的名称和特征（用途）。属性改变不包括以下细微操作：</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①为确保产品在运输或者储存期间保持某种状态而进行的操作；</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②为产品运输或者销售进行的包装或者展示；</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③在产品或者其包装上粘贴或者印刷品牌、标志、标识以及其他用于区别的标记；</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④简单的上漆、磨光和分装；</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⑤其他不属于属性改变的情形。</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2.在中国境内生产的组件成本占比达到规定比例</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产品在中国境内生产的组件成本占比应当达到规定比例，计算公式为：</w:t>
            </w:r>
            <w:r/>
          </w:p>
          <w:p>
            <w:pPr>
              <w:rPr>
                <w:highlight w:val="none"/>
              </w:rPr>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3276600" cy="49530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15"/>
                              <a:stretch/>
                            </pic:blipFill>
                            <pic:spPr bwMode="auto">
                              <a:xfrm>
                                <a:off x="0" y="0"/>
                                <a:ext cx="3276599"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0pt;height:39.0pt;mso-wrap-distance-left:0.0pt;mso-wrap-distance-top:0.0pt;mso-wrap-distance-right:0.0pt;mso-wrap-distance-bottom:0.0pt;" stroked="false">
                      <v:path textboxrect="0,0,0,0"/>
                      <v:imagedata r:id="rId15" o:title=""/>
                    </v:shape>
                  </w:pict>
                </mc:Fallback>
              </mc:AlternateContent>
            </w:r>
            <w:r/>
          </w:p>
          <w:p>
            <w:pPr>
              <w:pBdr>
                <w:top w:val="none" w:color="000000" w:sz="0" w:space="0"/>
                <w:left w:val="none" w:color="000000" w:sz="0" w:space="0"/>
                <w:bottom w:val="none" w:color="000000" w:sz="0" w:space="0"/>
                <w:right w:val="none" w:color="000000" w:sz="0" w:space="0"/>
              </w:pBdr>
            </w:pPr>
            <w:r>
              <w:rPr>
                <w:highlight w:val="none"/>
              </w:rPr>
              <w:t xml:space="preserve">财政部会同有关行业主管部门，分产品确定在中国境内生产的组件成本占比应当达到的规定比例。在分产品的中国境内生产的组件成本占比相关要求实施前，符合本通知第一条第1.项条件的产品在政府采购活动中视同本国产品。</w:t>
            </w:r>
            <w:r/>
          </w:p>
          <w:p>
            <w:pPr>
              <w:pBdr>
                <w:top w:val="none" w:color="000000" w:sz="0" w:space="0"/>
                <w:left w:val="none" w:color="000000" w:sz="0" w:space="0"/>
                <w:bottom w:val="none" w:color="000000" w:sz="0" w:space="0"/>
                <w:right w:val="none" w:color="000000" w:sz="0" w:space="0"/>
              </w:pBdr>
            </w:pPr>
            <w:r>
              <w:rPr>
                <w:highlight w:val="none"/>
              </w:rPr>
              <w:t xml:space="preserve">3.特定产品的关键组件、关键工序符合相关要求</w:t>
            </w:r>
            <w:r/>
          </w:p>
          <w:p>
            <w:pPr>
              <w:pBdr>
                <w:top w:val="none" w:color="000000" w:sz="0" w:space="0"/>
                <w:left w:val="none" w:color="000000" w:sz="0" w:space="0"/>
                <w:bottom w:val="none" w:color="000000" w:sz="0" w:space="0"/>
                <w:right w:val="none" w:color="000000" w:sz="0" w:space="0"/>
              </w:pBdr>
            </w:pPr>
            <w:r>
              <w:rPr>
                <w:highlight w:val="none"/>
              </w:rPr>
              <w:t xml:space="preserve">对特定产品，在符合本通知第一条第1.项和第2.项条件的基础上，应当符合财政部会同有关行业主管部门确定的其关键组件、关键工序在中国境内生产、完成等要求。</w:t>
            </w:r>
            <w:r/>
          </w:p>
          <w:p>
            <w:pPr>
              <w:pBdr>
                <w:top w:val="none" w:color="000000" w:sz="0" w:space="0"/>
                <w:left w:val="none" w:color="000000" w:sz="0" w:space="0"/>
                <w:bottom w:val="none" w:color="000000" w:sz="0" w:space="0"/>
                <w:right w:val="none" w:color="000000" w:sz="0" w:space="0"/>
              </w:pBdr>
            </w:pPr>
            <w:r>
              <w:rPr>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Bdr>
                <w:top w:val="none" w:color="000000" w:sz="0" w:space="0"/>
                <w:left w:val="none" w:color="000000" w:sz="0" w:space="0"/>
                <w:bottom w:val="none" w:color="000000" w:sz="0" w:space="0"/>
                <w:right w:val="none" w:color="000000" w:sz="0" w:space="0"/>
              </w:pBdr>
            </w:pPr>
            <w:r>
              <w:rPr>
                <w:highlight w:val="none"/>
              </w:rPr>
              <w:t xml:space="preserve">2、本国产品标准的适用范围</w:t>
            </w:r>
            <w:r/>
          </w:p>
          <w:p>
            <w:pPr>
              <w:pBdr>
                <w:top w:val="none" w:color="000000" w:sz="0" w:space="0"/>
                <w:left w:val="none" w:color="000000" w:sz="0" w:space="0"/>
                <w:bottom w:val="none" w:color="000000" w:sz="0" w:space="0"/>
                <w:right w:val="none" w:color="000000" w:sz="0" w:space="0"/>
              </w:pBdr>
            </w:pPr>
            <w:r>
              <w:rPr>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Bdr>
                <w:top w:val="none" w:color="000000" w:sz="0" w:space="0"/>
                <w:left w:val="none" w:color="000000" w:sz="0" w:space="0"/>
                <w:bottom w:val="none" w:color="000000" w:sz="0" w:space="0"/>
                <w:right w:val="none" w:color="000000" w:sz="0" w:space="0"/>
              </w:pBdr>
            </w:pPr>
            <w:r>
              <w:rPr>
                <w:highlight w:val="none"/>
              </w:rPr>
              <w:t xml:space="preserve">3、对本国产品的支持政策</w:t>
            </w:r>
            <w:r/>
          </w:p>
          <w:p>
            <w:pPr>
              <w:pBdr>
                <w:top w:val="none" w:color="000000" w:sz="0" w:space="0"/>
                <w:left w:val="none" w:color="000000" w:sz="0" w:space="0"/>
                <w:bottom w:val="none" w:color="000000" w:sz="0" w:space="0"/>
                <w:right w:val="none" w:color="000000" w:sz="0" w:space="0"/>
              </w:pBdr>
            </w:pPr>
            <w:r>
              <w:rPr>
                <w:highlight w:val="none"/>
              </w:rPr>
              <w:t xml:space="preserve">政府采购活动中既有本国产品又有非本国产品参与竞争的，依法对本国产品给予价格评审优惠，对本国产品的报价给予20%的价格扣除，用扣除后的价格参与评审。</w:t>
            </w:r>
            <w:r/>
          </w:p>
          <w:p>
            <w:pPr>
              <w:pBdr>
                <w:top w:val="none" w:color="000000" w:sz="0" w:space="0"/>
                <w:left w:val="none" w:color="000000" w:sz="0" w:space="0"/>
                <w:bottom w:val="none" w:color="000000" w:sz="0" w:space="0"/>
                <w:right w:val="none" w:color="000000" w:sz="0" w:space="0"/>
              </w:pBdr>
            </w:pPr>
            <w:r>
              <w:rPr>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Bdr>
                <w:top w:val="none" w:color="000000" w:sz="0" w:space="0"/>
                <w:left w:val="none" w:color="000000" w:sz="0" w:space="0"/>
                <w:bottom w:val="none" w:color="000000" w:sz="0" w:space="0"/>
                <w:right w:val="none" w:color="000000" w:sz="0" w:space="0"/>
              </w:pBdr>
            </w:pPr>
            <w:r>
              <w:rPr>
                <w:highlight w:val="none"/>
              </w:rPr>
              <w:t xml:space="preserve">具体以《国务院办公厅关于在政府采购中实施本国产品标准及相关政策的通知》（国办发〔2025〕34号）规定为准。</w:t>
            </w:r>
            <w:r/>
          </w:p>
          <w:p>
            <w:pPr>
              <w:pBdr>
                <w:top w:val="none" w:color="000000" w:sz="0" w:space="0"/>
                <w:left w:val="none" w:color="000000" w:sz="0" w:space="0"/>
                <w:bottom w:val="none" w:color="000000" w:sz="0" w:space="0"/>
                <w:right w:val="none" w:color="000000" w:sz="0" w:space="0"/>
              </w:pBdr>
            </w:pPr>
            <w:r>
              <w:rPr>
                <w:highlight w:val="none"/>
              </w:rPr>
              <w:t xml:space="preserve">注：中国境内生产的组件成本核算基本规则</w:t>
            </w:r>
            <w:r/>
          </w:p>
          <w:p>
            <w:pPr>
              <w:pBdr>
                <w:top w:val="none" w:color="000000" w:sz="0" w:space="0"/>
                <w:left w:val="none" w:color="000000" w:sz="0" w:space="0"/>
                <w:bottom w:val="none" w:color="000000" w:sz="0" w:space="0"/>
                <w:right w:val="none" w:color="000000" w:sz="0" w:space="0"/>
              </w:pBdr>
            </w:pPr>
            <w:r>
              <w:rPr>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Bdr>
                <w:top w:val="none" w:color="000000" w:sz="0" w:space="0"/>
                <w:left w:val="none" w:color="000000" w:sz="0" w:space="0"/>
                <w:bottom w:val="none" w:color="000000" w:sz="0" w:space="0"/>
                <w:right w:val="none" w:color="000000" w:sz="0" w:space="0"/>
              </w:pBdr>
            </w:pPr>
            <w:r>
              <w:rPr>
                <w:highlight w:val="none"/>
              </w:rPr>
              <w:t xml:space="preserve">一、产品的一级组件是指直接组成产品的组件。产品的二级组件是指直接组成产品一级组件的组件。一级组件不可分解的，视同二级组件。</w:t>
            </w:r>
            <w:r/>
          </w:p>
          <w:p>
            <w:pPr>
              <w:pBdr>
                <w:top w:val="none" w:color="000000" w:sz="0" w:space="0"/>
                <w:left w:val="none" w:color="000000" w:sz="0" w:space="0"/>
                <w:bottom w:val="none" w:color="000000" w:sz="0" w:space="0"/>
                <w:right w:val="none" w:color="000000" w:sz="0" w:space="0"/>
              </w:pBdr>
            </w:pPr>
            <w:r>
              <w:rPr>
                <w:highlight w:val="none"/>
              </w:rPr>
              <w:t xml:space="preserve">二、二级组件在中国境内生产的，其全部成本计入中国境内生产的组件成本；二级组件不在中国境内生产的，其成本不计入中国境内生产的组件成本。</w:t>
            </w:r>
            <w:r/>
          </w:p>
          <w:p>
            <w:pPr>
              <w:pBdr>
                <w:top w:val="none" w:color="000000" w:sz="0" w:space="0"/>
                <w:left w:val="none" w:color="000000" w:sz="0" w:space="0"/>
                <w:bottom w:val="none" w:color="000000" w:sz="0" w:space="0"/>
                <w:right w:val="none" w:color="000000" w:sz="0" w:space="0"/>
              </w:pBdr>
            </w:pPr>
            <w:r>
              <w:rPr>
                <w:highlight w:val="none"/>
              </w:rPr>
              <w:t xml:space="preserve">三、产品总成本和组件成本以相关会计核算数据、采购合同、进货记录等为基础进行计算。</w:t>
            </w:r>
            <w:r/>
          </w:p>
          <w:p>
            <w:pPr>
              <w:pBdr>
                <w:top w:val="none" w:color="000000" w:sz="0" w:space="0"/>
                <w:left w:val="none" w:color="000000" w:sz="0" w:space="0"/>
                <w:bottom w:val="none" w:color="000000" w:sz="0" w:space="0"/>
                <w:right w:val="none" w:color="000000" w:sz="0" w:space="0"/>
              </w:pBdr>
            </w:pPr>
            <w:r>
              <w:rPr>
                <w:highlight w:val="none"/>
              </w:rPr>
              <w:t xml:space="preserve">四、需要对成本核算规则予以进一步明确的其他有关事项，由财政部会同有关部门另行规定。</w:t>
            </w:r>
            <w:r/>
          </w:p>
          <w:p>
            <w:pPr>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highlight w:val="none"/>
              </w:rPr>
              <w:t xml:space="preserve">（三）本项目应当履行促进绿色低碳循环发展，执行国家相关绿色标准，推动环保、节能、节水、循环、低碳、再生、有机等绿色产品和相关绿色服务、绿色基础设施应用的要求。</w:t>
            </w:r>
            <w:r/>
          </w:p>
          <w:p>
            <w:pPr>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highlight w:val="none"/>
              </w:rPr>
              <w:t xml:space="preserve">（四）若项目要求提供履约担保的，中标供应商可以以履约保函(保险)形式代替提供履约保证金。供应商可登录江苏政府采购网“资料下载”栏目(网址:www.ccgp-jiangsugovcn/jiangsu/zlxz)下载“政府采购电子履约保函(保险)操作手册”</w:t>
            </w:r>
            <w:r/>
          </w:p>
          <w:p>
            <w:pPr>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highlight w:val="none"/>
              </w:rPr>
              <w:t xml:space="preserve">（五）本项目若选用商品，其包装验收要求需达到《关于印发《商品包装政府采购需求标准（试行）》、《快递包装政府采购需求标准（试行）》的通知》（财办库〔2020〕123号）中《商品包装政府采购需求标准（试行）》的标准。</w:t>
            </w:r>
            <w:r/>
          </w:p>
          <w:p>
            <w:pPr>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highlight w:val="none"/>
              </w:rPr>
              <w:t xml:space="preserve">（六）本项目若选用商品通过快递方式运送的，其快递包装需满足《关于印发《商品包装政府采购需求标准（试行）》、《快递包装政府采购需求标准（试行）》的通知》（财办库〔2020〕123号）中《快递包装政府采购需求标准（试行）》的验收要求。</w:t>
            </w:r>
            <w:r/>
          </w:p>
          <w:p>
            <w:pPr>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highlight w:val="none"/>
              </w:rPr>
              <w:t xml:space="preserve">注：1、投标人应对以上文件的合法性、真实性负责。</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highlight w:val="none"/>
              </w:rPr>
              <w:t xml:space="preserve">2、签订合同前，中标人必须向采购人提交其投标文件中所有扫描件的原件，采购人核查无误后，签订合同。如中标人不能在采购人规定的时间内向采购人提供原件，将被采购人视为放弃中标（成交）资格。</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(十三)2</w:t>
            </w:r>
            <w:r/>
          </w:p>
        </w:tc>
        <w:tc>
          <w:tcPr>
            <w:tcMar>
              <w:left w:w="108" w:type="dxa"/>
              <w:top w:w="0" w:type="dxa"/>
              <w:right w:w="108" w:type="dxa"/>
              <w:bottom w:w="0" w:type="dxa"/>
            </w:tcMar>
            <w:tcW w:w="4275" w:type="pct"/>
            <w:textDirection w:val="lrTb"/>
            <w:noWrap w:val="false"/>
          </w:tcPr>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商务条件见：</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一、本文件第四章《评标标准》中《评分细则》。</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)3</w:t>
            </w:r>
            <w:r/>
          </w:p>
        </w:tc>
        <w:tc>
          <w:tcPr>
            <w:tcMar>
              <w:left w:w="108" w:type="dxa"/>
              <w:top w:w="0" w:type="dxa"/>
              <w:right w:w="108" w:type="dxa"/>
              <w:bottom w:w="0" w:type="dxa"/>
            </w:tcMar>
            <w:tcW w:w="4275" w:type="pct"/>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交货和提供服务的时间：见本文件第五章 《拟签订的合同文本》及或本文件第六章《采购需求》。</w:t>
            </w:r>
            <w:r/>
          </w:p>
        </w:tc>
      </w:tr>
      <w:tr>
        <w:trPr>
          <w:jc w:val="center"/>
          <w:trHeight w:val="1244"/>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w:t>
            </w:r>
            <w:r/>
          </w:p>
        </w:tc>
        <w:tc>
          <w:tcPr>
            <w:tcMar>
              <w:left w:w="108" w:type="dxa"/>
              <w:top w:w="0" w:type="dxa"/>
              <w:right w:w="108" w:type="dxa"/>
              <w:bottom w:w="0" w:type="dxa"/>
            </w:tcMar>
            <w:tcW w:w="4275" w:type="pct"/>
            <w:textDirection w:val="lrTb"/>
            <w:noWrap w:val="false"/>
          </w:tcPr>
          <w:p>
            <w:pPr>
              <w:ind w:firstLine="482"/>
              <w:jc w:val="left"/>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本项目不接受超过人民币</w:t>
            </w:r>
            <w:r>
              <w:rPr>
                <w:rFonts w:hint="eastAsia" w:ascii="宋体" w:hAnsi="宋体" w:cs="宋体"/>
                <w:b/>
                <w:bCs/>
                <w:color w:val="auto"/>
                <w:sz w:val="24"/>
                <w:szCs w:val="24"/>
                <w:highlight w:val="none"/>
                <w:lang w:val="en-US" w:eastAsia="zh-CN"/>
              </w:rPr>
              <w:t xml:space="preserve">160万</w:t>
            </w:r>
            <w:r>
              <w:rPr>
                <w:rFonts w:hint="eastAsia" w:ascii="宋体" w:hAnsi="宋体" w:eastAsia="宋体" w:cs="宋体"/>
                <w:b/>
                <w:bCs/>
                <w:color w:val="auto"/>
                <w:sz w:val="24"/>
                <w:szCs w:val="24"/>
                <w:highlight w:val="none"/>
              </w:rPr>
              <w:t xml:space="preserve">元（项目</w:t>
            </w:r>
            <w:r>
              <w:rPr>
                <w:rFonts w:hint="eastAsia" w:ascii="宋体" w:hAnsi="宋体" w:eastAsia="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预算）的投标报价。</w:t>
            </w:r>
            <w:r/>
          </w:p>
          <w:p>
            <w:pPr>
              <w:ind w:firstLine="480"/>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以人民币报价。</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（十七）</w:t>
            </w:r>
            <w:r/>
          </w:p>
        </w:tc>
        <w:tc>
          <w:tcPr>
            <w:tcMar>
              <w:left w:w="108" w:type="dxa"/>
              <w:top w:w="0" w:type="dxa"/>
              <w:right w:w="108" w:type="dxa"/>
              <w:bottom w:w="0" w:type="dxa"/>
            </w:tcMar>
            <w:tcW w:w="4275" w:type="pct"/>
            <w:vAlign w:val="center"/>
            <w:textDirection w:val="lrTb"/>
            <w:noWrap w:val="false"/>
          </w:tcPr>
          <w:p>
            <w:pPr>
              <w:ind w:firstLine="56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sz w:val="24"/>
                <w:szCs w:val="24"/>
              </w:rPr>
              <w:fldChar w:fldCharType="separate"/>
            </w:r>
            <w:r>
              <w:rPr>
                <w:rStyle w:val="810"/>
                <w:rFonts w:hint="eastAsia" w:ascii="宋体" w:hAnsi="宋体" w:eastAsia="宋体" w:cs="宋体"/>
                <w:color w:val="auto"/>
                <w:sz w:val="24"/>
                <w:szCs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10"/>
                <w:rFonts w:hint="eastAsia" w:ascii="宋体" w:hAnsi="宋体" w:eastAsia="宋体" w:cs="宋体"/>
                <w:color w:val="auto"/>
                <w:sz w:val="24"/>
                <w:szCs w:val="24"/>
              </w:rPr>
              <w:fldChar w:fldCharType="end"/>
            </w:r>
            <w:r/>
          </w:p>
          <w:p>
            <w:pPr>
              <w:ind w:firstLine="56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投标人应当通过“苏采云”系统提交数据电文形式的投标文件（即电子投标）。</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特别说明：政府采购客户端工具需要导出加密的投标文件（后缀名为</w:t>
            </w:r>
            <w:r>
              <w:rPr>
                <w:rFonts w:hint="eastAsia" w:ascii="宋体" w:hAnsi="宋体" w:eastAsia="宋体" w:cs="宋体"/>
                <w:b/>
                <w:bCs/>
                <w:sz w:val="24"/>
                <w:szCs w:val="24"/>
              </w:rPr>
              <w:t xml:space="preserve">zip</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投标文件不得超过150M！</w:t>
            </w:r>
            <w:r>
              <w:rPr>
                <w:rFonts w:hint="eastAsia" w:ascii="宋体" w:hAnsi="宋体" w:eastAsia="宋体" w:cs="宋体"/>
                <w:sz w:val="24"/>
                <w:szCs w:val="24"/>
              </w:rPr>
              <w:t xml:space="preserve">名为</w:t>
            </w:r>
            <w:r>
              <w:rPr>
                <w:rFonts w:hint="eastAsia" w:ascii="宋体" w:hAnsi="宋体" w:eastAsia="宋体" w:cs="宋体"/>
                <w:b/>
                <w:bCs/>
                <w:sz w:val="24"/>
                <w:szCs w:val="24"/>
              </w:rPr>
              <w:t xml:space="preserve">“.kedt”</w:t>
            </w:r>
            <w:r>
              <w:rPr>
                <w:rFonts w:hint="eastAsia" w:ascii="宋体" w:hAnsi="宋体" w:eastAsia="宋体" w:cs="宋体"/>
                <w:sz w:val="24"/>
                <w:szCs w:val="24"/>
              </w:rPr>
              <w:t xml:space="preserve">）后，离线编制投标文件。采购文件（后缀名为</w:t>
            </w:r>
            <w:r>
              <w:rPr>
                <w:rFonts w:hint="eastAsia" w:ascii="宋体" w:hAnsi="宋体" w:eastAsia="宋体" w:cs="宋体"/>
                <w:b/>
                <w:bCs/>
                <w:sz w:val="24"/>
                <w:szCs w:val="24"/>
              </w:rPr>
              <w:t xml:space="preserve">“.kedt”）。</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(十八)</w:t>
            </w:r>
            <w:r>
              <w:rPr>
                <w:rFonts w:hint="eastAsia" w:ascii="宋体" w:hAnsi="宋体" w:eastAsia="宋体" w:cs="宋体"/>
                <w:sz w:val="24"/>
                <w:szCs w:val="24"/>
                <w:lang w:val="en-US" w:eastAsia="zh-CN"/>
              </w:rPr>
              <w:t xml:space="preserve">1</w:t>
            </w:r>
            <w:r/>
          </w:p>
        </w:tc>
        <w:tc>
          <w:tcPr>
            <w:tcMar>
              <w:left w:w="108" w:type="dxa"/>
              <w:top w:w="0" w:type="dxa"/>
              <w:right w:w="108" w:type="dxa"/>
              <w:bottom w:w="0" w:type="dxa"/>
            </w:tcMar>
            <w:tcW w:w="4275" w:type="pct"/>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见本文件第三章《投标资料表》中(十二)1和(十二)2</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(十九)</w:t>
            </w:r>
            <w:r/>
          </w:p>
        </w:tc>
        <w:tc>
          <w:tcPr>
            <w:tcMar>
              <w:left w:w="108" w:type="dxa"/>
              <w:top w:w="0" w:type="dxa"/>
              <w:right w:w="108" w:type="dxa"/>
              <w:bottom w:w="0" w:type="dxa"/>
            </w:tcMar>
            <w:tcW w:w="4275" w:type="pct"/>
            <w:textDirection w:val="lrTb"/>
            <w:noWrap w:val="false"/>
          </w:tcPr>
          <w:p>
            <w:pPr>
              <w:ind w:left="560" w:hanging="56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投标文件的提交与接收：</w:t>
            </w:r>
            <w:r>
              <w:rPr>
                <w:rFonts w:hint="eastAsia" w:ascii="宋体" w:hAnsi="宋体" w:eastAsia="宋体" w:cs="宋体"/>
                <w:sz w:val="24"/>
                <w:szCs w:val="24"/>
                <w:highlight w:val="none"/>
              </w:rPr>
              <w:t xml:space="preserve"> </w:t>
            </w:r>
            <w:r>
              <w:rPr>
                <w:highlight w:val="none"/>
              </w:rPr>
            </w:r>
          </w:p>
          <w:p>
            <w:pPr>
              <w:ind w:firstLine="482"/>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1、投标文件提交与接收时</w:t>
            </w:r>
            <w:r>
              <w:rPr>
                <w:rFonts w:hint="eastAsia" w:ascii="宋体" w:hAnsi="宋体" w:eastAsia="宋体" w:cs="宋体"/>
                <w:b/>
                <w:bCs/>
                <w:sz w:val="24"/>
                <w:szCs w:val="24"/>
                <w:highlight w:val="none"/>
              </w:rPr>
              <w:t xml:space="preserve">间：</w:t>
            </w:r>
            <w:r>
              <w:rPr>
                <w:rFonts w:hint="eastAsia" w:ascii="宋体" w:hAnsi="宋体" w:eastAsia="宋体" w:cs="宋体"/>
                <w:b/>
                <w:bCs/>
                <w:sz w:val="24"/>
                <w:szCs w:val="24"/>
                <w:highlight w:val="none"/>
              </w:rPr>
              <w:t xml:space="preserve">202</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年</w:t>
            </w:r>
            <w:r>
              <w:rPr>
                <w:rFonts w:hint="eastAsia" w:ascii="宋体" w:hAnsi="宋体" w:cs="宋体"/>
                <w:b/>
                <w:bCs/>
                <w:sz w:val="24"/>
                <w:szCs w:val="24"/>
                <w:highlight w:val="none"/>
                <w:lang w:val="en-US" w:eastAsia="zh-CN"/>
              </w:rPr>
              <w:t xml:space="preserve">10</w:t>
            </w:r>
            <w:r>
              <w:rPr>
                <w:rFonts w:hint="eastAsia" w:ascii="宋体" w:hAnsi="宋体" w:cs="宋体"/>
                <w:b/>
                <w:bCs/>
                <w:sz w:val="24"/>
                <w:szCs w:val="24"/>
                <w:highlight w:val="none"/>
                <w:lang w:eastAsia="zh-CN"/>
              </w:rPr>
              <w:t xml:space="preserve">月</w:t>
            </w:r>
            <w:r>
              <w:rPr>
                <w:rFonts w:hint="eastAsia" w:ascii="宋体" w:hAnsi="宋体" w:cs="宋体"/>
                <w:b/>
                <w:bCs/>
                <w:sz w:val="24"/>
                <w:szCs w:val="24"/>
                <w:highlight w:val="none"/>
                <w:lang w:val="en-US" w:eastAsia="zh-CN"/>
              </w:rPr>
              <w:t xml:space="preserve">08</w:t>
            </w:r>
            <w:r>
              <w:rPr>
                <w:rFonts w:hint="eastAsia" w:ascii="宋体" w:hAnsi="宋体" w:cs="宋体"/>
                <w:b/>
                <w:bCs/>
                <w:sz w:val="24"/>
                <w:szCs w:val="24"/>
                <w:highlight w:val="none"/>
                <w:lang w:eastAsia="zh-CN"/>
              </w:rPr>
              <w:t xml:space="preserve">日</w:t>
            </w:r>
            <w:r>
              <w:rPr>
                <w:rFonts w:hint="eastAsia" w:ascii="宋体" w:hAnsi="宋体" w:eastAsia="宋体" w:cs="宋体"/>
                <w:b/>
                <w:bCs/>
                <w:sz w:val="24"/>
                <w:szCs w:val="24"/>
                <w:highlight w:val="none"/>
              </w:rPr>
              <w:t xml:space="preserve">9：</w:t>
            </w: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0前</w:t>
            </w:r>
            <w:r>
              <w:rPr>
                <w:rFonts w:hint="eastAsia" w:ascii="宋体" w:hAnsi="宋体" w:eastAsia="宋体" w:cs="宋体"/>
                <w:b/>
                <w:bCs/>
                <w:sz w:val="24"/>
                <w:szCs w:val="24"/>
                <w:highlight w:val="none"/>
              </w:rPr>
              <w:t xml:space="preserve">。</w:t>
            </w:r>
            <w:r>
              <w:rPr>
                <w:highlight w:val="none"/>
              </w:rPr>
            </w:r>
          </w:p>
          <w:p>
            <w:pPr>
              <w:ind w:firstLine="482"/>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2、投标文件提交与接收地点：</w:t>
            </w:r>
            <w:r>
              <w:rPr>
                <w:rFonts w:hint="eastAsia" w:ascii="宋体" w:hAnsi="宋体" w:eastAsia="宋体" w:cs="宋体"/>
                <w:sz w:val="24"/>
                <w:szCs w:val="24"/>
                <w:highlight w:val="none"/>
              </w:rPr>
              <w:t xml:space="preserve">投标人应当通过“苏采云”系统提交数据电文形式的投标文件（即电子投标），“苏采云”系统自动接收。</w:t>
            </w:r>
            <w:r>
              <w:rPr>
                <w:highlight w:val="none"/>
              </w:rP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w:t>
            </w:r>
            <w:r/>
          </w:p>
        </w:tc>
        <w:tc>
          <w:tcPr>
            <w:tcMar>
              <w:left w:w="108" w:type="dxa"/>
              <w:top w:w="0" w:type="dxa"/>
              <w:right w:w="108" w:type="dxa"/>
              <w:bottom w:w="0" w:type="dxa"/>
            </w:tcMar>
            <w:tcW w:w="4275" w:type="pct"/>
            <w:textDirection w:val="lrTb"/>
            <w:noWrap w:val="false"/>
          </w:tcPr>
          <w:p>
            <w:pPr>
              <w:ind w:firstLine="48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电子投标文件应由其法定代表人或法定代表人授权代表在规定的网上投标时间内，</w:t>
            </w:r>
            <w:r>
              <w:rPr>
                <w:rFonts w:hint="eastAsia" w:ascii="宋体" w:hAnsi="宋体" w:eastAsia="宋体" w:cs="宋体"/>
                <w:b/>
                <w:sz w:val="24"/>
                <w:szCs w:val="24"/>
                <w:highlight w:val="none"/>
              </w:rPr>
              <w:t xml:space="preserve">凭 CA 证书登陆“苏采云”系统在线编制投标文件（电子数据），并在投标截止时间之前上传投标文件。并于开标时凭CA锁进行解密。</w:t>
            </w:r>
            <w:r>
              <w:rPr>
                <w:highlight w:val="none"/>
              </w:rP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color w:val="auto"/>
                <w:sz w:val="24"/>
                <w:highlight w:val="none"/>
              </w:rPr>
              <w:t xml:space="preserve">开标时间后</w:t>
            </w:r>
            <w:r>
              <w:rPr>
                <w:rFonts w:hint="eastAsia" w:ascii="宋体" w:hAnsi="宋体" w:eastAsia="宋体" w:cs="宋体"/>
                <w:color w:val="auto"/>
                <w:sz w:val="24"/>
                <w:highlight w:val="none"/>
              </w:rPr>
              <w:t xml:space="preserve">，通过“苏采云”系统（使用“CA数字证书”）解密。解密时限：进入解密环节后，</w:t>
            </w:r>
            <w:r>
              <w:rPr>
                <w:rFonts w:hint="eastAsia" w:ascii="宋体" w:hAnsi="宋体" w:eastAsia="宋体" w:cs="宋体"/>
                <w:b/>
                <w:bCs/>
                <w:color w:val="auto"/>
                <w:sz w:val="24"/>
                <w:highlight w:val="none"/>
              </w:rPr>
              <w:t xml:space="preserve">30分钟内。</w:t>
            </w:r>
            <w:r>
              <w:rPr>
                <w:highlight w:val="none"/>
              </w:rPr>
            </w:r>
          </w:p>
          <w:p>
            <w:pPr>
              <w:ind w:firstLine="480"/>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rPr>
                <w:highlight w:val="none"/>
              </w:rPr>
            </w:r>
          </w:p>
          <w:p>
            <w:pPr>
              <w:ind w:firstLine="480"/>
              <w:jc w:val="left"/>
              <w:widowControl/>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“苏采云”系统生成开标记录并向社会公众公布，但依法应当保密的除外。</w:t>
            </w:r>
            <w:r>
              <w:rPr>
                <w:highlight w:val="none"/>
              </w:rP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“苏采云”系统生成开标记录并</w:t>
            </w:r>
            <w:r>
              <w:rPr>
                <w:rFonts w:hint="eastAsia" w:ascii="宋体" w:hAnsi="宋体" w:eastAsia="宋体" w:cs="宋体"/>
                <w:b/>
                <w:bCs/>
                <w:color w:val="auto"/>
                <w:sz w:val="24"/>
                <w:highlight w:val="none"/>
              </w:rPr>
              <w:t xml:space="preserve">向社会公众公布后5分钟内</w:t>
            </w:r>
            <w:r>
              <w:rPr>
                <w:rFonts w:hint="eastAsia" w:ascii="宋体" w:hAnsi="宋体" w:eastAsia="宋体" w:cs="宋体"/>
                <w:color w:val="auto"/>
                <w:sz w:val="24"/>
                <w:highlight w:val="none"/>
              </w:rPr>
              <w:t xml:space="preserve">，投标人通过“苏采云”系统（使用“CA数字证书”）</w:t>
            </w:r>
            <w:r>
              <w:rPr>
                <w:rFonts w:hint="eastAsia" w:ascii="宋体" w:hAnsi="宋体" w:eastAsia="宋体" w:cs="宋体"/>
                <w:b/>
                <w:bCs/>
                <w:color w:val="auto"/>
                <w:sz w:val="24"/>
                <w:highlight w:val="none"/>
              </w:rPr>
              <w:t xml:space="preserve">确认开标过程</w:t>
            </w:r>
            <w:r>
              <w:rPr>
                <w:rFonts w:hint="eastAsia" w:ascii="宋体" w:hAnsi="宋体" w:eastAsia="宋体" w:cs="宋体"/>
                <w:color w:val="auto"/>
                <w:sz w:val="24"/>
                <w:highlight w:val="none"/>
              </w:rPr>
              <w:t xml:space="preserve">。在以上时间内投标人没有确认的，视同该投标人认可开标结果。</w:t>
            </w:r>
            <w:r>
              <w:rPr>
                <w:highlight w:val="none"/>
              </w:rP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因投标人原因造成投标文件未解密的，视为撤销其投标文件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rPr>
                <w:highlight w:val="none"/>
              </w:rP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pStyle w:val="805"/>
              <w:ind w:firstLine="480"/>
              <w:spacing w:before="0" w:beforeAutospacing="0" w:after="0" w:afterAutospacing="0"/>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投标文件解密失败的补救方案</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无。</w:t>
            </w:r>
            <w:r>
              <w:rPr>
                <w:highlight w:val="none"/>
              </w:rP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四</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开标</w:t>
            </w:r>
            <w:r>
              <w:rPr>
                <w:highlight w:val="none"/>
              </w:rPr>
            </w:r>
          </w:p>
        </w:tc>
      </w:tr>
      <w:tr>
        <w:trPr>
          <w:jc w:val="center"/>
          <w:trHeight w:val="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开标时间及地点：</w:t>
            </w:r>
            <w:r>
              <w:rPr>
                <w:highlight w:val="none"/>
              </w:rPr>
            </w:r>
          </w:p>
          <w:p>
            <w:pPr>
              <w:ind w:firstLine="482"/>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1、开标时间：</w:t>
            </w:r>
            <w:r>
              <w:rPr>
                <w:rFonts w:hint="eastAsia" w:ascii="宋体" w:hAnsi="宋体" w:eastAsia="宋体" w:cs="宋体"/>
                <w:b/>
                <w:color w:val="auto"/>
                <w:sz w:val="24"/>
                <w:szCs w:val="24"/>
                <w:highlight w:val="none"/>
              </w:rPr>
              <w:t xml:space="preserve">202</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年</w:t>
            </w:r>
            <w:r>
              <w:rPr>
                <w:rFonts w:hint="eastAsia" w:ascii="宋体" w:hAnsi="宋体" w:cs="宋体"/>
                <w:b/>
                <w:color w:val="auto"/>
                <w:sz w:val="24"/>
                <w:szCs w:val="24"/>
                <w:highlight w:val="none"/>
                <w:lang w:val="en-US" w:eastAsia="zh-CN"/>
              </w:rPr>
              <w:t xml:space="preserve">10</w:t>
            </w:r>
            <w:r>
              <w:rPr>
                <w:rFonts w:hint="eastAsia" w:ascii="宋体" w:hAnsi="宋体" w:cs="宋体"/>
                <w:b/>
                <w:color w:val="auto"/>
                <w:sz w:val="24"/>
                <w:szCs w:val="24"/>
                <w:highlight w:val="none"/>
                <w:lang w:eastAsia="zh-CN"/>
              </w:rPr>
              <w:t xml:space="preserve">月</w:t>
            </w:r>
            <w:r>
              <w:rPr>
                <w:rFonts w:hint="eastAsia" w:ascii="宋体" w:hAnsi="宋体" w:cs="宋体"/>
                <w:b/>
                <w:color w:val="auto"/>
                <w:sz w:val="24"/>
                <w:szCs w:val="24"/>
                <w:highlight w:val="none"/>
                <w:lang w:val="en-US" w:eastAsia="zh-CN"/>
              </w:rPr>
              <w:t xml:space="preserve">08</w:t>
            </w:r>
            <w:bookmarkStart w:id="4" w:name="_GoBack"/>
            <w:r>
              <w:rPr>
                <w:highlight w:val="none"/>
              </w:rPr>
            </w:r>
            <w:bookmarkEnd w:id="4"/>
            <w:r>
              <w:rPr>
                <w:rFonts w:hint="eastAsia" w:ascii="宋体" w:hAnsi="宋体" w:cs="宋体"/>
                <w:b/>
                <w:color w:val="auto"/>
                <w:sz w:val="24"/>
                <w:szCs w:val="24"/>
                <w:highlight w:val="none"/>
                <w:lang w:eastAsia="zh-CN"/>
              </w:rPr>
              <w:t xml:space="preserve">日</w:t>
            </w:r>
            <w:r>
              <w:rPr>
                <w:rFonts w:hint="eastAsia" w:ascii="宋体" w:hAnsi="宋体" w:eastAsia="宋体" w:cs="宋体"/>
                <w:b/>
                <w:color w:val="auto"/>
                <w:sz w:val="24"/>
                <w:szCs w:val="24"/>
                <w:highlight w:val="none"/>
              </w:rPr>
              <w:t xml:space="preserve">09：</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0（标准时间）</w:t>
            </w:r>
            <w:r>
              <w:rPr>
                <w:rFonts w:hint="eastAsia" w:ascii="宋体" w:hAnsi="宋体" w:cs="宋体"/>
                <w:b/>
                <w:color w:val="auto"/>
                <w:sz w:val="24"/>
                <w:szCs w:val="24"/>
                <w:highlight w:val="none"/>
                <w:lang w:eastAsia="zh-CN"/>
              </w:rPr>
              <w:t xml:space="preserve">。</w:t>
            </w:r>
            <w:r>
              <w:rPr>
                <w:highlight w:val="none"/>
              </w:rPr>
            </w:r>
          </w:p>
          <w:p>
            <w:pPr>
              <w:ind w:firstLine="482"/>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2、开标地点：</w:t>
            </w:r>
            <w:r>
              <w:rPr>
                <w:rFonts w:hint="eastAsia" w:ascii="宋体" w:hAnsi="宋体" w:eastAsia="宋体" w:cs="宋体"/>
                <w:color w:val="auto"/>
                <w:sz w:val="24"/>
                <w:szCs w:val="24"/>
                <w:highlight w:val="none"/>
              </w:rPr>
              <w:t xml:space="preserve">“苏采云”系统（网址： http://jszfcg.jsczt.cn/）“开标大厅”或进入徐州政府采购网（网址：https://czj.xz.gov.cn/zfcg/index.html）--办事指南--供应商--供应商登录入口，点击“苏采云”进入系统“开标大厅”。</w:t>
            </w:r>
            <w:r>
              <w:rPr>
                <w:highlight w:val="none"/>
              </w:rP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评标</w:t>
            </w:r>
            <w:r/>
          </w:p>
        </w:tc>
      </w:tr>
      <w:tr>
        <w:trPr>
          <w:jc w:val="center"/>
          <w:trHeight w:val="472"/>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采用综合评分法。</w:t>
            </w:r>
            <w:r/>
          </w:p>
        </w:tc>
      </w:tr>
      <w:tr>
        <w:trPr>
          <w:jc w:val="center"/>
          <w:trHeight w:val="226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一、推荐中标候选供应商名单。中标候选供应商数量应当根据采购需要确定，但必须按顺序排列中标候选供应商。</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二、中标候选人并列的，招标文件规定的确定中标人方式：</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（一）确定人：采购人。</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（二）确定中标人方式：</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按照以下顺序确定中标人：</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1、投标文件中提供所投产品的节能产品认证证书（不包括强制采购要求（如有），下同）的；或所投产品的环境标志产品认证证书的，被确定为中标人。</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2、都符合第1种情况的，投标文件中提供所投产品的节能产品认证证书和所投产品的环境标志产品认证证书的，被确定为中标人。</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3、都符合第2种情况的，投标文件中提供所投产品的节能产品认证证书和所投产品的环境标志产品认证证书份数最多的，被确定为中标人。</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4、第3种情况无法确定的，由采购人确定。</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说明：所投产品的环境标志产品认证证书、所投产品的节能产品认证证书要求：见招标文件第三章《投标资料表》。</w:t>
            </w:r>
            <w:r/>
          </w:p>
          <w:p>
            <w:pP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三、采购人应当自收到评标报告之日起5个工作日内，在评标报告确定的中标候选人名单中按得分最高顺序确定一名中标人。</w:t>
            </w:r>
            <w:r/>
          </w:p>
        </w:tc>
      </w:tr>
      <w:tr>
        <w:trPr>
          <w:jc w:val="center"/>
          <w:trHeight w:val="3764"/>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二十九</w:t>
            </w:r>
            <w:r>
              <w:rPr>
                <w:rFonts w:hint="eastAsia" w:ascii="宋体" w:hAnsi="宋体" w:eastAsia="宋体" w:cs="宋体"/>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三十</w:t>
            </w:r>
            <w:r>
              <w:rPr>
                <w:rFonts w:hint="eastAsia" w:ascii="宋体" w:hAnsi="宋体" w:eastAsia="宋体" w:cs="宋体"/>
                <w:b w:val="0"/>
                <w:bCs w:val="0"/>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宋体" w:hAnsi="宋体" w:eastAsia="宋体" w:cs="宋体"/>
                <w:color w:val="auto"/>
                <w:sz w:val="24"/>
              </w:rPr>
            </w:pPr>
            <w:r/>
            <w:bookmarkStart w:id="0" w:name="OLE_LINK7"/>
            <w:r/>
            <w:bookmarkStart w:id="1" w:name="OLE_LINK4"/>
            <w:r>
              <w:rPr>
                <w:rFonts w:hint="eastAsia" w:ascii="宋体" w:hAnsi="宋体" w:eastAsia="宋体" w:cs="宋体"/>
                <w:color w:val="auto"/>
                <w:sz w:val="24"/>
              </w:rPr>
              <w:t xml:space="preserve">启动异常低价投标（响应）审查后，评审委员会应当要求相关供应商在评标现场合理的时间内，通过“苏采云”系统（使用“CA数字证书”,加盖电子签章）提供</w:t>
            </w:r>
            <w:r>
              <w:rPr>
                <w:rFonts w:hint="eastAsia" w:ascii="宋体" w:hAnsi="宋体" w:eastAsia="宋体" w:cs="宋体"/>
                <w:b/>
                <w:color w:val="auto"/>
                <w:sz w:val="24"/>
              </w:rPr>
              <w:t xml:space="preserve">项目具体成本测算等与报价合理性相关的书面说明及相关证明材料</w:t>
            </w:r>
            <w:r>
              <w:rPr>
                <w:rFonts w:hint="eastAsia" w:ascii="宋体" w:hAnsi="宋体" w:eastAsia="宋体" w:cs="宋体"/>
                <w:color w:val="auto"/>
                <w:sz w:val="24"/>
              </w:rPr>
              <w:t xml:space="preserve">，对投标（响应）价格作出解释，由评审委员会</w:t>
            </w:r>
            <w:r>
              <w:rPr>
                <w:rFonts w:hint="eastAsia" w:ascii="宋体" w:hAnsi="宋体" w:eastAsia="宋体" w:cs="宋体"/>
                <w:b/>
                <w:color w:val="auto"/>
                <w:sz w:val="24"/>
              </w:rPr>
              <w:t xml:space="preserve">结合同类产品在主要电商平台的价格、该行业当地薪资水平等情况</w:t>
            </w:r>
            <w:r>
              <w:rPr>
                <w:rFonts w:hint="eastAsia" w:ascii="宋体" w:hAnsi="宋体" w:eastAsia="宋体" w:cs="宋体"/>
                <w:color w:val="auto"/>
                <w:sz w:val="24"/>
              </w:rPr>
              <w:t xml:space="preserve">，依据专业经验对供应商报价合理性进行判断。投标（响应）供应商</w:t>
            </w:r>
            <w:r>
              <w:rPr>
                <w:rFonts w:hint="eastAsia" w:ascii="宋体" w:hAnsi="宋体" w:eastAsia="宋体" w:cs="宋体"/>
                <w:b/>
                <w:color w:val="auto"/>
                <w:sz w:val="24"/>
              </w:rPr>
              <w:t xml:space="preserve">不提供书面说明、证明材料，或者提供的书面说明、证明材料不能证明其报价合理性的，评审委员会应当将其作为无效投标（响应）处理。</w:t>
            </w:r>
            <w:bookmarkEnd w:id="0"/>
            <w:r/>
            <w:bookmarkEnd w:id="1"/>
            <w:r/>
            <w:r/>
          </w:p>
          <w:p>
            <w:pPr>
              <w:ind w:firstLine="482"/>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特别说明：“苏采云”系统通过“江苏省政府采购一体化不见面开标大厅</w:t>
            </w:r>
            <w:r>
              <w:rPr>
                <w:rFonts w:hint="eastAsia" w:ascii="宋体" w:hAnsi="宋体" w:eastAsia="宋体" w:cs="宋体"/>
                <w:b/>
                <w:bCs/>
                <w:color w:val="auto"/>
                <w:sz w:val="24"/>
              </w:rPr>
              <w:t xml:space="preserve">”</w:t>
            </w:r>
            <w:r>
              <w:rPr>
                <w:rFonts w:hint="eastAsia" w:ascii="宋体" w:hAnsi="宋体" w:eastAsia="宋体" w:cs="宋体"/>
                <w:b/>
                <w:color w:val="auto"/>
                <w:sz w:val="24"/>
              </w:rPr>
              <w:t xml:space="preserve">提醒投标人，投标人自行查看。投标人未及时查看或因自身原因导致未收到信息的，责任自负。</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政府采购合同</w:t>
            </w:r>
            <w:r/>
          </w:p>
        </w:tc>
      </w:tr>
      <w:tr>
        <w:trPr>
          <w:jc w:val="center"/>
          <w:trHeight w:val="741"/>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w:t>
            </w: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采购人与中标、中标人应当在中标、成交通知书发出之日起30日内，按照采购文件确定的事项签订政府采购合同。</w:t>
            </w:r>
            <w:r/>
          </w:p>
        </w:tc>
      </w:tr>
      <w:tr>
        <w:trPr>
          <w:jc w:val="center"/>
          <w:trHeight w:val="655"/>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（三十</w:t>
            </w: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w:t>
            </w:r>
            <w:r/>
          </w:p>
        </w:tc>
        <w:tc>
          <w:tcPr>
            <w:tcMar>
              <w:left w:w="108" w:type="dxa"/>
              <w:top w:w="0" w:type="dxa"/>
              <w:right w:w="108" w:type="dxa"/>
              <w:bottom w:w="0" w:type="dxa"/>
            </w:tcMar>
            <w:tcW w:w="4275" w:type="pct"/>
            <w:vAlign w:val="center"/>
            <w:textDirection w:val="lrTb"/>
            <w:noWrap w:val="false"/>
          </w:tcPr>
          <w:p>
            <w:pPr>
              <w:ind w:firstLine="482"/>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履约保证金：10%，以支票、汇票、本票、电汇或者金融机构、担保机构出具的保函等非现金形式缴纳。</w:t>
            </w:r>
            <w:r/>
          </w:p>
        </w:tc>
      </w:tr>
      <w:tr>
        <w:trPr>
          <w:jc w:val="center"/>
          <w:trHeight w:val="338"/>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四十</w:t>
            </w:r>
            <w:r>
              <w:rPr>
                <w:rFonts w:hint="eastAsia" w:ascii="宋体" w:hAnsi="宋体" w:eastAsia="宋体" w:cs="宋体"/>
                <w:sz w:val="24"/>
                <w:szCs w:val="24"/>
              </w:rPr>
              <w:t xml:space="preserve">)</w:t>
            </w:r>
            <w:r/>
          </w:p>
        </w:tc>
        <w:tc>
          <w:tcPr>
            <w:tcMar>
              <w:left w:w="108" w:type="dxa"/>
              <w:top w:w="0" w:type="dxa"/>
              <w:right w:w="108" w:type="dxa"/>
              <w:bottom w:w="0" w:type="dxa"/>
            </w:tcMar>
            <w:tcW w:w="4275" w:type="pct"/>
            <w:textDirection w:val="lrTb"/>
            <w:noWrap w:val="false"/>
          </w:tcPr>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宋体" w:hAnsi="宋体" w:eastAsia="宋体" w:cs="宋体"/>
                <w:sz w:val="24"/>
                <w:szCs w:val="24"/>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质疑接收人：</w:t>
            </w:r>
            <w:r>
              <w:rPr>
                <w:rFonts w:hint="eastAsia" w:ascii="宋体" w:hAnsi="宋体" w:cs="宋体"/>
                <w:sz w:val="24"/>
                <w:szCs w:val="24"/>
                <w:highlight w:val="none"/>
                <w:lang w:val="en-US" w:eastAsia="zh-CN"/>
              </w:rPr>
              <w:t xml:space="preserve">张工</w:t>
            </w:r>
            <w:r>
              <w:rPr>
                <w:rFonts w:hint="eastAsia" w:ascii="宋体" w:hAnsi="宋体" w:eastAsia="宋体" w:cs="宋体"/>
                <w:sz w:val="24"/>
                <w:szCs w:val="24"/>
                <w:highlight w:val="none"/>
              </w:rPr>
              <w:t xml:space="preserve">      联系电话：</w:t>
            </w:r>
            <w:r>
              <w:rPr>
                <w:rFonts w:hint="eastAsia" w:ascii="宋体" w:hAnsi="宋体" w:cs="宋体"/>
                <w:sz w:val="24"/>
                <w:szCs w:val="24"/>
                <w:highlight w:val="none"/>
                <w:lang w:eastAsia="zh-CN"/>
              </w:rPr>
              <w:t xml:space="preserve">19707857717</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地址：</w:t>
            </w:r>
            <w:r>
              <w:rPr>
                <w:rFonts w:hint="eastAsia" w:ascii="宋体" w:hAnsi="宋体" w:cs="宋体"/>
                <w:sz w:val="24"/>
                <w:szCs w:val="24"/>
                <w:lang w:val="en-US" w:eastAsia="zh-CN"/>
              </w:rPr>
              <w:t xml:space="preserve">徐州市云龙区昆仑大道8号永嘉新城中心广场B座</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附加说明</w:t>
            </w:r>
            <w:r/>
          </w:p>
        </w:tc>
        <w:tc>
          <w:tcPr>
            <w:tcMar>
              <w:left w:w="108" w:type="dxa"/>
              <w:top w:w="0" w:type="dxa"/>
              <w:right w:w="108" w:type="dxa"/>
              <w:bottom w:w="0" w:type="dxa"/>
            </w:tcMar>
            <w:tcW w:w="4275" w:type="pct"/>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中标人在收到中标通知书时，须向采购人和采购代理机构提交《开标一览表》和《分项价格表》的数据文件（WORD格式）。</w:t>
            </w:r>
            <w:r/>
          </w:p>
          <w:p>
            <w:pPr>
              <w:ind w:left="0" w:right="0" w:firstLine="480"/>
              <w:keepLines w:val="0"/>
              <w:keepNext w:val="0"/>
              <w:pageBreakBefore w:val="0"/>
              <w:spacing w:line="240" w:lineRule="auto"/>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邮箱：</w:t>
            </w:r>
            <w:r>
              <w:rPr>
                <w:rFonts w:hint="eastAsia" w:ascii="宋体" w:hAnsi="宋体" w:cs="宋体"/>
                <w:color w:val="auto"/>
                <w:sz w:val="24"/>
                <w:szCs w:val="24"/>
                <w:highlight w:val="none"/>
                <w:lang w:eastAsia="zh-CN"/>
              </w:rPr>
              <w:t xml:space="preserve">411427229@qq.com</w:t>
            </w:r>
            <w:r/>
          </w:p>
        </w:tc>
      </w:tr>
      <w:tr>
        <w:trPr>
          <w:jc w:val="center"/>
          <w:trHeight w:val="4658"/>
        </w:trPr>
        <w:tc>
          <w:tcPr>
            <w:tcMar>
              <w:left w:w="108" w:type="dxa"/>
              <w:top w:w="0" w:type="dxa"/>
              <w:right w:w="108" w:type="dxa"/>
              <w:bottom w:w="0" w:type="dxa"/>
            </w:tcMar>
            <w:tcW w:w="724" w:type="pct"/>
            <w:vMerge w:val="continue"/>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4275" w:type="pct"/>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4、招标文件中如需“授权代表签字或盖章”，供应商可打印成文档。签字或盖章后再扫描上传，最后再电子签章。</w:t>
            </w:r>
            <w:r/>
          </w:p>
          <w:p>
            <w:pPr>
              <w:ind w:left="0" w:right="0" w:firstLine="480"/>
              <w:keepLines w:val="0"/>
              <w:keepNext w:val="0"/>
              <w:pageBreakBefore w:val="0"/>
              <w:spacing w:line="240" w:lineRule="auto"/>
              <w:widowControl w:val="off"/>
              <w:rPr>
                <w:rFonts w:hint="eastAsia" w:ascii="宋体" w:hAnsi="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5、中标人在收到中标通知书时，须向采购人和采购代理机构提交完整纸质版的投标文件（需盖投标人公章且胶装成册，1正</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副本）。</w:t>
            </w:r>
            <w:r>
              <w:rPr>
                <w:rFonts w:hint="eastAsia" w:ascii="宋体" w:hAnsi="宋体" w:cs="宋体"/>
                <w:color w:val="auto"/>
                <w:sz w:val="24"/>
                <w:szCs w:val="24"/>
                <w:lang w:val="en-US" w:eastAsia="zh-CN"/>
              </w:rPr>
              <w:t xml:space="preserve">  </w:t>
            </w:r>
            <w:r/>
          </w:p>
          <w:p>
            <w:pPr>
              <w:ind w:left="0" w:right="0" w:firstLine="480"/>
              <w:keepLines w:val="0"/>
              <w:keepNext w:val="0"/>
              <w:pageBreakBefore w:val="0"/>
              <w:spacing w:line="24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6、投标人应严格按照要求在投标系统指定位置上传相应文件及材料。因未上传或上传位置有误，导致评标委员会未能检索到相关内容的，由此产生的一切不利后果均由投标人自行承担。</w:t>
            </w:r>
            <w:r/>
          </w:p>
        </w:tc>
      </w:tr>
    </w:tbl>
    <w:p>
      <w:pPr>
        <w:ind w:firstLine="600"/>
        <w:spacing w:line="2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24"/>
          <w:szCs w:val="24"/>
        </w:rPr>
      </w:r>
      <w:r/>
    </w:p>
    <w:p>
      <w:pPr>
        <w:ind w:firstLine="600"/>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本章附件：招标代理服务收费标准</w:t>
      </w:r>
      <w:r/>
    </w:p>
    <w:tbl>
      <w:tblPr>
        <w:tblStyle w:val="8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7"/>
        <w:gridCol w:w="3305"/>
      </w:tblGrid>
      <w:tr>
        <w:trPr>
          <w:trHeight w:val="482"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费率</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5000元</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1.6%</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0.8%</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0.25%</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0.05%</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0.01%</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0.005%</w:t>
            </w:r>
            <w:r/>
          </w:p>
        </w:tc>
      </w:tr>
    </w:tbl>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说明：</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1.按上表计算的收费为代理服务全过程的收费金额。各社会代理机构不再收取采购文件制作售卖费用。</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2.代理服务费按差额定率累进法计算。</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3.代理服务费基准金额（按差额定率累进法计算的）=中标金额（按差额定率累进法计算的） * 费率（%）</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4.代理服务费应收取金额=代理服务费基准金额（按差额定率累进法计算的）的合计数。5.定点类等无金额或事先不能计算出价格总额的项目，按中标(成交)金额按100万元计算。</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.有分包(分标段)的以一个项目计算。</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备注：</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1、收费标准执行本表的</w:t>
      </w:r>
      <w:r>
        <w:rPr>
          <w:rFonts w:hint="eastAsia" w:ascii="宋体" w:hAnsi="宋体" w:cs="宋体"/>
          <w:color w:val="000000"/>
          <w:sz w:val="24"/>
          <w:szCs w:val="24"/>
          <w:highlight w:val="none"/>
          <w:lang w:val="en-US" w:eastAsia="zh-CN"/>
        </w:rPr>
        <w:t xml:space="preserve">70</w:t>
      </w:r>
      <w:r>
        <w:rPr>
          <w:rFonts w:hint="eastAsia" w:ascii="宋体" w:hAnsi="宋体" w:eastAsia="宋体" w:cs="宋体"/>
          <w:color w:val="000000"/>
          <w:sz w:val="24"/>
          <w:szCs w:val="24"/>
          <w:highlight w:val="none"/>
        </w:rPr>
        <w:t xml:space="preserve">%，由</w:t>
      </w:r>
      <w:r>
        <w:rPr>
          <w:rFonts w:hint="eastAsia" w:ascii="宋体" w:hAnsi="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支付。</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2、关于进一步规范政府采购活动相关费用管理的通知（苏财规〔2026〕1号）</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评审活动相关费用：评审专家参加省内政府采购项目评审时应获得的专家评审费按以下规定进行管理。</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（二）远程异地评标项目专家评审费按评审专家属地规定的标准支付。</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（三）专家评审费应在项目评审完成后30个工作日内支付专家。因专家原因导致项目废标，则不需要向应当承担责任的专家支付费用。</w:t>
      </w:r>
      <w:r/>
    </w:p>
    <w:p>
      <w:pPr>
        <w:numPr>
          <w:ilvl w:val="0"/>
          <w:numId w:val="0"/>
        </w:numPr>
        <w:jc w:val="cente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sz w:val="24"/>
          <w:szCs w:val="24"/>
          <w:highlight w:val="none"/>
        </w:rPr>
      </w:r>
      <w:r/>
    </w:p>
    <w:p>
      <w:pPr>
        <w:numPr>
          <w:ilvl w:val="0"/>
          <w:numId w:val="0"/>
        </w:numPr>
        <w:jc w:val="cente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sz w:val="24"/>
          <w:szCs w:val="24"/>
          <w:highlight w:val="none"/>
        </w:rPr>
      </w:r>
      <w:r/>
    </w:p>
    <w:p>
      <w:pPr>
        <w:numPr>
          <w:ilvl w:val="0"/>
          <w:numId w:val="0"/>
        </w:numPr>
        <w:jc w:val="cente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sz w:val="24"/>
          <w:szCs w:val="24"/>
          <w:highlight w:val="none"/>
        </w:rPr>
      </w:r>
      <w:r/>
    </w:p>
    <w:p>
      <w:pPr>
        <w:numPr>
          <w:ilvl w:val="0"/>
          <w:numId w:val="0"/>
        </w:numPr>
        <w:jc w:val="center"/>
        <w:keepLines w:val="0"/>
        <w:keepNext w:val="0"/>
        <w:pageBreakBefore w:val="0"/>
        <w:spacing w:line="360" w:lineRule="auto"/>
        <w:widowControl w:val="off"/>
        <w:rPr>
          <w:rFonts w:hint="eastAsia" w:ascii="宋体" w:hAnsi="宋体" w:eastAsia="宋体" w:cs="宋体"/>
          <w:b/>
          <w:color w:val="auto"/>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szCs w:val="32"/>
          <w:lang w:val="en-US" w:eastAsia="zh-CN"/>
        </w:rPr>
        <w:t xml:space="preserve">第四章 </w:t>
      </w:r>
      <w:r>
        <w:rPr>
          <w:rFonts w:hint="eastAsia" w:ascii="宋体" w:hAnsi="宋体" w:eastAsia="宋体" w:cs="宋体"/>
          <w:b/>
          <w:color w:val="auto"/>
          <w:sz w:val="32"/>
          <w:szCs w:val="32"/>
        </w:rPr>
        <w:t xml:space="preserve">评标标准</w:t>
      </w:r>
      <w:r/>
    </w:p>
    <w:tbl>
      <w:tblPr>
        <w:tblStyle w:val="770"/>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7135"/>
      </w:tblGrid>
      <w:tr>
        <w:trPr>
          <w:jc w:val="center"/>
          <w:trHeight w:val="446"/>
        </w:trPr>
        <w:tc>
          <w:tcPr>
            <w:tcW w:w="812"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评审因素</w:t>
            </w:r>
            <w:r/>
          </w:p>
        </w:tc>
        <w:tc>
          <w:tcPr>
            <w:tcW w:w="4187"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评分标准</w:t>
            </w:r>
            <w:r/>
          </w:p>
        </w:tc>
      </w:tr>
      <w:tr>
        <w:trPr>
          <w:jc w:val="center"/>
          <w:trHeight w:val="4718"/>
        </w:trPr>
        <w:tc>
          <w:tcPr>
            <w:tcW w:w="812"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价格</w:t>
            </w:r>
            <w:r/>
          </w:p>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（30分）</w:t>
            </w:r>
            <w:r/>
          </w:p>
        </w:tc>
        <w:tc>
          <w:tcPr>
            <w:tcW w:w="4187" w:type="pct"/>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各投标人价格得分=最低报价（投标人的最低评审价格）÷各投标人评审价格×30</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注：促进本国产品优惠政策：政府采购活动中既有本国产品又有非本国产品参与竞争的，依法对本国产品给予价格评审优惠，对本国产品的报价给予20%的价格扣除，用扣除后的价格参与评审。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该投标人的评审价格=《开标一览表》中的“总价”*（100%-20%）</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享受价格评审优惠不改变最终中标价格，政府采购合同仍按照中标供应商的报价签订。</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得分四舍五入保留小数点后2位。</w:t>
            </w:r>
            <w:r/>
          </w:p>
        </w:tc>
      </w:tr>
      <w:tr>
        <w:trPr>
          <w:jc w:val="center"/>
          <w:trHeight w:val="1593"/>
        </w:trPr>
        <w:tc>
          <w:tcPr>
            <w:tcW w:w="812"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投标人业绩（</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tcW w:w="4187" w:type="pct"/>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投标文件中提供投标人为乙方，合同签订日期在202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年1月1日之后，</w:t>
            </w:r>
            <w:r>
              <w:rPr>
                <w:rFonts w:hint="eastAsia" w:ascii="宋体" w:hAnsi="宋体" w:eastAsia="宋体" w:cs="宋体"/>
                <w:sz w:val="24"/>
                <w:szCs w:val="24"/>
                <w:lang w:val="en-US" w:eastAsia="zh-CN"/>
              </w:rPr>
              <w:t xml:space="preserve">与本项目类似的项目</w:t>
            </w:r>
            <w:r>
              <w:rPr>
                <w:rFonts w:hint="eastAsia" w:ascii="宋体" w:hAnsi="宋体" w:eastAsia="宋体" w:cs="宋体"/>
                <w:sz w:val="24"/>
                <w:szCs w:val="24"/>
              </w:rPr>
              <w:t xml:space="preserve">，每份得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本项</w:t>
            </w:r>
            <w:r>
              <w:rPr>
                <w:rFonts w:hint="eastAsia" w:ascii="宋体" w:hAnsi="宋体" w:eastAsia="宋体" w:cs="宋体"/>
                <w:sz w:val="24"/>
                <w:szCs w:val="24"/>
              </w:rPr>
              <w:t xml:space="preserve">最高得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p>
            <w:pPr>
              <w:pStyle w:val="775"/>
              <w:ind w:left="0" w:right="0"/>
              <w:keepLines w:val="0"/>
              <w:keepNext w:val="0"/>
              <w:pageBreakBefore w:val="0"/>
              <w:spacing w:before="0" w:beforeAutospacing="0" w:after="0" w:afterAutospacing="0" w:line="24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注：投标文件中提供合同原件扫描件方为有效（合同必须明确签订日期等关键信息，合同关键信息不完整的不得分），否则此项不得分。</w:t>
            </w:r>
            <w:r/>
          </w:p>
        </w:tc>
      </w:tr>
      <w:tr>
        <w:trPr>
          <w:jc w:val="center"/>
          <w:trHeight w:val="2292"/>
        </w:trPr>
        <w:tc>
          <w:tcPr>
            <w:shd w:val="clear" w:color="auto" w:fill="auto"/>
            <w:tcW w:w="812" w:type="pct"/>
            <w:vAlign w:val="center"/>
            <w:textDirection w:val="lrTb"/>
            <w:noWrap w:val="false"/>
          </w:tcPr>
          <w:p>
            <w:pPr>
              <w:ind w:left="0"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en-US" w:eastAsia="zh-CN"/>
              </w:rPr>
              <w:t xml:space="preserve">或所投产品认证证书</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shd w:val="clear" w:color="auto" w:fill="auto"/>
            <w:tcW w:w="4187" w:type="pct"/>
            <w:vAlign w:val="center"/>
            <w:textDirection w:val="lrTb"/>
            <w:noWrap w:val="false"/>
          </w:tcPr>
          <w:p>
            <w:pP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val="en-US" w:eastAsia="zh-CN"/>
              </w:rPr>
              <w:t xml:space="preserve">产品</w:t>
            </w:r>
            <w:r>
              <w:rPr>
                <w:rFonts w:hint="eastAsia" w:ascii="宋体" w:hAnsi="宋体" w:eastAsia="宋体" w:cs="宋体"/>
                <w:color w:val="auto"/>
                <w:sz w:val="24"/>
                <w:szCs w:val="24"/>
                <w:highlight w:val="none"/>
              </w:rPr>
              <w:t xml:space="preserve">生产厂家具有有效的质量管理体系认证证书、环境管理体系认证证书及职业健康管理体系认证证书</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lang w:val="en-US" w:eastAsia="zh-CN"/>
              </w:rPr>
              <w:t xml:space="preserve">每个证书得1分，本项最高得3分。</w:t>
            </w:r>
            <w:r/>
          </w:p>
          <w:p>
            <w:pP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注：投标文件中同时提供上述证书扫描件以</w:t>
            </w:r>
            <w:r>
              <w:rPr>
                <w:rFonts w:hint="eastAsia" w:ascii="宋体" w:hAnsi="宋体" w:eastAsia="宋体" w:cs="宋体"/>
                <w:color w:val="auto"/>
                <w:sz w:val="24"/>
                <w:szCs w:val="24"/>
                <w:highlight w:val="none"/>
              </w:rPr>
              <w:t xml:space="preserve">及国家市场监督管理总局全国认证认可信息公共服务平台(网址：http://cx.cnca.cn/CertECloud/result/skipResultList)查询证书状态为有效的截图证明材料</w:t>
            </w:r>
            <w:r>
              <w:rPr>
                <w:rFonts w:hint="eastAsia" w:ascii="宋体" w:hAnsi="宋体" w:eastAsia="宋体" w:cs="宋体"/>
                <w:color w:val="auto"/>
                <w:sz w:val="24"/>
                <w:szCs w:val="24"/>
                <w:highlight w:val="none"/>
                <w:lang w:val="en-US" w:eastAsia="zh-CN"/>
              </w:rPr>
              <w:t xml:space="preserve">方为有效</w:t>
            </w:r>
            <w:r>
              <w:rPr>
                <w:rFonts w:hint="eastAsia" w:ascii="宋体" w:hAnsi="宋体" w:eastAsia="宋体" w:cs="宋体"/>
                <w:color w:val="auto"/>
                <w:sz w:val="24"/>
                <w:szCs w:val="24"/>
                <w:highlight w:val="none"/>
                <w:lang w:eastAsia="zh-CN"/>
              </w:rPr>
              <w:t xml:space="preserve">，未提供或提供不全的</w:t>
            </w:r>
            <w:r>
              <w:rPr>
                <w:rFonts w:hint="eastAsia" w:ascii="宋体" w:hAnsi="宋体" w:eastAsia="宋体" w:cs="宋体"/>
                <w:color w:val="auto"/>
                <w:sz w:val="24"/>
                <w:szCs w:val="24"/>
                <w:highlight w:val="none"/>
                <w:lang w:val="en-US" w:eastAsia="zh-CN"/>
              </w:rPr>
              <w:t xml:space="preserve">均不得</w:t>
            </w:r>
            <w:r>
              <w:rPr>
                <w:rFonts w:hint="eastAsia" w:ascii="宋体" w:hAnsi="宋体" w:eastAsia="宋体" w:cs="宋体"/>
                <w:color w:val="auto"/>
                <w:sz w:val="24"/>
                <w:szCs w:val="24"/>
                <w:highlight w:val="none"/>
                <w:lang w:eastAsia="zh-CN"/>
              </w:rPr>
              <w:t xml:space="preserve">分。</w:t>
            </w:r>
            <w:r/>
          </w:p>
        </w:tc>
      </w:tr>
      <w:tr>
        <w:trPr>
          <w:jc w:val="center"/>
          <w:trHeight w:val="3116"/>
        </w:trPr>
        <w:tc>
          <w:tcPr>
            <w:shd w:val="clear" w:color="auto" w:fill="auto"/>
            <w:tcW w:w="812" w:type="pct"/>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技术参数</w:t>
            </w:r>
            <w:r/>
          </w:p>
          <w:p>
            <w:pPr>
              <w:jc w:val="center"/>
              <w:spacing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响应（</w:t>
            </w:r>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分）</w:t>
            </w:r>
            <w:r/>
          </w:p>
        </w:tc>
        <w:tc>
          <w:tcPr>
            <w:shd w:val="clear" w:color="auto" w:fill="auto"/>
            <w:tcW w:w="4187" w:type="pct"/>
            <w:vAlign w:val="center"/>
            <w:textDirection w:val="lrTb"/>
            <w:noWrap w:val="false"/>
          </w:tcPr>
          <w:p>
            <w:pPr>
              <w:pStyle w:val="795"/>
              <w:jc w:val="both"/>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完全符合招标文件第六章《采购需求》中“三、技术参数要求”的，得基本分</w:t>
            </w:r>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本项目共19种品类，每种品类完全满足的得1分；加“★”的指标为实质性响应指标，实质性响应指标任意1项指标不满足或负偏离按无效投标处理，其他为一般响应指标，每品类一般响应指标任意1项指标不满足或负偏离的，此品类不得分。</w:t>
            </w:r>
            <w:r/>
          </w:p>
          <w:p>
            <w:pPr>
              <w:pStyle w:val="795"/>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本项最高得</w:t>
            </w:r>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val="en-US" w:eastAsia="zh-CN"/>
              </w:rPr>
              <w:t xml:space="preserve">分，最低得0分。</w:t>
            </w:r>
            <w:r/>
          </w:p>
          <w:p>
            <w:pPr>
              <w:pStyle w:val="795"/>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未按照招标文件提供证明材料的视为不满足。投标人须如实填写所投产品参数，</w:t>
            </w:r>
            <w:r>
              <w:rPr>
                <w:rFonts w:hint="eastAsia" w:ascii="宋体" w:hAnsi="宋体" w:eastAsia="宋体" w:cs="宋体"/>
                <w:color w:val="auto"/>
                <w:sz w:val="24"/>
                <w:szCs w:val="24"/>
                <w:highlight w:val="none"/>
                <w:lang w:val="en-US" w:eastAsia="zh-CN"/>
              </w:rPr>
              <w:t xml:space="preserve">验收时发现交付产品与本次招标及中标参数不符做违约处理并弥补采购人损失。</w:t>
            </w:r>
            <w:r/>
          </w:p>
        </w:tc>
      </w:tr>
      <w:tr>
        <w:trPr>
          <w:jc w:val="center"/>
          <w:trHeight w:val="2075"/>
        </w:trPr>
        <w:tc>
          <w:tcPr>
            <w:shd w:val="clear" w:color="auto" w:fill="auto"/>
            <w:tcW w:w="812" w:type="pct"/>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项目实施方案（</w:t>
            </w:r>
            <w:r>
              <w:rPr>
                <w:rFonts w:hint="eastAsia" w:ascii="宋体" w:hAnsi="宋体" w:cs="宋体"/>
                <w:color w:val="auto"/>
                <w:sz w:val="24"/>
                <w:szCs w:val="24"/>
                <w:highlight w:val="none"/>
                <w:lang w:val="en-US" w:eastAsia="zh-CN" w:bidi="ar-SA"/>
              </w:rPr>
              <w:t xml:space="preserve">16</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4187" w:type="pct"/>
            <w:vAlign w:val="center"/>
            <w:textDirection w:val="lrTb"/>
            <w:noWrap w:val="false"/>
          </w:tcPr>
          <w:p>
            <w:pPr>
              <w:pStyle w:val="795"/>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根据投标人投标文件中提供的项目实施方案，内容包含但不限于时间进度安排、具体实施安装方案、缓冲层铺设方案等，对内容的全面性、针对性、可行性进行评价。</w:t>
            </w:r>
            <w:r/>
          </w:p>
          <w:p>
            <w:pPr>
              <w:pStyle w:val="795"/>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全面性（</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分）：全面具体详实得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分；较全面详实得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分；全面性一般得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分；不全面得1分。</w:t>
            </w:r>
            <w:r/>
          </w:p>
          <w:p>
            <w:pPr>
              <w:pStyle w:val="795"/>
              <w:jc w:val="both"/>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分）：针对性强得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分；针对性一般得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分；针对性不强得1分</w:t>
            </w:r>
            <w:r>
              <w:rPr>
                <w:rFonts w:hint="eastAsia" w:ascii="宋体" w:hAnsi="宋体" w:cs="宋体"/>
                <w:color w:val="auto"/>
                <w:sz w:val="24"/>
                <w:szCs w:val="24"/>
                <w:highlight w:val="none"/>
                <w:lang w:val="en-US" w:eastAsia="zh-CN"/>
              </w:rPr>
              <w:t xml:space="preserve">。</w:t>
            </w:r>
            <w:r/>
          </w:p>
          <w:p>
            <w:pPr>
              <w:pStyle w:val="795"/>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分）：符合实际切实可行得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分；可行性一般得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分；可行性欠缺得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pStyle w:val="795"/>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未提供得0分，本项最高得</w:t>
            </w:r>
            <w:r>
              <w:rPr>
                <w:rFonts w:hint="eastAsia" w:ascii="宋体"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lang w:val="en-US" w:eastAsia="zh-CN"/>
              </w:rPr>
              <w:t xml:space="preserve">分，最低得0分。</w:t>
            </w:r>
            <w:r/>
          </w:p>
        </w:tc>
      </w:tr>
      <w:tr>
        <w:trPr>
          <w:jc w:val="center"/>
          <w:trHeight w:val="1908"/>
        </w:trPr>
        <w:tc>
          <w:tcPr>
            <w:shd w:val="clear" w:color="auto" w:fill="auto"/>
            <w:tcW w:w="812"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质量管控方案（</w:t>
            </w:r>
            <w:r>
              <w:rPr>
                <w:rFonts w:hint="eastAsia" w:ascii="宋体" w:hAnsi="宋体" w:cs="宋体"/>
                <w:color w:val="auto"/>
                <w:sz w:val="24"/>
                <w:szCs w:val="24"/>
                <w:highlight w:val="none"/>
                <w:lang w:val="en-US" w:eastAsia="zh-CN" w:bidi="ar-SA"/>
              </w:rPr>
              <w:t xml:space="preserve">6分</w:t>
            </w:r>
            <w:r>
              <w:rPr>
                <w:rFonts w:hint="eastAsia" w:ascii="宋体" w:hAnsi="宋体" w:eastAsia="宋体" w:cs="宋体"/>
                <w:color w:val="auto"/>
                <w:sz w:val="24"/>
                <w:szCs w:val="24"/>
                <w:highlight w:val="none"/>
                <w:lang w:val="en-US" w:eastAsia="zh-CN" w:bidi="ar-SA"/>
              </w:rPr>
              <w:t xml:space="preserve">）</w:t>
            </w:r>
            <w:r/>
          </w:p>
        </w:tc>
        <w:tc>
          <w:tcPr>
            <w:shd w:val="clear" w:color="auto" w:fill="auto"/>
            <w:tcW w:w="4187" w:type="pct"/>
            <w:vAlign w:val="center"/>
            <w:textDirection w:val="lrTb"/>
            <w:noWrap w:val="false"/>
          </w:tcPr>
          <w:p>
            <w:pPr>
              <w:pStyle w:val="795"/>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根据投标人投标文件中提供的质量管控方案，内容包含但不限于质量管理体系及措施、安全保障措施等，对内容的针对性、可行性进行评价。</w:t>
            </w:r>
            <w:r/>
          </w:p>
          <w:p>
            <w:pPr>
              <w:pStyle w:val="795"/>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分）：针对性强得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分；针对性一般得2分；针对性不强得1分。</w:t>
            </w:r>
            <w:r/>
          </w:p>
          <w:p>
            <w:pPr>
              <w:pStyle w:val="795"/>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分）：符合实际切实可行得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分；可行性一般得2分；可行性欠缺得1分。</w:t>
            </w:r>
            <w:r/>
          </w:p>
          <w:p>
            <w:pPr>
              <w:pStyle w:val="795"/>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未提供得0分，本项最高得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分，最低得0分。</w:t>
            </w:r>
            <w:r/>
          </w:p>
        </w:tc>
      </w:tr>
      <w:tr>
        <w:trPr>
          <w:jc w:val="center"/>
          <w:trHeight w:val="3848"/>
        </w:trPr>
        <w:tc>
          <w:tcPr>
            <w:shd w:val="clear" w:color="auto" w:fill="auto"/>
            <w:tcW w:w="812"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售后服务方案（</w:t>
            </w:r>
            <w:r>
              <w:rPr>
                <w:rFonts w:hint="eastAsia" w:ascii="宋体" w:hAnsi="宋体" w:cs="宋体"/>
                <w:color w:val="auto"/>
                <w:sz w:val="24"/>
                <w:szCs w:val="24"/>
                <w:highlight w:val="none"/>
                <w:lang w:val="en-US" w:eastAsia="zh-CN" w:bidi="ar-SA"/>
              </w:rPr>
              <w:t xml:space="preserve">18</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4187" w:type="pct"/>
            <w:vAlign w:val="center"/>
            <w:textDirection w:val="lrTb"/>
            <w:noWrap w:val="false"/>
          </w:tcPr>
          <w:p>
            <w:pPr>
              <w:pStyle w:val="78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投标文件中提供的售后服务方案，内容包含但不限于：①质保期；②质保期满内的服务方式及响应时间；③质保期满内的人员配置、故障处理及维修服务；④质保期满后的服务方式、响应时间故障处理及维修服务；⑤零配件方案。对内容的</w:t>
            </w:r>
            <w:r>
              <w:rPr>
                <w:rFonts w:hint="eastAsia" w:ascii="宋体" w:hAnsi="宋体" w:eastAsia="宋体" w:cs="宋体"/>
                <w:color w:val="auto"/>
                <w:sz w:val="24"/>
                <w:szCs w:val="24"/>
                <w:highlight w:val="none"/>
                <w:lang w:val="en-US" w:eastAsia="zh-CN" w:bidi="ar-SA"/>
              </w:rPr>
              <w:t xml:space="preserve">全面性、针对性、可行性进行评价。</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全面性（</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分）：全面具体详实得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lang w:val="en-US" w:eastAsia="zh-CN"/>
              </w:rPr>
              <w:t xml:space="preserve">全</w:t>
            </w:r>
            <w:r>
              <w:rPr>
                <w:rFonts w:hint="eastAsia" w:ascii="宋体" w:hAnsi="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lang w:val="en-US" w:eastAsia="zh-CN"/>
              </w:rPr>
              <w:t xml:space="preserve">面详实得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分；全面性一般得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分；不全面得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针对性（</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分）：针对性强得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分；针对性</w:t>
            </w:r>
            <w:r>
              <w:rPr>
                <w:rFonts w:hint="eastAsia" w:ascii="宋体" w:hAnsi="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lang w:val="en-US" w:eastAsia="zh-CN"/>
              </w:rPr>
              <w:t xml:space="preserve">强得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分；针对性一般得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分；针对性不强得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可行性（</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分）：符合实际切实可行得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分；可行性一般得3分；可行性欠缺得1分。</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未提供得0分，本项最高得</w:t>
            </w:r>
            <w:r>
              <w:rPr>
                <w:rFonts w:hint="eastAsia" w:ascii="宋体" w:hAnsi="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lang w:val="en-US" w:eastAsia="zh-CN"/>
              </w:rPr>
              <w:t xml:space="preserve">分，最低得0分。</w:t>
            </w:r>
            <w:r/>
          </w:p>
        </w:tc>
      </w:tr>
      <w:tr>
        <w:trPr>
          <w:jc w:val="center"/>
          <w:trHeight w:val="2075"/>
        </w:trPr>
        <w:tc>
          <w:tcPr>
            <w:shd w:val="clear" w:color="auto" w:fill="auto"/>
            <w:tcW w:w="812"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技术培训方案（</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c>
          <w:tcPr>
            <w:shd w:val="clear" w:color="auto" w:fill="auto"/>
            <w:tcW w:w="4187" w:type="pct"/>
            <w:vAlign w:val="center"/>
            <w:textDirection w:val="lrTb"/>
            <w:noWrap w:val="false"/>
          </w:tcPr>
          <w:p>
            <w:pPr>
              <w:pStyle w:val="780"/>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根据投标人投标文件中提供的技术培训方案，内容包含但不限于①培训人员设置、②培训时间及培训内容等，对内容的</w:t>
            </w:r>
            <w:r>
              <w:rPr>
                <w:rFonts w:hint="eastAsia" w:ascii="宋体" w:hAnsi="宋体" w:eastAsia="宋体" w:cs="宋体"/>
                <w:color w:val="auto"/>
                <w:sz w:val="24"/>
                <w:szCs w:val="24"/>
                <w:highlight w:val="none"/>
                <w:lang w:val="en-US" w:eastAsia="zh-CN" w:bidi="ar-SA"/>
              </w:rPr>
              <w:t xml:space="preserve">全面性、可行性进行评价。</w:t>
            </w:r>
            <w:r/>
          </w:p>
          <w:p>
            <w:pPr>
              <w:pStyle w:val="795"/>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全面性（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分）：全面具体详实得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分；较全面详实得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分；全面性一般得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分；不全面得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分。</w:t>
            </w:r>
            <w:r/>
          </w:p>
          <w:p>
            <w:pPr>
              <w:pStyle w:val="795"/>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分）：符合实际切实可行得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分；可行性一般得2分；可行性欠缺得1分。</w:t>
            </w:r>
            <w:r/>
          </w:p>
          <w:p>
            <w:pPr>
              <w:pStyle w:val="795"/>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未提供得0分，本项最高得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分，最低得0分。</w:t>
            </w:r>
            <w:r/>
          </w:p>
        </w:tc>
      </w:tr>
    </w:tbl>
    <w:p>
      <w:pPr>
        <w:spacing w:line="360" w:lineRule="auto"/>
        <w:rPr>
          <w:rFonts w:hint="eastAsia" w:ascii="宋体" w:hAnsi="宋体" w:cs="宋体"/>
          <w:sz w:val="24"/>
          <w:szCs w:val="24"/>
          <w:lang w:eastAsia="zh-CN"/>
        </w:rPr>
      </w:pPr>
      <w:r>
        <w:rPr>
          <w:rFonts w:hint="eastAsia" w:ascii="宋体" w:hAnsi="宋体" w:eastAsia="宋体" w:cs="宋体"/>
          <w:sz w:val="24"/>
          <w:szCs w:val="24"/>
        </w:rPr>
        <w:t xml:space="preserve">本章说明：本项目采用综合评分法，结果保留2位小数</w:t>
      </w:r>
      <w:r>
        <w:rPr>
          <w:rFonts w:hint="eastAsia" w:ascii="宋体" w:hAnsi="宋体" w:cs="宋体"/>
          <w:sz w:val="24"/>
          <w:szCs w:val="24"/>
          <w:lang w:eastAsia="zh-CN"/>
        </w:rPr>
        <w:t xml:space="preserve">。</w:t>
      </w:r>
      <w:r/>
    </w:p>
    <w:p>
      <w:pPr>
        <w:spacing w:line="360" w:lineRule="auto"/>
        <w:rPr>
          <w:rFonts w:hint="eastAsia" w:ascii="宋体" w:hAnsi="宋体" w:cs="宋体"/>
          <w:sz w:val="24"/>
          <w:szCs w:val="24"/>
          <w:lang w:eastAsia="zh-CN"/>
        </w:rPr>
      </w:pPr>
      <w:r>
        <w:rPr>
          <w:rFonts w:hint="eastAsia" w:ascii="宋体" w:hAnsi="宋体" w:cs="宋体"/>
          <w:sz w:val="24"/>
          <w:szCs w:val="24"/>
          <w:lang w:eastAsia="zh-CN"/>
        </w:rPr>
      </w:r>
      <w:r/>
    </w:p>
    <w:p>
      <w:pPr>
        <w:rPr>
          <w:rFonts w:hint="eastAsia" w:ascii="宋体" w:hAnsi="宋体" w:eastAsia="宋体" w:cs="宋体"/>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rPr>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第五章 拟签订的合同文本</w:t>
      </w:r>
      <w:r/>
    </w:p>
    <w:p>
      <w:pPr>
        <w:rPr>
          <w:rFonts w:hint="eastAsia" w:ascii="宋体" w:hAnsi="宋体" w:eastAsia="宋体" w:cs="宋体"/>
          <w:b/>
          <w:sz w:val="52"/>
          <w:szCs w:val="36"/>
        </w:rPr>
      </w:pPr>
      <w:r>
        <w:rPr>
          <w:rFonts w:hint="eastAsia" w:ascii="宋体" w:hAnsi="宋体" w:eastAsia="宋体" w:cs="宋体"/>
          <w:b/>
          <w:sz w:val="52"/>
          <w:szCs w:val="36"/>
        </w:rPr>
      </w:r>
      <w:r/>
    </w:p>
    <w:p>
      <w:pPr>
        <w:jc w:val="center"/>
        <w:rPr>
          <w:rFonts w:hint="eastAsia" w:ascii="宋体" w:hAnsi="宋体" w:eastAsia="宋体" w:cs="宋体"/>
          <w:b/>
          <w:sz w:val="72"/>
          <w:szCs w:val="72"/>
        </w:rPr>
      </w:pPr>
      <w:r>
        <w:rPr>
          <w:rFonts w:hint="eastAsia" w:ascii="宋体" w:hAnsi="宋体" w:eastAsia="宋体" w:cs="宋体"/>
          <w:b/>
          <w:sz w:val="72"/>
          <w:szCs w:val="72"/>
        </w:rPr>
        <w:t xml:space="preserve">政 府 采 购 合 同</w:t>
      </w:r>
      <w:r/>
    </w:p>
    <w:p>
      <w:pPr>
        <w:jc w:val="left"/>
        <w:rPr>
          <w:rFonts w:hint="eastAsia" w:ascii="宋体" w:hAnsi="宋体" w:eastAsia="宋体" w:cs="宋体"/>
          <w:b/>
          <w:sz w:val="36"/>
          <w:szCs w:val="36"/>
        </w:rPr>
      </w:pPr>
      <w:r>
        <w:rPr>
          <w:rFonts w:hint="eastAsia" w:ascii="宋体" w:hAnsi="宋体" w:eastAsia="宋体" w:cs="宋体"/>
          <w:b/>
          <w:sz w:val="36"/>
          <w:szCs w:val="36"/>
        </w:rPr>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eastAsia="宋体" w:cs="宋体"/>
          <w:b/>
          <w:sz w:val="30"/>
          <w:szCs w:val="30"/>
          <w:highlight w:val="yellow"/>
          <w:lang w:eastAsia="zh-CN"/>
        </w:rPr>
      </w:pPr>
      <w:r>
        <w:rPr>
          <w:rFonts w:hint="eastAsia" w:ascii="宋体" w:hAnsi="宋体" w:eastAsia="宋体" w:cs="宋体"/>
          <w:b/>
          <w:sz w:val="30"/>
          <w:szCs w:val="30"/>
        </w:rPr>
        <w:t xml:space="preserve">项目编号：</w:t>
      </w:r>
      <w:r>
        <w:rPr>
          <w:rFonts w:hint="eastAsia" w:ascii="宋体" w:hAnsi="宋体" w:cs="宋体"/>
          <w:b/>
          <w:sz w:val="30"/>
          <w:szCs w:val="30"/>
          <w:highlight w:val="none"/>
          <w:lang w:eastAsia="zh-CN"/>
        </w:rPr>
        <w:t xml:space="preserve">JSZC-320321-YHXZ-G2026-0002</w:t>
      </w:r>
      <w:r/>
    </w:p>
    <w:p>
      <w:pPr>
        <w:jc w:val="left"/>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left"/>
        <w:spacing w:line="360" w:lineRule="auto"/>
        <w:rPr>
          <w:rFonts w:hint="eastAsia" w:ascii="宋体" w:hAnsi="宋体" w:eastAsia="宋体" w:cs="宋体"/>
          <w:b/>
          <w:sz w:val="30"/>
          <w:szCs w:val="30"/>
          <w:lang w:eastAsia="zh-CN"/>
        </w:rPr>
      </w:pPr>
      <w:r>
        <w:rPr>
          <w:rFonts w:hint="eastAsia" w:ascii="宋体" w:hAnsi="宋体" w:eastAsia="宋体" w:cs="宋体"/>
          <w:b/>
          <w:sz w:val="30"/>
          <w:szCs w:val="30"/>
        </w:rPr>
        <w:t xml:space="preserve">项目名称：</w:t>
      </w:r>
      <w:r>
        <w:rPr>
          <w:rFonts w:hint="eastAsia" w:ascii="宋体" w:hAnsi="宋体" w:cs="宋体"/>
          <w:b/>
          <w:sz w:val="30"/>
          <w:szCs w:val="30"/>
          <w:lang w:eastAsia="zh-CN"/>
        </w:rPr>
        <w:t xml:space="preserve">丰县2026年全民健身设施配建项目</w:t>
      </w:r>
      <w:r/>
    </w:p>
    <w:p>
      <w:pPr>
        <w:jc w:val="left"/>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left"/>
        <w:spacing w:line="360" w:lineRule="auto"/>
        <w:rPr>
          <w:rFonts w:hint="eastAsia" w:ascii="宋体" w:hAnsi="宋体" w:eastAsia="宋体" w:cs="宋体"/>
          <w:b/>
          <w:sz w:val="30"/>
          <w:szCs w:val="30"/>
          <w:lang w:eastAsia="zh-CN"/>
        </w:rPr>
      </w:pPr>
      <w:r>
        <w:rPr>
          <w:rFonts w:hint="eastAsia" w:ascii="宋体" w:hAnsi="宋体" w:eastAsia="宋体" w:cs="宋体"/>
          <w:b/>
          <w:sz w:val="30"/>
          <w:szCs w:val="30"/>
        </w:rPr>
        <w:t xml:space="preserve">采购单位：</w:t>
      </w:r>
      <w:r>
        <w:rPr>
          <w:rFonts w:hint="eastAsia" w:ascii="宋体" w:hAnsi="宋体" w:cs="宋体"/>
          <w:b/>
          <w:sz w:val="30"/>
          <w:szCs w:val="30"/>
          <w:lang w:eastAsia="zh-CN"/>
        </w:rPr>
        <w:t xml:space="preserve">丰县文体广电和旅游局</w:t>
      </w:r>
      <w:r/>
    </w:p>
    <w:p>
      <w:pPr>
        <w:jc w:val="left"/>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left"/>
        <w:spacing w:line="360" w:lineRule="auto"/>
        <w:rPr>
          <w:rFonts w:hint="eastAsia" w:ascii="宋体" w:hAnsi="宋体" w:eastAsia="宋体" w:cs="宋体"/>
          <w:b/>
          <w:sz w:val="30"/>
          <w:szCs w:val="30"/>
        </w:rPr>
      </w:pPr>
      <w:r>
        <w:rPr>
          <w:rFonts w:hint="eastAsia" w:ascii="宋体" w:hAnsi="宋体" w:eastAsia="宋体" w:cs="宋体"/>
          <w:b/>
          <w:sz w:val="30"/>
          <w:szCs w:val="30"/>
        </w:rPr>
        <w:t xml:space="preserve">中标供应商（乙方）：</w:t>
      </w:r>
      <w:r/>
    </w:p>
    <w:p>
      <w:pPr>
        <w:jc w:val="left"/>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left"/>
        <w:spacing w:line="360" w:lineRule="auto"/>
        <w:rPr>
          <w:rFonts w:hint="eastAsia" w:ascii="宋体" w:hAnsi="宋体" w:eastAsia="宋体" w:cs="宋体"/>
          <w:b/>
          <w:sz w:val="30"/>
          <w:szCs w:val="30"/>
        </w:rPr>
      </w:pPr>
      <w:r>
        <w:rPr>
          <w:rFonts w:hint="eastAsia" w:ascii="宋体" w:hAnsi="宋体" w:eastAsia="宋体" w:cs="宋体"/>
          <w:b/>
          <w:sz w:val="30"/>
          <w:szCs w:val="30"/>
        </w:rPr>
        <w:t xml:space="preserve">签订日期：    年  月  日</w:t>
      </w:r>
      <w:r/>
    </w:p>
    <w:p>
      <w:pPr>
        <w:spacing w:line="360" w:lineRule="auto"/>
        <w:rPr>
          <w:rFonts w:hint="eastAsia" w:ascii="宋体" w:hAnsi="宋体" w:eastAsia="宋体" w:cs="宋体"/>
          <w:b/>
          <w:bCs/>
          <w:sz w:val="24"/>
        </w:rPr>
      </w:pPr>
      <w:r>
        <w:rPr>
          <w:rFonts w:hint="eastAsia" w:ascii="宋体" w:hAnsi="宋体" w:eastAsia="宋体" w:cs="宋体"/>
          <w:b/>
          <w:bCs/>
          <w:sz w:val="24"/>
        </w:rPr>
      </w:r>
      <w:r/>
    </w:p>
    <w:p>
      <w:pPr>
        <w:pStyle w:val="790"/>
        <w:ind w:left="0" w:right="0"/>
        <w:spacing w:after="0" w:line="360" w:lineRule="auto"/>
        <w:rPr>
          <w:rFonts w:hint="eastAsia" w:ascii="宋体" w:hAnsi="宋体" w:eastAsia="宋体" w:cs="宋体"/>
          <w:b/>
          <w:sz w:val="24"/>
        </w:rPr>
      </w:pPr>
      <w:r>
        <w:rPr>
          <w:rFonts w:hint="eastAsia" w:ascii="宋体" w:hAnsi="宋体" w:eastAsia="宋体" w:cs="宋体"/>
          <w:b/>
          <w:sz w:val="24"/>
        </w:rPr>
      </w:r>
      <w:r/>
    </w:p>
    <w:p>
      <w:pPr>
        <w:pStyle w:val="790"/>
        <w:ind w:left="0" w:right="0"/>
        <w:spacing w:after="0" w:line="360" w:lineRule="auto"/>
        <w:rPr>
          <w:rFonts w:hint="eastAsia" w:ascii="宋体" w:hAnsi="宋体" w:eastAsia="宋体" w:cs="宋体"/>
          <w:b/>
          <w:color w:val="auto"/>
          <w:sz w:val="24"/>
        </w:rPr>
      </w:pPr>
      <w:r>
        <w:rPr>
          <w:rFonts w:hint="eastAsia" w:ascii="宋体" w:hAnsi="宋体" w:eastAsia="宋体" w:cs="宋体"/>
          <w:b/>
          <w:color w:val="auto"/>
          <w:sz w:val="24"/>
        </w:rPr>
      </w:r>
      <w:r/>
    </w:p>
    <w:p>
      <w:pPr>
        <w:pStyle w:val="790"/>
        <w:ind w:left="0" w:right="0"/>
        <w:spacing w:after="0" w:line="360" w:lineRule="auto"/>
        <w:rPr>
          <w:rFonts w:hint="eastAsia" w:ascii="宋体" w:hAnsi="宋体" w:eastAsia="宋体" w:cs="宋体"/>
          <w:b/>
          <w:color w:val="auto"/>
          <w:sz w:val="24"/>
        </w:rPr>
      </w:pPr>
      <w:r>
        <w:rPr>
          <w:rFonts w:hint="eastAsia" w:ascii="宋体" w:hAnsi="宋体" w:eastAsia="宋体" w:cs="宋体"/>
          <w:b/>
          <w:color w:val="auto"/>
          <w:sz w:val="24"/>
        </w:rPr>
        <w:t xml:space="preserve">友情提醒：采购人与中标供应商应当在中标通知书发出之日起三十日内，按照采购文件确定的事项签订政府采购合同。</w:t>
      </w:r>
      <w:r/>
    </w:p>
    <w:p>
      <w:pPr>
        <w:pStyle w:val="790"/>
        <w:ind w:left="0" w:right="0"/>
        <w:spacing w:after="0" w:line="360" w:lineRule="auto"/>
        <w:rPr>
          <w:rFonts w:hint="eastAsia" w:ascii="宋体" w:hAnsi="宋体" w:eastAsia="宋体" w:cs="宋体"/>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jc w:val="center"/>
        <w:spacing w:line="520" w:lineRule="exact"/>
        <w:rPr>
          <w:rFonts w:hint="eastAsia" w:ascii="宋体" w:hAnsi="宋体" w:eastAsia="宋体" w:cs="宋体"/>
          <w:b/>
          <w:bCs/>
          <w:sz w:val="32"/>
          <w:szCs w:val="32"/>
          <w:highlight w:val="white"/>
        </w:rPr>
      </w:pPr>
      <w:r>
        <w:rPr>
          <w:rFonts w:hint="eastAsia" w:ascii="宋体" w:hAnsi="宋体" w:eastAsia="宋体" w:cs="宋体"/>
          <w:b/>
          <w:bCs/>
          <w:sz w:val="32"/>
          <w:szCs w:val="32"/>
          <w:highlight w:val="white"/>
        </w:rPr>
        <w:t xml:space="preserve">合同通用条款</w:t>
      </w:r>
      <w:r/>
    </w:p>
    <w:p>
      <w:pPr>
        <w:ind w:firstLine="480"/>
        <w:jc w:val="center"/>
        <w:spacing w:line="520" w:lineRule="exact"/>
        <w:rPr>
          <w:rFonts w:hint="eastAsia" w:ascii="宋体" w:hAnsi="宋体" w:eastAsia="宋体" w:cs="宋体"/>
          <w:b/>
          <w:bCs/>
          <w:sz w:val="28"/>
          <w:szCs w:val="28"/>
          <w:highlight w:val="white"/>
        </w:rPr>
      </w:pPr>
      <w:r>
        <w:rPr>
          <w:rFonts w:hint="eastAsia" w:ascii="宋体" w:hAnsi="宋体" w:eastAsia="宋体" w:cs="宋体"/>
          <w:b/>
          <w:bCs/>
          <w:sz w:val="28"/>
          <w:szCs w:val="28"/>
          <w:highlight w:val="white"/>
        </w:rPr>
      </w:r>
      <w:r/>
    </w:p>
    <w:p>
      <w:pPr>
        <w:ind w:firstLine="480"/>
        <w:jc w:val="center"/>
        <w:spacing w:line="520" w:lineRule="exact"/>
        <w:rPr>
          <w:rFonts w:hint="eastAsia" w:ascii="宋体" w:hAnsi="宋体" w:eastAsia="宋体" w:cs="宋体"/>
          <w:b/>
          <w:bCs/>
          <w:sz w:val="28"/>
          <w:szCs w:val="28"/>
          <w:highlight w:val="white"/>
        </w:rPr>
      </w:pPr>
      <w:r>
        <w:rPr>
          <w:rFonts w:hint="eastAsia" w:ascii="宋体" w:hAnsi="宋体" w:eastAsia="宋体" w:cs="宋体"/>
          <w:b/>
          <w:bCs/>
          <w:sz w:val="28"/>
          <w:szCs w:val="28"/>
          <w:highlight w:val="white"/>
        </w:rPr>
        <w:t xml:space="preserve">目 录</w:t>
      </w:r>
      <w:r/>
    </w:p>
    <w:p>
      <w:pPr>
        <w:ind w:firstLine="560"/>
        <w:spacing w:line="520" w:lineRule="exact"/>
        <w:rPr>
          <w:rFonts w:hint="eastAsia" w:ascii="宋体" w:hAnsi="宋体" w:eastAsia="宋体" w:cs="宋体"/>
          <w:sz w:val="28"/>
          <w:szCs w:val="28"/>
          <w:highlight w:val="white"/>
        </w:rPr>
      </w:pPr>
      <w:r>
        <w:rPr>
          <w:rFonts w:hint="eastAsia" w:ascii="宋体" w:hAnsi="宋体" w:eastAsia="宋体" w:cs="宋体"/>
          <w:sz w:val="28"/>
          <w:szCs w:val="28"/>
          <w:highlight w:val="white"/>
        </w:rPr>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第一条    定义</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第二条    合同范围</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第三条    价格</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第四条    支付</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第五条    交货</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第六条    包装和标记</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第七条    技术资料</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第八条    安装</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第九条    验收</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第十条    售后服务和技术培训</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第十一条  索赔</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第十二条  不可抗力</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第十三条  合同的终止</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第十四条  争议的解决</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第十五条  适用法律</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第十六条  权利保证</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第十七条  保密</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第十八条  合同生效及其他</w:t>
      </w:r>
      <w:r/>
    </w:p>
    <w:p>
      <w:pPr>
        <w:ind w:firstLine="540"/>
        <w:spacing w:line="312" w:lineRule="auto"/>
        <w:rPr>
          <w:rStyle w:val="972"/>
          <w:rFonts w:hint="eastAsia" w:ascii="宋体" w:hAnsi="宋体" w:eastAsia="宋体" w:cs="宋体"/>
          <w:sz w:val="28"/>
          <w:szCs w:val="28"/>
          <w:highlight w:val="white"/>
        </w:rPr>
      </w:pPr>
      <w:r>
        <w:rPr>
          <w:rFonts w:hint="eastAsia" w:ascii="宋体" w:hAnsi="宋体" w:eastAsia="宋体" w:cs="宋体"/>
          <w:sz w:val="28"/>
          <w:szCs w:val="28"/>
          <w:highlight w:val="white"/>
        </w:rPr>
      </w:r>
      <w:r/>
    </w:p>
    <w:p>
      <w:pPr>
        <w:pStyle w:val="973"/>
        <w:ind w:firstLine="562"/>
        <w:rPr>
          <w:rStyle w:val="972"/>
          <w:rFonts w:hint="eastAsia" w:ascii="宋体" w:hAnsi="宋体" w:eastAsia="宋体" w:cs="宋体"/>
          <w:b/>
          <w:sz w:val="28"/>
          <w:szCs w:val="28"/>
          <w:highlight w:val="white"/>
        </w:rPr>
      </w:pPr>
      <w:r>
        <w:rPr>
          <w:rFonts w:hint="eastAsia" w:ascii="宋体" w:hAnsi="宋体" w:eastAsia="宋体" w:cs="宋体"/>
          <w:b/>
          <w:sz w:val="28"/>
          <w:szCs w:val="28"/>
          <w:highlight w:val="white"/>
        </w:rPr>
      </w:r>
      <w:r/>
    </w:p>
    <w:p>
      <w:pPr>
        <w:pStyle w:val="973"/>
        <w:ind w:firstLine="562"/>
        <w:rPr>
          <w:rStyle w:val="972"/>
          <w:rFonts w:hint="eastAsia" w:ascii="宋体" w:hAnsi="宋体" w:eastAsia="宋体" w:cs="宋体"/>
          <w:b/>
          <w:sz w:val="28"/>
          <w:szCs w:val="28"/>
          <w:highlight w:val="white"/>
        </w:rPr>
      </w:pPr>
      <w:r>
        <w:rPr>
          <w:rFonts w:hint="eastAsia" w:ascii="宋体" w:hAnsi="宋体" w:eastAsia="宋体" w:cs="宋体"/>
          <w:b/>
          <w:sz w:val="28"/>
          <w:szCs w:val="28"/>
          <w:highlight w:val="white"/>
        </w:rPr>
      </w:r>
      <w:r/>
    </w:p>
    <w:p>
      <w:pPr>
        <w:pStyle w:val="973"/>
        <w:ind w:left="0" w:firstLine="560"/>
        <w:rPr>
          <w:rStyle w:val="972"/>
          <w:rFonts w:hint="eastAsia" w:ascii="宋体" w:hAnsi="宋体" w:eastAsia="宋体" w:cs="宋体"/>
          <w:bCs/>
          <w:sz w:val="28"/>
          <w:szCs w:val="28"/>
          <w:highlight w:val="white"/>
        </w:rPr>
        <w:sectPr>
          <w:footerReference w:type="default" r:id="rId12"/>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Cs/>
          <w:sz w:val="28"/>
          <w:szCs w:val="28"/>
          <w:highlight w:val="white"/>
        </w:rPr>
      </w:r>
      <w:r/>
    </w:p>
    <w:p>
      <w:pPr>
        <w:ind w:firstLine="480"/>
        <w:jc w:val="center"/>
        <w:spacing w:line="520" w:lineRule="exact"/>
        <w:rPr>
          <w:rFonts w:hint="eastAsia" w:ascii="宋体" w:hAnsi="宋体" w:eastAsia="宋体" w:cs="宋体"/>
          <w:sz w:val="32"/>
          <w:szCs w:val="32"/>
          <w:highlight w:val="white"/>
        </w:rPr>
      </w:pPr>
      <w:r>
        <w:rPr>
          <w:rFonts w:hint="eastAsia" w:ascii="宋体" w:hAnsi="宋体" w:eastAsia="宋体" w:cs="宋体"/>
          <w:sz w:val="32"/>
          <w:szCs w:val="32"/>
          <w:highlight w:val="white"/>
        </w:rPr>
        <w:t xml:space="preserve">合同通用条款</w:t>
      </w:r>
      <w:r/>
    </w:p>
    <w:p>
      <w:pPr>
        <w:ind w:firstLine="420"/>
        <w:spacing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第一条  定义</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除本合同上下文中另有规定外，下列各词语定义如下： </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1.1“买方”见《合同专用条款》。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1.2“卖方”见《合同专用条款》。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1.3“工作现场”见《合同专用条款》。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1.4“合同标的”见合同附件4。</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1.5“技术资料”是指与合同标的的安装、试运行、验收、操作以及维修有关的技术指标、规格、图纸和文件。</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1.6“技术培训”是指在合同标的的安装、试运行、验收、操作、维修以及其他方面卖方给予买方的培训。</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1.7“安装”是指有关合同标的、备件和材料的安装工作。</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1.8“试运行”是指为验明合同标的的技术性能，在安装完毕后对合同标的进行的测试。</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1.10“合同货币”见《合同专用条款》。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1.11“合同价格”见合同附件4。</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1.12“合同生效日”见《合同协议书》（合同附件1）第5 条。</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1.13“日”是指日历天数。</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1.14“月”是指日历月数。</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1.15“采购需求” 见合同附件6。</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第二条 合同范围</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2.1买方同意从卖方购买、卖方同意向买方出售和提供的合同标的以及相关售后服务、技术培训和技术资料。</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2.2数量：见招标文件第六章《采购需求》。</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第三条 价格</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3.1 合同总价见《合同专用条款》。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3.2 合同总价是固定价格。</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第四条 支付（采购资金的支付方式、时间、条件）</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4.1买方应按照《合同专用条款》的规定进行支付。如果卖方未能按照《合同专用条款》的要求提交支付文件，由此产生的所有责任和发生的所有费用，均由卖方承担。</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4.2卖方有义务根据合同的规定向买方支付违约金和/或赔偿金时，买方有权从任何一笔应付款或卖方的履约保证金中予以扣除。</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第五条 交货（货物、服务提供的时间、地点、方式）</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5.1交货期限、批次和交货条件见《合同专用条款》。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5.2交货地点见《合同专用条款》。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5.3在《合同专用条款》规定的期限内，卖方应将合同号、合同标的的名称、数量、金额、包装件数以及交货的时间以书面方式通知买方。</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5.4卖方应按下列规定交付合同标的：</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5.4.1卖方负责将合同标的送至《合同专用条款》规定的交货地点。</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5.4.2买方出具的收据日期是合同标的的实际交货日期。</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5.5如果卖方未能按照合同规定的交货期限交货，卖方应按《合同专用条款》的规定支付违约金或提供其他救济。</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第六条 包装与标记</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6.1除非合同中另有规定，合同标的应保持产品制造企业原包装完好。</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6.2在合同标的的每件包装中都应附有下列单据： </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A. 装箱明细单； </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B. 质量合格证； </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C. 技术资料。</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第七条 技术资料</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7.1 技术资料交付的期限和方式见《合同专用条款》。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第八条 安装</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8.1 合同标的的安装期限见《合同专用条款》。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8.2 项目实施方案见合同附件7。</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第九条 验收</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9.1合同标的的试运行、验收见《合同专用条款》。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9.2如果合同附件2 所规定的所有技术性能在验收中都已经达到，双方应在验收合格后5 日内签署验收书。</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9.3验收标准（验收要求、验收标准和程序）：见合同附件5。</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第十条 售后服务和技术培训</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10.1售后服务和技术培训见合同附件3。</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第十一条 索赔</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11.1如果合同标的在安装、试运行和验收中卖方未能履行其在本合同项下承担的义务，买方有权向卖方提出索赔并寻求《合同专用条款》中规定的救济方式，救济方式包括：</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A. 卖方替换不符合合同规定的合同标的。</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B. 按质量低劣的程度、买方受损害的程度及损失的数额对合同标的进行降价。</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C. 拒收合同标的。</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D. 赔偿由卖方违约引起的其他损失。</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第十二条 不可抗力</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第十三条 合同的终止</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A. 卖方在合同规定的交货期限后未能按《合同专用条款》中规定的最终期限交付合同标的和/或技术资料； </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B. 合同标的未能达到合同附件2 规定的技术性能； </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C. 卖方未能履行合同项下任何其它义务，并且在收到买方违约通知后未能按《合同专用条款》中规定的期限对其违约行为作出补救。</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13.2如果一方破产或发生资不抵债的情况，合同另一方有权在任何时候发出书面通知终止合同。此种情况下合同的终止不妨碍或影响行使任何可能的其它救济手段。</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13.3如果买方认定卖方在投标或执行合同中有腐败或欺诈行为，买方有权在任何时候发出书面通知终止合同。</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A.“腐败行为”系指在招标、采购和合同执行等过程中，为谋求利益、影响相关人员而提供、给予、接受或索取任何有价物的行为。</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B.“欺诈行为”系指为了影响招标、采购和合同执行等过程而隐瞒事实，从而给买方造成损害的行为，其中包括投标人之间的串通行为。</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13.4 在买方全部或部分终止合同的情况下，卖方应按《合同专用条款》的规定对买方给予补偿。</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第十四条 争议的解决</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14.1 因执行本合同所发生的或者与本合同有关的一切争议由合同双方通过友好协商解决，如果不能协商一致，按《合同专用条款》规定的方式解决。</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第十五条 适用法律</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15.1 本合同的执行和争议的解决适用中华人民共和国的法律并按中华人民共和国的法律进行解释。</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第十六条  权利保证</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16.1卖方应保证买方在使用合同标的时不受第三方提出侵犯其专利权、版权、商标权或其他权利的起诉。一旦出现侵权，卖方承担全部责任。</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第十七条  保密 </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17.2上述秘密，卖方只能用于本合同，而且只能由卖方相应的人员使用；没有必要接触的卖方人员，不得接触。</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17.3卖方应当采取适当有效的方式保护所获取的上述秘密。</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第十八条 合同生效及其他</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18.1 本合同在合同协议书（合同附件1）规定的条件全部满足后生效。</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18.2合同项下全部权利义务履行完毕后，本合同自动失效。合同履行期满后，合同项下任何尚未了结的债权和债务不受合同履行期的影响，债务人仍应向债权人履行其义务。</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18.3 合同双方各自承担与本合同有关的应负税费。</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18.4合同双方除非《合同专用条款》另有规定，所有合同文件及相关的修订和合同双方之间的书面联络，应使用中文书就并按中文解释。</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18.5对本合同的任何补充、增添或修改以书面方式进行。</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18.6没有另一方的事先书面同意，合同任何一方不得将合同项下的任何权利和义务转让给第三方。</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18.8合同条款中的标题和边注仅供参考使用，不应视为合同的一部分，也不影响本文的解释。</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18.9合同构成买方和卖方之间就合同主要内容方面的完整协议，并且取代合同签订前所有关于这方面的通讯、协商、协议(不论是书面的，还是口头的)。</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18.11合同双方之间的一切联络往来应以书面形式按《合同专用条款》中规定的通讯地址发往合同另一方。有关重要事项的传真应及时用挂号信或快件确认。</w:t>
      </w:r>
      <w:r/>
    </w:p>
    <w:p>
      <w:pPr>
        <w:pStyle w:val="973"/>
        <w:ind w:left="0" w:right="0" w:firstLine="420"/>
        <w:spacing w:line="360" w:lineRule="auto"/>
        <w:rPr>
          <w:rStyle w:val="972"/>
          <w:rFonts w:hint="eastAsia" w:ascii="宋体" w:hAnsi="宋体" w:eastAsia="宋体" w:cs="宋体"/>
          <w:bCs/>
          <w:sz w:val="28"/>
          <w:szCs w:val="28"/>
          <w:highlight w:val="whit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Cs/>
          <w:sz w:val="28"/>
          <w:szCs w:val="28"/>
          <w:highlight w:val="white"/>
        </w:rPr>
      </w:r>
      <w:r/>
    </w:p>
    <w:p>
      <w:pPr>
        <w:jc w:val="center"/>
        <w:spacing w:line="360" w:lineRule="auto"/>
        <w:rPr>
          <w:rFonts w:hint="eastAsia" w:ascii="宋体" w:hAnsi="宋体" w:eastAsia="宋体" w:cs="宋体"/>
          <w:b/>
          <w:bCs/>
          <w:sz w:val="32"/>
          <w:szCs w:val="32"/>
          <w:highlight w:val="white"/>
        </w:rPr>
      </w:pPr>
      <w:r>
        <w:rPr>
          <w:rFonts w:hint="eastAsia" w:ascii="宋体" w:hAnsi="宋体" w:eastAsia="宋体" w:cs="宋体"/>
          <w:b/>
          <w:bCs/>
          <w:sz w:val="32"/>
          <w:szCs w:val="32"/>
          <w:highlight w:val="white"/>
        </w:rPr>
        <w:t xml:space="preserve">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《合同专用条款》中的条款项号是与《合同通用条款》中的条款项号对应的，其增加的内容和条款，是对《合同通用条款》的补充、修改和完善，如果有矛盾的话，以《合同专用条款》为准。</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第一条 定义</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 “买方”为 </w:t>
      </w:r>
      <w:r>
        <w:rPr>
          <w:rFonts w:hint="eastAsia" w:ascii="宋体" w:hAnsi="宋体" w:eastAsia="宋体" w:cs="宋体"/>
          <w:sz w:val="24"/>
          <w:highlight w:val="white"/>
          <w:u w:val="single"/>
        </w:rPr>
        <w:t xml:space="preserve">            </w:t>
      </w:r>
      <w:r>
        <w:rPr>
          <w:rFonts w:hint="eastAsia" w:ascii="宋体" w:hAnsi="宋体" w:eastAsia="宋体" w:cs="宋体"/>
          <w:sz w:val="24"/>
          <w:highlight w:val="white"/>
        </w:rPr>
        <w:t xml:space="preserve">。</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1.2 “卖方”为</w:t>
      </w:r>
      <w:r>
        <w:rPr>
          <w:rFonts w:hint="eastAsia" w:ascii="宋体" w:hAnsi="宋体" w:eastAsia="宋体" w:cs="宋体"/>
          <w:sz w:val="24"/>
          <w:highlight w:val="white"/>
          <w:u w:val="single"/>
        </w:rPr>
        <w:t xml:space="preserve">              </w:t>
      </w:r>
      <w:r>
        <w:rPr>
          <w:rFonts w:hint="eastAsia" w:ascii="宋体" w:hAnsi="宋体" w:eastAsia="宋体" w:cs="宋体"/>
          <w:sz w:val="24"/>
          <w:highlight w:val="white"/>
        </w:rPr>
        <w:t xml:space="preserve">。</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1.3 “工作现场”为</w:t>
      </w:r>
      <w:r>
        <w:rPr>
          <w:rFonts w:hint="eastAsia" w:ascii="宋体" w:hAnsi="宋体" w:eastAsia="宋体" w:cs="宋体"/>
          <w:sz w:val="24"/>
          <w:highlight w:val="white"/>
          <w:u w:val="single"/>
        </w:rPr>
        <w:t xml:space="preserve">买方指定地点</w:t>
      </w:r>
      <w:r>
        <w:rPr>
          <w:rFonts w:hint="eastAsia" w:ascii="宋体" w:hAnsi="宋体" w:eastAsia="宋体" w:cs="宋体"/>
          <w:sz w:val="24"/>
          <w:highlight w:val="white"/>
        </w:rPr>
        <w:t xml:space="preserve">。</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1.10 “合同货币”即</w:t>
      </w:r>
      <w:r>
        <w:rPr>
          <w:rFonts w:hint="eastAsia" w:ascii="宋体" w:hAnsi="宋体" w:eastAsia="宋体" w:cs="宋体"/>
          <w:sz w:val="24"/>
          <w:highlight w:val="white"/>
          <w:u w:val="single"/>
        </w:rPr>
        <w:t xml:space="preserve">人民币</w:t>
      </w:r>
      <w:r>
        <w:rPr>
          <w:rFonts w:hint="eastAsia" w:ascii="宋体" w:hAnsi="宋体" w:eastAsia="宋体" w:cs="宋体"/>
          <w:sz w:val="24"/>
          <w:highlight w:val="white"/>
        </w:rPr>
        <w:t xml:space="preserve">。</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第二条 合同范围</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2.1买方同意从卖方购买、卖方同意向买方出售的合同标的是</w:t>
      </w:r>
      <w:r>
        <w:rPr>
          <w:rFonts w:hint="eastAsia" w:ascii="宋体" w:hAnsi="宋体" w:eastAsia="宋体" w:cs="宋体"/>
          <w:sz w:val="24"/>
          <w:highlight w:val="white"/>
          <w:u w:val="single"/>
        </w:rPr>
        <w:t xml:space="preserve">      </w:t>
      </w:r>
      <w:r>
        <w:rPr>
          <w:rFonts w:hint="eastAsia" w:ascii="宋体" w:hAnsi="宋体" w:eastAsia="宋体" w:cs="宋体"/>
          <w:sz w:val="24"/>
          <w:highlight w:val="white"/>
        </w:rPr>
        <w:t xml:space="preserve">。详见合同附件。</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第三条 价格</w:t>
      </w:r>
      <w:r/>
    </w:p>
    <w:p>
      <w:pPr>
        <w:ind w:firstLine="42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3.1合同总价为￥</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大写：人民币</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w:t>
      </w:r>
      <w:r/>
    </w:p>
    <w:p>
      <w:pPr>
        <w:ind w:firstLine="42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3.2报价包括但不限于产品价、税金、运费、安装调试、检验、验收、售后服务、投标人的利润等全部费用</w:t>
      </w:r>
      <w:r>
        <w:rPr>
          <w:rFonts w:hint="eastAsia" w:ascii="宋体" w:hAnsi="宋体" w:eastAsia="宋体" w:cs="宋体"/>
          <w:bCs/>
          <w:color w:val="auto"/>
          <w:sz w:val="24"/>
          <w:highlight w:val="white"/>
        </w:rPr>
        <w:t xml:space="preserve">。采购人不再支付报价以外的任何费用</w:t>
      </w:r>
      <w:r>
        <w:rPr>
          <w:rFonts w:hint="eastAsia" w:ascii="宋体" w:hAnsi="宋体" w:eastAsia="宋体" w:cs="宋体"/>
          <w:color w:val="auto"/>
          <w:sz w:val="24"/>
          <w:highlight w:val="white"/>
        </w:rPr>
        <w:t xml:space="preserve">。项目实施过程中除招标人提出的变更要求外不增加任何费用，本合同总价中包括但不限于国家法律法规对设备、材料的检验、检测费用，包含所有实验室设施设备必须配套的线缆及辅料等须满足使用功能及采购人要求。</w:t>
      </w:r>
      <w:r/>
    </w:p>
    <w:p>
      <w:pPr>
        <w:ind w:firstLine="42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第四条 支付</w:t>
      </w:r>
      <w:r/>
    </w:p>
    <w:p>
      <w:pPr>
        <w:ind w:firstLine="4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4.1结算金额的计算方式（采购资金的支付方式、时间、条件）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经双方协商一致，选择以下第</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种付款方式：</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①</w:t>
      </w:r>
      <w:r>
        <w:rPr>
          <w:rFonts w:hint="eastAsia" w:ascii="宋体" w:hAnsi="宋体" w:eastAsia="宋体" w:cs="宋体"/>
          <w:b/>
          <w:bCs/>
          <w:color w:val="auto"/>
          <w:sz w:val="24"/>
          <w:szCs w:val="24"/>
          <w:highlight w:val="none"/>
        </w:rPr>
        <w:t xml:space="preserve">付款方式</w:t>
      </w: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（提交预付款保函的）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合同总价的百分之四十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作为预付款，在合同签订生效且卖方向甲方出具合同总价的百分之四十（40%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的预付款保函，甲方自收到</w:t>
      </w:r>
      <w:r>
        <w:rPr>
          <w:rFonts w:hint="eastAsia" w:ascii="宋体" w:hAnsi="宋体" w:cs="宋体"/>
          <w:color w:val="auto"/>
          <w:sz w:val="24"/>
          <w:szCs w:val="24"/>
          <w:highlight w:val="none"/>
          <w:lang w:val="en-US" w:eastAsia="zh-CN"/>
        </w:rPr>
        <w:t xml:space="preserve">发票</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发票</w:t>
      </w:r>
      <w:r>
        <w:rPr>
          <w:rFonts w:hint="eastAsia" w:ascii="宋体" w:hAnsi="宋体" w:eastAsia="宋体" w:cs="宋体"/>
          <w:color w:val="auto"/>
          <w:sz w:val="24"/>
          <w:szCs w:val="24"/>
          <w:highlight w:val="none"/>
        </w:rPr>
        <w:t xml:space="preserve">金额为合同总价的40%）后10个工作日内，将资金支付到合同约定的乙方账户。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合同总价的百分之六十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，经买方验收合格后，买方自收到发票（发票金额为合同总价的60%）后10个工作日内，将资金支付到合同约定的卖方账户。</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②付款方式</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（不提交预付款保函的）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w:t>
      </w:r>
      <w:r>
        <w:rPr>
          <w:rFonts w:hint="eastAsia" w:ascii="宋体" w:hAnsi="宋体" w:cs="宋体"/>
          <w:color w:val="auto"/>
          <w:sz w:val="24"/>
          <w:szCs w:val="24"/>
          <w:highlight w:val="none"/>
          <w:lang w:val="en-US" w:eastAsia="zh-CN"/>
        </w:rPr>
        <w:t xml:space="preserve">价款</w:t>
      </w:r>
      <w:r>
        <w:rPr>
          <w:rFonts w:hint="eastAsia" w:ascii="宋体" w:hAnsi="宋体" w:eastAsia="宋体" w:cs="宋体"/>
          <w:color w:val="auto"/>
          <w:sz w:val="24"/>
          <w:szCs w:val="24"/>
          <w:highlight w:val="none"/>
        </w:rPr>
        <w:t xml:space="preserve">的百分之三十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大写：人民币</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元整</w:t>
      </w:r>
      <w:r>
        <w:rPr>
          <w:rFonts w:hint="eastAsia" w:ascii="宋体" w:hAnsi="宋体" w:eastAsia="宋体" w:cs="宋体"/>
          <w:color w:val="auto"/>
          <w:sz w:val="24"/>
          <w:szCs w:val="24"/>
          <w:highlight w:val="none"/>
        </w:rPr>
        <w:t xml:space="preserve">，在</w:t>
      </w:r>
      <w:r>
        <w:rPr>
          <w:rFonts w:hint="eastAsia" w:ascii="宋体" w:hAnsi="宋体" w:cs="宋体"/>
          <w:color w:val="auto"/>
          <w:sz w:val="24"/>
          <w:szCs w:val="24"/>
          <w:highlight w:val="none"/>
          <w:lang w:val="en-US" w:eastAsia="zh-CN"/>
        </w:rPr>
        <w:t xml:space="preserve">双方签订</w:t>
      </w:r>
      <w:r>
        <w:rPr>
          <w:rFonts w:hint="eastAsia" w:ascii="宋体" w:hAnsi="宋体" w:eastAsia="宋体" w:cs="宋体"/>
          <w:color w:val="auto"/>
          <w:sz w:val="24"/>
          <w:szCs w:val="24"/>
          <w:highlight w:val="none"/>
        </w:rPr>
        <w:t xml:space="preserve">合同</w:t>
      </w:r>
      <w:r>
        <w:rPr>
          <w:rFonts w:hint="eastAsia" w:ascii="宋体" w:hAnsi="宋体" w:cs="宋体"/>
          <w:color w:val="auto"/>
          <w:sz w:val="24"/>
          <w:szCs w:val="24"/>
          <w:highlight w:val="none"/>
          <w:lang w:val="en-US" w:eastAsia="zh-CN"/>
        </w:rPr>
        <w:t xml:space="preserve">后15日内</w:t>
      </w:r>
      <w:r>
        <w:rPr>
          <w:rFonts w:hint="eastAsia" w:ascii="宋体" w:hAnsi="宋体" w:eastAsia="宋体" w:cs="宋体"/>
          <w:color w:val="auto"/>
          <w:sz w:val="24"/>
          <w:szCs w:val="24"/>
          <w:highlight w:val="none"/>
        </w:rPr>
        <w:t xml:space="preserve">，由</w:t>
      </w:r>
      <w:r>
        <w:rPr>
          <w:rFonts w:hint="eastAsia" w:ascii="宋体" w:hAnsi="宋体" w:cs="宋体"/>
          <w:color w:val="auto"/>
          <w:sz w:val="24"/>
          <w:szCs w:val="24"/>
          <w:highlight w:val="none"/>
          <w:lang w:val="en-US" w:eastAsia="zh-CN"/>
        </w:rPr>
        <w:t xml:space="preserve">买</w:t>
      </w:r>
      <w:r>
        <w:rPr>
          <w:rFonts w:hint="eastAsia" w:ascii="宋体" w:hAnsi="宋体" w:eastAsia="宋体" w:cs="宋体"/>
          <w:color w:val="auto"/>
          <w:sz w:val="24"/>
          <w:szCs w:val="24"/>
          <w:highlight w:val="none"/>
        </w:rPr>
        <w:t xml:space="preserve">方办理政府采购资金结算手续支付给</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w:t>
      </w:r>
      <w:r>
        <w:rPr>
          <w:rFonts w:hint="eastAsia" w:ascii="宋体" w:hAnsi="宋体" w:cs="宋体"/>
          <w:color w:val="auto"/>
          <w:sz w:val="24"/>
          <w:szCs w:val="24"/>
          <w:highlight w:val="none"/>
          <w:lang w:val="en-US" w:eastAsia="zh-CN"/>
        </w:rPr>
        <w:t xml:space="preserve">价款</w:t>
      </w:r>
      <w:r>
        <w:rPr>
          <w:rFonts w:hint="eastAsia" w:ascii="宋体" w:hAnsi="宋体" w:eastAsia="宋体" w:cs="宋体"/>
          <w:color w:val="auto"/>
          <w:sz w:val="24"/>
          <w:szCs w:val="24"/>
          <w:highlight w:val="none"/>
        </w:rPr>
        <w:t xml:space="preserve">的百分之</w:t>
      </w: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大写：人民币</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元整</w:t>
      </w:r>
      <w:r>
        <w:rPr>
          <w:rFonts w:hint="eastAsia" w:ascii="宋体" w:hAnsi="宋体" w:eastAsia="宋体" w:cs="宋体"/>
          <w:color w:val="auto"/>
          <w:sz w:val="24"/>
          <w:szCs w:val="24"/>
          <w:highlight w:val="none"/>
        </w:rPr>
        <w:t xml:space="preserve">，合同标的全部交付并安装完毕并验收后</w:t>
      </w:r>
      <w:r>
        <w:rPr>
          <w:rFonts w:hint="eastAsia" w:ascii="宋体" w:hAnsi="宋体" w:cs="宋体"/>
          <w:color w:val="auto"/>
          <w:sz w:val="24"/>
          <w:szCs w:val="24"/>
          <w:highlight w:val="none"/>
          <w:lang w:val="en-US" w:eastAsia="zh-CN"/>
        </w:rPr>
        <w:t xml:space="preserve">15日内</w:t>
      </w:r>
      <w:r>
        <w:rPr>
          <w:rFonts w:hint="eastAsia" w:ascii="宋体" w:hAnsi="宋体" w:eastAsia="宋体" w:cs="宋体"/>
          <w:color w:val="auto"/>
          <w:sz w:val="24"/>
          <w:szCs w:val="24"/>
          <w:highlight w:val="none"/>
        </w:rPr>
        <w:t xml:space="preserve">，由</w:t>
      </w:r>
      <w:r>
        <w:rPr>
          <w:rFonts w:hint="eastAsia" w:ascii="宋体" w:hAnsi="宋体" w:cs="宋体"/>
          <w:color w:val="auto"/>
          <w:sz w:val="24"/>
          <w:szCs w:val="24"/>
          <w:highlight w:val="none"/>
          <w:lang w:val="en-US" w:eastAsia="zh-CN"/>
        </w:rPr>
        <w:t xml:space="preserve">买</w:t>
      </w:r>
      <w:r>
        <w:rPr>
          <w:rFonts w:hint="eastAsia" w:ascii="宋体" w:hAnsi="宋体" w:eastAsia="宋体" w:cs="宋体"/>
          <w:color w:val="auto"/>
          <w:sz w:val="24"/>
          <w:szCs w:val="24"/>
          <w:highlight w:val="none"/>
        </w:rPr>
        <w:t xml:space="preserve">方办理政府采购资金结算手续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经审核通过后7日内支付给卖</w:t>
      </w:r>
      <w:r>
        <w:rPr>
          <w:rFonts w:hint="eastAsia" w:ascii="宋体" w:hAnsi="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买方付款前卖方需提交的支付文件包括：</w:t>
      </w:r>
      <w:r/>
    </w:p>
    <w:p>
      <w:pPr>
        <w:ind w:firstLine="42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卖方出具的正式发票。</w:t>
      </w:r>
      <w:r/>
    </w:p>
    <w:p>
      <w:pPr>
        <w:ind w:firstLine="42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买方签署验收合格报告。</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4.2上述费用买方支付至卖方指定账户内。除卖方另行指定外，该指定账户信息为：</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户名：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账号：</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开户行：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5.1卖方应于合同生效后，</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日历天内将合同标的全部交付</w:t>
      </w:r>
      <w:r>
        <w:rPr>
          <w:rFonts w:hint="eastAsia" w:ascii="宋体" w:hAnsi="宋体" w:cs="宋体"/>
          <w:color w:val="auto"/>
          <w:sz w:val="24"/>
          <w:szCs w:val="24"/>
          <w:highlight w:val="none"/>
          <w:lang w:eastAsia="zh-CN"/>
        </w:rPr>
        <w:t xml:space="preserve">，器材送到指定位置，甲方如需安装5个工作日内乙方安排人员进行安装</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 交货地点为</w:t>
      </w:r>
      <w:r>
        <w:rPr>
          <w:rFonts w:hint="eastAsia" w:ascii="宋体" w:hAnsi="宋体" w:eastAsia="宋体" w:cs="宋体"/>
          <w:color w:val="auto"/>
          <w:sz w:val="24"/>
          <w:highlight w:val="none"/>
          <w:u w:val="single"/>
        </w:rPr>
        <w:t xml:space="preserve">买方指定地点</w:t>
      </w:r>
      <w:r>
        <w:rPr>
          <w:rFonts w:hint="eastAsia" w:ascii="宋体" w:hAnsi="宋体" w:eastAsia="宋体" w:cs="宋体"/>
          <w:color w:val="auto"/>
          <w:sz w:val="24"/>
          <w:highlight w:val="none"/>
        </w:rPr>
        <w:t xml:space="preserve">。</w:t>
      </w:r>
      <w:r/>
    </w:p>
    <w:p>
      <w:pPr>
        <w:ind w:firstLine="42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5.3卖方应在不迟于每批合同标的备妥待运前</w:t>
      </w:r>
      <w:r>
        <w:rPr>
          <w:rFonts w:hint="eastAsia" w:ascii="宋体" w:hAnsi="宋体" w:eastAsia="宋体" w:cs="宋体"/>
          <w:color w:val="auto"/>
          <w:sz w:val="24"/>
          <w:highlight w:val="white"/>
          <w:u w:val="single"/>
        </w:rPr>
        <w:t xml:space="preserve"> </w:t>
      </w:r>
      <w:r>
        <w:rPr>
          <w:rFonts w:hint="eastAsia" w:ascii="宋体" w:hAnsi="宋体" w:cs="宋体"/>
          <w:color w:val="auto"/>
          <w:sz w:val="24"/>
          <w:highlight w:val="white"/>
          <w:u w:val="single"/>
          <w:lang w:val="en-US" w:eastAsia="zh-CN"/>
        </w:rPr>
        <w:t xml:space="preserve"> </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日通知买方。</w:t>
      </w:r>
      <w:r/>
    </w:p>
    <w:p>
      <w:pPr>
        <w:ind w:firstLine="42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highlight w:val="white"/>
        </w:rPr>
        <w:t xml:space="preserve">5.5如果卖方未能按照合同规定的交货期限交货，卖方应按每天迟交合同标的金额的</w:t>
      </w:r>
      <w:r>
        <w:rPr>
          <w:rFonts w:hint="eastAsia" w:ascii="宋体" w:hAnsi="宋体" w:cs="宋体"/>
          <w:color w:val="auto"/>
          <w:sz w:val="24"/>
          <w:highlight w:val="white"/>
          <w:lang w:val="en-US" w:eastAsia="zh-CN"/>
        </w:rPr>
        <w:t xml:space="preserve">百</w:t>
      </w:r>
      <w:r>
        <w:rPr>
          <w:rFonts w:hint="eastAsia" w:ascii="宋体" w:hAnsi="宋体" w:eastAsia="宋体" w:cs="宋体"/>
          <w:color w:val="auto"/>
          <w:sz w:val="24"/>
          <w:highlight w:val="white"/>
        </w:rPr>
        <w:t xml:space="preserve">分之</w:t>
      </w:r>
      <w:r>
        <w:rPr>
          <w:rFonts w:hint="eastAsia" w:ascii="宋体" w:hAnsi="宋体" w:cs="宋体"/>
          <w:color w:val="auto"/>
          <w:sz w:val="24"/>
          <w:highlight w:val="white"/>
          <w:u w:val="single"/>
          <w:lang w:val="en-US" w:eastAsia="zh-CN"/>
        </w:rPr>
        <w:t xml:space="preserve">二</w:t>
      </w:r>
      <w:r>
        <w:rPr>
          <w:rFonts w:hint="eastAsia" w:ascii="宋体" w:hAnsi="宋体" w:eastAsia="宋体" w:cs="宋体"/>
          <w:color w:val="auto"/>
          <w:sz w:val="24"/>
          <w:highlight w:val="white"/>
        </w:rPr>
        <w:t xml:space="preserve"> (</w:t>
      </w:r>
      <w:r>
        <w:rPr>
          <w:rFonts w:hint="eastAsia" w:ascii="宋体" w:hAnsi="宋体" w:cs="宋体"/>
          <w:color w:val="auto"/>
          <w:sz w:val="24"/>
          <w:highlight w:val="white"/>
          <w:u w:val="single"/>
          <w:lang w:val="en-US" w:eastAsia="zh-CN"/>
        </w:rPr>
        <w:t xml:space="preserve">2</w:t>
      </w:r>
      <w:r>
        <w:rPr>
          <w:rFonts w:hint="eastAsia" w:ascii="宋体" w:hAnsi="宋体" w:eastAsia="宋体" w:cs="宋体"/>
          <w:color w:val="auto"/>
          <w:sz w:val="24"/>
          <w:highlight w:val="white"/>
        </w:rPr>
        <w:t xml:space="preserve">%)的比率支付违约金。违约金的支付不能免除卖方继续交付相关合同标的的义务</w:t>
      </w:r>
      <w:r>
        <w:rPr>
          <w:rFonts w:hint="eastAsia" w:ascii="宋体" w:hAnsi="宋体" w:cs="宋体"/>
          <w:color w:val="auto"/>
          <w:sz w:val="24"/>
          <w:szCs w:val="24"/>
          <w:highlight w:val="none"/>
          <w:lang w:val="en-US" w:eastAsia="zh-CN"/>
        </w:rPr>
        <w:t xml:space="preserve">，因此给买方造成的损失超过违约金的，卖方另行赔偿。  </w:t>
      </w:r>
      <w:r/>
    </w:p>
    <w:p>
      <w:pPr>
        <w:ind w:firstLine="42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highlight w:val="white"/>
        </w:rPr>
        <w:t xml:space="preserve">如果卖方在合同规定的交货期限后</w:t>
      </w:r>
      <w:r>
        <w:rPr>
          <w:rFonts w:hint="eastAsia" w:ascii="宋体" w:hAnsi="宋体" w:eastAsia="宋体" w:cs="宋体"/>
          <w:color w:val="auto"/>
          <w:sz w:val="24"/>
          <w:highlight w:val="white"/>
          <w:u w:val="single"/>
        </w:rPr>
        <w:t xml:space="preserve">十</w:t>
      </w:r>
      <w:r>
        <w:rPr>
          <w:rFonts w:hint="eastAsia" w:ascii="宋体" w:hAnsi="宋体" w:eastAsia="宋体" w:cs="宋体"/>
          <w:color w:val="auto"/>
          <w:sz w:val="24"/>
          <w:highlight w:val="white"/>
        </w:rPr>
        <w:t xml:space="preserve">日内</w:t>
      </w:r>
      <w:r>
        <w:rPr>
          <w:rFonts w:hint="eastAsia" w:ascii="宋体" w:hAnsi="宋体" w:cs="宋体"/>
          <w:color w:val="auto"/>
          <w:sz w:val="24"/>
          <w:szCs w:val="24"/>
          <w:highlight w:val="none"/>
          <w:lang w:val="en-US" w:eastAsia="zh-CN"/>
        </w:rPr>
        <w:t xml:space="preserve">（情况紧急的，于1日内）</w:t>
      </w:r>
      <w:r>
        <w:rPr>
          <w:rFonts w:hint="eastAsia" w:ascii="宋体" w:hAnsi="宋体" w:eastAsia="宋体" w:cs="宋体"/>
          <w:color w:val="auto"/>
          <w:sz w:val="24"/>
          <w:highlight w:val="white"/>
        </w:rPr>
        <w:t xml:space="preserve">仍未能交付全部或部分标的，在不妨碍买方采取其他救济手段的情况下，买方可以向卖方发出书面违约通知从而全部或部分地终止合同</w:t>
      </w:r>
      <w:r>
        <w:rPr>
          <w:rFonts w:hint="eastAsia" w:ascii="宋体" w:hAnsi="宋体" w:cs="宋体"/>
          <w:color w:val="auto"/>
          <w:sz w:val="24"/>
          <w:szCs w:val="24"/>
          <w:highlight w:val="none"/>
          <w:lang w:val="en-US" w:eastAsia="zh-CN"/>
        </w:rPr>
        <w:t xml:space="preserve">，因此给买方造成的损失（与本合同</w:t>
      </w:r>
      <w:r>
        <w:rPr>
          <w:rFonts w:ascii="宋体" w:hAnsi="宋体" w:cs="宋体"/>
          <w:color w:val="auto"/>
          <w:sz w:val="24"/>
          <w:szCs w:val="24"/>
          <w:highlight w:val="none"/>
          <w:lang w:eastAsia="zh-CN"/>
        </w:rPr>
        <w:t xml:space="preserve">约定</w:t>
      </w:r>
      <w:r>
        <w:rPr>
          <w:rFonts w:hint="eastAsia" w:ascii="宋体" w:hAnsi="宋体" w:cs="宋体"/>
          <w:color w:val="auto"/>
          <w:sz w:val="24"/>
          <w:szCs w:val="24"/>
          <w:highlight w:val="none"/>
          <w:lang w:val="en-US" w:eastAsia="zh-CN"/>
        </w:rPr>
        <w:t xml:space="preserve">相比多支出的费用、因未及时交付造成事故损失等一切费用），卖方需另行赔偿。</w:t>
      </w:r>
      <w:r/>
    </w:p>
    <w:p>
      <w:pPr>
        <w:ind w:firstLine="42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5.6抽检方法：抽查每种器材总数的2%，如有1种器材中的1台设备低于投标产品的技术要求，此批器材视为不合格，买方不予接收。卖方应于15日内提供符合技术要求的器材，如果未能提供或第二次抽检仍有不合格器材，卖方承担违约责任，买方扣除全部履约保证金(合同金额(合同总价)的5%)作为违约金。因器材验收不合格产生的返厂更换、器材存放地点房租等一切费用和损失都由中标人(卖方)承担。抽检器材全部达到或高于投标产品的技术要求，视为合格。卖方方可配送安装。</w:t>
      </w:r>
      <w:r/>
    </w:p>
    <w:p>
      <w:pPr>
        <w:ind w:firstLine="42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5.7验收方法：对所有安装完毕的百分之二健身器材进行验收，验收内容包括但不限于器材质量和安装场地符合要求、安装地点选择合理且无安全隐患、站点和器材信息已按要求录入省平台、器材编码、省统-的报修二维码已印制在告示牌和器材上并激活等。卖方应于30日内对验收发现的不合格器材或安装进行整改，如果整改未达到验收要求，卖方承担违约责任，买方扣除全部履约保证金(合同金额(合同总价)的5%作为违约金)。因器材验收不合格产生的返厂更换、器材存放地点房租等一切费用和损失都由卖方承担。验收器材全部达到验收要求，视为合格。</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cs="宋体"/>
          <w:color w:val="auto"/>
          <w:sz w:val="24"/>
          <w:szCs w:val="24"/>
          <w:highlight w:val="none"/>
          <w:lang w:eastAsia="zh-CN"/>
        </w:rPr>
        <w:t xml:space="preserve">六</w:t>
      </w:r>
      <w:r>
        <w:rPr>
          <w:rFonts w:hint="eastAsia" w:ascii="宋体" w:hAnsi="宋体" w:eastAsia="宋体" w:cs="宋体"/>
          <w:color w:val="auto"/>
          <w:sz w:val="24"/>
          <w:szCs w:val="24"/>
          <w:highlight w:val="none"/>
        </w:rPr>
        <w:t xml:space="preserve">条 技术资料</w:t>
      </w:r>
      <w:r/>
    </w:p>
    <w:p>
      <w:pPr>
        <w:pStyle w:val="779"/>
        <w:ind w:firstLine="60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 技术资料随合同标的同时交付给买方。</w:t>
      </w:r>
      <w:r/>
    </w:p>
    <w:p>
      <w:pPr>
        <w:pStyle w:val="779"/>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cs="宋体"/>
          <w:color w:val="auto"/>
          <w:sz w:val="24"/>
          <w:szCs w:val="24"/>
          <w:highlight w:val="none"/>
          <w:lang w:eastAsia="zh-CN"/>
        </w:rPr>
        <w:t xml:space="preserve">七</w:t>
      </w:r>
      <w:r>
        <w:rPr>
          <w:rFonts w:hint="eastAsia" w:ascii="宋体" w:hAnsi="宋体" w:eastAsia="宋体" w:cs="宋体"/>
          <w:color w:val="auto"/>
          <w:sz w:val="24"/>
          <w:szCs w:val="24"/>
          <w:highlight w:val="none"/>
        </w:rPr>
        <w:t xml:space="preserve">条 安装</w:t>
      </w:r>
      <w:r/>
    </w:p>
    <w:p>
      <w:pPr>
        <w:pStyle w:val="779"/>
        <w:ind w:firstLine="60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.1卖方应于合同生效后，</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日历天内将合同标的全部交付并安装完毕</w:t>
      </w:r>
      <w:r/>
    </w:p>
    <w:p>
      <w:pPr>
        <w:pStyle w:val="779"/>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cs="宋体"/>
          <w:color w:val="auto"/>
          <w:sz w:val="24"/>
          <w:szCs w:val="24"/>
          <w:highlight w:val="none"/>
          <w:lang w:eastAsia="zh-CN"/>
        </w:rPr>
        <w:t xml:space="preserve">八</w:t>
      </w:r>
      <w:r>
        <w:rPr>
          <w:rFonts w:hint="eastAsia" w:ascii="宋体" w:hAnsi="宋体" w:eastAsia="宋体" w:cs="宋体"/>
          <w:color w:val="auto"/>
          <w:sz w:val="24"/>
          <w:szCs w:val="24"/>
          <w:highlight w:val="none"/>
        </w:rPr>
        <w:t xml:space="preserve">条 验收</w:t>
      </w:r>
      <w:r/>
    </w:p>
    <w:p>
      <w:pPr>
        <w:pStyle w:val="779"/>
        <w:ind w:firstLine="60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.1合同标的的试运行、验收应在卖方的协助下进行。合同标的全部交付后，卖方可向买方书面提出试运行、验收要求，买方在接到书面要求后</w:t>
      </w:r>
      <w:r>
        <w:rPr>
          <w:rFonts w:hint="eastAsia" w:ascii="宋体" w:hAnsi="宋体" w:eastAsia="宋体" w:cs="宋体"/>
          <w:color w:val="auto"/>
          <w:sz w:val="24"/>
          <w:szCs w:val="24"/>
          <w:highlight w:val="none"/>
          <w:u w:val="single"/>
        </w:rPr>
        <w:t xml:space="preserve"> </w:t>
      </w:r>
      <w:r>
        <w:rPr>
          <w:rFonts w:hint="eastAsia"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日进行试运行、验收。如果试运行和/或验收因卖方原因发生迟延和/ 或</w:t>
      </w:r>
      <w:r>
        <w:rPr>
          <w:rFonts w:hint="eastAsia" w:ascii="宋体" w:hAnsi="宋体" w:cs="宋体"/>
          <w:color w:val="auto"/>
          <w:sz w:val="24"/>
          <w:szCs w:val="24"/>
          <w:highlight w:val="none"/>
          <w:lang w:eastAsia="zh-CN"/>
        </w:rPr>
        <w:t xml:space="preserve">在其他情况下</w:t>
      </w:r>
      <w:r>
        <w:rPr>
          <w:rFonts w:hint="eastAsia" w:ascii="宋体" w:hAnsi="宋体" w:eastAsia="宋体" w:cs="宋体"/>
          <w:color w:val="auto"/>
          <w:sz w:val="24"/>
          <w:szCs w:val="24"/>
          <w:highlight w:val="none"/>
        </w:rPr>
        <w:t xml:space="preserve">发生额外费用，买方有权就因迟延发生的损害和损失和/或任何额外费用请求赔偿。</w:t>
      </w:r>
      <w:r/>
    </w:p>
    <w:p>
      <w:pPr>
        <w:pStyle w:val="779"/>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cs="宋体"/>
          <w:color w:val="auto"/>
          <w:sz w:val="24"/>
          <w:szCs w:val="24"/>
          <w:highlight w:val="none"/>
          <w:lang w:eastAsia="zh-CN"/>
        </w:rPr>
        <w:t xml:space="preserve">九</w:t>
      </w:r>
      <w:r>
        <w:rPr>
          <w:rFonts w:hint="eastAsia" w:ascii="宋体" w:hAnsi="宋体" w:eastAsia="宋体" w:cs="宋体"/>
          <w:color w:val="auto"/>
          <w:sz w:val="24"/>
          <w:szCs w:val="24"/>
          <w:highlight w:val="none"/>
        </w:rPr>
        <w:t xml:space="preserve">条 索赔</w:t>
      </w:r>
      <w:r/>
    </w:p>
    <w:p>
      <w:pPr>
        <w:pStyle w:val="779"/>
        <w:ind w:firstLine="60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.1买方有权选择本条款规定的任意或全部救济方式。</w:t>
      </w:r>
      <w:r/>
    </w:p>
    <w:p>
      <w:pPr>
        <w:pStyle w:val="779"/>
        <w:ind w:firstLine="60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.2卖方应在收到买方索赔要求后7日内作出书面回复，否则该索赔要求将被视为已被卖方接受。卖方应在买方发出索赔要求后7日内，按照买方选择的救济方法解决索赔事宜。</w:t>
      </w:r>
      <w:r/>
    </w:p>
    <w:p>
      <w:pPr>
        <w:pStyle w:val="779"/>
        <w:ind w:firstLine="60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9.3如</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货物的品质与国家标准、合同约定的要求不符，或未达到当地行政职能部门质量监督的检验结果，或证实是有缺陷的，包括潜在缺陷等时，</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有权向</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提出索赔。由于产品质量问题导致环境损害或其他损害的，卖方应承担全部损害赔偿责任。</w:t>
      </w:r>
      <w:r/>
    </w:p>
    <w:p>
      <w:pPr>
        <w:pStyle w:val="779"/>
        <w:ind w:firstLine="60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索赔方式除上述规定之外，</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还有权选择以下方式进行索赔：</w:t>
      </w:r>
      <w:r/>
    </w:p>
    <w:p>
      <w:pPr>
        <w:pStyle w:val="779"/>
        <w:ind w:firstLine="60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（1）解除合同（退货）。</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选择退货方式要求</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承担违约责任的，</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须赔偿</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20000元，承担由此发生的一切损失和费用，包括</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直接损失、利息、银行手续费、运费、保险费、仓储费、装卸费以及为保护退回货物所需</w:t>
      </w:r>
      <w:r>
        <w:rPr>
          <w:rFonts w:hint="eastAsia" w:ascii="宋体" w:hAnsi="宋体" w:cs="宋体"/>
          <w:color w:val="auto"/>
          <w:sz w:val="24"/>
          <w:szCs w:val="24"/>
          <w:highlight w:val="none"/>
          <w:lang w:val="en-US" w:eastAsia="zh-CN"/>
        </w:rPr>
        <w:t xml:space="preserve">的其他</w:t>
      </w:r>
      <w:r>
        <w:rPr>
          <w:rFonts w:hint="eastAsia" w:ascii="宋体" w:hAnsi="宋体" w:eastAsia="宋体" w:cs="宋体"/>
          <w:color w:val="auto"/>
          <w:sz w:val="24"/>
          <w:szCs w:val="24"/>
          <w:highlight w:val="none"/>
          <w:lang w:val="en-US" w:eastAsia="zh-CN"/>
        </w:rPr>
        <w:t xml:space="preserve">必要费用。</w:t>
      </w:r>
      <w:r/>
    </w:p>
    <w:p>
      <w:pPr>
        <w:pStyle w:val="779"/>
        <w:ind w:firstLine="60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（2）更换。</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选择更换方式要求</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承担违约责任的，</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须用符合规格、质量和性能要求的货物更换有缺陷的部分，并赔偿</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10000元，且承担一切费用和风险并负担</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所发生的一切直接费用。</w:t>
      </w:r>
      <w:r/>
    </w:p>
    <w:p>
      <w:pPr>
        <w:pStyle w:val="779"/>
        <w:ind w:firstLine="600"/>
        <w:spacing w:line="360" w:lineRule="auto"/>
        <w:rPr>
          <w:rFonts w:eastAsia="宋体"/>
          <w:color w:val="auto"/>
          <w:highlight w:val="none"/>
          <w:lang w:val="en-US" w:eastAsia="zh-CN"/>
        </w:rPr>
      </w:pPr>
      <w:r>
        <w:rPr>
          <w:rFonts w:hint="eastAsia" w:ascii="宋体" w:hAnsi="宋体" w:eastAsia="宋体" w:cs="宋体"/>
          <w:color w:val="auto"/>
          <w:sz w:val="24"/>
          <w:szCs w:val="24"/>
          <w:highlight w:val="none"/>
          <w:lang w:val="en-US" w:eastAsia="zh-CN"/>
        </w:rPr>
        <w:t xml:space="preserve">（3）弥补损失。因</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违约，</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有权从尚未支付的合同价款或履约保证金中扣除</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应承担的违约金、赔偿金以及</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因急需更换或紧急维修而支付的各种费用以及因索赔而发生的合理费用，包括律师费用。如果这些金额不足以补偿索赔金额，</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有权向</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提出对不足部分的赔偿。</w:t>
      </w:r>
      <w:r>
        <w:rPr>
          <w:rFonts w:hint="eastAsia" w:ascii="宋体"/>
          <w:b/>
          <w:color w:val="auto"/>
          <w:szCs w:val="21"/>
          <w:highlight w:val="none"/>
        </w:rPr>
        <w:t xml:space="preserve"> </w:t>
      </w:r>
      <w:r/>
    </w:p>
    <w:p>
      <w:pPr>
        <w:pStyle w:val="779"/>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 合同履行过程中，卖方不得以任何理由提高货物单价，如卖方擅自提高单价或要求卖方提高单价，卖方有权拒绝卖方的提价要求，并要求卖方按约定继续履行合同；针对此情况，买方也有权解除合同，并要求卖方支付违约金100000元。</w:t>
      </w:r>
      <w:r/>
    </w:p>
    <w:p>
      <w:pPr>
        <w:pStyle w:val="779"/>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第十条 不可抗力</w:t>
      </w:r>
      <w:r/>
    </w:p>
    <w:p>
      <w:pPr>
        <w:pStyle w:val="779"/>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如果不可抗力事件的影响持续超过20日，合同任何一方均有权发出书面通知终止合同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附佐证材料经甲乙双方签字确认后生效</w:t>
      </w:r>
      <w:r>
        <w:rPr>
          <w:rFonts w:hint="eastAsia" w:ascii="宋体" w:hAnsi="宋体" w:eastAsia="宋体" w:cs="宋体"/>
          <w:color w:val="auto"/>
          <w:sz w:val="24"/>
          <w:szCs w:val="24"/>
          <w:highlight w:val="none"/>
        </w:rPr>
        <w:t xml:space="preserve">。</w:t>
      </w:r>
      <w:r/>
    </w:p>
    <w:p>
      <w:pPr>
        <w:pStyle w:val="779"/>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w:t>
      </w:r>
      <w:r>
        <w:rPr>
          <w:rFonts w:hint="eastAsia" w:ascii="宋体" w:hAnsi="宋体" w:cs="宋体"/>
          <w:color w:val="auto"/>
          <w:sz w:val="24"/>
          <w:szCs w:val="24"/>
          <w:highlight w:val="none"/>
          <w:lang w:eastAsia="zh-CN"/>
        </w:rPr>
        <w:t xml:space="preserve">一</w:t>
      </w:r>
      <w:r>
        <w:rPr>
          <w:rFonts w:hint="eastAsia" w:ascii="宋体" w:hAnsi="宋体" w:eastAsia="宋体" w:cs="宋体"/>
          <w:color w:val="auto"/>
          <w:sz w:val="24"/>
          <w:szCs w:val="24"/>
          <w:highlight w:val="none"/>
        </w:rPr>
        <w:t xml:space="preserve">条 合同的终止</w:t>
      </w:r>
      <w:r/>
    </w:p>
    <w:p>
      <w:pPr>
        <w:pStyle w:val="779"/>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.1如果卖方有下述违约行为，买方可以全部或部分地终止合同：</w:t>
      </w:r>
      <w:r/>
    </w:p>
    <w:p>
      <w:pPr>
        <w:pStyle w:val="779"/>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卖方在合同规定的交货期限后</w:t>
      </w: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rPr>
        <w:t xml:space="preserve">日内仍未能交付合同标的和/ 或技术资料；或者卖方未能履行合同项下</w:t>
      </w:r>
      <w:r>
        <w:rPr>
          <w:rFonts w:hint="eastAsia" w:ascii="宋体" w:hAnsi="宋体" w:cs="宋体"/>
          <w:color w:val="auto"/>
          <w:sz w:val="24"/>
          <w:szCs w:val="24"/>
          <w:highlight w:val="none"/>
          <w:lang w:eastAsia="zh-CN"/>
        </w:rPr>
        <w:t xml:space="preserve">任何其他</w:t>
      </w:r>
      <w:r>
        <w:rPr>
          <w:rFonts w:hint="eastAsia" w:ascii="宋体" w:hAnsi="宋体" w:eastAsia="宋体" w:cs="宋体"/>
          <w:color w:val="auto"/>
          <w:sz w:val="24"/>
          <w:szCs w:val="24"/>
          <w:highlight w:val="none"/>
        </w:rPr>
        <w:t xml:space="preserve">义务，并且在收到买方违约通知后</w:t>
      </w:r>
      <w:r>
        <w:rPr>
          <w:rFonts w:hint="eastAsia" w:ascii="宋体" w:hAnsi="宋体" w:eastAsia="宋体" w:cs="宋体"/>
          <w:color w:val="auto"/>
          <w:sz w:val="24"/>
          <w:szCs w:val="24"/>
          <w:highlight w:val="none"/>
          <w:u w:val="single"/>
        </w:rPr>
        <w:t xml:space="preserve">5</w:t>
      </w:r>
      <w:r>
        <w:rPr>
          <w:rFonts w:hint="eastAsia" w:ascii="宋体" w:hAnsi="宋体" w:eastAsia="宋体" w:cs="宋体"/>
          <w:color w:val="auto"/>
          <w:sz w:val="24"/>
          <w:szCs w:val="24"/>
          <w:highlight w:val="none"/>
        </w:rPr>
        <w:t xml:space="preserve">日内仍未能对其违约行为作出补救。</w:t>
      </w:r>
      <w:r/>
    </w:p>
    <w:p>
      <w:pPr>
        <w:pStyle w:val="779"/>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pStyle w:val="779"/>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w:t>
      </w:r>
      <w:r>
        <w:rPr>
          <w:rFonts w:hint="eastAsia" w:ascii="宋体" w:hAnsi="宋体" w:cs="宋体"/>
          <w:color w:val="auto"/>
          <w:sz w:val="24"/>
          <w:szCs w:val="24"/>
          <w:highlight w:val="none"/>
          <w:lang w:eastAsia="zh-CN"/>
        </w:rPr>
        <w:t xml:space="preserve">二</w:t>
      </w:r>
      <w:r>
        <w:rPr>
          <w:rFonts w:hint="eastAsia" w:ascii="宋体" w:hAnsi="宋体" w:eastAsia="宋体" w:cs="宋体"/>
          <w:color w:val="auto"/>
          <w:sz w:val="24"/>
          <w:szCs w:val="24"/>
          <w:highlight w:val="none"/>
        </w:rPr>
        <w:t xml:space="preserve">条 争议的解决</w:t>
      </w:r>
      <w:r/>
    </w:p>
    <w:p>
      <w:pPr>
        <w:pStyle w:val="779"/>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.1本合同生效起，如任何一方违约，如果不能协商一致，合同任何一方有权向买方所在地人民法院提起诉讼。守约方为维护权益向违约方的律师费、公证费、鉴定费、保全费和诉讼费等一切费用由违约方承担。</w:t>
      </w:r>
      <w:r/>
    </w:p>
    <w:p>
      <w:pPr>
        <w:pStyle w:val="779"/>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w:t>
      </w:r>
      <w:r>
        <w:rPr>
          <w:rFonts w:hint="eastAsia" w:ascii="宋体" w:hAnsi="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条 合同生效及其他</w:t>
      </w:r>
      <w:r/>
    </w:p>
    <w:p>
      <w:pPr>
        <w:pStyle w:val="779"/>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 按照《财政部关于做好政府采购信息公开工作的通知》（财库〔2015〕135号），买方依据《保守国家秘密法》等法律制度规定确定本合同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部分涉及国家秘密，该涉及国家秘密部分不公告；买方依据《反不正当竞争法》等法律制度的规定与卖方约定本合同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部分涉及商业秘密，该涉及商业秘密部分不公告。</w:t>
      </w:r>
      <w:r/>
    </w:p>
    <w:p>
      <w:pPr>
        <w:pStyle w:val="779"/>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合同双方的通讯地址：</w:t>
      </w:r>
      <w:r/>
    </w:p>
    <w:p>
      <w:pPr>
        <w:pStyle w:val="779"/>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买方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卖方</w:t>
      </w:r>
      <w:r>
        <w:rPr>
          <w:rFonts w:hint="eastAsia" w:ascii="宋体" w:hAnsi="宋体" w:cs="宋体"/>
          <w:color w:val="auto"/>
          <w:sz w:val="24"/>
          <w:szCs w:val="24"/>
          <w:highlight w:val="none"/>
          <w:lang w:eastAsia="zh-CN"/>
        </w:rPr>
        <w:t xml:space="preserve">：</w:t>
      </w:r>
      <w:r/>
    </w:p>
    <w:p>
      <w:pPr>
        <w:pStyle w:val="779"/>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w:t>
      </w:r>
      <w:r/>
    </w:p>
    <w:p>
      <w:pPr>
        <w:pStyle w:val="779"/>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邮编</w:t>
      </w:r>
      <w:r>
        <w:rPr>
          <w:rFonts w:hint="eastAsia" w:ascii="宋体" w:hAnsi="宋体" w:cs="宋体"/>
          <w:color w:val="auto"/>
          <w:sz w:val="24"/>
          <w:szCs w:val="24"/>
          <w:highlight w:val="none"/>
          <w:lang w:eastAsia="zh-CN"/>
        </w:rPr>
        <w:t xml:space="preserve">：</w:t>
      </w:r>
      <w:r/>
    </w:p>
    <w:p>
      <w:pPr>
        <w:pStyle w:val="779"/>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电话</w:t>
      </w:r>
      <w:r>
        <w:rPr>
          <w:rFonts w:hint="eastAsia" w:ascii="宋体" w:hAnsi="宋体" w:cs="宋体"/>
          <w:color w:val="auto"/>
          <w:sz w:val="24"/>
          <w:szCs w:val="24"/>
          <w:highlight w:val="none"/>
          <w:lang w:eastAsia="zh-CN"/>
        </w:rPr>
        <w:t xml:space="preserve">：</w:t>
      </w:r>
      <w:r/>
    </w:p>
    <w:p>
      <w:pPr>
        <w:pStyle w:val="779"/>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传真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pStyle w:val="779"/>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9"/>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9"/>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9"/>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9"/>
        <w:jc w:val="center"/>
        <w:spacing w:line="520" w:lineRule="exact"/>
        <w:rPr>
          <w:rFonts w:hint="eastAsia" w:ascii="宋体" w:hAnsi="宋体" w:eastAsia="宋体" w:cs="宋体"/>
          <w:color w:val="auto"/>
          <w:sz w:val="30"/>
          <w:szCs w:val="30"/>
          <w:highlight w:val="none"/>
        </w:rPr>
        <w:sectPr>
          <w:headerReference w:type="default" r:id="rId10"/>
          <w:footerReference w:type="default" r:id="rId13"/>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30"/>
          <w:szCs w:val="30"/>
          <w:highlight w:val="none"/>
        </w:rPr>
      </w:r>
      <w:r/>
    </w:p>
    <w:p>
      <w:pPr>
        <w:pStyle w:val="779"/>
        <w:jc w:val="center"/>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合同附件</w:t>
      </w:r>
      <w:r/>
    </w:p>
    <w:p>
      <w:pPr>
        <w:pStyle w:val="779"/>
        <w:ind w:firstLine="600"/>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9"/>
        <w:ind w:firstLine="600"/>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目录</w:t>
      </w:r>
      <w:r/>
    </w:p>
    <w:p>
      <w:pPr>
        <w:pStyle w:val="779"/>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合同附件1：合同协议书</w:t>
      </w:r>
      <w:r/>
    </w:p>
    <w:p>
      <w:pPr>
        <w:pStyle w:val="779"/>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合同附件2：技术规格和技术性能</w:t>
      </w:r>
      <w:r/>
    </w:p>
    <w:p>
      <w:pPr>
        <w:pStyle w:val="779"/>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要求见招标文件第六章《采购需求》；合同见卖方投标文件。</w:t>
      </w:r>
      <w:r>
        <w:rPr>
          <w:rFonts w:hint="eastAsia" w:ascii="宋体" w:hAnsi="宋体" w:cs="宋体"/>
          <w:color w:val="auto"/>
          <w:sz w:val="24"/>
          <w:szCs w:val="24"/>
          <w:highlight w:val="none"/>
          <w:lang w:eastAsia="zh-CN"/>
        </w:rPr>
        <w:t xml:space="preserve">）</w:t>
      </w:r>
      <w:r/>
    </w:p>
    <w:p>
      <w:pPr>
        <w:pStyle w:val="779"/>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合同附件3：售后服务和技术培训</w:t>
      </w:r>
      <w:r/>
    </w:p>
    <w:p>
      <w:pPr>
        <w:pStyle w:val="779"/>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要求见招标文件第六章《采购需求》；合同见卖方投标文件。</w:t>
      </w:r>
      <w:r>
        <w:rPr>
          <w:rFonts w:hint="eastAsia" w:ascii="宋体" w:hAnsi="宋体" w:cs="宋体"/>
          <w:color w:val="auto"/>
          <w:sz w:val="24"/>
          <w:szCs w:val="24"/>
          <w:highlight w:val="none"/>
          <w:lang w:eastAsia="zh-CN"/>
        </w:rPr>
        <w:t xml:space="preserve">）</w:t>
      </w:r>
      <w:r/>
    </w:p>
    <w:p>
      <w:pPr>
        <w:pStyle w:val="779"/>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合同附件4：供货范围和价格清单</w:t>
      </w:r>
      <w:r/>
    </w:p>
    <w:p>
      <w:pPr>
        <w:pStyle w:val="779"/>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要求见招标文件第七章《投标文件相关格式》中《开标一览表》和《分项价格表》；合同见卖方投标文件。</w:t>
      </w:r>
      <w:r>
        <w:rPr>
          <w:rFonts w:hint="eastAsia" w:ascii="宋体" w:hAnsi="宋体" w:cs="宋体"/>
          <w:color w:val="auto"/>
          <w:sz w:val="24"/>
          <w:szCs w:val="24"/>
          <w:highlight w:val="none"/>
          <w:lang w:eastAsia="zh-CN"/>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宋体" w:hAnsi="宋体" w:eastAsia="宋体" w:cs="宋体"/>
          <w:b/>
          <w:sz w:val="32"/>
          <w:szCs w:val="32"/>
        </w:rPr>
      </w:pPr>
      <w:r>
        <w:rPr>
          <w:rFonts w:hint="eastAsia" w:ascii="宋体" w:hAnsi="宋体" w:eastAsia="宋体" w:cs="宋体"/>
          <w:b/>
          <w:sz w:val="32"/>
          <w:szCs w:val="32"/>
        </w:rPr>
        <w:br w:type="page" w:clear="all"/>
      </w:r>
      <w:r/>
    </w:p>
    <w:p>
      <w:pPr>
        <w:jc w:val="center"/>
        <w:spacing w:line="360" w:lineRule="auto"/>
        <w:rPr>
          <w:rStyle w:val="968"/>
          <w:rFonts w:hint="eastAsia" w:ascii="宋体" w:hAnsi="宋体" w:eastAsia="宋体" w:cs="宋体"/>
          <w:b/>
          <w:bCs/>
          <w:sz w:val="32"/>
          <w:szCs w:val="32"/>
        </w:rPr>
      </w:pPr>
      <w:r>
        <w:rPr>
          <w:rFonts w:hint="eastAsia" w:ascii="宋体" w:hAnsi="宋体" w:eastAsia="宋体" w:cs="宋体"/>
          <w:b/>
          <w:sz w:val="32"/>
          <w:szCs w:val="32"/>
        </w:rPr>
        <w:t xml:space="preserve">第六章</w:t>
      </w:r>
      <w:r>
        <w:rPr>
          <w:rFonts w:hint="eastAsia" w:ascii="宋体" w:hAnsi="宋体" w:eastAsia="宋体" w:cs="宋体"/>
          <w:b/>
          <w:sz w:val="32"/>
          <w:szCs w:val="32"/>
          <w:lang w:val="en-US" w:eastAsia="zh-CN"/>
        </w:rPr>
        <w:t xml:space="preserve"> </w:t>
      </w:r>
      <w:r>
        <w:rPr>
          <w:rFonts w:hint="eastAsia" w:ascii="宋体" w:hAnsi="宋体" w:eastAsia="宋体" w:cs="宋体"/>
          <w:b/>
          <w:sz w:val="32"/>
          <w:szCs w:val="32"/>
        </w:rPr>
        <w:t xml:space="preserve">采购需求</w:t>
      </w:r>
      <w:bookmarkStart w:id="2" w:name="_Toc322457054"/>
      <w:r/>
      <w:bookmarkEnd w:id="2"/>
      <w:r/>
      <w:bookmarkStart w:id="3" w:name="_Toc324452802"/>
      <w:r/>
      <w:bookmarkEnd w:id="3"/>
      <w:r/>
      <w:r/>
    </w:p>
    <w:p>
      <w:pPr>
        <w:keepLines w:val="0"/>
        <w:keepNext w:val="0"/>
        <w:pageBreakBefore w:val="0"/>
        <w:spacing w:line="360" w:lineRule="auto"/>
        <w:widowControl w:val="off"/>
        <w:tabs>
          <w:tab w:val="left" w:pos="0" w:leader="none"/>
        </w:tabs>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一、项目说明</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（一）采购人：丰县文体广电和旅游局。</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（二）采购项目名称：丰县2026年全民健身设施配建项目。</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（三）采购标的：2026年全民健身设施配建项目，具体详见本招标文件第六章《采购需求》中“二、采购清单”。</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2026年全民健身设施配建项目对应的中小企业划分标准所属行业为工业。</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注：中小企业划分标准所属行业以《工业和信息化部、国家统计局、国家发展和改革委员会、财政部关于印发中小企业划型标准规定的通知》（工信部联企业[2011]300号）的规定为准：（二）工业。</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keepLines w:val="0"/>
        <w:keepNext w:val="0"/>
        <w:pageBreakBefore w:val="0"/>
        <w:spacing w:line="360" w:lineRule="auto"/>
        <w:widowControl w:val="off"/>
        <w:tabs>
          <w:tab w:val="left" w:pos="0" w:leader="none"/>
        </w:tabs>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（四）本项目不接受超过人民币</w:t>
      </w:r>
      <w:r>
        <w:rPr>
          <w:rFonts w:hint="eastAsia" w:ascii="宋体" w:hAnsi="宋体" w:cs="宋体"/>
          <w:b/>
          <w:bCs/>
          <w:color w:val="auto"/>
          <w:sz w:val="24"/>
          <w:lang w:val="en-US" w:eastAsia="zh-CN"/>
        </w:rPr>
        <w:t xml:space="preserve">160</w:t>
      </w:r>
      <w:r>
        <w:rPr>
          <w:rFonts w:hint="eastAsia" w:ascii="宋体" w:hAnsi="宋体" w:eastAsia="宋体" w:cs="宋体"/>
          <w:b/>
          <w:bCs/>
          <w:color w:val="auto"/>
          <w:sz w:val="24"/>
          <w:lang w:val="en-US" w:eastAsia="zh-CN"/>
        </w:rPr>
        <w:t xml:space="preserve">万元（采购项目预算金额）的投标报价。</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本项目包括但不限于招标文件及其基本技术要求范围内的方案深化、供货、检验（自检）、包装、技术资料、货运办理、装卸至现场指定地点、新器材的存放、安装（包括必要时旧器材的拆除及安装现场场地的处理及布置）及技术指导培训、售后服务、质保期内维保等过程产生的一切费用和招标文件所要求的其他相关服务等全部内容。报价包含项目完成所需全部费用，采购人不再支付报价以外的任何费用。</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（五）本项目属于专门面向中小微企业采购的项目，供应商所提供的货物全部由符合政策要求的中小企业制造，供应商提供的货物的制造商应全部为中小微企业、监狱企业、残疾人福利性单位。</w:t>
      </w:r>
      <w:r/>
    </w:p>
    <w:p>
      <w:pPr>
        <w:jc w:val="both"/>
        <w:spacing w:line="360" w:lineRule="auto"/>
        <w:widowControl w:val="off"/>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（六）本项目采购的为非进口产品。</w:t>
      </w:r>
      <w:r/>
    </w:p>
    <w:p>
      <w:pPr>
        <w:keepLines w:val="0"/>
        <w:keepNext w:val="0"/>
        <w:pageBreakBefore w:val="0"/>
        <w:spacing w:line="360" w:lineRule="auto"/>
        <w:widowControl w:val="off"/>
        <w:tabs>
          <w:tab w:val="left" w:pos="0" w:leader="none"/>
        </w:tabs>
        <w:rPr>
          <w:rFonts w:hint="default"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二、采购清单</w:t>
      </w:r>
      <w:r/>
    </w:p>
    <w:tbl>
      <w:tblPr>
        <w:tblStyle w:val="807"/>
        <w:tblW w:w="505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3"/>
        <w:gridCol w:w="4250"/>
        <w:gridCol w:w="1198"/>
        <w:gridCol w:w="922"/>
        <w:gridCol w:w="1113"/>
      </w:tblGrid>
      <w:tr>
        <w:trPr>
          <w:trHeight w:val="454" w:hRule="exact"/>
        </w:trPr>
        <w:tc>
          <w:tcPr>
            <w:tcW w:w="657" w:type="pct"/>
            <w:vAlign w:val="center"/>
            <w:textDirection w:val="lrTb"/>
            <w:noWrap w:val="false"/>
          </w:tcPr>
          <w:p>
            <w:pPr>
              <w:jc w:val="center"/>
              <w:widowControl w:val="off"/>
              <w:rPr>
                <w:rFonts w:hint="eastAsia" w:ascii="宋体" w:hAnsi="宋体" w:eastAsia="宋体" w:cs="宋体"/>
                <w:b/>
                <w:bCs/>
                <w:sz w:val="22"/>
                <w:szCs w:val="22"/>
                <w:lang w:eastAsia="zh-CN"/>
              </w:rPr>
            </w:pPr>
            <w:r>
              <w:rPr>
                <w:rFonts w:hint="eastAsia" w:ascii="宋体" w:hAnsi="宋体" w:eastAsia="宋体" w:cs="宋体"/>
                <w:b/>
                <w:bCs/>
                <w:sz w:val="22"/>
                <w:szCs w:val="22"/>
                <w:lang w:eastAsia="zh-CN"/>
              </w:rPr>
              <w:t xml:space="preserve">序号</w:t>
            </w:r>
            <w:r/>
          </w:p>
        </w:tc>
        <w:tc>
          <w:tcPr>
            <w:tcW w:w="2465" w:type="pct"/>
            <w:vAlign w:val="center"/>
            <w:textDirection w:val="lrTb"/>
            <w:noWrap w:val="false"/>
          </w:tcPr>
          <w:p>
            <w:pPr>
              <w:jc w:val="center"/>
              <w:widowControl w:val="off"/>
              <w:rPr>
                <w:rFonts w:hint="eastAsia" w:ascii="宋体" w:hAnsi="宋体" w:eastAsia="宋体" w:cs="宋体"/>
                <w:b/>
                <w:bCs/>
                <w:sz w:val="22"/>
                <w:szCs w:val="22"/>
                <w:lang w:eastAsia="zh-CN"/>
              </w:rPr>
            </w:pPr>
            <w:r>
              <w:rPr>
                <w:rFonts w:hint="eastAsia" w:ascii="宋体" w:hAnsi="宋体" w:eastAsia="宋体" w:cs="宋体"/>
                <w:b/>
                <w:bCs/>
                <w:sz w:val="22"/>
                <w:szCs w:val="22"/>
                <w:lang w:eastAsia="zh-CN"/>
              </w:rPr>
              <w:t xml:space="preserve">品名</w:t>
            </w:r>
            <w:r/>
          </w:p>
        </w:tc>
        <w:tc>
          <w:tcPr>
            <w:tcW w:w="695" w:type="pct"/>
            <w:vAlign w:val="center"/>
            <w:textDirection w:val="lrTb"/>
            <w:noWrap w:val="false"/>
          </w:tcPr>
          <w:p>
            <w:pPr>
              <w:jc w:val="center"/>
              <w:widowControl w:val="off"/>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 xml:space="preserve">数量</w:t>
            </w:r>
            <w:r/>
          </w:p>
        </w:tc>
        <w:tc>
          <w:tcPr>
            <w:tcW w:w="535" w:type="pct"/>
            <w:vAlign w:val="center"/>
            <w:textDirection w:val="lrTb"/>
            <w:noWrap w:val="false"/>
          </w:tcPr>
          <w:p>
            <w:pPr>
              <w:jc w:val="center"/>
              <w:widowControl w:val="off"/>
              <w:rPr>
                <w:rFonts w:hint="default" w:ascii="宋体" w:hAnsi="宋体" w:eastAsia="宋体" w:cs="宋体"/>
                <w:b/>
                <w:bCs/>
                <w:sz w:val="22"/>
                <w:szCs w:val="22"/>
                <w:lang w:val="en-US" w:eastAsia="zh-CN"/>
              </w:rPr>
            </w:pPr>
            <w:r>
              <w:rPr>
                <w:rFonts w:hint="eastAsia" w:ascii="宋体" w:hAnsi="宋体" w:cs="宋体"/>
                <w:b/>
                <w:bCs/>
                <w:sz w:val="22"/>
                <w:szCs w:val="22"/>
                <w:lang w:val="en-US" w:eastAsia="zh-CN"/>
              </w:rPr>
              <w:t xml:space="preserve">单位</w:t>
            </w:r>
            <w:r/>
          </w:p>
        </w:tc>
        <w:tc>
          <w:tcPr>
            <w:tcW w:w="645" w:type="pct"/>
            <w:vAlign w:val="center"/>
            <w:textDirection w:val="lrTb"/>
            <w:noWrap w:val="false"/>
          </w:tcPr>
          <w:p>
            <w:pPr>
              <w:jc w:val="center"/>
              <w:widowControl w:val="off"/>
              <w:rPr>
                <w:rFonts w:hint="eastAsia" w:ascii="宋体" w:hAnsi="宋体" w:cs="宋体"/>
                <w:b/>
                <w:bCs/>
                <w:sz w:val="22"/>
                <w:szCs w:val="22"/>
                <w:lang w:val="en-US" w:eastAsia="zh-CN"/>
              </w:rPr>
            </w:pPr>
            <w:r>
              <w:rPr>
                <w:rFonts w:hint="eastAsia" w:ascii="宋体" w:hAnsi="宋体" w:cs="宋体"/>
                <w:b/>
                <w:bCs/>
                <w:sz w:val="22"/>
                <w:szCs w:val="22"/>
                <w:lang w:val="en-US" w:eastAsia="zh-CN"/>
              </w:rPr>
              <w:t xml:space="preserve">备注</w:t>
            </w:r>
            <w:r/>
          </w:p>
        </w:tc>
      </w:tr>
      <w:tr>
        <w:trPr>
          <w:trHeight w:val="454"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告示牌</w:t>
            </w:r>
            <w:r/>
          </w:p>
        </w:tc>
        <w:tc>
          <w:tcPr>
            <w:tcW w:w="695" w:type="pct"/>
            <w:vAlign w:val="center"/>
            <w:textDirection w:val="lrTb"/>
            <w:noWrap w:val="false"/>
          </w:tcPr>
          <w:p>
            <w:pPr>
              <w:jc w:val="center"/>
              <w:widowControl w:val="off"/>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81</w:t>
            </w:r>
            <w:r/>
          </w:p>
        </w:tc>
        <w:tc>
          <w:tcPr>
            <w:tcW w:w="535" w:type="pct"/>
            <w:vAlign w:val="center"/>
            <w:textDirection w:val="lrTb"/>
            <w:noWrap w:val="false"/>
          </w:tcPr>
          <w:p>
            <w:pPr>
              <w:jc w:val="center"/>
              <w:widowControl w:val="off"/>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w:t>
            </w:r>
            <w:r/>
          </w:p>
        </w:tc>
        <w:tc>
          <w:tcPr>
            <w:tcW w:w="2465" w:type="pct"/>
            <w:vAlign w:val="center"/>
            <w:textDirection w:val="lrTb"/>
            <w:noWrap w:val="false"/>
          </w:tcPr>
          <w:p>
            <w:pPr>
              <w:jc w:val="center"/>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上肢牵引器 </w:t>
            </w:r>
            <w:r/>
          </w:p>
        </w:tc>
        <w:tc>
          <w:tcPr>
            <w:tcW w:w="695" w:type="pct"/>
            <w:vAlign w:val="center"/>
            <w:textDirection w:val="lrTb"/>
            <w:noWrap w:val="false"/>
          </w:tcPr>
          <w:p>
            <w:pPr>
              <w:jc w:val="center"/>
              <w:widowControl w:val="off"/>
              <w:rPr>
                <w:rFonts w:hint="default" w:ascii="宋体" w:hAnsi="宋体" w:eastAsia="宋体" w:cs="宋体"/>
                <w:sz w:val="22"/>
                <w:szCs w:val="22"/>
                <w:lang w:val="en-US"/>
              </w:rPr>
            </w:pPr>
            <w:r>
              <w:rPr>
                <w:rFonts w:hint="eastAsia" w:ascii="宋体" w:hAnsi="宋体" w:cs="宋体"/>
                <w:sz w:val="22"/>
                <w:szCs w:val="22"/>
                <w:lang w:val="en-US" w:eastAsia="zh-CN"/>
              </w:rPr>
              <w:t xml:space="preserve">81</w:t>
            </w:r>
            <w:r/>
          </w:p>
        </w:tc>
        <w:tc>
          <w:tcPr>
            <w:tcW w:w="53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3</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腰背按摩器 </w:t>
            </w:r>
            <w:r/>
          </w:p>
        </w:tc>
        <w:tc>
          <w:tcPr>
            <w:tcW w:w="695" w:type="pct"/>
            <w:vAlign w:val="center"/>
            <w:textDirection w:val="lrTb"/>
            <w:noWrap w:val="false"/>
          </w:tcPr>
          <w:p>
            <w:pPr>
              <w:jc w:val="center"/>
              <w:widowControl w:val="off"/>
              <w:rPr>
                <w:rFonts w:hint="default" w:ascii="宋体" w:hAnsi="宋体" w:eastAsia="宋体" w:cs="宋体"/>
                <w:sz w:val="22"/>
                <w:szCs w:val="22"/>
                <w:lang w:val="en-US"/>
              </w:rPr>
            </w:pPr>
            <w:r>
              <w:rPr>
                <w:rFonts w:hint="eastAsia" w:ascii="宋体" w:hAnsi="宋体" w:cs="宋体"/>
                <w:sz w:val="22"/>
                <w:szCs w:val="22"/>
                <w:lang w:val="en-US" w:eastAsia="zh-CN"/>
              </w:rPr>
              <w:t xml:space="preserve">41</w:t>
            </w:r>
            <w:r/>
          </w:p>
        </w:tc>
        <w:tc>
          <w:tcPr>
            <w:tcW w:w="53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4</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太极揉推器 </w:t>
            </w:r>
            <w:r/>
          </w:p>
        </w:tc>
        <w:tc>
          <w:tcPr>
            <w:tcW w:w="695" w:type="pct"/>
            <w:vAlign w:val="center"/>
            <w:textDirection w:val="lrTb"/>
            <w:noWrap w:val="false"/>
          </w:tcPr>
          <w:p>
            <w:pPr>
              <w:jc w:val="center"/>
              <w:widowControl w:val="off"/>
              <w:rPr>
                <w:rFonts w:hint="default" w:ascii="宋体" w:hAnsi="宋体" w:eastAsia="宋体" w:cs="宋体"/>
                <w:sz w:val="22"/>
                <w:szCs w:val="22"/>
                <w:lang w:val="en-US"/>
              </w:rPr>
            </w:pPr>
            <w:r>
              <w:rPr>
                <w:rFonts w:hint="eastAsia" w:ascii="宋体" w:hAnsi="宋体" w:cs="宋体"/>
                <w:sz w:val="22"/>
                <w:szCs w:val="22"/>
                <w:lang w:val="en-US" w:eastAsia="zh-CN"/>
              </w:rPr>
              <w:t xml:space="preserve">81</w:t>
            </w:r>
            <w:r/>
          </w:p>
        </w:tc>
        <w:tc>
          <w:tcPr>
            <w:tcW w:w="53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5</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多功能腿部按摩器 </w:t>
            </w:r>
            <w:r/>
          </w:p>
        </w:tc>
        <w:tc>
          <w:tcPr>
            <w:tcW w:w="695" w:type="pct"/>
            <w:vAlign w:val="center"/>
            <w:textDirection w:val="lrTb"/>
            <w:noWrap w:val="false"/>
          </w:tcPr>
          <w:p>
            <w:pPr>
              <w:jc w:val="center"/>
              <w:widowControl w:val="off"/>
              <w:rPr>
                <w:rFonts w:hint="default" w:ascii="宋体" w:hAnsi="宋体" w:eastAsia="宋体" w:cs="宋体"/>
                <w:sz w:val="22"/>
                <w:szCs w:val="22"/>
                <w:lang w:val="en-US"/>
              </w:rPr>
            </w:pPr>
            <w:r>
              <w:rPr>
                <w:rFonts w:hint="eastAsia" w:ascii="宋体" w:hAnsi="宋体" w:cs="宋体"/>
                <w:sz w:val="22"/>
                <w:szCs w:val="22"/>
                <w:lang w:val="en-US" w:eastAsia="zh-CN"/>
              </w:rPr>
              <w:t xml:space="preserve">81</w:t>
            </w:r>
            <w:r/>
          </w:p>
        </w:tc>
        <w:tc>
          <w:tcPr>
            <w:tcW w:w="53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6</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双位漫步机 </w:t>
            </w:r>
            <w:r/>
          </w:p>
        </w:tc>
        <w:tc>
          <w:tcPr>
            <w:tcW w:w="695" w:type="pct"/>
            <w:vAlign w:val="center"/>
            <w:textDirection w:val="lrTb"/>
            <w:noWrap w:val="false"/>
          </w:tcPr>
          <w:p>
            <w:pPr>
              <w:jc w:val="center"/>
              <w:widowControl w:val="off"/>
              <w:rPr>
                <w:rFonts w:hint="default" w:ascii="宋体" w:hAnsi="宋体" w:eastAsia="宋体" w:cs="宋体"/>
                <w:sz w:val="22"/>
                <w:szCs w:val="22"/>
                <w:lang w:val="en-US"/>
              </w:rPr>
            </w:pPr>
            <w:r>
              <w:rPr>
                <w:rFonts w:hint="eastAsia" w:ascii="宋体" w:hAnsi="宋体" w:cs="宋体"/>
                <w:sz w:val="22"/>
                <w:szCs w:val="22"/>
                <w:lang w:val="en-US" w:eastAsia="zh-CN"/>
              </w:rPr>
              <w:t xml:space="preserve">81</w:t>
            </w:r>
            <w:r/>
          </w:p>
        </w:tc>
        <w:tc>
          <w:tcPr>
            <w:tcW w:w="53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7</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骑马机 </w:t>
            </w:r>
            <w:r/>
          </w:p>
        </w:tc>
        <w:tc>
          <w:tcPr>
            <w:tcW w:w="695" w:type="pct"/>
            <w:vAlign w:val="center"/>
            <w:textDirection w:val="lrTb"/>
            <w:noWrap w:val="false"/>
          </w:tcPr>
          <w:p>
            <w:pPr>
              <w:jc w:val="center"/>
              <w:widowControl w:val="off"/>
              <w:rPr>
                <w:rFonts w:hint="default" w:ascii="宋体" w:hAnsi="宋体" w:eastAsia="宋体" w:cs="宋体"/>
                <w:sz w:val="22"/>
                <w:szCs w:val="22"/>
                <w:lang w:val="en-US"/>
              </w:rPr>
            </w:pPr>
            <w:r>
              <w:rPr>
                <w:rFonts w:hint="eastAsia" w:ascii="宋体" w:hAnsi="宋体" w:cs="宋体"/>
                <w:sz w:val="22"/>
                <w:szCs w:val="22"/>
                <w:lang w:val="en-US" w:eastAsia="zh-CN"/>
              </w:rPr>
              <w:t xml:space="preserve">41</w:t>
            </w:r>
            <w:r/>
          </w:p>
        </w:tc>
        <w:tc>
          <w:tcPr>
            <w:tcW w:w="53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8</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钟摆机 </w:t>
            </w:r>
            <w:r/>
          </w:p>
        </w:tc>
        <w:tc>
          <w:tcPr>
            <w:tcW w:w="695" w:type="pct"/>
            <w:vAlign w:val="center"/>
            <w:textDirection w:val="lrTb"/>
            <w:noWrap w:val="false"/>
          </w:tcPr>
          <w:p>
            <w:pPr>
              <w:jc w:val="center"/>
              <w:widowControl w:val="off"/>
              <w:rPr>
                <w:rFonts w:hint="default" w:ascii="宋体" w:hAnsi="宋体" w:eastAsia="宋体" w:cs="宋体"/>
                <w:sz w:val="22"/>
                <w:szCs w:val="22"/>
                <w:lang w:val="en-US"/>
              </w:rPr>
            </w:pPr>
            <w:r>
              <w:rPr>
                <w:rFonts w:hint="eastAsia" w:ascii="宋体" w:hAnsi="宋体" w:cs="宋体"/>
                <w:sz w:val="22"/>
                <w:szCs w:val="22"/>
                <w:lang w:val="en-US" w:eastAsia="zh-CN"/>
              </w:rPr>
              <w:t xml:space="preserve">40</w:t>
            </w:r>
            <w:r/>
          </w:p>
        </w:tc>
        <w:tc>
          <w:tcPr>
            <w:tcW w:w="53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565"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9</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三位扭腰 </w:t>
            </w:r>
            <w:r/>
          </w:p>
        </w:tc>
        <w:tc>
          <w:tcPr>
            <w:tcW w:w="695" w:type="pct"/>
            <w:vAlign w:val="center"/>
            <w:textDirection w:val="lrTb"/>
            <w:noWrap w:val="false"/>
          </w:tcPr>
          <w:p>
            <w:pPr>
              <w:jc w:val="center"/>
              <w:widowControl w:val="off"/>
              <w:rPr>
                <w:rFonts w:hint="default" w:ascii="宋体" w:hAnsi="宋体" w:eastAsia="宋体" w:cs="宋体"/>
                <w:sz w:val="22"/>
                <w:szCs w:val="22"/>
                <w:lang w:val="en-US"/>
              </w:rPr>
            </w:pPr>
            <w:r>
              <w:rPr>
                <w:rFonts w:hint="eastAsia" w:ascii="宋体" w:hAnsi="宋体" w:cs="宋体"/>
                <w:sz w:val="22"/>
                <w:szCs w:val="22"/>
                <w:lang w:val="en-US" w:eastAsia="zh-CN"/>
              </w:rPr>
              <w:t xml:space="preserve">41</w:t>
            </w:r>
            <w:r/>
          </w:p>
        </w:tc>
        <w:tc>
          <w:tcPr>
            <w:tcW w:w="53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default" w:ascii="宋体" w:hAnsi="宋体" w:eastAsia="宋体" w:cs="宋体"/>
                <w:sz w:val="22"/>
                <w:szCs w:val="22"/>
                <w:lang w:val="en-US" w:eastAsia="zh-CN"/>
              </w:rPr>
            </w:pPr>
            <w:r>
              <w:rPr>
                <w:rFonts w:hint="default"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10</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双杠 </w:t>
            </w:r>
            <w:r/>
          </w:p>
        </w:tc>
        <w:tc>
          <w:tcPr>
            <w:tcW w:w="695" w:type="pct"/>
            <w:vAlign w:val="center"/>
            <w:textDirection w:val="lrTb"/>
            <w:noWrap w:val="false"/>
          </w:tcPr>
          <w:p>
            <w:pPr>
              <w:jc w:val="center"/>
              <w:widowControl w:val="off"/>
              <w:rPr>
                <w:rFonts w:hint="default" w:ascii="宋体" w:hAnsi="宋体" w:eastAsia="宋体" w:cs="宋体"/>
                <w:sz w:val="22"/>
                <w:szCs w:val="22"/>
                <w:lang w:val="en-US"/>
              </w:rPr>
            </w:pPr>
            <w:r>
              <w:rPr>
                <w:rFonts w:hint="eastAsia" w:ascii="宋体" w:hAnsi="宋体" w:cs="宋体"/>
                <w:sz w:val="22"/>
                <w:szCs w:val="22"/>
                <w:lang w:val="en-US" w:eastAsia="zh-CN"/>
              </w:rPr>
              <w:t xml:space="preserve">20</w:t>
            </w:r>
            <w:r/>
          </w:p>
        </w:tc>
        <w:tc>
          <w:tcPr>
            <w:tcW w:w="53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11</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 高低杠 </w:t>
            </w:r>
            <w:r/>
          </w:p>
        </w:tc>
        <w:tc>
          <w:tcPr>
            <w:tcW w:w="695" w:type="pct"/>
            <w:vAlign w:val="center"/>
            <w:textDirection w:val="lrTb"/>
            <w:noWrap w:val="false"/>
          </w:tcPr>
          <w:p>
            <w:pPr>
              <w:jc w:val="center"/>
              <w:widowControl w:val="off"/>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20</w:t>
            </w:r>
            <w:r/>
          </w:p>
        </w:tc>
        <w:tc>
          <w:tcPr>
            <w:tcW w:w="535"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12</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 天梯 </w:t>
            </w:r>
            <w:r/>
          </w:p>
        </w:tc>
        <w:tc>
          <w:tcPr>
            <w:tcW w:w="695" w:type="pct"/>
            <w:vAlign w:val="center"/>
            <w:textDirection w:val="lrTb"/>
            <w:noWrap w:val="false"/>
          </w:tcPr>
          <w:p>
            <w:pPr>
              <w:jc w:val="center"/>
              <w:widowControl w:val="off"/>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41</w:t>
            </w:r>
            <w:r/>
          </w:p>
        </w:tc>
        <w:tc>
          <w:tcPr>
            <w:tcW w:w="535"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13</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肋木架 </w:t>
            </w:r>
            <w:r/>
          </w:p>
        </w:tc>
        <w:tc>
          <w:tcPr>
            <w:tcW w:w="695" w:type="pct"/>
            <w:vAlign w:val="center"/>
            <w:textDirection w:val="lrTb"/>
            <w:noWrap w:val="false"/>
          </w:tcPr>
          <w:p>
            <w:pPr>
              <w:jc w:val="center"/>
              <w:widowControl w:val="off"/>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40</w:t>
            </w:r>
            <w:r/>
          </w:p>
        </w:tc>
        <w:tc>
          <w:tcPr>
            <w:tcW w:w="535"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14</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仰卧板 </w:t>
            </w:r>
            <w:r/>
          </w:p>
        </w:tc>
        <w:tc>
          <w:tcPr>
            <w:tcW w:w="695" w:type="pct"/>
            <w:vAlign w:val="center"/>
            <w:textDirection w:val="lrTb"/>
            <w:noWrap w:val="false"/>
          </w:tcPr>
          <w:p>
            <w:pPr>
              <w:jc w:val="center"/>
              <w:widowControl w:val="off"/>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81</w:t>
            </w:r>
            <w:r/>
          </w:p>
        </w:tc>
        <w:tc>
          <w:tcPr>
            <w:tcW w:w="535"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15</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双位坐蹬器</w:t>
            </w:r>
            <w:r/>
          </w:p>
        </w:tc>
        <w:tc>
          <w:tcPr>
            <w:tcW w:w="695" w:type="pct"/>
            <w:vAlign w:val="center"/>
            <w:textDirection w:val="lrTb"/>
            <w:noWrap w:val="false"/>
          </w:tcPr>
          <w:p>
            <w:pPr>
              <w:jc w:val="center"/>
              <w:widowControl w:val="off"/>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40</w:t>
            </w:r>
            <w:r/>
          </w:p>
        </w:tc>
        <w:tc>
          <w:tcPr>
            <w:tcW w:w="535"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16</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篮球架</w:t>
            </w:r>
            <w:r/>
          </w:p>
        </w:tc>
        <w:tc>
          <w:tcPr>
            <w:tcW w:w="695" w:type="pct"/>
            <w:vAlign w:val="center"/>
            <w:textDirection w:val="lrTb"/>
            <w:noWrap w:val="false"/>
          </w:tcPr>
          <w:p>
            <w:pPr>
              <w:jc w:val="center"/>
              <w:widowControl w:val="off"/>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20</w:t>
            </w:r>
            <w:r/>
          </w:p>
        </w:tc>
        <w:tc>
          <w:tcPr>
            <w:tcW w:w="535" w:type="pct"/>
            <w:vAlign w:val="center"/>
            <w:textDirection w:val="lrTb"/>
            <w:noWrap w:val="false"/>
          </w:tcPr>
          <w:p>
            <w:pPr>
              <w:jc w:val="center"/>
              <w:widowControl w:val="off"/>
              <w:rPr>
                <w:rFonts w:hint="default" w:ascii="宋体" w:hAnsi="宋体" w:cs="宋体"/>
                <w:color w:val="auto"/>
                <w:sz w:val="22"/>
                <w:szCs w:val="22"/>
                <w:lang w:val="en-US" w:eastAsia="zh-CN"/>
              </w:rPr>
            </w:pPr>
            <w:r>
              <w:rPr>
                <w:rFonts w:hint="eastAsia" w:ascii="宋体" w:hAnsi="宋体" w:cs="宋体"/>
                <w:color w:val="auto"/>
                <w:sz w:val="22"/>
                <w:szCs w:val="22"/>
                <w:lang w:val="en-US" w:eastAsia="zh-CN"/>
              </w:rPr>
              <w:t xml:space="preserve">副</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17</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乒乓球桌</w:t>
            </w:r>
            <w:r/>
          </w:p>
        </w:tc>
        <w:tc>
          <w:tcPr>
            <w:tcW w:w="695" w:type="pct"/>
            <w:vAlign w:val="center"/>
            <w:textDirection w:val="lrTb"/>
            <w:noWrap w:val="false"/>
          </w:tcPr>
          <w:p>
            <w:pPr>
              <w:jc w:val="center"/>
              <w:widowControl w:val="off"/>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100</w:t>
            </w:r>
            <w:r/>
          </w:p>
        </w:tc>
        <w:tc>
          <w:tcPr>
            <w:tcW w:w="535" w:type="pct"/>
            <w:vAlign w:val="center"/>
            <w:textDirection w:val="lrTb"/>
            <w:noWrap w:val="false"/>
          </w:tcPr>
          <w:p>
            <w:pPr>
              <w:jc w:val="center"/>
              <w:widowControl w:val="off"/>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张</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bl>
    <w:p>
      <w:r/>
      <w:r/>
    </w:p>
    <w:p>
      <w:pPr>
        <w:pStyle w:val="780"/>
        <w:jc w:val="both"/>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注：本条“采购清单”中数量要求是不允许偏离的实质性要求和条件，如有偏离，在符合性审查时按照投标无效处理。</w:t>
      </w:r>
      <w:r/>
    </w:p>
    <w:p>
      <w:pPr>
        <w:pStyle w:val="780"/>
        <w:numPr>
          <w:ilvl w:val="0"/>
          <w:numId w:val="0"/>
        </w:numPr>
        <w:jc w:val="both"/>
        <w:spacing w:line="360" w:lineRule="auto"/>
        <w:rPr>
          <w:rFonts w:hint="eastAsia" w:ascii="宋体" w:hAnsi="宋体" w:cs="宋体"/>
          <w:b/>
          <w:bCs w:val="0"/>
          <w:color w:val="auto"/>
          <w:sz w:val="24"/>
          <w:szCs w:val="24"/>
        </w:rP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技术参数要求</w:t>
      </w:r>
      <w:r>
        <w:rPr>
          <w:rFonts w:hint="eastAsia" w:ascii="宋体" w:hAnsi="宋体" w:cs="宋体"/>
          <w:b/>
          <w:bCs/>
          <w:color w:val="auto"/>
          <w:sz w:val="24"/>
          <w:szCs w:val="24"/>
          <w:highlight w:val="none"/>
          <w:lang w:eastAsia="zh-CN"/>
        </w:rPr>
        <w:t xml:space="preserve">（</w:t>
      </w:r>
      <w:r>
        <w:rPr>
          <w:rFonts w:hint="eastAsia" w:ascii="宋体" w:hAnsi="宋体" w:cs="宋体"/>
          <w:b/>
          <w:bCs w:val="0"/>
          <w:color w:val="auto"/>
          <w:sz w:val="24"/>
          <w:szCs w:val="24"/>
        </w:rPr>
        <w:t xml:space="preserve">加“★”的指标为实质性响应指标，实质性响应指标任意1项指标不满足或负偏离按无效投标处理，其他为一般响应指标</w:t>
      </w:r>
      <w:r>
        <w:rPr>
          <w:rFonts w:hint="eastAsia" w:ascii="宋体" w:hAnsi="宋体" w:cs="宋体"/>
          <w:b/>
          <w:bCs w:val="0"/>
          <w:color w:val="auto"/>
          <w:sz w:val="24"/>
          <w:szCs w:val="24"/>
          <w:lang w:eastAsia="zh-CN"/>
        </w:rPr>
        <w:t xml:space="preserve">，</w:t>
      </w:r>
      <w:r>
        <w:rPr>
          <w:rFonts w:hint="eastAsia" w:ascii="宋体" w:hAnsi="宋体" w:cs="宋体"/>
          <w:b/>
          <w:bCs w:val="0"/>
          <w:color w:val="auto"/>
          <w:sz w:val="24"/>
          <w:szCs w:val="24"/>
          <w:lang w:val="en-US" w:eastAsia="zh-CN"/>
        </w:rPr>
        <w:t xml:space="preserve">未按照招标文件要求提供证明材料的视为不满足</w:t>
      </w:r>
      <w:r>
        <w:rPr>
          <w:rFonts w:hint="eastAsia" w:ascii="宋体" w:hAnsi="宋体" w:cs="宋体"/>
          <w:b/>
          <w:bCs w:val="0"/>
          <w:color w:val="auto"/>
          <w:sz w:val="24"/>
          <w:szCs w:val="24"/>
        </w:rPr>
        <w:t xml:space="preserve">）：</w:t>
      </w:r>
      <w:r/>
    </w:p>
    <w:p>
      <w:pPr>
        <w:jc w:val="center"/>
        <w:spacing w:after="100" w:line="259" w:lineRule="auto"/>
        <w:widowControl/>
        <w:rPr>
          <w:rFonts w:hint="default" w:ascii="仿宋" w:hAnsi="仿宋" w:eastAsia="仿宋" w:cs="仿宋"/>
          <w:b/>
          <w:bCs/>
          <w:color w:val="000000" w:themeColor="text1"/>
          <w:sz w:val="36"/>
          <w:szCs w:val="36"/>
          <w:lang w:val="en-US" w:eastAsia="zh-CN" w:bidi="ar-SA"/>
          <w14:textFill>
            <w14:solidFill>
              <w14:schemeClr w14:val="tx1"/>
            </w14:solidFill>
          </w14:textFill>
        </w:rPr>
      </w:pPr>
      <w:r>
        <w:rPr>
          <w:rFonts w:hint="eastAsia" w:ascii="仿宋" w:hAnsi="仿宋" w:eastAsia="仿宋" w:cs="仿宋"/>
          <w:b/>
          <w:bCs/>
          <w:color w:val="000000" w:themeColor="text1"/>
          <w:sz w:val="36"/>
          <w:szCs w:val="36"/>
          <w:lang w:val="en-US" w:eastAsia="zh-CN" w:bidi="ar-SA"/>
          <w14:textFill>
            <w14:solidFill>
              <w14:schemeClr w14:val="tx1"/>
            </w14:solidFill>
          </w14:textFill>
        </w:rPr>
        <w:t xml:space="preserve">2026丰县健身路径及体育设施采购清单</w:t>
      </w:r>
      <w:r/>
    </w:p>
    <w:tbl>
      <w:tblPr>
        <w:tblStyle w:val="807"/>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124"/>
        <w:gridCol w:w="6828"/>
        <w:gridCol w:w="854"/>
      </w:tblGrid>
      <w:tr>
        <w:trPr>
          <w:jc w:val="center"/>
          <w:trHeight w:val="557"/>
        </w:trPr>
        <w:tc>
          <w:tcPr>
            <w:tcW w:w="832" w:type="dxa"/>
            <w:vAlign w:val="center"/>
            <w:textDirection w:val="lrTb"/>
            <w:noWrap w:val="false"/>
          </w:tcPr>
          <w:p>
            <w:pPr>
              <w:jc w:val="center"/>
              <w:spacing w:line="240" w:lineRule="auto"/>
              <w:rPr>
                <w:rFonts w:hint="eastAsia" w:ascii="仿宋" w:hAnsi="仿宋" w:eastAsia="仿宋" w:cs="仿宋"/>
                <w:b/>
                <w:bCs/>
                <w:sz w:val="28"/>
                <w:szCs w:val="28"/>
              </w:rPr>
            </w:pPr>
            <w:r>
              <w:rPr>
                <w:rFonts w:hint="eastAsia" w:ascii="仿宋" w:hAnsi="仿宋" w:eastAsia="仿宋" w:cs="仿宋"/>
                <w:b/>
                <w:bCs/>
                <w:sz w:val="28"/>
                <w:szCs w:val="28"/>
              </w:rPr>
              <w:t xml:space="preserve">序号</w:t>
            </w:r>
            <w:r/>
          </w:p>
        </w:tc>
        <w:tc>
          <w:tcPr>
            <w:tcW w:w="1124" w:type="dxa"/>
            <w:vAlign w:val="center"/>
            <w:textDirection w:val="lrTb"/>
            <w:noWrap w:val="false"/>
          </w:tcPr>
          <w:p>
            <w:pPr>
              <w:jc w:val="center"/>
              <w:spacing w:line="240" w:lineRule="auto"/>
              <w:rPr>
                <w:rFonts w:hint="eastAsia" w:ascii="仿宋" w:hAnsi="仿宋" w:eastAsia="仿宋" w:cs="仿宋"/>
                <w:b/>
                <w:bCs/>
                <w:sz w:val="28"/>
                <w:szCs w:val="28"/>
              </w:rPr>
            </w:pPr>
            <w:r>
              <w:rPr>
                <w:rFonts w:hint="eastAsia" w:ascii="仿宋" w:hAnsi="仿宋" w:eastAsia="仿宋" w:cs="仿宋"/>
                <w:b/>
                <w:bCs/>
                <w:sz w:val="28"/>
                <w:szCs w:val="28"/>
              </w:rPr>
              <w:t xml:space="preserve">名称</w:t>
            </w:r>
            <w:r/>
          </w:p>
        </w:tc>
        <w:tc>
          <w:tcPr>
            <w:tcW w:w="6828" w:type="dxa"/>
            <w:vAlign w:val="center"/>
            <w:textDirection w:val="lrTb"/>
            <w:noWrap w:val="false"/>
          </w:tcPr>
          <w:p>
            <w:pPr>
              <w:jc w:val="center"/>
              <w:spacing w:line="240" w:lineRule="auto"/>
              <w:rPr>
                <w:rFonts w:hint="eastAsia" w:ascii="仿宋" w:hAnsi="仿宋" w:eastAsia="仿宋" w:cs="仿宋"/>
                <w:b/>
                <w:bCs/>
                <w:sz w:val="28"/>
                <w:szCs w:val="28"/>
              </w:rPr>
            </w:pPr>
            <w:r>
              <w:rPr>
                <w:rFonts w:hint="eastAsia" w:ascii="仿宋" w:hAnsi="仿宋" w:eastAsia="仿宋" w:cs="仿宋"/>
                <w:b/>
                <w:bCs/>
                <w:sz w:val="28"/>
                <w:szCs w:val="28"/>
              </w:rPr>
              <w:t xml:space="preserve">技术参数</w:t>
            </w:r>
            <w:r/>
          </w:p>
        </w:tc>
        <w:tc>
          <w:tcPr>
            <w:tcW w:w="854" w:type="dxa"/>
            <w:vAlign w:val="center"/>
            <w:textDirection w:val="lrTb"/>
            <w:noWrap w:val="false"/>
          </w:tcPr>
          <w:p>
            <w:pPr>
              <w:jc w:val="center"/>
              <w:spacing w:line="240" w:lineRule="auto"/>
              <w:rPr>
                <w:rFonts w:hint="eastAsia" w:ascii="仿宋" w:hAnsi="仿宋" w:eastAsia="仿宋" w:cs="仿宋"/>
                <w:b/>
                <w:bCs/>
                <w:sz w:val="28"/>
                <w:szCs w:val="28"/>
              </w:rPr>
            </w:pPr>
            <w:r>
              <w:rPr>
                <w:rFonts w:hint="eastAsia" w:ascii="仿宋" w:hAnsi="仿宋" w:eastAsia="仿宋" w:cs="仿宋"/>
                <w:b/>
                <w:bCs/>
                <w:sz w:val="28"/>
                <w:szCs w:val="28"/>
              </w:rPr>
              <w:t xml:space="preserve">数量</w:t>
            </w:r>
            <w:r/>
          </w:p>
        </w:tc>
      </w:tr>
      <w:tr>
        <w:trPr>
          <w:jc w:val="center"/>
          <w:trHeight w:val="1193"/>
        </w:trPr>
        <w:tc>
          <w:tcPr>
            <w:tcW w:w="832" w:type="dxa"/>
            <w:vAlign w:val="center"/>
            <w:textDirection w:val="lrTb"/>
            <w:noWrap w:val="false"/>
          </w:tcPr>
          <w:p>
            <w:pPr>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1</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告示牌</w:t>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、安装方式：直埋式；</w:t>
            </w:r>
            <w:r/>
          </w:p>
          <w:p>
            <w:pPr>
              <w:jc w:val="lef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、人体易接触区域，不应存在剪切、挤压、卡夹、缠绕结构,强制运动不应存在钩挂结构；器材不应存在向上的小于60 °的V形开口；器材的开口结构，不应对头、颈造成卡夹；</w:t>
            </w:r>
            <w:r/>
          </w:p>
          <w:p>
            <w:pPr>
              <w:jc w:val="lef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、告示牌面板采用不锈钢材质，耐蚀性能相当于 0Cr18Ni9（SUS304），厚度不小于1mm，面板边缘及尖角不得翘起，图样及字样蚀刻处理；</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、符合GB19272-2024《室外健身器材的安全通用要求》，并</w:t>
            </w:r>
            <w:r>
              <w:rPr>
                <w:rFonts w:hint="eastAsia" w:ascii="宋体" w:hAnsi="宋体" w:eastAsia="宋体" w:cs="宋体"/>
                <w:sz w:val="24"/>
                <w:szCs w:val="24"/>
                <w:lang w:val="en-US" w:eastAsia="zh-CN"/>
              </w:rPr>
              <w:t xml:space="preserve">在投标文件中</w:t>
            </w:r>
            <w:r>
              <w:rPr>
                <w:rFonts w:hint="eastAsia" w:ascii="宋体" w:hAnsi="宋体" w:eastAsia="宋体" w:cs="宋体"/>
                <w:sz w:val="24"/>
                <w:szCs w:val="24"/>
              </w:rPr>
              <w:t xml:space="preserve">提供有效期内带有CMA或CNAS标识的检测报告</w:t>
            </w:r>
            <w:r>
              <w:rPr>
                <w:rFonts w:hint="eastAsia" w:ascii="宋体" w:hAnsi="宋体" w:eastAsia="宋体" w:cs="宋体"/>
                <w:sz w:val="24"/>
                <w:szCs w:val="24"/>
                <w:lang w:val="en-US" w:eastAsia="zh-CN"/>
              </w:rPr>
              <w:t xml:space="preserve">扫描件；</w:t>
            </w:r>
            <w:r/>
          </w:p>
          <w:p>
            <w:pPr>
              <w:spacing w:line="240" w:lineRule="auto"/>
              <w:rPr>
                <w:rFonts w:hint="eastAsia" w:ascii="宋体" w:hAnsi="宋体" w:eastAsia="宋体" w:cs="宋体"/>
                <w:sz w:val="28"/>
                <w:szCs w:val="28"/>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、通过经国家批准的体育器材质量认证机构的产品质量认证，</w:t>
            </w:r>
            <w:r>
              <w:rPr>
                <w:rFonts w:hint="eastAsia" w:ascii="宋体" w:hAnsi="宋体" w:eastAsia="宋体" w:cs="宋体"/>
                <w:sz w:val="24"/>
                <w:szCs w:val="24"/>
                <w:lang w:val="en-US" w:eastAsia="zh-CN"/>
              </w:rPr>
              <w:t xml:space="preserve">并在投标文件中</w:t>
            </w:r>
            <w:r>
              <w:rPr>
                <w:rFonts w:hint="eastAsia" w:ascii="宋体" w:hAnsi="宋体" w:eastAsia="宋体" w:cs="宋体"/>
                <w:sz w:val="24"/>
                <w:szCs w:val="24"/>
              </w:rPr>
              <w:t xml:space="preserve">提供有效期内的认证证书及确认函</w:t>
            </w:r>
            <w:r>
              <w:rPr>
                <w:rFonts w:hint="eastAsia" w:ascii="宋体" w:hAnsi="宋体" w:eastAsia="宋体" w:cs="宋体"/>
                <w:sz w:val="24"/>
                <w:szCs w:val="24"/>
                <w:lang w:val="en-US" w:eastAsia="zh-CN"/>
              </w:rPr>
              <w:t xml:space="preserve">扫描件。</w:t>
            </w:r>
            <w:r/>
          </w:p>
        </w:tc>
        <w:tc>
          <w:tcPr>
            <w:tcW w:w="854" w:type="dxa"/>
            <w:vAlign w:val="center"/>
            <w:textDirection w:val="lrTb"/>
            <w:noWrap w:val="false"/>
          </w:tcPr>
          <w:p>
            <w:pPr>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81个</w:t>
            </w:r>
            <w:r/>
          </w:p>
        </w:tc>
      </w:tr>
      <w:tr>
        <w:trPr>
          <w:jc w:val="center"/>
          <w:trHeight w:val="979"/>
        </w:trPr>
        <w:tc>
          <w:tcPr>
            <w:tcW w:w="832" w:type="dxa"/>
            <w:vAlign w:val="center"/>
            <w:textDirection w:val="lrTb"/>
            <w:noWrap w:val="false"/>
          </w:tcPr>
          <w:p>
            <w:pPr>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2</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上肢牵引器</w:t>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2、主要承载横梁钢管不小于φ48×</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4、覆盖件高于安装面部分应为类球形，覆盖件的直径与高度比值应＞3，且覆盖面直径≥50mm。嵌入式紧固件(含突出物)，应被永久覆盖；</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5、人体易接触区域，不应存在剪切、挤压、卡夹、缠绕结构,强制运动不应存在钩挂结构；器材不应存在向上的小于60 ° 的 V 形开口；</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6、使用者在器材下面的，其活动部件刚性底部距地面间的距离≥1850mm；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7、用于握持的部件截面形心任一方向的尺寸在 16mm~45mm 之间；当握持部件具有把手功能时,应进行防滑处理，外加式手把套应永久固定；把手(不含柔性部件)质量不应大于 600g；</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8、活动部件和固定部件不应存在刚性碰撞；</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、符合GB19272-2024《室外健身器材的安全通用要求》，并在投标文件中提供有效期内带有CMA或CNAS标识的检测报告扫描件；</w:t>
            </w:r>
            <w:r/>
          </w:p>
          <w:p>
            <w:pPr>
              <w:spacing w:line="240" w:lineRule="auto"/>
              <w:rPr>
                <w:rFonts w:hint="eastAsia" w:ascii="宋体" w:hAnsi="宋体" w:eastAsia="宋体" w:cs="宋体"/>
                <w:sz w:val="28"/>
                <w:szCs w:val="28"/>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、通过经国家批准的体育器材质量认证机构的产品质量认证，并在投标文件中提供有效期内的认证证书及确认函扫描件。</w:t>
            </w:r>
            <w:r/>
          </w:p>
        </w:tc>
        <w:tc>
          <w:tcPr>
            <w:tcW w:w="854" w:type="dxa"/>
            <w:vAlign w:val="center"/>
            <w:textDirection w:val="lrTb"/>
            <w:noWrap w:val="false"/>
          </w:tcPr>
          <w:p>
            <w:pPr>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81个</w:t>
            </w:r>
            <w:r/>
          </w:p>
        </w:tc>
      </w:tr>
      <w:tr>
        <w:trPr>
          <w:jc w:val="center"/>
          <w:trHeight w:val="1063"/>
        </w:trPr>
        <w:tc>
          <w:tcPr>
            <w:tcW w:w="832" w:type="dxa"/>
            <w:vAlign w:val="center"/>
            <w:textDirection w:val="lrTb"/>
            <w:noWrap w:val="false"/>
          </w:tcPr>
          <w:p>
            <w:pPr>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3</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腰背按摩器</w:t>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2、主要承载横梁钢管不小于φ</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4、把手端部直径≥50mm 且棱边半径不小于5mm；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5、覆盖件高于安装面部分应为类球形，覆盖件的直径与高度比值应＞3，且覆盖面直径≥50mm。嵌入式紧固件(含突出物)，应被永久覆盖；</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6、人体易接触区域，不应存在剪切、挤压、卡夹、缠绕结构,强制运动不应存在钩挂结构；器材不应存在向上的小于60 °的V形开口；器材的开口结构不应对头、颈造成卡夹；</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7、手及手指卡夹，其活动部件与活动部件或固定部件之间的距离，可能只危及手指,其间隙不小于30mm；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8、活动部件和固定部件不应存在刚性碰撞；</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9、用于握持的部件截面形心任一方向的尺寸在16mm~45mm之间；当握持部件具有把手功能时应进行防滑处理；外加式手把套应永久固定；</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、符合GB19272-2024《室外健身器材的安全通用要求》，并在投标文件中提供有效期内带有CMA或CNAS标识的检测报告扫描件；</w:t>
            </w:r>
            <w:r/>
          </w:p>
          <w:p>
            <w:pPr>
              <w:spacing w:line="240" w:lineRule="auto"/>
              <w:rPr>
                <w:rFonts w:hint="eastAsia" w:ascii="宋体" w:hAnsi="宋体" w:eastAsia="宋体" w:cs="宋体"/>
                <w:sz w:val="28"/>
                <w:szCs w:val="28"/>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、通过经国家批准的体育器材质量认证机构的产品质量认证，并在投标文件中提供有效期内的认证证书及确认函扫描件。</w:t>
            </w:r>
            <w:r/>
          </w:p>
        </w:tc>
        <w:tc>
          <w:tcPr>
            <w:tcW w:w="854" w:type="dxa"/>
            <w:vAlign w:val="center"/>
            <w:textDirection w:val="lrTb"/>
            <w:noWrap w:val="false"/>
          </w:tcPr>
          <w:p>
            <w:pPr>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41个</w:t>
            </w:r>
            <w:r/>
          </w:p>
        </w:tc>
      </w:tr>
      <w:tr>
        <w:trPr>
          <w:jc w:val="center"/>
          <w:trHeight w:val="3180"/>
        </w:trPr>
        <w:tc>
          <w:tcPr>
            <w:tcW w:w="832" w:type="dxa"/>
            <w:vAlign w:val="center"/>
            <w:textDirection w:val="lrTb"/>
            <w:noWrap w:val="false"/>
          </w:tcPr>
          <w:p>
            <w:pPr>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4</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太极揉推器</w:t>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2、主要承载横梁钢管不小于φ</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、人体易接触区域，不应存在剪切、挤压、卡夹、缠绕结构,强制运动不应存在钩挂结构；器材不应存在向上的小于60 ° 的 V 形开口；器材不应存在开口间距小于 230mm,且深度大于 45mm 的向上的 U 形开口</w:t>
            </w:r>
            <w:r>
              <w:rPr>
                <w:rFonts w:hint="eastAsia" w:ascii="宋体" w:hAnsi="宋体" w:eastAsia="宋体" w:cs="宋体"/>
                <w:sz w:val="24"/>
                <w:szCs w:val="24"/>
                <w:lang w:eastAsia="zh-CN"/>
              </w:rPr>
              <w:t xml:space="preserve">；</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、符合GB19272-2024《室外健身器材的安全通用要求》，并在投标文件中提供有效期内带有CMA或CNAS标识的检测报告扫描件；</w:t>
            </w:r>
            <w:r/>
          </w:p>
          <w:p>
            <w:pPr>
              <w:spacing w:line="240" w:lineRule="auto"/>
              <w:rPr>
                <w:rFonts w:hint="eastAsia" w:ascii="宋体" w:hAnsi="宋体" w:eastAsia="宋体" w:cs="宋体"/>
                <w:sz w:val="28"/>
                <w:szCs w:val="28"/>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、通过经国家批准的体育器材质量认证机构的产品质量认证，并在投标文件中提供有效期内的认证证书及确认函扫描件。</w:t>
            </w:r>
            <w:r/>
          </w:p>
        </w:tc>
        <w:tc>
          <w:tcPr>
            <w:tcW w:w="854" w:type="dxa"/>
            <w:vAlign w:val="center"/>
            <w:textDirection w:val="lrTb"/>
            <w:noWrap w:val="false"/>
          </w:tcPr>
          <w:p>
            <w:pPr>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81个</w:t>
            </w:r>
            <w:r/>
          </w:p>
        </w:tc>
      </w:tr>
      <w:tr>
        <w:trPr>
          <w:jc w:val="center"/>
        </w:trPr>
        <w:tc>
          <w:tcPr>
            <w:tcW w:w="832" w:type="dxa"/>
            <w:vAlign w:val="center"/>
            <w:textDirection w:val="lrTb"/>
            <w:noWrap w:val="false"/>
          </w:tcPr>
          <w:p>
            <w:pPr>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5</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多功能</w:t>
            </w:r>
            <w:r>
              <w:rPr>
                <w:rFonts w:hint="eastAsia" w:ascii="宋体" w:hAnsi="宋体" w:eastAsia="宋体" w:cs="宋体"/>
                <w:sz w:val="28"/>
                <w:szCs w:val="28"/>
                <w:highlight w:val="none"/>
              </w:rPr>
              <w:t xml:space="preserve">腿部</w:t>
            </w:r>
            <w:r>
              <w:rPr>
                <w:rFonts w:hint="eastAsia" w:ascii="宋体" w:hAnsi="宋体" w:eastAsia="宋体" w:cs="宋体"/>
                <w:sz w:val="28"/>
                <w:szCs w:val="28"/>
                <w:highlight w:val="none"/>
                <w:lang w:val="en-US" w:eastAsia="zh-CN"/>
              </w:rPr>
              <w:t xml:space="preserve">按摩</w:t>
            </w:r>
            <w:r>
              <w:rPr>
                <w:rFonts w:hint="eastAsia" w:ascii="宋体" w:hAnsi="宋体" w:eastAsia="宋体" w:cs="宋体"/>
                <w:sz w:val="28"/>
                <w:szCs w:val="28"/>
                <w:highlight w:val="none"/>
              </w:rPr>
              <w:t xml:space="preserve">器</w:t>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主要承载立柱采用不小于 Φ114mm×3.0mm； </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 Φ</w:t>
            </w:r>
            <w:r>
              <w:rPr>
                <w:rFonts w:hint="eastAsia" w:ascii="宋体" w:hAnsi="宋体" w:cs="宋体"/>
                <w:sz w:val="24"/>
                <w:szCs w:val="24"/>
                <w:lang w:val="en-US" w:eastAsia="zh-CN"/>
              </w:rPr>
              <w:t xml:space="preserve">25</w:t>
            </w:r>
            <w:r>
              <w:rPr>
                <w:rFonts w:hint="eastAsia" w:ascii="宋体" w:hAnsi="宋体" w:eastAsia="宋体" w:cs="宋体"/>
                <w:sz w:val="24"/>
                <w:szCs w:val="24"/>
              </w:rPr>
              <w:t xml:space="preserve">×3mm； </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 </w:t>
            </w:r>
            <w:r/>
          </w:p>
          <w:p>
            <w:pPr>
              <w:jc w:val="lef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、人体易接触区域，不应存在剪切、挤压、卡夹、缠绕结构，强制运动不应存在钩挂结构；器材不应存在向上的小于 60° 的 V 形开口；器材的开口结构，不应对头、颈造成卡夹；   </w:t>
            </w:r>
            <w:r/>
          </w:p>
          <w:p>
            <w:pPr>
              <w:jc w:val="lef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、活动按摩部件和固定主体部件不应存在刚性碰撞； </w:t>
            </w:r>
            <w:r/>
          </w:p>
          <w:p>
            <w:pPr>
              <w:jc w:val="lef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、按摩滚轮组可对小腿、大腿多部位滚动揉捏按摩，滚轮外缘无尖锐毛刺，开合间隙不会夹伤肢体； </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、符合 GB19272-2024《室外健身器材的安全通用要求》，并在投标文件中提供有效期内带有 CMA 或 CNAS 标识的检测报告扫描件； </w:t>
            </w:r>
            <w:r/>
          </w:p>
          <w:p>
            <w:pPr>
              <w:jc w:val="left"/>
              <w:widowControl w:val="off"/>
              <w:rPr>
                <w:rFonts w:hint="eastAsia" w:ascii="宋体" w:hAnsi="宋体" w:eastAsia="宋体" w:cs="宋体"/>
                <w:sz w:val="28"/>
                <w:szCs w:val="28"/>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、通过经国家批准的体育器材质量认证机构的产品质量认证，并在投标文件中提供有效期内的认证证书及确认函扫描件。</w:t>
            </w:r>
            <w:r/>
          </w:p>
        </w:tc>
        <w:tc>
          <w:tcPr>
            <w:tcW w:w="854" w:type="dxa"/>
            <w:vAlign w:val="center"/>
            <w:textDirection w:val="lrTb"/>
            <w:noWrap w:val="false"/>
          </w:tcPr>
          <w:p>
            <w:pPr>
              <w:jc w:val="center"/>
              <w:spacing w:line="240" w:lineRule="auto"/>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81个</w:t>
            </w:r>
            <w:r/>
          </w:p>
        </w:tc>
      </w:tr>
      <w:tr>
        <w:trPr>
          <w:jc w:val="center"/>
        </w:trPr>
        <w:tc>
          <w:tcPr>
            <w:tcW w:w="832" w:type="dxa"/>
            <w:vAlign w:val="center"/>
            <w:textDirection w:val="lrTb"/>
            <w:noWrap w:val="false"/>
          </w:tcPr>
          <w:p>
            <w:pPr>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6</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双位漫步机</w:t>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2、主要承载横梁尺寸不小于φ</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×3mm；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4、球形面紧固件突出高度</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6mm；嵌入式紧固件(含突出物)，应被永久覆盖；</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5、人体易接触区域，不应存在剪切、挤压、卡夹、缠绕结构,强制运动不应存在钩挂结构；器材不应存在向上的小于60 °的V形开口；器材开口距地面高度大于600mm时，不应存在开口间距小于 230mm,且深度大于 45mm 的向上的U 形开口；</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6、器材的开口结构，不应对头、颈造成卡夹；</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7、手及手指卡夹机构，其活动部件与活动部件或固定部件之间的距离≥60mm；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8、脚和腿卡夹结构，其器材易接触区域的结构-活动部件与活动部件或固定部件(含地面)的距离≥80mm；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9、脚踏面应具有防滑功能，表面摩擦系数≥0.5；</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10、往复运动器材的站立脚踏面，脚踏面的单脚面积应不小于 30000mm</w:t>
            </w:r>
            <w:r>
              <w:rPr>
                <w:rFonts w:hint="eastAsia" w:ascii="宋体" w:hAnsi="宋体" w:eastAsia="宋体" w:cs="宋体"/>
                <w:sz w:val="24"/>
                <w:szCs w:val="24"/>
                <w:lang w:val="en-US" w:eastAsia="zh-CN"/>
              </w:rPr>
              <w:t xml:space="preserve">²</w:t>
            </w: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11、脚踏面主运动方向和易滑脱方向应设置高度不小于30mm、长度大于踏板周长2/3 的防滑脱的凸台或护板；</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12、脚踏面不应积水；</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13、摆动部件加速度的峰值≤50g；</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14、活动部件的单侧摆动幅度≤70 °</w:t>
            </w:r>
            <w:r>
              <w:rPr>
                <w:rFonts w:hint="eastAsia" w:ascii="宋体" w:hAnsi="宋体" w:eastAsia="宋体" w:cs="宋体"/>
                <w:sz w:val="24"/>
                <w:szCs w:val="24"/>
                <w:lang w:eastAsia="zh-CN"/>
              </w:rPr>
              <w:t xml:space="preserve">；</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15、用于握持的部件截面形心任一方向的尺寸在 16mm~45mm之间；</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16</w:t>
            </w:r>
            <w:r>
              <w:rPr>
                <w:rFonts w:hint="eastAsia" w:ascii="宋体" w:hAnsi="宋体" w:eastAsia="宋体" w:cs="宋体"/>
                <w:sz w:val="24"/>
                <w:szCs w:val="24"/>
              </w:rPr>
              <w:t xml:space="preserve">、符合GB19272-2024《室外健身器材的安全通用要求》，并在投标文件中提供有效期内带有CMA或CNAS标识的检测报告扫描件；</w:t>
            </w:r>
            <w:r/>
          </w:p>
          <w:p>
            <w:pPr>
              <w:spacing w:line="240" w:lineRule="auto"/>
              <w:rPr>
                <w:rFonts w:hint="eastAsia" w:ascii="宋体" w:hAnsi="宋体" w:eastAsia="宋体" w:cs="宋体"/>
                <w:sz w:val="28"/>
                <w:szCs w:val="28"/>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17</w:t>
            </w:r>
            <w:r>
              <w:rPr>
                <w:rFonts w:hint="eastAsia" w:ascii="宋体" w:hAnsi="宋体" w:eastAsia="宋体" w:cs="宋体"/>
                <w:sz w:val="24"/>
                <w:szCs w:val="24"/>
              </w:rPr>
              <w:t xml:space="preserve">、通过经国家批准的体育器材质量认证机构的产品质量认证，并在投标文件中提供有效期内的认证证书及确认函扫描件。</w:t>
            </w:r>
            <w:r/>
          </w:p>
        </w:tc>
        <w:tc>
          <w:tcPr>
            <w:tcW w:w="854" w:type="dxa"/>
            <w:vAlign w:val="center"/>
            <w:textDirection w:val="lrTb"/>
            <w:noWrap w:val="false"/>
          </w:tcPr>
          <w:p>
            <w:pPr>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81台</w:t>
            </w:r>
            <w:r/>
          </w:p>
        </w:tc>
      </w:tr>
      <w:tr>
        <w:trPr>
          <w:jc w:val="center"/>
        </w:trPr>
        <w:tc>
          <w:tcPr>
            <w:tcW w:w="832" w:type="dxa"/>
            <w:vAlign w:val="center"/>
            <w:textDirection w:val="lrTb"/>
            <w:noWrap w:val="false"/>
          </w:tcPr>
          <w:p>
            <w:pPr>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7</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骑马机</w:t>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 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 Φ48×3mm；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、人体易接触区域，不应存在剪切、挤压、卡夹、缠绕结构，强制运动不应存在钩挂结构；器材不应存在向上的小于 60° 的 V 形开口；器材的开口结构，不应对头、颈造成卡夹；</w:t>
            </w:r>
            <w:r/>
          </w:p>
          <w:p>
            <w:pPr>
              <w:jc w:val="lef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、摇摆活动部件和固定主体部件不应存在刚性碰撞；</w:t>
            </w:r>
            <w:r/>
          </w:p>
          <w:p>
            <w:pPr>
              <w:jc w:val="lef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、骑马摆动机构传动平稳、限位可靠，摆动行程合理，不会出现过度倾倒、夹脚夹腿情况，承重结构牢固耐久；</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、符合 GB19272-2024《室外健身器材的安全通用要求》，并在投标文件中提供有效期内带有 CMA 或 CNAS 标识的检测报告扫描件；</w:t>
            </w:r>
            <w:r/>
          </w:p>
          <w:p>
            <w:pPr>
              <w:jc w:val="left"/>
              <w:widowControl w:val="off"/>
              <w:rPr>
                <w:rFonts w:hint="eastAsia" w:ascii="宋体" w:hAnsi="宋体" w:eastAsia="宋体" w:cs="宋体"/>
                <w:sz w:val="28"/>
                <w:szCs w:val="28"/>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、通过经国家批准的体育器材质量认证机构的产品质量认证，并在投标文件中提供有效期内的认证证书及确认函扫描件。</w:t>
            </w:r>
            <w:r/>
          </w:p>
        </w:tc>
        <w:tc>
          <w:tcPr>
            <w:tcW w:w="854" w:type="dxa"/>
            <w:vAlign w:val="center"/>
            <w:textDirection w:val="lrTb"/>
            <w:noWrap w:val="false"/>
          </w:tcPr>
          <w:p>
            <w:pPr>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41个</w:t>
            </w:r>
            <w:r/>
          </w:p>
        </w:tc>
      </w:tr>
      <w:tr>
        <w:trPr>
          <w:jc w:val="center"/>
        </w:trPr>
        <w:tc>
          <w:tcPr>
            <w:tcW w:w="832" w:type="dxa"/>
            <w:vAlign w:val="center"/>
            <w:textDirection w:val="lrTb"/>
            <w:noWrap w:val="false"/>
          </w:tcPr>
          <w:p>
            <w:pPr>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8</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钟摆器</w:t>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 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 Φ</w:t>
            </w:r>
            <w:r>
              <w:rPr>
                <w:rFonts w:hint="eastAsia" w:ascii="宋体" w:hAnsi="宋体" w:cs="宋体"/>
                <w:sz w:val="24"/>
                <w:szCs w:val="24"/>
                <w:lang w:val="en-US" w:eastAsia="zh-CN"/>
              </w:rPr>
              <w:t xml:space="preserve">60</w:t>
            </w:r>
            <w:r>
              <w:rPr>
                <w:rFonts w:hint="eastAsia" w:ascii="宋体" w:hAnsi="宋体" w:eastAsia="宋体" w:cs="宋体"/>
                <w:sz w:val="24"/>
                <w:szCs w:val="24"/>
              </w:rPr>
              <w:t xml:space="preserve">×3mm；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、人体易接触区域，不应存在剪切、挤压、卡夹、缠绕结构，强制运动不应存在钩挂结构；器材不应存在向上的小于 60° 的 V 形开口；器材的开口结构，不应对头、颈造成卡夹；</w:t>
            </w:r>
            <w:r/>
          </w:p>
          <w:p>
            <w:pPr>
              <w:jc w:val="lef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、活动部件和固定部件不应存在刚性碰撞；</w:t>
            </w:r>
            <w:r/>
          </w:p>
          <w:p>
            <w:pPr>
              <w:jc w:val="lef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、钟摆摆动部件设置角度限位装置，摆动幅度可控，转轴部位防护严实，无夹手夹身缝隙，摆动回摆无卡顿、无脱轴风险；</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、符合 GB19272-2024《室外健身器材的安全通用要求》，并在投标文件中提供有效期内带有 CMA 或 CNAS 标识的检测报告扫描件；</w:t>
            </w:r>
            <w:r/>
          </w:p>
          <w:p>
            <w:pPr>
              <w:jc w:val="left"/>
              <w:widowControl w:val="off"/>
              <w:rPr>
                <w:rFonts w:hint="eastAsia" w:ascii="宋体" w:hAnsi="宋体" w:eastAsia="宋体" w:cs="宋体"/>
                <w:sz w:val="28"/>
                <w:szCs w:val="28"/>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、通过经国家批准的体育器材质量认证机构的产品质量认证，并在投标文件中提供有效期内的认证证书及确认函扫描件。</w:t>
            </w:r>
            <w:r/>
          </w:p>
        </w:tc>
        <w:tc>
          <w:tcPr>
            <w:tcW w:w="854" w:type="dxa"/>
            <w:vAlign w:val="center"/>
            <w:textDirection w:val="lrTb"/>
            <w:noWrap w:val="false"/>
          </w:tcPr>
          <w:p>
            <w:pPr>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40个</w:t>
            </w:r>
            <w:r/>
          </w:p>
        </w:tc>
      </w:tr>
      <w:tr>
        <w:trPr>
          <w:jc w:val="center"/>
        </w:trPr>
        <w:tc>
          <w:tcPr>
            <w:tcW w:w="832" w:type="dxa"/>
            <w:vAlign w:val="center"/>
            <w:textDirection w:val="lrTb"/>
            <w:noWrap w:val="false"/>
          </w:tcPr>
          <w:p>
            <w:pPr>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9</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三位扭腰器</w:t>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2、主要承载横梁钢管不小于φ32×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4、球形面紧固件突出高度＜6；覆盖件高于安装面部分应为类球形，覆盖件的直径与高度比值应＞3，且覆盖面直径≥50mm</w:t>
            </w:r>
            <w:r>
              <w:rPr>
                <w:rFonts w:hint="eastAsia" w:ascii="宋体" w:hAnsi="宋体" w:eastAsia="宋体" w:cs="宋体"/>
                <w:sz w:val="24"/>
                <w:szCs w:val="24"/>
                <w:lang w:eastAsia="zh-CN"/>
              </w:rPr>
              <w:t xml:space="preserve">；</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5、人体易接触区域，不应存在剪切、挤压、卡夹、缠绕结构,强制运动不应存在钩挂结构；器材不应存在向上的小于60°的V形开口；器材的开口结构，不应对头、颈造成卡夹；</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6、器材易接触区域的脚和腿卡夹结构-活动部件与活动部件或固定部件(含地面)的距离≥80mm；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7、脚踏面应具有防滑功能，表面摩擦系数≥0.5；脚踏面的单脚面积≥30000mm</w:t>
            </w:r>
            <w:r>
              <w:rPr>
                <w:rFonts w:hint="eastAsia" w:ascii="宋体" w:hAnsi="宋体" w:eastAsia="宋体" w:cs="宋体"/>
                <w:sz w:val="24"/>
                <w:szCs w:val="24"/>
                <w:lang w:val="en-US" w:eastAsia="zh-CN"/>
              </w:rPr>
              <w:t xml:space="preserve">²</w:t>
            </w:r>
            <w:r>
              <w:rPr>
                <w:rFonts w:hint="eastAsia" w:ascii="宋体" w:hAnsi="宋体" w:eastAsia="宋体" w:cs="宋体"/>
                <w:sz w:val="24"/>
                <w:szCs w:val="24"/>
              </w:rPr>
              <w:t xml:space="preserve">；脚踏面不应积水；</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8、由于转动惯性可能对使用者或第三者造成伤害的器材应采取限位装置减少伤害；</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9、扭腰盘单侧最大偏转角度≤180 °</w:t>
            </w:r>
            <w:r>
              <w:rPr>
                <w:rFonts w:hint="eastAsia" w:ascii="宋体" w:hAnsi="宋体" w:cs="宋体"/>
                <w:sz w:val="24"/>
                <w:szCs w:val="24"/>
                <w:lang w:eastAsia="zh-CN"/>
              </w:rPr>
              <w:t xml:space="preserve">，</w:t>
            </w:r>
            <w:r>
              <w:rPr>
                <w:rFonts w:hint="eastAsia" w:ascii="宋体" w:hAnsi="宋体" w:eastAsia="宋体" w:cs="宋体"/>
                <w:sz w:val="24"/>
                <w:szCs w:val="24"/>
              </w:rPr>
              <w:t xml:space="preserve">并标示初始位置；</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10、用于握持的部件截面形心任一方向的尺寸在 16mm~45mm之间；</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11</w:t>
            </w:r>
            <w:r>
              <w:rPr>
                <w:rFonts w:hint="eastAsia" w:ascii="宋体" w:hAnsi="宋体" w:eastAsia="宋体" w:cs="宋体"/>
                <w:sz w:val="24"/>
                <w:szCs w:val="24"/>
              </w:rPr>
              <w:t xml:space="preserve">、符合GB19272-2024《室外健身器材的安全通用要求》，并</w:t>
            </w:r>
            <w:r>
              <w:rPr>
                <w:rFonts w:hint="eastAsia" w:ascii="宋体" w:hAnsi="宋体" w:eastAsia="宋体" w:cs="宋体"/>
                <w:sz w:val="24"/>
                <w:szCs w:val="24"/>
                <w:lang w:val="en-US" w:eastAsia="zh-CN"/>
              </w:rPr>
              <w:t xml:space="preserve">在投标文件中</w:t>
            </w:r>
            <w:r>
              <w:rPr>
                <w:rFonts w:hint="eastAsia" w:ascii="宋体" w:hAnsi="宋体" w:eastAsia="宋体" w:cs="宋体"/>
                <w:sz w:val="24"/>
                <w:szCs w:val="24"/>
              </w:rPr>
              <w:t xml:space="preserve">提供有效期内带有CMA或CNAS标识的检测报告</w:t>
            </w:r>
            <w:r>
              <w:rPr>
                <w:rFonts w:hint="eastAsia" w:ascii="宋体" w:hAnsi="宋体" w:eastAsia="宋体" w:cs="宋体"/>
                <w:sz w:val="24"/>
                <w:szCs w:val="24"/>
                <w:lang w:val="en-US" w:eastAsia="zh-CN"/>
              </w:rPr>
              <w:t xml:space="preserve">扫描件；</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12</w:t>
            </w:r>
            <w:r>
              <w:rPr>
                <w:rFonts w:hint="eastAsia" w:ascii="宋体" w:hAnsi="宋体" w:eastAsia="宋体" w:cs="宋体"/>
                <w:sz w:val="24"/>
                <w:szCs w:val="24"/>
              </w:rPr>
              <w:t xml:space="preserve">、通过经国家批准的体育器材质量认证机构的产品质量认证，</w:t>
            </w:r>
            <w:r>
              <w:rPr>
                <w:rFonts w:hint="eastAsia" w:ascii="宋体" w:hAnsi="宋体" w:eastAsia="宋体" w:cs="宋体"/>
                <w:sz w:val="24"/>
                <w:szCs w:val="24"/>
                <w:lang w:val="en-US" w:eastAsia="zh-CN"/>
              </w:rPr>
              <w:t xml:space="preserve">并在投标文件中</w:t>
            </w:r>
            <w:r>
              <w:rPr>
                <w:rFonts w:hint="eastAsia" w:ascii="宋体" w:hAnsi="宋体" w:eastAsia="宋体" w:cs="宋体"/>
                <w:sz w:val="24"/>
                <w:szCs w:val="24"/>
              </w:rPr>
              <w:t xml:space="preserve">提供有效期内的认证证书及确认函</w:t>
            </w:r>
            <w:r>
              <w:rPr>
                <w:rFonts w:hint="eastAsia" w:ascii="宋体" w:hAnsi="宋体" w:eastAsia="宋体" w:cs="宋体"/>
                <w:sz w:val="24"/>
                <w:szCs w:val="24"/>
                <w:lang w:val="en-US" w:eastAsia="zh-CN"/>
              </w:rPr>
              <w:t xml:space="preserve">扫描件。</w:t>
            </w:r>
            <w:r/>
          </w:p>
        </w:tc>
        <w:tc>
          <w:tcPr>
            <w:tcW w:w="854" w:type="dxa"/>
            <w:vAlign w:val="center"/>
            <w:textDirection w:val="lrTb"/>
            <w:noWrap w:val="false"/>
          </w:tcPr>
          <w:p>
            <w:pPr>
              <w:jc w:val="center"/>
              <w:spacing w:line="240" w:lineRule="auto"/>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41个</w:t>
            </w:r>
            <w:r/>
          </w:p>
        </w:tc>
      </w:tr>
      <w:tr>
        <w:trPr>
          <w:jc w:val="center"/>
        </w:trPr>
        <w:tc>
          <w:tcPr>
            <w:tcW w:w="832" w:type="dxa"/>
            <w:vAlign w:val="center"/>
            <w:textDirection w:val="lrTb"/>
            <w:noWrap w:val="false"/>
          </w:tcPr>
          <w:p>
            <w:pPr>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10</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双杠</w:t>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2、主要承载横梁钢管不小于φ42×3mm；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★4、符合GB19272-2024《室外健身器材的安全通用要求》，并在投标文件中提供有效期内带有CMA或CNAS标识的检测报告扫描件；</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★5、通过经国家批准的体育器材质量认证机构的产品质量认证，并在投标文件中提供有效期内的认证证书及确认函扫描件。</w:t>
            </w:r>
            <w:r/>
          </w:p>
        </w:tc>
        <w:tc>
          <w:tcPr>
            <w:tcW w:w="854" w:type="dxa"/>
            <w:vAlign w:val="center"/>
            <w:textDirection w:val="lrTb"/>
            <w:noWrap w:val="false"/>
          </w:tcPr>
          <w:p>
            <w:pPr>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20个</w:t>
            </w:r>
            <w:r/>
          </w:p>
        </w:tc>
      </w:tr>
      <w:tr>
        <w:trPr>
          <w:jc w:val="center"/>
        </w:trPr>
        <w:tc>
          <w:tcPr>
            <w:tcW w:w="832" w:type="dxa"/>
            <w:vAlign w:val="center"/>
            <w:textDirection w:val="lrTb"/>
            <w:noWrap w:val="false"/>
          </w:tcPr>
          <w:p>
            <w:pPr>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11</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高低杠</w:t>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 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 Φ</w:t>
            </w:r>
            <w:r>
              <w:rPr>
                <w:rFonts w:hint="eastAsia" w:ascii="宋体" w:hAnsi="宋体" w:cs="宋体"/>
                <w:sz w:val="24"/>
                <w:szCs w:val="24"/>
                <w:lang w:val="en-US" w:eastAsia="zh-CN"/>
              </w:rPr>
              <w:t xml:space="preserve">28</w:t>
            </w:r>
            <w:r>
              <w:rPr>
                <w:rFonts w:hint="eastAsia" w:ascii="宋体" w:hAnsi="宋体" w:eastAsia="宋体" w:cs="宋体"/>
                <w:sz w:val="24"/>
                <w:szCs w:val="24"/>
              </w:rPr>
              <w:t xml:space="preserve">×3mm；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、人体易接触区域，不应存在剪切、挤压、卡夹、缠绕结构，强制运动不应存在钩挂结构；器材不应存在向上的小于 60° 的 V 形开口；器材的开口结构，不应对头、颈造成卡夹；</w:t>
            </w:r>
            <w:r/>
          </w:p>
          <w:p>
            <w:pPr>
              <w:jc w:val="lef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、杠体握持部位截面任一方向尺寸在 16mm~45mm 之间；杠体表面做防滑打磨防锈处理，无毛刺凸起；单根杠体不含主架连接件质量不大于 600g；</w:t>
            </w:r>
            <w:r/>
          </w:p>
          <w:p>
            <w:pPr>
              <w:jc w:val="lef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、活动部件和固定部件不应存在刚性碰撞；</w:t>
            </w:r>
            <w:r/>
          </w:p>
          <w:p>
            <w:pPr>
              <w:jc w:val="lef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、设置一高一低两根平行单杠，高低杠间距、高度符合室外健身使用规范，杠体与立柱焊接牢固无松动，杠体两端做圆弧封盖处理，防止勾挂衣物划伤人体；</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、符合 GB19272-2024《室外健身器材的安全通用要求》，并在投标文件中提供有效期内带有 CMA 或 CNAS 标识的检测报告扫描件；</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、通过经国家批准的体育器材质量认证机构的产品质量认证，并在投标文件中提供有效期内的认证证书及确认函扫描件。</w:t>
            </w:r>
            <w:r/>
          </w:p>
        </w:tc>
        <w:tc>
          <w:tcPr>
            <w:tcW w:w="854" w:type="dxa"/>
            <w:vAlign w:val="center"/>
            <w:textDirection w:val="lrTb"/>
            <w:noWrap w:val="false"/>
          </w:tcPr>
          <w:p>
            <w:pPr>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20个</w:t>
            </w:r>
            <w:r/>
          </w:p>
        </w:tc>
      </w:tr>
      <w:tr>
        <w:trPr>
          <w:jc w:val="center"/>
          <w:trHeight w:val="1253"/>
        </w:trPr>
        <w:tc>
          <w:tcPr>
            <w:tcW w:w="832" w:type="dxa"/>
            <w:vAlign w:val="center"/>
            <w:textDirection w:val="lrTb"/>
            <w:noWrap w:val="false"/>
          </w:tcPr>
          <w:p>
            <w:pPr>
              <w:jc w:val="center"/>
              <w:spacing w:line="240"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12</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天梯</w:t>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 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 Φ</w:t>
            </w:r>
            <w:r>
              <w:rPr>
                <w:rFonts w:hint="eastAsia" w:ascii="宋体" w:hAnsi="宋体" w:cs="宋体"/>
                <w:sz w:val="24"/>
                <w:szCs w:val="24"/>
                <w:lang w:val="en-US" w:eastAsia="zh-CN"/>
              </w:rPr>
              <w:t xml:space="preserve">32</w:t>
            </w:r>
            <w:r>
              <w:rPr>
                <w:rFonts w:hint="eastAsia" w:ascii="宋体" w:hAnsi="宋体" w:eastAsia="宋体" w:cs="宋体"/>
                <w:sz w:val="24"/>
                <w:szCs w:val="24"/>
              </w:rPr>
              <w:t xml:space="preserve">×3mm；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、人体易接触区域，不应存在剪切、挤压、卡夹、缠绕结构，强制运动不应存在钩挂结构；器材不应存在向上的小于 60° 的 V 形开口；器材的开口结构，不应对头、颈造成卡夹；</w:t>
            </w:r>
            <w:r/>
          </w:p>
          <w:p>
            <w:pPr>
              <w:jc w:val="lef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、活动部件和固定部件不应存在刚性碰撞；</w:t>
            </w:r>
            <w:r/>
          </w:p>
          <w:p>
            <w:pPr>
              <w:jc w:val="lef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、天梯整体主梁与立柱焊接牢固无虚焊、无变形，横杆排布间距合理，所有杆件端头全部圆弧封闭处理，无尖锐棱角，防止勾挂衣物、划伤磕碰；</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、符合 GB19272-2024《室外健身器材的安全通用要求》，并在投标文件中提供有效期内带有 CMA 或 CNAS 标识的检测报告扫描件；</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、通过经国家批准的体育器材质量认证机构的产品质量认证，并在投标文件中提供有效期内的认证证书及确认函扫描件。</w:t>
            </w:r>
            <w:r/>
          </w:p>
        </w:tc>
        <w:tc>
          <w:tcPr>
            <w:tcW w:w="854" w:type="dxa"/>
            <w:vAlign w:val="center"/>
            <w:textDirection w:val="lrTb"/>
            <w:noWrap w:val="false"/>
          </w:tcPr>
          <w:p>
            <w:pPr>
              <w:jc w:val="center"/>
              <w:spacing w:line="240"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41个</w:t>
            </w:r>
            <w:r/>
          </w:p>
        </w:tc>
      </w:tr>
      <w:tr>
        <w:trPr>
          <w:jc w:val="center"/>
          <w:trHeight w:val="1253"/>
        </w:trPr>
        <w:tc>
          <w:tcPr>
            <w:tcW w:w="832" w:type="dxa"/>
            <w:vAlign w:val="center"/>
            <w:textDirection w:val="lrTb"/>
            <w:noWrap w:val="false"/>
          </w:tcPr>
          <w:p>
            <w:pPr>
              <w:jc w:val="center"/>
              <w:spacing w:line="240"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13</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肋木架</w:t>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主要承载横梁尺寸不小于φ32×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4、人体易接触区域不应存在剪切、挤压、卡夹、缠绕结构,强制运动不应存在钩挂结构；</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5、器材不应存在向上的小于60°的V形开口；器材的开口结构，不应对头、颈造成卡夹；</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6、用于握持的部件截面形心任一方向的尺寸在16mm~45mm之间；</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、符合GB19272-2024《室外健身器材的安全通用要求》，并</w:t>
            </w:r>
            <w:r>
              <w:rPr>
                <w:rFonts w:hint="eastAsia" w:ascii="宋体" w:hAnsi="宋体" w:eastAsia="宋体" w:cs="宋体"/>
                <w:sz w:val="24"/>
                <w:szCs w:val="24"/>
                <w:lang w:val="en-US" w:eastAsia="zh-CN"/>
              </w:rPr>
              <w:t xml:space="preserve">在投标文件中</w:t>
            </w:r>
            <w:r>
              <w:rPr>
                <w:rFonts w:hint="eastAsia" w:ascii="宋体" w:hAnsi="宋体" w:eastAsia="宋体" w:cs="宋体"/>
                <w:sz w:val="24"/>
                <w:szCs w:val="24"/>
              </w:rPr>
              <w:t xml:space="preserve">提供有效期内带有CMA或CNAS标识的检测报告</w:t>
            </w:r>
            <w:r>
              <w:rPr>
                <w:rFonts w:hint="eastAsia" w:ascii="宋体" w:hAnsi="宋体" w:eastAsia="宋体" w:cs="宋体"/>
                <w:sz w:val="24"/>
                <w:szCs w:val="24"/>
                <w:lang w:val="en-US" w:eastAsia="zh-CN"/>
              </w:rPr>
              <w:t xml:space="preserve">扫描件；</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、通过经国家批准的体育器材质量认证机构的产品质量认证，</w:t>
            </w:r>
            <w:r>
              <w:rPr>
                <w:rFonts w:hint="eastAsia" w:ascii="宋体" w:hAnsi="宋体" w:eastAsia="宋体" w:cs="宋体"/>
                <w:sz w:val="24"/>
                <w:szCs w:val="24"/>
                <w:lang w:val="en-US" w:eastAsia="zh-CN"/>
              </w:rPr>
              <w:t xml:space="preserve">并在投标文件中</w:t>
            </w:r>
            <w:r>
              <w:rPr>
                <w:rFonts w:hint="eastAsia" w:ascii="宋体" w:hAnsi="宋体" w:eastAsia="宋体" w:cs="宋体"/>
                <w:sz w:val="24"/>
                <w:szCs w:val="24"/>
              </w:rPr>
              <w:t xml:space="preserve">提供有效期内的认证证书及确认函</w:t>
            </w:r>
            <w:r>
              <w:rPr>
                <w:rFonts w:hint="eastAsia" w:ascii="宋体" w:hAnsi="宋体" w:eastAsia="宋体" w:cs="宋体"/>
                <w:sz w:val="24"/>
                <w:szCs w:val="24"/>
                <w:lang w:val="en-US" w:eastAsia="zh-CN"/>
              </w:rPr>
              <w:t xml:space="preserve">扫描件。</w:t>
            </w:r>
            <w:r/>
          </w:p>
        </w:tc>
        <w:tc>
          <w:tcPr>
            <w:tcW w:w="854" w:type="dxa"/>
            <w:vAlign w:val="center"/>
            <w:textDirection w:val="lrTb"/>
            <w:noWrap w:val="false"/>
          </w:tcPr>
          <w:p>
            <w:pPr>
              <w:jc w:val="center"/>
              <w:spacing w:line="240"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40</w:t>
            </w:r>
            <w:r/>
          </w:p>
        </w:tc>
      </w:tr>
      <w:tr>
        <w:trPr>
          <w:jc w:val="center"/>
        </w:trPr>
        <w:tc>
          <w:tcPr>
            <w:tcW w:w="832" w:type="dxa"/>
            <w:vAlign w:val="center"/>
            <w:textDirection w:val="lrTb"/>
            <w:noWrap w:val="false"/>
          </w:tcPr>
          <w:p>
            <w:pPr>
              <w:jc w:val="center"/>
              <w:spacing w:line="240"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14</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仰卧板</w:t>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 Φ114mm×3.0mm；</w:t>
            </w:r>
            <w:r/>
          </w:p>
          <w:p>
            <w:pPr>
              <w:jc w:val="left"/>
              <w:widowControl w:val="off"/>
              <w:rPr>
                <w:rFonts w:hint="eastAsia" w:ascii="宋体" w:hAnsi="宋体" w:eastAsia="宋体" w:cs="宋体"/>
                <w:sz w:val="24"/>
                <w:szCs w:val="24"/>
                <w:highlight w:val="red"/>
              </w:rPr>
            </w:pPr>
            <w:r>
              <w:rPr>
                <w:rFonts w:hint="eastAsia" w:ascii="宋体" w:hAnsi="宋体" w:eastAsia="宋体" w:cs="宋体"/>
                <w:sz w:val="24"/>
                <w:szCs w:val="24"/>
              </w:rPr>
              <w:t xml:space="preserve">2、主要承载横梁钢管不小于 Φ</w:t>
            </w:r>
            <w:r>
              <w:rPr>
                <w:rFonts w:hint="eastAsia" w:ascii="宋体" w:hAnsi="宋体" w:cs="宋体"/>
                <w:sz w:val="24"/>
                <w:szCs w:val="24"/>
                <w:lang w:val="en-US" w:eastAsia="zh-CN"/>
              </w:rPr>
              <w:t xml:space="preserve">38</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2.</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、人体易接触区域，不应存在剪切、挤压、卡夹、缠绕结构，强制运动不应存在钩挂结构；器材不应存在向上的小于 60° 的 V 形开口；器材的开口结构，不应对头、颈造成卡夹；</w:t>
            </w:r>
            <w:r/>
          </w:p>
          <w:p>
            <w:pPr>
              <w:jc w:val="lef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、活动部件和固定部件不应存在刚性碰撞；</w:t>
            </w:r>
            <w:r/>
          </w:p>
          <w:p>
            <w:pPr>
              <w:jc w:val="lef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、板面采用防滑耐磨板材，边角全部圆弧钝化处理，脚部挡杆结构牢固防滑脱，整体框架焊接密实无松动，无易夹伤缝隙；</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、符合 GB19272-2024《室外健身器材的安全通用要求》，并在投标文件中提供有效期内带有 CMA 或 CNAS 标识的检测报告扫描件；</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、通过经国家批准的体育器材质量认证机构的产品质量认证，并在投标文件中提供有效期内的认证证书及确认函扫描件。</w:t>
            </w:r>
            <w:r/>
          </w:p>
        </w:tc>
        <w:tc>
          <w:tcPr>
            <w:tcW w:w="854" w:type="dxa"/>
            <w:vAlign w:val="center"/>
            <w:textDirection w:val="lrTb"/>
            <w:noWrap w:val="false"/>
          </w:tcPr>
          <w:p>
            <w:pPr>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81个</w:t>
            </w:r>
            <w:r/>
          </w:p>
        </w:tc>
      </w:tr>
      <w:tr>
        <w:trPr>
          <w:jc w:val="center"/>
        </w:trPr>
        <w:tc>
          <w:tcPr>
            <w:tcW w:w="832" w:type="dxa"/>
            <w:vAlign w:val="center"/>
            <w:textDirection w:val="lrTb"/>
            <w:noWrap w:val="false"/>
          </w:tcPr>
          <w:p>
            <w:pPr>
              <w:jc w:val="center"/>
              <w:spacing w:line="240" w:lineRule="auto"/>
              <w:rPr>
                <w:rFonts w:hint="eastAsia" w:ascii="仿宋" w:hAnsi="仿宋" w:eastAsia="仿宋" w:cs="仿宋"/>
                <w:sz w:val="28"/>
                <w:szCs w:val="28"/>
              </w:rPr>
            </w:pPr>
            <w:r>
              <w:rPr>
                <w:rFonts w:hint="eastAsia" w:ascii="仿宋" w:hAnsi="仿宋" w:eastAsia="仿宋" w:cs="仿宋"/>
                <w:sz w:val="28"/>
                <w:szCs w:val="28"/>
              </w:rPr>
            </w:r>
            <w:r/>
          </w:p>
          <w:p>
            <w:pPr>
              <w:jc w:val="center"/>
              <w:spacing w:line="240" w:lineRule="auto"/>
              <w:rPr>
                <w:rFonts w:hint="eastAsia" w:ascii="仿宋" w:hAnsi="仿宋" w:eastAsia="仿宋" w:cs="仿宋"/>
                <w:sz w:val="28"/>
                <w:szCs w:val="28"/>
              </w:rPr>
            </w:pPr>
            <w:r>
              <w:rPr>
                <w:rFonts w:hint="eastAsia" w:ascii="仿宋" w:hAnsi="仿宋" w:eastAsia="仿宋" w:cs="仿宋"/>
                <w:sz w:val="28"/>
                <w:szCs w:val="28"/>
              </w:rPr>
            </w:r>
            <w:r/>
          </w:p>
          <w:p>
            <w:pPr>
              <w:jc w:val="center"/>
              <w:spacing w:line="240"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15</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双位坐蹬器</w:t>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2、主要承载横梁钢管不小于φ</w:t>
            </w:r>
            <w:r>
              <w:rPr>
                <w:rFonts w:hint="eastAsia" w:ascii="宋体" w:hAnsi="宋体" w:eastAsia="宋体" w:cs="宋体"/>
                <w:sz w:val="24"/>
                <w:szCs w:val="24"/>
                <w:lang w:val="en-US" w:eastAsia="zh-CN"/>
              </w:rPr>
              <w:t xml:space="preserve">89</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4、嵌入式紧固件(含突出物)，应被永久覆盖；</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5、人体易接触区域，不应存在剪切、挤压、卡夹、缠绕结构,强制运动不应存在钩挂结构；器材不应存在向上的小于60°的V形开口；</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6、器材可能危及身体的剪切、挤压风险,活动部件与活动部件或固定部件含地面)的距离≥400mm；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7、脚踏面应具有防滑功能，脚踏面不应积水；</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8、活动部件和固定部件不应存在刚性碰撞；</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、符合GB19272-2024《室外健身器材的安全通用要求》，并</w:t>
            </w:r>
            <w:r>
              <w:rPr>
                <w:rFonts w:hint="eastAsia" w:ascii="宋体" w:hAnsi="宋体" w:eastAsia="宋体" w:cs="宋体"/>
                <w:sz w:val="24"/>
                <w:szCs w:val="24"/>
                <w:lang w:val="en-US" w:eastAsia="zh-CN"/>
              </w:rPr>
              <w:t xml:space="preserve">在投标文件中</w:t>
            </w:r>
            <w:r>
              <w:rPr>
                <w:rFonts w:hint="eastAsia" w:ascii="宋体" w:hAnsi="宋体" w:eastAsia="宋体" w:cs="宋体"/>
                <w:sz w:val="24"/>
                <w:szCs w:val="24"/>
              </w:rPr>
              <w:t xml:space="preserve">提供有效期内带有CMA或CNAS标识的检测报告</w:t>
            </w:r>
            <w:r>
              <w:rPr>
                <w:rFonts w:hint="eastAsia" w:ascii="宋体" w:hAnsi="宋体" w:eastAsia="宋体" w:cs="宋体"/>
                <w:sz w:val="24"/>
                <w:szCs w:val="24"/>
                <w:lang w:val="en-US" w:eastAsia="zh-CN"/>
              </w:rPr>
              <w:t xml:space="preserve">扫描件；</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、通过经国家批准的体育器材质量认证机构的产品质量认证，</w:t>
            </w:r>
            <w:r>
              <w:rPr>
                <w:rFonts w:hint="eastAsia" w:ascii="宋体" w:hAnsi="宋体" w:eastAsia="宋体" w:cs="宋体"/>
                <w:sz w:val="24"/>
                <w:szCs w:val="24"/>
                <w:lang w:val="en-US" w:eastAsia="zh-CN"/>
              </w:rPr>
              <w:t xml:space="preserve">并在投标文件中</w:t>
            </w:r>
            <w:r>
              <w:rPr>
                <w:rFonts w:hint="eastAsia" w:ascii="宋体" w:hAnsi="宋体" w:eastAsia="宋体" w:cs="宋体"/>
                <w:sz w:val="24"/>
                <w:szCs w:val="24"/>
              </w:rPr>
              <w:t xml:space="preserve">提供有效期内的认证证书及确认函</w:t>
            </w:r>
            <w:r>
              <w:rPr>
                <w:rFonts w:hint="eastAsia" w:ascii="宋体" w:hAnsi="宋体" w:eastAsia="宋体" w:cs="宋体"/>
                <w:sz w:val="24"/>
                <w:szCs w:val="24"/>
                <w:lang w:val="en-US" w:eastAsia="zh-CN"/>
              </w:rPr>
              <w:t xml:space="preserve">扫描件。</w:t>
            </w:r>
            <w:r/>
          </w:p>
        </w:tc>
        <w:tc>
          <w:tcPr>
            <w:tcW w:w="854" w:type="dxa"/>
            <w:vAlign w:val="center"/>
            <w:textDirection w:val="lrTb"/>
            <w:noWrap w:val="false"/>
          </w:tcPr>
          <w:p>
            <w:pPr>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40个</w:t>
            </w:r>
            <w:r/>
          </w:p>
        </w:tc>
      </w:tr>
      <w:tr>
        <w:trPr>
          <w:jc w:val="center"/>
          <w:trHeight w:val="933"/>
        </w:trPr>
        <w:tc>
          <w:tcPr>
            <w:tcW w:w="832" w:type="dxa"/>
            <w:vAlign w:val="center"/>
            <w:textDirection w:val="lrTb"/>
            <w:noWrap w:val="false"/>
          </w:tcPr>
          <w:p>
            <w:pPr>
              <w:jc w:val="center"/>
              <w:spacing w:line="240"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16</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篮球架</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地埋</w:t>
            </w:r>
            <w:r>
              <w:rPr>
                <w:rFonts w:hint="eastAsia" w:ascii="宋体" w:hAnsi="宋体" w:eastAsia="宋体" w:cs="宋体"/>
                <w:sz w:val="28"/>
                <w:szCs w:val="28"/>
                <w:highlight w:val="none"/>
                <w:lang w:eastAsia="zh-CN"/>
              </w:rPr>
              <w:t xml:space="preserve">）</w:t>
            </w:r>
            <w:r/>
          </w:p>
          <w:p>
            <w:pPr>
              <w:jc w:val="center"/>
              <w:spacing w:line="24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r>
            <w:r/>
          </w:p>
        </w:tc>
        <w:tc>
          <w:tcPr>
            <w:tcW w:w="6828" w:type="dxa"/>
            <w:textDirection w:val="lrTb"/>
            <w:noWrap w:val="false"/>
          </w:tcPr>
          <w:p>
            <w:pPr>
              <w:jc w:val="lef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w:t>
            </w:r>
            <w:r>
              <w:rPr>
                <w:rFonts w:hint="eastAsia" w:ascii="宋体" w:hAnsi="宋体" w:eastAsia="宋体" w:cs="宋体"/>
                <w:i w:val="0"/>
                <w:iCs w:val="0"/>
                <w:color w:val="000000"/>
                <w:sz w:val="24"/>
                <w:szCs w:val="24"/>
                <w:u w:val="none"/>
                <w:lang w:val="en-US" w:eastAsia="zh-CN" w:bidi="ar"/>
              </w:rPr>
              <w:t xml:space="preserve">篮球架立柱钢管</w:t>
            </w:r>
            <w:r>
              <w:rPr>
                <w:rFonts w:hint="eastAsia" w:ascii="宋体" w:hAnsi="宋体" w:cs="宋体"/>
                <w:i w:val="0"/>
                <w:iCs w:val="0"/>
                <w:color w:val="000000"/>
                <w:sz w:val="24"/>
                <w:szCs w:val="24"/>
                <w:u w:val="none"/>
                <w:lang w:val="en-US" w:eastAsia="zh-CN" w:bidi="ar"/>
              </w:rPr>
              <w:t xml:space="preserve">不小于</w:t>
            </w:r>
            <w:r>
              <w:rPr>
                <w:rFonts w:hint="eastAsia" w:ascii="宋体" w:hAnsi="宋体" w:eastAsia="宋体" w:cs="宋体"/>
                <w:i w:val="0"/>
                <w:iCs w:val="0"/>
                <w:color w:val="000000"/>
                <w:sz w:val="24"/>
                <w:szCs w:val="24"/>
                <w:u w:val="none"/>
                <w:lang w:val="en-US" w:eastAsia="zh-CN" w:bidi="ar"/>
              </w:rPr>
              <w:t xml:space="preserve">150×150×4.0mm，且满足GB19272-2024标准中相关静载荷.稳定性试验要求；</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i w:val="0"/>
                <w:iCs w:val="0"/>
                <w:color w:val="000000"/>
                <w:sz w:val="24"/>
                <w:szCs w:val="24"/>
                <w:u w:val="none"/>
                <w:lang w:val="en-US" w:eastAsia="zh-CN" w:bidi="ar"/>
              </w:rPr>
              <w:t xml:space="preserve">主要承载横梁材料为钢管，尺寸</w:t>
            </w:r>
            <w:r>
              <w:rPr>
                <w:rFonts w:hint="eastAsia" w:ascii="宋体" w:hAnsi="宋体" w:cs="宋体"/>
                <w:i w:val="0"/>
                <w:iCs w:val="0"/>
                <w:color w:val="000000"/>
                <w:sz w:val="24"/>
                <w:szCs w:val="24"/>
                <w:u w:val="none"/>
                <w:lang w:val="en-US" w:eastAsia="zh-CN" w:bidi="ar"/>
              </w:rPr>
              <w:t xml:space="preserve">不小于</w:t>
            </w:r>
            <w:r>
              <w:rPr>
                <w:rFonts w:hint="eastAsia" w:ascii="宋体" w:hAnsi="宋体" w:eastAsia="宋体" w:cs="宋体"/>
                <w:i w:val="0"/>
                <w:iCs w:val="0"/>
                <w:color w:val="000000"/>
                <w:sz w:val="24"/>
                <w:szCs w:val="24"/>
                <w:u w:val="none"/>
                <w:lang w:val="en-US" w:eastAsia="zh-CN" w:bidi="ar"/>
              </w:rPr>
              <w:t xml:space="preserve">150×100×4.0mm；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3、安装方式：直埋地埋式，预埋基础预埋件规格不低于・600mm×600mm×800mm・；</w:t>
            </w:r>
            <w:r/>
          </w:p>
          <w:p>
            <w:pPr>
              <w:jc w:val="lef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4</w:t>
            </w:r>
            <w:r>
              <w:rPr>
                <w:rFonts w:hint="eastAsia" w:ascii="宋体" w:hAnsi="宋体" w:eastAsia="宋体" w:cs="宋体"/>
                <w:i w:val="0"/>
                <w:iCs w:val="0"/>
                <w:color w:val="000000"/>
                <w:sz w:val="24"/>
                <w:szCs w:val="24"/>
                <w:u w:val="none"/>
                <w:lang w:val="en-US" w:eastAsia="zh-CN" w:bidi="ar"/>
              </w:rPr>
              <w:t xml:space="preserve">、篮板选用GB19272-2024中规定的1800mm×1050mm的矩形SMC篮板，篮板面板厚度5mm，翻边宽度50mm，翻边厚度7.8mm，背面用加强筋，加强筋厚度不小于5mm；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i w:val="0"/>
                <w:iCs w:val="0"/>
                <w:color w:val="000000"/>
                <w:sz w:val="24"/>
                <w:szCs w:val="24"/>
                <w:u w:val="none"/>
                <w:lang w:val="en-US" w:eastAsia="zh-CN" w:bidi="ar"/>
              </w:rPr>
              <w:t xml:space="preserve">篮圈：弹性篮圈，采用实心钢材制成，篮圈圈条直径16-20 mm，篮圈内径450-459mm；篮圈下沿有12个均匀分布篮网装置，装置无锐边.毛刺，且装置8mm的间隙；篮圈在去除压力后可自动返回原位置；</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i w:val="0"/>
                <w:iCs w:val="0"/>
                <w:color w:val="000000"/>
                <w:sz w:val="24"/>
                <w:szCs w:val="24"/>
                <w:u w:val="none"/>
                <w:lang w:val="en-US" w:eastAsia="zh-CN" w:bidi="ar"/>
              </w:rPr>
              <w:t xml:space="preserve">安装技术参数：篮圈上沿距地面高度3050mm，悬臂长度1825mm</w:t>
            </w:r>
            <w:r>
              <w:rPr>
                <w:rFonts w:hint="eastAsia" w:ascii="宋体" w:hAnsi="宋体" w:cs="宋体"/>
                <w:i w:val="0"/>
                <w:iCs w:val="0"/>
                <w:color w:val="000000"/>
                <w:sz w:val="24"/>
                <w:szCs w:val="24"/>
                <w:u w:val="none"/>
                <w:lang w:val="en-US" w:eastAsia="zh-CN" w:bidi="ar"/>
              </w:rPr>
              <w:t xml:space="preserve">；</w:t>
            </w:r>
            <w:r/>
          </w:p>
          <w:p>
            <w:pPr>
              <w:jc w:val="left"/>
              <w:widowControl w:val="off"/>
              <w:rPr>
                <w:rFonts w:hint="eastAsia" w:ascii="宋体" w:hAnsi="宋体" w:eastAsia="宋体" w:cs="宋体"/>
                <w:sz w:val="24"/>
                <w:szCs w:val="24"/>
              </w:rPr>
              <w:outlineLvl w:val="0"/>
            </w:pPr>
            <w:r>
              <w:rPr>
                <w:rFonts w:hint="eastAsia" w:ascii="宋体" w:hAnsi="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t xml:space="preserve">、所有金属件焊后抛丸，静电喷涂，要求喷涂表面均匀全覆盖，结合牢固，不起皮脱落、漏涂、锈蚀、裂痕以及较明显的流痕、花斑、结点等缺陷，涂层厚度70µm；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、符合・GB19272-2024《室外健身器材的安全通用要求》，并在投标文件中提供有效期内带有・CMA・或・CNAS・标识的检测报告扫描件；</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、通过经国家批准的体育器材质量认证机构的产品质量认证，并在投标文件中提供有效期内的认证证书及确认函扫描件。</w:t>
            </w:r>
            <w:r/>
          </w:p>
        </w:tc>
        <w:tc>
          <w:tcPr>
            <w:tcW w:w="854" w:type="dxa"/>
            <w:vAlign w:val="center"/>
            <w:textDirection w:val="lrTb"/>
            <w:noWrap w:val="false"/>
          </w:tcPr>
          <w:p>
            <w:pPr>
              <w:jc w:val="center"/>
              <w:spacing w:line="240"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6副</w:t>
            </w:r>
            <w:r/>
          </w:p>
        </w:tc>
      </w:tr>
      <w:tr>
        <w:trPr>
          <w:jc w:val="center"/>
          <w:trHeight w:val="933"/>
        </w:trPr>
        <w:tc>
          <w:tcPr>
            <w:tcW w:w="832" w:type="dxa"/>
            <w:vAlign w:val="center"/>
            <w:textDirection w:val="lrTb"/>
            <w:noWrap w:val="false"/>
          </w:tcPr>
          <w:p>
            <w:pPr>
              <w:jc w:val="center"/>
              <w:spacing w:line="240"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17</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篮球架（厢体）</w:t>
            </w:r>
            <w:r/>
          </w:p>
        </w:tc>
        <w:tc>
          <w:tcPr>
            <w:tcW w:w="6828" w:type="dxa"/>
            <w:textDirection w:val="lrTb"/>
            <w:noWrap w:val="false"/>
          </w:tcPr>
          <w:p>
            <w:pPr>
              <w:jc w:val="left"/>
              <w:widowControl w:val="off"/>
              <w:rPr>
                <w:rFonts w:hint="eastAsia" w:ascii="宋体" w:hAnsi="宋体" w:eastAsia="宋体" w:cs="宋体"/>
                <w:i w:val="0"/>
                <w:iCs w:val="0"/>
                <w:color w:val="000000"/>
                <w:sz w:val="24"/>
                <w:szCs w:val="24"/>
                <w:highlight w:val="none"/>
                <w:u w:val="none"/>
                <w:lang w:val="en-US" w:eastAsia="zh-CN" w:bidi="ar"/>
              </w:rPr>
              <w:outlineLvl w:val="0"/>
            </w:pPr>
            <w:r>
              <w:rPr>
                <w:rFonts w:hint="eastAsia" w:ascii="宋体" w:hAnsi="宋体" w:eastAsia="宋体" w:cs="宋体"/>
                <w:i w:val="0"/>
                <w:iCs w:val="0"/>
                <w:color w:val="000000"/>
                <w:sz w:val="24"/>
                <w:szCs w:val="24"/>
                <w:u w:val="none"/>
                <w:lang w:val="en-US" w:eastAsia="zh-CN" w:bidi="ar"/>
              </w:rPr>
              <w:t xml:space="preserve">1、篮板选用GB19272-2024中规定的1800mm×1050mm的矩形SM</w:t>
            </w:r>
            <w:r>
              <w:rPr>
                <w:rFonts w:hint="eastAsia" w:ascii="宋体" w:hAnsi="宋体" w:eastAsia="宋体" w:cs="宋体"/>
                <w:i w:val="0"/>
                <w:iCs w:val="0"/>
                <w:color w:val="000000"/>
                <w:sz w:val="24"/>
                <w:szCs w:val="24"/>
                <w:highlight w:val="none"/>
                <w:u w:val="none"/>
                <w:lang w:val="en-US" w:eastAsia="zh-CN" w:bidi="ar"/>
              </w:rPr>
              <w:t xml:space="preserve">C篮板，篮板面板厚度5mm，翻边宽度50mm，翻边厚度7.8mm，背面用加强筋，加强筋厚度不小于5mm；</w:t>
            </w:r>
            <w:r/>
          </w:p>
          <w:p>
            <w:pPr>
              <w:jc w:val="left"/>
              <w:widowControl w:val="off"/>
              <w:rPr>
                <w:rFonts w:hint="eastAsia" w:ascii="宋体" w:hAnsi="宋体" w:eastAsia="宋体" w:cs="宋体"/>
                <w:i w:val="0"/>
                <w:iCs w:val="0"/>
                <w:color w:val="000000"/>
                <w:sz w:val="24"/>
                <w:szCs w:val="24"/>
                <w:highlight w:val="none"/>
                <w:u w:val="none"/>
                <w:lang w:val="en-US" w:eastAsia="zh-CN" w:bidi="ar"/>
              </w:rPr>
              <w:outlineLvl w:val="0"/>
            </w:pPr>
            <w:r>
              <w:rPr>
                <w:rFonts w:hint="eastAsia" w:ascii="宋体" w:hAnsi="宋体" w:eastAsia="宋体" w:cs="宋体"/>
                <w:i w:val="0"/>
                <w:iCs w:val="0"/>
                <w:color w:val="000000"/>
                <w:sz w:val="24"/>
                <w:szCs w:val="24"/>
                <w:highlight w:val="none"/>
                <w:u w:val="none"/>
                <w:lang w:val="en-US" w:eastAsia="zh-CN" w:bidi="ar"/>
              </w:rPr>
              <w:t xml:space="preserve">2、篮板的质量满足GB19272-2024的要求；矩形篮板背部连接有5点的连接安装位置，且安装位置尺寸符合GB19272-2024中的要求；</w:t>
            </w:r>
            <w:r/>
          </w:p>
          <w:p>
            <w:pPr>
              <w:jc w:val="left"/>
              <w:widowControl w:val="off"/>
              <w:rPr>
                <w:rFonts w:hint="eastAsia" w:ascii="宋体" w:hAnsi="宋体" w:eastAsia="宋体" w:cs="宋体"/>
                <w:i w:val="0"/>
                <w:iCs w:val="0"/>
                <w:color w:val="000000"/>
                <w:sz w:val="24"/>
                <w:szCs w:val="24"/>
                <w:highlight w:val="none"/>
                <w:u w:val="none"/>
                <w:lang w:val="en-US" w:eastAsia="zh-CN" w:bidi="ar"/>
              </w:rPr>
              <w:outlineLvl w:val="0"/>
            </w:pPr>
            <w:r>
              <w:rPr>
                <w:rFonts w:hint="eastAsia" w:ascii="宋体" w:hAnsi="宋体" w:eastAsia="宋体" w:cs="宋体"/>
                <w:i w:val="0"/>
                <w:iCs w:val="0"/>
                <w:color w:val="000000"/>
                <w:sz w:val="24"/>
                <w:szCs w:val="24"/>
                <w:highlight w:val="none"/>
                <w:u w:val="none"/>
                <w:lang w:val="en-US" w:eastAsia="zh-CN" w:bidi="ar"/>
              </w:rPr>
              <w:t xml:space="preserve">3、篮球架立柱钢管</w:t>
            </w:r>
            <w:r>
              <w:rPr>
                <w:rFonts w:hint="eastAsia" w:ascii="宋体" w:hAnsi="宋体" w:cs="宋体"/>
                <w:i w:val="0"/>
                <w:iCs w:val="0"/>
                <w:color w:val="000000"/>
                <w:sz w:val="24"/>
                <w:szCs w:val="24"/>
                <w:highlight w:val="none"/>
                <w:u w:val="none"/>
                <w:lang w:val="en-US" w:eastAsia="zh-CN" w:bidi="ar"/>
              </w:rPr>
              <w:t xml:space="preserve">不小于</w:t>
            </w:r>
            <w:r>
              <w:rPr>
                <w:rFonts w:hint="eastAsia" w:ascii="宋体" w:hAnsi="宋体" w:eastAsia="宋体" w:cs="宋体"/>
                <w:i w:val="0"/>
                <w:iCs w:val="0"/>
                <w:color w:val="000000"/>
                <w:sz w:val="24"/>
                <w:szCs w:val="24"/>
                <w:highlight w:val="none"/>
                <w:u w:val="none"/>
                <w:lang w:val="en-US" w:eastAsia="zh-CN" w:bidi="ar"/>
              </w:rPr>
              <w:t xml:space="preserve">150×150×4.0mm，且满足GB19272-2024标准中相关静载荷.稳定性试验要求；</w:t>
            </w:r>
            <w:r/>
          </w:p>
          <w:p>
            <w:pPr>
              <w:jc w:val="left"/>
              <w:widowControl w:val="off"/>
              <w:rPr>
                <w:rFonts w:hint="eastAsia" w:ascii="宋体" w:hAnsi="宋体" w:eastAsia="宋体" w:cs="宋体"/>
                <w:i w:val="0"/>
                <w:iCs w:val="0"/>
                <w:color w:val="000000"/>
                <w:sz w:val="24"/>
                <w:szCs w:val="24"/>
                <w:highlight w:val="none"/>
                <w:u w:val="none"/>
                <w:lang w:val="en-US" w:eastAsia="zh-CN" w:bidi="ar"/>
              </w:rPr>
              <w:outlineLvl w:val="0"/>
            </w:pPr>
            <w:r>
              <w:rPr>
                <w:rFonts w:hint="eastAsia" w:ascii="宋体" w:hAnsi="宋体" w:eastAsia="宋体" w:cs="宋体"/>
                <w:i w:val="0"/>
                <w:iCs w:val="0"/>
                <w:color w:val="000000"/>
                <w:sz w:val="24"/>
                <w:szCs w:val="24"/>
                <w:highlight w:val="none"/>
                <w:u w:val="none"/>
                <w:lang w:val="en-US" w:eastAsia="zh-CN" w:bidi="ar"/>
              </w:rPr>
              <w:t xml:space="preserve">4、主要承载横梁材料为钢管，尺寸</w:t>
            </w:r>
            <w:r>
              <w:rPr>
                <w:rFonts w:hint="eastAsia" w:ascii="宋体" w:hAnsi="宋体" w:cs="宋体"/>
                <w:i w:val="0"/>
                <w:iCs w:val="0"/>
                <w:color w:val="000000"/>
                <w:sz w:val="24"/>
                <w:szCs w:val="24"/>
                <w:highlight w:val="none"/>
                <w:u w:val="none"/>
                <w:lang w:val="en-US" w:eastAsia="zh-CN" w:bidi="ar"/>
              </w:rPr>
              <w:t xml:space="preserve">不小于</w:t>
            </w:r>
            <w:r>
              <w:rPr>
                <w:rFonts w:hint="eastAsia" w:ascii="宋体" w:hAnsi="宋体" w:eastAsia="宋体" w:cs="宋体"/>
                <w:i w:val="0"/>
                <w:iCs w:val="0"/>
                <w:color w:val="000000"/>
                <w:sz w:val="24"/>
                <w:szCs w:val="24"/>
                <w:highlight w:val="none"/>
                <w:u w:val="none"/>
                <w:lang w:val="en-US" w:eastAsia="zh-CN" w:bidi="ar"/>
              </w:rPr>
              <w:t xml:space="preserve">150×100×4.0mm；</w:t>
            </w:r>
            <w:r/>
          </w:p>
          <w:p>
            <w:pPr>
              <w:jc w:val="left"/>
              <w:widowControl w:val="off"/>
              <w:rPr>
                <w:rFonts w:hint="eastAsia" w:ascii="宋体" w:hAnsi="宋体" w:eastAsia="宋体" w:cs="宋体"/>
                <w:i w:val="0"/>
                <w:iCs w:val="0"/>
                <w:color w:val="000000"/>
                <w:sz w:val="24"/>
                <w:szCs w:val="24"/>
                <w:highlight w:val="none"/>
                <w:u w:val="none"/>
                <w:lang w:val="en-US" w:eastAsia="zh-CN" w:bidi="ar"/>
              </w:rPr>
              <w:outlineLvl w:val="0"/>
            </w:pPr>
            <w:r>
              <w:rPr>
                <w:rFonts w:hint="eastAsia" w:ascii="宋体" w:hAnsi="宋体" w:eastAsia="宋体" w:cs="宋体"/>
                <w:i w:val="0"/>
                <w:iCs w:val="0"/>
                <w:color w:val="000000"/>
                <w:sz w:val="24"/>
                <w:szCs w:val="24"/>
                <w:highlight w:val="none"/>
                <w:u w:val="none"/>
                <w:lang w:val="en-US" w:eastAsia="zh-CN" w:bidi="ar"/>
              </w:rPr>
              <w:t xml:space="preserve">5、篮圈：弹性篮圈，采用实心钢材制成，篮圈圈条直径16-20 mm，篮圈内径450-459mm；篮圈下沿有12个均匀分布篮网装置，装置无锐边.毛刺，且装置8mm的间隙；篮圈在去除压力后可自动返回原位置；</w:t>
            </w:r>
            <w:r/>
          </w:p>
          <w:p>
            <w:pPr>
              <w:jc w:val="left"/>
              <w:widowControl w:val="off"/>
              <w:rPr>
                <w:rFonts w:hint="eastAsia" w:ascii="宋体" w:hAnsi="宋体" w:eastAsia="宋体" w:cs="宋体"/>
                <w:i w:val="0"/>
                <w:iCs w:val="0"/>
                <w:color w:val="000000"/>
                <w:sz w:val="24"/>
                <w:szCs w:val="24"/>
                <w:highlight w:val="none"/>
                <w:u w:val="none"/>
                <w:lang w:val="en-US" w:eastAsia="zh-CN" w:bidi="ar"/>
              </w:rPr>
              <w:outlineLvl w:val="0"/>
            </w:pPr>
            <w:r>
              <w:rPr>
                <w:rFonts w:hint="eastAsia" w:ascii="宋体" w:hAnsi="宋体" w:eastAsia="宋体" w:cs="宋体"/>
                <w:i w:val="0"/>
                <w:iCs w:val="0"/>
                <w:color w:val="000000"/>
                <w:sz w:val="24"/>
                <w:szCs w:val="24"/>
                <w:highlight w:val="none"/>
                <w:u w:val="none"/>
                <w:lang w:val="en-US" w:eastAsia="zh-CN" w:bidi="ar"/>
              </w:rPr>
              <w:t xml:space="preserve">6、篮板支撑：篮架上.下拉杆采用Φ50×2.0mm优质钢管冲压折弯成型。通过调节上下拉杆可调节篮板的平面度和垂直度；</w:t>
            </w:r>
            <w:r/>
          </w:p>
          <w:p>
            <w:pPr>
              <w:jc w:val="left"/>
              <w:widowControl w:val="off"/>
              <w:rPr>
                <w:rFonts w:hint="eastAsia" w:ascii="宋体" w:hAnsi="宋体" w:eastAsia="宋体" w:cs="宋体"/>
                <w:i w:val="0"/>
                <w:iCs w:val="0"/>
                <w:color w:val="000000"/>
                <w:sz w:val="24"/>
                <w:szCs w:val="24"/>
                <w:highlight w:val="none"/>
                <w:u w:val="none"/>
                <w:lang w:val="en-US" w:eastAsia="zh-CN" w:bidi="ar"/>
              </w:rPr>
              <w:outlineLvl w:val="0"/>
            </w:pPr>
            <w:r>
              <w:rPr>
                <w:rFonts w:hint="eastAsia" w:ascii="宋体" w:hAnsi="宋体" w:eastAsia="宋体" w:cs="宋体"/>
                <w:i w:val="0"/>
                <w:iCs w:val="0"/>
                <w:color w:val="000000"/>
                <w:sz w:val="24"/>
                <w:szCs w:val="24"/>
                <w:highlight w:val="none"/>
                <w:u w:val="none"/>
                <w:lang w:val="en-US" w:eastAsia="zh-CN" w:bidi="ar"/>
              </w:rPr>
              <w:t xml:space="preserve">7、安装技术参数：篮圈上沿距地面高度3050mm，悬臂长度1825mm。箱体为平箱，高度384mm。箱体厚度2.0mm，箱体底部四角采用护钢地脚。尺寸1000×2000mm；</w:t>
            </w:r>
            <w:r/>
          </w:p>
          <w:p>
            <w:pPr>
              <w:jc w:val="left"/>
              <w:widowControl w:val="off"/>
              <w:rPr>
                <w:rFonts w:hint="eastAsia" w:ascii="宋体" w:hAnsi="宋体" w:eastAsia="宋体" w:cs="宋体"/>
                <w:i w:val="0"/>
                <w:iCs w:val="0"/>
                <w:color w:val="000000"/>
                <w:sz w:val="24"/>
                <w:szCs w:val="24"/>
                <w:highlight w:val="none"/>
                <w:u w:val="none"/>
                <w:lang w:val="en-US" w:eastAsia="zh-CN" w:bidi="ar"/>
              </w:rPr>
              <w:outlineLvl w:val="0"/>
            </w:pPr>
            <w:r>
              <w:rPr>
                <w:rFonts w:hint="eastAsia" w:ascii="宋体" w:hAnsi="宋体" w:eastAsia="宋体" w:cs="宋体"/>
                <w:i w:val="0"/>
                <w:iCs w:val="0"/>
                <w:color w:val="000000"/>
                <w:sz w:val="24"/>
                <w:szCs w:val="24"/>
                <w:highlight w:val="none"/>
                <w:u w:val="none"/>
                <w:lang w:val="en-US" w:eastAsia="zh-CN" w:bidi="ar"/>
              </w:rPr>
              <w:t xml:space="preserve">8、所有金属件焊后抛丸，静电喷涂，要求喷涂表面均匀全覆盖，结合牢固，不起皮脱落、漏涂、锈蚀、裂痕以及较明显的流痕、花斑、结点等缺陷，涂层厚度70µm；</w:t>
            </w:r>
            <w:r/>
          </w:p>
          <w:p>
            <w:pPr>
              <w:jc w:val="left"/>
              <w:widowControl w:val="off"/>
              <w:rPr>
                <w:rFonts w:hint="eastAsia" w:ascii="宋体" w:hAnsi="宋体" w:eastAsia="宋体" w:cs="宋体"/>
                <w:i w:val="0"/>
                <w:iCs w:val="0"/>
                <w:color w:val="000000"/>
                <w:sz w:val="24"/>
                <w:szCs w:val="24"/>
                <w:highlight w:val="none"/>
                <w:u w:val="none"/>
                <w:lang w:val="en-US" w:eastAsia="zh-CN" w:bidi="ar"/>
              </w:rPr>
              <w:outlineLvl w:val="0"/>
            </w:pPr>
            <w:r>
              <w:rPr>
                <w:rFonts w:hint="eastAsia" w:ascii="宋体" w:hAnsi="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lang w:val="en-US" w:eastAsia="zh-CN" w:bidi="ar"/>
              </w:rPr>
              <w:t xml:space="preserve">、尺寸不小于4800×1800×3950mm；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、符合GB19272-2024《室外健身器材的安全通用要求》，并在投标文件中提供有效期内带有CMA或CNAS标识的检测报告扫描件；</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11</w:t>
            </w:r>
            <w:r>
              <w:rPr>
                <w:rFonts w:hint="eastAsia" w:ascii="宋体" w:hAnsi="宋体" w:eastAsia="宋体" w:cs="宋体"/>
                <w:sz w:val="24"/>
                <w:szCs w:val="24"/>
              </w:rPr>
              <w:t xml:space="preserve">、通过经国家批准的体育器材质量认证机构的产品质量认证，并在投标文件中提供有效期内的认证证书及确认函扫描件。</w:t>
            </w:r>
            <w:r/>
          </w:p>
        </w:tc>
        <w:tc>
          <w:tcPr>
            <w:tcW w:w="854" w:type="dxa"/>
            <w:vAlign w:val="center"/>
            <w:textDirection w:val="lrTb"/>
            <w:noWrap w:val="false"/>
          </w:tcPr>
          <w:p>
            <w:pPr>
              <w:jc w:val="center"/>
              <w:spacing w:line="240"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14副</w:t>
            </w:r>
            <w:r/>
          </w:p>
        </w:tc>
      </w:tr>
      <w:tr>
        <w:trPr>
          <w:jc w:val="center"/>
          <w:trHeight w:val="933"/>
        </w:trPr>
        <w:tc>
          <w:tcPr>
            <w:tcW w:w="832" w:type="dxa"/>
            <w:vAlign w:val="center"/>
            <w:textDirection w:val="lrTb"/>
            <w:noWrap w:val="false"/>
          </w:tcPr>
          <w:p>
            <w:pPr>
              <w:jc w:val="center"/>
              <w:spacing w:line="240"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18</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室外乒乓球桌</w:t>
            </w:r>
            <w:r/>
          </w:p>
        </w:tc>
        <w:tc>
          <w:tcPr>
            <w:tcW w:w="6828" w:type="dxa"/>
            <w:vAlign w:val="top"/>
            <w:textDirection w:val="lrTb"/>
            <w:noWrap w:val="false"/>
          </w:tcPr>
          <w:p>
            <w:pPr>
              <w:jc w:val="lef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1、主要承载立柱尺寸不小于φ60×3.0mm；</w:t>
            </w:r>
            <w:r/>
          </w:p>
          <w:p>
            <w:pPr>
              <w:jc w:val="lef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2、主要承载横梁尺寸不小于φ20×30×2.0mm；</w:t>
            </w:r>
            <w:r/>
          </w:p>
          <w:p>
            <w:pPr>
              <w:jc w:val="lef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3、球台长度2740mm，球台宽度1500mm，球台高度760mm。球台台面采用SMC材料；</w:t>
            </w:r>
            <w:r/>
          </w:p>
          <w:p>
            <w:pPr>
              <w:jc w:val="lef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4、采用彩虹腿设计结构，台腿使用Φ60×3mm优质钢管，撑管采用30×20mm×2.0mm的优质方管，台腿外边距两端台边200mm，任何撑档离地300mm，保证使用者的运动安全；</w:t>
            </w:r>
            <w:r/>
          </w:p>
          <w:p>
            <w:pPr>
              <w:jc w:val="lef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5、尺寸不小于2740×1500×760mm；</w:t>
            </w:r>
            <w:r/>
          </w:p>
          <w:p>
            <w:pPr>
              <w:jc w:val="lef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★6、符合GB19272-2024《室外健身器材的安全通用要求》，并在投标文件中提供有效期内带有CMA或CNAS标识的检测报告扫描件；</w:t>
            </w:r>
            <w:r/>
          </w:p>
          <w:p>
            <w:pPr>
              <w:jc w:val="left"/>
              <w:widowControl w:val="off"/>
              <w:rPr>
                <w:rFonts w:hint="eastAsia" w:ascii="宋体" w:hAnsi="宋体" w:eastAsia="宋体" w:cs="宋体"/>
                <w:b w:val="0"/>
                <w:bCs w:val="0"/>
                <w:sz w:val="28"/>
                <w:szCs w:val="28"/>
              </w:rPr>
            </w:pPr>
            <w:r>
              <w:rPr>
                <w:rFonts w:hint="eastAsia" w:ascii="宋体" w:hAnsi="宋体" w:eastAsia="宋体" w:cs="宋体"/>
                <w:b w:val="0"/>
                <w:bCs w:val="0"/>
                <w:sz w:val="24"/>
                <w:szCs w:val="24"/>
              </w:rPr>
              <w:t xml:space="preserve">★7、通过经国家批准的体育器材质量认证机构的产品质量认证，并在投标文件中提供有效期内的认证证书及确认函扫描件。</w:t>
            </w:r>
            <w:r/>
          </w:p>
        </w:tc>
        <w:tc>
          <w:tcPr>
            <w:tcW w:w="854" w:type="dxa"/>
            <w:vAlign w:val="center"/>
            <w:textDirection w:val="lrTb"/>
            <w:noWrap w:val="false"/>
          </w:tcPr>
          <w:p>
            <w:pPr>
              <w:jc w:val="center"/>
              <w:spacing w:line="240"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80张</w:t>
            </w:r>
            <w:r/>
          </w:p>
        </w:tc>
      </w:tr>
      <w:tr>
        <w:trPr>
          <w:jc w:val="center"/>
          <w:trHeight w:val="933"/>
        </w:trPr>
        <w:tc>
          <w:tcPr>
            <w:tcW w:w="832" w:type="dxa"/>
            <w:vAlign w:val="center"/>
            <w:textDirection w:val="lrTb"/>
            <w:noWrap w:val="false"/>
          </w:tcPr>
          <w:p>
            <w:pPr>
              <w:jc w:val="center"/>
              <w:spacing w:line="240"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19</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室内乒乓球桌</w:t>
            </w:r>
            <w:r/>
          </w:p>
        </w:tc>
        <w:tc>
          <w:tcPr>
            <w:tcW w:w="6828" w:type="dxa"/>
            <w:vAlign w:val="top"/>
            <w:textDirection w:val="lrTb"/>
            <w:noWrap w:val="false"/>
          </w:tcPr>
          <w:p>
            <w:pPr>
              <w:jc w:val="lef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1、主要承载立柱尺寸不小于φ60×3.0mm；</w:t>
            </w:r>
            <w:r/>
          </w:p>
          <w:p>
            <w:pPr>
              <w:jc w:val="lef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2、主要承载横梁尺寸不小于φ20×30×2.0mm；</w:t>
            </w:r>
            <w:r/>
          </w:p>
          <w:p>
            <w:pPr>
              <w:jc w:val="lef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3、球台长度2740mm，球台宽度1500mm，球台高度760mm；</w:t>
            </w:r>
            <w:r/>
          </w:p>
          <w:p>
            <w:pPr>
              <w:jc w:val="lef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4、采用彩虹腿设计结构，台腿使用Φ60×3mm优质钢管，撑管采用30×20mm×2.0mm的优质方管，台腿外边距两端台边200mm，任何撑档离地300mm，保证使用者的运动安全；</w:t>
            </w:r>
            <w:r/>
          </w:p>
          <w:p>
            <w:pPr>
              <w:jc w:val="lef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5、尺寸不小于2740×1500×760mm；</w:t>
            </w:r>
            <w:r/>
          </w:p>
          <w:p>
            <w:pPr>
              <w:jc w:val="lef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★6、在投标文件中提供有效期内带有CMA或CNAS标识的检测报告扫描件；</w:t>
            </w:r>
            <w:r/>
          </w:p>
          <w:p>
            <w:pPr>
              <w:jc w:val="left"/>
              <w:widowControl w:val="off"/>
              <w:rPr>
                <w:rFonts w:hint="eastAsia" w:ascii="宋体" w:hAnsi="宋体" w:eastAsia="宋体" w:cs="宋体"/>
                <w:b w:val="0"/>
                <w:bCs w:val="0"/>
                <w:sz w:val="28"/>
                <w:szCs w:val="28"/>
              </w:rPr>
            </w:pPr>
            <w:r>
              <w:rPr>
                <w:rFonts w:hint="eastAsia" w:ascii="宋体" w:hAnsi="宋体" w:eastAsia="宋体" w:cs="宋体"/>
                <w:b w:val="0"/>
                <w:bCs w:val="0"/>
                <w:sz w:val="24"/>
                <w:szCs w:val="24"/>
                <w:lang w:val="en-US" w:eastAsia="zh-CN"/>
              </w:rPr>
              <w:t xml:space="preserve">★7、通过经国家批准的体育器材质量认证机构的产品质量认证，并在投标文件中提供有效期内的认证证书及确认函扫描件。</w:t>
            </w:r>
            <w:r/>
          </w:p>
        </w:tc>
        <w:tc>
          <w:tcPr>
            <w:tcW w:w="854" w:type="dxa"/>
            <w:vAlign w:val="center"/>
            <w:textDirection w:val="lrTb"/>
            <w:noWrap w:val="false"/>
          </w:tcPr>
          <w:p>
            <w:pPr>
              <w:jc w:val="center"/>
              <w:spacing w:line="240"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20张</w:t>
            </w:r>
            <w:r/>
          </w:p>
        </w:tc>
      </w:tr>
    </w:tbl>
    <w:p>
      <w:r/>
      <w:r/>
    </w:p>
    <w:p>
      <w:pPr>
        <w:jc w:val="both"/>
        <w:spacing w:line="360" w:lineRule="auto"/>
        <w:widowControl w:val="off"/>
        <w:rPr>
          <w:rFonts w:hint="eastAsia" w:ascii="宋体" w:hAnsi="宋体" w:eastAsia="宋体" w:cs="宋体"/>
          <w:b/>
          <w:bCs/>
          <w:color w:val="000000" w:themeColor="text1"/>
          <w:sz w:val="28"/>
          <w:szCs w:val="28"/>
          <w:lang w:val="en-US" w:eastAsia="zh-CN" w:bidi="ar-SA"/>
          <w14:textFill>
            <w14:solidFill>
              <w14:schemeClr w14:val="tx1"/>
            </w14:solidFill>
          </w14:textFill>
        </w:rPr>
      </w:pPr>
      <w:r>
        <w:rPr>
          <w:rFonts w:hint="eastAsia" w:ascii="宋体" w:hAnsi="宋体" w:eastAsia="宋体" w:cs="宋体"/>
          <w:b/>
          <w:bCs/>
          <w:color w:val="000000" w:themeColor="text1"/>
          <w:sz w:val="28"/>
          <w:szCs w:val="28"/>
          <w:lang w:val="en-US" w:eastAsia="zh-CN" w:bidi="ar-SA"/>
          <w14:textFill>
            <w14:solidFill>
              <w14:schemeClr w14:val="tx1"/>
            </w14:solidFill>
          </w14:textFill>
        </w:rPr>
        <w:t xml:space="preserve">注：</w:t>
      </w:r>
      <w:r/>
    </w:p>
    <w:p>
      <w:pPr>
        <w:numPr>
          <w:ilvl w:val="0"/>
          <w:numId w:val="1"/>
        </w:numPr>
        <w:jc w:val="both"/>
        <w:spacing w:line="360" w:lineRule="auto"/>
        <w:widowControl w:val="off"/>
        <w:rPr>
          <w:rFonts w:hint="eastAsia" w:ascii="宋体" w:hAnsi="宋体" w:eastAsia="宋体" w:cs="宋体"/>
          <w:b/>
          <w:bCs/>
          <w:color w:val="000000" w:themeColor="text1"/>
          <w:sz w:val="28"/>
          <w:szCs w:val="28"/>
          <w:u w:val="single"/>
          <w:lang w:val="en-US" w:eastAsia="zh-CN" w:bidi="ar-SA"/>
          <w14:textFill>
            <w14:solidFill>
              <w14:schemeClr w14:val="tx1"/>
            </w14:solidFill>
          </w14:textFill>
        </w:rPr>
      </w:pPr>
      <w:r>
        <w:rPr>
          <w:rFonts w:hint="eastAsia" w:ascii="宋体" w:hAnsi="宋体" w:eastAsia="宋体" w:cs="宋体"/>
          <w:b/>
          <w:bCs/>
          <w:color w:val="000000" w:themeColor="text1"/>
          <w:sz w:val="28"/>
          <w:szCs w:val="28"/>
          <w:u w:val="single"/>
          <w:lang w:val="en-US" w:eastAsia="zh-CN" w:bidi="ar-SA"/>
          <w14:textFill>
            <w14:solidFill>
              <w14:schemeClr w14:val="tx1"/>
            </w14:solidFill>
          </w14:textFill>
        </w:rPr>
        <w:t xml:space="preserve">数量要求是不允许偏离的实质性要求和条件，如有偏离，在符合性审查时按照投标无效处理。</w:t>
      </w:r>
      <w:r/>
    </w:p>
    <w:p>
      <w:pPr>
        <w:jc w:val="both"/>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val="0"/>
          <w:bCs w:val="0"/>
          <w:sz w:val="24"/>
          <w:szCs w:val="24"/>
        </w:rPr>
        <w:t xml:space="preserve">★</w:t>
      </w:r>
      <w:r>
        <w:rPr>
          <w:rFonts w:hint="eastAsia" w:ascii="宋体" w:hAnsi="宋体" w:eastAsia="宋体" w:cs="宋体"/>
          <w:b/>
          <w:bCs/>
          <w:sz w:val="28"/>
          <w:szCs w:val="28"/>
          <w:lang w:val="en-US" w:eastAsia="zh-CN"/>
        </w:rPr>
        <w:t xml:space="preserve">2、器材应配有完整的说明书，应包含三图（安装示意图、安装跌落空间图、碰撞区域图）、三表（器材安装检查表、器材定期检查表、易损件明细表）、器材安全使用寿命、器材维护保养注意事项、及寿命周期内对易损件及时更换的承诺内容。</w:t>
      </w:r>
      <w:r/>
    </w:p>
    <w:p>
      <w:pPr>
        <w:jc w:val="both"/>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val="0"/>
          <w:bCs w:val="0"/>
          <w:sz w:val="24"/>
          <w:szCs w:val="24"/>
        </w:rPr>
        <w:t xml:space="preserve">★</w:t>
      </w:r>
      <w:r>
        <w:rPr>
          <w:rFonts w:hint="eastAsia" w:ascii="宋体" w:hAnsi="宋体" w:eastAsia="宋体" w:cs="宋体"/>
          <w:b/>
          <w:bCs/>
          <w:sz w:val="28"/>
          <w:szCs w:val="28"/>
          <w:lang w:val="en-US" w:eastAsia="zh-CN"/>
        </w:rPr>
        <w:t xml:space="preserve">3、器材安全警示应采用图示方式提示使用者可能存在风险。</w:t>
      </w:r>
      <w:r/>
    </w:p>
    <w:p>
      <w:pPr>
        <w:jc w:val="both"/>
        <w:spacing w:line="360" w:lineRule="auto"/>
        <w:widowControl w:val="off"/>
        <w:rPr>
          <w:rFonts w:hint="eastAsia" w:ascii="宋体" w:hAnsi="宋体" w:eastAsia="宋体" w:cs="宋体"/>
          <w:b/>
          <w:bCs/>
          <w:color w:val="000000" w:themeColor="text1"/>
          <w:sz w:val="28"/>
          <w:szCs w:val="28"/>
          <w:u w:val="single"/>
          <w:lang w:val="en-US" w:eastAsia="zh-CN" w:bidi="ar-SA"/>
          <w14:textFill>
            <w14:solidFill>
              <w14:schemeClr w14:val="tx1"/>
            </w14:solidFill>
          </w14:textFill>
        </w:rPr>
      </w:pPr>
      <w:r>
        <w:rPr>
          <w:rFonts w:hint="eastAsia" w:ascii="宋体" w:hAnsi="宋体" w:eastAsia="宋体" w:cs="宋体"/>
          <w:b w:val="0"/>
          <w:bCs w:val="0"/>
          <w:sz w:val="24"/>
          <w:szCs w:val="24"/>
        </w:rPr>
        <w:t xml:space="preserve">★</w:t>
      </w:r>
      <w:r>
        <w:rPr>
          <w:rFonts w:hint="eastAsia" w:ascii="宋体" w:hAnsi="宋体" w:eastAsia="宋体" w:cs="宋体"/>
          <w:b/>
          <w:bCs/>
          <w:sz w:val="28"/>
          <w:szCs w:val="28"/>
          <w:lang w:val="en-US" w:eastAsia="zh-CN"/>
        </w:rPr>
        <w:t xml:space="preserve">4、各件器材铭牌需有生产日期，同时有省局二维码。</w:t>
      </w:r>
      <w:r/>
    </w:p>
    <w:p>
      <w:pPr>
        <w:numPr>
          <w:ilvl w:val="0"/>
          <w:numId w:val="0"/>
        </w:numPr>
        <w:jc w:val="both"/>
        <w:spacing w:line="360" w:lineRule="auto"/>
        <w:widowControl w:val="off"/>
        <w:rPr>
          <w:rFonts w:hint="eastAsia" w:ascii="宋体" w:hAnsi="宋体" w:eastAsia="宋体" w:cs="宋体"/>
          <w:b/>
          <w:bCs/>
          <w:color w:val="000000" w:themeColor="text1"/>
          <w:sz w:val="28"/>
          <w:szCs w:val="28"/>
          <w:lang w:val="en-US" w:eastAsia="zh-CN" w:bidi="ar-SA"/>
          <w14:textFill>
            <w14:solidFill>
              <w14:schemeClr w14:val="tx1"/>
            </w14:solidFill>
          </w14:textFill>
        </w:rPr>
      </w:pPr>
      <w:r>
        <w:rPr>
          <w:rFonts w:hint="eastAsia" w:ascii="宋体" w:hAnsi="宋体" w:eastAsia="宋体" w:cs="宋体"/>
          <w:b/>
          <w:bCs/>
          <w:color w:val="000000" w:themeColor="text1"/>
          <w:sz w:val="28"/>
          <w:szCs w:val="28"/>
          <w:lang w:val="en-US" w:eastAsia="zh-CN" w:bidi="ar-SA"/>
          <w14:textFill>
            <w14:solidFill>
              <w14:schemeClr w14:val="tx1"/>
            </w14:solidFill>
          </w14:textFill>
        </w:rPr>
        <w:t xml:space="preserve">5、投标文件要求：</w:t>
      </w:r>
      <w:r/>
    </w:p>
    <w:p>
      <w:pPr>
        <w:numPr>
          <w:ilvl w:val="0"/>
          <w:numId w:val="0"/>
        </w:numPr>
        <w:jc w:val="both"/>
        <w:spacing w:line="360" w:lineRule="auto"/>
        <w:widowControl w:val="off"/>
        <w:rPr>
          <w:rFonts w:hint="eastAsia" w:ascii="宋体" w:hAnsi="宋体" w:eastAsia="宋体" w:cs="宋体"/>
          <w:b/>
          <w:bCs/>
          <w:color w:val="000000" w:themeColor="text1"/>
          <w:sz w:val="28"/>
          <w:szCs w:val="28"/>
          <w:lang w:val="en-US" w:eastAsia="zh-CN" w:bidi="ar-SA"/>
          <w14:textFill>
            <w14:solidFill>
              <w14:schemeClr w14:val="tx1"/>
            </w14:solidFill>
          </w14:textFill>
        </w:rPr>
      </w:pPr>
      <w:r>
        <w:rPr>
          <w:rFonts w:hint="eastAsia" w:ascii="宋体" w:hAnsi="宋体" w:cs="宋体"/>
          <w:b/>
          <w:bCs/>
          <w:color w:val="000000" w:themeColor="text1"/>
          <w:sz w:val="28"/>
          <w:szCs w:val="28"/>
          <w:lang w:val="en-US" w:eastAsia="zh-CN" w:bidi="ar-SA"/>
          <w14:textFill>
            <w14:solidFill>
              <w14:schemeClr w14:val="tx1"/>
            </w14:solidFill>
          </w14:textFill>
        </w:rPr>
        <w:t xml:space="preserve">5</w:t>
      </w:r>
      <w:r>
        <w:rPr>
          <w:rFonts w:hint="eastAsia" w:ascii="宋体" w:hAnsi="宋体" w:eastAsia="宋体" w:cs="宋体"/>
          <w:b/>
          <w:bCs/>
          <w:color w:val="000000" w:themeColor="text1"/>
          <w:sz w:val="28"/>
          <w:szCs w:val="28"/>
          <w:lang w:val="en-US" w:eastAsia="zh-CN" w:bidi="ar-SA"/>
          <w14:textFill>
            <w14:solidFill>
              <w14:schemeClr w14:val="tx1"/>
            </w14:solidFill>
          </w14:textFill>
        </w:rPr>
        <w:t xml:space="preserve">.1 投标人须在投标文件中提供《所投产品的技术规格（技术性能）》文件。</w:t>
      </w:r>
      <w:r/>
    </w:p>
    <w:p>
      <w:pPr>
        <w:numPr>
          <w:ilvl w:val="0"/>
          <w:numId w:val="0"/>
        </w:numPr>
        <w:jc w:val="both"/>
        <w:spacing w:line="360" w:lineRule="auto"/>
        <w:widowControl w:val="off"/>
        <w:rPr>
          <w:rFonts w:hint="eastAsia" w:ascii="宋体" w:hAnsi="宋体" w:eastAsia="宋体" w:cs="宋体"/>
          <w:b/>
          <w:bCs/>
          <w:color w:val="000000" w:themeColor="text1"/>
          <w:sz w:val="28"/>
          <w:szCs w:val="28"/>
          <w:lang w:val="en-US" w:eastAsia="zh-CN" w:bidi="ar-SA"/>
          <w14:textFill>
            <w14:solidFill>
              <w14:schemeClr w14:val="tx1"/>
            </w14:solidFill>
          </w14:textFill>
        </w:rPr>
      </w:pPr>
      <w:r>
        <w:rPr>
          <w:rFonts w:hint="eastAsia" w:ascii="宋体" w:hAnsi="宋体" w:cs="宋体"/>
          <w:b/>
          <w:bCs/>
          <w:color w:val="000000" w:themeColor="text1"/>
          <w:sz w:val="28"/>
          <w:szCs w:val="28"/>
          <w:lang w:val="en-US" w:eastAsia="zh-CN" w:bidi="ar-SA"/>
          <w14:textFill>
            <w14:solidFill>
              <w14:schemeClr w14:val="tx1"/>
            </w14:solidFill>
          </w14:textFill>
        </w:rPr>
        <w:t xml:space="preserve">5</w:t>
      </w:r>
      <w:r>
        <w:rPr>
          <w:rFonts w:hint="eastAsia" w:ascii="宋体" w:hAnsi="宋体" w:eastAsia="宋体" w:cs="宋体"/>
          <w:b/>
          <w:bCs/>
          <w:color w:val="000000" w:themeColor="text1"/>
          <w:sz w:val="28"/>
          <w:szCs w:val="28"/>
          <w:lang w:val="en-US" w:eastAsia="zh-CN" w:bidi="ar-SA"/>
          <w14:textFill>
            <w14:solidFill>
              <w14:schemeClr w14:val="tx1"/>
            </w14:solidFill>
          </w14:textFill>
        </w:rPr>
        <w:t xml:space="preserve">.2 《所投产品的技术规格（技术性能）》内容对照以上“三、采购清单和技术参数要求” 编制，并提供所投产品的外观图片。</w:t>
      </w:r>
      <w:r/>
    </w:p>
    <w:p>
      <w:pPr>
        <w:jc w:val="left"/>
        <w:keepLines w:val="0"/>
        <w:keepNext w:val="0"/>
        <w:pageBreakBefore w:val="0"/>
        <w:spacing w:line="360" w:lineRule="auto"/>
        <w:widowControl w:val="off"/>
        <w:rPr>
          <w:rFonts w:hint="eastAsia" w:ascii="宋体" w:hAnsi="宋体" w:eastAsia="宋体" w:cs="宋体"/>
          <w:b/>
          <w:bCs/>
          <w:color w:val="000000" w:themeColor="text1"/>
          <w:sz w:val="28"/>
          <w:szCs w:val="28"/>
          <w:lang w:val="en-US" w:eastAsia="zh-CN" w:bidi="ar-SA"/>
          <w14:textFill>
            <w14:solidFill>
              <w14:schemeClr w14:val="tx1"/>
            </w14:solidFill>
          </w14:textFill>
        </w:rPr>
      </w:pPr>
      <w:r>
        <w:rPr>
          <w:rFonts w:hint="eastAsia" w:ascii="宋体" w:hAnsi="宋体" w:eastAsia="宋体" w:cs="宋体"/>
          <w:b/>
          <w:bCs/>
          <w:color w:val="000000" w:themeColor="text1"/>
          <w:sz w:val="28"/>
          <w:szCs w:val="28"/>
          <w:lang w:val="en-US" w:eastAsia="zh-CN" w:bidi="ar-SA"/>
          <w14:textFill>
            <w14:solidFill>
              <w14:schemeClr w14:val="tx1"/>
            </w14:solidFill>
          </w14:textFill>
        </w:rPr>
        <w:t xml:space="preserve">四、项目实施要求</w:t>
      </w:r>
      <w:r/>
    </w:p>
    <w:p>
      <w:pPr>
        <w:jc w:val="left"/>
        <w:keepLines w:val="0"/>
        <w:keepNext w:val="0"/>
        <w:pageBreakBefore w:val="0"/>
        <w:spacing w:line="360" w:lineRule="auto"/>
        <w:widowControl w:val="off"/>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lang w:val="en-US" w:eastAsia="zh-CN" w:bidi="ar-SA"/>
          <w14:textFill>
            <w14:solidFill>
              <w14:schemeClr w14:val="tx1"/>
            </w14:solidFill>
          </w14:textFill>
        </w:rPr>
        <w:t xml:space="preserve">（一）项目交货要求</w:t>
      </w:r>
      <w:r/>
    </w:p>
    <w:p>
      <w:pPr>
        <w:jc w:val="left"/>
        <w:keepLines w:val="0"/>
        <w:keepNext w:val="0"/>
        <w:pageBreakBefore w:val="0"/>
        <w:spacing w:line="360" w:lineRule="auto"/>
        <w:widowControl w:val="off"/>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1、项目交货时间要求：合同生效日后，90日内将合同标的全部器材交付并按照甲方要求进行安装。</w:t>
      </w:r>
      <w:r/>
    </w:p>
    <w:p>
      <w:pPr>
        <w:jc w:val="left"/>
        <w:keepLines w:val="0"/>
        <w:keepNext w:val="0"/>
        <w:pageBreakBefore w:val="0"/>
        <w:spacing w:line="360" w:lineRule="auto"/>
        <w:widowControl w:val="off"/>
        <w:rPr>
          <w:rFonts w:hint="eastAsia" w:ascii="宋体" w:hAnsi="宋体" w:eastAsia="宋体" w:cs="宋体"/>
          <w:b/>
          <w:bCs/>
          <w:color w:val="000000" w:themeColor="text1"/>
          <w:sz w:val="28"/>
          <w:szCs w:val="28"/>
          <w:lang w:val="en-US" w:eastAsia="zh-CN" w:bidi="ar-SA"/>
          <w14:textFill>
            <w14:solidFill>
              <w14:schemeClr w14:val="tx1"/>
            </w14:solidFill>
          </w14:textFill>
        </w:rPr>
      </w:pPr>
      <w:r>
        <w:rPr>
          <w:rFonts w:hint="eastAsia" w:ascii="宋体" w:hAnsi="宋体" w:eastAsia="宋体" w:cs="宋体"/>
          <w:b/>
          <w:bCs/>
          <w:color w:val="000000" w:themeColor="text1"/>
          <w:sz w:val="28"/>
          <w:szCs w:val="28"/>
          <w:lang w:val="en-US" w:eastAsia="zh-CN" w:bidi="ar-SA"/>
          <w14:textFill>
            <w14:solidFill>
              <w14:schemeClr w14:val="tx1"/>
            </w14:solidFill>
          </w14:textFill>
        </w:rPr>
        <w:t xml:space="preserve">2、项目交货安装地点：具体交货安装地点及每处的具体数量由各采购人在签订合同后书面确定。</w:t>
      </w:r>
      <w:r/>
    </w:p>
    <w:p>
      <w:pPr>
        <w:jc w:val="left"/>
        <w:keepLines w:val="0"/>
        <w:keepNext w:val="0"/>
        <w:pageBreakBefore w:val="0"/>
        <w:spacing w:line="360" w:lineRule="auto"/>
        <w:widowControl w:val="off"/>
        <w:rPr>
          <w:rFonts w:hint="eastAsia" w:ascii="宋体" w:hAnsi="宋体" w:eastAsia="宋体" w:cs="宋体"/>
          <w:b/>
          <w:bCs/>
          <w:color w:val="000000" w:themeColor="text1"/>
          <w:sz w:val="28"/>
          <w:szCs w:val="28"/>
          <w:lang w:val="en-US" w:eastAsia="zh-CN" w:bidi="ar-SA"/>
          <w14:textFill>
            <w14:solidFill>
              <w14:schemeClr w14:val="tx1"/>
            </w14:solidFill>
          </w14:textFill>
        </w:rPr>
      </w:pPr>
      <w:r>
        <w:rPr>
          <w:rFonts w:hint="eastAsia" w:ascii="宋体" w:hAnsi="宋体" w:eastAsia="宋体" w:cs="宋体"/>
          <w:b/>
          <w:bCs/>
          <w:color w:val="000000" w:themeColor="text1"/>
          <w:sz w:val="28"/>
          <w:szCs w:val="28"/>
          <w:lang w:val="en-US" w:eastAsia="zh-CN" w:bidi="ar-SA"/>
          <w14:textFill>
            <w14:solidFill>
              <w14:schemeClr w14:val="tx1"/>
            </w14:solidFill>
          </w14:textFill>
        </w:rPr>
        <w:t xml:space="preserve">说明：“（一）项目交货要求”为不允许偏离的实质性要求和条件，如有偏离，在符合性审查时按照投标无效处理。</w:t>
      </w:r>
      <w:r/>
    </w:p>
    <w:p>
      <w:pPr>
        <w:jc w:val="left"/>
        <w:keepLines w:val="0"/>
        <w:keepNext w:val="0"/>
        <w:pageBreakBefore w:val="0"/>
        <w:spacing w:line="360" w:lineRule="auto"/>
        <w:widowControl w:val="off"/>
        <w:rPr>
          <w:rFonts w:hint="eastAsia" w:ascii="宋体" w:hAnsi="宋体" w:eastAsia="宋体" w:cs="宋体"/>
          <w:b/>
          <w:bCs w:val="0"/>
          <w:color w:val="000000" w:themeColor="text1"/>
          <w:sz w:val="28"/>
          <w:szCs w:val="28"/>
          <w:lang w:val="en-US" w:eastAsia="zh-CN" w:bidi="ar-SA"/>
          <w14:textFill>
            <w14:solidFill>
              <w14:schemeClr w14:val="tx1"/>
            </w14:solidFill>
          </w14:textFill>
        </w:rPr>
      </w:pPr>
      <w:r>
        <w:rPr>
          <w:rFonts w:hint="eastAsia" w:ascii="宋体" w:hAnsi="宋体" w:eastAsia="宋体" w:cs="宋体"/>
          <w:b/>
          <w:bCs w:val="0"/>
          <w:color w:val="000000" w:themeColor="text1"/>
          <w:sz w:val="28"/>
          <w:szCs w:val="28"/>
          <w:lang w:val="en-US" w:eastAsia="zh-CN" w:bidi="ar-SA"/>
          <w14:textFill>
            <w14:solidFill>
              <w14:schemeClr w14:val="tx1"/>
            </w14:solidFill>
          </w14:textFill>
        </w:rPr>
        <w:t xml:space="preserve">（二）项目具体实施安装要求</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1、中标人应根据地域分布、器材需求合理制定包括但不限于器材生产、质量监控、运输、中转、配送、现地勘验、安装、调试等各个环节的项目实施计划和实施方案，做到切实可行，风控严密，保证实效。</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2、中标人应在货物发运前对其进行满足运输距离、防潮、防震、防锈和防破损装卸等要求包装，以保证货物安全可靠运达采购人指定地点。</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3、中标人应将健身器材送到采购人指定地点（各街道（乡镇）、社区（行政区）、公园、绿地等场地），并负责办理运输、装卸安装、调试、培训、技术服务，提供必不可少的部件、标准备件、专用工具、安装所需材料，费用均由中标人负责。</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4、中标人应加强与采购人沟通，未经采购人同意，不得擅自更改安装地点。在安装施工过程中应遵守所在区域城市管理部门的工程施工相关要求。</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5、安装健身器材时要做好场地维护，中标人免费负责对安装地点报废器材进行拆除并自行处理，保证新安装器材场地的整洁美观。</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6、双联单杠、天梯安装时杠面高度不得超过2300mm；其他参数应符合GB 19272-2024中5.12.1中的有关要求（如有）。</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7、地埋式器材地埋深度应符合GB19272-2024《室外健身器材的安全通用要求》的要求，且在地基没有完全凝固前，应有专人监护，器材地基及其周围的硬化表面不应高于安装器材周围地面。并接受器材安装地点所属单位对安装过程的监管。</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8、器材应配有完整的说明书，应包含三图（安装示意图、安装跌落空间图、碰撞区域图）、三表（器材安装检查表、器材定期检查表、易损件明细表）、器材安全使用寿命、器材维护保养注意事项及寿命周期内对易损件及时更换的承诺等内容，并将上述材料交给采购人。</w:t>
      </w:r>
      <w:r/>
    </w:p>
    <w:p>
      <w:pPr>
        <w:jc w:val="left"/>
        <w:keepLines w:val="0"/>
        <w:keepNext w:val="0"/>
        <w:pageBreakBefore w:val="0"/>
        <w:spacing w:line="360" w:lineRule="auto"/>
        <w:widowControl/>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9、在公告牌、健身器材、篮球架、室外乒乓球桌等器材显著位置应</w:t>
      </w:r>
      <w:r>
        <w:rPr>
          <w:rFonts w:hint="eastAsia" w:ascii="仿宋" w:hAnsi="仿宋" w:eastAsia="仿宋" w:cs="仿宋"/>
          <w:bCs/>
          <w:color w:val="000000" w:themeColor="text1"/>
          <w:sz w:val="28"/>
          <w:szCs w:val="28"/>
          <w:lang w:val="en-US" w:eastAsia="zh-CN" w:bidi="ar-SA"/>
          <w14:textFill>
            <w14:solidFill>
              <w14:schemeClr w14:val="tx1"/>
            </w14:solidFill>
          </w14:textFill>
        </w:rPr>
        <w:t xml:space="preserve">铆接不锈钢说明牌</w:t>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包括：器材名称、使用说明、注意事项、出厂日期、使用年限、售后服务电话、XX市（县、区）体育局捐赠、江苏省体育局室外健身器材管理平台报修二维码等内容。其中，告示牌上要公示以下内容：监管单位名称（市县区体育部门）和联系电话；责任单位名称（受赠方）、责任人名字、联系电话。</w:t>
      </w:r>
      <w:r/>
    </w:p>
    <w:p>
      <w:pPr>
        <w:ind w:firstLine="480"/>
        <w:jc w:val="left"/>
        <w:keepLines w:val="0"/>
        <w:keepNext w:val="0"/>
        <w:pageBreakBefore w:val="0"/>
        <w:spacing w:line="360" w:lineRule="auto"/>
        <w:widowControl/>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铭牌使用的标志、文字、标牌（以下简称资助标牌）的设计及安装规范应遵照国家体育总局《体育彩票公益金资助项目标牌设计及安装规范》执行。</w:t>
      </w:r>
      <w:r/>
    </w:p>
    <w:p>
      <w:pPr>
        <w:jc w:val="left"/>
        <w:keepLines w:val="0"/>
        <w:keepNext w:val="0"/>
        <w:pageBreakBefore w:val="0"/>
        <w:spacing w:line="360" w:lineRule="auto"/>
        <w:widowControl/>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10、在安装器材时中标人要同步进行数据采集工作，信息及时录入江苏省体育局室外健身器材管理平台。</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（三）投标文件要求：</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1、投标文件中提供《项目实施方案》文件。 </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2、《项目实施方案》包括以下内容：</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（1）时间进度安排；</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（2）具体实施安装方案；</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（3）管理措施及安全保障措施；</w:t>
      </w:r>
      <w:r/>
    </w:p>
    <w:p>
      <w:pPr>
        <w:jc w:val="left"/>
        <w:keepLines w:val="0"/>
        <w:keepNext w:val="0"/>
        <w:pageBreakBefore w:val="0"/>
        <w:spacing w:after="0" w:line="360" w:lineRule="auto"/>
        <w:widowControl/>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（4）缓冲层铺设方案。</w:t>
      </w:r>
      <w:r/>
    </w:p>
    <w:p>
      <w:pPr>
        <w:jc w:val="left"/>
        <w:keepLines w:val="0"/>
        <w:keepNext w:val="0"/>
        <w:pageBreakBefore w:val="0"/>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五、售后服务和技术培训要求</w:t>
      </w:r>
      <w:r/>
    </w:p>
    <w:p>
      <w:pPr>
        <w:jc w:val="left"/>
        <w:keepLines w:val="0"/>
        <w:keepNext w:val="0"/>
        <w:pageBreakBefore w:val="0"/>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(一)售后服务具体要求及技术培训具体要求</w:t>
      </w:r>
      <w:r/>
    </w:p>
    <w:p>
      <w:pPr>
        <w:jc w:val="left"/>
        <w:keepLines w:val="0"/>
        <w:keepNext w:val="0"/>
        <w:pageBreakBefore w:val="0"/>
        <w:spacing w:after="0" w:line="360" w:lineRule="auto"/>
        <w:widowControl/>
        <w:rPr>
          <w:rFonts w:hint="eastAsia" w:ascii="仿宋" w:hAnsi="仿宋" w:eastAsia="仿宋" w:cs="仿宋"/>
          <w:b/>
          <w:bCs/>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1、售后服务具体要求</w:t>
      </w:r>
      <w:r/>
    </w:p>
    <w:p>
      <w:pPr>
        <w:ind w:left="0"/>
        <w:jc w:val="left"/>
        <w:keepLines w:val="0"/>
        <w:keepNext w:val="0"/>
        <w:pageBreakBefore w:val="0"/>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（1）质保期要求</w:t>
      </w:r>
      <w:r/>
    </w:p>
    <w:p>
      <w:pPr>
        <w:ind w:left="0" w:firstLine="480"/>
        <w:jc w:val="left"/>
        <w:keepLines w:val="0"/>
        <w:keepNext w:val="0"/>
        <w:pageBreakBefore w:val="0"/>
        <w:spacing w:after="0" w:line="360" w:lineRule="auto"/>
        <w:widowControl/>
        <w:rPr>
          <w:rFonts w:hint="eastAsia" w:ascii="仿宋" w:hAnsi="仿宋" w:eastAsia="仿宋" w:cs="仿宋"/>
          <w:b/>
          <w:bCs/>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本项目所投全部产品质保期从验收合格之日起不少于8年（易损部件使用寿命不少于3年）。</w:t>
      </w:r>
      <w:r/>
    </w:p>
    <w:p>
      <w:pPr>
        <w:ind w:left="0"/>
        <w:jc w:val="left"/>
        <w:keepLines w:val="0"/>
        <w:keepNext w:val="0"/>
        <w:pageBreakBefore w:val="0"/>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（2）维修服务要求</w:t>
      </w:r>
      <w:r/>
    </w:p>
    <w:p>
      <w:pPr>
        <w:ind w:left="0"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begin"/>
      </w:r>
      <w:r>
        <w:rPr>
          <w:rFonts w:hint="eastAsia" w:ascii="仿宋" w:hAnsi="仿宋" w:eastAsia="仿宋" w:cs="仿宋"/>
          <w:color w:val="000000" w:themeColor="text1"/>
          <w:sz w:val="28"/>
          <w:szCs w:val="28"/>
          <w:lang w:val="en-US" w:eastAsia="zh-CN" w:bidi="ar-SA"/>
          <w14:textFill>
            <w14:solidFill>
              <w14:schemeClr w14:val="tx1"/>
            </w14:solidFill>
          </w14:textFill>
        </w:rPr>
        <w:instrText xml:space="preserve"> = 1 \* GB3 </w:instrTex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separate"/>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①</w: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end"/>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 质保期内（含人为损坏）免费更换零配件和上门维修服务，质保期后提供终生维护，只收取更换零配件的成本价。</w:t>
      </w:r>
      <w:r/>
    </w:p>
    <w:p>
      <w:pPr>
        <w:ind w:left="0"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begin"/>
      </w:r>
      <w:r>
        <w:rPr>
          <w:rFonts w:hint="eastAsia" w:ascii="仿宋" w:hAnsi="仿宋" w:eastAsia="仿宋" w:cs="仿宋"/>
          <w:color w:val="000000" w:themeColor="text1"/>
          <w:sz w:val="28"/>
          <w:szCs w:val="28"/>
          <w:lang w:val="en-US" w:eastAsia="zh-CN" w:bidi="ar-SA"/>
          <w14:textFill>
            <w14:solidFill>
              <w14:schemeClr w14:val="tx1"/>
            </w14:solidFill>
          </w14:textFill>
        </w:rPr>
        <w:instrText xml:space="preserve"> = 2 \* GB3 </w:instrTex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separate"/>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②</w: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end"/>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 在质保期内，中标人负责提供2次/年巡检服务，并经甲方签字盖章确认。</w:t>
      </w:r>
      <w:r/>
    </w:p>
    <w:p>
      <w:pPr>
        <w:ind w:left="0"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begin"/>
      </w:r>
      <w:r>
        <w:rPr>
          <w:rFonts w:hint="eastAsia" w:ascii="仿宋" w:hAnsi="仿宋" w:eastAsia="仿宋" w:cs="仿宋"/>
          <w:color w:val="000000" w:themeColor="text1"/>
          <w:sz w:val="28"/>
          <w:szCs w:val="28"/>
          <w:lang w:val="en-US" w:eastAsia="zh-CN" w:bidi="ar-SA"/>
          <w14:textFill>
            <w14:solidFill>
              <w14:schemeClr w14:val="tx1"/>
            </w14:solidFill>
          </w14:textFill>
        </w:rPr>
        <w:instrText xml:space="preserve"> = 3 \* GB3 </w:instrTex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separate"/>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③</w: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end"/>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 中标人承诺本项目售后服务期间在徐州市有售后服务机构，且不少于5名服务人员。如在使用过程中发生质量问题或接到器材损坏报修，中标人在接到电话后24小时内响应并到达现场维修。</w:t>
      </w:r>
      <w:r/>
    </w:p>
    <w:p>
      <w:pPr>
        <w:ind w:left="0"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begin"/>
      </w:r>
      <w:r>
        <w:rPr>
          <w:rFonts w:hint="eastAsia" w:ascii="仿宋" w:hAnsi="仿宋" w:eastAsia="仿宋" w:cs="仿宋"/>
          <w:color w:val="000000" w:themeColor="text1"/>
          <w:sz w:val="28"/>
          <w:szCs w:val="28"/>
          <w:lang w:val="en-US" w:eastAsia="zh-CN" w:bidi="ar-SA"/>
          <w14:textFill>
            <w14:solidFill>
              <w14:schemeClr w14:val="tx1"/>
            </w14:solidFill>
          </w14:textFill>
        </w:rPr>
        <w:instrText xml:space="preserve"> = 4 \* GB3 </w:instrTex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separate"/>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④</w: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end"/>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 质保期内，因器材质量出现故障和缺陷，在接到采购人或使用方报修30日内仍不能修复的，应免费予以更换同一型号器材并负责安装调试。</w:t>
      </w:r>
      <w:r/>
    </w:p>
    <w:p>
      <w:pPr>
        <w:ind w:left="0"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begin"/>
      </w:r>
      <w:r>
        <w:rPr>
          <w:rFonts w:hint="eastAsia" w:ascii="仿宋" w:hAnsi="仿宋" w:eastAsia="仿宋" w:cs="仿宋"/>
          <w:color w:val="000000" w:themeColor="text1"/>
          <w:sz w:val="28"/>
          <w:szCs w:val="28"/>
          <w:lang w:val="en-US" w:eastAsia="zh-CN" w:bidi="ar-SA"/>
          <w14:textFill>
            <w14:solidFill>
              <w14:schemeClr w14:val="tx1"/>
            </w14:solidFill>
          </w14:textFill>
        </w:rPr>
        <w:instrText xml:space="preserve"> = 5 \* GB3 </w:instrTex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separate"/>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⑤</w: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end"/>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 投标人须在投标文件中承诺，中标后向采购人提供投标货物的原厂保修。在器材安全使用周期内，中标人应能保证采购人更换到原厂正宗的备件材料，确保货物的正常使用。</w:t>
      </w:r>
      <w:r/>
    </w:p>
    <w:p>
      <w:pPr>
        <w:numPr>
          <w:ilvl w:val="0"/>
          <w:numId w:val="0"/>
        </w:numPr>
        <w:jc w:val="left"/>
        <w:keepLines w:val="0"/>
        <w:keepNext w:val="0"/>
        <w:pageBreakBefore w:val="0"/>
        <w:spacing w:after="0" w:line="360" w:lineRule="auto"/>
        <w:widowControl/>
        <w:rPr>
          <w:rFonts w:hint="eastAsia" w:ascii="仿宋" w:hAnsi="仿宋" w:eastAsia="仿宋" w:cs="仿宋"/>
          <w:b/>
          <w:bCs/>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2、零配件要求</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begin"/>
      </w:r>
      <w:r>
        <w:rPr>
          <w:rFonts w:hint="eastAsia" w:ascii="仿宋" w:hAnsi="仿宋" w:eastAsia="仿宋" w:cs="仿宋"/>
          <w:color w:val="000000" w:themeColor="text1"/>
          <w:sz w:val="28"/>
          <w:szCs w:val="28"/>
          <w:lang w:val="en-US" w:eastAsia="zh-CN" w:bidi="ar-SA"/>
          <w14:textFill>
            <w14:solidFill>
              <w14:schemeClr w14:val="tx1"/>
            </w14:solidFill>
          </w14:textFill>
        </w:rPr>
        <w:instrText xml:space="preserve"> = 1 \* GB3 </w:instrTex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separate"/>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①</w: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end"/>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 投标人中标后在淮海经济区中心城市或江苏省内设常用配件库（与采购人签订合同时提供具体地址备查）且能提供配件常备数量、品种目录等。</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begin"/>
      </w:r>
      <w:r>
        <w:rPr>
          <w:rFonts w:hint="eastAsia" w:ascii="仿宋" w:hAnsi="仿宋" w:eastAsia="仿宋" w:cs="仿宋"/>
          <w:color w:val="000000" w:themeColor="text1"/>
          <w:sz w:val="28"/>
          <w:szCs w:val="28"/>
          <w:lang w:val="en-US" w:eastAsia="zh-CN" w:bidi="ar-SA"/>
          <w14:textFill>
            <w14:solidFill>
              <w14:schemeClr w14:val="tx1"/>
            </w14:solidFill>
          </w14:textFill>
        </w:rPr>
        <w:instrText xml:space="preserve"> = 2 \* GB3 </w:instrTex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separate"/>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②</w: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end"/>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 投标人需在投标文件中提供器材零配件成本价格一览表。</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begin"/>
      </w:r>
      <w:r>
        <w:rPr>
          <w:rFonts w:hint="eastAsia" w:ascii="仿宋" w:hAnsi="仿宋" w:eastAsia="仿宋" w:cs="仿宋"/>
          <w:color w:val="000000" w:themeColor="text1"/>
          <w:sz w:val="28"/>
          <w:szCs w:val="28"/>
          <w:lang w:val="en-US" w:eastAsia="zh-CN" w:bidi="ar-SA"/>
          <w14:textFill>
            <w14:solidFill>
              <w14:schemeClr w14:val="tx1"/>
            </w14:solidFill>
          </w14:textFill>
        </w:rPr>
        <w:instrText xml:space="preserve"> = 3 \* GB3 </w:instrTex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separate"/>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③</w: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end"/>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 投标人需在投标文件中注明投标产品可能存在的易损零配件，并承诺中标后可提供足够数量的中标器材易损零配件并说明零配件名称及零配件数量。</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2、技术培训具体要求</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中标人须安排有资格的专业技术人员（至少2名）免费培训采购人的使用操作人员（至少1名），直到操作人员熟练操作。</w:t>
      </w:r>
      <w:r/>
    </w:p>
    <w:p>
      <w:pPr>
        <w:jc w:val="left"/>
        <w:keepLines w:val="0"/>
        <w:keepNext w:val="0"/>
        <w:pageBreakBefore w:val="0"/>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（二）投标文件要求</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1、投标文件中提供《售后服务方案和技术培训方案》文件。</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2、《售后服务方案和技术培训方案》包括以下内容：</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（1）售后服务方案:</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① 质保期；</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② 维修服务方案；</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begin"/>
      </w:r>
      <w:r>
        <w:rPr>
          <w:rFonts w:hint="eastAsia" w:ascii="仿宋" w:hAnsi="仿宋" w:eastAsia="仿宋" w:cs="仿宋"/>
          <w:color w:val="000000" w:themeColor="text1"/>
          <w:sz w:val="28"/>
          <w:szCs w:val="28"/>
          <w:lang w:val="en-US" w:eastAsia="zh-CN" w:bidi="ar-SA"/>
          <w14:textFill>
            <w14:solidFill>
              <w14:schemeClr w14:val="tx1"/>
            </w14:solidFill>
          </w14:textFill>
        </w:rPr>
        <w:instrText xml:space="preserve"> = 3 \* GB3 </w:instrTex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separate"/>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③</w: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end"/>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 零配件方案。</w:t>
      </w:r>
      <w:r/>
    </w:p>
    <w:p>
      <w:pPr>
        <w:ind w:firstLine="24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（2）技术培训方案。</w:t>
      </w:r>
      <w:r/>
    </w:p>
    <w:p>
      <w:pPr>
        <w:jc w:val="left"/>
        <w:keepLines w:val="0"/>
        <w:keepNext w:val="0"/>
        <w:pageBreakBefore w:val="0"/>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六、验收标准（验收要求、验收标准和程序）要求</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（一）履约验收的时间、方式、程序要求：见招标文件第五章《拟签订的合同文本》。</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二）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三）验收程序要求：合同标的全部交付并安装完毕后，卖方（中标人,下同）可向买方（采购人，下同）书面提出试运行、验收要求，买方在接到书面要求后3日进行试运行、验收。合同卖方（中标人）需向买方（采购人）提交合同标的的相关资料、文件、说明书等。</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供货验收</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卖方应在货物发运前对其进行满足运输距离、防潮、防震、防锈和防破损装卸等要求包装，以保证货物安全可靠运达买方指定地点。</w:t>
      </w:r>
      <w:r/>
    </w:p>
    <w:p>
      <w:pPr>
        <w:ind w:firstLine="480"/>
        <w:jc w:val="left"/>
        <w:keepLines w:val="0"/>
        <w:keepNext w:val="0"/>
        <w:pageBreakBefore w:val="0"/>
        <w:spacing w:line="360" w:lineRule="auto"/>
        <w:widowControl/>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买方将委托具备相应资质的第三方质量监督检测机构等专业技术力量到生产厂家参与采购器材验收，并由买方纪检人员现场监督抽检全过程。验收时合同卖方代表必须在场，并提供产品合格证、质量保证文件等相关证明材料。经买方验收合格后卖方首批供货比例不低于30%，供货前卖方向买方书面提出验收要求，买方在接到书面要求后3日进行验收。</w:t>
      </w:r>
      <w:r/>
    </w:p>
    <w:p>
      <w:pPr>
        <w:ind w:firstLine="480"/>
        <w:jc w:val="left"/>
        <w:keepLines w:val="0"/>
        <w:keepNext w:val="0"/>
        <w:pageBreakBefore w:val="0"/>
        <w:spacing w:line="360" w:lineRule="auto"/>
        <w:widowControl/>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验收方法：抽查每种器材总数的2%，如有1种器材中的1台设备低于投标产品的技术要求，此批器材视为不合格，买方不予接收。卖方应于15日内提供符合技术要求的器材，如果未能提供或第二次抽检仍有不合格器材，卖方承担违约责任，买方扣除全部履约保证金(合同金额（合同总价）的5%)作为违约金。因器材验收不合格产生的返厂更换、器材存放地点房租等一切费用和损失都由中标人（卖方）承担。抽检器材全部达到或高于投标产品的技术要求，视为合格。卖方方可配送安装。</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交付验收</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合同标的全部安装完毕后，卖方应对产品做出全面检查，根据招标要求进行产品安装、调试、测试、试运行后，整理验收文件，并列出清单，作为卖方交付验收和使用的技术条件依据，检验的结果应随货物交买方。卖方向买方书面提出验收要求，买方在接到书面要求后3日进行验收。买方将委托具备相应资质的第三方质量监督检测机构等专业技术力量参与器材安装和使用情况进行验收，并由买方纪检人员现场监督抽检全过程，验收时卖方代表必须在场。具体要求如下：</w:t>
      </w:r>
      <w:r/>
    </w:p>
    <w:p>
      <w:pPr>
        <w:ind w:firstLine="560"/>
        <w:jc w:val="left"/>
        <w:keepLines w:val="0"/>
        <w:keepNext w:val="0"/>
        <w:pageBreakBefore w:val="0"/>
        <w:spacing w:after="0" w:line="360" w:lineRule="auto"/>
        <w:widowControl/>
        <w:rPr>
          <w:rFonts w:hint="eastAsia" w:ascii="仿宋" w:hAnsi="仿宋" w:eastAsia="仿宋" w:cs="仿宋"/>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对安装完毕的健身器材按30%的比例进行抽检验收，验收内容包括但不限于器材质量和安装场地符合要求、安装地点选择合理且无安全隐患、站点和器材信息已按要求录入省平台、器材编码、省统-的报修二维码已印制在告示牌和器材上并激活等。卖方应于30日内对验收发现的不合格器材或安装进行整改，如果整改未达到验收要求，卖方承担违约责任，买方扣除全部履约保证金(合同金额（合同总价）的5%作为违约金)。因器材验收不合格产生的返厂更换、器材存放地点房租等一切费用和损失都由卖方承担。验收器材全部达到验收要求，视为合格。</w:t>
      </w:r>
      <w:r/>
    </w:p>
    <w:p>
      <w:pPr>
        <w:ind w:firstLine="480"/>
        <w:jc w:val="left"/>
        <w:keepLines w:val="0"/>
        <w:keepNext w:val="0"/>
        <w:pageBreakBefore w:val="0"/>
        <w:spacing w:line="360" w:lineRule="auto"/>
        <w:widowControl/>
        <w:rPr>
          <w:rFonts w:hint="eastAsia" w:ascii="仿宋" w:hAnsi="仿宋" w:eastAsia="仿宋" w:cs="仿宋"/>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验收费用</w:t>
      </w:r>
      <w:r/>
    </w:p>
    <w:p>
      <w:pPr>
        <w:ind w:firstLine="480"/>
        <w:jc w:val="left"/>
        <w:keepLines w:val="0"/>
        <w:keepNext w:val="0"/>
        <w:pageBreakBefore w:val="0"/>
        <w:spacing w:after="0" w:line="360" w:lineRule="auto"/>
        <w:widowControl/>
        <w:rPr>
          <w:rFonts w:hint="eastAsia" w:ascii="仿宋" w:hAnsi="仿宋" w:eastAsia="仿宋" w:cs="仿宋"/>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买方委托的具备相应资质的第三方质量监督检测机构等专业技术力量对货物验收和安装使用验收过程产生的一切费用由卖方承担,其中，抽检验收费用按照不超过合同总价的1.5%计入投标报价，全面验收费用按照不超过合同总价的5%计入投标报价。</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（四）商品包装验收标准：见招标文件第五章《拟签订的合同文本》中“第六条 包装与标记”中“6.4 商品（合同标的）包装具体要求”。</w:t>
      </w:r>
      <w:r/>
    </w:p>
    <w:p>
      <w:pPr>
        <w:rPr>
          <w:rFonts w:hint="eastAsia" w:ascii="宋体" w:hAnsi="宋体" w:eastAsia="宋体" w:cs="宋体"/>
          <w:b/>
          <w:sz w:val="30"/>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（五）快递包装验收标准：见招标文件第五章《拟签订的合同文本》中“第六条 包装与标记”中“6.5 快递包装具体要求”。</w:t>
      </w:r>
      <w:r>
        <w:rPr>
          <w:rFonts w:hint="eastAsia" w:ascii="宋体" w:hAnsi="宋体" w:eastAsia="宋体" w:cs="宋体"/>
          <w:b/>
          <w:sz w:val="30"/>
        </w:rPr>
        <w:br w:type="page" w:clear="all"/>
      </w:r>
      <w:r/>
    </w:p>
    <w:p>
      <w:pPr>
        <w:jc w:val="center"/>
        <w:spacing w:line="360" w:lineRule="auto"/>
        <w:rPr>
          <w:rFonts w:hint="eastAsia" w:ascii="宋体" w:hAnsi="宋体" w:eastAsia="宋体" w:cs="宋体"/>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t xml:space="preserve">第七章</w:t>
      </w:r>
      <w:r>
        <w:rPr>
          <w:rFonts w:hint="eastAsia" w:ascii="宋体" w:hAnsi="宋体" w:eastAsia="宋体" w:cs="宋体"/>
          <w:b/>
          <w:sz w:val="30"/>
          <w:lang w:val="en-US" w:eastAsia="zh-CN"/>
        </w:rPr>
        <w:t xml:space="preserve"> </w:t>
      </w:r>
      <w:r>
        <w:rPr>
          <w:rFonts w:hint="eastAsia" w:ascii="宋体" w:hAnsi="宋体" w:eastAsia="宋体" w:cs="宋体"/>
          <w:b/>
          <w:sz w:val="30"/>
        </w:rPr>
        <w:t xml:space="preserve">投标文件相关格式</w:t>
      </w:r>
      <w:r/>
    </w:p>
    <w:p>
      <w:pPr>
        <w:ind w:firstLine="64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一、投标函格式</w:t>
      </w:r>
      <w:r/>
    </w:p>
    <w:p>
      <w:pPr>
        <w:keepLines w:val="0"/>
        <w:keepNext w:val="0"/>
        <w:pageBreakBefore w:val="0"/>
        <w:spacing w:line="460" w:lineRule="exact"/>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致：</w:t>
      </w:r>
      <w:r>
        <w:rPr>
          <w:rFonts w:hint="eastAsia" w:ascii="宋体" w:hAnsi="宋体" w:cs="宋体"/>
          <w:sz w:val="24"/>
          <w:szCs w:val="24"/>
          <w:u w:val="single"/>
          <w:lang w:eastAsia="zh-CN"/>
        </w:rPr>
        <w:t xml:space="preserve">丰县文体广电和旅游局</w:t>
      </w:r>
      <w:r/>
    </w:p>
    <w:p>
      <w:pPr>
        <w:ind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]招标文件，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(姓名)代表我方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据此函，投标人承诺并同意如下： </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 投标人唯一投标报价见《开标一览表》。</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 投标有效期为开标之日后90天。</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地址： </w:t>
      </w:r>
      <w:r/>
    </w:p>
    <w:p>
      <w:pPr>
        <w:ind w:firstLine="12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电话： </w:t>
      </w:r>
      <w:r/>
    </w:p>
    <w:p>
      <w:pPr>
        <w:ind w:firstLine="12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传真： </w:t>
      </w:r>
      <w:r/>
    </w:p>
    <w:p>
      <w:pPr>
        <w:ind w:firstLine="336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ind w:firstLine="336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firstLine="640"/>
        <w:jc w:val="center"/>
        <w:spacing w:line="360" w:lineRule="auto"/>
        <w:rPr>
          <w:rFonts w:hint="eastAsia" w:ascii="宋体" w:hAnsi="宋体" w:eastAsia="宋体" w:cs="宋体"/>
          <w:b/>
          <w:bCs/>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二、开标一览表格式</w:t>
      </w:r>
      <w:r>
        <w:rPr>
          <w:rFonts w:hint="eastAsia" w:ascii="宋体" w:hAnsi="宋体" w:eastAsia="宋体" w:cs="宋体"/>
          <w:b/>
          <w:bCs/>
          <w:sz w:val="32"/>
          <w:szCs w:val="32"/>
          <w:lang w:val="en-US" w:eastAsia="zh-CN"/>
        </w:rPr>
        <w:t xml:space="preserve"> </w:t>
      </w:r>
      <w:r/>
    </w:p>
    <w:p>
      <w:pPr>
        <w:ind w:firstLine="480"/>
        <w:jc w:val="center"/>
        <w:spacing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480"/>
        <w:jc w:val="center"/>
        <w:spacing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480"/>
        <w:jc w:val="center"/>
        <w:spacing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480"/>
        <w:jc w:val="center"/>
        <w:spacing w:after="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ind w:firstLine="60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32"/>
          <w:szCs w:val="32"/>
        </w:rPr>
      </w:r>
      <w:r/>
    </w:p>
    <w:p>
      <w:pPr>
        <w:ind w:firstLine="60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三、分项价格表格式</w:t>
      </w:r>
      <w:r/>
    </w:p>
    <w:p>
      <w:pPr>
        <w:ind w:firstLine="600"/>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w:t>
      </w:r>
      <w:r/>
    </w:p>
    <w:p>
      <w:pPr>
        <w:rPr>
          <w:rFonts w:hint="eastAsia" w:ascii="宋体" w:hAnsi="宋体" w:eastAsia="宋体" w:cs="宋体"/>
          <w:sz w:val="24"/>
          <w:szCs w:val="24"/>
        </w:rPr>
      </w:pPr>
      <w:r>
        <w:rPr>
          <w:rFonts w:hint="eastAsia" w:ascii="宋体" w:hAnsi="宋体" w:eastAsia="宋体" w:cs="宋体"/>
          <w:sz w:val="24"/>
          <w:szCs w:val="24"/>
        </w:rPr>
        <w:t xml:space="preserve">项目名称：</w:t>
      </w:r>
      <w:r/>
    </w:p>
    <w:p>
      <w:pPr>
        <w:jc w:val="right"/>
        <w:rPr>
          <w:rFonts w:hint="eastAsia" w:ascii="宋体" w:hAnsi="宋体" w:eastAsia="宋体" w:cs="宋体"/>
          <w:sz w:val="24"/>
          <w:szCs w:val="24"/>
        </w:rPr>
      </w:pPr>
      <w:r>
        <w:rPr>
          <w:rFonts w:hint="eastAsia" w:ascii="宋体" w:hAnsi="宋体" w:eastAsia="宋体" w:cs="宋体"/>
          <w:sz w:val="24"/>
          <w:szCs w:val="24"/>
        </w:rPr>
        <w:t xml:space="preserve">          　 货币单位：人民币元</w:t>
      </w:r>
      <w:r/>
    </w:p>
    <w:p>
      <w:pPr>
        <w:ind w:firstLine="3120"/>
        <w:rPr>
          <w:rFonts w:hint="eastAsia" w:ascii="宋体" w:hAnsi="宋体" w:eastAsia="宋体" w:cs="宋体"/>
          <w:sz w:val="24"/>
          <w:szCs w:val="24"/>
        </w:rPr>
      </w:pPr>
      <w:r>
        <w:rPr>
          <w:rFonts w:hint="eastAsia" w:ascii="宋体" w:hAnsi="宋体" w:eastAsia="宋体" w:cs="宋体"/>
          <w:sz w:val="24"/>
          <w:szCs w:val="24"/>
        </w:rPr>
      </w:r>
      <w:r/>
    </w:p>
    <w:tbl>
      <w:tblPr>
        <w:tblStyle w:val="770"/>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auto"/>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shd w:val="clear" w:color="auto" w:fill="auto"/>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品牌、规格、型号</w:t>
            </w:r>
            <w:r/>
          </w:p>
        </w:tc>
        <w:tc>
          <w:tcPr>
            <w:shd w:val="clear" w:color="auto" w:fill="auto"/>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产品制造企业名称（全称）</w:t>
            </w:r>
            <w:r/>
          </w:p>
        </w:tc>
        <w:tc>
          <w:tcPr>
            <w:shd w:val="clear" w:color="auto" w:fill="auto"/>
            <w:tcMar>
              <w:left w:w="15" w:type="dxa"/>
              <w:top w:w="15" w:type="dxa"/>
              <w:right w:w="15" w:type="dxa"/>
              <w:bottom w:w="0" w:type="dxa"/>
            </w:tcMar>
            <w:tcW w:w="199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750"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shd w:val="clear" w:color="auto" w:fill="auto"/>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数量单位</w:t>
            </w:r>
            <w:r/>
          </w:p>
        </w:tc>
        <w:tc>
          <w:tcPr>
            <w:shd w:val="clear" w:color="auto" w:fill="auto"/>
            <w:tcMar>
              <w:left w:w="15" w:type="dxa"/>
              <w:top w:w="15" w:type="dxa"/>
              <w:right w:w="15" w:type="dxa"/>
              <w:bottom w:w="0" w:type="dxa"/>
            </w:tcMar>
            <w:tcW w:w="807"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单价</w:t>
            </w:r>
            <w:r/>
          </w:p>
        </w:tc>
        <w:tc>
          <w:tcPr>
            <w:shd w:val="clear" w:color="auto" w:fill="auto"/>
            <w:tcW w:w="80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总价</w:t>
            </w:r>
            <w:r/>
          </w:p>
        </w:tc>
        <w:tc>
          <w:tcPr>
            <w:shd w:val="clear" w:color="auto" w:fill="auto"/>
            <w:tcMar>
              <w:left w:w="15" w:type="dxa"/>
              <w:top w:w="15" w:type="dxa"/>
              <w:right w:w="15" w:type="dxa"/>
              <w:bottom w:w="0" w:type="dxa"/>
            </w:tcMar>
            <w:tcW w:w="784"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备注</w:t>
            </w:r>
            <w:r/>
          </w:p>
        </w:tc>
      </w:tr>
      <w:tr>
        <w:trPr>
          <w:jc w:val="center"/>
          <w:trHeight w:val="300"/>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22"/>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9"/>
        </w:trPr>
        <w:tc>
          <w:tcPr>
            <w:gridSpan w:val="4"/>
            <w:shd w:val="clear" w:color="auto" w:fill="auto"/>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总价合计（即《开标一览表》中的“总价”）</w:t>
            </w:r>
            <w:r/>
          </w:p>
        </w:tc>
        <w:tc>
          <w:tcPr>
            <w:gridSpan w:val="6"/>
            <w:shd w:val="clear" w:color="auto" w:fill="auto"/>
            <w:tcW w:w="6008"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eastAsia="宋体" w:cs="宋体"/>
          <w:sz w:val="24"/>
          <w:szCs w:val="24"/>
        </w:rPr>
      </w:pPr>
      <w:r>
        <w:rPr>
          <w:rFonts w:hint="eastAsia" w:ascii="宋体" w:hAnsi="宋体" w:eastAsia="宋体" w:cs="宋体"/>
          <w:sz w:val="24"/>
          <w:szCs w:val="24"/>
        </w:rPr>
      </w:r>
      <w:r/>
    </w:p>
    <w:p>
      <w:pPr>
        <w:ind w:firstLine="3640"/>
        <w:spacing w:line="300" w:lineRule="auto"/>
        <w:rPr>
          <w:rFonts w:hint="eastAsia"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sz w:val="24"/>
          <w:szCs w:val="24"/>
        </w:rPr>
        <w:t xml:space="preserve">（电子签章）</w:t>
      </w:r>
      <w:r/>
    </w:p>
    <w:p>
      <w:pPr>
        <w:ind w:firstLine="364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sz w:val="24"/>
          <w:szCs w:val="24"/>
        </w:rPr>
      </w:pPr>
      <w:r>
        <w:rPr>
          <w:rFonts w:hint="eastAsia" w:ascii="宋体" w:hAnsi="宋体" w:eastAsia="宋体" w:cs="宋体"/>
          <w:sz w:val="24"/>
          <w:szCs w:val="24"/>
        </w:rPr>
      </w:r>
      <w:r/>
    </w:p>
    <w:p>
      <w:pPr>
        <w:ind w:firstLine="560"/>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注：</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1、如果不提供详细分项报价将视为没有实质性响应招标文件。</w:t>
      </w:r>
      <w:r/>
    </w:p>
    <w:p>
      <w:pPr>
        <w:numPr>
          <w:ilvl w:val="0"/>
          <w:numId w:val="0"/>
        </w:numPr>
        <w:jc w:val="lef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投标人对以上数据的真实性负责。</w:t>
      </w:r>
      <w:r/>
    </w:p>
    <w:p>
      <w:pPr>
        <w:jc w:val="left"/>
        <w:widowControl/>
        <w:rPr>
          <w:rFonts w:hint="eastAsia" w:ascii="宋体" w:hAnsi="宋体" w:eastAsia="宋体" w:cs="宋体"/>
          <w:b/>
          <w:bCs/>
          <w:sz w:val="24"/>
          <w:szCs w:val="24"/>
        </w:rPr>
      </w:pPr>
      <w:r>
        <w:rPr>
          <w:rFonts w:hint="eastAsia" w:ascii="宋体" w:hAnsi="宋体" w:eastAsia="宋体" w:cs="宋体"/>
          <w:b/>
          <w:bCs/>
          <w:sz w:val="24"/>
          <w:szCs w:val="24"/>
        </w:rPr>
        <w:t xml:space="preserve">采购人或采购代理机构有权将以上内容进行公示。</w:t>
      </w:r>
      <w:r/>
    </w:p>
    <w:p>
      <w:pPr>
        <w:ind w:firstLine="56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四、偏离表格式</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项目编号：</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项目名称：</w:t>
      </w:r>
      <w:r/>
    </w:p>
    <w:tbl>
      <w:tblPr>
        <w:tblStyle w:val="807"/>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bl>
    <w:p>
      <w:pP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注</w:t>
      </w:r>
      <w:r>
        <w:rPr>
          <w:rFonts w:hint="eastAsia" w:ascii="宋体" w:hAnsi="宋体" w:eastAsia="宋体" w:cs="宋体"/>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宋体" w:hAnsi="宋体" w:eastAsia="宋体" w:cs="宋体"/>
          <w:sz w:val="24"/>
          <w:szCs w:val="24"/>
          <w:lang w:val="en-US" w:eastAsia="zh-CN"/>
        </w:rPr>
        <w:t xml:space="preserve">。</w:t>
      </w:r>
      <w:r/>
    </w:p>
    <w:p>
      <w:pPr>
        <w:ind w:firstLine="2850"/>
        <w:spacing w:line="71"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spacing w:line="71"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sz w:val="24"/>
          <w:szCs w:val="24"/>
        </w:rPr>
        <w:t xml:space="preserve">（电子签章）</w:t>
      </w:r>
      <w:r/>
    </w:p>
    <w:p>
      <w:pPr>
        <w:ind w:firstLine="3900"/>
        <w:spacing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jc w:val="center"/>
        <w:spacing w:line="479" w:lineRule="atLeast"/>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32"/>
          <w:szCs w:val="32"/>
        </w:rPr>
      </w:r>
      <w:r/>
    </w:p>
    <w:p>
      <w:pPr>
        <w:jc w:val="cente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五、授权委托书格式</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委托人：</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地址：</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法定代表人：</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职务：</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统一社会信用代码：</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受托人：        性别：男（女）</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年龄：  岁      民族：  族</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职务：</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身份证号：</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兹委托（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）全权代表我企业（公司）参与（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）项目（项目编号：</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）的招、投标活动及签订合同。（</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）以我企业（公司）名义所为的法律行为及签署的文件，我企业（公司）均予以认可。有关法律责任均由我企业（公司）承担。（</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）无转委托权。</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委托期限自</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日起至</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日止。</w:t>
      </w:r>
      <w:r/>
    </w:p>
    <w:p>
      <w:pPr>
        <w:ind w:firstLine="63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特此授权委托。</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委托人（电子签章）：</w:t>
      </w:r>
      <w:r/>
    </w:p>
    <w:p>
      <w:pPr>
        <w:ind w:firstLine="600"/>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法定代表人（签字或盖章）： </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受托人（签字或盖章）：</w:t>
      </w:r>
      <w:r/>
    </w:p>
    <w:p>
      <w:pPr>
        <w:pStyle w:val="790"/>
        <w:ind w:left="0" w:firstLine="602"/>
        <w:spacing w:line="360" w:lineRule="auto"/>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受托人联系方式：</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rPr>
        <w:t xml:space="preserve">邮箱：</w:t>
      </w:r>
      <w:r/>
    </w:p>
    <w:p>
      <w:pPr>
        <w:ind w:right="600" w:firstLine="6150"/>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年  月</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日 </w:t>
      </w:r>
      <w:r/>
    </w:p>
    <w:p>
      <w:pPr>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w:t>
      </w:r>
      <w:r>
        <w:rPr>
          <w:rFonts w:hint="eastAsia" w:ascii="宋体" w:hAnsi="宋体" w:cs="宋体"/>
          <w:b/>
          <w:bCs/>
          <w:color w:val="auto"/>
          <w:sz w:val="28"/>
          <w:szCs w:val="28"/>
          <w:lang w:val="en-US" w:eastAsia="zh-CN"/>
        </w:rPr>
        <w:t xml:space="preserve">有效期内的</w:t>
      </w:r>
      <w:r>
        <w:rPr>
          <w:rFonts w:hint="eastAsia" w:ascii="宋体" w:hAnsi="宋体" w:eastAsia="宋体" w:cs="宋体"/>
          <w:b/>
          <w:bCs/>
          <w:color w:val="auto"/>
          <w:sz w:val="28"/>
          <w:szCs w:val="28"/>
        </w:rPr>
        <w:t xml:space="preserve">受托人身份证扫描件附后)</w:t>
      </w:r>
      <w:r/>
    </w:p>
    <w:p>
      <w:pPr>
        <w:jc w:val="center"/>
        <w:spacing w:before="100" w:after="100" w:line="479" w:lineRule="atLeast"/>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8"/>
          <w:szCs w:val="28"/>
        </w:rPr>
      </w:r>
      <w:r/>
    </w:p>
    <w:p>
      <w:pPr>
        <w:ind w:firstLine="600"/>
        <w:jc w:val="center"/>
        <w:spacing w:before="100" w:after="10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六、中小企业声明函格式</w:t>
      </w:r>
      <w:r/>
    </w:p>
    <w:p>
      <w:pPr>
        <w:ind w:left="0"/>
        <w:keepLines w:val="0"/>
        <w:keepNext w:val="0"/>
        <w:pageBreakBefore w:val="0"/>
        <w:spacing w:line="24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项目编号：</w:t>
      </w:r>
      <w:r/>
    </w:p>
    <w:p>
      <w:pPr>
        <w:ind w:left="0"/>
        <w:keepLines w:val="0"/>
        <w:keepNext w:val="0"/>
        <w:pageBreakBefore w:val="0"/>
        <w:spacing w:line="24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项目名称：</w:t>
      </w:r>
      <w:r/>
    </w:p>
    <w:p>
      <w:pPr>
        <w:ind w:left="0" w:firstLine="480"/>
        <w:keepLines w:val="0"/>
        <w:keepNext w:val="0"/>
        <w:pageBreakBefore w:val="0"/>
        <w:spacing w:line="240" w:lineRule="auto"/>
        <w:rPr>
          <w:rFonts w:hint="eastAsia" w:ascii="宋体" w:hAnsi="宋体" w:eastAsia="宋体" w:cs="宋体"/>
          <w:sz w:val="28"/>
          <w:szCs w:val="28"/>
        </w:rPr>
      </w:pPr>
      <w:r>
        <w:rPr>
          <w:rFonts w:hint="eastAsia" w:ascii="宋体" w:hAnsi="宋体" w:eastAsia="宋体" w:cs="宋体"/>
          <w:sz w:val="28"/>
          <w:szCs w:val="28"/>
        </w:rPr>
        <w:t xml:space="preserve">本公司郑重声明，根据《政府采购促进中小企业发展管理办法》（财库[2020]46号）的规定，本公司参加（</w:t>
      </w:r>
      <w:r>
        <w:rPr>
          <w:rFonts w:hint="eastAsia" w:ascii="宋体" w:hAnsi="宋体" w:cs="宋体"/>
          <w:sz w:val="28"/>
          <w:szCs w:val="28"/>
          <w:u w:val="single"/>
          <w:lang w:eastAsia="zh-CN"/>
        </w:rPr>
        <w:t xml:space="preserve">丰县文体广电和旅游局</w:t>
      </w:r>
      <w:r>
        <w:rPr>
          <w:rFonts w:hint="eastAsia" w:ascii="宋体" w:hAnsi="宋体" w:eastAsia="宋体" w:cs="宋体"/>
          <w:sz w:val="28"/>
          <w:szCs w:val="28"/>
        </w:rPr>
        <w:t xml:space="preserve">）的（</w:t>
      </w:r>
      <w:r>
        <w:rPr>
          <w:rFonts w:hint="eastAsia" w:ascii="宋体" w:hAnsi="宋体" w:cs="宋体"/>
          <w:sz w:val="28"/>
          <w:szCs w:val="28"/>
          <w:u w:val="single"/>
          <w:lang w:eastAsia="zh-CN"/>
        </w:rPr>
        <w:t xml:space="preserve">丰县2026年全民健身设施配建项目</w:t>
      </w:r>
      <w:r>
        <w:rPr>
          <w:rFonts w:hint="eastAsia" w:ascii="宋体" w:hAnsi="宋体" w:eastAsia="宋体" w:cs="宋体"/>
          <w:sz w:val="28"/>
          <w:szCs w:val="28"/>
        </w:rPr>
        <w:t xml:space="preserve">）采购活动，提供的货物全部由符合政策要求的中小企业制造。相关企业的具体情况如下：</w:t>
      </w:r>
      <w:r/>
    </w:p>
    <w:p>
      <w:pPr>
        <w:pStyle w:val="789"/>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u w:val="single"/>
          <w:lang w:val="en-US" w:eastAsia="zh-CN"/>
        </w:rPr>
        <w:t xml:space="preserve">告示牌</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89"/>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上肢牵引器</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89"/>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腰背按摩器</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89"/>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rPr>
        <w:t xml:space="preserve">太极揉推器</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89"/>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多功能腿部按摩器</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89"/>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双位漫步机</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89"/>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7</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骑马机</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89"/>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8</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钟摆机</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89"/>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9</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三位扭腰</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89"/>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10</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双杠</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89"/>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11</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高低杠</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89"/>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12</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天梯</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89"/>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13</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肋木架</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89"/>
        <w:ind w:left="0" w:firstLine="561"/>
        <w:keepLines w:val="0"/>
        <w:keepNext w:val="0"/>
        <w:pageBreakBefore w:val="0"/>
        <w:spacing w:after="0" w:line="240" w:lineRule="auto"/>
        <w:widowControl w:val="off"/>
        <w:rPr>
          <w:rFonts w:hint="eastAsia" w:ascii="宋体" w:hAnsi="宋体" w:eastAsia="宋体" w:cs="宋体"/>
          <w:color w:val="ff0000"/>
          <w:sz w:val="28"/>
          <w:szCs w:val="28"/>
          <w:lang w:val="en-US" w:eastAsia="zh-CN"/>
        </w:rPr>
      </w:pPr>
      <w:r>
        <w:rPr>
          <w:rFonts w:hint="eastAsia" w:ascii="宋体" w:hAnsi="宋体" w:eastAsia="宋体" w:cs="宋体"/>
          <w:sz w:val="28"/>
          <w:szCs w:val="28"/>
          <w:highlight w:val="none"/>
          <w:lang w:val="en-US" w:eastAsia="zh-CN"/>
        </w:rPr>
        <w:t xml:space="preserve">1</w:t>
      </w:r>
      <w:r>
        <w:rPr>
          <w:rFonts w:hint="eastAsia" w:ascii="宋体" w:hAnsi="宋体" w:cs="宋体"/>
          <w:sz w:val="28"/>
          <w:szCs w:val="28"/>
          <w:highlight w:val="none"/>
          <w:lang w:val="en-US" w:eastAsia="zh-CN"/>
        </w:rPr>
        <w:t xml:space="preserve">4</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仰卧板</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89"/>
        <w:ind w:left="0" w:firstLine="561"/>
        <w:keepLines w:val="0"/>
        <w:keepNext w:val="0"/>
        <w:pageBreakBefore w:val="0"/>
        <w:spacing w:after="0" w:line="240" w:lineRule="auto"/>
        <w:widowControl w:val="off"/>
        <w:rPr>
          <w:rFonts w:hint="eastAsia" w:ascii="宋体" w:hAnsi="宋体" w:eastAsia="宋体" w:cs="宋体"/>
          <w:sz w:val="28"/>
          <w:szCs w:val="28"/>
        </w:rPr>
      </w:pPr>
      <w:r>
        <w:rPr>
          <w:rFonts w:hint="eastAsia" w:ascii="宋体" w:hAnsi="宋体" w:eastAsia="宋体" w:cs="宋体"/>
          <w:sz w:val="28"/>
          <w:szCs w:val="28"/>
          <w:highlight w:val="none"/>
          <w:lang w:val="en-US" w:eastAsia="zh-CN"/>
        </w:rPr>
        <w:t xml:space="preserve">1</w:t>
      </w:r>
      <w:r>
        <w:rPr>
          <w:rFonts w:hint="eastAsia" w:ascii="宋体" w:hAnsi="宋体" w:cs="宋体"/>
          <w:sz w:val="28"/>
          <w:szCs w:val="28"/>
          <w:highlight w:val="none"/>
          <w:lang w:val="en-US" w:eastAsia="zh-CN"/>
        </w:rPr>
        <w:t xml:space="preserve">5</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双位坐蹬器</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89"/>
        <w:ind w:left="0" w:firstLine="560"/>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w:t>
      </w:r>
      <w:r>
        <w:rPr>
          <w:rFonts w:hint="eastAsia" w:ascii="宋体" w:hAnsi="宋体" w:cs="宋体"/>
          <w:sz w:val="28"/>
          <w:szCs w:val="28"/>
          <w:highlight w:val="none"/>
          <w:lang w:val="en-US" w:eastAsia="zh-CN"/>
        </w:rPr>
        <w:t xml:space="preserve">6</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篮球架</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89"/>
        <w:ind w:left="0" w:firstLine="560"/>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17</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乒乓球桌</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89"/>
        <w:ind w:left="0" w:firstLine="560"/>
        <w:keepLines w:val="0"/>
        <w:keepNext w:val="0"/>
        <w:pageBreakBefore w:val="0"/>
        <w:spacing w:after="0" w:line="24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本企业对上述声明内容的真实性负责。如有虚假，将依法承担相应责任。</w:t>
      </w:r>
      <w:r/>
    </w:p>
    <w:p>
      <w:pPr>
        <w:pStyle w:val="789"/>
        <w:ind w:left="0"/>
        <w:keepLines w:val="0"/>
        <w:keepNext w:val="0"/>
        <w:pageBreakBefore w:val="0"/>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789"/>
        <w:ind w:left="0"/>
        <w:keepLines w:val="0"/>
        <w:keepNext w:val="0"/>
        <w:pageBreakBefore w:val="0"/>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企业名称（电子签章）：</w:t>
      </w:r>
      <w:r/>
    </w:p>
    <w:p>
      <w:pPr>
        <w:pStyle w:val="789"/>
        <w:ind w:left="0"/>
        <w:keepLines w:val="0"/>
        <w:keepNext w:val="0"/>
        <w:pageBreakBefore w:val="0"/>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日期：</w:t>
      </w:r>
      <w:r>
        <w:rPr>
          <w:rFonts w:hint="eastAsia" w:ascii="宋体" w:hAnsi="宋体" w:cs="宋体"/>
          <w:b/>
          <w:bCs/>
          <w:color w:val="auto"/>
          <w:sz w:val="28"/>
          <w:szCs w:val="28"/>
          <w:lang w:val="en-US" w:eastAsia="zh-CN"/>
        </w:rPr>
        <w:t xml:space="preserve">  </w:t>
      </w:r>
      <w:r>
        <w:rPr>
          <w:rFonts w:hint="eastAsia" w:ascii="宋体" w:hAnsi="宋体" w:eastAsia="宋体" w:cs="宋体"/>
          <w:b/>
          <w:bCs/>
          <w:color w:val="auto"/>
          <w:sz w:val="28"/>
          <w:szCs w:val="28"/>
        </w:rPr>
        <w:t xml:space="preserve">年</w:t>
      </w:r>
      <w:r>
        <w:rPr>
          <w:rFonts w:hint="eastAsia" w:ascii="宋体" w:hAnsi="宋体" w:cs="宋体"/>
          <w:b/>
          <w:bCs/>
          <w:color w:val="auto"/>
          <w:sz w:val="28"/>
          <w:szCs w:val="28"/>
          <w:lang w:val="en-US" w:eastAsia="zh-CN"/>
        </w:rPr>
        <w:t xml:space="preserve">  </w:t>
      </w:r>
      <w:r>
        <w:rPr>
          <w:rFonts w:hint="eastAsia" w:ascii="宋体" w:hAnsi="宋体" w:eastAsia="宋体" w:cs="宋体"/>
          <w:b/>
          <w:bCs/>
          <w:color w:val="auto"/>
          <w:sz w:val="28"/>
          <w:szCs w:val="28"/>
        </w:rPr>
        <w:t xml:space="preserve">月</w:t>
      </w:r>
      <w:r>
        <w:rPr>
          <w:rFonts w:hint="eastAsia" w:ascii="宋体" w:hAnsi="宋体" w:cs="宋体"/>
          <w:b/>
          <w:bCs/>
          <w:color w:val="auto"/>
          <w:sz w:val="28"/>
          <w:szCs w:val="28"/>
          <w:lang w:val="en-US" w:eastAsia="zh-CN"/>
        </w:rPr>
        <w:t xml:space="preserve">  </w:t>
      </w:r>
      <w:r>
        <w:rPr>
          <w:rFonts w:hint="eastAsia" w:ascii="宋体" w:hAnsi="宋体" w:eastAsia="宋体" w:cs="宋体"/>
          <w:b/>
          <w:bCs/>
          <w:color w:val="auto"/>
          <w:sz w:val="28"/>
          <w:szCs w:val="28"/>
        </w:rPr>
        <w:t xml:space="preserve">日</w:t>
      </w:r>
      <w:r/>
    </w:p>
    <w:p>
      <w:pPr>
        <w:pStyle w:val="789"/>
        <w:ind w:left="0"/>
        <w:jc w:val="left"/>
        <w:keepLines w:val="0"/>
        <w:keepNext w:val="0"/>
        <w:pageBreakBefore w:val="0"/>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说明：</w:t>
      </w:r>
      <w:r/>
    </w:p>
    <w:p>
      <w:pPr>
        <w:pStyle w:val="789"/>
        <w:ind w:left="0"/>
        <w:keepLines w:val="0"/>
        <w:keepNext w:val="0"/>
        <w:pageBreakBefore w:val="0"/>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89"/>
        <w:ind w:left="0"/>
        <w:keepLines w:val="0"/>
        <w:keepNext w:val="0"/>
        <w:pageBreakBefore w:val="0"/>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2、从业人员、营业收入、资产总额填报供应商上一年度数据，无上一年度数据的新成立企业可不填报。</w:t>
      </w:r>
      <w:r/>
    </w:p>
    <w:p>
      <w:pPr>
        <w:pStyle w:val="789"/>
        <w:ind w:left="0"/>
        <w:keepLines w:val="0"/>
        <w:keepNext w:val="0"/>
        <w:pageBreakBefore w:val="0"/>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3、中标、成交供应商为小型、微型企业的，采购人或者其委托的采购代理机构有权随中标、成交结果同时公告其《中小企业声明函》，接受社会监督。</w:t>
      </w:r>
      <w:r/>
    </w:p>
    <w:p>
      <w:pPr>
        <w:pStyle w:val="789"/>
        <w:ind w:left="0"/>
        <w:keepLines w:val="0"/>
        <w:keepNext w:val="0"/>
        <w:pageBreakBefore w:val="0"/>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4、执行江苏省财政厅关于进一步加大政府采购支持中小企业力度的通知（苏财购〔2022〕45号）的规定。</w:t>
      </w:r>
      <w:r/>
    </w:p>
    <w:p>
      <w:pPr>
        <w:pStyle w:val="789"/>
        <w:ind w:left="0"/>
        <w:keepLines w:val="0"/>
        <w:keepNext w:val="0"/>
        <w:pageBreakBefore w:val="0"/>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5、供应商提供的《中小企业声明函》与事实不符的，依照</w:t>
      </w:r>
      <w:r>
        <w:rPr>
          <w:rFonts w:hint="eastAsia" w:ascii="宋体" w:hAnsi="宋体" w:eastAsia="宋体" w:cs="宋体"/>
          <w:b/>
          <w:bCs/>
          <w:color w:val="auto"/>
          <w:sz w:val="24"/>
          <w:szCs w:val="24"/>
          <w:lang w:eastAsia="zh-CN"/>
        </w:rPr>
        <w:t xml:space="preserve">《中华人民共和国政府采购法》</w:t>
      </w:r>
      <w:r>
        <w:rPr>
          <w:rFonts w:hint="eastAsia" w:ascii="宋体" w:hAnsi="宋体" w:eastAsia="宋体" w:cs="宋体"/>
          <w:b/>
          <w:bCs/>
          <w:color w:val="auto"/>
          <w:sz w:val="24"/>
          <w:szCs w:val="24"/>
        </w:rPr>
        <w:t xml:space="preserve">第七十七条第一款的规定追究法律责任。</w:t>
      </w:r>
      <w:r/>
    </w:p>
    <w:p>
      <w:pPr>
        <w:ind w:left="0"/>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72"/>
        <w:jc w:val="center"/>
        <w:rPr>
          <w:rFonts w:hint="eastAsia" w:ascii="宋体" w:hAnsi="宋体" w:eastAsia="宋体" w:cs="宋体"/>
          <w:color w:val="auto"/>
          <w:sz w:val="24"/>
        </w:rPr>
      </w:pPr>
      <w:r>
        <w:rPr>
          <w:rFonts w:hint="eastAsia" w:ascii="宋体" w:hAnsi="宋体" w:eastAsia="宋体" w:cs="宋体"/>
          <w:color w:val="auto"/>
          <w:sz w:val="24"/>
        </w:rPr>
        <mc:AlternateContent>
          <mc:Choice Requires="wpg">
            <w:drawing>
              <wp:inline xmlns:wp="http://schemas.openxmlformats.org/drawingml/2006/wordprocessingDrawing" distT="0" distB="0" distL="0" distR="0">
                <wp:extent cx="2377440" cy="3472815"/>
                <wp:effectExtent l="0" t="0" r="3810" b="13335"/>
                <wp:docPr id="6"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图片1"/>
                        <pic:cNvPicPr>
                          <a:picLocks noChangeAspect="1"/>
                        </pic:cNvPicPr>
                        <pic:nvPr/>
                      </pic:nvPicPr>
                      <pic:blipFill>
                        <a:blip r:embed="rId16"/>
                        <a:stretch/>
                      </pic:blipFill>
                      <pic:spPr bwMode="auto">
                        <a:xfrm>
                          <a:off x="0" y="0"/>
                          <a:ext cx="2377440" cy="3472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87.2pt;height:273.4pt;mso-wrap-distance-left:0.0pt;mso-wrap-distance-top:0.0pt;mso-wrap-distance-right:0.0pt;mso-wrap-distance-bottom:0.0pt;" stroked="f">
                <v:path textboxrect="0,0,0,0"/>
                <v:imagedata r:id="rId16" o:title=""/>
              </v:shape>
            </w:pict>
          </mc:Fallback>
        </mc:AlternateContent>
      </w:r>
      <w:r/>
    </w:p>
    <w:p>
      <w:pPr>
        <w:ind w:firstLine="60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firstLine="60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七、残疾人福利性单位声明函格式</w:t>
      </w:r>
      <w:r/>
    </w:p>
    <w:p>
      <w:pPr>
        <w:spacing w:line="479" w:lineRule="atLeast"/>
        <w:rPr>
          <w:rFonts w:hint="eastAsia" w:ascii="宋体" w:hAnsi="宋体" w:eastAsia="宋体" w:cs="宋体"/>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项目编号：</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项目名称：</w:t>
      </w:r>
      <w:r/>
    </w:p>
    <w:p>
      <w:pPr>
        <w:ind w:firstLine="624"/>
        <w:spacing w:line="360" w:lineRule="auto"/>
        <w:rPr>
          <w:rFonts w:hint="eastAsia" w:ascii="宋体" w:hAnsi="宋体" w:eastAsia="宋体" w:cs="宋体"/>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本单位郑重声明，根据《财政部 民政部 中国残疾人联合会关于促进残疾人就业政府采购政策的通知》（财库</w:t>
      </w:r>
      <w:r>
        <w:rPr>
          <w:rFonts w:hint="eastAsia" w:ascii="宋体" w:hAnsi="宋体" w:eastAsia="宋体" w:cs="宋体"/>
          <w:sz w:val="28"/>
          <w:szCs w:val="28"/>
        </w:rPr>
        <w:t xml:space="preserve">〔2017〕 141</w:t>
      </w:r>
      <w:r>
        <w:rPr>
          <w:rFonts w:hint="eastAsia" w:ascii="宋体" w:hAnsi="宋体" w:eastAsia="宋体" w:cs="宋体"/>
          <w:spacing w:val="6"/>
          <w:sz w:val="28"/>
          <w:szCs w:val="28"/>
        </w:rPr>
        <w:t xml:space="preserve">号）的规定，本单位为符合条件的残疾人福利性单位，且本单位参加</w:t>
      </w:r>
      <w:r>
        <w:rPr>
          <w:rFonts w:hint="eastAsia" w:ascii="宋体" w:hAnsi="宋体" w:eastAsia="宋体" w:cs="宋体"/>
          <w:sz w:val="28"/>
          <w:szCs w:val="28"/>
          <w:u w:val="single"/>
          <w:lang w:val="en-US" w:eastAsia="zh-CN"/>
        </w:rPr>
        <w:t xml:space="preserve">    </w:t>
      </w:r>
      <w:r>
        <w:rPr>
          <w:rFonts w:hint="eastAsia" w:ascii="宋体" w:hAnsi="宋体" w:eastAsia="宋体" w:cs="宋体"/>
          <w:spacing w:val="6"/>
          <w:sz w:val="28"/>
          <w:szCs w:val="28"/>
        </w:rPr>
        <w:t xml:space="preserve">单位的</w:t>
      </w:r>
      <w:r>
        <w:rPr>
          <w:rFonts w:hint="eastAsia" w:ascii="宋体" w:hAnsi="宋体" w:eastAsia="宋体" w:cs="宋体"/>
          <w:sz w:val="28"/>
          <w:szCs w:val="28"/>
          <w:u w:val="single"/>
          <w:lang w:val="en-US" w:eastAsia="zh-CN"/>
        </w:rPr>
        <w:t xml:space="preserve">       </w:t>
      </w:r>
      <w:r>
        <w:rPr>
          <w:rFonts w:hint="eastAsia" w:ascii="宋体" w:hAnsi="宋体" w:eastAsia="宋体" w:cs="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本单位对上述声明的真实性负责。如有虚假，将依法承担相应责任。</w:t>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 </w:t>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（电子签章）</w:t>
      </w:r>
      <w:r/>
    </w:p>
    <w:p>
      <w:pPr>
        <w:ind w:firstLine="45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日期： 年 月 日</w:t>
      </w:r>
      <w:r/>
    </w:p>
    <w:p>
      <w:pPr>
        <w:ind w:firstLine="45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我单位在参加</w:t>
      </w:r>
      <w:r>
        <w:rPr>
          <w:rFonts w:hint="eastAsia" w:ascii="宋体" w:hAnsi="宋体" w:cs="宋体"/>
          <w:sz w:val="28"/>
          <w:szCs w:val="28"/>
          <w:u w:val="single"/>
          <w:lang w:eastAsia="zh-CN"/>
        </w:rPr>
        <w:t xml:space="preserve">丰县2026年全民健身设施配建项目</w:t>
      </w:r>
      <w:r>
        <w:rPr>
          <w:rFonts w:hint="eastAsia" w:ascii="宋体" w:hAnsi="宋体" w:eastAsia="宋体" w:cs="宋体"/>
          <w:sz w:val="28"/>
          <w:szCs w:val="28"/>
        </w:rPr>
        <w:t xml:space="preserve">（项目编号：</w:t>
      </w:r>
      <w:r>
        <w:rPr>
          <w:rFonts w:hint="eastAsia" w:ascii="宋体" w:hAnsi="宋体" w:cs="宋体"/>
          <w:sz w:val="28"/>
          <w:szCs w:val="28"/>
          <w:u w:val="single"/>
          <w:lang w:val="en-US" w:eastAsia="zh-CN"/>
        </w:rPr>
        <w:t xml:space="preserve">JSZC-320321-YHXZ-G2026-0002</w:t>
      </w:r>
      <w:r>
        <w:rPr>
          <w:rFonts w:hint="eastAsia" w:ascii="宋体" w:hAnsi="宋体" w:eastAsia="宋体" w:cs="宋体"/>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我单位对上述声明的真实性负责。如有虚假，将依法承担相应责任。</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（电子签章）</w:t>
      </w:r>
      <w:r/>
    </w:p>
    <w:p>
      <w:pPr>
        <w:ind w:firstLine="45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日期： 年 月 日</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ind w:firstLine="600"/>
        <w:jc w:val="center"/>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sz w:val="30"/>
        </w:rPr>
      </w:r>
      <w:r/>
    </w:p>
    <w:p>
      <w:pPr>
        <w:jc w:val="center"/>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九、关于符合本国产品标准的声明函</w:t>
      </w:r>
      <w:r>
        <w:rPr>
          <w:rFonts w:hint="eastAsia" w:ascii="宋体" w:hAnsi="宋体" w:eastAsia="宋体" w:cs="宋体"/>
        </w:rPr>
        <w:t xml:space="preserve"> </w:t>
      </w:r>
      <w:r/>
    </w:p>
    <w:p>
      <w:pPr>
        <w:pStyle w:val="805"/>
        <w:ind w:right="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lang w:val="en-US" w:eastAsia="zh-CN"/>
        </w:rPr>
      </w:r>
      <w:r/>
    </w:p>
    <w:p>
      <w:pPr>
        <w:pStyle w:val="805"/>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32"/>
          <w:szCs w:val="32"/>
          <w:lang w:val="en-US" w:eastAsia="zh-CN"/>
        </w:rPr>
        <w:t xml:space="preserve">关于符合本国产品标准的声明函</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w:t>
      </w:r>
      <w:r>
        <w:rPr>
          <w:rFonts w:hint="eastAsia" w:ascii="宋体" w:hAnsi="宋体" w:eastAsia="宋体" w:cs="宋体"/>
          <w:b/>
          <w:bCs w:val="0"/>
          <w:color w:val="auto"/>
          <w:sz w:val="24"/>
          <w:szCs w:val="24"/>
          <w:highlight w:val="none"/>
          <w:u w:val="single"/>
          <w:lang w:val="en-US" w:eastAsia="zh-CN" w:bidi="ar-SA"/>
        </w:rPr>
        <w:t xml:space="preserve">（ 产品名称 ）</w:t>
      </w:r>
      <w:r>
        <w:rPr>
          <w:rFonts w:hint="eastAsia" w:ascii="宋体" w:hAnsi="宋体" w:eastAsia="宋体" w:cs="宋体"/>
          <w:b w:val="0"/>
          <w:bCs/>
          <w:color w:val="auto"/>
          <w:sz w:val="24"/>
          <w:szCs w:val="24"/>
          <w:highlight w:val="none"/>
          <w:lang w:val="en-US" w:eastAsia="zh-CN" w:bidi="ar-SA"/>
        </w:rPr>
        <w:t xml:space="preserve">，生产厂为</w:t>
      </w:r>
      <w:r>
        <w:rPr>
          <w:rFonts w:hint="eastAsia" w:ascii="宋体" w:hAnsi="宋体" w:eastAsia="宋体" w:cs="宋体"/>
          <w:b/>
          <w:bCs w:val="0"/>
          <w:color w:val="auto"/>
          <w:sz w:val="24"/>
          <w:szCs w:val="24"/>
          <w:highlight w:val="none"/>
          <w:u w:val="single"/>
          <w:lang w:val="en-US" w:eastAsia="zh-CN" w:bidi="ar-SA"/>
        </w:rPr>
        <w:t xml:space="preserve">（厂名</w:t>
      </w:r>
      <w:r>
        <w:rPr>
          <w:rFonts w:hint="eastAsia" w:ascii="宋体" w:hAnsi="宋体" w:eastAsia="宋体" w:cs="宋体"/>
          <w:b w:val="0"/>
          <w:bCs/>
          <w:color w:val="auto"/>
          <w:sz w:val="24"/>
          <w:szCs w:val="24"/>
          <w:highlight w:val="none"/>
          <w:lang w:val="en-US" w:eastAsia="zh-CN" w:bidi="ar-SA"/>
        </w:rPr>
        <w:t xml:space="preserve">），厂址为</w:t>
      </w:r>
      <w:r>
        <w:rPr>
          <w:rFonts w:hint="eastAsia" w:ascii="宋体" w:hAnsi="宋体" w:eastAsia="宋体" w:cs="宋体"/>
          <w:b/>
          <w:bCs w:val="0"/>
          <w:color w:val="auto"/>
          <w:sz w:val="24"/>
          <w:szCs w:val="24"/>
          <w:highlight w:val="none"/>
          <w:u w:val="single"/>
          <w:lang w:val="en-US" w:eastAsia="zh-CN" w:bidi="ar-SA"/>
        </w:rPr>
        <w:t xml:space="preserve">（生产厂址）</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的中国境内生产的组件成本占比≥</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在中国境内生产。</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在中国境内完成。</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w:t>
      </w:r>
      <w:r>
        <w:rPr>
          <w:rFonts w:hint="eastAsia" w:ascii="宋体" w:hAnsi="宋体" w:eastAsia="宋体" w:cs="宋体"/>
          <w:b/>
          <w:bCs w:val="0"/>
          <w:color w:val="auto"/>
          <w:sz w:val="24"/>
          <w:szCs w:val="24"/>
          <w:highlight w:val="none"/>
          <w:u w:val="single"/>
          <w:lang w:val="en-US" w:eastAsia="zh-CN" w:bidi="ar-SA"/>
        </w:rPr>
        <w:t xml:space="preserve">（产品名称 ）</w:t>
      </w:r>
      <w:r>
        <w:rPr>
          <w:rFonts w:hint="eastAsia" w:ascii="宋体" w:hAnsi="宋体" w:eastAsia="宋体" w:cs="宋体"/>
          <w:b w:val="0"/>
          <w:bCs/>
          <w:color w:val="auto"/>
          <w:sz w:val="24"/>
          <w:szCs w:val="24"/>
          <w:highlight w:val="none"/>
          <w:lang w:val="en-US" w:eastAsia="zh-CN" w:bidi="ar-SA"/>
        </w:rPr>
        <w:t xml:space="preserve">，生产厂为</w:t>
      </w:r>
      <w:r>
        <w:rPr>
          <w:rFonts w:hint="eastAsia" w:ascii="宋体" w:hAnsi="宋体" w:eastAsia="宋体" w:cs="宋体"/>
          <w:b/>
          <w:bCs w:val="0"/>
          <w:color w:val="auto"/>
          <w:sz w:val="24"/>
          <w:szCs w:val="24"/>
          <w:highlight w:val="none"/>
          <w:u w:val="single"/>
          <w:lang w:val="en-US" w:eastAsia="zh-CN" w:bidi="ar-SA"/>
        </w:rPr>
        <w:t xml:space="preserve">（厂名）</w:t>
      </w:r>
      <w:r>
        <w:rPr>
          <w:rFonts w:hint="eastAsia" w:ascii="宋体" w:hAnsi="宋体" w:eastAsia="宋体" w:cs="宋体"/>
          <w:b w:val="0"/>
          <w:bCs/>
          <w:color w:val="auto"/>
          <w:sz w:val="24"/>
          <w:szCs w:val="24"/>
          <w:highlight w:val="none"/>
          <w:lang w:val="en-US" w:eastAsia="zh-CN" w:bidi="ar-SA"/>
        </w:rPr>
        <w:t xml:space="preserve">，厂址为</w:t>
      </w:r>
      <w:r>
        <w:rPr>
          <w:rFonts w:hint="eastAsia" w:ascii="宋体" w:hAnsi="宋体" w:eastAsia="宋体" w:cs="宋体"/>
          <w:b/>
          <w:bCs w:val="0"/>
          <w:color w:val="auto"/>
          <w:sz w:val="24"/>
          <w:szCs w:val="24"/>
          <w:highlight w:val="none"/>
          <w:u w:val="single"/>
          <w:lang w:val="en-US" w:eastAsia="zh-CN" w:bidi="ar-SA"/>
        </w:rPr>
        <w:t xml:space="preserve">（生产厂址）</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的中国境内生产的组件成本占比≥</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在中国境内生产。</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在中国境内完成。</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本公司（单位）对上述声明内容的真实性负责。如有虚假，愿承担相应法律责任。</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公司（单位）名称（电子签章）：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日期：  年  月  日</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注：</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1.产品如有型号，请在“产品名称”栏一并填写。</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2.生产厂名与厂址应与生产厂营业执照载明的相关信息保持一致。</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3.该产品的中国境内生产的组件成本占比相关要求实施前，“规定比例”栏可不填，下同。</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4.该产品的关键组件要求实施前，“关键组件”栏可不填，下同。</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5.该产品的关键工序要求实施前，“关键工序”栏可不填，下同。</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6.《声明函》中标注“ /”的地方无需填写。</w:t>
      </w:r>
      <w:r/>
    </w:p>
    <w:p>
      <w:pPr>
        <w:pStyle w:val="80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eastAsia="宋体" w:cs="宋体"/>
          <w:i w:val="0"/>
          <w:iCs w:val="0"/>
          <w:caps w:val="0"/>
          <w:color w:val="000000"/>
          <w:spacing w:val="0"/>
          <w:sz w:val="24"/>
          <w:szCs w:val="24"/>
          <w:shd w:val="clear" w:color="auto" w:fill="ffffff"/>
          <w:vertAlign w:val="baseline"/>
          <w:lang w:val="en-US" w:eastAsia="zh-CN"/>
        </w:rPr>
      </w:r>
      <w:r/>
    </w:p>
    <w:p>
      <w:pPr>
        <w:jc w:val="center"/>
        <w:spacing w:line="360" w:lineRule="auto"/>
        <w:rPr>
          <w:rFonts w:hint="eastAsia" w:ascii="宋体" w:hAnsi="宋体" w:eastAsia="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十</w:t>
      </w:r>
      <w:r>
        <w:rPr>
          <w:rFonts w:hint="eastAsia" w:ascii="宋体" w:hAnsi="宋体" w:eastAsia="宋体" w:cs="宋体"/>
          <w:b/>
          <w:bCs/>
          <w:color w:val="auto"/>
          <w:sz w:val="32"/>
          <w:szCs w:val="32"/>
        </w:rPr>
        <w:t xml:space="preserve">、预付款保函支付条款模板</w:t>
      </w:r>
      <w:r/>
    </w:p>
    <w:p>
      <w:pPr>
        <w:spacing w:line="360" w:lineRule="auto"/>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r>
      <w:r/>
    </w:p>
    <w:p>
      <w:pPr>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符合条件一：提交预付款保函的</w:t>
      </w:r>
      <w:r/>
    </w:p>
    <w:p>
      <w:pPr>
        <w:ind w:firstLine="56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（1）合同签订且乙方向甲方出具预付款保函后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个工作日内，由甲方根据审批流程办理政府采购资金结算手续，经审核后支付给乙方合同价款的百分之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（2）合同标的全部交付并安装完毕并验收合格后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个工作日内，由甲方根据审批流程办理政府采购资金结算手续，经审核后支付合同价款的百分之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605"/>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w:t>
      </w:r>
      <w:r/>
    </w:p>
    <w:p>
      <w:pPr>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符合条件二：不提交预付款保函的</w:t>
      </w:r>
      <w:r/>
    </w:p>
    <w:p>
      <w:pPr>
        <w:ind w:firstLine="602"/>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（1）合同签订后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个工作日内，由甲方根据审批流程办理政府采购资金结算手续，经审核后支付合同价款的百分之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（2）合同标的全部交付并安装完毕并验收合格后，由甲方根据审批流程办理政府采购资金结算手续，经审核后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605"/>
        <w:keepLines w:val="0"/>
        <w:keepNext w:val="0"/>
        <w:pageBreakBefore w:val="0"/>
        <w:spacing w:line="480" w:lineRule="exact"/>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w:t>
      </w:r>
      <w:r/>
    </w:p>
    <w:p>
      <w:pPr>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注:</w:t>
      </w:r>
      <w:r/>
    </w:p>
    <w:p>
      <w:pPr>
        <w:ind w:firstLine="48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1、付款条件一中，出具预付款保函后支付的合同款应当与保函金额一致。</w:t>
      </w:r>
      <w:r/>
    </w:p>
    <w:p>
      <w:pPr>
        <w:pStyle w:val="797"/>
        <w:ind w:firstLine="480"/>
        <w:rPr>
          <w:rFonts w:hint="eastAsia" w:ascii="宋体" w:hAnsi="宋体" w:eastAsia="宋体" w:cs="宋体"/>
          <w:color w:val="auto"/>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rPr>
        <w:t xml:space="preserve">2、付款条件二中，预付款比例设定应符合《关于做好政府采购支持企业发展有关事项的通知》(苏财购〔2020〕52号)要求。</w:t>
      </w:r>
      <w:r/>
    </w:p>
    <w:p>
      <w:pPr>
        <w:jc w:val="center"/>
        <w:keepLines w:val="0"/>
        <w:keepNext w:val="0"/>
        <w:pageBreakBefore w:val="0"/>
        <w:spacing w:line="360" w:lineRule="auto"/>
        <w:rPr>
          <w:rFonts w:hint="eastAsia" w:ascii="宋体" w:hAnsi="宋体" w:eastAsia="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十一、</w:t>
      </w:r>
      <w:r>
        <w:rPr>
          <w:rFonts w:hint="eastAsia" w:ascii="宋体" w:hAnsi="宋体" w:eastAsia="宋体" w:cs="宋体"/>
          <w:b/>
          <w:bCs/>
          <w:color w:val="auto"/>
          <w:sz w:val="32"/>
          <w:szCs w:val="32"/>
        </w:rPr>
        <w:t xml:space="preserve">具备履行合同所必需的设备和专业技术能力的书面声明（附证明材料扫描件）格式（投标人可自行拟定）</w:t>
      </w:r>
      <w:r/>
    </w:p>
    <w:p>
      <w:pPr>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项目编号：</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项目名称：</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投标人</w:t>
      </w:r>
      <w:r>
        <w:rPr>
          <w:rFonts w:hint="eastAsia" w:ascii="宋体" w:hAnsi="宋体" w:eastAsia="宋体" w:cs="宋体"/>
          <w:color w:val="auto"/>
          <w:sz w:val="28"/>
          <w:szCs w:val="28"/>
        </w:rPr>
        <w:t xml:space="preserve">郑重声明：投标人具备履行合同（项目名称：</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，项目编号：</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所必需的设备和专业技术能力， 具体为：</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设备：</w:t>
      </w:r>
      <w:r/>
    </w:p>
    <w:p>
      <w:pPr>
        <w:numPr>
          <w:ilvl w:val="0"/>
          <w:numId w:val="0"/>
        </w:num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u w:val="none"/>
          <w:lang w:val="en-US" w:eastAsia="zh-CN"/>
        </w:rPr>
        <w:t xml:space="preserve">1、</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（证明材料扫描件附后） </w:t>
      </w:r>
      <w:r/>
    </w:p>
    <w:p>
      <w:pPr>
        <w:numPr>
          <w:ilvl w:val="0"/>
          <w:numId w:val="0"/>
        </w:num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u w:val="none"/>
          <w:lang w:val="en-US" w:eastAsia="zh-CN"/>
        </w:rPr>
        <w:t xml:space="preserve">2、</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（证明材料扫描件附后）</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专业技术能力：</w:t>
      </w:r>
      <w:r/>
    </w:p>
    <w:p>
      <w:pPr>
        <w:numPr>
          <w:ilvl w:val="0"/>
          <w:numId w:val="0"/>
        </w:num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u w:val="none"/>
          <w:lang w:val="en-US" w:eastAsia="zh-CN"/>
        </w:rPr>
        <w:t xml:space="preserve">1、</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（证明材料扫描件附后）</w:t>
      </w:r>
      <w:r/>
    </w:p>
    <w:p>
      <w:pPr>
        <w:numPr>
          <w:ilvl w:val="0"/>
          <w:numId w:val="0"/>
        </w:num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u w:val="none"/>
          <w:lang w:val="en-US" w:eastAsia="zh-CN"/>
        </w:rPr>
        <w:t xml:space="preserve">2、</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（证明材料扫描件附后）</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特此声明。</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投标人</w:t>
      </w:r>
      <w:r>
        <w:rPr>
          <w:rFonts w:hint="eastAsia" w:ascii="宋体" w:hAnsi="宋体" w:eastAsia="宋体" w:cs="宋体"/>
          <w:color w:val="auto"/>
          <w:sz w:val="28"/>
          <w:szCs w:val="28"/>
        </w:rPr>
        <w:t xml:space="preserve">对上述声明的真实性负责。如有虚假，将依法承担相应责任。</w:t>
      </w:r>
      <w:r/>
    </w:p>
    <w:p>
      <w:pPr>
        <w:ind w:right="29"/>
        <w:keepLines w:val="0"/>
        <w:keepNext w:val="0"/>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ind w:right="29"/>
        <w:keepLines w:val="0"/>
        <w:keepNext w:val="0"/>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投标人（电子签章）：</w:t>
      </w:r>
      <w:r/>
    </w:p>
    <w:p>
      <w:pPr>
        <w:numPr>
          <w:ilvl w:val="0"/>
          <w:numId w:val="0"/>
        </w:numPr>
        <w:keepLines w:val="0"/>
        <w:keepNext w:val="0"/>
        <w:pageBreakBefore w:val="0"/>
        <w:spacing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bCs/>
          <w:color w:val="auto"/>
          <w:sz w:val="28"/>
          <w:szCs w:val="28"/>
        </w:rPr>
        <w:t xml:space="preserve">日期：  年  月  日</w:t>
      </w:r>
      <w:r/>
    </w:p>
    <w:p>
      <w:pPr>
        <w:rPr>
          <w:rFonts w:hint="eastAsia" w:ascii="宋体" w:hAnsi="宋体" w:eastAsia="宋体" w:cs="宋体"/>
        </w:rPr>
      </w:pPr>
      <w:r>
        <w:rPr>
          <w:rFonts w:hint="eastAsia" w:ascii="宋体" w:hAnsi="宋体" w:eastAsia="宋体" w:cs="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rPr>
        <w:rStyle w:val="972"/>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7"/>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7"/>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v:textbox>
            </v:shape>
          </w:pict>
        </mc:Fallback>
      </mc:AlternateContent>
    </w:r>
    <w:r>
      <w:rPr>
        <w:rStyle w:val="972"/>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7"/>
                            <w:tabs>
                              <w:tab w:val="clear" w:pos="4153" w:leader="none"/>
                              <w:tab w:val="clear" w:pos="8306" w:leader="none"/>
                            </w:tabs>
                            <w:rPr>
                              <w:rStyle w:val="972"/>
                            </w:rPr>
                          </w:pPr>
                          <w:r/>
                          <w:r/>
                        </w:p>
                        <w:p>
                          <w:pPr>
                            <w:rPr>
                              <w:rStyle w:val="972"/>
                            </w:rPr>
                          </w:pPr>
                          <w:r/>
                          <w:r/>
                        </w:p>
                        <w:p>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7"/>
                      <w:tabs>
                        <w:tab w:val="clear" w:pos="4153" w:leader="none"/>
                        <w:tab w:val="clear" w:pos="8306" w:leader="none"/>
                      </w:tabs>
                      <w:rPr>
                        <w:rStyle w:val="972"/>
                      </w:rPr>
                    </w:pPr>
                    <w:r/>
                    <w:r/>
                  </w:p>
                  <w:p>
                    <w:pPr>
                      <w:rPr>
                        <w:rStyle w:val="972"/>
                      </w:rPr>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5"/>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5"/>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right"/>
      <w:pBdr>
        <w:bottom w:val="single" w:color="auto" w:sz="4" w:space="0"/>
      </w:pBdr>
    </w:pPr>
    <w:r>
      <w:rPr>
        <w:rFonts w:hint="eastAsia" w:ascii="宋体" w:hAnsi="宋体" w:cs="宋体"/>
        <w:color w:val="auto"/>
        <w:sz w:val="18"/>
        <w:szCs w:val="18"/>
        <w:lang w:val="en-US" w:eastAsia="zh-CN"/>
      </w:rPr>
      <w:t xml:space="preserve">丰县2026年全民健身设施配建项目</w:t>
    </w:r>
    <w:r>
      <w:rPr>
        <w:rFonts w:hint="eastAsia" w:ascii="宋体" w:hAnsi="宋体" w:eastAsia="宋体" w:cs="宋体"/>
        <w:color w:val="auto"/>
        <w:sz w:val="18"/>
        <w:szCs w:val="18"/>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right"/>
      <w:pBdr>
        <w:bottom w:val="single" w:color="auto" w:sz="4" w:space="0"/>
      </w:pBdr>
    </w:pPr>
    <w:r>
      <w:rPr>
        <w:rFonts w:hint="eastAsia" w:ascii="宋体" w:hAnsi="宋体" w:cs="宋体"/>
        <w:color w:val="auto"/>
        <w:sz w:val="18"/>
        <w:szCs w:val="18"/>
        <w:lang w:val="en-US" w:eastAsia="zh-CN"/>
      </w:rPr>
      <w:t xml:space="preserve">丰县2026年全民健身设施配建项目</w:t>
    </w:r>
    <w:r>
      <w:rPr>
        <w:rFonts w:hint="eastAsia" w:ascii="宋体" w:hAnsi="宋体" w:eastAsia="宋体" w:cs="宋体"/>
        <w:color w:val="auto"/>
        <w:sz w:val="18"/>
        <w:szCs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9"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0">
    <w:name w:val="Heading 1"/>
    <w:basedOn w:val="759"/>
    <w:next w:val="759"/>
    <w:link w:val="819"/>
    <w:uiPriority w:val="9"/>
    <w:qFormat/>
    <w:pPr>
      <w:keepLines/>
      <w:keepNext/>
      <w:spacing w:before="480" w:after="200"/>
      <w:outlineLvl w:val="0"/>
    </w:pPr>
    <w:rPr>
      <w:rFonts w:ascii="Arial" w:hAnsi="Arial" w:eastAsia="Arial" w:cs="Arial"/>
      <w:sz w:val="40"/>
      <w:szCs w:val="40"/>
    </w:rPr>
  </w:style>
  <w:style w:type="paragraph" w:styleId="761">
    <w:name w:val="Heading 2"/>
    <w:basedOn w:val="759"/>
    <w:next w:val="759"/>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62">
    <w:name w:val="Heading 3"/>
    <w:basedOn w:val="759"/>
    <w:next w:val="759"/>
    <w:link w:val="821"/>
    <w:uiPriority w:val="9"/>
    <w:unhideWhenUsed/>
    <w:qFormat/>
    <w:pPr>
      <w:keepLines/>
      <w:keepNext/>
      <w:spacing w:before="320" w:after="200"/>
      <w:outlineLvl w:val="2"/>
    </w:pPr>
    <w:rPr>
      <w:rFonts w:ascii="Arial" w:hAnsi="Arial" w:eastAsia="Arial" w:cs="Arial"/>
      <w:sz w:val="30"/>
      <w:szCs w:val="30"/>
    </w:rPr>
  </w:style>
  <w:style w:type="paragraph" w:styleId="763">
    <w:name w:val="Heading 4"/>
    <w:basedOn w:val="759"/>
    <w:next w:val="759"/>
    <w:link w:val="822"/>
    <w:uiPriority w:val="9"/>
    <w:unhideWhenUsed/>
    <w:qFormat/>
    <w:pPr>
      <w:keepLines/>
      <w:keepNext/>
      <w:spacing w:before="320" w:after="200"/>
      <w:outlineLvl w:val="3"/>
    </w:pPr>
    <w:rPr>
      <w:rFonts w:ascii="Arial" w:hAnsi="Arial" w:eastAsia="Arial" w:cs="Arial"/>
      <w:b/>
      <w:bCs/>
      <w:sz w:val="26"/>
      <w:szCs w:val="26"/>
    </w:rPr>
  </w:style>
  <w:style w:type="paragraph" w:styleId="764">
    <w:name w:val="Heading 5"/>
    <w:basedOn w:val="759"/>
    <w:next w:val="759"/>
    <w:link w:val="823"/>
    <w:uiPriority w:val="9"/>
    <w:unhideWhenUsed/>
    <w:qFormat/>
    <w:pPr>
      <w:keepLines/>
      <w:keepNext/>
      <w:spacing w:before="320" w:after="200"/>
      <w:outlineLvl w:val="4"/>
    </w:pPr>
    <w:rPr>
      <w:rFonts w:ascii="Arial" w:hAnsi="Arial" w:eastAsia="Arial" w:cs="Arial"/>
      <w:b/>
      <w:bCs/>
      <w:sz w:val="24"/>
      <w:szCs w:val="24"/>
    </w:rPr>
  </w:style>
  <w:style w:type="paragraph" w:styleId="765">
    <w:name w:val="Heading 6"/>
    <w:basedOn w:val="759"/>
    <w:next w:val="759"/>
    <w:link w:val="824"/>
    <w:uiPriority w:val="9"/>
    <w:unhideWhenUsed/>
    <w:qFormat/>
    <w:pPr>
      <w:keepLines/>
      <w:keepNext/>
      <w:spacing w:before="320" w:after="200"/>
      <w:outlineLvl w:val="5"/>
    </w:pPr>
    <w:rPr>
      <w:rFonts w:ascii="Arial" w:hAnsi="Arial" w:eastAsia="Arial" w:cs="Arial"/>
      <w:b/>
      <w:bCs/>
      <w:sz w:val="22"/>
      <w:szCs w:val="22"/>
    </w:rPr>
  </w:style>
  <w:style w:type="paragraph" w:styleId="766">
    <w:name w:val="Heading 7"/>
    <w:basedOn w:val="759"/>
    <w:next w:val="759"/>
    <w:link w:val="825"/>
    <w:uiPriority w:val="9"/>
    <w:unhideWhenUsed/>
    <w:qFormat/>
    <w:pPr>
      <w:keepLines/>
      <w:keepNext/>
      <w:spacing w:before="320" w:after="200"/>
      <w:outlineLvl w:val="6"/>
    </w:pPr>
    <w:rPr>
      <w:rFonts w:ascii="Arial" w:hAnsi="Arial" w:eastAsia="Arial" w:cs="Arial"/>
      <w:b/>
      <w:bCs/>
      <w:i/>
      <w:iCs/>
      <w:sz w:val="22"/>
      <w:szCs w:val="22"/>
    </w:rPr>
  </w:style>
  <w:style w:type="paragraph" w:styleId="767">
    <w:name w:val="Heading 8"/>
    <w:basedOn w:val="759"/>
    <w:next w:val="759"/>
    <w:link w:val="826"/>
    <w:uiPriority w:val="9"/>
    <w:unhideWhenUsed/>
    <w:qFormat/>
    <w:pPr>
      <w:keepLines/>
      <w:keepNext/>
      <w:spacing w:before="320" w:after="200"/>
      <w:outlineLvl w:val="7"/>
    </w:pPr>
    <w:rPr>
      <w:rFonts w:ascii="Arial" w:hAnsi="Arial" w:eastAsia="Arial" w:cs="Arial"/>
      <w:i/>
      <w:iCs/>
      <w:sz w:val="22"/>
      <w:szCs w:val="22"/>
    </w:rPr>
  </w:style>
  <w:style w:type="paragraph" w:styleId="768">
    <w:name w:val="Heading 9"/>
    <w:basedOn w:val="759"/>
    <w:next w:val="759"/>
    <w:link w:val="827"/>
    <w:uiPriority w:val="9"/>
    <w:unhideWhenUsed/>
    <w:qFormat/>
    <w:pPr>
      <w:keepLines/>
      <w:keepNext/>
      <w:spacing w:before="320" w:after="200"/>
      <w:outlineLvl w:val="8"/>
    </w:pPr>
    <w:rPr>
      <w:rFonts w:ascii="Arial" w:hAnsi="Arial" w:eastAsia="Arial" w:cs="Arial"/>
      <w:i/>
      <w:iCs/>
      <w:sz w:val="21"/>
      <w:szCs w:val="21"/>
    </w:rPr>
  </w:style>
  <w:style w:type="character" w:styleId="769" w:default="1">
    <w:name w:val="Default Paragraph Font"/>
    <w:uiPriority w:val="0"/>
    <w:semiHidden/>
    <w:qFormat/>
  </w:style>
  <w:style w:type="table" w:styleId="770" w:default="1">
    <w:name w:val="Normal Table"/>
    <w:uiPriority w:val="0"/>
    <w:semiHidden/>
    <w:qFormat/>
    <w:tblPr>
      <w:tblCellMar>
        <w:left w:w="108" w:type="dxa"/>
        <w:top w:w="0" w:type="dxa"/>
        <w:right w:w="108" w:type="dxa"/>
        <w:bottom w:w="0" w:type="dxa"/>
      </w:tblCellMar>
    </w:tblPr>
  </w:style>
  <w:style w:type="paragraph" w:styleId="771">
    <w:name w:val="toc 7"/>
    <w:basedOn w:val="759"/>
    <w:next w:val="759"/>
    <w:uiPriority w:val="39"/>
    <w:unhideWhenUsed/>
    <w:qFormat/>
    <w:pPr>
      <w:ind w:left="1701" w:right="0" w:firstLine="0"/>
      <w:spacing w:after="57"/>
    </w:pPr>
  </w:style>
  <w:style w:type="paragraph" w:styleId="772">
    <w:name w:val="Normal Indent"/>
    <w:basedOn w:val="759"/>
    <w:uiPriority w:val="0"/>
    <w:qFormat/>
    <w:pPr>
      <w:ind w:firstLine="420"/>
    </w:pPr>
  </w:style>
  <w:style w:type="paragraph" w:styleId="773">
    <w:name w:val="Caption"/>
    <w:basedOn w:val="759"/>
    <w:next w:val="759"/>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74">
    <w:name w:val="annotation text"/>
    <w:basedOn w:val="759"/>
    <w:uiPriority w:val="0"/>
    <w:qFormat/>
    <w:pPr>
      <w:jc w:val="left"/>
    </w:pPr>
  </w:style>
  <w:style w:type="paragraph" w:styleId="775">
    <w:name w:val="Body Text"/>
    <w:basedOn w:val="759"/>
    <w:next w:val="776"/>
    <w:uiPriority w:val="99"/>
    <w:qFormat/>
    <w:pPr>
      <w:spacing w:after="120"/>
    </w:pPr>
    <w:rPr>
      <w:rFonts w:ascii="Calibri" w:hAnsi="Calibri"/>
    </w:rPr>
  </w:style>
  <w:style w:type="paragraph" w:styleId="776" w:customStyle="1">
    <w:name w:val="一级条标题"/>
    <w:basedOn w:val="777"/>
    <w:next w:val="77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77" w:customStyle="1">
    <w:name w:val="章标题"/>
    <w:next w:val="75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78" w:customStyle="1">
    <w:name w:val="段"/>
    <w:basedOn w:val="779"/>
    <w:next w:val="759"/>
    <w:uiPriority w:val="0"/>
    <w:qFormat/>
    <w:pPr>
      <w:ind w:firstLine="200"/>
      <w:widowControl/>
    </w:pPr>
    <w:rPr>
      <w:sz w:val="20"/>
    </w:rPr>
  </w:style>
  <w:style w:type="paragraph" w:styleId="779" w:customStyle="1">
    <w:name w:val="正文1"/>
    <w:basedOn w:val="780"/>
    <w:next w:val="784"/>
    <w:uiPriority w:val="0"/>
    <w:qFormat/>
    <w:pPr>
      <w:jc w:val="left"/>
      <w:spacing w:line="360" w:lineRule="atLeast"/>
    </w:pPr>
    <w:rPr>
      <w:rFonts w:ascii="宋体" w:hAnsiTheme="minorHAnsi" w:eastAsiaTheme="minorEastAsia" w:cstheme="minorBidi"/>
      <w:sz w:val="24"/>
      <w:szCs w:val="20"/>
    </w:rPr>
  </w:style>
  <w:style w:type="paragraph" w:styleId="780" w:customStyle="1">
    <w:name w:val="正文111"/>
    <w:next w:val="7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1" w:customStyle="1">
    <w:name w:val="目录 111"/>
    <w:basedOn w:val="782"/>
    <w:next w:val="780"/>
    <w:uiPriority w:val="0"/>
    <w:qFormat/>
    <w:pPr>
      <w:jc w:val="left"/>
      <w:spacing w:after="100" w:line="259" w:lineRule="auto"/>
      <w:widowControl/>
    </w:pPr>
    <w:rPr>
      <w:rFonts w:ascii="Calibri" w:hAnsi="Calibri"/>
      <w:sz w:val="22"/>
      <w:szCs w:val="22"/>
    </w:rPr>
  </w:style>
  <w:style w:type="paragraph" w:styleId="782" w:customStyle="1">
    <w:name w:val="正文12"/>
    <w:next w:val="783"/>
    <w:uiPriority w:val="0"/>
    <w:qFormat/>
    <w:pPr>
      <w:jc w:val="both"/>
      <w:widowControl w:val="off"/>
    </w:pPr>
    <w:rPr>
      <w:rFonts w:hint="default" w:ascii="Calibri" w:hAnsi="Calibri" w:eastAsia="宋体" w:cs="Times New Roman"/>
      <w:sz w:val="21"/>
      <w:szCs w:val="24"/>
      <w:lang w:val="en-US" w:eastAsia="zh-CN" w:bidi="ar-SA"/>
    </w:rPr>
  </w:style>
  <w:style w:type="paragraph" w:styleId="783" w:customStyle="1">
    <w:name w:val="标题 21"/>
    <w:basedOn w:val="780"/>
    <w:next w:val="782"/>
    <w:uiPriority w:val="0"/>
    <w:qFormat/>
    <w:pPr>
      <w:jc w:val="left"/>
      <w:keepLines/>
      <w:keepNext/>
      <w:spacing w:before="50"/>
      <w:tabs>
        <w:tab w:val="left" w:pos="0" w:leader="none"/>
      </w:tabs>
    </w:pPr>
    <w:rPr>
      <w:rFonts w:ascii="Arial" w:hAnsi="Arial" w:eastAsia="黑体"/>
      <w:sz w:val="32"/>
      <w:szCs w:val="20"/>
    </w:rPr>
  </w:style>
  <w:style w:type="paragraph" w:styleId="784" w:customStyle="1">
    <w:name w:val="目录 11"/>
    <w:basedOn w:val="785"/>
    <w:next w:val="779"/>
    <w:uiPriority w:val="0"/>
    <w:qFormat/>
    <w:pPr>
      <w:jc w:val="left"/>
      <w:spacing w:before="120" w:after="120"/>
      <w:widowControl/>
    </w:pPr>
    <w:rPr>
      <w:rFonts w:ascii="Calibri" w:hAnsi="Calibri" w:cs="Calibri"/>
      <w:b/>
      <w:bCs/>
      <w:caps/>
      <w:sz w:val="20"/>
      <w:szCs w:val="20"/>
    </w:rPr>
  </w:style>
  <w:style w:type="paragraph" w:styleId="785" w:customStyle="1">
    <w:name w:val="正文11"/>
    <w:next w:val="786"/>
    <w:link w:val="9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6" w:customStyle="1">
    <w:name w:val="正文首行缩进 21"/>
    <w:basedOn w:val="787"/>
    <w:next w:val="759"/>
    <w:uiPriority w:val="0"/>
    <w:qFormat/>
    <w:pPr>
      <w:ind w:firstLine="420"/>
    </w:pPr>
    <w:rPr>
      <w:rFonts w:ascii="宋体" w:hAnsi="宋体"/>
      <w:sz w:val="20"/>
      <w:szCs w:val="20"/>
    </w:rPr>
  </w:style>
  <w:style w:type="paragraph" w:styleId="787" w:customStyle="1">
    <w:name w:val="正文文本缩进1"/>
    <w:basedOn w:val="759"/>
    <w:next w:val="788"/>
    <w:uiPriority w:val="99"/>
    <w:unhideWhenUsed/>
    <w:qFormat/>
    <w:pPr>
      <w:ind w:firstLine="425"/>
      <w:spacing w:line="360" w:lineRule="auto"/>
    </w:pPr>
  </w:style>
  <w:style w:type="paragraph" w:styleId="788" w:customStyle="1">
    <w:name w:val="寄信人地址1"/>
    <w:basedOn w:val="759"/>
    <w:uiPriority w:val="99"/>
    <w:unhideWhenUsed/>
    <w:qFormat/>
    <w:rPr>
      <w:rFonts w:ascii="Arial" w:hAnsi="Arial"/>
    </w:rPr>
  </w:style>
  <w:style w:type="paragraph" w:styleId="789">
    <w:name w:val="Body Text Indent"/>
    <w:basedOn w:val="759"/>
    <w:uiPriority w:val="0"/>
    <w:qFormat/>
    <w:pPr>
      <w:ind w:left="420"/>
      <w:spacing w:after="120"/>
    </w:pPr>
    <w:rPr>
      <w:rFonts w:ascii="Calibri" w:hAnsi="Calibri"/>
    </w:rPr>
  </w:style>
  <w:style w:type="paragraph" w:styleId="790">
    <w:name w:val="Block Text"/>
    <w:basedOn w:val="759"/>
    <w:uiPriority w:val="99"/>
    <w:unhideWhenUsed/>
    <w:qFormat/>
    <w:pPr>
      <w:ind w:left="1440" w:right="1440"/>
      <w:spacing w:after="120"/>
    </w:pPr>
  </w:style>
  <w:style w:type="paragraph" w:styleId="791">
    <w:name w:val="toc 5"/>
    <w:basedOn w:val="759"/>
    <w:next w:val="759"/>
    <w:uiPriority w:val="39"/>
    <w:unhideWhenUsed/>
    <w:qFormat/>
    <w:pPr>
      <w:ind w:left="1134" w:right="0" w:firstLine="0"/>
      <w:spacing w:after="57"/>
    </w:pPr>
  </w:style>
  <w:style w:type="paragraph" w:styleId="792">
    <w:name w:val="toc 3"/>
    <w:basedOn w:val="759"/>
    <w:next w:val="759"/>
    <w:uiPriority w:val="39"/>
    <w:unhideWhenUsed/>
    <w:qFormat/>
    <w:pPr>
      <w:ind w:left="567" w:right="0" w:firstLine="0"/>
      <w:spacing w:after="57"/>
    </w:pPr>
  </w:style>
  <w:style w:type="paragraph" w:styleId="793">
    <w:name w:val="toc 8"/>
    <w:basedOn w:val="759"/>
    <w:next w:val="759"/>
    <w:uiPriority w:val="39"/>
    <w:unhideWhenUsed/>
    <w:qFormat/>
    <w:pPr>
      <w:ind w:left="1984" w:right="0" w:firstLine="0"/>
      <w:spacing w:after="57"/>
    </w:pPr>
  </w:style>
  <w:style w:type="paragraph" w:styleId="794">
    <w:name w:val="endnote text"/>
    <w:basedOn w:val="759"/>
    <w:link w:val="964"/>
    <w:uiPriority w:val="99"/>
    <w:semiHidden/>
    <w:unhideWhenUsed/>
    <w:qFormat/>
    <w:pPr>
      <w:spacing w:after="0" w:line="240" w:lineRule="auto"/>
    </w:pPr>
    <w:rPr>
      <w:sz w:val="20"/>
    </w:rPr>
  </w:style>
  <w:style w:type="paragraph" w:styleId="795">
    <w:name w:val="Footer"/>
    <w:basedOn w:val="759"/>
    <w:uiPriority w:val="99"/>
    <w:qFormat/>
    <w:pPr>
      <w:jc w:val="left"/>
      <w:tabs>
        <w:tab w:val="center" w:pos="4153" w:leader="none"/>
        <w:tab w:val="right" w:pos="8306" w:leader="none"/>
      </w:tabs>
    </w:pPr>
    <w:rPr>
      <w:sz w:val="18"/>
      <w:szCs w:val="18"/>
    </w:rPr>
  </w:style>
  <w:style w:type="paragraph" w:styleId="796">
    <w:name w:val="Header"/>
    <w:basedOn w:val="759"/>
    <w:uiPriority w:val="99"/>
    <w:qFormat/>
    <w:pPr>
      <w:jc w:val="center"/>
      <w:tabs>
        <w:tab w:val="center" w:pos="4153" w:leader="none"/>
        <w:tab w:val="right" w:pos="8306" w:leader="none"/>
      </w:tabs>
      <w:pBdr>
        <w:bottom w:val="single" w:color="auto" w:sz="6" w:space="1"/>
      </w:pBdr>
    </w:pPr>
    <w:rPr>
      <w:sz w:val="18"/>
      <w:szCs w:val="18"/>
    </w:rPr>
  </w:style>
  <w:style w:type="paragraph" w:styleId="797">
    <w:name w:val="toc 1"/>
    <w:basedOn w:val="759"/>
    <w:next w:val="759"/>
    <w:uiPriority w:val="39"/>
    <w:qFormat/>
  </w:style>
  <w:style w:type="paragraph" w:styleId="798">
    <w:name w:val="toc 4"/>
    <w:basedOn w:val="759"/>
    <w:next w:val="759"/>
    <w:uiPriority w:val="39"/>
    <w:unhideWhenUsed/>
    <w:qFormat/>
    <w:pPr>
      <w:ind w:left="850" w:right="0" w:firstLine="0"/>
      <w:spacing w:after="57"/>
    </w:pPr>
  </w:style>
  <w:style w:type="paragraph" w:styleId="799">
    <w:name w:val="Subtitle"/>
    <w:basedOn w:val="759"/>
    <w:next w:val="759"/>
    <w:link w:val="830"/>
    <w:uiPriority w:val="11"/>
    <w:qFormat/>
    <w:pPr>
      <w:spacing w:before="200" w:after="200"/>
    </w:pPr>
    <w:rPr>
      <w:sz w:val="24"/>
      <w:szCs w:val="24"/>
    </w:rPr>
  </w:style>
  <w:style w:type="paragraph" w:styleId="800">
    <w:name w:val="footnote text"/>
    <w:basedOn w:val="759"/>
    <w:link w:val="963"/>
    <w:uiPriority w:val="99"/>
    <w:semiHidden/>
    <w:unhideWhenUsed/>
    <w:qFormat/>
    <w:pPr>
      <w:spacing w:after="40" w:line="240" w:lineRule="auto"/>
    </w:pPr>
    <w:rPr>
      <w:sz w:val="18"/>
    </w:rPr>
  </w:style>
  <w:style w:type="paragraph" w:styleId="801">
    <w:name w:val="toc 6"/>
    <w:basedOn w:val="759"/>
    <w:next w:val="759"/>
    <w:uiPriority w:val="39"/>
    <w:unhideWhenUsed/>
    <w:qFormat/>
    <w:pPr>
      <w:ind w:left="1417" w:right="0" w:firstLine="0"/>
      <w:spacing w:after="57"/>
    </w:pPr>
  </w:style>
  <w:style w:type="paragraph" w:styleId="802">
    <w:name w:val="table of figures"/>
    <w:basedOn w:val="759"/>
    <w:next w:val="759"/>
    <w:uiPriority w:val="99"/>
    <w:unhideWhenUsed/>
    <w:qFormat/>
    <w:pPr>
      <w:spacing w:after="0" w:afterAutospacing="0"/>
    </w:pPr>
  </w:style>
  <w:style w:type="paragraph" w:styleId="803">
    <w:name w:val="toc 2"/>
    <w:basedOn w:val="759"/>
    <w:next w:val="759"/>
    <w:uiPriority w:val="39"/>
    <w:unhideWhenUsed/>
    <w:qFormat/>
    <w:pPr>
      <w:ind w:left="283" w:right="0" w:firstLine="0"/>
      <w:spacing w:after="57"/>
    </w:pPr>
  </w:style>
  <w:style w:type="paragraph" w:styleId="804">
    <w:name w:val="toc 9"/>
    <w:basedOn w:val="759"/>
    <w:next w:val="759"/>
    <w:uiPriority w:val="39"/>
    <w:unhideWhenUsed/>
    <w:qFormat/>
    <w:pPr>
      <w:ind w:left="2268" w:right="0" w:firstLine="0"/>
      <w:spacing w:after="57"/>
    </w:pPr>
  </w:style>
  <w:style w:type="paragraph" w:styleId="805">
    <w:name w:val="Normal (Web)"/>
    <w:basedOn w:val="759"/>
    <w:uiPriority w:val="0"/>
    <w:qFormat/>
    <w:pPr>
      <w:jc w:val="left"/>
      <w:spacing w:before="100" w:beforeAutospacing="1" w:after="100" w:afterAutospacing="1"/>
      <w:widowControl/>
    </w:pPr>
    <w:rPr>
      <w:rFonts w:ascii="宋体" w:hAnsi="宋体" w:cs="宋体"/>
      <w:sz w:val="24"/>
    </w:rPr>
  </w:style>
  <w:style w:type="paragraph" w:styleId="806">
    <w:name w:val="Title"/>
    <w:basedOn w:val="759"/>
    <w:next w:val="759"/>
    <w:link w:val="829"/>
    <w:uiPriority w:val="10"/>
    <w:qFormat/>
    <w:pPr>
      <w:contextualSpacing/>
      <w:spacing w:before="300" w:after="200"/>
    </w:pPr>
    <w:rPr>
      <w:sz w:val="48"/>
      <w:szCs w:val="48"/>
    </w:rPr>
  </w:style>
  <w:style w:type="table" w:styleId="807">
    <w:name w:val="Table Grid"/>
    <w:basedOn w:val="77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8">
    <w:name w:val="Strong"/>
    <w:basedOn w:val="769"/>
    <w:uiPriority w:val="22"/>
    <w:qFormat/>
    <w:rPr>
      <w:b/>
    </w:rPr>
  </w:style>
  <w:style w:type="character" w:styleId="809">
    <w:name w:val="endnote reference"/>
    <w:basedOn w:val="769"/>
    <w:uiPriority w:val="99"/>
    <w:semiHidden/>
    <w:unhideWhenUsed/>
    <w:qFormat/>
    <w:rPr>
      <w:vertAlign w:val="superscript"/>
    </w:rPr>
  </w:style>
  <w:style w:type="character" w:styleId="810">
    <w:name w:val="Hyperlink"/>
    <w:basedOn w:val="769"/>
    <w:uiPriority w:val="99"/>
    <w:unhideWhenUsed/>
    <w:qFormat/>
    <w:rPr>
      <w:color w:val="0000ff"/>
      <w:u w:val="none"/>
    </w:rPr>
  </w:style>
  <w:style w:type="character" w:styleId="811">
    <w:name w:val="footnote reference"/>
    <w:basedOn w:val="769"/>
    <w:uiPriority w:val="99"/>
    <w:unhideWhenUsed/>
    <w:qFormat/>
    <w:rPr>
      <w:vertAlign w:val="superscript"/>
    </w:rPr>
  </w:style>
  <w:style w:type="paragraph" w:styleId="812" w:customStyle="1">
    <w:name w:val="正文文本111"/>
    <w:basedOn w:val="759"/>
    <w:next w:val="782"/>
    <w:uiPriority w:val="0"/>
    <w:qFormat/>
    <w:rPr>
      <w:rFonts w:ascii="楷体_GB2312" w:hAnsi="Arial" w:eastAsia="楷体_GB2312"/>
      <w:sz w:val="28"/>
      <w:szCs w:val="28"/>
      <w:lang w:eastAsia="en-US"/>
    </w:rPr>
  </w:style>
  <w:style w:type="paragraph" w:styleId="813" w:customStyle="1">
    <w:name w:val="正文13"/>
    <w:next w:val="8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4" w:customStyle="1">
    <w:name w:val="正文首行缩进1"/>
    <w:basedOn w:val="815"/>
    <w:next w:val="786"/>
    <w:uiPriority w:val="0"/>
    <w:qFormat/>
    <w:pPr>
      <w:ind w:firstLine="200"/>
    </w:pPr>
    <w:rPr>
      <w:rFonts w:ascii="仿宋_GB2312" w:eastAsia="仿宋_GB2312"/>
      <w:sz w:val="30"/>
      <w:szCs w:val="30"/>
    </w:rPr>
  </w:style>
  <w:style w:type="paragraph" w:styleId="815" w:customStyle="1">
    <w:name w:val="正文文本11"/>
    <w:basedOn w:val="782"/>
    <w:next w:val="785"/>
    <w:uiPriority w:val="0"/>
    <w:qFormat/>
    <w:pPr>
      <w:spacing w:after="120"/>
    </w:pPr>
  </w:style>
  <w:style w:type="paragraph" w:styleId="816" w:customStyle="1">
    <w:name w:val="正文首行缩进 211"/>
    <w:basedOn w:val="817"/>
    <w:next w:val="818"/>
    <w:uiPriority w:val="99"/>
    <w:qFormat/>
    <w:pPr>
      <w:ind w:left="0" w:firstLine="420"/>
      <w:spacing w:after="0" w:line="360" w:lineRule="auto"/>
    </w:pPr>
    <w:rPr>
      <w:rFonts w:ascii="宋体" w:hAnsi="宋体"/>
    </w:rPr>
  </w:style>
  <w:style w:type="paragraph" w:styleId="817" w:customStyle="1">
    <w:name w:val="正文文本缩进11"/>
    <w:basedOn w:val="818"/>
    <w:next w:val="818"/>
    <w:uiPriority w:val="0"/>
    <w:qFormat/>
    <w:pPr>
      <w:ind w:left="420"/>
      <w:spacing w:after="120"/>
    </w:pPr>
    <w:rPr>
      <w:rFonts w:ascii="Calibri" w:hAnsi="Calibri" w:eastAsia="等线" w:cs="Times New Roman"/>
    </w:rPr>
  </w:style>
  <w:style w:type="paragraph" w:styleId="818" w:customStyle="1">
    <w:name w:val="正文112"/>
    <w:next w:val="81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19" w:customStyle="1">
    <w:name w:val="Heading 1 Char"/>
    <w:basedOn w:val="769"/>
    <w:link w:val="760"/>
    <w:uiPriority w:val="9"/>
    <w:qFormat/>
    <w:rPr>
      <w:rFonts w:ascii="Arial" w:hAnsi="Arial" w:eastAsia="Arial" w:cs="Arial"/>
      <w:sz w:val="40"/>
      <w:szCs w:val="40"/>
    </w:rPr>
  </w:style>
  <w:style w:type="character" w:styleId="820" w:customStyle="1">
    <w:name w:val="Heading 2 Char"/>
    <w:basedOn w:val="769"/>
    <w:uiPriority w:val="9"/>
    <w:qFormat/>
    <w:rPr>
      <w:rFonts w:ascii="Arial" w:hAnsi="Arial" w:eastAsia="Arial" w:cs="Arial"/>
      <w:sz w:val="34"/>
    </w:rPr>
  </w:style>
  <w:style w:type="character" w:styleId="821" w:customStyle="1">
    <w:name w:val="Heading 3 Char"/>
    <w:basedOn w:val="769"/>
    <w:link w:val="762"/>
    <w:uiPriority w:val="9"/>
    <w:qFormat/>
    <w:rPr>
      <w:rFonts w:ascii="Arial" w:hAnsi="Arial" w:eastAsia="Arial" w:cs="Arial"/>
      <w:sz w:val="30"/>
      <w:szCs w:val="30"/>
    </w:rPr>
  </w:style>
  <w:style w:type="character" w:styleId="822" w:customStyle="1">
    <w:name w:val="Heading 4 Char"/>
    <w:basedOn w:val="769"/>
    <w:link w:val="763"/>
    <w:uiPriority w:val="9"/>
    <w:qFormat/>
    <w:rPr>
      <w:rFonts w:ascii="Arial" w:hAnsi="Arial" w:eastAsia="Arial" w:cs="Arial"/>
      <w:b/>
      <w:bCs/>
      <w:sz w:val="26"/>
      <w:szCs w:val="26"/>
    </w:rPr>
  </w:style>
  <w:style w:type="character" w:styleId="823" w:customStyle="1">
    <w:name w:val="Heading 5 Char"/>
    <w:basedOn w:val="769"/>
    <w:link w:val="764"/>
    <w:uiPriority w:val="9"/>
    <w:qFormat/>
    <w:rPr>
      <w:rFonts w:ascii="Arial" w:hAnsi="Arial" w:eastAsia="Arial" w:cs="Arial"/>
      <w:b/>
      <w:bCs/>
      <w:sz w:val="24"/>
      <w:szCs w:val="24"/>
    </w:rPr>
  </w:style>
  <w:style w:type="character" w:styleId="824" w:customStyle="1">
    <w:name w:val="Heading 6 Char"/>
    <w:basedOn w:val="769"/>
    <w:link w:val="765"/>
    <w:uiPriority w:val="9"/>
    <w:qFormat/>
    <w:rPr>
      <w:rFonts w:ascii="Arial" w:hAnsi="Arial" w:eastAsia="Arial" w:cs="Arial"/>
      <w:b/>
      <w:bCs/>
      <w:sz w:val="22"/>
      <w:szCs w:val="22"/>
    </w:rPr>
  </w:style>
  <w:style w:type="character" w:styleId="825" w:customStyle="1">
    <w:name w:val="Heading 7 Char"/>
    <w:basedOn w:val="769"/>
    <w:link w:val="766"/>
    <w:uiPriority w:val="9"/>
    <w:qFormat/>
    <w:rPr>
      <w:rFonts w:ascii="Arial" w:hAnsi="Arial" w:eastAsia="Arial" w:cs="Arial"/>
      <w:b/>
      <w:bCs/>
      <w:i/>
      <w:iCs/>
      <w:sz w:val="22"/>
      <w:szCs w:val="22"/>
    </w:rPr>
  </w:style>
  <w:style w:type="character" w:styleId="826" w:customStyle="1">
    <w:name w:val="Heading 8 Char"/>
    <w:basedOn w:val="769"/>
    <w:link w:val="767"/>
    <w:uiPriority w:val="9"/>
    <w:qFormat/>
    <w:rPr>
      <w:rFonts w:ascii="Arial" w:hAnsi="Arial" w:eastAsia="Arial" w:cs="Arial"/>
      <w:i/>
      <w:iCs/>
      <w:sz w:val="22"/>
      <w:szCs w:val="22"/>
    </w:rPr>
  </w:style>
  <w:style w:type="character" w:styleId="827" w:customStyle="1">
    <w:name w:val="Heading 9 Char"/>
    <w:basedOn w:val="769"/>
    <w:link w:val="768"/>
    <w:uiPriority w:val="9"/>
    <w:qFormat/>
    <w:rPr>
      <w:rFonts w:ascii="Arial" w:hAnsi="Arial" w:eastAsia="Arial" w:cs="Arial"/>
      <w:i/>
      <w:iCs/>
      <w:sz w:val="21"/>
      <w:szCs w:val="21"/>
    </w:rPr>
  </w:style>
  <w:style w:type="paragraph" w:styleId="828">
    <w:name w:val="No Spacing"/>
    <w:uiPriority w:val="1"/>
    <w:qFormat/>
    <w:pPr>
      <w:spacing w:before="0" w:after="0" w:line="240" w:lineRule="auto"/>
    </w:pPr>
    <w:rPr>
      <w:rFonts w:hint="default" w:ascii="Times New Roman" w:hAnsi="Times New Roman" w:eastAsia="宋体" w:cs="Times New Roman"/>
    </w:rPr>
  </w:style>
  <w:style w:type="character" w:styleId="829" w:customStyle="1">
    <w:name w:val="Title Char"/>
    <w:basedOn w:val="769"/>
    <w:link w:val="806"/>
    <w:uiPriority w:val="10"/>
    <w:qFormat/>
    <w:rPr>
      <w:sz w:val="48"/>
      <w:szCs w:val="48"/>
    </w:rPr>
  </w:style>
  <w:style w:type="character" w:styleId="830" w:customStyle="1">
    <w:name w:val="Subtitle Char"/>
    <w:basedOn w:val="769"/>
    <w:link w:val="799"/>
    <w:uiPriority w:val="11"/>
    <w:qFormat/>
    <w:rPr>
      <w:sz w:val="24"/>
      <w:szCs w:val="24"/>
    </w:rPr>
  </w:style>
  <w:style w:type="paragraph" w:styleId="831">
    <w:name w:val="Quote"/>
    <w:basedOn w:val="759"/>
    <w:next w:val="759"/>
    <w:link w:val="832"/>
    <w:uiPriority w:val="29"/>
    <w:qFormat/>
    <w:pPr>
      <w:ind w:left="720" w:right="720"/>
    </w:pPr>
    <w:rPr>
      <w:i/>
    </w:rPr>
  </w:style>
  <w:style w:type="character" w:styleId="832" w:customStyle="1">
    <w:name w:val="Quote Char"/>
    <w:link w:val="831"/>
    <w:uiPriority w:val="29"/>
    <w:qFormat/>
    <w:rPr>
      <w:i/>
    </w:rPr>
  </w:style>
  <w:style w:type="paragraph" w:styleId="833">
    <w:name w:val="Intense Quote"/>
    <w:basedOn w:val="759"/>
    <w:next w:val="759"/>
    <w:link w:val="8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Intense Quote Char"/>
    <w:link w:val="833"/>
    <w:uiPriority w:val="30"/>
    <w:qFormat/>
    <w:rPr>
      <w:i/>
    </w:rPr>
  </w:style>
  <w:style w:type="character" w:styleId="835" w:customStyle="1">
    <w:name w:val="Header Char"/>
    <w:basedOn w:val="769"/>
    <w:uiPriority w:val="99"/>
    <w:qFormat/>
  </w:style>
  <w:style w:type="character" w:styleId="836" w:customStyle="1">
    <w:name w:val="Footer Char"/>
    <w:basedOn w:val="769"/>
    <w:uiPriority w:val="99"/>
    <w:qFormat/>
  </w:style>
  <w:style w:type="character" w:styleId="837" w:customStyle="1">
    <w:name w:val="Caption Char"/>
    <w:uiPriority w:val="99"/>
    <w:qFormat/>
  </w:style>
  <w:style w:type="table" w:styleId="838" w:customStyle="1">
    <w:name w:val="Table Grid Light"/>
    <w:basedOn w:val="7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9" w:customStyle="1">
    <w:name w:val="Plain Table 1"/>
    <w:basedOn w:val="7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2"/>
    <w:basedOn w:val="77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3"/>
    <w:basedOn w:val="7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Plain Table 4"/>
    <w:basedOn w:val="7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Plain Table 5"/>
    <w:basedOn w:val="7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Grid Table 1 Light"/>
    <w:basedOn w:val="77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1"/>
    <w:basedOn w:val="77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basedOn w:val="77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basedOn w:val="77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basedOn w:val="77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basedOn w:val="77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basedOn w:val="77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51" w:customStyle="1">
    <w:name w:val="Grid Table 2"/>
    <w:basedOn w:val="7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2" w:customStyle="1">
    <w:name w:val="Grid Table 2 - Accent 1"/>
    <w:basedOn w:val="77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basedOn w:val="77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basedOn w:val="77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basedOn w:val="77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basedOn w:val="77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7" w:customStyle="1">
    <w:name w:val="Grid Table 2 - Accent 6"/>
    <w:basedOn w:val="77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8" w:customStyle="1">
    <w:name w:val="Grid Table 3"/>
    <w:basedOn w:val="7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1"/>
    <w:basedOn w:val="77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basedOn w:val="77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basedOn w:val="77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basedOn w:val="77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basedOn w:val="77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basedOn w:val="77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4"/>
    <w:basedOn w:val="77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4 - Accent 1"/>
    <w:basedOn w:val="770"/>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7" w:customStyle="1">
    <w:name w:val="Grid Table 4 - Accent 2"/>
    <w:basedOn w:val="770"/>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8" w:customStyle="1">
    <w:name w:val="Grid Table 4 - Accent 3"/>
    <w:basedOn w:val="770"/>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69" w:customStyle="1">
    <w:name w:val="Grid Table 4 - Accent 4"/>
    <w:basedOn w:val="770"/>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70" w:customStyle="1">
    <w:name w:val="Grid Table 4 - Accent 5"/>
    <w:basedOn w:val="770"/>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71" w:customStyle="1">
    <w:name w:val="Grid Table 4 - Accent 6"/>
    <w:basedOn w:val="770"/>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72" w:customStyle="1">
    <w:name w:val="Grid Table 5 Dark"/>
    <w:basedOn w:val="7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5 Dark- Accent 1"/>
    <w:basedOn w:val="7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74" w:customStyle="1">
    <w:name w:val="Grid Table 5 Dark - Accent 2"/>
    <w:basedOn w:val="7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5" w:customStyle="1">
    <w:name w:val="Grid Table 5 Dark - Accent 3"/>
    <w:basedOn w:val="7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6" w:customStyle="1">
    <w:name w:val="Grid Table 5 Dark- Accent 4"/>
    <w:basedOn w:val="7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7" w:customStyle="1">
    <w:name w:val="Grid Table 5 Dark - Accent 5"/>
    <w:basedOn w:val="7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8" w:customStyle="1">
    <w:name w:val="Grid Table 5 Dark - Accent 6"/>
    <w:basedOn w:val="7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79" w:customStyle="1">
    <w:name w:val="Grid Table 6 Colorful"/>
    <w:basedOn w:val="77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0" w:customStyle="1">
    <w:name w:val="Grid Table 6 Colorful - Accent 1"/>
    <w:basedOn w:val="770"/>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81" w:customStyle="1">
    <w:name w:val="Grid Table 6 Colorful - Accent 2"/>
    <w:basedOn w:val="77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82" w:customStyle="1">
    <w:name w:val="Grid Table 6 Colorful - Accent 3"/>
    <w:basedOn w:val="770"/>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83" w:customStyle="1">
    <w:name w:val="Grid Table 6 Colorful - Accent 4"/>
    <w:basedOn w:val="77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84" w:customStyle="1">
    <w:name w:val="Grid Table 6 Colorful - Accent 5"/>
    <w:basedOn w:val="770"/>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5" w:customStyle="1">
    <w:name w:val="Grid Table 6 Colorful - Accent 6"/>
    <w:basedOn w:val="770"/>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6" w:customStyle="1">
    <w:name w:val="Grid Table 7 Colorful"/>
    <w:basedOn w:val="77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Grid Table 7 Colorful - Accent 1"/>
    <w:basedOn w:val="770"/>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8" w:customStyle="1">
    <w:name w:val="Grid Table 7 Colorful - Accent 2"/>
    <w:basedOn w:val="770"/>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9" w:customStyle="1">
    <w:name w:val="Grid Table 7 Colorful - Accent 3"/>
    <w:basedOn w:val="770"/>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90" w:customStyle="1">
    <w:name w:val="Grid Table 7 Colorful - Accent 4"/>
    <w:basedOn w:val="770"/>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1" w:customStyle="1">
    <w:name w:val="Grid Table 7 Colorful - Accent 5"/>
    <w:basedOn w:val="770"/>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92" w:customStyle="1">
    <w:name w:val="Grid Table 7 Colorful - Accent 6"/>
    <w:basedOn w:val="770"/>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93" w:customStyle="1">
    <w:name w:val="List Table 1 Light"/>
    <w:basedOn w:val="77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1 Light - Accent 1"/>
    <w:basedOn w:val="770"/>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5" w:customStyle="1">
    <w:name w:val="List Table 1 Light - Accent 2"/>
    <w:basedOn w:val="770"/>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6" w:customStyle="1">
    <w:name w:val="List Table 1 Light - Accent 3"/>
    <w:basedOn w:val="770"/>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7" w:customStyle="1">
    <w:name w:val="List Table 1 Light - Accent 4"/>
    <w:basedOn w:val="770"/>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8" w:customStyle="1">
    <w:name w:val="List Table 1 Light - Accent 5"/>
    <w:basedOn w:val="770"/>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99" w:customStyle="1">
    <w:name w:val="List Table 1 Light - Accent 6"/>
    <w:basedOn w:val="770"/>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00" w:customStyle="1">
    <w:name w:val="List Table 2"/>
    <w:basedOn w:val="77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1" w:customStyle="1">
    <w:name w:val="List Table 2 - Accent 1"/>
    <w:basedOn w:val="770"/>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02" w:customStyle="1">
    <w:name w:val="List Table 2 - Accent 2"/>
    <w:basedOn w:val="770"/>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03" w:customStyle="1">
    <w:name w:val="List Table 2 - Accent 3"/>
    <w:basedOn w:val="770"/>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04" w:customStyle="1">
    <w:name w:val="List Table 2 - Accent 4"/>
    <w:basedOn w:val="770"/>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5" w:customStyle="1">
    <w:name w:val="List Table 2 - Accent 5"/>
    <w:basedOn w:val="770"/>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6" w:customStyle="1">
    <w:name w:val="List Table 2 - Accent 6"/>
    <w:basedOn w:val="770"/>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7" w:customStyle="1">
    <w:name w:val="List Table 3"/>
    <w:basedOn w:val="7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3 - Accent 1"/>
    <w:basedOn w:val="770"/>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9" w:customStyle="1">
    <w:name w:val="List Table 3 - Accent 2"/>
    <w:basedOn w:val="77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10" w:customStyle="1">
    <w:name w:val="List Table 3 - Accent 3"/>
    <w:basedOn w:val="770"/>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11" w:customStyle="1">
    <w:name w:val="List Table 3 - Accent 4"/>
    <w:basedOn w:val="77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12" w:customStyle="1">
    <w:name w:val="List Table 3 - Accent 5"/>
    <w:basedOn w:val="770"/>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13" w:customStyle="1">
    <w:name w:val="List Table 3 - Accent 6"/>
    <w:basedOn w:val="770"/>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14" w:customStyle="1">
    <w:name w:val="List Table 4"/>
    <w:basedOn w:val="7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 Accent 1"/>
    <w:basedOn w:val="770"/>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6" w:customStyle="1">
    <w:name w:val="List Table 4 - Accent 2"/>
    <w:basedOn w:val="770"/>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7" w:customStyle="1">
    <w:name w:val="List Table 4 - Accent 3"/>
    <w:basedOn w:val="770"/>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8" w:customStyle="1">
    <w:name w:val="List Table 4 - Accent 4"/>
    <w:basedOn w:val="770"/>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19" w:customStyle="1">
    <w:name w:val="List Table 4 - Accent 5"/>
    <w:basedOn w:val="770"/>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20" w:customStyle="1">
    <w:name w:val="List Table 4 - Accent 6"/>
    <w:basedOn w:val="770"/>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21" w:customStyle="1">
    <w:name w:val="List Table 5 Dark"/>
    <w:basedOn w:val="77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1"/>
    <w:basedOn w:val="770"/>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2"/>
    <w:basedOn w:val="770"/>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3"/>
    <w:basedOn w:val="770"/>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4"/>
    <w:basedOn w:val="770"/>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5"/>
    <w:basedOn w:val="770"/>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6"/>
    <w:basedOn w:val="770"/>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6 Colorful"/>
    <w:basedOn w:val="77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9" w:customStyle="1">
    <w:name w:val="List Table 6 Colorful - Accent 1"/>
    <w:basedOn w:val="770"/>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30" w:customStyle="1">
    <w:name w:val="List Table 6 Colorful - Accent 2"/>
    <w:basedOn w:val="770"/>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31" w:customStyle="1">
    <w:name w:val="List Table 6 Colorful - Accent 3"/>
    <w:basedOn w:val="770"/>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32" w:customStyle="1">
    <w:name w:val="List Table 6 Colorful - Accent 4"/>
    <w:basedOn w:val="770"/>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33" w:customStyle="1">
    <w:name w:val="List Table 6 Colorful - Accent 5"/>
    <w:basedOn w:val="770"/>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34" w:customStyle="1">
    <w:name w:val="List Table 6 Colorful - Accent 6"/>
    <w:basedOn w:val="770"/>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5" w:customStyle="1">
    <w:name w:val="List Table 7 Colorful"/>
    <w:basedOn w:val="77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List Table 7 Colorful - Accent 1"/>
    <w:basedOn w:val="770"/>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7" w:customStyle="1">
    <w:name w:val="List Table 7 Colorful - Accent 2"/>
    <w:basedOn w:val="770"/>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8" w:customStyle="1">
    <w:name w:val="List Table 7 Colorful - Accent 3"/>
    <w:basedOn w:val="770"/>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39" w:customStyle="1">
    <w:name w:val="List Table 7 Colorful - Accent 4"/>
    <w:basedOn w:val="770"/>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0" w:customStyle="1">
    <w:name w:val="List Table 7 Colorful - Accent 5"/>
    <w:basedOn w:val="770"/>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41" w:customStyle="1">
    <w:name w:val="List Table 7 Colorful - Accent 6"/>
    <w:basedOn w:val="770"/>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42" w:customStyle="1">
    <w:name w:val="Lined - Accent"/>
    <w:basedOn w:val="7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Lined - Accent 1"/>
    <w:basedOn w:val="7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4" w:customStyle="1">
    <w:name w:val="Lined - Accent 2"/>
    <w:basedOn w:val="7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5" w:customStyle="1">
    <w:name w:val="Lined - Accent 3"/>
    <w:basedOn w:val="7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6" w:customStyle="1">
    <w:name w:val="Lined - Accent 4"/>
    <w:basedOn w:val="7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7" w:customStyle="1">
    <w:name w:val="Lined - Accent 5"/>
    <w:basedOn w:val="7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8" w:customStyle="1">
    <w:name w:val="Lined - Accent 6"/>
    <w:basedOn w:val="7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9" w:customStyle="1">
    <w:name w:val="Bordered &amp; Lined - Accent"/>
    <w:basedOn w:val="77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Bordered &amp; Lined - Accent 1"/>
    <w:basedOn w:val="770"/>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1" w:customStyle="1">
    <w:name w:val="Bordered &amp; Lined - Accent 2"/>
    <w:basedOn w:val="770"/>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2" w:customStyle="1">
    <w:name w:val="Bordered &amp; Lined - Accent 3"/>
    <w:basedOn w:val="770"/>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3" w:customStyle="1">
    <w:name w:val="Bordered &amp; Lined - Accent 4"/>
    <w:basedOn w:val="770"/>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4" w:customStyle="1">
    <w:name w:val="Bordered &amp; Lined - Accent 5"/>
    <w:basedOn w:val="770"/>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5" w:customStyle="1">
    <w:name w:val="Bordered &amp; Lined - Accent 6"/>
    <w:basedOn w:val="770"/>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6" w:customStyle="1">
    <w:name w:val="Bordered"/>
    <w:basedOn w:val="77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7" w:customStyle="1">
    <w:name w:val="Bordered - Accent 1"/>
    <w:basedOn w:val="77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8" w:customStyle="1">
    <w:name w:val="Bordered - Accent 2"/>
    <w:basedOn w:val="77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59" w:customStyle="1">
    <w:name w:val="Bordered - Accent 3"/>
    <w:basedOn w:val="77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60" w:customStyle="1">
    <w:name w:val="Bordered - Accent 4"/>
    <w:basedOn w:val="77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61" w:customStyle="1">
    <w:name w:val="Bordered - Accent 5"/>
    <w:basedOn w:val="77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62" w:customStyle="1">
    <w:name w:val="Bordered - Accent 6"/>
    <w:basedOn w:val="77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63" w:customStyle="1">
    <w:name w:val="Footnote Text Char"/>
    <w:link w:val="800"/>
    <w:uiPriority w:val="99"/>
    <w:qFormat/>
    <w:rPr>
      <w:sz w:val="18"/>
    </w:rPr>
  </w:style>
  <w:style w:type="character" w:styleId="964" w:customStyle="1">
    <w:name w:val="Endnote Text Char"/>
    <w:link w:val="794"/>
    <w:uiPriority w:val="99"/>
    <w:qFormat/>
    <w:rPr>
      <w:sz w:val="20"/>
    </w:rPr>
  </w:style>
  <w:style w:type="paragraph" w:styleId="965" w:customStyle="1">
    <w:name w:val="TOC Heading"/>
    <w:uiPriority w:val="39"/>
    <w:unhideWhenUsed/>
    <w:qFormat/>
    <w:rPr>
      <w:rFonts w:hint="default" w:ascii="Times New Roman" w:hAnsi="Times New Roman" w:eastAsia="宋体" w:cs="Times New Roman"/>
    </w:rPr>
  </w:style>
  <w:style w:type="paragraph" w:styleId="966">
    <w:name w:val="List Paragraph"/>
    <w:basedOn w:val="759"/>
    <w:uiPriority w:val="1"/>
    <w:qFormat/>
    <w:pPr>
      <w:ind w:firstLine="420"/>
    </w:pPr>
  </w:style>
  <w:style w:type="paragraph" w:styleId="967" w:customStyle="1">
    <w:name w:val="p0"/>
    <w:basedOn w:val="759"/>
    <w:uiPriority w:val="0"/>
    <w:qFormat/>
    <w:pPr>
      <w:widowControl/>
    </w:pPr>
    <w:rPr>
      <w:szCs w:val="21"/>
    </w:rPr>
  </w:style>
  <w:style w:type="character" w:styleId="968" w:customStyle="1">
    <w:name w:val="NormalCharacter"/>
    <w:uiPriority w:val="0"/>
    <w:semiHidden/>
    <w:qFormat/>
    <w:rPr>
      <w:sz w:val="28"/>
      <w:lang w:val="en-US" w:eastAsia="zh-CN" w:bidi="ar-SA"/>
    </w:rPr>
  </w:style>
  <w:style w:type="character" w:styleId="969" w:customStyle="1">
    <w:name w:val="font81"/>
    <w:basedOn w:val="769"/>
    <w:uiPriority w:val="0"/>
    <w:qFormat/>
    <w:rPr>
      <w:rFonts w:hint="default" w:ascii="Times New Roman" w:hAnsi="Times New Roman" w:cs="Times New Roman"/>
      <w:b/>
      <w:bCs/>
      <w:color w:val="000000"/>
      <w:sz w:val="20"/>
      <w:szCs w:val="20"/>
      <w:u w:val="none"/>
    </w:rPr>
  </w:style>
  <w:style w:type="paragraph" w:styleId="970" w:customStyle="1">
    <w:name w:val="脚注文本1"/>
    <w:basedOn w:val="779"/>
    <w:next w:val="971"/>
    <w:uiPriority w:val="0"/>
    <w:qFormat/>
    <w:rPr>
      <w:rFonts w:eastAsia="Times New Roman"/>
      <w:sz w:val="18"/>
      <w:szCs w:val="18"/>
    </w:rPr>
  </w:style>
  <w:style w:type="paragraph" w:styleId="971" w:customStyle="1">
    <w:name w:val="索引 51"/>
    <w:basedOn w:val="779"/>
    <w:next w:val="779"/>
    <w:uiPriority w:val="0"/>
    <w:qFormat/>
    <w:pPr>
      <w:ind w:left="798"/>
    </w:pPr>
    <w:rPr>
      <w:rFonts w:ascii="Calibri" w:hAnsi="Calibri"/>
    </w:rPr>
  </w:style>
  <w:style w:type="character" w:styleId="972" w:customStyle="1">
    <w:name w:val="NormalCharacter1"/>
    <w:link w:val="785"/>
    <w:uiPriority w:val="0"/>
    <w:semiHidden/>
    <w:qFormat/>
    <w:rPr>
      <w:rFonts w:hint="default" w:ascii="Times New Roman" w:hAnsi="Times New Roman" w:eastAsia="宋体" w:cs="Times New Roman"/>
      <w:sz w:val="21"/>
      <w:szCs w:val="24"/>
      <w:lang w:val="en-US" w:eastAsia="zh-CN" w:bidi="ar-SA"/>
    </w:rPr>
  </w:style>
  <w:style w:type="paragraph" w:styleId="973" w:customStyle="1">
    <w:name w:val="BlockQuote1"/>
    <w:basedOn w:val="759"/>
    <w:uiPriority w:val="0"/>
    <w:qFormat/>
    <w:pPr>
      <w:ind w:left="256" w:right="6" w:firstLine="624"/>
    </w:pPr>
    <w:rPr>
      <w:rFonts w:eastAsia="仿宋_GB2312"/>
      <w:sz w:val="28"/>
    </w:rPr>
  </w:style>
  <w:style w:type="paragraph" w:styleId="974" w:customStyle="1">
    <w:name w:val="纯文本1"/>
    <w:basedOn w:val="975"/>
    <w:uiPriority w:val="0"/>
    <w:qFormat/>
    <w:rPr>
      <w:rFonts w:hAnsi="Courier New"/>
      <w:sz w:val="20"/>
    </w:rPr>
  </w:style>
  <w:style w:type="paragraph" w:styleId="975" w:customStyle="1">
    <w:name w:val="正文121"/>
    <w:next w:val="976"/>
    <w:uiPriority w:val="0"/>
    <w:qFormat/>
    <w:pPr>
      <w:jc w:val="both"/>
      <w:widowControl w:val="off"/>
    </w:pPr>
    <w:rPr>
      <w:rFonts w:hint="default" w:ascii="Calibri" w:hAnsi="Calibri" w:eastAsia="宋体" w:cs="Times New Roman"/>
      <w:sz w:val="21"/>
      <w:szCs w:val="24"/>
      <w:lang w:val="en-US" w:eastAsia="zh-CN" w:bidi="ar-SA"/>
    </w:rPr>
  </w:style>
  <w:style w:type="paragraph" w:styleId="976" w:customStyle="1">
    <w:name w:val="BlockQuote"/>
    <w:basedOn w:val="785"/>
    <w:uiPriority w:val="0"/>
    <w:qFormat/>
    <w:pPr>
      <w:ind w:left="256" w:right="6" w:firstLine="624"/>
    </w:pPr>
    <w:rPr>
      <w:rFonts w:eastAsia="仿宋_GB2312"/>
      <w:sz w:val="28"/>
    </w:rPr>
  </w:style>
  <w:style w:type="paragraph" w:styleId="977" w:customStyle="1">
    <w:name w:val="页脚1"/>
    <w:basedOn w:val="759"/>
    <w:uiPriority w:val="0"/>
    <w:qFormat/>
    <w:pPr>
      <w:jc w:val="left"/>
      <w:tabs>
        <w:tab w:val="center" w:pos="4153" w:leader="none"/>
        <w:tab w:val="right" w:pos="8306" w:leader="none"/>
      </w:tabs>
    </w:pPr>
    <w:rPr>
      <w:sz w:val="18"/>
      <w:szCs w:val="18"/>
    </w:rPr>
  </w:style>
  <w:style w:type="table" w:styleId="978" w:customStyle="1">
    <w:name w:val="网格型1"/>
    <w:basedOn w:val="979"/>
    <w:uiPriority w:val="39"/>
    <w:qFormat/>
    <w:tblPr/>
  </w:style>
  <w:style w:type="table" w:styleId="979" w:customStyle="1">
    <w:name w:val="普通表格1"/>
    <w:uiPriority w:val="99"/>
    <w:unhideWhenUsed/>
    <w:qFormat/>
    <w:tblPr/>
  </w:style>
  <w:style w:type="paragraph" w:styleId="980" w:customStyle="1">
    <w:name w:val="文本块12"/>
    <w:basedOn w:val="759"/>
    <w:uiPriority w:val="6"/>
    <w:qFormat/>
    <w:pPr>
      <w:ind w:left="256" w:right="6" w:firstLine="624"/>
    </w:pPr>
    <w:rPr>
      <w:rFonts w:eastAsia="仿宋"/>
      <w:sz w:val="28"/>
    </w:rPr>
  </w:style>
  <w:style w:type="paragraph" w:styleId="981" w:customStyle="1">
    <w:name w:val="_Style 2"/>
    <w:uiPriority w:val="34"/>
    <w:qFormat/>
    <w:pPr>
      <w:contextualSpacing/>
      <w:ind w:left="720"/>
      <w:jc w:val="left"/>
      <w:widowControl/>
    </w:pPr>
    <w:rPr>
      <w:rFonts w:hint="default" w:ascii="Calibri" w:hAnsi="Calibri" w:eastAsia="宋体" w:cs="Times New Roman"/>
      <w:sz w:val="24"/>
      <w:szCs w:val="24"/>
      <w:lang w:val="en-US" w:eastAsia="en-US" w:bidi="en-US"/>
    </w:rPr>
  </w:style>
  <w:style w:type="numbering" w:styleId="115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jp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易合</cp:lastModifiedBy>
  <cp:revision>8</cp:revision>
  <dcterms:created xsi:type="dcterms:W3CDTF">2026-04-27T03:14:00Z</dcterms:created>
  <dcterms:modified xsi:type="dcterms:W3CDTF">2026-09-16T08:13:14Z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0CEFA4409CA748299B4D9182FF68DE0D_13</vt:lpwstr>
  </property>
  <property fmtid="{D5CDD505-2E9C-101B-9397-08002B2CF9AE}" pid="4" name="KSOTemplateDocerSaveRecord">
    <vt:lpwstr>eyJoZGlkIjoiZTJjNTVhOTZjYjY5YTg4NDhiOTRhNzE0MTEyZDdiYjEiLCJ1c2VySWQiOiIxNjY0MjY4MjIzIn0=</vt:lpwstr>
  </property>
</Properties>
</file>