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AB3295">
      <w:pPr>
        <w:jc w:val="center"/>
        <w:rPr>
          <w:rFonts w:hint="eastAsia" w:ascii="楷体" w:hAnsi="楷体" w:eastAsia="楷体" w:cs="楷体"/>
          <w:b/>
          <w:sz w:val="32"/>
          <w:szCs w:val="32"/>
          <w:lang w:eastAsia="zh-CN"/>
        </w:rPr>
      </w:pPr>
      <w:r>
        <w:rPr>
          <w:rFonts w:hint="eastAsia" w:ascii="楷体" w:hAnsi="楷体" w:eastAsia="楷体" w:cs="楷体"/>
          <w:b/>
          <w:sz w:val="32"/>
          <w:szCs w:val="32"/>
          <w:lang w:eastAsia="zh-CN"/>
        </w:rPr>
        <w:t>市民中心餐厅油水分离器(隔油池)更新改造项目</w:t>
      </w:r>
    </w:p>
    <w:p w14:paraId="08B67B34">
      <w:pPr>
        <w:jc w:val="center"/>
        <w:rPr>
          <w:rFonts w:hint="eastAsia" w:ascii="楷体" w:hAnsi="楷体" w:eastAsia="楷体" w:cs="楷体"/>
          <w:b/>
          <w:sz w:val="32"/>
          <w:szCs w:val="32"/>
        </w:rPr>
      </w:pPr>
      <w:r>
        <w:rPr>
          <w:rFonts w:hint="eastAsia" w:ascii="楷体" w:hAnsi="楷体" w:eastAsia="楷体" w:cs="楷体"/>
          <w:b/>
          <w:sz w:val="32"/>
          <w:szCs w:val="32"/>
        </w:rPr>
        <w:t>清单编制说明</w:t>
      </w:r>
    </w:p>
    <w:p w14:paraId="6D45684C">
      <w:pPr>
        <w:keepNext w:val="0"/>
        <w:keepLines w:val="0"/>
        <w:pageBreakBefore w:val="0"/>
        <w:widowControl/>
        <w:kinsoku/>
        <w:wordWrap/>
        <w:overflowPunct/>
        <w:topLinePunct w:val="0"/>
        <w:autoSpaceDE/>
        <w:autoSpaceDN/>
        <w:bidi w:val="0"/>
        <w:adjustRightInd/>
        <w:spacing w:line="360" w:lineRule="auto"/>
        <w:ind w:firstLine="482" w:firstLineChars="200"/>
        <w:textAlignment w:val="auto"/>
        <w:rPr>
          <w:rFonts w:hint="eastAsia" w:ascii="楷体" w:hAnsi="楷体" w:eastAsia="楷体" w:cs="楷体"/>
          <w:b/>
          <w:bCs/>
          <w:kern w:val="0"/>
          <w:sz w:val="24"/>
          <w:szCs w:val="24"/>
          <w:lang w:val="zh-CN"/>
        </w:rPr>
      </w:pPr>
      <w:r>
        <w:rPr>
          <w:rFonts w:hint="eastAsia" w:ascii="楷体" w:hAnsi="楷体" w:eastAsia="楷体" w:cs="楷体"/>
          <w:b/>
          <w:bCs/>
          <w:kern w:val="0"/>
          <w:sz w:val="24"/>
          <w:szCs w:val="24"/>
          <w:lang w:val="zh-CN"/>
        </w:rPr>
        <w:t>一、工程概况：</w:t>
      </w:r>
    </w:p>
    <w:p w14:paraId="0D0B1418">
      <w:pPr>
        <w:keepNext w:val="0"/>
        <w:keepLines w:val="0"/>
        <w:pageBreakBefore w:val="0"/>
        <w:kinsoku/>
        <w:wordWrap/>
        <w:overflowPunct/>
        <w:topLinePunct w:val="0"/>
        <w:autoSpaceDE/>
        <w:autoSpaceDN/>
        <w:bidi w:val="0"/>
        <w:adjustRightInd/>
        <w:snapToGrid w:val="0"/>
        <w:spacing w:line="500" w:lineRule="exact"/>
        <w:ind w:firstLine="480" w:firstLineChars="200"/>
        <w:textAlignment w:val="auto"/>
        <w:rPr>
          <w:rFonts w:hint="default" w:ascii="楷体" w:hAnsi="楷体" w:eastAsia="楷体" w:cs="楷体"/>
          <w:sz w:val="24"/>
          <w:szCs w:val="24"/>
          <w:lang w:val="en-US"/>
        </w:rPr>
      </w:pPr>
      <w:r>
        <w:rPr>
          <w:rFonts w:hint="eastAsia" w:ascii="楷体" w:hAnsi="楷体" w:eastAsia="楷体" w:cs="楷体"/>
          <w:sz w:val="24"/>
          <w:szCs w:val="24"/>
          <w:lang w:eastAsia="zh-CN"/>
        </w:rPr>
        <w:t>市民中心餐厅油水分离器（隔油池）更新改造项目，位于无锡市观山路199号无锡市市民中心内部-2层。项目建设内容:安装5套全排型油脂分离器系统，5套隔油配套智能污水提升泵站，配套建设排污管网(含污水管网、食物残渣管网)、通风系统、油渣排放系统和防雨污水倒流装置，室外窨井和排污接口、部分土建、装饰、安装工程等</w:t>
      </w:r>
      <w:r>
        <w:rPr>
          <w:rFonts w:hint="eastAsia" w:ascii="楷体" w:hAnsi="楷体" w:eastAsia="楷体" w:cs="楷体"/>
          <w:sz w:val="24"/>
          <w:szCs w:val="24"/>
          <w:lang w:val="en-US" w:eastAsia="zh-CN"/>
        </w:rPr>
        <w:t>。</w:t>
      </w:r>
    </w:p>
    <w:p w14:paraId="29C2570A">
      <w:pPr>
        <w:keepNext w:val="0"/>
        <w:keepLines w:val="0"/>
        <w:pageBreakBefore w:val="0"/>
        <w:widowControl/>
        <w:kinsoku/>
        <w:wordWrap/>
        <w:overflowPunct/>
        <w:topLinePunct w:val="0"/>
        <w:autoSpaceDE/>
        <w:autoSpaceDN/>
        <w:bidi w:val="0"/>
        <w:adjustRightInd/>
        <w:spacing w:line="360" w:lineRule="auto"/>
        <w:ind w:firstLine="482" w:firstLineChars="200"/>
        <w:textAlignment w:val="auto"/>
        <w:rPr>
          <w:rFonts w:hint="eastAsia" w:ascii="楷体" w:hAnsi="楷体" w:eastAsia="楷体" w:cs="楷体"/>
          <w:b/>
          <w:bCs/>
          <w:kern w:val="0"/>
          <w:sz w:val="24"/>
          <w:szCs w:val="24"/>
          <w:lang w:val="zh-CN"/>
        </w:rPr>
      </w:pPr>
      <w:r>
        <w:rPr>
          <w:rFonts w:hint="eastAsia" w:ascii="楷体" w:hAnsi="楷体" w:eastAsia="楷体" w:cs="楷体"/>
          <w:b/>
          <w:bCs/>
          <w:kern w:val="0"/>
          <w:sz w:val="24"/>
          <w:szCs w:val="24"/>
          <w:lang w:val="zh-CN"/>
        </w:rPr>
        <w:t>二、编制内容：</w:t>
      </w:r>
    </w:p>
    <w:p w14:paraId="11B90245">
      <w:pPr>
        <w:keepNext w:val="0"/>
        <w:keepLines w:val="0"/>
        <w:pageBreakBefore w:val="0"/>
        <w:kinsoku/>
        <w:wordWrap/>
        <w:overflowPunct/>
        <w:topLinePunct w:val="0"/>
        <w:autoSpaceDE/>
        <w:autoSpaceDN/>
        <w:bidi w:val="0"/>
        <w:adjustRightInd/>
        <w:snapToGrid w:val="0"/>
        <w:spacing w:line="500" w:lineRule="exact"/>
        <w:ind w:firstLine="480" w:firstLineChars="200"/>
        <w:textAlignment w:val="auto"/>
        <w:rPr>
          <w:rFonts w:hint="eastAsia" w:ascii="楷体" w:hAnsi="楷体" w:eastAsia="楷体" w:cs="楷体"/>
          <w:color w:val="0000FF"/>
          <w:sz w:val="24"/>
          <w:szCs w:val="24"/>
        </w:rPr>
      </w:pPr>
      <w:r>
        <w:rPr>
          <w:rFonts w:hint="eastAsia" w:ascii="楷体" w:hAnsi="楷体" w:eastAsia="楷体" w:cs="楷体"/>
          <w:sz w:val="24"/>
          <w:szCs w:val="24"/>
          <w:highlight w:val="none"/>
          <w:lang w:val="en-US" w:eastAsia="zh-CN"/>
        </w:rPr>
        <w:t>图纸及</w:t>
      </w:r>
      <w:r>
        <w:rPr>
          <w:rFonts w:hint="eastAsia" w:ascii="楷体" w:hAnsi="楷体" w:eastAsia="楷体" w:cs="楷体"/>
          <w:sz w:val="24"/>
          <w:szCs w:val="24"/>
          <w:highlight w:val="none"/>
        </w:rPr>
        <w:t>工程量清单范围内</w:t>
      </w:r>
      <w:r>
        <w:rPr>
          <w:rFonts w:hint="eastAsia" w:ascii="楷体" w:hAnsi="楷体" w:eastAsia="楷体" w:cs="楷体"/>
          <w:sz w:val="24"/>
          <w:szCs w:val="24"/>
          <w:highlight w:val="none"/>
          <w:lang w:eastAsia="zh-CN"/>
        </w:rPr>
        <w:t>的</w:t>
      </w:r>
      <w:r>
        <w:rPr>
          <w:rFonts w:hint="eastAsia" w:ascii="楷体" w:hAnsi="楷体" w:eastAsia="楷体" w:cs="楷体"/>
          <w:sz w:val="24"/>
          <w:szCs w:val="24"/>
          <w:lang w:val="en-US" w:eastAsia="zh-CN"/>
        </w:rPr>
        <w:t>施工</w:t>
      </w:r>
      <w:r>
        <w:rPr>
          <w:rFonts w:hint="eastAsia" w:ascii="楷体" w:hAnsi="楷体" w:eastAsia="楷体" w:cs="楷体"/>
          <w:sz w:val="24"/>
          <w:szCs w:val="24"/>
          <w:highlight w:val="none"/>
          <w:lang w:eastAsia="zh-CN"/>
        </w:rPr>
        <w:t>。</w:t>
      </w:r>
    </w:p>
    <w:p w14:paraId="0C834E25">
      <w:pPr>
        <w:spacing w:line="500" w:lineRule="exact"/>
        <w:ind w:firstLine="482" w:firstLineChars="200"/>
        <w:rPr>
          <w:rFonts w:hint="eastAsia" w:ascii="楷体" w:hAnsi="楷体" w:eastAsia="楷体" w:cs="楷体"/>
          <w:b/>
          <w:bCs/>
          <w:sz w:val="24"/>
          <w:szCs w:val="24"/>
          <w:lang w:eastAsia="zh-CN"/>
        </w:rPr>
      </w:pPr>
      <w:r>
        <w:rPr>
          <w:rFonts w:hint="eastAsia" w:ascii="楷体" w:hAnsi="楷体" w:eastAsia="楷体" w:cs="楷体"/>
          <w:b/>
          <w:bCs/>
          <w:sz w:val="24"/>
          <w:szCs w:val="24"/>
        </w:rPr>
        <w:t>三、编制依据</w:t>
      </w:r>
      <w:r>
        <w:rPr>
          <w:rFonts w:hint="eastAsia" w:ascii="楷体" w:hAnsi="楷体" w:eastAsia="楷体" w:cs="楷体"/>
          <w:b/>
          <w:bCs/>
          <w:sz w:val="24"/>
          <w:szCs w:val="24"/>
          <w:lang w:eastAsia="zh-CN"/>
        </w:rPr>
        <w:t>：</w:t>
      </w:r>
    </w:p>
    <w:p w14:paraId="4FC6DBC2">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1、</w:t>
      </w:r>
      <w:r>
        <w:rPr>
          <w:rFonts w:hint="eastAsia" w:ascii="楷体" w:hAnsi="楷体" w:eastAsia="楷体" w:cs="楷体"/>
          <w:sz w:val="24"/>
          <w:szCs w:val="24"/>
          <w:lang w:eastAsia="zh-CN"/>
        </w:rPr>
        <w:t>建设单位</w:t>
      </w:r>
      <w:r>
        <w:rPr>
          <w:rFonts w:hint="eastAsia" w:ascii="楷体" w:hAnsi="楷体" w:eastAsia="楷体" w:cs="楷体"/>
          <w:sz w:val="24"/>
          <w:szCs w:val="24"/>
          <w:lang w:val="en-US" w:eastAsia="zh-CN"/>
        </w:rPr>
        <w:t>提供的图纸</w:t>
      </w:r>
      <w:r>
        <w:rPr>
          <w:rFonts w:hint="eastAsia" w:ascii="楷体" w:hAnsi="楷体" w:eastAsia="楷体" w:cs="楷体"/>
          <w:sz w:val="24"/>
          <w:szCs w:val="24"/>
        </w:rPr>
        <w:t>等</w:t>
      </w:r>
      <w:r>
        <w:rPr>
          <w:rFonts w:hint="eastAsia" w:ascii="楷体" w:hAnsi="楷体" w:eastAsia="楷体" w:cs="楷体"/>
          <w:sz w:val="24"/>
          <w:szCs w:val="24"/>
          <w:lang w:val="en-US" w:eastAsia="zh-CN"/>
        </w:rPr>
        <w:t>工程信息</w:t>
      </w:r>
      <w:r>
        <w:rPr>
          <w:rFonts w:hint="eastAsia" w:ascii="楷体" w:hAnsi="楷体" w:eastAsia="楷体" w:cs="楷体"/>
          <w:sz w:val="24"/>
          <w:szCs w:val="24"/>
        </w:rPr>
        <w:t>。</w:t>
      </w:r>
    </w:p>
    <w:p w14:paraId="630A667B">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2、中华人民共和国住房和城乡建设部颁发的《建设工程工程量清单计价标准》（GB/T 50500-2024）。</w:t>
      </w:r>
    </w:p>
    <w:p w14:paraId="1C7155AC">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3、苏建价〔2025〕第12号《省住房和城乡建设厅关于实施《建设工程工程量清单计价标准》（GB/T50500-2024）及9本工程量计算标准有关事宜的公告》。</w:t>
      </w:r>
    </w:p>
    <w:p w14:paraId="60FA70CF">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4、江苏省住房和城乡建设厅颁发的《江苏省建设工程费用参考》（2026）</w:t>
      </w:r>
      <w:r>
        <w:rPr>
          <w:rFonts w:hint="eastAsia" w:ascii="楷体" w:hAnsi="楷体" w:eastAsia="楷体" w:cs="楷体"/>
          <w:sz w:val="24"/>
          <w:szCs w:val="24"/>
          <w:lang w:eastAsia="zh-CN"/>
        </w:rPr>
        <w:t>、《江苏建设工程施工机具台班费用参考表》（2026）</w:t>
      </w:r>
      <w:r>
        <w:rPr>
          <w:rFonts w:hint="eastAsia" w:ascii="楷体" w:hAnsi="楷体" w:eastAsia="楷体" w:cs="楷体"/>
          <w:sz w:val="24"/>
          <w:szCs w:val="24"/>
        </w:rPr>
        <w:t>。</w:t>
      </w:r>
    </w:p>
    <w:p w14:paraId="3213629B">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5、江苏省住房和城乡建设厅颁发的《江苏省建筑与装饰工程消耗量》</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2026</w:t>
      </w:r>
      <w:r>
        <w:rPr>
          <w:rFonts w:hint="eastAsia" w:ascii="楷体" w:hAnsi="楷体" w:eastAsia="楷体" w:cs="楷体"/>
          <w:sz w:val="24"/>
          <w:szCs w:val="24"/>
          <w:lang w:eastAsia="zh-CN"/>
        </w:rPr>
        <w:t>）、</w:t>
      </w:r>
      <w:r>
        <w:rPr>
          <w:rFonts w:hint="eastAsia" w:ascii="楷体" w:hAnsi="楷体" w:eastAsia="楷体" w:cs="楷体"/>
          <w:sz w:val="24"/>
          <w:szCs w:val="24"/>
        </w:rPr>
        <w:t>《江苏省市政工程消耗量》（2026）</w:t>
      </w:r>
      <w:r>
        <w:rPr>
          <w:rFonts w:hint="eastAsia" w:ascii="楷体" w:hAnsi="楷体" w:eastAsia="楷体" w:cs="楷体"/>
          <w:sz w:val="24"/>
          <w:szCs w:val="24"/>
          <w:lang w:eastAsia="zh-CN"/>
        </w:rPr>
        <w:t>、</w:t>
      </w:r>
      <w:r>
        <w:rPr>
          <w:rFonts w:hint="eastAsia" w:ascii="楷体" w:hAnsi="楷体" w:eastAsia="楷体" w:cs="楷体"/>
          <w:sz w:val="24"/>
          <w:szCs w:val="24"/>
        </w:rPr>
        <w:t>《江苏省通用安装工程消耗量》（2026）等。</w:t>
      </w:r>
    </w:p>
    <w:p w14:paraId="043E7D73">
      <w:pPr>
        <w:snapToGrid w:val="0"/>
        <w:spacing w:line="500" w:lineRule="exact"/>
        <w:ind w:firstLine="465"/>
        <w:rPr>
          <w:rFonts w:hint="eastAsia" w:ascii="楷体" w:hAnsi="楷体" w:eastAsia="楷体" w:cs="楷体"/>
          <w:sz w:val="24"/>
          <w:szCs w:val="24"/>
          <w:lang w:eastAsia="zh-CN"/>
        </w:rPr>
      </w:pPr>
      <w:r>
        <w:rPr>
          <w:rFonts w:hint="eastAsia" w:ascii="楷体" w:hAnsi="楷体" w:eastAsia="楷体" w:cs="楷体"/>
          <w:sz w:val="24"/>
          <w:szCs w:val="24"/>
        </w:rPr>
        <w:t>6、苏建函价〔2019〕178号文《省住房城乡建设厅关于调整建设工程计价增值税税率的通知》。江苏省住房和城乡建设厅[2019]第19号《省住房城乡建设厅关于建筑工人实名制费用计取方法的公告》</w:t>
      </w:r>
      <w:r>
        <w:rPr>
          <w:rFonts w:hint="eastAsia" w:ascii="楷体" w:hAnsi="楷体" w:eastAsia="楷体" w:cs="楷体"/>
          <w:sz w:val="24"/>
          <w:szCs w:val="24"/>
          <w:lang w:eastAsia="zh-CN"/>
        </w:rPr>
        <w:t>。</w:t>
      </w:r>
      <w:r>
        <w:rPr>
          <w:rFonts w:hint="eastAsia" w:ascii="楷体" w:hAnsi="楷体" w:eastAsia="楷体" w:cs="楷体"/>
          <w:sz w:val="24"/>
          <w:szCs w:val="24"/>
        </w:rPr>
        <w:t>江苏省住房和城乡建设厅公告[2021]第16号《关于智慧工地费用计取方法的公告》。锡建建市【2022】</w:t>
      </w:r>
      <w:r>
        <w:rPr>
          <w:rFonts w:hint="eastAsia" w:ascii="楷体" w:hAnsi="楷体" w:eastAsia="楷体" w:cs="楷体"/>
          <w:sz w:val="24"/>
          <w:szCs w:val="24"/>
          <w:lang w:val="en-US" w:eastAsia="zh-CN"/>
        </w:rPr>
        <w:t>26</w:t>
      </w:r>
      <w:r>
        <w:rPr>
          <w:rFonts w:hint="eastAsia" w:ascii="楷体" w:hAnsi="楷体" w:eastAsia="楷体" w:cs="楷体"/>
          <w:sz w:val="24"/>
          <w:szCs w:val="24"/>
        </w:rPr>
        <w:t>号</w:t>
      </w:r>
      <w:r>
        <w:rPr>
          <w:rFonts w:hint="eastAsia" w:ascii="楷体" w:hAnsi="楷体" w:eastAsia="楷体" w:cs="楷体"/>
          <w:sz w:val="24"/>
          <w:szCs w:val="24"/>
          <w:lang w:eastAsia="zh-CN"/>
        </w:rPr>
        <w:t>《</w:t>
      </w:r>
      <w:r>
        <w:rPr>
          <w:rFonts w:hint="eastAsia" w:ascii="楷体" w:hAnsi="楷体" w:eastAsia="楷体" w:cs="楷体"/>
          <w:sz w:val="24"/>
          <w:szCs w:val="24"/>
        </w:rPr>
        <w:t>关于推广使用承插型盘扣式钢管支架的通知</w:t>
      </w:r>
      <w:r>
        <w:rPr>
          <w:rFonts w:hint="eastAsia" w:ascii="楷体" w:hAnsi="楷体" w:eastAsia="楷体" w:cs="楷体"/>
          <w:sz w:val="24"/>
          <w:szCs w:val="24"/>
          <w:lang w:eastAsia="zh-CN"/>
        </w:rPr>
        <w:t>》。</w:t>
      </w:r>
    </w:p>
    <w:p w14:paraId="2C8A312D">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7、无锡市建设局有关文件。</w:t>
      </w:r>
    </w:p>
    <w:p w14:paraId="086C48CF">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8、与建设工程有关的标准、规范、技术资料。</w:t>
      </w:r>
    </w:p>
    <w:p w14:paraId="75CB245F">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 xml:space="preserve">9、施工现场情况、地勘、水文资料、工程特点及常规施工方案。        </w:t>
      </w:r>
    </w:p>
    <w:p w14:paraId="77A26457">
      <w:pPr>
        <w:snapToGrid w:val="0"/>
        <w:spacing w:line="500" w:lineRule="exact"/>
        <w:ind w:firstLine="465"/>
        <w:rPr>
          <w:rFonts w:hint="eastAsia" w:ascii="楷体" w:hAnsi="楷体" w:eastAsia="楷体" w:cs="楷体"/>
          <w:sz w:val="24"/>
          <w:szCs w:val="24"/>
        </w:rPr>
      </w:pPr>
      <w:r>
        <w:rPr>
          <w:rFonts w:hint="eastAsia" w:ascii="楷体" w:hAnsi="楷体" w:eastAsia="楷体" w:cs="楷体"/>
          <w:sz w:val="24"/>
          <w:szCs w:val="24"/>
        </w:rPr>
        <w:t>10、其他相关资料。</w:t>
      </w:r>
    </w:p>
    <w:p w14:paraId="5F9209A9">
      <w:pPr>
        <w:spacing w:line="500" w:lineRule="exact"/>
        <w:ind w:firstLine="482" w:firstLineChars="200"/>
        <w:rPr>
          <w:rFonts w:hint="eastAsia" w:ascii="楷体" w:hAnsi="楷体" w:eastAsia="楷体" w:cs="楷体"/>
          <w:b/>
          <w:bCs/>
          <w:sz w:val="24"/>
          <w:szCs w:val="24"/>
          <w:lang w:eastAsia="zh-CN"/>
        </w:rPr>
      </w:pPr>
      <w:r>
        <w:rPr>
          <w:rFonts w:hint="eastAsia" w:ascii="楷体" w:hAnsi="楷体" w:eastAsia="楷体" w:cs="楷体"/>
          <w:b/>
          <w:bCs/>
          <w:sz w:val="24"/>
          <w:szCs w:val="24"/>
        </w:rPr>
        <w:t>四、专业工程暂估价、暂列金额</w:t>
      </w:r>
      <w:r>
        <w:rPr>
          <w:rFonts w:hint="eastAsia" w:ascii="楷体" w:hAnsi="楷体" w:eastAsia="楷体" w:cs="楷体"/>
          <w:b/>
          <w:bCs/>
          <w:sz w:val="24"/>
          <w:szCs w:val="24"/>
          <w:lang w:eastAsia="zh-CN"/>
        </w:rPr>
        <w:t>：</w:t>
      </w:r>
    </w:p>
    <w:p w14:paraId="097D83C5">
      <w:pPr>
        <w:autoSpaceDE w:val="0"/>
        <w:autoSpaceDN w:val="0"/>
        <w:adjustRightInd w:val="0"/>
        <w:snapToGrid w:val="0"/>
        <w:spacing w:line="360" w:lineRule="auto"/>
        <w:ind w:firstLine="480" w:firstLineChars="200"/>
        <w:rPr>
          <w:rFonts w:hint="eastAsia" w:ascii="楷体" w:hAnsi="楷体" w:eastAsia="楷体" w:cs="楷体"/>
          <w:bCs/>
          <w:kern w:val="0"/>
          <w:sz w:val="24"/>
          <w:szCs w:val="24"/>
          <w:highlight w:val="none"/>
        </w:rPr>
      </w:pPr>
      <w:r>
        <w:rPr>
          <w:rFonts w:hint="eastAsia" w:ascii="楷体" w:hAnsi="楷体" w:eastAsia="楷体" w:cs="楷体"/>
          <w:bCs/>
          <w:kern w:val="0"/>
          <w:sz w:val="24"/>
          <w:szCs w:val="24"/>
          <w:highlight w:val="none"/>
        </w:rPr>
        <w:t>本项目</w:t>
      </w:r>
      <w:r>
        <w:rPr>
          <w:rFonts w:hint="eastAsia" w:ascii="楷体" w:hAnsi="楷体" w:eastAsia="楷体" w:cs="楷体"/>
          <w:bCs/>
          <w:kern w:val="0"/>
          <w:sz w:val="24"/>
          <w:szCs w:val="24"/>
          <w:highlight w:val="none"/>
          <w:lang w:val="en-US" w:eastAsia="zh-CN"/>
        </w:rPr>
        <w:t>无</w:t>
      </w:r>
      <w:r>
        <w:rPr>
          <w:rFonts w:hint="eastAsia" w:ascii="楷体" w:hAnsi="楷体" w:eastAsia="楷体" w:cs="楷体"/>
          <w:bCs/>
          <w:kern w:val="0"/>
          <w:sz w:val="24"/>
          <w:szCs w:val="24"/>
          <w:highlight w:val="none"/>
        </w:rPr>
        <w:t>暂列金额。</w:t>
      </w:r>
    </w:p>
    <w:p w14:paraId="2E68F785">
      <w:pPr>
        <w:autoSpaceDE w:val="0"/>
        <w:autoSpaceDN w:val="0"/>
        <w:adjustRightInd w:val="0"/>
        <w:snapToGrid w:val="0"/>
        <w:spacing w:line="360" w:lineRule="auto"/>
        <w:ind w:firstLine="480" w:firstLineChars="200"/>
        <w:rPr>
          <w:rFonts w:hint="eastAsia" w:ascii="楷体" w:hAnsi="楷体" w:eastAsia="楷体" w:cs="楷体"/>
          <w:b/>
          <w:bCs w:val="0"/>
          <w:kern w:val="0"/>
          <w:sz w:val="24"/>
          <w:szCs w:val="24"/>
        </w:rPr>
      </w:pPr>
      <w:r>
        <w:rPr>
          <w:rFonts w:hint="eastAsia" w:ascii="楷体" w:hAnsi="楷体" w:eastAsia="楷体" w:cs="楷体"/>
          <w:bCs/>
          <w:kern w:val="0"/>
          <w:sz w:val="24"/>
          <w:szCs w:val="24"/>
          <w:highlight w:val="none"/>
        </w:rPr>
        <w:t>本项目无专业工程暂估价。</w:t>
      </w:r>
    </w:p>
    <w:p w14:paraId="6E3D1810">
      <w:pPr>
        <w:snapToGrid w:val="0"/>
        <w:spacing w:line="360" w:lineRule="auto"/>
        <w:ind w:firstLine="482" w:firstLineChars="200"/>
        <w:rPr>
          <w:rFonts w:hint="eastAsia" w:ascii="楷体" w:hAnsi="楷体" w:eastAsia="楷体" w:cs="楷体"/>
          <w:b/>
          <w:bCs w:val="0"/>
          <w:kern w:val="0"/>
          <w:sz w:val="24"/>
          <w:szCs w:val="24"/>
          <w:lang w:eastAsia="zh-CN"/>
        </w:rPr>
      </w:pPr>
      <w:r>
        <w:rPr>
          <w:rFonts w:hint="eastAsia" w:ascii="楷体" w:hAnsi="楷体" w:eastAsia="楷体" w:cs="楷体"/>
          <w:b/>
          <w:bCs w:val="0"/>
          <w:kern w:val="0"/>
          <w:sz w:val="24"/>
          <w:szCs w:val="24"/>
        </w:rPr>
        <w:t>五、</w:t>
      </w:r>
      <w:r>
        <w:rPr>
          <w:rFonts w:hint="eastAsia" w:ascii="楷体" w:hAnsi="楷体" w:eastAsia="楷体" w:cs="楷体"/>
          <w:b/>
          <w:bCs w:val="0"/>
          <w:sz w:val="24"/>
          <w:szCs w:val="28"/>
        </w:rPr>
        <w:t>关于工程量清单编制的</w:t>
      </w:r>
      <w:r>
        <w:rPr>
          <w:rFonts w:hint="eastAsia" w:ascii="楷体" w:hAnsi="楷体" w:eastAsia="楷体" w:cs="楷体"/>
          <w:b/>
          <w:bCs w:val="0"/>
          <w:sz w:val="24"/>
          <w:szCs w:val="28"/>
          <w:lang w:val="en-US" w:eastAsia="zh-CN"/>
        </w:rPr>
        <w:t>其他</w:t>
      </w:r>
      <w:r>
        <w:rPr>
          <w:rFonts w:hint="eastAsia" w:ascii="楷体" w:hAnsi="楷体" w:eastAsia="楷体" w:cs="楷体"/>
          <w:b/>
          <w:bCs w:val="0"/>
          <w:sz w:val="24"/>
          <w:szCs w:val="28"/>
        </w:rPr>
        <w:t>说明</w:t>
      </w:r>
      <w:r>
        <w:rPr>
          <w:rFonts w:hint="eastAsia" w:ascii="楷体" w:hAnsi="楷体" w:eastAsia="楷体" w:cs="楷体"/>
          <w:b/>
          <w:bCs w:val="0"/>
          <w:sz w:val="24"/>
          <w:szCs w:val="28"/>
          <w:lang w:eastAsia="zh-CN"/>
        </w:rPr>
        <w:t>：</w:t>
      </w:r>
    </w:p>
    <w:p w14:paraId="56B3BA5B">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1、投标人在编制报价文件时发现本清单说明部分内容若与招标文件有矛盾时，投标人应提供书面答疑，要求书面澄清，若答疑阶段已过时发现，则以招标文件为准。清单项目特征只对工程项目的主要内容和工序做简要描述，不能详尽招标施工图</w:t>
      </w:r>
      <w:r>
        <w:rPr>
          <w:rFonts w:hint="eastAsia" w:ascii="楷体" w:hAnsi="楷体" w:eastAsia="楷体" w:cs="楷体"/>
          <w:sz w:val="24"/>
          <w:szCs w:val="24"/>
          <w:lang w:val="en-US" w:eastAsia="zh-CN"/>
        </w:rPr>
        <w:t>及清单计价标准</w:t>
      </w:r>
      <w:r>
        <w:rPr>
          <w:rFonts w:hint="eastAsia" w:ascii="楷体" w:hAnsi="楷体" w:eastAsia="楷体" w:cs="楷体"/>
          <w:sz w:val="24"/>
          <w:szCs w:val="24"/>
        </w:rPr>
        <w:t>中的每项说明与内容，如投标人未提供书面答疑，视为完成招标施工图中所有工作所需的费用均已包含在投标报价中。</w:t>
      </w:r>
    </w:p>
    <w:p w14:paraId="78BF038C">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2、本清单所列工程数量是根据图纸或现行情况估算和暂定的，仅作为投标的共同基础，不能作为最终结算与支付的依据。结算与支付应以工程量清单计价</w:t>
      </w:r>
      <w:r>
        <w:rPr>
          <w:rFonts w:hint="eastAsia" w:ascii="楷体" w:hAnsi="楷体" w:eastAsia="楷体" w:cs="楷体"/>
          <w:sz w:val="24"/>
          <w:szCs w:val="24"/>
          <w:lang w:val="en-US" w:eastAsia="zh-CN"/>
        </w:rPr>
        <w:t>标准</w:t>
      </w:r>
      <w:r>
        <w:rPr>
          <w:rFonts w:hint="eastAsia" w:ascii="楷体" w:hAnsi="楷体" w:eastAsia="楷体" w:cs="楷体"/>
          <w:sz w:val="24"/>
          <w:szCs w:val="24"/>
        </w:rPr>
        <w:t>或监理工程师认可的尺寸断面或其他计量方法进行计量，经监理工程师确认，最终按工程量清单单价进行结算与支付。工程量清单所列工程量的变动，丝毫不会降低或影响合同条件的效力，也不免除承包商按规定的标准进行施工和修复缺陷的责任。</w:t>
      </w:r>
    </w:p>
    <w:p w14:paraId="5AC2E8B5">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3、《建设工程工程量清单计价标准》中列举了各清单项目编码应有的工作内容，如无特殊说明，该工作内容即为工程量清单的工作内容，所有的工作内容所需费用均应包括在投标报价的综合单价内。</w:t>
      </w:r>
    </w:p>
    <w:p w14:paraId="4B0E7666">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4、清单项目是施工工序的综合，招标人按规范编制的综合工序可能和设计图纸提供的“工程数量表”的计量单位及工序划分不一样，投标人应根据《建设工程工程量清单计价标准》（GB/T 50500-2024）规定的工程内容计算各项费用，计算施工工序数量应以设计图示（断面）尺寸为依据，设计图上所示的单位工程数量的含量只是参考。业主不承担由于设计图上提供的分项或分部工程量表缺陷而造成的各项索赔。</w:t>
      </w:r>
    </w:p>
    <w:p w14:paraId="7921E66F">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5、投标人的投标报价中，要充分考虑临时设施的费用，报价中必须考虑应满足实现“标准化施工现场和规范化施工作业”的现场管理、标准化施工现场的要求。本工程临时设施费在招标控制价中已充分考虑，投标人应当合理估算后进行计取费率报价，若中标后因该项费用不足则视为含在投标报价中不再进行调整。</w:t>
      </w:r>
    </w:p>
    <w:p w14:paraId="63088B47">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6、投标人应充分预计与工程所在地公安部门办理工地治安、管理手续所支付相应费用。费用包含工程自实施起直至工程竣工验收通过、移交手续完备，用于全面负责照管、维护本工程和用于本工程的材料、设备以及工地范围内既有市政设施而可能发生的损失。</w:t>
      </w:r>
    </w:p>
    <w:p w14:paraId="0761999D">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7、投标人应当在进场后立即对本工程原地面地形复测确认，之后投标人有责任和义务保管好工地现场，如再发生由他人倾倒的建筑、生活垃圾等渣土等此类情况，清运处置费用由投标人自行承担。</w:t>
      </w:r>
    </w:p>
    <w:p w14:paraId="5534F854">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8、工程施工时应符合环保要求，充分考虑淤泥、淤泥质土、建筑垃圾、耕植土、杂填土的弃运等处理。报价时自行在投标价中考虑弃运过程中相关部门的管理规范要求而发生的环境保护费用、堆放场地的场地费（消纳费）以及掩埋等处置费用。对于施工过程中出现的工程渣土、建筑、装修垃圾等，投标人应优先考虑采用湿化装卸，使用符合密闭条件的工具，按照核定载重量，在指定的时间、线路行驶，由此增加的费用，投标人应考虑在报价中。</w:t>
      </w:r>
    </w:p>
    <w:p w14:paraId="007F584B">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9、投标人可根据施工组织设计采取的方案自行相应增加措施项目。设计图纸提供的施工方案</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如有</w:t>
      </w:r>
      <w:r>
        <w:rPr>
          <w:rFonts w:hint="eastAsia" w:ascii="楷体" w:hAnsi="楷体" w:eastAsia="楷体" w:cs="楷体"/>
          <w:sz w:val="24"/>
          <w:szCs w:val="24"/>
          <w:lang w:eastAsia="zh-CN"/>
        </w:rPr>
        <w:t>）</w:t>
      </w:r>
      <w:r>
        <w:rPr>
          <w:rFonts w:hint="eastAsia" w:ascii="楷体" w:hAnsi="楷体" w:eastAsia="楷体" w:cs="楷体"/>
          <w:sz w:val="24"/>
          <w:szCs w:val="24"/>
        </w:rPr>
        <w:t>仅为参考，投标人在报价时应结合本单位的具体情况，充分考虑各自实际的施工组织设计、施工方案及技术措施，据实报价，一旦中标，除非设计图纸发生重大变更导致施工方案变化，投标报价的措施项目均不再调整，因现场实际方案与投标报价时方案不一致引起的措施项目改变，也不再另计。</w:t>
      </w:r>
    </w:p>
    <w:p w14:paraId="60E7C0EA">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1</w:t>
      </w:r>
      <w:r>
        <w:rPr>
          <w:rFonts w:hint="eastAsia" w:ascii="楷体" w:hAnsi="楷体" w:eastAsia="楷体" w:cs="楷体"/>
          <w:sz w:val="24"/>
          <w:szCs w:val="24"/>
          <w:lang w:val="en-US" w:eastAsia="zh-CN"/>
        </w:rPr>
        <w:t>0</w:t>
      </w:r>
      <w:r>
        <w:rPr>
          <w:rFonts w:hint="eastAsia" w:ascii="楷体" w:hAnsi="楷体" w:eastAsia="楷体" w:cs="楷体"/>
          <w:sz w:val="24"/>
          <w:szCs w:val="24"/>
        </w:rPr>
        <w:t>、投标人须充分考虑施工范围内可能发生的既有公用管线防护费用。若施工期间发生公用管线保护不力导致损坏、影响管线正常运行的情况，无论是否中标人自身行为所致，管线恢复及停运损失费用概由中标人承担（中标人当场查获责任人且责任人确认无误的，可由责任人承担），并视情节轻重及有关规定进行罚款。</w:t>
      </w:r>
    </w:p>
    <w:p w14:paraId="2F43B05D">
      <w:pPr>
        <w:adjustRightInd w:val="0"/>
        <w:snapToGrid w:val="0"/>
        <w:spacing w:line="360" w:lineRule="auto"/>
        <w:ind w:firstLine="480" w:firstLineChars="200"/>
        <w:rPr>
          <w:rFonts w:hint="eastAsia" w:ascii="楷体" w:hAnsi="楷体" w:eastAsia="楷体" w:cs="楷体"/>
          <w:sz w:val="24"/>
          <w:szCs w:val="24"/>
        </w:rPr>
      </w:pPr>
      <w:r>
        <w:rPr>
          <w:rFonts w:hint="eastAsia" w:ascii="楷体" w:hAnsi="楷体" w:eastAsia="楷体" w:cs="楷体"/>
          <w:sz w:val="24"/>
          <w:szCs w:val="24"/>
        </w:rPr>
        <w:t>1</w:t>
      </w:r>
      <w:r>
        <w:rPr>
          <w:rFonts w:hint="eastAsia" w:ascii="楷体" w:hAnsi="楷体" w:eastAsia="楷体" w:cs="楷体"/>
          <w:sz w:val="24"/>
          <w:szCs w:val="24"/>
          <w:lang w:val="en-US" w:eastAsia="zh-CN"/>
        </w:rPr>
        <w:t>1</w:t>
      </w:r>
      <w:r>
        <w:rPr>
          <w:rFonts w:hint="eastAsia" w:ascii="楷体" w:hAnsi="楷体" w:eastAsia="楷体" w:cs="楷体"/>
          <w:sz w:val="24"/>
          <w:szCs w:val="24"/>
        </w:rPr>
        <w:t>、不可竞争费如下表：</w:t>
      </w:r>
    </w:p>
    <w:tbl>
      <w:tblPr>
        <w:tblStyle w:val="7"/>
        <w:tblpPr w:leftFromText="180" w:rightFromText="180" w:vertAnchor="text" w:horzAnchor="page" w:tblpX="2311" w:tblpY="210"/>
        <w:tblOverlap w:val="never"/>
        <w:tblW w:w="8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534"/>
        <w:gridCol w:w="3535"/>
        <w:gridCol w:w="1206"/>
        <w:gridCol w:w="1206"/>
      </w:tblGrid>
      <w:tr w14:paraId="43FD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34" w:type="dxa"/>
            <w:tcBorders>
              <w:left w:val="single" w:color="auto" w:sz="4" w:space="0"/>
            </w:tcBorders>
            <w:noWrap w:val="0"/>
            <w:vAlign w:val="center"/>
          </w:tcPr>
          <w:p w14:paraId="3184160D">
            <w:pPr>
              <w:spacing w:line="240" w:lineRule="exact"/>
              <w:jc w:val="center"/>
              <w:rPr>
                <w:rFonts w:hint="eastAsia" w:ascii="楷体" w:hAnsi="楷体" w:eastAsia="楷体" w:cs="楷体"/>
                <w:b/>
                <w:bCs/>
              </w:rPr>
            </w:pPr>
            <w:r>
              <w:rPr>
                <w:rFonts w:hint="eastAsia" w:ascii="楷体" w:hAnsi="楷体" w:eastAsia="楷体" w:cs="楷体"/>
                <w:b/>
                <w:bCs/>
              </w:rPr>
              <w:t>序号</w:t>
            </w:r>
          </w:p>
        </w:tc>
        <w:tc>
          <w:tcPr>
            <w:tcW w:w="1534" w:type="dxa"/>
            <w:noWrap w:val="0"/>
            <w:vAlign w:val="center"/>
          </w:tcPr>
          <w:p w14:paraId="3E1EB40B">
            <w:pPr>
              <w:spacing w:line="240" w:lineRule="exact"/>
              <w:jc w:val="center"/>
              <w:rPr>
                <w:rFonts w:hint="eastAsia" w:ascii="楷体" w:hAnsi="楷体" w:eastAsia="楷体" w:cs="楷体"/>
                <w:b/>
                <w:bCs/>
              </w:rPr>
            </w:pPr>
            <w:r>
              <w:rPr>
                <w:rFonts w:hint="eastAsia" w:ascii="楷体" w:hAnsi="楷体" w:eastAsia="楷体" w:cs="楷体"/>
                <w:b/>
                <w:bCs/>
              </w:rPr>
              <w:t>费用类别</w:t>
            </w:r>
          </w:p>
        </w:tc>
        <w:tc>
          <w:tcPr>
            <w:tcW w:w="3535" w:type="dxa"/>
            <w:noWrap w:val="0"/>
            <w:vAlign w:val="center"/>
          </w:tcPr>
          <w:p w14:paraId="4E7CBBE4">
            <w:pPr>
              <w:spacing w:line="240" w:lineRule="exact"/>
              <w:jc w:val="center"/>
              <w:rPr>
                <w:rFonts w:hint="eastAsia" w:ascii="楷体" w:hAnsi="楷体" w:eastAsia="楷体" w:cs="楷体"/>
                <w:b/>
                <w:bCs/>
              </w:rPr>
            </w:pPr>
            <w:r>
              <w:rPr>
                <w:rFonts w:hint="eastAsia" w:ascii="楷体" w:hAnsi="楷体" w:eastAsia="楷体" w:cs="楷体"/>
                <w:b/>
                <w:bCs/>
              </w:rPr>
              <w:t>计算基础</w:t>
            </w:r>
          </w:p>
        </w:tc>
        <w:tc>
          <w:tcPr>
            <w:tcW w:w="1206" w:type="dxa"/>
            <w:noWrap w:val="0"/>
            <w:vAlign w:val="center"/>
          </w:tcPr>
          <w:p w14:paraId="2A85AC94">
            <w:pPr>
              <w:jc w:val="center"/>
              <w:rPr>
                <w:rFonts w:hint="eastAsia" w:ascii="楷体" w:hAnsi="楷体" w:eastAsia="楷体" w:cs="楷体"/>
                <w:b/>
                <w:bCs/>
                <w:lang w:val="en-US" w:eastAsia="zh-CN"/>
              </w:rPr>
            </w:pPr>
            <w:r>
              <w:rPr>
                <w:rFonts w:hint="eastAsia" w:ascii="楷体" w:hAnsi="楷体" w:eastAsia="楷体" w:cs="楷体"/>
                <w:b/>
                <w:bCs/>
                <w:lang w:val="en-US" w:eastAsia="zh-CN"/>
              </w:rPr>
              <w:t>安装工程</w:t>
            </w:r>
          </w:p>
        </w:tc>
        <w:tc>
          <w:tcPr>
            <w:tcW w:w="1206" w:type="dxa"/>
            <w:shd w:val="clear" w:color="auto" w:fill="auto"/>
            <w:noWrap w:val="0"/>
            <w:vAlign w:val="center"/>
          </w:tcPr>
          <w:p w14:paraId="764FF901">
            <w:pPr>
              <w:jc w:val="center"/>
              <w:rPr>
                <w:rFonts w:hint="eastAsia" w:ascii="楷体" w:hAnsi="楷体" w:eastAsia="楷体" w:cs="楷体"/>
                <w:b/>
                <w:bCs/>
                <w:kern w:val="2"/>
                <w:sz w:val="21"/>
                <w:lang w:val="en-US" w:eastAsia="zh-CN" w:bidi="ar-SA"/>
              </w:rPr>
            </w:pPr>
            <w:r>
              <w:rPr>
                <w:rFonts w:hint="eastAsia" w:ascii="楷体" w:hAnsi="楷体" w:eastAsia="楷体" w:cs="楷体"/>
                <w:b/>
                <w:bCs/>
                <w:lang w:val="en-US" w:eastAsia="zh-CN"/>
              </w:rPr>
              <w:t>建筑工程</w:t>
            </w:r>
          </w:p>
        </w:tc>
      </w:tr>
      <w:tr w14:paraId="01B9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734" w:type="dxa"/>
            <w:noWrap w:val="0"/>
            <w:vAlign w:val="center"/>
          </w:tcPr>
          <w:p w14:paraId="5D613512">
            <w:pPr>
              <w:numPr>
                <w:ilvl w:val="0"/>
                <w:numId w:val="0"/>
              </w:numPr>
              <w:spacing w:line="240" w:lineRule="exact"/>
              <w:ind w:leftChars="0"/>
              <w:jc w:val="center"/>
              <w:rPr>
                <w:rFonts w:hint="eastAsia" w:ascii="楷体" w:hAnsi="楷体" w:eastAsia="楷体" w:cs="楷体"/>
                <w:lang w:val="en-US" w:eastAsia="zh-CN"/>
              </w:rPr>
            </w:pPr>
            <w:r>
              <w:rPr>
                <w:rFonts w:hint="eastAsia" w:ascii="楷体" w:hAnsi="楷体" w:eastAsia="楷体" w:cs="楷体"/>
                <w:lang w:val="en-US" w:eastAsia="zh-CN"/>
              </w:rPr>
              <w:t>1</w:t>
            </w:r>
          </w:p>
        </w:tc>
        <w:tc>
          <w:tcPr>
            <w:tcW w:w="1534" w:type="dxa"/>
            <w:noWrap w:val="0"/>
            <w:vAlign w:val="center"/>
          </w:tcPr>
          <w:p w14:paraId="6B3DE3D4">
            <w:pPr>
              <w:spacing w:line="240" w:lineRule="exact"/>
              <w:jc w:val="center"/>
              <w:rPr>
                <w:rFonts w:hint="default" w:ascii="楷体" w:hAnsi="楷体" w:eastAsia="楷体" w:cs="楷体"/>
                <w:lang w:val="en-US"/>
              </w:rPr>
            </w:pPr>
            <w:r>
              <w:rPr>
                <w:rFonts w:hint="eastAsia" w:ascii="楷体" w:hAnsi="楷体" w:eastAsia="楷体" w:cs="楷体"/>
                <w:lang w:val="en-US" w:eastAsia="zh-CN"/>
              </w:rPr>
              <w:t>安全生产措施费</w:t>
            </w:r>
          </w:p>
        </w:tc>
        <w:tc>
          <w:tcPr>
            <w:tcW w:w="3535" w:type="dxa"/>
            <w:noWrap w:val="0"/>
            <w:vAlign w:val="center"/>
          </w:tcPr>
          <w:p w14:paraId="2A38D247">
            <w:pPr>
              <w:spacing w:line="240" w:lineRule="exact"/>
              <w:jc w:val="center"/>
              <w:rPr>
                <w:rFonts w:hint="eastAsia" w:ascii="楷体" w:hAnsi="楷体" w:eastAsia="楷体" w:cs="楷体"/>
              </w:rPr>
            </w:pPr>
            <w:r>
              <w:rPr>
                <w:rFonts w:hint="eastAsia" w:ascii="楷体" w:hAnsi="楷体" w:eastAsia="楷体" w:cs="楷体"/>
              </w:rPr>
              <w:t>分部分项合计-除税工程设备费</w:t>
            </w:r>
          </w:p>
        </w:tc>
        <w:tc>
          <w:tcPr>
            <w:tcW w:w="1206" w:type="dxa"/>
            <w:noWrap w:val="0"/>
            <w:vAlign w:val="center"/>
          </w:tcPr>
          <w:p w14:paraId="6A9432AE">
            <w:pPr>
              <w:jc w:val="center"/>
              <w:rPr>
                <w:rFonts w:hint="default" w:ascii="楷体" w:hAnsi="楷体" w:eastAsia="楷体" w:cs="楷体"/>
                <w:lang w:val="en-US" w:eastAsia="zh-CN"/>
              </w:rPr>
            </w:pPr>
            <w:r>
              <w:rPr>
                <w:rFonts w:hint="default" w:ascii="Arial" w:hAnsi="Arial" w:eastAsia="楷体" w:cs="Arial"/>
                <w:lang w:val="en-US" w:eastAsia="zh-CN"/>
              </w:rPr>
              <w:t>≥</w:t>
            </w:r>
            <w:r>
              <w:rPr>
                <w:rFonts w:hint="eastAsia" w:ascii="楷体" w:hAnsi="楷体" w:eastAsia="楷体" w:cs="楷体"/>
                <w:lang w:val="en-US" w:eastAsia="zh-CN"/>
              </w:rPr>
              <w:t>2.9</w:t>
            </w:r>
          </w:p>
        </w:tc>
        <w:tc>
          <w:tcPr>
            <w:tcW w:w="1206" w:type="dxa"/>
            <w:shd w:val="clear" w:color="auto" w:fill="auto"/>
            <w:noWrap w:val="0"/>
            <w:vAlign w:val="center"/>
          </w:tcPr>
          <w:p w14:paraId="5562D6D4">
            <w:pPr>
              <w:jc w:val="center"/>
              <w:rPr>
                <w:rFonts w:hint="default" w:ascii="楷体" w:hAnsi="楷体" w:eastAsia="楷体" w:cs="楷体"/>
                <w:kern w:val="2"/>
                <w:sz w:val="21"/>
                <w:lang w:val="en-US" w:eastAsia="zh-CN" w:bidi="ar-SA"/>
              </w:rPr>
            </w:pPr>
            <w:r>
              <w:rPr>
                <w:rFonts w:hint="default" w:ascii="Arial" w:hAnsi="Arial" w:eastAsia="楷体" w:cs="Arial"/>
                <w:lang w:val="en-US" w:eastAsia="zh-CN"/>
              </w:rPr>
              <w:t>≥</w:t>
            </w:r>
            <w:r>
              <w:rPr>
                <w:rFonts w:hint="eastAsia" w:ascii="楷体" w:hAnsi="楷体" w:eastAsia="楷体" w:cs="楷体"/>
                <w:lang w:val="en-US" w:eastAsia="zh-CN"/>
              </w:rPr>
              <w:t>3.8</w:t>
            </w:r>
          </w:p>
        </w:tc>
      </w:tr>
      <w:tr w14:paraId="0CCD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734" w:type="dxa"/>
            <w:noWrap w:val="0"/>
            <w:vAlign w:val="center"/>
          </w:tcPr>
          <w:p w14:paraId="4831DB5F">
            <w:pPr>
              <w:numPr>
                <w:ilvl w:val="0"/>
                <w:numId w:val="0"/>
              </w:numPr>
              <w:spacing w:line="240" w:lineRule="exact"/>
              <w:ind w:leftChars="0"/>
              <w:jc w:val="center"/>
              <w:rPr>
                <w:rFonts w:hint="eastAsia" w:ascii="楷体" w:hAnsi="楷体" w:eastAsia="楷体" w:cs="楷体"/>
                <w:lang w:val="en-US" w:eastAsia="zh-CN"/>
              </w:rPr>
            </w:pPr>
            <w:r>
              <w:rPr>
                <w:rFonts w:hint="eastAsia" w:ascii="楷体" w:hAnsi="楷体" w:eastAsia="楷体" w:cs="楷体"/>
                <w:lang w:val="en-US" w:eastAsia="zh-CN"/>
              </w:rPr>
              <w:t>2</w:t>
            </w:r>
          </w:p>
        </w:tc>
        <w:tc>
          <w:tcPr>
            <w:tcW w:w="1534" w:type="dxa"/>
            <w:noWrap w:val="0"/>
            <w:vAlign w:val="center"/>
          </w:tcPr>
          <w:p w14:paraId="6CB04AFA">
            <w:pPr>
              <w:spacing w:line="240" w:lineRule="exact"/>
              <w:jc w:val="center"/>
              <w:rPr>
                <w:rFonts w:hint="eastAsia" w:ascii="楷体" w:hAnsi="楷体" w:eastAsia="楷体" w:cs="楷体"/>
              </w:rPr>
            </w:pPr>
            <w:r>
              <w:rPr>
                <w:rFonts w:hint="eastAsia" w:ascii="楷体" w:hAnsi="楷体" w:eastAsia="楷体" w:cs="楷体"/>
                <w:lang w:val="en-US" w:eastAsia="zh-CN"/>
              </w:rPr>
              <w:t>增值税</w:t>
            </w:r>
            <w:r>
              <w:rPr>
                <w:rFonts w:hint="eastAsia" w:ascii="楷体" w:hAnsi="楷体" w:eastAsia="楷体" w:cs="楷体"/>
              </w:rPr>
              <w:t>(%)</w:t>
            </w:r>
          </w:p>
        </w:tc>
        <w:tc>
          <w:tcPr>
            <w:tcW w:w="3535" w:type="dxa"/>
            <w:noWrap w:val="0"/>
            <w:vAlign w:val="center"/>
          </w:tcPr>
          <w:p w14:paraId="194366C7">
            <w:pPr>
              <w:spacing w:line="240" w:lineRule="exact"/>
              <w:jc w:val="center"/>
              <w:rPr>
                <w:rFonts w:hint="eastAsia" w:ascii="楷体" w:hAnsi="楷体" w:eastAsia="楷体" w:cs="楷体"/>
              </w:rPr>
            </w:pPr>
            <w:r>
              <w:rPr>
                <w:rFonts w:hint="eastAsia" w:ascii="楷体" w:hAnsi="楷体" w:eastAsia="楷体" w:cs="楷体"/>
              </w:rPr>
              <w:t>分部分项工程+措施项目+其他项目+增值税-除税甲供材料和甲供设备费</w:t>
            </w:r>
          </w:p>
        </w:tc>
        <w:tc>
          <w:tcPr>
            <w:tcW w:w="1206" w:type="dxa"/>
            <w:noWrap w:val="0"/>
            <w:vAlign w:val="center"/>
          </w:tcPr>
          <w:p w14:paraId="7AFDEED5">
            <w:pPr>
              <w:jc w:val="center"/>
              <w:rPr>
                <w:rFonts w:hint="eastAsia" w:ascii="楷体" w:hAnsi="楷体" w:eastAsia="楷体" w:cs="楷体"/>
                <w:lang w:val="en-US" w:eastAsia="zh-CN"/>
              </w:rPr>
            </w:pPr>
            <w:r>
              <w:rPr>
                <w:rFonts w:hint="eastAsia" w:ascii="楷体" w:hAnsi="楷体" w:eastAsia="楷体" w:cs="楷体"/>
                <w:lang w:val="en-US" w:eastAsia="zh-CN"/>
              </w:rPr>
              <w:t>9</w:t>
            </w:r>
          </w:p>
        </w:tc>
        <w:tc>
          <w:tcPr>
            <w:tcW w:w="1206" w:type="dxa"/>
            <w:shd w:val="clear" w:color="auto" w:fill="auto"/>
            <w:noWrap w:val="0"/>
            <w:vAlign w:val="center"/>
          </w:tcPr>
          <w:p w14:paraId="1887310E">
            <w:pPr>
              <w:jc w:val="center"/>
              <w:rPr>
                <w:rFonts w:hint="eastAsia" w:ascii="楷体" w:hAnsi="楷体" w:eastAsia="楷体" w:cs="楷体"/>
                <w:kern w:val="2"/>
                <w:sz w:val="21"/>
                <w:lang w:val="en-US" w:eastAsia="zh-CN" w:bidi="ar-SA"/>
              </w:rPr>
            </w:pPr>
            <w:r>
              <w:rPr>
                <w:rFonts w:hint="eastAsia" w:ascii="楷体" w:hAnsi="楷体" w:eastAsia="楷体" w:cs="楷体"/>
                <w:lang w:val="en-US" w:eastAsia="zh-CN"/>
              </w:rPr>
              <w:t>9</w:t>
            </w:r>
          </w:p>
        </w:tc>
      </w:tr>
    </w:tbl>
    <w:p w14:paraId="4098DDDB">
      <w:pPr>
        <w:adjustRightInd w:val="0"/>
        <w:snapToGrid w:val="0"/>
        <w:spacing w:line="360" w:lineRule="auto"/>
        <w:rPr>
          <w:rFonts w:hint="eastAsia" w:ascii="楷体" w:hAnsi="楷体" w:eastAsia="楷体" w:cs="楷体"/>
          <w:color w:val="FF0000"/>
          <w:sz w:val="24"/>
          <w:szCs w:val="24"/>
        </w:rPr>
      </w:pPr>
    </w:p>
    <w:p w14:paraId="7D45D7D9">
      <w:pPr>
        <w:adjustRightInd w:val="0"/>
        <w:snapToGrid w:val="0"/>
        <w:spacing w:line="360" w:lineRule="auto"/>
        <w:rPr>
          <w:rFonts w:hint="eastAsia" w:ascii="楷体" w:hAnsi="楷体" w:eastAsia="楷体" w:cs="楷体"/>
          <w:color w:val="FF0000"/>
          <w:sz w:val="24"/>
          <w:szCs w:val="24"/>
        </w:rPr>
      </w:pPr>
    </w:p>
    <w:p w14:paraId="78FB6988">
      <w:pPr>
        <w:adjustRightInd w:val="0"/>
        <w:snapToGrid w:val="0"/>
        <w:spacing w:line="360" w:lineRule="auto"/>
        <w:rPr>
          <w:rFonts w:hint="eastAsia" w:ascii="楷体" w:hAnsi="楷体" w:eastAsia="楷体" w:cs="楷体"/>
          <w:color w:val="FF0000"/>
          <w:sz w:val="24"/>
          <w:szCs w:val="24"/>
        </w:rPr>
      </w:pPr>
    </w:p>
    <w:p w14:paraId="62A8D8B6">
      <w:pPr>
        <w:adjustRightInd w:val="0"/>
        <w:snapToGrid w:val="0"/>
        <w:spacing w:line="360" w:lineRule="auto"/>
        <w:rPr>
          <w:rFonts w:hint="eastAsia" w:ascii="楷体" w:hAnsi="楷体" w:eastAsia="楷体" w:cs="楷体"/>
          <w:color w:val="FF0000"/>
          <w:sz w:val="24"/>
          <w:szCs w:val="24"/>
        </w:rPr>
      </w:pPr>
    </w:p>
    <w:p w14:paraId="213C2C56">
      <w:pPr>
        <w:adjustRightInd w:val="0"/>
        <w:snapToGrid w:val="0"/>
        <w:spacing w:line="360" w:lineRule="auto"/>
        <w:rPr>
          <w:rFonts w:hint="eastAsia" w:ascii="楷体" w:hAnsi="楷体" w:eastAsia="楷体" w:cs="楷体"/>
          <w:color w:val="FF0000"/>
          <w:sz w:val="24"/>
          <w:szCs w:val="24"/>
        </w:rPr>
      </w:pPr>
    </w:p>
    <w:p w14:paraId="7DB783EE">
      <w:pPr>
        <w:adjustRightInd w:val="0"/>
        <w:snapToGrid w:val="0"/>
        <w:spacing w:line="360" w:lineRule="auto"/>
        <w:rPr>
          <w:rFonts w:hint="eastAsia" w:ascii="楷体" w:hAnsi="楷体" w:eastAsia="楷体" w:cs="楷体"/>
          <w:color w:val="FF0000"/>
          <w:sz w:val="24"/>
          <w:szCs w:val="24"/>
        </w:rPr>
      </w:pPr>
    </w:p>
    <w:p w14:paraId="7D447932">
      <w:pPr>
        <w:adjustRightInd w:val="0"/>
        <w:snapToGrid w:val="0"/>
        <w:spacing w:line="360" w:lineRule="auto"/>
        <w:rPr>
          <w:rFonts w:hint="eastAsia" w:ascii="楷体" w:hAnsi="楷体" w:eastAsia="楷体" w:cs="楷体"/>
          <w:color w:val="FF0000"/>
          <w:sz w:val="24"/>
          <w:szCs w:val="24"/>
        </w:rPr>
      </w:pPr>
    </w:p>
    <w:p w14:paraId="3FF0B1DA">
      <w:pPr>
        <w:numPr>
          <w:ilvl w:val="0"/>
          <w:numId w:val="0"/>
        </w:numPr>
        <w:spacing w:line="460" w:lineRule="exact"/>
        <w:ind w:firstLine="480" w:firstLineChars="20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注：部分未列明的专业以“江苏省24清单规范电子投标格式（*.24jz）”中信息为准。</w:t>
      </w:r>
    </w:p>
    <w:p w14:paraId="6CB19BEF">
      <w:pPr>
        <w:numPr>
          <w:ilvl w:val="0"/>
          <w:numId w:val="0"/>
        </w:numPr>
        <w:spacing w:line="460" w:lineRule="exact"/>
        <w:ind w:firstLine="480" w:firstLineChars="200"/>
        <w:rPr>
          <w:rFonts w:hint="eastAsia" w:ascii="楷体" w:hAnsi="楷体" w:eastAsia="楷体" w:cs="楷体"/>
          <w:sz w:val="24"/>
          <w:szCs w:val="24"/>
          <w:lang w:val="en-US" w:eastAsia="zh-CN"/>
        </w:rPr>
      </w:pPr>
    </w:p>
    <w:p w14:paraId="0BA6F99E">
      <w:pPr>
        <w:numPr>
          <w:ilvl w:val="0"/>
          <w:numId w:val="1"/>
        </w:numPr>
        <w:spacing w:line="460" w:lineRule="exact"/>
        <w:rPr>
          <w:rFonts w:ascii="楷体" w:hAnsi="楷体" w:eastAsia="楷体" w:cs="楷体"/>
          <w:sz w:val="24"/>
          <w:szCs w:val="24"/>
        </w:rPr>
      </w:pPr>
      <w:r>
        <w:rPr>
          <w:rFonts w:hint="eastAsia" w:ascii="楷体" w:hAnsi="楷体" w:eastAsia="楷体" w:cs="楷体"/>
          <w:sz w:val="24"/>
          <w:szCs w:val="24"/>
        </w:rPr>
        <w:t>招标人推荐的品牌（或厂家）表</w:t>
      </w:r>
    </w:p>
    <w:tbl>
      <w:tblPr>
        <w:tblStyle w:val="7"/>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521"/>
        <w:gridCol w:w="4143"/>
        <w:gridCol w:w="1671"/>
      </w:tblGrid>
      <w:tr w14:paraId="7ECC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20" w:type="dxa"/>
            <w:vAlign w:val="center"/>
          </w:tcPr>
          <w:p w14:paraId="58F82C9A">
            <w:pPr>
              <w:jc w:val="center"/>
              <w:rPr>
                <w:rFonts w:ascii="楷体" w:hAnsi="楷体" w:eastAsia="楷体" w:cs="楷体"/>
                <w:sz w:val="24"/>
                <w:szCs w:val="24"/>
              </w:rPr>
            </w:pPr>
            <w:r>
              <w:rPr>
                <w:rFonts w:hint="eastAsia" w:ascii="楷体" w:hAnsi="楷体" w:eastAsia="楷体" w:cs="楷体"/>
                <w:sz w:val="24"/>
                <w:szCs w:val="24"/>
              </w:rPr>
              <w:t>序号</w:t>
            </w:r>
          </w:p>
        </w:tc>
        <w:tc>
          <w:tcPr>
            <w:tcW w:w="2521" w:type="dxa"/>
            <w:vAlign w:val="center"/>
          </w:tcPr>
          <w:p w14:paraId="79E2140F">
            <w:pPr>
              <w:jc w:val="center"/>
              <w:rPr>
                <w:rFonts w:ascii="楷体" w:hAnsi="楷体" w:eastAsia="楷体" w:cs="楷体"/>
                <w:sz w:val="24"/>
                <w:szCs w:val="24"/>
              </w:rPr>
            </w:pPr>
            <w:r>
              <w:rPr>
                <w:rFonts w:hint="eastAsia" w:ascii="楷体" w:hAnsi="楷体" w:eastAsia="楷体" w:cs="楷体"/>
                <w:sz w:val="24"/>
                <w:szCs w:val="24"/>
              </w:rPr>
              <w:t>设备/材料名称</w:t>
            </w:r>
          </w:p>
        </w:tc>
        <w:tc>
          <w:tcPr>
            <w:tcW w:w="4143" w:type="dxa"/>
            <w:vAlign w:val="center"/>
          </w:tcPr>
          <w:p w14:paraId="75B1C8EE">
            <w:pPr>
              <w:jc w:val="center"/>
              <w:rPr>
                <w:rFonts w:ascii="楷体" w:hAnsi="楷体" w:eastAsia="楷体" w:cs="楷体"/>
                <w:sz w:val="24"/>
                <w:szCs w:val="24"/>
              </w:rPr>
            </w:pPr>
            <w:r>
              <w:rPr>
                <w:rFonts w:hint="eastAsia" w:ascii="楷体" w:hAnsi="楷体" w:eastAsia="楷体" w:cs="楷体"/>
                <w:sz w:val="24"/>
                <w:szCs w:val="24"/>
              </w:rPr>
              <w:t>参考品牌</w:t>
            </w:r>
          </w:p>
        </w:tc>
        <w:tc>
          <w:tcPr>
            <w:tcW w:w="1671" w:type="dxa"/>
            <w:vAlign w:val="center"/>
          </w:tcPr>
          <w:p w14:paraId="509AEACA">
            <w:pPr>
              <w:jc w:val="center"/>
              <w:rPr>
                <w:rFonts w:ascii="楷体" w:hAnsi="楷体" w:eastAsia="楷体" w:cs="楷体"/>
                <w:sz w:val="24"/>
                <w:szCs w:val="24"/>
              </w:rPr>
            </w:pPr>
            <w:r>
              <w:rPr>
                <w:rFonts w:hint="eastAsia" w:ascii="楷体" w:hAnsi="楷体" w:eastAsia="楷体" w:cs="楷体"/>
                <w:sz w:val="24"/>
                <w:szCs w:val="24"/>
              </w:rPr>
              <w:t>备注</w:t>
            </w:r>
          </w:p>
        </w:tc>
      </w:tr>
      <w:tr w14:paraId="0147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72FC04FD">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0"/>
                <w:sz w:val="24"/>
                <w:szCs w:val="24"/>
                <w:highlight w:val="none"/>
                <w:u w:val="none"/>
                <w:lang w:val="en-US" w:eastAsia="zh-CN" w:bidi="ar"/>
              </w:rPr>
              <w:t>1</w:t>
            </w:r>
          </w:p>
        </w:tc>
        <w:tc>
          <w:tcPr>
            <w:tcW w:w="2521" w:type="dxa"/>
            <w:vAlign w:val="center"/>
          </w:tcPr>
          <w:p w14:paraId="03C6801D">
            <w:pPr>
              <w:jc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color w:val="000000"/>
                <w:sz w:val="24"/>
                <w:szCs w:val="24"/>
              </w:rPr>
              <w:t>电线、电缆</w:t>
            </w:r>
          </w:p>
        </w:tc>
        <w:tc>
          <w:tcPr>
            <w:tcW w:w="4143" w:type="dxa"/>
            <w:vAlign w:val="center"/>
          </w:tcPr>
          <w:p w14:paraId="79E8CD60">
            <w:pPr>
              <w:jc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color w:val="000000"/>
                <w:sz w:val="24"/>
                <w:szCs w:val="24"/>
                <w:lang w:val="en-US" w:eastAsia="zh-CN"/>
              </w:rPr>
              <w:t>远东、</w:t>
            </w:r>
            <w:r>
              <w:rPr>
                <w:rFonts w:hint="eastAsia" w:ascii="方正楷体_GB2312" w:hAnsi="方正楷体_GB2312" w:eastAsia="方正楷体_GB2312" w:cs="方正楷体_GB2312"/>
                <w:color w:val="000000"/>
                <w:sz w:val="24"/>
                <w:szCs w:val="24"/>
              </w:rPr>
              <w:t>江南</w:t>
            </w:r>
            <w:r>
              <w:rPr>
                <w:rFonts w:hint="eastAsia" w:ascii="方正楷体_GB2312" w:hAnsi="方正楷体_GB2312" w:eastAsia="方正楷体_GB2312" w:cs="方正楷体_GB2312"/>
                <w:color w:val="000000"/>
                <w:sz w:val="24"/>
                <w:szCs w:val="24"/>
                <w:lang w:eastAsia="zh-CN"/>
              </w:rPr>
              <w:t>、</w:t>
            </w:r>
            <w:r>
              <w:rPr>
                <w:rFonts w:hint="eastAsia" w:ascii="方正楷体_GB2312" w:hAnsi="方正楷体_GB2312" w:eastAsia="方正楷体_GB2312" w:cs="方正楷体_GB2312"/>
                <w:color w:val="000000"/>
                <w:sz w:val="24"/>
                <w:szCs w:val="24"/>
                <w:lang w:val="en-US" w:eastAsia="zh-CN"/>
              </w:rPr>
              <w:t>上上、华美</w:t>
            </w:r>
          </w:p>
        </w:tc>
        <w:tc>
          <w:tcPr>
            <w:tcW w:w="1671" w:type="dxa"/>
            <w:vAlign w:val="center"/>
          </w:tcPr>
          <w:p w14:paraId="10E5CBA9">
            <w:pPr>
              <w:jc w:val="center"/>
              <w:rPr>
                <w:rFonts w:ascii="楷体" w:hAnsi="楷体" w:eastAsia="楷体" w:cs="楷体"/>
                <w:sz w:val="24"/>
                <w:szCs w:val="24"/>
              </w:rPr>
            </w:pPr>
          </w:p>
        </w:tc>
      </w:tr>
      <w:tr w14:paraId="6922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60F1B4E3">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0"/>
                <w:sz w:val="24"/>
                <w:szCs w:val="24"/>
                <w:highlight w:val="none"/>
                <w:u w:val="none"/>
                <w:lang w:val="en-US" w:eastAsia="zh-CN" w:bidi="ar"/>
              </w:rPr>
              <w:t>2</w:t>
            </w:r>
          </w:p>
        </w:tc>
        <w:tc>
          <w:tcPr>
            <w:tcW w:w="2521" w:type="dxa"/>
            <w:vAlign w:val="center"/>
          </w:tcPr>
          <w:p w14:paraId="193EDE27">
            <w:pPr>
              <w:jc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sz w:val="24"/>
                <w:szCs w:val="24"/>
              </w:rPr>
              <w:t>配电箱内低压断路器</w:t>
            </w:r>
          </w:p>
        </w:tc>
        <w:tc>
          <w:tcPr>
            <w:tcW w:w="4143" w:type="dxa"/>
            <w:vAlign w:val="center"/>
          </w:tcPr>
          <w:p w14:paraId="2DF2D8D5">
            <w:pPr>
              <w:jc w:val="center"/>
              <w:rPr>
                <w:rFonts w:hint="default" w:ascii="方正楷体_GB2312" w:hAnsi="方正楷体_GB2312" w:eastAsia="方正楷体_GB2312" w:cs="方正楷体_GB2312"/>
                <w:sz w:val="24"/>
                <w:szCs w:val="24"/>
                <w:lang w:val="en-US" w:eastAsia="zh-CN"/>
              </w:rPr>
            </w:pPr>
            <w:r>
              <w:rPr>
                <w:rFonts w:hint="eastAsia" w:ascii="方正楷体_GB2312" w:hAnsi="方正楷体_GB2312" w:eastAsia="方正楷体_GB2312" w:cs="方正楷体_GB2312"/>
                <w:sz w:val="24"/>
                <w:szCs w:val="24"/>
                <w:lang w:val="en-US" w:eastAsia="zh-CN"/>
              </w:rPr>
              <w:t>施耐德、西门子、ABB</w:t>
            </w:r>
          </w:p>
        </w:tc>
        <w:tc>
          <w:tcPr>
            <w:tcW w:w="1671" w:type="dxa"/>
            <w:vAlign w:val="center"/>
          </w:tcPr>
          <w:p w14:paraId="7E91D7EA">
            <w:pPr>
              <w:jc w:val="center"/>
              <w:rPr>
                <w:rFonts w:ascii="楷体" w:hAnsi="楷体" w:eastAsia="楷体" w:cs="楷体"/>
                <w:sz w:val="24"/>
                <w:szCs w:val="24"/>
              </w:rPr>
            </w:pPr>
          </w:p>
        </w:tc>
      </w:tr>
      <w:tr w14:paraId="778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24428C67">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0"/>
                <w:sz w:val="24"/>
                <w:szCs w:val="24"/>
                <w:highlight w:val="none"/>
                <w:u w:val="none"/>
                <w:lang w:val="en-US" w:eastAsia="zh-CN" w:bidi="ar"/>
              </w:rPr>
              <w:t>3</w:t>
            </w:r>
          </w:p>
        </w:tc>
        <w:tc>
          <w:tcPr>
            <w:tcW w:w="2521" w:type="dxa"/>
            <w:vAlign w:val="center"/>
          </w:tcPr>
          <w:p w14:paraId="281111C7">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color w:val="000000"/>
                <w:kern w:val="2"/>
                <w:sz w:val="24"/>
                <w:szCs w:val="24"/>
                <w:lang w:val="en-US" w:eastAsia="zh-CN" w:bidi="ar-SA"/>
              </w:rPr>
              <w:t>焊接钢管</w:t>
            </w:r>
          </w:p>
        </w:tc>
        <w:tc>
          <w:tcPr>
            <w:tcW w:w="4143" w:type="dxa"/>
            <w:vAlign w:val="center"/>
          </w:tcPr>
          <w:p w14:paraId="31E3C846">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sz w:val="24"/>
                <w:szCs w:val="24"/>
                <w:lang w:val="en-US" w:eastAsia="zh-CN"/>
              </w:rPr>
              <w:t>国强，</w:t>
            </w:r>
            <w:r>
              <w:rPr>
                <w:rFonts w:hint="eastAsia" w:ascii="方正楷体_GB2312" w:hAnsi="方正楷体_GB2312" w:eastAsia="方正楷体_GB2312" w:cs="方正楷体_GB2312"/>
                <w:sz w:val="24"/>
                <w:szCs w:val="24"/>
              </w:rPr>
              <w:t>友</w:t>
            </w:r>
            <w:r>
              <w:rPr>
                <w:rFonts w:hint="eastAsia" w:ascii="方正楷体_GB2312" w:hAnsi="方正楷体_GB2312" w:eastAsia="方正楷体_GB2312" w:cs="方正楷体_GB2312"/>
                <w:sz w:val="24"/>
                <w:szCs w:val="24"/>
                <w:lang w:val="en-US" w:eastAsia="zh-CN"/>
              </w:rPr>
              <w:t>发，</w:t>
            </w:r>
            <w:r>
              <w:rPr>
                <w:rFonts w:hint="eastAsia" w:ascii="方正楷体_GB2312" w:hAnsi="方正楷体_GB2312" w:eastAsia="方正楷体_GB2312" w:cs="方正楷体_GB2312"/>
                <w:sz w:val="24"/>
                <w:szCs w:val="24"/>
              </w:rPr>
              <w:t>华岐</w:t>
            </w:r>
            <w:r>
              <w:rPr>
                <w:rFonts w:hint="eastAsia" w:ascii="方正楷体_GB2312" w:hAnsi="方正楷体_GB2312" w:eastAsia="方正楷体_GB2312" w:cs="方正楷体_GB2312"/>
                <w:sz w:val="24"/>
                <w:szCs w:val="24"/>
                <w:lang w:eastAsia="zh-CN"/>
              </w:rPr>
              <w:t>，</w:t>
            </w:r>
            <w:r>
              <w:rPr>
                <w:rFonts w:hint="eastAsia" w:ascii="方正楷体_GB2312" w:hAnsi="方正楷体_GB2312" w:eastAsia="方正楷体_GB2312" w:cs="方正楷体_GB2312"/>
                <w:sz w:val="24"/>
                <w:szCs w:val="24"/>
                <w:lang w:val="en-US" w:eastAsia="zh-CN"/>
              </w:rPr>
              <w:t>正大</w:t>
            </w:r>
          </w:p>
        </w:tc>
        <w:tc>
          <w:tcPr>
            <w:tcW w:w="1671" w:type="dxa"/>
            <w:vAlign w:val="center"/>
          </w:tcPr>
          <w:p w14:paraId="0A86FC20">
            <w:pPr>
              <w:jc w:val="center"/>
              <w:rPr>
                <w:rFonts w:ascii="楷体" w:hAnsi="楷体" w:eastAsia="楷体" w:cs="楷体"/>
                <w:sz w:val="24"/>
                <w:szCs w:val="24"/>
              </w:rPr>
            </w:pPr>
          </w:p>
        </w:tc>
      </w:tr>
      <w:tr w14:paraId="439C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537C6D42">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0"/>
                <w:sz w:val="24"/>
                <w:szCs w:val="24"/>
                <w:highlight w:val="none"/>
                <w:u w:val="none"/>
                <w:lang w:val="en-US" w:eastAsia="zh-CN" w:bidi="ar"/>
              </w:rPr>
              <w:t>4</w:t>
            </w:r>
          </w:p>
        </w:tc>
        <w:tc>
          <w:tcPr>
            <w:tcW w:w="2521" w:type="dxa"/>
            <w:vAlign w:val="center"/>
          </w:tcPr>
          <w:p w14:paraId="375F1259">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kern w:val="2"/>
                <w:sz w:val="24"/>
                <w:szCs w:val="24"/>
                <w:lang w:val="en-US" w:eastAsia="zh-CN" w:bidi="ar-SA"/>
              </w:rPr>
              <w:t>不锈钢管</w:t>
            </w:r>
          </w:p>
        </w:tc>
        <w:tc>
          <w:tcPr>
            <w:tcW w:w="4143" w:type="dxa"/>
            <w:vAlign w:val="center"/>
          </w:tcPr>
          <w:p w14:paraId="21A96FBF">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spacing w:val="-1"/>
                <w:kern w:val="2"/>
                <w:sz w:val="24"/>
                <w:szCs w:val="24"/>
                <w:lang w:val="en-US" w:eastAsia="zh-CN" w:bidi="ar-SA"/>
              </w:rPr>
              <w:t>康帕斯、欧洁、洁侍卫、五丰钢业</w:t>
            </w:r>
          </w:p>
        </w:tc>
        <w:tc>
          <w:tcPr>
            <w:tcW w:w="1671" w:type="dxa"/>
            <w:vAlign w:val="center"/>
          </w:tcPr>
          <w:p w14:paraId="303386CB">
            <w:pPr>
              <w:jc w:val="center"/>
              <w:rPr>
                <w:rFonts w:ascii="楷体" w:hAnsi="楷体" w:eastAsia="楷体" w:cs="楷体"/>
                <w:sz w:val="24"/>
                <w:szCs w:val="24"/>
              </w:rPr>
            </w:pPr>
          </w:p>
        </w:tc>
      </w:tr>
      <w:tr w14:paraId="0662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3544024F">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0"/>
                <w:sz w:val="24"/>
                <w:szCs w:val="24"/>
                <w:highlight w:val="none"/>
                <w:u w:val="none"/>
                <w:lang w:val="en-US" w:eastAsia="zh-CN" w:bidi="ar"/>
              </w:rPr>
              <w:t>5</w:t>
            </w:r>
          </w:p>
        </w:tc>
        <w:tc>
          <w:tcPr>
            <w:tcW w:w="2521" w:type="dxa"/>
            <w:vAlign w:val="center"/>
          </w:tcPr>
          <w:p w14:paraId="240D7C55">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color w:val="000000"/>
                <w:kern w:val="2"/>
                <w:sz w:val="24"/>
                <w:szCs w:val="24"/>
                <w:lang w:val="en-US" w:eastAsia="zh-CN" w:bidi="ar-SA"/>
              </w:rPr>
              <w:t>阀门</w:t>
            </w:r>
          </w:p>
        </w:tc>
        <w:tc>
          <w:tcPr>
            <w:tcW w:w="4143" w:type="dxa"/>
            <w:vAlign w:val="center"/>
          </w:tcPr>
          <w:p w14:paraId="6EAC62DC">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color w:val="000000"/>
                <w:kern w:val="2"/>
                <w:sz w:val="24"/>
                <w:szCs w:val="24"/>
                <w:shd w:val="clear" w:color="auto" w:fill="FFFFFF"/>
                <w:lang w:val="en-US" w:eastAsia="zh-CN" w:bidi="ar-SA"/>
              </w:rPr>
              <w:t>宏泰、中安、贝斯特、海墨林、天才</w:t>
            </w:r>
          </w:p>
        </w:tc>
        <w:tc>
          <w:tcPr>
            <w:tcW w:w="1671" w:type="dxa"/>
            <w:vAlign w:val="center"/>
          </w:tcPr>
          <w:p w14:paraId="3F5A3CF7">
            <w:pPr>
              <w:jc w:val="center"/>
              <w:rPr>
                <w:rFonts w:ascii="楷体" w:hAnsi="楷体" w:eastAsia="楷体" w:cs="楷体"/>
                <w:sz w:val="24"/>
                <w:szCs w:val="24"/>
              </w:rPr>
            </w:pPr>
          </w:p>
        </w:tc>
      </w:tr>
      <w:tr w14:paraId="4CE6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196875B8">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6</w:t>
            </w:r>
          </w:p>
        </w:tc>
        <w:tc>
          <w:tcPr>
            <w:tcW w:w="2521" w:type="dxa"/>
            <w:vAlign w:val="center"/>
          </w:tcPr>
          <w:p w14:paraId="1D315162">
            <w:pPr>
              <w:keepNext w:val="0"/>
              <w:keepLines w:val="0"/>
              <w:widowControl/>
              <w:suppressLineNumbers w:val="0"/>
              <w:jc w:val="center"/>
              <w:textAlignment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风机</w:t>
            </w:r>
          </w:p>
        </w:tc>
        <w:tc>
          <w:tcPr>
            <w:tcW w:w="4143" w:type="dxa"/>
            <w:vAlign w:val="center"/>
          </w:tcPr>
          <w:p w14:paraId="465474E1">
            <w:pPr>
              <w:jc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sz w:val="24"/>
                <w:szCs w:val="24"/>
                <w:lang w:val="en-US" w:eastAsia="zh-CN"/>
              </w:rPr>
              <w:t>超然、伊特耐尔、鑫茂、中能</w:t>
            </w:r>
          </w:p>
        </w:tc>
        <w:tc>
          <w:tcPr>
            <w:tcW w:w="1671" w:type="dxa"/>
            <w:vAlign w:val="center"/>
          </w:tcPr>
          <w:p w14:paraId="71DCC29D">
            <w:pPr>
              <w:jc w:val="center"/>
              <w:rPr>
                <w:rFonts w:ascii="楷体" w:hAnsi="楷体" w:eastAsia="楷体" w:cs="楷体"/>
                <w:sz w:val="24"/>
                <w:szCs w:val="24"/>
              </w:rPr>
            </w:pPr>
          </w:p>
        </w:tc>
      </w:tr>
      <w:tr w14:paraId="1FC2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73454880">
            <w:pPr>
              <w:keepNext w:val="0"/>
              <w:keepLines w:val="0"/>
              <w:widowControl/>
              <w:suppressLineNumbers w:val="0"/>
              <w:jc w:val="center"/>
              <w:textAlignment w:val="center"/>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7</w:t>
            </w:r>
          </w:p>
        </w:tc>
        <w:tc>
          <w:tcPr>
            <w:tcW w:w="2521" w:type="dxa"/>
            <w:vAlign w:val="center"/>
          </w:tcPr>
          <w:p w14:paraId="13D75CBE">
            <w:pPr>
              <w:keepNext w:val="0"/>
              <w:keepLines w:val="0"/>
              <w:widowControl/>
              <w:suppressLineNumbers w:val="0"/>
              <w:jc w:val="center"/>
              <w:textAlignment w:val="center"/>
              <w:rPr>
                <w:rFonts w:hint="eastAsia" w:ascii="方正楷体_GB2312" w:hAnsi="方正楷体_GB2312" w:eastAsia="方正楷体_GB2312" w:cs="方正楷体_GB2312"/>
                <w:color w:val="000000"/>
                <w:kern w:val="0"/>
                <w:sz w:val="24"/>
                <w:szCs w:val="24"/>
                <w:lang w:bidi="ar"/>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污水提升站</w:t>
            </w:r>
          </w:p>
        </w:tc>
        <w:tc>
          <w:tcPr>
            <w:tcW w:w="4143" w:type="dxa"/>
            <w:vAlign w:val="center"/>
          </w:tcPr>
          <w:p w14:paraId="59F137D9">
            <w:pPr>
              <w:jc w:val="center"/>
              <w:rPr>
                <w:rFonts w:hint="default" w:ascii="方正楷体_GB2312" w:hAnsi="方正楷体_GB2312" w:eastAsia="方正楷体_GB2312" w:cs="方正楷体_GB2312"/>
                <w:color w:val="000000"/>
                <w:kern w:val="0"/>
                <w:sz w:val="24"/>
                <w:szCs w:val="24"/>
                <w:lang w:val="en-US" w:bidi="ar"/>
              </w:rPr>
            </w:pPr>
            <w:r>
              <w:rPr>
                <w:rFonts w:hint="eastAsia" w:ascii="方正楷体_GB2312" w:hAnsi="方正楷体_GB2312" w:eastAsia="方正楷体_GB2312" w:cs="方正楷体_GB2312"/>
                <w:sz w:val="24"/>
                <w:szCs w:val="24"/>
                <w:lang w:val="en-US" w:eastAsia="zh-CN"/>
              </w:rPr>
              <w:t>ACO 亚科、ECOTECHNIC汉高雷尔、TECE帝希</w:t>
            </w:r>
            <w:bookmarkStart w:id="0" w:name="_GoBack"/>
            <w:bookmarkEnd w:id="0"/>
          </w:p>
        </w:tc>
        <w:tc>
          <w:tcPr>
            <w:tcW w:w="1671" w:type="dxa"/>
            <w:vAlign w:val="center"/>
          </w:tcPr>
          <w:p w14:paraId="68E83FF2">
            <w:pPr>
              <w:jc w:val="center"/>
              <w:rPr>
                <w:rFonts w:ascii="楷体" w:hAnsi="楷体" w:eastAsia="楷体" w:cs="楷体"/>
                <w:sz w:val="24"/>
                <w:szCs w:val="24"/>
              </w:rPr>
            </w:pPr>
          </w:p>
        </w:tc>
      </w:tr>
      <w:tr w14:paraId="5E9C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shd w:val="clear" w:color="auto" w:fill="auto"/>
            <w:vAlign w:val="center"/>
          </w:tcPr>
          <w:p w14:paraId="20948C8E">
            <w:pPr>
              <w:keepNext w:val="0"/>
              <w:keepLines w:val="0"/>
              <w:widowControl/>
              <w:suppressLineNumbers w:val="0"/>
              <w:jc w:val="center"/>
              <w:textAlignment w:val="center"/>
              <w:rPr>
                <w:rFonts w:hint="eastAsia" w:ascii="方正楷体_GB2312" w:hAnsi="方正楷体_GB2312" w:eastAsia="方正楷体_GB2312" w:cs="方正楷体_GB2312"/>
                <w:kern w:val="2"/>
                <w:sz w:val="24"/>
                <w:szCs w:val="24"/>
                <w:lang w:val="en-US" w:eastAsia="zh-CN" w:bidi="ar-SA"/>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7</w:t>
            </w:r>
          </w:p>
        </w:tc>
        <w:tc>
          <w:tcPr>
            <w:tcW w:w="2521" w:type="dxa"/>
            <w:shd w:val="clear" w:color="auto" w:fill="auto"/>
            <w:vAlign w:val="center"/>
          </w:tcPr>
          <w:p w14:paraId="53C818FB">
            <w:pPr>
              <w:keepNext w:val="0"/>
              <w:keepLines w:val="0"/>
              <w:widowControl/>
              <w:suppressLineNumbers w:val="0"/>
              <w:jc w:val="center"/>
              <w:textAlignment w:val="center"/>
              <w:rPr>
                <w:rFonts w:hint="eastAsia" w:ascii="方正楷体_GB2312" w:hAnsi="方正楷体_GB2312" w:eastAsia="方正楷体_GB2312" w:cs="方正楷体_GB2312"/>
                <w:color w:val="000000"/>
                <w:kern w:val="0"/>
                <w:sz w:val="24"/>
                <w:szCs w:val="24"/>
                <w:lang w:val="en-US" w:eastAsia="zh-CN" w:bidi="ar"/>
              </w:rPr>
            </w:pPr>
            <w:r>
              <w:rPr>
                <w:rFonts w:hint="eastAsia" w:ascii="方正楷体_GB2312" w:hAnsi="方正楷体_GB2312" w:eastAsia="方正楷体_GB2312" w:cs="方正楷体_GB2312"/>
                <w:i w:val="0"/>
                <w:iCs w:val="0"/>
                <w:color w:val="000000"/>
                <w:kern w:val="2"/>
                <w:sz w:val="24"/>
                <w:szCs w:val="24"/>
                <w:highlight w:val="none"/>
                <w:u w:val="none"/>
                <w:lang w:val="en-US" w:eastAsia="zh-CN" w:bidi="ar-SA"/>
              </w:rPr>
              <w:t>全排型油脂分离器</w:t>
            </w:r>
          </w:p>
        </w:tc>
        <w:tc>
          <w:tcPr>
            <w:tcW w:w="4143" w:type="dxa"/>
            <w:shd w:val="clear" w:color="auto" w:fill="auto"/>
            <w:vAlign w:val="center"/>
          </w:tcPr>
          <w:p w14:paraId="26E016B6">
            <w:pPr>
              <w:jc w:val="center"/>
              <w:rPr>
                <w:rFonts w:hint="eastAsia" w:ascii="方正楷体_GB2312" w:hAnsi="方正楷体_GB2312" w:eastAsia="方正楷体_GB2312" w:cs="方正楷体_GB2312"/>
                <w:color w:val="000000"/>
                <w:kern w:val="0"/>
                <w:sz w:val="24"/>
                <w:szCs w:val="24"/>
                <w:lang w:val="en-US" w:eastAsia="zh-CN" w:bidi="ar"/>
              </w:rPr>
            </w:pPr>
            <w:r>
              <w:rPr>
                <w:rFonts w:hint="eastAsia" w:ascii="方正楷体_GB2312" w:hAnsi="方正楷体_GB2312" w:eastAsia="方正楷体_GB2312" w:cs="方正楷体_GB2312"/>
                <w:sz w:val="24"/>
                <w:szCs w:val="24"/>
                <w:lang w:val="en-US" w:eastAsia="zh-CN"/>
              </w:rPr>
              <w:t>ACO 亚科、ECOTECHNIC汉高雷尔、TECE帝希</w:t>
            </w:r>
          </w:p>
        </w:tc>
        <w:tc>
          <w:tcPr>
            <w:tcW w:w="1671" w:type="dxa"/>
            <w:vAlign w:val="center"/>
          </w:tcPr>
          <w:p w14:paraId="29C8815E">
            <w:pPr>
              <w:jc w:val="center"/>
              <w:rPr>
                <w:rFonts w:ascii="楷体" w:hAnsi="楷体" w:eastAsia="楷体" w:cs="楷体"/>
                <w:sz w:val="24"/>
                <w:szCs w:val="24"/>
              </w:rPr>
            </w:pPr>
          </w:p>
        </w:tc>
      </w:tr>
    </w:tbl>
    <w:p w14:paraId="6C288451">
      <w:pPr>
        <w:spacing w:line="460" w:lineRule="exact"/>
        <w:ind w:firstLine="480" w:firstLineChars="200"/>
        <w:rPr>
          <w:rFonts w:ascii="楷体" w:hAnsi="楷体" w:eastAsia="楷体" w:cs="楷体"/>
          <w:sz w:val="24"/>
          <w:szCs w:val="24"/>
        </w:rPr>
      </w:pPr>
    </w:p>
    <w:p w14:paraId="6BA52938">
      <w:pPr>
        <w:spacing w:line="460" w:lineRule="exact"/>
        <w:ind w:firstLine="480" w:firstLineChars="200"/>
        <w:rPr>
          <w:rFonts w:ascii="楷体" w:hAnsi="楷体" w:eastAsia="楷体" w:cs="楷体"/>
          <w:sz w:val="24"/>
          <w:szCs w:val="24"/>
        </w:rPr>
      </w:pPr>
      <w:r>
        <w:rPr>
          <w:rFonts w:hint="eastAsia" w:ascii="楷体" w:hAnsi="楷体" w:eastAsia="楷体" w:cs="楷体"/>
          <w:sz w:val="24"/>
          <w:szCs w:val="24"/>
        </w:rPr>
        <w:t>本项目部分设备、材料招标人设置品牌，具体详见《招标人推荐的品牌（或厂家）表》。投标人投标时无需明确品牌，但需按照招标文件中承诺书的要求，承诺在合同履行中所涉及的设备、材料按招标文件、工程量清单编制说明提供的品牌表中进行选择，并在投标时按上述品牌综合考虑在报价中，中标后不得对中标的综合单价再做调整。合同履行中，选择的品牌须经招标人同意，正式开工前须提供所选品牌表交由招标人确认。</w:t>
      </w:r>
    </w:p>
    <w:p w14:paraId="225452EE">
      <w:pPr>
        <w:numPr>
          <w:ilvl w:val="0"/>
          <w:numId w:val="0"/>
        </w:numPr>
        <w:spacing w:line="460" w:lineRule="exact"/>
        <w:rPr>
          <w:rFonts w:hint="eastAsia" w:ascii="楷体" w:hAnsi="楷体" w:eastAsia="楷体" w:cs="楷体"/>
          <w:sz w:val="24"/>
          <w:szCs w:val="24"/>
          <w:lang w:val="en-US" w:eastAsia="zh-CN"/>
        </w:rPr>
      </w:pPr>
    </w:p>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AAA2CF-DBE1-44ED-8B02-429476E23A6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embedRegular r:id="rId2" w:fontKey="{0937B175-F642-4512-9784-AE25D88CBF40}"/>
  </w:font>
  <w:font w:name="方正楷体_GB2312">
    <w:panose1 w:val="02000000000000000000"/>
    <w:charset w:val="86"/>
    <w:family w:val="auto"/>
    <w:pitch w:val="default"/>
    <w:sig w:usb0="A00002BF" w:usb1="184F6CFA" w:usb2="00000012" w:usb3="00000000" w:csb0="00040001" w:csb1="00000000"/>
    <w:embedRegular r:id="rId3" w:fontKey="{9B791BA3-8D85-49C5-B687-DC8BBE6B1BAD}"/>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1904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E0FAE5"/>
    <w:multiLevelType w:val="singleLevel"/>
    <w:tmpl w:val="5AE0FAE5"/>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NjRhY2U0OTgwODg2MDg3OTMyYTEwNWRjY2NjZTUifQ=="/>
  </w:docVars>
  <w:rsids>
    <w:rsidRoot w:val="00172A27"/>
    <w:rsid w:val="00015356"/>
    <w:rsid w:val="00016978"/>
    <w:rsid w:val="00021C02"/>
    <w:rsid w:val="00072091"/>
    <w:rsid w:val="000854D6"/>
    <w:rsid w:val="000858B5"/>
    <w:rsid w:val="000938CD"/>
    <w:rsid w:val="000A0D9F"/>
    <w:rsid w:val="000A2595"/>
    <w:rsid w:val="000A2AB9"/>
    <w:rsid w:val="000A41E8"/>
    <w:rsid w:val="000A453E"/>
    <w:rsid w:val="000A5595"/>
    <w:rsid w:val="000A7C2D"/>
    <w:rsid w:val="000C77FF"/>
    <w:rsid w:val="000D0932"/>
    <w:rsid w:val="000D2BC8"/>
    <w:rsid w:val="000D6C87"/>
    <w:rsid w:val="000E634D"/>
    <w:rsid w:val="000F300E"/>
    <w:rsid w:val="000F6A7A"/>
    <w:rsid w:val="00102276"/>
    <w:rsid w:val="00116644"/>
    <w:rsid w:val="001202A5"/>
    <w:rsid w:val="001220C5"/>
    <w:rsid w:val="00126CD8"/>
    <w:rsid w:val="00136381"/>
    <w:rsid w:val="0013718B"/>
    <w:rsid w:val="00155721"/>
    <w:rsid w:val="00157C45"/>
    <w:rsid w:val="00162212"/>
    <w:rsid w:val="00164DE0"/>
    <w:rsid w:val="00170A7B"/>
    <w:rsid w:val="00171A43"/>
    <w:rsid w:val="00176BDB"/>
    <w:rsid w:val="0018485F"/>
    <w:rsid w:val="0018761A"/>
    <w:rsid w:val="001A37EB"/>
    <w:rsid w:val="001A5DED"/>
    <w:rsid w:val="001B1FB4"/>
    <w:rsid w:val="001B430F"/>
    <w:rsid w:val="001C164C"/>
    <w:rsid w:val="001C650D"/>
    <w:rsid w:val="001E1EDA"/>
    <w:rsid w:val="001E63EA"/>
    <w:rsid w:val="001F1D2B"/>
    <w:rsid w:val="001F3C48"/>
    <w:rsid w:val="001F6C38"/>
    <w:rsid w:val="001F76E6"/>
    <w:rsid w:val="001F7DCB"/>
    <w:rsid w:val="00210791"/>
    <w:rsid w:val="002160A4"/>
    <w:rsid w:val="00223519"/>
    <w:rsid w:val="002437D9"/>
    <w:rsid w:val="00244ECA"/>
    <w:rsid w:val="0024538A"/>
    <w:rsid w:val="00257C50"/>
    <w:rsid w:val="002615F1"/>
    <w:rsid w:val="0028679C"/>
    <w:rsid w:val="00291446"/>
    <w:rsid w:val="00292F68"/>
    <w:rsid w:val="00293179"/>
    <w:rsid w:val="0029789A"/>
    <w:rsid w:val="002A056D"/>
    <w:rsid w:val="002A68CE"/>
    <w:rsid w:val="002B6C33"/>
    <w:rsid w:val="002C22B1"/>
    <w:rsid w:val="002D16FE"/>
    <w:rsid w:val="002D3159"/>
    <w:rsid w:val="002D66D5"/>
    <w:rsid w:val="002E33F0"/>
    <w:rsid w:val="00305D30"/>
    <w:rsid w:val="00313948"/>
    <w:rsid w:val="00314002"/>
    <w:rsid w:val="003330B1"/>
    <w:rsid w:val="00342162"/>
    <w:rsid w:val="00357773"/>
    <w:rsid w:val="00377CC3"/>
    <w:rsid w:val="003855EE"/>
    <w:rsid w:val="00385653"/>
    <w:rsid w:val="00385EF3"/>
    <w:rsid w:val="003945C3"/>
    <w:rsid w:val="003B025A"/>
    <w:rsid w:val="003B502A"/>
    <w:rsid w:val="003B7330"/>
    <w:rsid w:val="003D1BE9"/>
    <w:rsid w:val="003D1CC6"/>
    <w:rsid w:val="003D2D93"/>
    <w:rsid w:val="003E4335"/>
    <w:rsid w:val="003E5015"/>
    <w:rsid w:val="003E5FC6"/>
    <w:rsid w:val="003F17AD"/>
    <w:rsid w:val="003F2D10"/>
    <w:rsid w:val="003F4D8C"/>
    <w:rsid w:val="003F521C"/>
    <w:rsid w:val="003F78D4"/>
    <w:rsid w:val="0040521A"/>
    <w:rsid w:val="004054C0"/>
    <w:rsid w:val="004074BE"/>
    <w:rsid w:val="0041019F"/>
    <w:rsid w:val="00410506"/>
    <w:rsid w:val="00430294"/>
    <w:rsid w:val="00436D89"/>
    <w:rsid w:val="00454A82"/>
    <w:rsid w:val="00480D54"/>
    <w:rsid w:val="0048175E"/>
    <w:rsid w:val="004854BD"/>
    <w:rsid w:val="004908E5"/>
    <w:rsid w:val="004A25AD"/>
    <w:rsid w:val="004B016D"/>
    <w:rsid w:val="004B3021"/>
    <w:rsid w:val="004D1D8C"/>
    <w:rsid w:val="004D4E42"/>
    <w:rsid w:val="004D4EDB"/>
    <w:rsid w:val="004D58F4"/>
    <w:rsid w:val="004E0A78"/>
    <w:rsid w:val="004E1CBB"/>
    <w:rsid w:val="004E58D9"/>
    <w:rsid w:val="004F0F7B"/>
    <w:rsid w:val="004F1E92"/>
    <w:rsid w:val="004F672F"/>
    <w:rsid w:val="0050569B"/>
    <w:rsid w:val="00522E62"/>
    <w:rsid w:val="0052687C"/>
    <w:rsid w:val="00533E23"/>
    <w:rsid w:val="00540DD7"/>
    <w:rsid w:val="005421DC"/>
    <w:rsid w:val="0054410E"/>
    <w:rsid w:val="00544586"/>
    <w:rsid w:val="00546049"/>
    <w:rsid w:val="0054650F"/>
    <w:rsid w:val="00552ADD"/>
    <w:rsid w:val="005565EA"/>
    <w:rsid w:val="005775EB"/>
    <w:rsid w:val="0059625B"/>
    <w:rsid w:val="005A1D4B"/>
    <w:rsid w:val="005A48B6"/>
    <w:rsid w:val="005A63B9"/>
    <w:rsid w:val="005B1313"/>
    <w:rsid w:val="005B1975"/>
    <w:rsid w:val="005B1EC0"/>
    <w:rsid w:val="005C122A"/>
    <w:rsid w:val="005D79CE"/>
    <w:rsid w:val="005E1169"/>
    <w:rsid w:val="005E1230"/>
    <w:rsid w:val="005E305D"/>
    <w:rsid w:val="005F6A92"/>
    <w:rsid w:val="0061114F"/>
    <w:rsid w:val="00613F7D"/>
    <w:rsid w:val="00614B28"/>
    <w:rsid w:val="00617E0D"/>
    <w:rsid w:val="00620542"/>
    <w:rsid w:val="00621511"/>
    <w:rsid w:val="0062701E"/>
    <w:rsid w:val="006277FC"/>
    <w:rsid w:val="00634ADD"/>
    <w:rsid w:val="0063523E"/>
    <w:rsid w:val="00640B6E"/>
    <w:rsid w:val="00656569"/>
    <w:rsid w:val="006618E8"/>
    <w:rsid w:val="006637CB"/>
    <w:rsid w:val="00672697"/>
    <w:rsid w:val="00673639"/>
    <w:rsid w:val="00676729"/>
    <w:rsid w:val="00680AFB"/>
    <w:rsid w:val="0068428C"/>
    <w:rsid w:val="00684909"/>
    <w:rsid w:val="006874CC"/>
    <w:rsid w:val="00694E2D"/>
    <w:rsid w:val="006A3820"/>
    <w:rsid w:val="006B4317"/>
    <w:rsid w:val="006B738B"/>
    <w:rsid w:val="006C051A"/>
    <w:rsid w:val="006C0A75"/>
    <w:rsid w:val="006D3355"/>
    <w:rsid w:val="006D5FDB"/>
    <w:rsid w:val="006E2138"/>
    <w:rsid w:val="006E3381"/>
    <w:rsid w:val="006E3580"/>
    <w:rsid w:val="0070064A"/>
    <w:rsid w:val="00700E88"/>
    <w:rsid w:val="007363E8"/>
    <w:rsid w:val="0074087C"/>
    <w:rsid w:val="007602CA"/>
    <w:rsid w:val="007669FA"/>
    <w:rsid w:val="007702B5"/>
    <w:rsid w:val="00773C70"/>
    <w:rsid w:val="0078733A"/>
    <w:rsid w:val="007875C9"/>
    <w:rsid w:val="007A7C1C"/>
    <w:rsid w:val="007B0A7A"/>
    <w:rsid w:val="007B2633"/>
    <w:rsid w:val="007B41B0"/>
    <w:rsid w:val="007C3EFD"/>
    <w:rsid w:val="007C777E"/>
    <w:rsid w:val="007D2322"/>
    <w:rsid w:val="007D446E"/>
    <w:rsid w:val="007E0649"/>
    <w:rsid w:val="007E2333"/>
    <w:rsid w:val="007E3603"/>
    <w:rsid w:val="007E7C66"/>
    <w:rsid w:val="007F0CAB"/>
    <w:rsid w:val="007F408F"/>
    <w:rsid w:val="007F457A"/>
    <w:rsid w:val="007F5121"/>
    <w:rsid w:val="007F6ACF"/>
    <w:rsid w:val="00801E3D"/>
    <w:rsid w:val="00802876"/>
    <w:rsid w:val="008037AB"/>
    <w:rsid w:val="008038FA"/>
    <w:rsid w:val="008132D5"/>
    <w:rsid w:val="00813457"/>
    <w:rsid w:val="00816D47"/>
    <w:rsid w:val="00820F3E"/>
    <w:rsid w:val="00822493"/>
    <w:rsid w:val="00840FA4"/>
    <w:rsid w:val="00844C02"/>
    <w:rsid w:val="00853138"/>
    <w:rsid w:val="0086681E"/>
    <w:rsid w:val="0087478B"/>
    <w:rsid w:val="008765C9"/>
    <w:rsid w:val="0088187B"/>
    <w:rsid w:val="00884479"/>
    <w:rsid w:val="008A1947"/>
    <w:rsid w:val="008B2471"/>
    <w:rsid w:val="008D2D42"/>
    <w:rsid w:val="008D2D76"/>
    <w:rsid w:val="008D3284"/>
    <w:rsid w:val="008D41D5"/>
    <w:rsid w:val="008D4883"/>
    <w:rsid w:val="008E5181"/>
    <w:rsid w:val="008E56A0"/>
    <w:rsid w:val="008E773C"/>
    <w:rsid w:val="009035B3"/>
    <w:rsid w:val="00912EB3"/>
    <w:rsid w:val="00913AF0"/>
    <w:rsid w:val="00926C1D"/>
    <w:rsid w:val="0093363F"/>
    <w:rsid w:val="00936BEA"/>
    <w:rsid w:val="00940948"/>
    <w:rsid w:val="00943A4C"/>
    <w:rsid w:val="00966D0F"/>
    <w:rsid w:val="0097762B"/>
    <w:rsid w:val="00984403"/>
    <w:rsid w:val="00990F6F"/>
    <w:rsid w:val="009A4D7C"/>
    <w:rsid w:val="009B06E6"/>
    <w:rsid w:val="009B76CD"/>
    <w:rsid w:val="009C2A5E"/>
    <w:rsid w:val="009C48DD"/>
    <w:rsid w:val="009C7E5F"/>
    <w:rsid w:val="009D287E"/>
    <w:rsid w:val="009D740E"/>
    <w:rsid w:val="009E5682"/>
    <w:rsid w:val="009F20E8"/>
    <w:rsid w:val="00A13816"/>
    <w:rsid w:val="00A21417"/>
    <w:rsid w:val="00A263A6"/>
    <w:rsid w:val="00A350E6"/>
    <w:rsid w:val="00A37E0D"/>
    <w:rsid w:val="00A40003"/>
    <w:rsid w:val="00A63D26"/>
    <w:rsid w:val="00A7105C"/>
    <w:rsid w:val="00A85D96"/>
    <w:rsid w:val="00A912AA"/>
    <w:rsid w:val="00A9272F"/>
    <w:rsid w:val="00A930ED"/>
    <w:rsid w:val="00A933C4"/>
    <w:rsid w:val="00A94277"/>
    <w:rsid w:val="00A97021"/>
    <w:rsid w:val="00AA4A7E"/>
    <w:rsid w:val="00AA5B8D"/>
    <w:rsid w:val="00AB1C1E"/>
    <w:rsid w:val="00AC08EC"/>
    <w:rsid w:val="00AC1412"/>
    <w:rsid w:val="00AC67A5"/>
    <w:rsid w:val="00AC7337"/>
    <w:rsid w:val="00AD44AE"/>
    <w:rsid w:val="00AD5F05"/>
    <w:rsid w:val="00AF2F66"/>
    <w:rsid w:val="00B03177"/>
    <w:rsid w:val="00B16548"/>
    <w:rsid w:val="00B1663D"/>
    <w:rsid w:val="00B20452"/>
    <w:rsid w:val="00B27C9B"/>
    <w:rsid w:val="00B27D88"/>
    <w:rsid w:val="00B44EBB"/>
    <w:rsid w:val="00B50481"/>
    <w:rsid w:val="00B66A75"/>
    <w:rsid w:val="00B82D0A"/>
    <w:rsid w:val="00B860C7"/>
    <w:rsid w:val="00B91F57"/>
    <w:rsid w:val="00BA4141"/>
    <w:rsid w:val="00BA64D0"/>
    <w:rsid w:val="00BC06F9"/>
    <w:rsid w:val="00BC17FA"/>
    <w:rsid w:val="00BC4B10"/>
    <w:rsid w:val="00BF371C"/>
    <w:rsid w:val="00BF67D3"/>
    <w:rsid w:val="00C0347C"/>
    <w:rsid w:val="00C0575C"/>
    <w:rsid w:val="00C1504B"/>
    <w:rsid w:val="00C22730"/>
    <w:rsid w:val="00C34549"/>
    <w:rsid w:val="00C40F42"/>
    <w:rsid w:val="00C44C4E"/>
    <w:rsid w:val="00C47511"/>
    <w:rsid w:val="00C61C3E"/>
    <w:rsid w:val="00C62904"/>
    <w:rsid w:val="00C64624"/>
    <w:rsid w:val="00C72113"/>
    <w:rsid w:val="00C861BC"/>
    <w:rsid w:val="00C8787B"/>
    <w:rsid w:val="00C9501C"/>
    <w:rsid w:val="00CA524A"/>
    <w:rsid w:val="00CA710F"/>
    <w:rsid w:val="00CA79E8"/>
    <w:rsid w:val="00CB188D"/>
    <w:rsid w:val="00CB2633"/>
    <w:rsid w:val="00CD1065"/>
    <w:rsid w:val="00CE2765"/>
    <w:rsid w:val="00CE542F"/>
    <w:rsid w:val="00CF2834"/>
    <w:rsid w:val="00D07D33"/>
    <w:rsid w:val="00D15895"/>
    <w:rsid w:val="00D20B75"/>
    <w:rsid w:val="00D20E92"/>
    <w:rsid w:val="00D27D57"/>
    <w:rsid w:val="00D3125D"/>
    <w:rsid w:val="00D3636F"/>
    <w:rsid w:val="00D36ABD"/>
    <w:rsid w:val="00D40282"/>
    <w:rsid w:val="00D41E9F"/>
    <w:rsid w:val="00D5194E"/>
    <w:rsid w:val="00D5345C"/>
    <w:rsid w:val="00D60AA8"/>
    <w:rsid w:val="00D75235"/>
    <w:rsid w:val="00D77049"/>
    <w:rsid w:val="00D81303"/>
    <w:rsid w:val="00D83EB0"/>
    <w:rsid w:val="00D92954"/>
    <w:rsid w:val="00DA06EA"/>
    <w:rsid w:val="00DA2A31"/>
    <w:rsid w:val="00DA37F5"/>
    <w:rsid w:val="00DA3D3C"/>
    <w:rsid w:val="00DA7436"/>
    <w:rsid w:val="00DC21C2"/>
    <w:rsid w:val="00DE1CD6"/>
    <w:rsid w:val="00DE1D63"/>
    <w:rsid w:val="00DE3F95"/>
    <w:rsid w:val="00DE58CC"/>
    <w:rsid w:val="00E126FC"/>
    <w:rsid w:val="00E14EF9"/>
    <w:rsid w:val="00E167ED"/>
    <w:rsid w:val="00E36970"/>
    <w:rsid w:val="00E44460"/>
    <w:rsid w:val="00E46A22"/>
    <w:rsid w:val="00E53A47"/>
    <w:rsid w:val="00E54850"/>
    <w:rsid w:val="00E60E44"/>
    <w:rsid w:val="00E635DE"/>
    <w:rsid w:val="00E73211"/>
    <w:rsid w:val="00E83872"/>
    <w:rsid w:val="00E96804"/>
    <w:rsid w:val="00EA1044"/>
    <w:rsid w:val="00EB69BA"/>
    <w:rsid w:val="00EB7566"/>
    <w:rsid w:val="00EE4B2A"/>
    <w:rsid w:val="00EF0E71"/>
    <w:rsid w:val="00F00BD0"/>
    <w:rsid w:val="00F02DFB"/>
    <w:rsid w:val="00F10848"/>
    <w:rsid w:val="00F17017"/>
    <w:rsid w:val="00F26593"/>
    <w:rsid w:val="00F270F5"/>
    <w:rsid w:val="00F33B4B"/>
    <w:rsid w:val="00F44512"/>
    <w:rsid w:val="00F462C1"/>
    <w:rsid w:val="00F46AF4"/>
    <w:rsid w:val="00F5075B"/>
    <w:rsid w:val="00F64696"/>
    <w:rsid w:val="00F650BE"/>
    <w:rsid w:val="00F65939"/>
    <w:rsid w:val="00F6667E"/>
    <w:rsid w:val="00F66747"/>
    <w:rsid w:val="00F72478"/>
    <w:rsid w:val="00F80390"/>
    <w:rsid w:val="00F834AA"/>
    <w:rsid w:val="00F900C5"/>
    <w:rsid w:val="00F95EEE"/>
    <w:rsid w:val="00FA5F1D"/>
    <w:rsid w:val="00FA7933"/>
    <w:rsid w:val="00FB16A7"/>
    <w:rsid w:val="00FB4784"/>
    <w:rsid w:val="00FB51C6"/>
    <w:rsid w:val="00FC4032"/>
    <w:rsid w:val="00FE69C6"/>
    <w:rsid w:val="00FE7A22"/>
    <w:rsid w:val="00FF0B55"/>
    <w:rsid w:val="00FF7F72"/>
    <w:rsid w:val="0111438A"/>
    <w:rsid w:val="014400FD"/>
    <w:rsid w:val="01AD0005"/>
    <w:rsid w:val="02232C55"/>
    <w:rsid w:val="029650A2"/>
    <w:rsid w:val="02D071FC"/>
    <w:rsid w:val="030D63D3"/>
    <w:rsid w:val="03137918"/>
    <w:rsid w:val="03503212"/>
    <w:rsid w:val="04347075"/>
    <w:rsid w:val="04397523"/>
    <w:rsid w:val="05693780"/>
    <w:rsid w:val="060F503E"/>
    <w:rsid w:val="06617A3F"/>
    <w:rsid w:val="06C83803"/>
    <w:rsid w:val="088804E1"/>
    <w:rsid w:val="099515CC"/>
    <w:rsid w:val="0AD81544"/>
    <w:rsid w:val="0B927D83"/>
    <w:rsid w:val="0CDE6D52"/>
    <w:rsid w:val="0D306B85"/>
    <w:rsid w:val="0DEF50FC"/>
    <w:rsid w:val="0E5820F7"/>
    <w:rsid w:val="0E674537"/>
    <w:rsid w:val="0E73691F"/>
    <w:rsid w:val="0EE54141"/>
    <w:rsid w:val="0FB112A7"/>
    <w:rsid w:val="10C81C9D"/>
    <w:rsid w:val="11096775"/>
    <w:rsid w:val="111C0FDF"/>
    <w:rsid w:val="1126529E"/>
    <w:rsid w:val="11934E80"/>
    <w:rsid w:val="12916E6C"/>
    <w:rsid w:val="12945DEB"/>
    <w:rsid w:val="12A47EA2"/>
    <w:rsid w:val="131F28D9"/>
    <w:rsid w:val="15351B57"/>
    <w:rsid w:val="155A495B"/>
    <w:rsid w:val="15825E5F"/>
    <w:rsid w:val="16A33015"/>
    <w:rsid w:val="16B2048E"/>
    <w:rsid w:val="171B2DF6"/>
    <w:rsid w:val="18452267"/>
    <w:rsid w:val="1905788C"/>
    <w:rsid w:val="19941B4A"/>
    <w:rsid w:val="19A90B8D"/>
    <w:rsid w:val="19C31D50"/>
    <w:rsid w:val="1AE14356"/>
    <w:rsid w:val="1B5A0830"/>
    <w:rsid w:val="1C283DBA"/>
    <w:rsid w:val="1C393861"/>
    <w:rsid w:val="1C8600C0"/>
    <w:rsid w:val="1D4A1BE8"/>
    <w:rsid w:val="1DE45DCC"/>
    <w:rsid w:val="1E1D174C"/>
    <w:rsid w:val="1E2F202E"/>
    <w:rsid w:val="1E570DFE"/>
    <w:rsid w:val="1FEF47AF"/>
    <w:rsid w:val="20CA1930"/>
    <w:rsid w:val="20F126A7"/>
    <w:rsid w:val="21230DBB"/>
    <w:rsid w:val="21FC046F"/>
    <w:rsid w:val="22411D93"/>
    <w:rsid w:val="226A25B3"/>
    <w:rsid w:val="22EE0645"/>
    <w:rsid w:val="23EB01E2"/>
    <w:rsid w:val="25BC5076"/>
    <w:rsid w:val="26100DB9"/>
    <w:rsid w:val="261955DE"/>
    <w:rsid w:val="266F2DAC"/>
    <w:rsid w:val="269E759F"/>
    <w:rsid w:val="27E91F94"/>
    <w:rsid w:val="280A7618"/>
    <w:rsid w:val="281170FB"/>
    <w:rsid w:val="29E97876"/>
    <w:rsid w:val="29F21971"/>
    <w:rsid w:val="2A401C0A"/>
    <w:rsid w:val="2AAC7C57"/>
    <w:rsid w:val="2AB15E11"/>
    <w:rsid w:val="2ACB21DF"/>
    <w:rsid w:val="2ACB5C36"/>
    <w:rsid w:val="2B546950"/>
    <w:rsid w:val="2B997B37"/>
    <w:rsid w:val="2C1F60A1"/>
    <w:rsid w:val="2C347A8E"/>
    <w:rsid w:val="2C9F042E"/>
    <w:rsid w:val="2D0704D0"/>
    <w:rsid w:val="2D621327"/>
    <w:rsid w:val="2D9026DC"/>
    <w:rsid w:val="2E5515D4"/>
    <w:rsid w:val="2F294027"/>
    <w:rsid w:val="316D2F31"/>
    <w:rsid w:val="317A7B89"/>
    <w:rsid w:val="31C364FB"/>
    <w:rsid w:val="32845A5E"/>
    <w:rsid w:val="333C3873"/>
    <w:rsid w:val="334312FF"/>
    <w:rsid w:val="33946AA2"/>
    <w:rsid w:val="33FB1EF9"/>
    <w:rsid w:val="34A76EF8"/>
    <w:rsid w:val="350D62AB"/>
    <w:rsid w:val="35843A26"/>
    <w:rsid w:val="358871B2"/>
    <w:rsid w:val="359C2EFC"/>
    <w:rsid w:val="35E47CD9"/>
    <w:rsid w:val="35E90175"/>
    <w:rsid w:val="35EA48C1"/>
    <w:rsid w:val="367C2DD6"/>
    <w:rsid w:val="36DD7C43"/>
    <w:rsid w:val="373924E4"/>
    <w:rsid w:val="37515EC6"/>
    <w:rsid w:val="37B70E53"/>
    <w:rsid w:val="380E0CDC"/>
    <w:rsid w:val="387C00F2"/>
    <w:rsid w:val="38B7196B"/>
    <w:rsid w:val="39356954"/>
    <w:rsid w:val="39402F84"/>
    <w:rsid w:val="39886C4F"/>
    <w:rsid w:val="39FA41E7"/>
    <w:rsid w:val="3A46543F"/>
    <w:rsid w:val="3AE21FA9"/>
    <w:rsid w:val="3BBD59C2"/>
    <w:rsid w:val="3CA15F43"/>
    <w:rsid w:val="3D0759F2"/>
    <w:rsid w:val="3D195014"/>
    <w:rsid w:val="3E5D1032"/>
    <w:rsid w:val="3E934CD1"/>
    <w:rsid w:val="3F57572F"/>
    <w:rsid w:val="40A800E3"/>
    <w:rsid w:val="41B55C1F"/>
    <w:rsid w:val="41E77BF5"/>
    <w:rsid w:val="42AF40BB"/>
    <w:rsid w:val="44120EB2"/>
    <w:rsid w:val="441C0364"/>
    <w:rsid w:val="44305883"/>
    <w:rsid w:val="44BF237A"/>
    <w:rsid w:val="44D22496"/>
    <w:rsid w:val="451D2B87"/>
    <w:rsid w:val="4780371F"/>
    <w:rsid w:val="47941C3D"/>
    <w:rsid w:val="47BC3255"/>
    <w:rsid w:val="47DE214A"/>
    <w:rsid w:val="48C523BC"/>
    <w:rsid w:val="4C3073E2"/>
    <w:rsid w:val="4C663569"/>
    <w:rsid w:val="4CB24959"/>
    <w:rsid w:val="4CCD15F1"/>
    <w:rsid w:val="4D4E6ABE"/>
    <w:rsid w:val="4D74072F"/>
    <w:rsid w:val="4D8E11BC"/>
    <w:rsid w:val="4FC402D4"/>
    <w:rsid w:val="506E2504"/>
    <w:rsid w:val="518514C6"/>
    <w:rsid w:val="52263FF4"/>
    <w:rsid w:val="528B2997"/>
    <w:rsid w:val="559B5230"/>
    <w:rsid w:val="5602712B"/>
    <w:rsid w:val="5615481C"/>
    <w:rsid w:val="572057FB"/>
    <w:rsid w:val="57690068"/>
    <w:rsid w:val="57DA0C85"/>
    <w:rsid w:val="592A18F8"/>
    <w:rsid w:val="59AA5E57"/>
    <w:rsid w:val="5A163BD6"/>
    <w:rsid w:val="5B23737D"/>
    <w:rsid w:val="5B3A3F89"/>
    <w:rsid w:val="5B9265FC"/>
    <w:rsid w:val="5B993C6A"/>
    <w:rsid w:val="5C0E3EB6"/>
    <w:rsid w:val="5C145925"/>
    <w:rsid w:val="5EC93B5A"/>
    <w:rsid w:val="5F6B79B1"/>
    <w:rsid w:val="5F7D70BC"/>
    <w:rsid w:val="5FB733C6"/>
    <w:rsid w:val="5FD81CD8"/>
    <w:rsid w:val="609621B9"/>
    <w:rsid w:val="609F66B4"/>
    <w:rsid w:val="60A46F85"/>
    <w:rsid w:val="61281728"/>
    <w:rsid w:val="612D0169"/>
    <w:rsid w:val="6245733B"/>
    <w:rsid w:val="62464245"/>
    <w:rsid w:val="63490E18"/>
    <w:rsid w:val="63700489"/>
    <w:rsid w:val="65302D21"/>
    <w:rsid w:val="655B7951"/>
    <w:rsid w:val="65D37875"/>
    <w:rsid w:val="68114C66"/>
    <w:rsid w:val="68286A1E"/>
    <w:rsid w:val="69171C91"/>
    <w:rsid w:val="6A0F0830"/>
    <w:rsid w:val="6A140A6A"/>
    <w:rsid w:val="6A6F4092"/>
    <w:rsid w:val="6B513499"/>
    <w:rsid w:val="6C96452E"/>
    <w:rsid w:val="6D6C25BE"/>
    <w:rsid w:val="6D970108"/>
    <w:rsid w:val="6E2A4F03"/>
    <w:rsid w:val="6FAE13F9"/>
    <w:rsid w:val="70C51652"/>
    <w:rsid w:val="70F560AF"/>
    <w:rsid w:val="728425C3"/>
    <w:rsid w:val="7354694B"/>
    <w:rsid w:val="73B85043"/>
    <w:rsid w:val="74E4497A"/>
    <w:rsid w:val="753C2DB5"/>
    <w:rsid w:val="7573657C"/>
    <w:rsid w:val="76524248"/>
    <w:rsid w:val="76676726"/>
    <w:rsid w:val="77105903"/>
    <w:rsid w:val="77257F0D"/>
    <w:rsid w:val="77792BDF"/>
    <w:rsid w:val="79270F49"/>
    <w:rsid w:val="7AAA0554"/>
    <w:rsid w:val="7B005D93"/>
    <w:rsid w:val="7B494559"/>
    <w:rsid w:val="7BFC4545"/>
    <w:rsid w:val="7C516BDF"/>
    <w:rsid w:val="7CD03BC5"/>
    <w:rsid w:val="7D1A34A3"/>
    <w:rsid w:val="7D6E474B"/>
    <w:rsid w:val="7E192CA0"/>
    <w:rsid w:val="7E1940F0"/>
    <w:rsid w:val="7E782780"/>
    <w:rsid w:val="7F181EFF"/>
    <w:rsid w:val="7F480A89"/>
    <w:rsid w:val="7F8F53C1"/>
    <w:rsid w:val="7FA734CE"/>
    <w:rsid w:val="7FAA57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link w:val="11"/>
    <w:uiPriority w:val="0"/>
    <w:pPr>
      <w:spacing w:after="120"/>
      <w:ind w:left="420" w:leftChars="200"/>
    </w:pPr>
  </w:style>
  <w:style w:type="paragraph" w:styleId="3">
    <w:name w:val="Plain Text"/>
    <w:basedOn w:val="1"/>
    <w:link w:val="12"/>
    <w:qFormat/>
    <w:uiPriority w:val="0"/>
    <w:rPr>
      <w:rFonts w:ascii="宋体" w:hAnsi="Courier New"/>
    </w:rPr>
  </w:style>
  <w:style w:type="paragraph" w:styleId="4">
    <w:name w:val="Body Text Indent 2"/>
    <w:basedOn w:val="1"/>
    <w:uiPriority w:val="0"/>
    <w:pPr>
      <w:spacing w:line="360" w:lineRule="auto"/>
      <w:ind w:firstLine="479" w:firstLineChars="199"/>
    </w:pPr>
    <w:rPr>
      <w:rFonts w:ascii="仿宋_GB2312" w:hAnsi="宋体" w:eastAsia="仿宋_GB2312"/>
      <w:b/>
      <w:sz w:val="24"/>
    </w:rPr>
  </w:style>
  <w:style w:type="paragraph" w:styleId="5">
    <w:name w:val="footer"/>
    <w:basedOn w:val="1"/>
    <w:qFormat/>
    <w:uiPriority w:val="0"/>
    <w:pPr>
      <w:tabs>
        <w:tab w:val="center" w:pos="4153"/>
        <w:tab w:val="right" w:pos="8306"/>
      </w:tabs>
      <w:snapToGrid w:val="0"/>
      <w:jc w:val="left"/>
    </w:pPr>
    <w:rPr>
      <w:rFonts w:hint="eastAsia"/>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rPr>
      <w:rFonts w:hint="default"/>
    </w:rPr>
  </w:style>
  <w:style w:type="character" w:customStyle="1" w:styleId="11">
    <w:name w:val="正文文本缩进 字符"/>
    <w:link w:val="2"/>
    <w:qFormat/>
    <w:uiPriority w:val="0"/>
    <w:rPr>
      <w:kern w:val="2"/>
      <w:sz w:val="21"/>
    </w:rPr>
  </w:style>
  <w:style w:type="character" w:customStyle="1" w:styleId="12">
    <w:name w:val="纯文本 字符"/>
    <w:link w:val="3"/>
    <w:qFormat/>
    <w:uiPriority w:val="0"/>
    <w:rPr>
      <w:rFonts w:ascii="宋体" w:hAnsi="Courier New"/>
      <w:kern w:val="2"/>
      <w:sz w:val="21"/>
    </w:rPr>
  </w:style>
  <w:style w:type="character" w:customStyle="1" w:styleId="13">
    <w:name w:val="纯文本 Char"/>
    <w:qFormat/>
    <w:uiPriority w:val="0"/>
    <w:rPr>
      <w:rFonts w:ascii="宋体" w:hAnsi="Courier New" w:cs="Courier New"/>
      <w:kern w:val="2"/>
      <w:sz w:val="21"/>
      <w:szCs w:val="21"/>
    </w:rPr>
  </w:style>
  <w:style w:type="character" w:customStyle="1" w:styleId="14">
    <w:name w:val="居中 Char"/>
    <w:link w:val="15"/>
    <w:qFormat/>
    <w:uiPriority w:val="0"/>
    <w:rPr>
      <w:sz w:val="24"/>
      <w:szCs w:val="24"/>
      <w:lang w:val="en-US" w:eastAsia="zh-CN" w:bidi="ar-SA"/>
    </w:rPr>
  </w:style>
  <w:style w:type="paragraph" w:customStyle="1" w:styleId="15">
    <w:name w:val="居中"/>
    <w:link w:val="14"/>
    <w:qFormat/>
    <w:uiPriority w:val="0"/>
    <w:pPr>
      <w:spacing w:line="360" w:lineRule="auto"/>
      <w:jc w:val="center"/>
    </w:pPr>
    <w:rPr>
      <w:rFonts w:ascii="Times New Roman" w:hAnsi="Times New Roman" w:eastAsia="宋体" w:cs="Times New Roman"/>
      <w:sz w:val="24"/>
      <w:szCs w:val="24"/>
      <w:lang w:val="en-US" w:eastAsia="zh-CN" w:bidi="ar-SA"/>
    </w:rPr>
  </w:style>
  <w:style w:type="paragraph" w:customStyle="1" w:styleId="16">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7">
    <w:name w:val="Char"/>
    <w:basedOn w:val="1"/>
    <w:qFormat/>
    <w:uiPriority w:val="0"/>
    <w:rPr>
      <w:rFonts w:ascii="Tahoma" w:hAnsi="Tahoma"/>
      <w:sz w:val="24"/>
    </w:rPr>
  </w:style>
  <w:style w:type="paragraph" w:customStyle="1" w:styleId="18">
    <w:name w:val="p0"/>
    <w:basedOn w:val="1"/>
    <w:qFormat/>
    <w:uiPriority w:val="0"/>
    <w:pPr>
      <w:widowControl/>
    </w:pPr>
    <w:rPr>
      <w:rFonts w:ascii="Times New Roman" w:hAnsi="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4</Pages>
  <Words>2696</Words>
  <Characters>2823</Characters>
  <Lines>23</Lines>
  <Paragraphs>6</Paragraphs>
  <TotalTime>0</TotalTime>
  <ScaleCrop>false</ScaleCrop>
  <LinksUpToDate>false</LinksUpToDate>
  <CharactersWithSpaces>2839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2020-05-27T02:57:00Z</dcterms:created>
  <dc:creator>user</dc:creator>
  <cp:lastModifiedBy>yzh96877</cp:lastModifiedBy>
  <cp:lastPrinted>2021-08-29T10:51:00Z</cp:lastPrinted>
  <dcterms:modified xsi:type="dcterms:W3CDTF">2026-09-17T08:43:51Z</dcterms:modified>
  <dc:title>清 单 编 制 说 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CFD5BBAE9CC14C7283FE0AA777F16BF9_13</vt:lpwstr>
  </property>
  <property fmtid="{D5CDD505-2E9C-101B-9397-08002B2CF9AE}" pid="4" name="KSOTemplateDocerSaveRecord">
    <vt:lpwstr>eyJoZGlkIjoiMmMyMjFlNjkxZGY4YWUxODQ1YjRmOTUwMGEyYzIwMGQiLCJ1c2VySWQiOiIxNTM2MTczMyJ9</vt:lpwstr>
  </property>
</Properties>
</file>