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645B32">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327DB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84"/>
          <w:szCs w:val="84"/>
          <w:highlight w:val="none"/>
        </w:rPr>
      </w:pPr>
    </w:p>
    <w:p w14:paraId="114E95A9">
      <w:pPr>
        <w:pStyle w:val="31"/>
        <w:spacing w:before="120" w:beforeAutospacing="0" w:after="120" w:afterAutospacing="0"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招 标 文 件</w:t>
      </w:r>
    </w:p>
    <w:p w14:paraId="4F130F03">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58DC76B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78C5769D">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2"/>
          <w:szCs w:val="32"/>
          <w:highlight w:val="none"/>
        </w:rPr>
      </w:pPr>
    </w:p>
    <w:p w14:paraId="2330CAD0">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rPr>
        <w:t>项目名称：</w:t>
      </w:r>
      <w:r>
        <w:rPr>
          <w:rFonts w:hint="eastAsia" w:asciiTheme="minorEastAsia" w:hAnsiTheme="minorEastAsia" w:cstheme="minorEastAsia"/>
          <w:b/>
          <w:color w:val="auto"/>
          <w:sz w:val="32"/>
          <w:szCs w:val="32"/>
          <w:highlight w:val="none"/>
          <w:lang w:eastAsia="zh-CN"/>
        </w:rPr>
        <w:t>盐都区楼王镇第二轮土地承包到期后再延长30年技术服务项目</w:t>
      </w:r>
    </w:p>
    <w:p w14:paraId="5BD87ACC">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lang w:eastAsia="zh-CN"/>
        </w:rPr>
      </w:pPr>
      <w:r>
        <w:rPr>
          <w:rFonts w:hint="eastAsia" w:asciiTheme="minorEastAsia" w:hAnsiTheme="minorEastAsia" w:eastAsiaTheme="minorEastAsia" w:cstheme="minorEastAsia"/>
          <w:b/>
          <w:color w:val="auto"/>
          <w:sz w:val="32"/>
          <w:szCs w:val="32"/>
          <w:highlight w:val="none"/>
        </w:rPr>
        <w:t>项目编号：</w:t>
      </w:r>
      <w:r>
        <w:rPr>
          <w:rFonts w:hint="eastAsia" w:asciiTheme="minorEastAsia" w:hAnsiTheme="minorEastAsia" w:cstheme="minorEastAsia"/>
          <w:b/>
          <w:color w:val="auto"/>
          <w:sz w:val="32"/>
          <w:szCs w:val="32"/>
          <w:highlight w:val="none"/>
          <w:lang w:eastAsia="zh-CN"/>
        </w:rPr>
        <w:t>JSZC-320903-ZFDL-G2026-0014</w:t>
      </w:r>
    </w:p>
    <w:p w14:paraId="7186113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3493619">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52762D10">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26B2F372">
      <w:pPr>
        <w:pStyle w:val="31"/>
        <w:spacing w:beforeAutospacing="0" w:afterAutospacing="0" w:line="360" w:lineRule="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 </w:t>
      </w:r>
    </w:p>
    <w:p w14:paraId="47389EFA">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rPr>
      </w:pPr>
    </w:p>
    <w:p w14:paraId="2AA2FA69">
      <w:pPr>
        <w:pStyle w:val="31"/>
        <w:spacing w:before="120" w:beforeAutospacing="0" w:after="120" w:afterAutospacing="0" w:line="360" w:lineRule="auto"/>
        <w:jc w:val="center"/>
        <w:rPr>
          <w:rFonts w:hint="eastAsia" w:asciiTheme="minorEastAsia" w:hAnsiTheme="minorEastAsia" w:eastAsiaTheme="minorEastAsia" w:cstheme="minorEastAsia"/>
          <w:b/>
          <w:color w:val="auto"/>
          <w:sz w:val="36"/>
          <w:szCs w:val="36"/>
          <w:highlight w:val="none"/>
          <w:lang w:eastAsia="zh-CN"/>
        </w:rPr>
      </w:pPr>
      <w:r>
        <w:rPr>
          <w:rFonts w:hint="eastAsia" w:asciiTheme="minorEastAsia" w:hAnsiTheme="minorEastAsia" w:cstheme="minorEastAsia"/>
          <w:b/>
          <w:color w:val="auto"/>
          <w:sz w:val="36"/>
          <w:szCs w:val="36"/>
          <w:highlight w:val="none"/>
          <w:lang w:eastAsia="zh-CN"/>
        </w:rPr>
        <w:t>盐城市盐都区楼王镇人民政府</w:t>
      </w:r>
    </w:p>
    <w:p w14:paraId="57F3692E">
      <w:pPr>
        <w:pStyle w:val="31"/>
        <w:spacing w:before="120" w:beforeAutospacing="0" w:after="120" w:afterAutospacing="0" w:line="360" w:lineRule="auto"/>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b/>
          <w:color w:val="auto"/>
          <w:sz w:val="36"/>
          <w:szCs w:val="36"/>
          <w:highlight w:val="none"/>
        </w:rPr>
        <w:t>2026年</w:t>
      </w:r>
      <w:r>
        <w:rPr>
          <w:rFonts w:hint="eastAsia" w:asciiTheme="minorEastAsia" w:hAnsiTheme="minorEastAsia" w:cstheme="minorEastAsia"/>
          <w:b/>
          <w:color w:val="auto"/>
          <w:sz w:val="36"/>
          <w:szCs w:val="36"/>
          <w:highlight w:val="none"/>
          <w:lang w:val="en-US" w:eastAsia="zh-CN"/>
        </w:rPr>
        <w:t>10</w:t>
      </w:r>
      <w:r>
        <w:rPr>
          <w:rFonts w:hint="eastAsia" w:asciiTheme="minorEastAsia" w:hAnsiTheme="minorEastAsia" w:eastAsiaTheme="minorEastAsia" w:cstheme="minorEastAsia"/>
          <w:b/>
          <w:color w:val="auto"/>
          <w:sz w:val="36"/>
          <w:szCs w:val="36"/>
          <w:highlight w:val="none"/>
        </w:rPr>
        <w:t>月</w:t>
      </w:r>
    </w:p>
    <w:p w14:paraId="615F8370">
      <w:pPr>
        <w:pStyle w:val="31"/>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14:paraId="67BE68A2">
      <w:pPr>
        <w:pStyle w:val="31"/>
        <w:spacing w:beforeAutospacing="0" w:afterAutospacing="0" w:line="480" w:lineRule="auto"/>
        <w:jc w:val="center"/>
        <w:rPr>
          <w:rFonts w:hint="eastAsia" w:asciiTheme="minorEastAsia" w:hAnsiTheme="minorEastAsia" w:eastAsiaTheme="minorEastAsia" w:cstheme="minorEastAsia"/>
          <w:color w:val="auto"/>
          <w:sz w:val="21"/>
          <w:szCs w:val="21"/>
          <w:highlight w:val="none"/>
        </w:rPr>
      </w:pPr>
    </w:p>
    <w:p w14:paraId="78626B5A">
      <w:pPr>
        <w:pStyle w:val="31"/>
        <w:spacing w:beforeAutospacing="0" w:afterAutospacing="0" w:line="48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1"/>
          <w:szCs w:val="21"/>
          <w:highlight w:val="none"/>
        </w:rPr>
        <w:t> </w:t>
      </w:r>
      <w:bookmarkStart w:id="0" w:name="_Toc20823272"/>
      <w:bookmarkStart w:id="1" w:name="_Toc513029200"/>
      <w:bookmarkStart w:id="2" w:name="_Toc479757206"/>
      <w:bookmarkStart w:id="3" w:name="_Toc120614210"/>
      <w:bookmarkStart w:id="4" w:name="_Toc16938516"/>
      <w:bookmarkStart w:id="5" w:name="_Toc523127445"/>
      <w:r>
        <w:rPr>
          <w:rFonts w:hint="eastAsia" w:asciiTheme="minorEastAsia" w:hAnsiTheme="minorEastAsia" w:eastAsiaTheme="minorEastAsia" w:cstheme="minorEastAsia"/>
          <w:b/>
          <w:color w:val="auto"/>
          <w:sz w:val="44"/>
          <w:szCs w:val="44"/>
          <w:highlight w:val="none"/>
        </w:rPr>
        <w:t>总  目  录</w:t>
      </w:r>
      <w:bookmarkEnd w:id="0"/>
      <w:bookmarkEnd w:id="1"/>
      <w:bookmarkEnd w:id="2"/>
      <w:bookmarkEnd w:id="3"/>
      <w:bookmarkEnd w:id="4"/>
      <w:bookmarkEnd w:id="5"/>
    </w:p>
    <w:p w14:paraId="5906B767">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68003F6">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第一章      招标公告</w:t>
      </w:r>
    </w:p>
    <w:p w14:paraId="6B8ACD98">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第二章      投标人须知</w:t>
      </w:r>
    </w:p>
    <w:p w14:paraId="2C7AA1EA">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第三章      合同条款</w:t>
      </w:r>
    </w:p>
    <w:p w14:paraId="5BACDEC9">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第四章      采购需求</w:t>
      </w:r>
    </w:p>
    <w:p w14:paraId="41415177">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t>第五章      评标方法与评标标准</w:t>
      </w:r>
    </w:p>
    <w:p w14:paraId="472D05AB">
      <w:pPr>
        <w:pStyle w:val="31"/>
        <w:tabs>
          <w:tab w:val="left" w:pos="1441"/>
        </w:tabs>
        <w:spacing w:beforeAutospacing="0" w:afterAutospacing="0" w:line="480" w:lineRule="auto"/>
        <w:ind w:left="2160" w:hanging="144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6"/>
          <w:szCs w:val="36"/>
          <w:highlight w:val="none"/>
        </w:rPr>
        <w:t>第六章      投标文件格式</w:t>
      </w:r>
    </w:p>
    <w:p w14:paraId="7FDB7E8F">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53EE51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7C0954A">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7AB2D35D">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第一章 招标公告</w:t>
      </w:r>
    </w:p>
    <w:p w14:paraId="6C782BCD">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项目概况</w:t>
      </w:r>
    </w:p>
    <w:p w14:paraId="64163A9E">
      <w:pPr>
        <w:pStyle w:val="31"/>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u w:val="single"/>
          <w:lang w:eastAsia="zh-CN"/>
        </w:rPr>
        <w:t>盐都区楼王镇第二轮土地承包到期后再延长30年技术服务项目</w:t>
      </w:r>
      <w:r>
        <w:rPr>
          <w:rFonts w:hint="eastAsia" w:asciiTheme="minorEastAsia" w:hAnsiTheme="minorEastAsia" w:eastAsiaTheme="minorEastAsia" w:cstheme="minorEastAsia"/>
          <w:color w:val="auto"/>
          <w:highlight w:val="none"/>
        </w:rPr>
        <w:t>招标项目的潜在投标人应在</w:t>
      </w:r>
      <w:r>
        <w:rPr>
          <w:rFonts w:hint="eastAsia" w:asciiTheme="minorEastAsia" w:hAnsiTheme="minorEastAsia" w:eastAsiaTheme="minorEastAsia" w:cstheme="minorEastAsia"/>
          <w:color w:val="auto"/>
          <w:highlight w:val="none"/>
          <w:shd w:val="clear" w:color="auto" w:fill="FFFFFF"/>
        </w:rPr>
        <w:t>“苏采云”系统内免费下载（投标人必须在苏采云系统中获取采购文件，方能参与政府采购项目）</w:t>
      </w:r>
      <w:r>
        <w:rPr>
          <w:rFonts w:hint="eastAsia" w:asciiTheme="minorEastAsia" w:hAnsiTheme="minorEastAsia" w:eastAsiaTheme="minorEastAsia" w:cstheme="minorEastAsia"/>
          <w:color w:val="auto"/>
          <w:highlight w:val="none"/>
        </w:rPr>
        <w:t>，并于</w:t>
      </w:r>
      <w:r>
        <w:rPr>
          <w:rFonts w:hint="eastAsia" w:asciiTheme="minorEastAsia" w:hAnsiTheme="minorEastAsia" w:eastAsiaTheme="minorEastAsia" w:cstheme="minorEastAsia"/>
          <w:color w:val="auto"/>
          <w:highlight w:val="none"/>
          <w:u w:val="single"/>
        </w:rPr>
        <w:t>2026年</w:t>
      </w:r>
      <w:r>
        <w:rPr>
          <w:rFonts w:hint="eastAsia" w:asciiTheme="minorEastAsia" w:hAnsi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rPr>
        <w:t>月</w:t>
      </w:r>
      <w:r>
        <w:rPr>
          <w:rFonts w:hint="eastAsia" w:asciiTheme="minorEastAsia" w:hAnsiTheme="minorEastAsia" w:cstheme="minorEastAsia"/>
          <w:color w:val="auto"/>
          <w:highlight w:val="none"/>
          <w:u w:val="single"/>
          <w:lang w:val="en-US" w:eastAsia="zh-CN"/>
        </w:rPr>
        <w:t>25</w:t>
      </w:r>
      <w:r>
        <w:rPr>
          <w:rFonts w:hint="eastAsia" w:asciiTheme="minorEastAsia" w:hAnsiTheme="minorEastAsia" w:eastAsiaTheme="minorEastAsia" w:cstheme="minorEastAsia"/>
          <w:color w:val="auto"/>
          <w:highlight w:val="none"/>
          <w:u w:val="single"/>
        </w:rPr>
        <w:t>日</w:t>
      </w:r>
      <w:r>
        <w:rPr>
          <w:rFonts w:hint="eastAsia" w:asciiTheme="minorEastAsia" w:hAnsiTheme="minorEastAsia" w:cstheme="minorEastAsia"/>
          <w:color w:val="auto"/>
          <w:highlight w:val="none"/>
          <w:u w:val="single"/>
          <w:lang w:val="en-US" w:eastAsia="zh-CN"/>
        </w:rPr>
        <w:t>09</w:t>
      </w:r>
      <w:r>
        <w:rPr>
          <w:rFonts w:hint="eastAsia" w:asciiTheme="minorEastAsia" w:hAnsiTheme="minorEastAsia" w:eastAsiaTheme="minorEastAsia" w:cstheme="minorEastAsia"/>
          <w:color w:val="auto"/>
          <w:highlight w:val="none"/>
          <w:u w:val="single"/>
        </w:rPr>
        <w:t>点</w:t>
      </w:r>
      <w:r>
        <w:rPr>
          <w:rFonts w:hint="eastAsia" w:asciiTheme="minorEastAsia" w:hAnsiTheme="minorEastAsia" w:cstheme="minorEastAsia"/>
          <w:color w:val="auto"/>
          <w:highlight w:val="none"/>
          <w:u w:val="single"/>
          <w:lang w:val="en-US" w:eastAsia="zh-CN"/>
        </w:rPr>
        <w:t>00</w:t>
      </w:r>
      <w:r>
        <w:rPr>
          <w:rFonts w:hint="eastAsia" w:asciiTheme="minorEastAsia" w:hAnsiTheme="minorEastAsia" w:eastAsiaTheme="minorEastAsia" w:cstheme="minorEastAsia"/>
          <w:color w:val="auto"/>
          <w:highlight w:val="none"/>
          <w:u w:val="single"/>
        </w:rPr>
        <w:t>分（</w:t>
      </w:r>
      <w:r>
        <w:rPr>
          <w:rFonts w:hint="eastAsia" w:asciiTheme="minorEastAsia" w:hAnsiTheme="minorEastAsia" w:eastAsiaTheme="minorEastAsia" w:cstheme="minorEastAsia"/>
          <w:color w:val="auto"/>
          <w:highlight w:val="none"/>
        </w:rPr>
        <w:t>北京时间）前递交投标文件。</w:t>
      </w:r>
    </w:p>
    <w:p w14:paraId="54B6149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6" w:name="_Toc28359002"/>
      <w:bookmarkStart w:id="7" w:name="_Toc28359079"/>
      <w:bookmarkStart w:id="8" w:name="_Hlk24379207"/>
      <w:bookmarkStart w:id="9" w:name="_Toc35393790"/>
      <w:bookmarkStart w:id="10" w:name="_Toc38985263"/>
      <w:bookmarkStart w:id="11" w:name="_Toc35393621"/>
      <w:r>
        <w:rPr>
          <w:rFonts w:hint="eastAsia" w:asciiTheme="minorEastAsia" w:hAnsiTheme="minorEastAsia" w:eastAsiaTheme="minorEastAsia" w:cstheme="minorEastAsia"/>
          <w:b/>
          <w:color w:val="auto"/>
          <w:highlight w:val="none"/>
        </w:rPr>
        <w:t>一、项目基本情况</w:t>
      </w:r>
      <w:bookmarkEnd w:id="6"/>
      <w:bookmarkEnd w:id="7"/>
      <w:bookmarkEnd w:id="8"/>
      <w:bookmarkEnd w:id="9"/>
      <w:bookmarkEnd w:id="10"/>
      <w:bookmarkEnd w:id="11"/>
    </w:p>
    <w:p w14:paraId="354B909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1.项目编号：</w:t>
      </w:r>
      <w:r>
        <w:rPr>
          <w:rFonts w:hint="eastAsia" w:asciiTheme="minorEastAsia" w:hAnsiTheme="minorEastAsia" w:cstheme="minorEastAsia"/>
          <w:color w:val="auto"/>
          <w:highlight w:val="none"/>
          <w:lang w:eastAsia="zh-CN"/>
        </w:rPr>
        <w:t>JSZC-320903-ZFDL-G2026-0014</w:t>
      </w:r>
    </w:p>
    <w:p w14:paraId="78DE0C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2.项目名称：</w:t>
      </w:r>
      <w:r>
        <w:rPr>
          <w:rFonts w:hint="eastAsia" w:asciiTheme="minorEastAsia" w:hAnsiTheme="minorEastAsia" w:cstheme="minorEastAsia"/>
          <w:color w:val="auto"/>
          <w:highlight w:val="none"/>
          <w:lang w:eastAsia="zh-CN"/>
        </w:rPr>
        <w:t>盐都区楼王镇第二轮土地承包到期后再延长30年技术服务项目</w:t>
      </w:r>
    </w:p>
    <w:p w14:paraId="02D16D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3.预算金额：</w:t>
      </w:r>
      <w:r>
        <w:rPr>
          <w:rFonts w:hint="eastAsia" w:asciiTheme="minorEastAsia" w:hAnsiTheme="minorEastAsia" w:cstheme="minorEastAsia"/>
          <w:color w:val="auto"/>
          <w:highlight w:val="none"/>
          <w:lang w:val="en-US" w:eastAsia="zh-CN"/>
        </w:rPr>
        <w:t>137.1525万</w:t>
      </w:r>
      <w:r>
        <w:rPr>
          <w:rFonts w:hint="eastAsia" w:asciiTheme="minorEastAsia" w:hAnsiTheme="minorEastAsia" w:eastAsiaTheme="minorEastAsia" w:cstheme="minorEastAsia"/>
          <w:color w:val="auto"/>
          <w:highlight w:val="none"/>
        </w:rPr>
        <w:t>元</w:t>
      </w:r>
    </w:p>
    <w:p w14:paraId="0A91A63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.最高限价：</w:t>
      </w:r>
      <w:r>
        <w:rPr>
          <w:rFonts w:hint="eastAsia" w:asciiTheme="minorEastAsia" w:hAnsiTheme="minorEastAsia" w:cstheme="minorEastAsia"/>
          <w:color w:val="auto"/>
          <w:highlight w:val="none"/>
          <w:lang w:val="en-US" w:eastAsia="zh-CN"/>
        </w:rPr>
        <w:t>137.1525万</w:t>
      </w:r>
      <w:r>
        <w:rPr>
          <w:rFonts w:hint="eastAsia" w:asciiTheme="minorEastAsia" w:hAnsiTheme="minorEastAsia" w:eastAsiaTheme="minorEastAsia" w:cstheme="minorEastAsia"/>
          <w:color w:val="auto"/>
          <w:highlight w:val="none"/>
        </w:rPr>
        <w:t>元</w:t>
      </w:r>
      <w:r>
        <w:rPr>
          <w:rFonts w:hint="eastAsia" w:asciiTheme="minorEastAsia" w:hAnsi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 xml:space="preserve">报价超过最高限价的为无效报价，按照无效响应处理。  </w:t>
      </w:r>
    </w:p>
    <w:p w14:paraId="506AE91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.采购需求：</w:t>
      </w:r>
      <w:r>
        <w:rPr>
          <w:rFonts w:hint="eastAsia" w:asciiTheme="minorEastAsia" w:hAnsiTheme="minorEastAsia" w:cstheme="minorEastAsia"/>
          <w:color w:val="auto"/>
          <w:highlight w:val="none"/>
          <w:lang w:eastAsia="zh-CN"/>
        </w:rPr>
        <w:t>根据二轮承包及土地确权成果数据，楼王镇2028年度二轮承包全部到期。本轮延包需完成将楼王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楼王镇本轮延包涉及到行政村（社区）28个，承包户约18287户</w:t>
      </w:r>
      <w:r>
        <w:rPr>
          <w:rFonts w:hint="eastAsia" w:asciiTheme="minorEastAsia" w:hAnsiTheme="minorEastAsia" w:eastAsiaTheme="minorEastAsia" w:cstheme="minorEastAsia"/>
          <w:color w:val="auto"/>
          <w:highlight w:val="none"/>
        </w:rPr>
        <w:t>。</w:t>
      </w:r>
    </w:p>
    <w:p w14:paraId="5B13F4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.合同履行期限</w:t>
      </w:r>
      <w:r>
        <w:rPr>
          <w:rFonts w:hint="eastAsia" w:asciiTheme="minorEastAsia" w:hAnsiTheme="minorEastAsia" w:eastAsiaTheme="minorEastAsia" w:cstheme="minorEastAsia"/>
          <w:color w:val="auto"/>
          <w:highlight w:val="none"/>
          <w:lang w:val="en-US" w:eastAsia="zh-CN"/>
        </w:rPr>
        <w:t>（服务期）：</w:t>
      </w:r>
      <w:r>
        <w:rPr>
          <w:rFonts w:hint="eastAsia" w:asciiTheme="minorEastAsia" w:hAnsiTheme="minorEastAsia" w:cstheme="minorEastAsia"/>
          <w:color w:val="auto"/>
          <w:highlight w:val="none"/>
          <w:lang w:val="en-US" w:eastAsia="zh-CN"/>
        </w:rPr>
        <w:t>120</w:t>
      </w:r>
      <w:r>
        <w:rPr>
          <w:rFonts w:hint="eastAsia" w:asciiTheme="minorEastAsia" w:hAnsiTheme="minorEastAsia" w:eastAsiaTheme="minorEastAsia" w:cstheme="minorEastAsia"/>
          <w:color w:val="auto"/>
          <w:highlight w:val="none"/>
          <w:lang w:val="en-US" w:eastAsia="zh-CN"/>
        </w:rPr>
        <w:t>天（且在2027年3月底前完成）。</w:t>
      </w:r>
    </w:p>
    <w:p w14:paraId="6F4D5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.本项目（是/否）接受联合体投标：否。</w:t>
      </w:r>
    </w:p>
    <w:p w14:paraId="53B9AC8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12" w:name="_Toc28359003"/>
      <w:bookmarkStart w:id="13" w:name="_Toc35393791"/>
      <w:bookmarkStart w:id="14" w:name="_Toc38985264"/>
      <w:bookmarkStart w:id="15" w:name="_Toc28359080"/>
      <w:bookmarkStart w:id="16" w:name="_Toc35393622"/>
      <w:r>
        <w:rPr>
          <w:rFonts w:hint="eastAsia" w:asciiTheme="minorEastAsia" w:hAnsiTheme="minorEastAsia" w:eastAsiaTheme="minorEastAsia" w:cstheme="minorEastAsia"/>
          <w:b/>
          <w:color w:val="auto"/>
          <w:highlight w:val="none"/>
        </w:rPr>
        <w:t>二、申请人的资格要求：</w:t>
      </w:r>
      <w:bookmarkEnd w:id="12"/>
      <w:bookmarkEnd w:id="13"/>
      <w:bookmarkEnd w:id="14"/>
      <w:bookmarkEnd w:id="15"/>
      <w:bookmarkEnd w:id="16"/>
    </w:p>
    <w:p w14:paraId="222D31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1.满足《中华人民共和国政府采购法》第二十二条规定，并提供下列材料：</w:t>
      </w:r>
    </w:p>
    <w:p w14:paraId="0AC9903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法人或者其他组织的营业执照等证明文件，自然人的身份证明。</w:t>
      </w:r>
    </w:p>
    <w:p w14:paraId="4BDAB4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1.2</w:t>
      </w:r>
      <w:bookmarkStart w:id="17" w:name="OLE_LINK1"/>
      <w:r>
        <w:rPr>
          <w:rFonts w:hint="eastAsia" w:asciiTheme="minorEastAsia" w:hAnsiTheme="minorEastAsia" w:eastAsiaTheme="minorEastAsia" w:cstheme="minorEastAsia"/>
          <w:color w:val="auto"/>
          <w:highlight w:val="none"/>
        </w:rPr>
        <w:t>上一年度的财务状况报</w:t>
      </w:r>
      <w:bookmarkEnd w:id="17"/>
      <w:r>
        <w:rPr>
          <w:rFonts w:hint="eastAsia" w:asciiTheme="minorEastAsia" w:hAnsiTheme="minorEastAsia" w:cstheme="minorEastAsia"/>
          <w:color w:val="auto"/>
          <w:highlight w:val="none"/>
          <w:lang w:val="en-US" w:eastAsia="zh-CN"/>
        </w:rPr>
        <w:t>告</w:t>
      </w:r>
      <w:r>
        <w:rPr>
          <w:rFonts w:hint="eastAsia" w:asciiTheme="minorEastAsia" w:hAnsiTheme="minorEastAsia" w:eastAsiaTheme="minorEastAsia" w:cstheme="minorEastAsia"/>
          <w:color w:val="auto"/>
          <w:highlight w:val="none"/>
        </w:rPr>
        <w:t>（成立不满一年无需提供）</w:t>
      </w:r>
      <w:r>
        <w:rPr>
          <w:rFonts w:hint="eastAsia" w:asciiTheme="minorEastAsia" w:hAnsiTheme="minorEastAsia" w:cstheme="minorEastAsia"/>
          <w:color w:val="auto"/>
          <w:highlight w:val="none"/>
          <w:lang w:eastAsia="zh-CN"/>
        </w:rPr>
        <w:t>。</w:t>
      </w:r>
    </w:p>
    <w:p w14:paraId="40A2C60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1.3具备履行合同所必需的设备和专业技术能力的书面声明。</w:t>
      </w:r>
    </w:p>
    <w:p w14:paraId="38779F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5928CF3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1.5参加政府采购活动前3年内在经营活动中没有重大违法记录的书面声明。</w:t>
      </w:r>
    </w:p>
    <w:p w14:paraId="252143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1.6法律、行政法规规定的其他条件。（响应文件中无需提供证明材料）</w:t>
      </w:r>
    </w:p>
    <w:p w14:paraId="6524D8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（响应文件中无需提供证明材料）</w:t>
      </w:r>
    </w:p>
    <w:p w14:paraId="6C96AE2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1.8单位负责人为同一人或者存在直接控股、管理关系的不同供应商，不得参加同一合同项下的政府采购活动。（响应文件中无需提供证明材料）</w:t>
      </w:r>
    </w:p>
    <w:p w14:paraId="05352D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落实政府采购政策需满足的资格要求：本项目专门面向中小企业采购。采购标的所属行业为租赁和商务服务业，投标人需按照采购文件的要求提供相应的《中小企业声明函》。企业标准请参照《关于印发中小企业划型标准规定的通知》（工信部联企业[2011]300号）文件规定自行填写。</w:t>
      </w:r>
    </w:p>
    <w:p w14:paraId="78878BD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3.本项目的特定资格要求：供应商具备主管部门颁发的有效的乙级及以上测绘资质（专业类别须包含：界线与不动产测绘、地理信息系统工程两项）（提供资质证书扫描件）</w:t>
      </w:r>
      <w:r>
        <w:rPr>
          <w:rFonts w:hint="eastAsia" w:asciiTheme="minorEastAsia" w:hAnsiTheme="minorEastAsia" w:cstheme="minorEastAsia"/>
          <w:color w:val="auto"/>
          <w:highlight w:val="none"/>
          <w:lang w:eastAsia="zh-CN"/>
        </w:rPr>
        <w:t>。</w:t>
      </w:r>
    </w:p>
    <w:p w14:paraId="7136935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三、获取招标文件</w:t>
      </w:r>
    </w:p>
    <w:p w14:paraId="2C03AE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8" w:name="_Toc35393793"/>
      <w:bookmarkStart w:id="19" w:name="_Toc28359005"/>
      <w:bookmarkStart w:id="20" w:name="_Toc35393624"/>
      <w:bookmarkStart w:id="21" w:name="_Toc38985266"/>
      <w:bookmarkStart w:id="22" w:name="_Toc28359082"/>
      <w:r>
        <w:rPr>
          <w:rFonts w:hint="eastAsia" w:asciiTheme="minorEastAsia" w:hAnsiTheme="minorEastAsia" w:eastAsiaTheme="minorEastAsia" w:cstheme="minorEastAsia"/>
          <w:color w:val="auto"/>
          <w:highlight w:val="none"/>
        </w:rPr>
        <w:t>1.时间：</w:t>
      </w:r>
      <w:bookmarkEnd w:id="18"/>
      <w:bookmarkEnd w:id="19"/>
      <w:bookmarkEnd w:id="20"/>
      <w:bookmarkEnd w:id="21"/>
      <w:bookmarkEnd w:id="22"/>
      <w:r>
        <w:rPr>
          <w:rFonts w:hint="eastAsia" w:asciiTheme="minorEastAsia" w:hAnsiTheme="minorEastAsia" w:eastAsiaTheme="minorEastAsia" w:cstheme="minorEastAsia"/>
          <w:color w:val="auto"/>
          <w:highlight w:val="none"/>
        </w:rPr>
        <w:t>自招标文件公告发布之日起5个工作日 。</w:t>
      </w:r>
    </w:p>
    <w:p w14:paraId="23E37B8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2.地点：“苏采云”系统内免费下载（投标人必须在苏采云系统中获取采购文件，方能参与政府采购项目）；</w:t>
      </w:r>
    </w:p>
    <w:p w14:paraId="63B0C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3.方式：本项目采用网上注册登记方式。 </w:t>
      </w:r>
    </w:p>
    <w:p w14:paraId="6FBFBC2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4.售价：0元</w:t>
      </w:r>
    </w:p>
    <w:p w14:paraId="1FDB9CF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四、提交投标文件截止时间、开标时间和地点</w:t>
      </w:r>
    </w:p>
    <w:p w14:paraId="39EE611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1.时间：2026年11月2</w:t>
      </w:r>
      <w:r>
        <w:rPr>
          <w:rFonts w:hint="eastAsia" w:asciiTheme="minorEastAsia" w:hAnsi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日</w:t>
      </w:r>
      <w:r>
        <w:rPr>
          <w:rFonts w:hint="eastAsia" w:asciiTheme="minorEastAsia" w:hAnsiTheme="minorEastAsia" w:cstheme="minorEastAsia"/>
          <w:color w:val="auto"/>
          <w:highlight w:val="none"/>
          <w:lang w:val="en-US" w:eastAsia="zh-CN"/>
        </w:rPr>
        <w:t>09</w:t>
      </w:r>
      <w:r>
        <w:rPr>
          <w:rFonts w:hint="eastAsia" w:asciiTheme="minorEastAsia" w:hAnsiTheme="minorEastAsia" w:eastAsiaTheme="minorEastAsia" w:cstheme="minorEastAsia"/>
          <w:color w:val="auto"/>
          <w:highlight w:val="none"/>
        </w:rPr>
        <w:t>点00分（北京时间）。</w:t>
      </w:r>
    </w:p>
    <w:p w14:paraId="7EA82C5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2.地点：苏采云“不见面”开标大厅 。</w:t>
      </w:r>
    </w:p>
    <w:p w14:paraId="51980BA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23" w:name="_Toc35393794"/>
      <w:bookmarkStart w:id="24" w:name="_Toc28359084"/>
      <w:bookmarkStart w:id="25" w:name="_Toc35393625"/>
      <w:bookmarkStart w:id="26" w:name="_Toc28359007"/>
      <w:bookmarkStart w:id="27" w:name="_Toc38985267"/>
      <w:r>
        <w:rPr>
          <w:rFonts w:hint="eastAsia" w:asciiTheme="minorEastAsia" w:hAnsiTheme="minorEastAsia" w:eastAsiaTheme="minorEastAsia" w:cstheme="minorEastAsia"/>
          <w:b/>
          <w:color w:val="auto"/>
          <w:highlight w:val="none"/>
        </w:rPr>
        <w:t>五、公告期限</w:t>
      </w:r>
      <w:bookmarkEnd w:id="23"/>
      <w:bookmarkEnd w:id="24"/>
      <w:bookmarkEnd w:id="25"/>
      <w:bookmarkEnd w:id="26"/>
      <w:bookmarkEnd w:id="27"/>
    </w:p>
    <w:p w14:paraId="6CFBD4C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28" w:name="_Toc35393795"/>
      <w:bookmarkStart w:id="29" w:name="_Toc35393626"/>
      <w:bookmarkStart w:id="30" w:name="_Toc38985268"/>
      <w:r>
        <w:rPr>
          <w:rFonts w:hint="eastAsia" w:asciiTheme="minorEastAsia" w:hAnsiTheme="minorEastAsia" w:eastAsiaTheme="minorEastAsia" w:cstheme="minorEastAsia"/>
          <w:color w:val="auto"/>
          <w:highlight w:val="none"/>
        </w:rPr>
        <w:t>自本公告发布之日起5个工作日。</w:t>
      </w:r>
      <w:bookmarkEnd w:id="28"/>
      <w:bookmarkEnd w:id="29"/>
      <w:bookmarkEnd w:id="30"/>
    </w:p>
    <w:p w14:paraId="31076A3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六、其他补充事宜</w:t>
      </w:r>
    </w:p>
    <w:p w14:paraId="761C80D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0A589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F16F7D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2.潜在供应商访问电子招标响应交易平台的网络地址和方法：</w:t>
      </w:r>
    </w:p>
    <w:p w14:paraId="2E1846A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468929C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潜在投标人访问“苏采云”系统方法：江苏省政府采购网首页-“苏采云”链接。</w:t>
      </w:r>
    </w:p>
    <w:p w14:paraId="0CAE1EF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2.3 采购文件（后缀名为“.kedt”）、供应商操作手册及政府采购客户端 工具可通过“苏采云”系统相应链接进行下载。</w:t>
      </w:r>
    </w:p>
    <w:p w14:paraId="4DDD015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 采购代理机构将数据电文形式的采购文件加载至“苏采云”系统，供潜在供应商下载或者查阅。</w:t>
      </w:r>
    </w:p>
    <w:p w14:paraId="5F16AF4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 请潜在投标单位提前安装相应的控件（详见《“苏采云”系统供应商操作手册》）并使用谷歌浏览器登录“苏采云”系统参与不见面开评标。</w:t>
      </w:r>
    </w:p>
    <w:p w14:paraId="1B9A1E8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如潜在投标人未按上述要求操作，将自行承担所产生的风险。</w:t>
      </w:r>
    </w:p>
    <w:p w14:paraId="693922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3.有关本次招标的事项若存在变动或修改，敬请及时关注采购代理机构在“中国政府采购网”、“江苏政府采购网”“盐城市政府采购网”发布的更正公告。</w:t>
      </w:r>
    </w:p>
    <w:p w14:paraId="23B7775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4.本次招标不收取投标保证金，不收取质量保证金。</w:t>
      </w:r>
    </w:p>
    <w:p w14:paraId="0FD3205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七、对本次招标提出询问，请按以下方式联系。</w:t>
      </w:r>
    </w:p>
    <w:p w14:paraId="1223385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1.采购人信息 </w:t>
      </w:r>
    </w:p>
    <w:p w14:paraId="668616B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单位名称：</w:t>
      </w:r>
      <w:r>
        <w:rPr>
          <w:rFonts w:hint="eastAsia" w:asciiTheme="minorEastAsia" w:hAnsiTheme="minorEastAsia" w:cstheme="minorEastAsia"/>
          <w:color w:val="auto"/>
          <w:highlight w:val="none"/>
          <w:lang w:eastAsia="zh-CN"/>
        </w:rPr>
        <w:t>盐城市盐都区楼王镇人民政府</w:t>
      </w:r>
    </w:p>
    <w:p w14:paraId="1041676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单位地址：江苏省盐城市盐都区开放路15号</w:t>
      </w:r>
    </w:p>
    <w:p w14:paraId="0E1754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联系人：</w:t>
      </w:r>
      <w:r>
        <w:rPr>
          <w:rFonts w:hint="eastAsia" w:asciiTheme="minorEastAsia" w:hAnsiTheme="minorEastAsia" w:cstheme="minorEastAsia"/>
          <w:color w:val="auto"/>
          <w:highlight w:val="none"/>
          <w:lang w:val="en-US" w:eastAsia="zh-CN"/>
        </w:rPr>
        <w:t>薛松</w:t>
      </w:r>
    </w:p>
    <w:p w14:paraId="73CBB2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联系电话：</w:t>
      </w:r>
      <w:r>
        <w:rPr>
          <w:rFonts w:hint="eastAsia" w:asciiTheme="minorEastAsia" w:hAnsiTheme="minorEastAsia" w:cstheme="minorEastAsia"/>
          <w:color w:val="auto"/>
          <w:highlight w:val="none"/>
          <w:lang w:val="en-US" w:eastAsia="zh-CN"/>
        </w:rPr>
        <w:t>13814381804</w:t>
      </w:r>
    </w:p>
    <w:p w14:paraId="1C92C8E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2、招标代理机构信息</w:t>
      </w:r>
    </w:p>
    <w:p w14:paraId="0A6EFF6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xml:space="preserve">名称：江苏正方工程项目管理房地产评估有限公司    </w:t>
      </w:r>
    </w:p>
    <w:p w14:paraId="73D7ED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单位地址：盐城市</w:t>
      </w:r>
      <w:r>
        <w:rPr>
          <w:rFonts w:hint="eastAsia" w:asciiTheme="minorEastAsia" w:hAnsiTheme="minorEastAsia" w:cstheme="minorEastAsia"/>
          <w:color w:val="auto"/>
          <w:highlight w:val="none"/>
          <w:lang w:val="en-US" w:eastAsia="zh-CN"/>
        </w:rPr>
        <w:t>亭湖区建东路171号水岸观澜4号楼3楼</w:t>
      </w:r>
    </w:p>
    <w:p w14:paraId="08E23D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联系人：</w:t>
      </w:r>
      <w:r>
        <w:rPr>
          <w:rFonts w:hint="eastAsia" w:asciiTheme="minorEastAsia" w:hAnsiTheme="minorEastAsia" w:cstheme="minorEastAsia"/>
          <w:color w:val="auto"/>
          <w:highlight w:val="none"/>
          <w:lang w:val="en-US" w:eastAsia="zh-CN"/>
        </w:rPr>
        <w:t>李工</w:t>
      </w:r>
    </w:p>
    <w:p w14:paraId="1557978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eastAsia="zh-CN"/>
        </w:rPr>
        <w:t>联系电话：</w:t>
      </w:r>
      <w:r>
        <w:rPr>
          <w:rFonts w:hint="eastAsia" w:asciiTheme="minorEastAsia" w:hAnsiTheme="minorEastAsia" w:cstheme="minorEastAsia"/>
          <w:color w:val="auto"/>
          <w:highlight w:val="none"/>
          <w:lang w:val="en-US" w:eastAsia="zh-CN"/>
        </w:rPr>
        <w:t>18344764709</w:t>
      </w:r>
    </w:p>
    <w:p w14:paraId="48481C3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cstheme="minorEastAsia"/>
          <w:color w:val="auto"/>
          <w:highlight w:val="none"/>
          <w:lang w:eastAsia="zh-CN"/>
        </w:rPr>
      </w:pPr>
      <w:r>
        <w:rPr>
          <w:rFonts w:hint="eastAsia" w:asciiTheme="minorEastAsia" w:hAnsiTheme="minorEastAsia" w:cstheme="minorEastAsia"/>
          <w:color w:val="auto"/>
          <w:highlight w:val="none"/>
          <w:lang w:eastAsia="zh-CN"/>
        </w:rPr>
        <w:t> </w:t>
      </w:r>
    </w:p>
    <w:p w14:paraId="7CB8D29F">
      <w:pPr>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br w:type="page"/>
      </w:r>
    </w:p>
    <w:p w14:paraId="7E0A02D6">
      <w:pPr>
        <w:pStyle w:val="31"/>
        <w:keepNext/>
        <w:keepLines/>
        <w:spacing w:before="260" w:beforeAutospacing="0" w:after="260" w:afterAutospacing="0" w:line="415" w:lineRule="auto"/>
        <w:ind w:firstLine="2429"/>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第二章  </w:t>
      </w:r>
      <w:bookmarkStart w:id="31" w:name="_Toc20823274"/>
      <w:bookmarkStart w:id="32" w:name="_Toc16938518"/>
      <w:bookmarkStart w:id="33" w:name="_Toc120614213"/>
      <w:bookmarkStart w:id="34" w:name="_Toc513029202"/>
      <w:r>
        <w:rPr>
          <w:rFonts w:hint="eastAsia" w:asciiTheme="minorEastAsia" w:hAnsiTheme="minorEastAsia" w:eastAsiaTheme="minorEastAsia" w:cstheme="minorEastAsia"/>
          <w:b/>
          <w:color w:val="auto"/>
          <w:sz w:val="44"/>
          <w:szCs w:val="44"/>
          <w:highlight w:val="none"/>
        </w:rPr>
        <w:t>投标人须知</w:t>
      </w:r>
      <w:bookmarkEnd w:id="31"/>
      <w:bookmarkEnd w:id="32"/>
      <w:bookmarkEnd w:id="33"/>
      <w:bookmarkEnd w:id="34"/>
    </w:p>
    <w:p w14:paraId="32DE817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98"/>
        <w:jc w:val="both"/>
        <w:textAlignment w:val="auto"/>
        <w:rPr>
          <w:rFonts w:hint="eastAsia" w:asciiTheme="minorEastAsia" w:hAnsiTheme="minorEastAsia" w:eastAsiaTheme="minorEastAsia" w:cstheme="minorEastAsia"/>
          <w:color w:val="auto"/>
          <w:highlight w:val="none"/>
        </w:rPr>
      </w:pPr>
      <w:bookmarkStart w:id="35" w:name="_Toc513029203"/>
      <w:bookmarkStart w:id="36" w:name="_Toc20823275"/>
      <w:bookmarkStart w:id="37" w:name="_Toc16938519"/>
      <w:bookmarkStart w:id="38" w:name="_Toc120614214"/>
      <w:r>
        <w:rPr>
          <w:rFonts w:hint="eastAsia" w:asciiTheme="minorEastAsia" w:hAnsiTheme="minorEastAsia" w:eastAsiaTheme="minorEastAsia" w:cstheme="minorEastAsia"/>
          <w:b/>
          <w:color w:val="auto"/>
          <w:highlight w:val="none"/>
        </w:rPr>
        <w:t>一、总则</w:t>
      </w:r>
      <w:bookmarkEnd w:id="35"/>
      <w:bookmarkEnd w:id="36"/>
      <w:bookmarkEnd w:id="37"/>
      <w:bookmarkEnd w:id="38"/>
    </w:p>
    <w:p w14:paraId="63B75EC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39" w:name="_Toc20823276"/>
      <w:bookmarkStart w:id="40" w:name="_Toc458694821"/>
      <w:bookmarkStart w:id="41" w:name="_Toc513029204"/>
      <w:bookmarkStart w:id="42" w:name="_Toc16938520"/>
      <w:r>
        <w:rPr>
          <w:rFonts w:hint="eastAsia" w:asciiTheme="minorEastAsia" w:hAnsiTheme="minorEastAsia" w:eastAsiaTheme="minorEastAsia" w:cstheme="minorEastAsia"/>
          <w:color w:val="auto"/>
          <w:highlight w:val="none"/>
        </w:rPr>
        <w:t>1</w:t>
      </w:r>
      <w:bookmarkEnd w:id="39"/>
      <w:r>
        <w:rPr>
          <w:rFonts w:hint="eastAsia" w:asciiTheme="minorEastAsia" w:hAnsiTheme="minorEastAsia" w:eastAsiaTheme="minorEastAsia" w:cstheme="minorEastAsia"/>
          <w:color w:val="auto"/>
          <w:highlight w:val="none"/>
        </w:rPr>
        <w:t>、招标方式</w:t>
      </w:r>
      <w:bookmarkEnd w:id="40"/>
      <w:bookmarkEnd w:id="41"/>
      <w:bookmarkEnd w:id="42"/>
    </w:p>
    <w:p w14:paraId="28588B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 本次招标采取公开招标方式，本招标文件仅适用于招标公告中所述项目。</w:t>
      </w:r>
    </w:p>
    <w:p w14:paraId="2EEC247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3" w:name="_Toc16938521"/>
      <w:bookmarkStart w:id="44" w:name="_Toc20823277"/>
      <w:bookmarkStart w:id="45" w:name="_Toc513029205"/>
      <w:r>
        <w:rPr>
          <w:rFonts w:hint="eastAsia" w:asciiTheme="minorEastAsia" w:hAnsiTheme="minorEastAsia" w:eastAsiaTheme="minorEastAsia" w:cstheme="minorEastAsia"/>
          <w:color w:val="auto"/>
          <w:highlight w:val="none"/>
        </w:rPr>
        <w:t>2、合格的投标人</w:t>
      </w:r>
      <w:bookmarkEnd w:id="43"/>
      <w:bookmarkEnd w:id="44"/>
      <w:bookmarkEnd w:id="45"/>
    </w:p>
    <w:p w14:paraId="240A3B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2.1满足招标公告中供应商的资格要求的规定。</w:t>
      </w:r>
    </w:p>
    <w:p w14:paraId="370D2E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 满足本文件实质性要求和条件的规定。</w:t>
      </w:r>
    </w:p>
    <w:p w14:paraId="187DC738">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szCs w:val="21"/>
          <w:highlight w:val="none"/>
        </w:rPr>
      </w:pPr>
      <w:bookmarkStart w:id="46" w:name="_Toc20823278"/>
      <w:bookmarkStart w:id="47" w:name="_Toc513029206"/>
      <w:bookmarkStart w:id="48" w:name="_Toc16938522"/>
      <w:r>
        <w:rPr>
          <w:rFonts w:hint="eastAsia" w:asciiTheme="minorEastAsia" w:hAnsiTheme="minorEastAsia" w:eastAsiaTheme="minorEastAsia" w:cstheme="minorEastAsia"/>
          <w:color w:val="auto"/>
          <w:sz w:val="24"/>
          <w:szCs w:val="21"/>
          <w:highlight w:val="none"/>
        </w:rPr>
        <w:t>3、适用法律</w:t>
      </w:r>
      <w:bookmarkEnd w:id="46"/>
      <w:bookmarkEnd w:id="47"/>
      <w:bookmarkEnd w:id="48"/>
      <w:r>
        <w:rPr>
          <w:rFonts w:hint="eastAsia" w:asciiTheme="minorEastAsia" w:hAnsiTheme="minorEastAsia" w:eastAsiaTheme="minorEastAsia" w:cstheme="minorEastAsia"/>
          <w:color w:val="auto"/>
          <w:sz w:val="24"/>
          <w:szCs w:val="21"/>
          <w:highlight w:val="none"/>
        </w:rPr>
        <w:t>和标准</w:t>
      </w:r>
    </w:p>
    <w:p w14:paraId="204DB0DE">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 本次招标及由此产生的合同受中华人民共和国有关的法律法规制约和保护。</w:t>
      </w:r>
    </w:p>
    <w:p w14:paraId="1D63DAA3">
      <w:pPr>
        <w:pageBreakBefore w:val="0"/>
        <w:widowControl w:val="0"/>
        <w:kinsoku/>
        <w:wordWrap/>
        <w:overflowPunct/>
        <w:topLinePunct w:val="0"/>
        <w:autoSpaceDE/>
        <w:autoSpaceDN/>
        <w:bidi w:val="0"/>
        <w:adjustRightInd/>
        <w:snapToGrid/>
        <w:spacing w:line="500" w:lineRule="exact"/>
        <w:ind w:firstLine="42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1"/>
          <w:highlight w:val="none"/>
        </w:rPr>
        <w:t>3.2 在本项目政府采购活动过程中，如果所执行的标准有更新的，按照最新标准执行。</w:t>
      </w:r>
    </w:p>
    <w:p w14:paraId="249335EE">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49" w:name="_Toc462564067"/>
      <w:bookmarkStart w:id="50" w:name="_Toc16938523"/>
      <w:bookmarkStart w:id="51" w:name="_Toc20823279"/>
      <w:bookmarkStart w:id="52" w:name="_Toc513029207"/>
      <w:r>
        <w:rPr>
          <w:rFonts w:hint="eastAsia" w:asciiTheme="minorEastAsia" w:hAnsiTheme="minorEastAsia" w:eastAsiaTheme="minorEastAsia" w:cstheme="minorEastAsia"/>
          <w:color w:val="auto"/>
          <w:highlight w:val="none"/>
        </w:rPr>
        <w:t>4、投标费用</w:t>
      </w:r>
      <w:bookmarkEnd w:id="49"/>
      <w:bookmarkEnd w:id="50"/>
      <w:bookmarkEnd w:id="51"/>
      <w:bookmarkEnd w:id="52"/>
    </w:p>
    <w:p w14:paraId="2F73275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4.1投标人应自行承担所有与参加投标有关的费用，无论投标过程中的做法和结果如何，采购人和采购代理机构在任何情况下均无义务和责任承担这些费用。</w:t>
      </w:r>
    </w:p>
    <w:p w14:paraId="70C6809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4.2本次招标采购人和采购代理机构不收取标书工本费。</w:t>
      </w:r>
    </w:p>
    <w:p w14:paraId="1AB5BB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4.3本项目代理服务费由项目中标单位支付，代理服务费收费标准按照苏招协[2022]002号文计取，由中标人领取中标通知书前，向代理公司支付，请投标人考虑在投标报价中。</w:t>
      </w:r>
    </w:p>
    <w:p w14:paraId="4910E92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2"/>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5、</w:t>
      </w:r>
      <w:r>
        <w:rPr>
          <w:rFonts w:hint="eastAsia" w:asciiTheme="minorEastAsia" w:hAnsiTheme="minorEastAsia" w:eastAsiaTheme="minorEastAsia" w:cstheme="minorEastAsia"/>
          <w:color w:val="auto"/>
          <w:highlight w:val="none"/>
        </w:rPr>
        <w:t>招标文件的约束力</w:t>
      </w:r>
    </w:p>
    <w:p w14:paraId="383EC18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5.1 投标人一旦参加本项目采购活动，即被认为接受了本招标文件的规定和约束。</w:t>
      </w:r>
    </w:p>
    <w:p w14:paraId="7726F0C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321"/>
        <w:jc w:val="both"/>
        <w:textAlignment w:val="auto"/>
        <w:rPr>
          <w:rFonts w:hint="eastAsia" w:asciiTheme="minorEastAsia" w:hAnsiTheme="minorEastAsia" w:eastAsiaTheme="minorEastAsia" w:cstheme="minorEastAsia"/>
          <w:color w:val="auto"/>
          <w:highlight w:val="none"/>
        </w:rPr>
      </w:pPr>
      <w:bookmarkStart w:id="53" w:name="_Toc513029209"/>
      <w:bookmarkStart w:id="54" w:name="_Toc120614215"/>
      <w:bookmarkStart w:id="55" w:name="_Toc20823281"/>
      <w:bookmarkStart w:id="56" w:name="_Toc16938525"/>
      <w:r>
        <w:rPr>
          <w:rFonts w:hint="eastAsia" w:asciiTheme="minorEastAsia" w:hAnsiTheme="minorEastAsia" w:eastAsiaTheme="minorEastAsia" w:cstheme="minorEastAsia"/>
          <w:b/>
          <w:color w:val="auto"/>
          <w:highlight w:val="none"/>
        </w:rPr>
        <w:t>二、招标文件</w:t>
      </w:r>
      <w:bookmarkEnd w:id="53"/>
      <w:bookmarkEnd w:id="54"/>
      <w:bookmarkEnd w:id="55"/>
      <w:bookmarkEnd w:id="56"/>
    </w:p>
    <w:p w14:paraId="53995FE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57" w:name="_Toc513029210"/>
      <w:bookmarkStart w:id="58" w:name="_Toc16938526"/>
      <w:bookmarkStart w:id="59" w:name="_Toc20823282"/>
      <w:r>
        <w:rPr>
          <w:rFonts w:hint="eastAsia" w:asciiTheme="minorEastAsia" w:hAnsiTheme="minorEastAsia" w:eastAsiaTheme="minorEastAsia" w:cstheme="minorEastAsia"/>
          <w:color w:val="auto"/>
          <w:highlight w:val="none"/>
        </w:rPr>
        <w:t>6、招标文件构成</w:t>
      </w:r>
      <w:bookmarkEnd w:id="57"/>
      <w:bookmarkEnd w:id="58"/>
      <w:bookmarkEnd w:id="59"/>
    </w:p>
    <w:p w14:paraId="1375258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6.1 招标文件由以下部分组成：</w:t>
      </w:r>
    </w:p>
    <w:p w14:paraId="41335258">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（1）招标公告</w:t>
      </w:r>
    </w:p>
    <w:p w14:paraId="08715C3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（2）投标人须知</w:t>
      </w:r>
    </w:p>
    <w:p w14:paraId="47E31F40">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（3）合同文本</w:t>
      </w:r>
    </w:p>
    <w:p w14:paraId="7312DE03">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（4）采购需求</w:t>
      </w:r>
    </w:p>
    <w:p w14:paraId="4132076E">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（5）评标方法与评标标准</w:t>
      </w:r>
    </w:p>
    <w:p w14:paraId="4068245A">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（6）投标文件格式</w:t>
      </w:r>
    </w:p>
    <w:p w14:paraId="7B15B8F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请仔细检查招标文件是否齐全，如有缺漏请立即与采购代理机构联系解决。</w:t>
      </w:r>
    </w:p>
    <w:p w14:paraId="6B0E17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714B4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0" w:name="_Toc513029211"/>
      <w:bookmarkStart w:id="61" w:name="_Toc462564070"/>
      <w:bookmarkStart w:id="62" w:name="_Toc16938527"/>
      <w:bookmarkStart w:id="63" w:name="_Toc20823283"/>
      <w:r>
        <w:rPr>
          <w:rFonts w:hint="eastAsia" w:asciiTheme="minorEastAsia" w:hAnsiTheme="minorEastAsia" w:eastAsiaTheme="minorEastAsia" w:cstheme="minorEastAsia"/>
          <w:color w:val="auto"/>
          <w:highlight w:val="none"/>
        </w:rPr>
        <w:t>7、招标文件的澄清</w:t>
      </w:r>
      <w:bookmarkEnd w:id="60"/>
      <w:bookmarkEnd w:id="61"/>
      <w:bookmarkEnd w:id="62"/>
      <w:bookmarkEnd w:id="63"/>
    </w:p>
    <w:p w14:paraId="787F8A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7.1 任何要求对招标文件进行澄清的投标人，应在投标截止期</w:t>
      </w:r>
      <w:r>
        <w:rPr>
          <w:rFonts w:hint="eastAsia" w:asciiTheme="minorEastAsia" w:hAnsiTheme="minorEastAsia" w:eastAsiaTheme="minorEastAsia" w:cstheme="minorEastAsia"/>
          <w:b/>
          <w:color w:val="auto"/>
          <w:highlight w:val="none"/>
        </w:rPr>
        <w:t>十日</w:t>
      </w:r>
      <w:r>
        <w:rPr>
          <w:rFonts w:hint="eastAsia" w:asciiTheme="minorEastAsia" w:hAnsiTheme="minorEastAsia" w:eastAsiaTheme="minorEastAsia" w:cstheme="minorEastAsia"/>
          <w:color w:val="auto"/>
          <w:highlight w:val="none"/>
        </w:rPr>
        <w:t>前按招标公告中的通讯地址，以书面形式通知采购人或采购代理机构。</w:t>
      </w:r>
    </w:p>
    <w:p w14:paraId="0271BA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64" w:name="_Toc513029212"/>
      <w:bookmarkStart w:id="65" w:name="_Toc20823284"/>
      <w:bookmarkStart w:id="66" w:name="_Toc462564071"/>
      <w:bookmarkStart w:id="67" w:name="_Toc16938528"/>
      <w:r>
        <w:rPr>
          <w:rFonts w:hint="eastAsia" w:asciiTheme="minorEastAsia" w:hAnsiTheme="minorEastAsia" w:eastAsiaTheme="minorEastAsia" w:cstheme="minorEastAsia"/>
          <w:color w:val="auto"/>
          <w:highlight w:val="none"/>
        </w:rPr>
        <w:t>8、招标文件的修改</w:t>
      </w:r>
      <w:bookmarkEnd w:id="64"/>
      <w:bookmarkEnd w:id="65"/>
      <w:bookmarkEnd w:id="66"/>
      <w:bookmarkEnd w:id="67"/>
    </w:p>
    <w:p w14:paraId="0C6E5F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8.1 在投标截止时间前，采购人可以对招标文件进行修改。</w:t>
      </w:r>
    </w:p>
    <w:p w14:paraId="02E6B9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8.2 采购人有权按照法定的要求推迟投标截止日期和开标日期。</w:t>
      </w:r>
    </w:p>
    <w:p w14:paraId="1149D8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8.3 招标文件的修改将在中国政府采购网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江苏政府采购网、盐城市政府采购网公布，补充文件将作为招标文件的组成部分，并对投标人具有约束力。</w:t>
      </w:r>
    </w:p>
    <w:p w14:paraId="0BA821D8">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68" w:name="_Toc20823285"/>
      <w:bookmarkStart w:id="69" w:name="_Toc462564072"/>
      <w:bookmarkStart w:id="70" w:name="_Toc513029213"/>
      <w:bookmarkStart w:id="71" w:name="_Toc16938529"/>
      <w:bookmarkStart w:id="72" w:name="_Toc120614216"/>
      <w:r>
        <w:rPr>
          <w:rFonts w:hint="eastAsia" w:asciiTheme="minorEastAsia" w:hAnsiTheme="minorEastAsia" w:eastAsiaTheme="minorEastAsia" w:cstheme="minorEastAsia"/>
          <w:b/>
          <w:color w:val="auto"/>
          <w:highlight w:val="none"/>
        </w:rPr>
        <w:t>三、投标文件的编制</w:t>
      </w:r>
      <w:bookmarkEnd w:id="68"/>
      <w:bookmarkEnd w:id="69"/>
      <w:bookmarkEnd w:id="70"/>
      <w:bookmarkEnd w:id="71"/>
      <w:bookmarkEnd w:id="72"/>
    </w:p>
    <w:p w14:paraId="2097E04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560"/>
        <w:jc w:val="both"/>
        <w:textAlignment w:val="auto"/>
        <w:rPr>
          <w:rFonts w:hint="eastAsia" w:asciiTheme="minorEastAsia" w:hAnsiTheme="minorEastAsia" w:eastAsiaTheme="minorEastAsia" w:cstheme="minorEastAsia"/>
          <w:color w:val="auto"/>
          <w:highlight w:val="none"/>
        </w:rPr>
      </w:pPr>
      <w:bookmarkStart w:id="73" w:name="_Toc20823286"/>
      <w:bookmarkStart w:id="74" w:name="_Toc16938530"/>
      <w:bookmarkStart w:id="75" w:name="_Toc513029214"/>
      <w:bookmarkStart w:id="76" w:name="_Toc462564073"/>
      <w:r>
        <w:rPr>
          <w:rFonts w:hint="eastAsia" w:asciiTheme="minorEastAsia" w:hAnsiTheme="minorEastAsia" w:eastAsiaTheme="minorEastAsia" w:cstheme="minorEastAsia"/>
          <w:color w:val="auto"/>
          <w:highlight w:val="none"/>
        </w:rPr>
        <w:t>9、投标文件的语言及度量衡单位</w:t>
      </w:r>
      <w:bookmarkEnd w:id="73"/>
      <w:bookmarkEnd w:id="74"/>
      <w:bookmarkEnd w:id="75"/>
      <w:bookmarkEnd w:id="76"/>
    </w:p>
    <w:p w14:paraId="77D7F4B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9.1 投标人提交的投标文件以及投标人与采购人或采购代理机构就有关投标的所有来往通知、函件和文件均应使用</w:t>
      </w:r>
      <w:r>
        <w:rPr>
          <w:rFonts w:hint="eastAsia" w:asciiTheme="minorEastAsia" w:hAnsiTheme="minorEastAsia" w:eastAsiaTheme="minorEastAsia" w:cstheme="minorEastAsia"/>
          <w:b/>
          <w:color w:val="auto"/>
          <w:highlight w:val="none"/>
        </w:rPr>
        <w:t>简体中文</w:t>
      </w:r>
      <w:r>
        <w:rPr>
          <w:rFonts w:hint="eastAsia" w:asciiTheme="minorEastAsia" w:hAnsiTheme="minorEastAsia" w:eastAsiaTheme="minorEastAsia" w:cstheme="minorEastAsia"/>
          <w:color w:val="auto"/>
          <w:highlight w:val="none"/>
        </w:rPr>
        <w:t>。</w:t>
      </w:r>
    </w:p>
    <w:p w14:paraId="5A3961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9.2 除技术性能另有规定外，投标文件所使用的度量衡单位，均须采用国家法定计量单位。</w:t>
      </w:r>
    </w:p>
    <w:p w14:paraId="472E51C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77" w:name="_Toc462564074"/>
      <w:bookmarkStart w:id="78" w:name="_Toc513029215"/>
      <w:bookmarkStart w:id="79" w:name="_Toc20823287"/>
      <w:bookmarkStart w:id="80" w:name="_Toc16938531"/>
      <w:r>
        <w:rPr>
          <w:rFonts w:hint="eastAsia" w:asciiTheme="minorEastAsia" w:hAnsiTheme="minorEastAsia" w:eastAsiaTheme="minorEastAsia" w:cstheme="minorEastAsia"/>
          <w:color w:val="auto"/>
          <w:highlight w:val="none"/>
        </w:rPr>
        <w:t>10、投标文件构成</w:t>
      </w:r>
      <w:bookmarkEnd w:id="77"/>
      <w:bookmarkEnd w:id="78"/>
      <w:bookmarkEnd w:id="79"/>
      <w:bookmarkEnd w:id="80"/>
    </w:p>
    <w:p w14:paraId="6EDB898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10.1 投标人编写的投标文件应包括资格证明文件、符合性证明文件、投标分项报价表、技术要求响应及偏离表、商务要求响应及偏离表、其他证明文件、投标函、开标一览表等部分。</w:t>
      </w:r>
    </w:p>
    <w:p w14:paraId="4369FB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10.2 如标书制作工具中格式和内容与</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发布的招标文件不一致，请以“中国政府采购网”“江苏政府采购网”“盐城市政府采购网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发布的招标文件为准。</w:t>
      </w:r>
    </w:p>
    <w:p w14:paraId="1A4D844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1" w:name="_Toc14577354"/>
      <w:bookmarkStart w:id="82" w:name="_Toc14577357"/>
      <w:bookmarkStart w:id="83" w:name="_Toc513029216"/>
      <w:bookmarkStart w:id="84" w:name="_Toc49090509"/>
      <w:bookmarkStart w:id="85" w:name="_Toc49090508"/>
      <w:bookmarkStart w:id="86" w:name="_Toc14577355"/>
      <w:bookmarkStart w:id="87" w:name="_Toc513029219"/>
      <w:bookmarkStart w:id="88" w:name="_Toc49090507"/>
      <w:r>
        <w:rPr>
          <w:rFonts w:hint="eastAsia" w:asciiTheme="minorEastAsia" w:hAnsiTheme="minorEastAsia" w:eastAsiaTheme="minorEastAsia" w:cstheme="minorEastAsia"/>
          <w:color w:val="auto"/>
          <w:highlight w:val="none"/>
        </w:rPr>
        <w:t>11、证明投标人及投标标的符合招标文件规定的文件</w:t>
      </w:r>
      <w:bookmarkEnd w:id="81"/>
      <w:bookmarkEnd w:id="82"/>
      <w:bookmarkEnd w:id="83"/>
      <w:bookmarkEnd w:id="84"/>
      <w:bookmarkEnd w:id="85"/>
      <w:bookmarkEnd w:id="86"/>
      <w:bookmarkEnd w:id="87"/>
      <w:bookmarkEnd w:id="88"/>
    </w:p>
    <w:p w14:paraId="6AE76A1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11.1 投标人应按照招标文件要求提交证明文件，证明其及投标标的符合招标文件规定。</w:t>
      </w:r>
    </w:p>
    <w:p w14:paraId="067FF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11.2招标文件对证明文件无明确形式要求的，证明文件可以以文字资料、图纸和数据等形式提交。</w:t>
      </w:r>
    </w:p>
    <w:p w14:paraId="7F1CE83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12、投标分项报价表</w:t>
      </w:r>
    </w:p>
    <w:p w14:paraId="50F3E6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12.1 投标人应按照招标文件规定格式填报投标分项报价表。</w:t>
      </w:r>
    </w:p>
    <w:p w14:paraId="020C41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12.2投标货币。投标文件中的单价和总价无特殊规定的采用人民币报价，以元为单位标注。招标文件中另有规定的按规定执行。</w:t>
      </w:r>
    </w:p>
    <w:p w14:paraId="6F221435">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13、技术要求响应及偏离表、商务要求响应及偏离表</w:t>
      </w:r>
    </w:p>
    <w:p w14:paraId="1AB0CB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13.1 投标人需对招标文件中的技术要求与商务要求逐项作出响应或偏离，并说明原因。</w:t>
      </w:r>
    </w:p>
    <w:p w14:paraId="52FBCF8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13.2 投标人可在投标文件中提供认为需要的其他技术文件或说明。</w:t>
      </w:r>
    </w:p>
    <w:p w14:paraId="60CD756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14、服务承诺、培训计划、人员安排及其他</w:t>
      </w:r>
    </w:p>
    <w:p w14:paraId="2DDAE4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14.1 投标人需根据招标文件要求提供有关售后服务的管理制度，售后服务机构的分布情况，售后服务人员的数量、素质、技术水平及售后服务的反应能力等。</w:t>
      </w:r>
    </w:p>
    <w:p w14:paraId="6EE6031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14.2 投标人需根据招标文件要求提供培训计划。</w:t>
      </w:r>
    </w:p>
    <w:p w14:paraId="773C30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14.3投标人需根据招标文件要求提供所投标的主要组成部分、功能设计、实现思路及关键技术等。</w:t>
      </w:r>
    </w:p>
    <w:p w14:paraId="546C730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89" w:name="_Toc14577359"/>
      <w:bookmarkStart w:id="90" w:name="_Toc49090510"/>
      <w:r>
        <w:rPr>
          <w:rFonts w:hint="eastAsia" w:asciiTheme="minorEastAsia" w:hAnsiTheme="minorEastAsia" w:eastAsiaTheme="minorEastAsia" w:cstheme="minorEastAsia"/>
          <w:color w:val="auto"/>
          <w:highlight w:val="none"/>
        </w:rPr>
        <w:t>15、投标函和开标一览表</w:t>
      </w:r>
      <w:bookmarkEnd w:id="89"/>
      <w:bookmarkEnd w:id="90"/>
    </w:p>
    <w:p w14:paraId="4B0CD69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15.1 投标人应按照招标文件中提供的格式完整、正确填写投标函、开标一览表。</w:t>
      </w:r>
    </w:p>
    <w:p w14:paraId="579B1E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15.2 对于采用货币报价的项目，开标一览表中的投标总报价应与投标分项报价表中的投标总报价一致，如不一致，不作为无效投标处理，但评标时按开标一览表中价格为准。</w:t>
      </w:r>
    </w:p>
    <w:p w14:paraId="4CB6EBA1">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1" w:name="_Toc49090511"/>
      <w:bookmarkStart w:id="92" w:name="_Toc14577360"/>
      <w:r>
        <w:rPr>
          <w:rFonts w:hint="eastAsia" w:asciiTheme="minorEastAsia" w:hAnsiTheme="minorEastAsia" w:eastAsiaTheme="minorEastAsia" w:cstheme="minorEastAsia"/>
          <w:color w:val="auto"/>
          <w:highlight w:val="none"/>
        </w:rPr>
        <w:t>16、投标有效期</w:t>
      </w:r>
      <w:bookmarkEnd w:id="91"/>
      <w:bookmarkEnd w:id="92"/>
    </w:p>
    <w:p w14:paraId="7EC4CF6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16.1投标有效期为采购人规定的开标之日后</w:t>
      </w:r>
      <w:r>
        <w:rPr>
          <w:rFonts w:hint="eastAsia" w:asciiTheme="minorEastAsia" w:hAnsiTheme="minorEastAsia" w:eastAsiaTheme="minorEastAsia" w:cstheme="minorEastAsia"/>
          <w:b/>
          <w:color w:val="auto"/>
          <w:highlight w:val="none"/>
          <w:u w:val="single"/>
        </w:rPr>
        <w:t>九十（90）天</w:t>
      </w:r>
      <w:r>
        <w:rPr>
          <w:rFonts w:hint="eastAsia" w:asciiTheme="minorEastAsia" w:hAnsiTheme="minorEastAsia" w:eastAsiaTheme="minorEastAsia" w:cstheme="minorEastAsia"/>
          <w:color w:val="auto"/>
          <w:highlight w:val="none"/>
        </w:rPr>
        <w:t>。投标有效期比规定短的将被视为未实质性响应招标文件而予以拒绝。</w:t>
      </w:r>
    </w:p>
    <w:p w14:paraId="072552B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17、投标有效期的延长</w:t>
      </w:r>
    </w:p>
    <w:p w14:paraId="7311A1F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DAB92F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93" w:name="_Toc513029224"/>
      <w:bookmarkStart w:id="94" w:name="_Toc20823296"/>
      <w:bookmarkStart w:id="95" w:name="_Toc120614217"/>
      <w:bookmarkStart w:id="96" w:name="_Toc16938540"/>
      <w:r>
        <w:rPr>
          <w:rFonts w:hint="eastAsia" w:asciiTheme="minorEastAsia" w:hAnsiTheme="minorEastAsia" w:eastAsiaTheme="minorEastAsia" w:cstheme="minorEastAsia"/>
          <w:b/>
          <w:color w:val="auto"/>
          <w:highlight w:val="none"/>
        </w:rPr>
        <w:t>四、投标文件的递交</w:t>
      </w:r>
      <w:bookmarkEnd w:id="93"/>
      <w:bookmarkEnd w:id="94"/>
      <w:bookmarkEnd w:id="95"/>
      <w:bookmarkEnd w:id="96"/>
    </w:p>
    <w:p w14:paraId="5B6F3F2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97" w:name="_Toc16938541"/>
      <w:bookmarkStart w:id="98" w:name="_Toc462564084"/>
      <w:bookmarkStart w:id="99" w:name="_Toc20823297"/>
      <w:bookmarkStart w:id="100" w:name="_Toc513029225"/>
      <w:r>
        <w:rPr>
          <w:rFonts w:hint="eastAsia" w:asciiTheme="minorEastAsia" w:hAnsiTheme="minorEastAsia" w:eastAsiaTheme="minorEastAsia" w:cstheme="minorEastAsia"/>
          <w:color w:val="auto"/>
          <w:highlight w:val="none"/>
        </w:rPr>
        <w:t>18、电子投标文件</w:t>
      </w:r>
      <w:bookmarkEnd w:id="97"/>
      <w:bookmarkEnd w:id="98"/>
      <w:bookmarkEnd w:id="99"/>
      <w:bookmarkEnd w:id="100"/>
      <w:r>
        <w:rPr>
          <w:rFonts w:hint="eastAsia" w:asciiTheme="minorEastAsia" w:hAnsiTheme="minorEastAsia" w:eastAsiaTheme="minorEastAsia" w:cstheme="minorEastAsia"/>
          <w:color w:val="auto"/>
          <w:highlight w:val="none"/>
        </w:rPr>
        <w:t>的递交</w:t>
      </w:r>
    </w:p>
    <w:p w14:paraId="46F5971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18.1投标人应当按照《操作手册》规定，在投标截止时间前制作并上传电子投标文件。</w:t>
      </w:r>
      <w:bookmarkStart w:id="101" w:name="_Toc16938542"/>
      <w:bookmarkEnd w:id="101"/>
      <w:bookmarkStart w:id="102" w:name="_Toc20823298"/>
      <w:bookmarkEnd w:id="102"/>
    </w:p>
    <w:p w14:paraId="5A44DA6C">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19、投标截止日期</w:t>
      </w:r>
    </w:p>
    <w:p w14:paraId="59A6C73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19.1 投标人上传电子投标文件的时间不得迟于招标公告中规定的投标截止时间。</w:t>
      </w:r>
    </w:p>
    <w:p w14:paraId="1D06D60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投标人应充分考虑到网络环境、网络带宽等风险因素，如因投标人自身原因造成的电子投标文件上传不成功的按照本招标文件第二章第27.1.2条规定做无效投标处理。</w:t>
      </w:r>
    </w:p>
    <w:p w14:paraId="5758986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19.2 采购人和采购代理机构可以按照规定，通过修改招标文件酌情延长投标截止日期，在此情况下，投标人的所有权利和义务以及投标人受制的截止日期均应以延长后新的截止日期为准。</w:t>
      </w:r>
    </w:p>
    <w:p w14:paraId="7A18A8A2">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3" w:name="_Toc513029227"/>
      <w:bookmarkStart w:id="104" w:name="_Toc20823299"/>
      <w:bookmarkStart w:id="105" w:name="_Toc16938543"/>
      <w:r>
        <w:rPr>
          <w:rFonts w:hint="eastAsia" w:asciiTheme="minorEastAsia" w:hAnsiTheme="minorEastAsia" w:eastAsiaTheme="minorEastAsia" w:cstheme="minorEastAsia"/>
          <w:color w:val="auto"/>
          <w:highlight w:val="none"/>
        </w:rPr>
        <w:t>20、投标文件</w:t>
      </w:r>
      <w:bookmarkEnd w:id="103"/>
      <w:bookmarkEnd w:id="104"/>
      <w:bookmarkEnd w:id="105"/>
      <w:r>
        <w:rPr>
          <w:rFonts w:hint="eastAsia" w:asciiTheme="minorEastAsia" w:hAnsiTheme="minorEastAsia" w:eastAsiaTheme="minorEastAsia" w:cstheme="minorEastAsia"/>
          <w:color w:val="auto"/>
          <w:highlight w:val="none"/>
        </w:rPr>
        <w:t>的拒收</w:t>
      </w:r>
    </w:p>
    <w:p w14:paraId="087461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20.1 采购人拒绝接收在其规定的投标截止时间后上传的任何投标文件。</w:t>
      </w:r>
    </w:p>
    <w:p w14:paraId="7F47835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06" w:name="_Toc20823300"/>
      <w:bookmarkStart w:id="107" w:name="_Toc16938544"/>
      <w:bookmarkStart w:id="108" w:name="_Toc513029228"/>
      <w:r>
        <w:rPr>
          <w:rFonts w:hint="eastAsia" w:asciiTheme="minorEastAsia" w:hAnsiTheme="minorEastAsia" w:eastAsiaTheme="minorEastAsia" w:cstheme="minorEastAsia"/>
          <w:color w:val="auto"/>
          <w:highlight w:val="none"/>
        </w:rPr>
        <w:t>21、投标文件的撤回和修改</w:t>
      </w:r>
      <w:bookmarkEnd w:id="106"/>
      <w:bookmarkEnd w:id="107"/>
      <w:bookmarkEnd w:id="108"/>
    </w:p>
    <w:p w14:paraId="08FC799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 投标文件的撤回</w:t>
      </w:r>
    </w:p>
    <w:p w14:paraId="7E277CF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21.1.1 电子投标文件的撤回</w:t>
      </w:r>
    </w:p>
    <w:p w14:paraId="4F39051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投标人可在投标截止时间前，撤回其电子投标文件，具体操作方法见《操作手册》。</w:t>
      </w:r>
    </w:p>
    <w:p w14:paraId="33DCEFA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21.1.2 投标人撤回电子投标文件，则认为其不再参与本项目投标活动。</w:t>
      </w:r>
    </w:p>
    <w:p w14:paraId="30A284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 投标文件的修改</w:t>
      </w:r>
    </w:p>
    <w:p w14:paraId="4F7A408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21.2.1投标人可在投标截止时间前，对其电子投标文件进行修改，具体操作方法见《操作手册》。</w:t>
      </w:r>
    </w:p>
    <w:p w14:paraId="42B37AB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21.2.2 在投标截止时间之后，投标人不得对其电子投标文件作任何修改。</w:t>
      </w:r>
    </w:p>
    <w:p w14:paraId="363D726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21.3 在投标截止时间至招标文件中规定的投标有效期满之间的这段时间内，投标人不得撤回其投标。</w:t>
      </w:r>
    </w:p>
    <w:p w14:paraId="30D23CC7">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09" w:name="_Toc20823301"/>
      <w:bookmarkStart w:id="110" w:name="_Toc120614218"/>
      <w:bookmarkStart w:id="111" w:name="_Toc16938545"/>
      <w:bookmarkStart w:id="112" w:name="_Toc513029229"/>
      <w:r>
        <w:rPr>
          <w:rFonts w:hint="eastAsia" w:asciiTheme="minorEastAsia" w:hAnsiTheme="minorEastAsia" w:eastAsiaTheme="minorEastAsia" w:cstheme="minorEastAsia"/>
          <w:b/>
          <w:color w:val="auto"/>
          <w:highlight w:val="none"/>
        </w:rPr>
        <w:t>五、开标与评标</w:t>
      </w:r>
      <w:bookmarkEnd w:id="109"/>
      <w:bookmarkEnd w:id="110"/>
      <w:bookmarkEnd w:id="111"/>
      <w:bookmarkEnd w:id="112"/>
    </w:p>
    <w:p w14:paraId="47E52816">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3" w:name="_Toc513029230"/>
      <w:bookmarkStart w:id="114" w:name="_Toc20823302"/>
      <w:bookmarkStart w:id="115" w:name="_Toc16938546"/>
      <w:r>
        <w:rPr>
          <w:rFonts w:hint="eastAsia" w:asciiTheme="minorEastAsia" w:hAnsiTheme="minorEastAsia" w:eastAsiaTheme="minorEastAsia" w:cstheme="minorEastAsia"/>
          <w:color w:val="auto"/>
          <w:highlight w:val="none"/>
        </w:rPr>
        <w:t>22、开标</w:t>
      </w:r>
      <w:bookmarkEnd w:id="113"/>
      <w:bookmarkEnd w:id="114"/>
      <w:bookmarkEnd w:id="115"/>
    </w:p>
    <w:p w14:paraId="4726758C">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22.1 采购人和采购代理机构将在招标公告中规定的时间和地点组织公开开标。投标人应当按照《操作手册》规定，参加开标活动和在苏采云系统规定的时间内对投标文件进行解密。</w:t>
      </w:r>
    </w:p>
    <w:p w14:paraId="38D8C03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22.2开标仪式由采购人和采购代理机构组织。苏采云系统将自动对项目进行开标，并宣布各投标人名称和投标价格。</w:t>
      </w:r>
    </w:p>
    <w:p w14:paraId="137BA6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22.3投标人在开标过程中涉及到的投标文件解密、开标结果确认等工作，应按照《操作手册》规定执行。</w:t>
      </w:r>
    </w:p>
    <w:p w14:paraId="44E843E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22.4投标人如果对开标过程和开标记录有疑义，应当根据《操作手册》规定提出，如 苏采云系统中《开标记录表》宣布后5分钟内未提出的，视同认可开标结果。</w:t>
      </w:r>
    </w:p>
    <w:p w14:paraId="1BA3769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6" w:name="_Toc513029231"/>
      <w:bookmarkStart w:id="117" w:name="_Toc20823303"/>
      <w:bookmarkStart w:id="118" w:name="_Toc16938547"/>
      <w:r>
        <w:rPr>
          <w:rFonts w:hint="eastAsia" w:asciiTheme="minorEastAsia" w:hAnsiTheme="minorEastAsia" w:eastAsiaTheme="minorEastAsia" w:cstheme="minorEastAsia"/>
          <w:color w:val="auto"/>
          <w:highlight w:val="none"/>
        </w:rPr>
        <w:t>23、评标委员会</w:t>
      </w:r>
      <w:bookmarkEnd w:id="116"/>
      <w:bookmarkEnd w:id="117"/>
      <w:bookmarkEnd w:id="118"/>
    </w:p>
    <w:p w14:paraId="2C72E1D6">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开标后，采购人将立即组织评标委员会（以下简称评委会）进行评标。</w:t>
      </w:r>
    </w:p>
    <w:p w14:paraId="61040FCB">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23.2 评委会由采购人代表和有关技术、经济等方面的专家组成，且人员构成符合政府采购有关规定。</w:t>
      </w:r>
    </w:p>
    <w:p w14:paraId="3FD514C1">
      <w:pPr>
        <w:pStyle w:val="31"/>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23.3评委会独立工作，负责评审所有投标文件并确定中标候选人。</w:t>
      </w:r>
    </w:p>
    <w:p w14:paraId="113BFA0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评标过程的保密与公正</w:t>
      </w:r>
    </w:p>
    <w:p w14:paraId="2F5F1F7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24.1凡是与审查、澄清、评价和比较投标的有关资料以及授标建议等，采购人、评委、采购代理机构均不得向投标人或与评标无关的其他人员透露。</w:t>
      </w:r>
    </w:p>
    <w:p w14:paraId="33CB80C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24.2在评标过程中，投标人不得以任何行为影响评标过程，否则其投标文件将被作为无效投标文件。</w:t>
      </w:r>
    </w:p>
    <w:p w14:paraId="3CA26C9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24.3 采购人、采购代理机构和评标委员会不向未中标的投标人解释未中标原因，也不公布评标过程中的相关细节。</w:t>
      </w:r>
    </w:p>
    <w:p w14:paraId="341F61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24.4 采用综合评分法的项目，未中标的投标人可于中标结果公告期限届满之日起通过苏采云系统查看自己的评审得分及排序情况。</w:t>
      </w:r>
    </w:p>
    <w:p w14:paraId="3602F8B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bookmarkStart w:id="119" w:name="_Toc513029232"/>
      <w:bookmarkStart w:id="120" w:name="_Toc16938548"/>
      <w:bookmarkStart w:id="121" w:name="_Toc20823304"/>
      <w:r>
        <w:rPr>
          <w:rFonts w:hint="eastAsia" w:asciiTheme="minorEastAsia" w:hAnsiTheme="minorEastAsia" w:eastAsiaTheme="minorEastAsia" w:cstheme="minorEastAsia"/>
          <w:color w:val="auto"/>
          <w:highlight w:val="none"/>
        </w:rPr>
        <w:t>25．投标文件的澄清</w:t>
      </w:r>
      <w:bookmarkEnd w:id="119"/>
      <w:bookmarkEnd w:id="120"/>
      <w:bookmarkEnd w:id="121"/>
    </w:p>
    <w:p w14:paraId="501A9C1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2" w:name="_Toc513029233"/>
      <w:bookmarkStart w:id="123" w:name="_Toc16938549"/>
      <w:bookmarkStart w:id="124" w:name="_Toc20823305"/>
      <w:r>
        <w:rPr>
          <w:rFonts w:hint="eastAsia" w:asciiTheme="minorEastAsia" w:hAnsiTheme="minorEastAsia" w:eastAsiaTheme="minorEastAsia" w:cstheme="minorEastAsia"/>
          <w:color w:val="auto"/>
          <w:highlight w:val="none"/>
        </w:rPr>
        <w:t>25.1评标期间，评委会对投标文件中含义不明确、同类问题表述不一致或者有明显文字和计算错误的内容，有权要求投标人作出必要的澄清、说明或者补正。</w:t>
      </w:r>
      <w:bookmarkEnd w:id="122"/>
      <w:bookmarkEnd w:id="123"/>
      <w:bookmarkEnd w:id="124"/>
    </w:p>
    <w:p w14:paraId="611EA56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投标人的澄清、说明或者补正不得超出投标文件的范围或者改变投标文件的实质性内容。</w:t>
      </w:r>
    </w:p>
    <w:p w14:paraId="326354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评标委员会并非对每个投标人都做澄清要求。</w:t>
      </w:r>
    </w:p>
    <w:p w14:paraId="54002F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4A2A72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25.3 接到评委会澄清、说明和补正要求的投标人如未按规定作出澄清、说明和补正，其风险由投标人自行承担。</w:t>
      </w:r>
    </w:p>
    <w:p w14:paraId="739E847D">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26、对投标文件的初审</w:t>
      </w:r>
    </w:p>
    <w:p w14:paraId="5397CC4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26.1投标文件初审分为资格审查和符合性审查。</w:t>
      </w:r>
    </w:p>
    <w:p w14:paraId="6FECDDA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26.1.1 资格审查：依据法律法规和招标文件的规定，由采购人对投标文件中的资格证明文件进行审查。资格审查的结论，采购人以书面形式向评委会进行反馈。</w:t>
      </w:r>
    </w:p>
    <w:p w14:paraId="31FB06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采购人在进行资格性审查的同时，将在“信用中国”网站（www.creditchina.gov.cn）查询投标人的信用记录，以确定投标人是否具备投标资格,查询结果留存并归档。</w:t>
      </w:r>
    </w:p>
    <w:p w14:paraId="4DD13E4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6B0D865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26.1.2 符合性审查：依据招标文件的规定，由评委会从投标文件的有效性、完整性和对招标文件的响应程度进行审查，以确定是否对招标文件的实质性要求作出响应。</w:t>
      </w:r>
    </w:p>
    <w:p w14:paraId="5167F93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26.1.3 未通过资格审查或符合性审查的投标人，采购代理机构将在苏采云系统中告知未通过资格审查或符合性审查的原因，评审结束后，采购人和采购代理机构将不再告知未通过资格审查或符合性审查的原因。</w:t>
      </w:r>
    </w:p>
    <w:p w14:paraId="1CDD376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61A662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846B10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26.3如果投标文件实质上没有响应招标文件的要求，评委会将予以拒绝，投标人不得通过修改或撤销不符合要求的偏离或保留而使其投标成为实质性响应的投标。</w:t>
      </w:r>
    </w:p>
    <w:p w14:paraId="50B67E9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26.4评委会将对确定为实质性响应的投标进行进一步审核，看其是否有计算上或累加上的算术错误，修正错误的原则如下：</w:t>
      </w:r>
    </w:p>
    <w:p w14:paraId="724FE07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（1）投标文件中开标一览表内容与投标文件中相应内容不一致的，以开标一览表为准。</w:t>
      </w:r>
    </w:p>
    <w:p w14:paraId="7BA0F2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（2）大写金额和小写金额不一致的，以大写金额为准。</w:t>
      </w:r>
    </w:p>
    <w:p w14:paraId="01CBFE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（3）单价金额小数点或者百分比有明显错位的，以开标一览表的总价为准，并修改单价。</w:t>
      </w:r>
    </w:p>
    <w:p w14:paraId="457665C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（4）总价金额与按单价汇总金额不一致的，以单价金额计算结果为准。</w:t>
      </w:r>
    </w:p>
    <w:p w14:paraId="1F8A064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同时出现两种以上错误的，按照前款规定的顺序修正。</w:t>
      </w:r>
    </w:p>
    <w:p w14:paraId="3B80ED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61E0A3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5" w:name="_Toc513029234"/>
      <w:bookmarkStart w:id="126" w:name="_Toc16938550"/>
      <w:bookmarkStart w:id="127" w:name="_Toc20823306"/>
      <w:r>
        <w:rPr>
          <w:rFonts w:hint="eastAsia" w:asciiTheme="minorEastAsia" w:hAnsiTheme="minorEastAsia" w:eastAsiaTheme="minorEastAsia" w:cstheme="minorEastAsia"/>
          <w:color w:val="auto"/>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5"/>
      <w:bookmarkEnd w:id="126"/>
      <w:bookmarkEnd w:id="127"/>
    </w:p>
    <w:p w14:paraId="7C0B98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5F27B53">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非单一产品采购项目，招标文件中将载明其中的核心产品。多家投标人提供的核心产品品牌相同的，按前两款规定处理。</w:t>
      </w:r>
    </w:p>
    <w:p w14:paraId="65BCD84C">
      <w:pPr>
        <w:pStyle w:val="31"/>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26.7投标人在开、评标全过程中应保持通信畅通，及时登录苏采云系统查阅、答复相关信息，并安排专人与采购代理机构及评标委员会联系。</w:t>
      </w:r>
    </w:p>
    <w:p w14:paraId="6FE65094">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27、无效投标条款和废标条款</w:t>
      </w:r>
    </w:p>
    <w:p w14:paraId="760F54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28" w:name="_Toc20823307"/>
      <w:bookmarkStart w:id="129" w:name="_Toc16938551"/>
      <w:bookmarkStart w:id="130" w:name="_Toc513029235"/>
      <w:r>
        <w:rPr>
          <w:rFonts w:hint="eastAsia" w:asciiTheme="minorEastAsia" w:hAnsiTheme="minorEastAsia" w:eastAsiaTheme="minorEastAsia" w:cstheme="minorEastAsia"/>
          <w:color w:val="auto"/>
          <w:highlight w:val="none"/>
        </w:rPr>
        <w:t>27.1无效投标条款</w:t>
      </w:r>
      <w:bookmarkEnd w:id="128"/>
      <w:bookmarkEnd w:id="129"/>
      <w:bookmarkEnd w:id="130"/>
    </w:p>
    <w:p w14:paraId="6C8870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 投标人在苏采云系统规定的时间内未成功解密电子投标文件的。</w:t>
      </w:r>
    </w:p>
    <w:p w14:paraId="63D9FF4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27.1.2 投标人未按照招标文件要求上传电子投标文件的。</w:t>
      </w:r>
    </w:p>
    <w:p w14:paraId="6FA542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27.1.3同一投标人提交两个（含两个）以上不同的投标报价的。</w:t>
      </w:r>
    </w:p>
    <w:p w14:paraId="4B0FC2C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27.1.4投标人不具备招标文件中规定资格要求的。</w:t>
      </w:r>
    </w:p>
    <w:p w14:paraId="5F40EC4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27.1.5投标人的报价超过了采购预算或最高限价的。</w:t>
      </w:r>
    </w:p>
    <w:p w14:paraId="2FBE91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27.1.6未通过符合性审查的。</w:t>
      </w:r>
    </w:p>
    <w:p w14:paraId="0B389705">
      <w:pPr>
        <w:pStyle w:val="31"/>
        <w:pageBreakBefore w:val="0"/>
        <w:widowControl w:val="0"/>
        <w:kinsoku/>
        <w:wordWrap/>
        <w:overflowPunct/>
        <w:topLinePunct w:val="0"/>
        <w:autoSpaceDE/>
        <w:autoSpaceDN/>
        <w:bidi w:val="0"/>
        <w:adjustRightInd/>
        <w:snapToGrid/>
        <w:spacing w:beforeAutospacing="0" w:afterAutospacing="0" w:line="500" w:lineRule="exact"/>
        <w:ind w:firstLine="36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27.1.7不符合招标文件中规定的实质性要求和条件的（</w:t>
      </w:r>
      <w:r>
        <w:rPr>
          <w:rFonts w:hint="eastAsia" w:asciiTheme="minorEastAsia" w:hAnsiTheme="minorEastAsia" w:eastAsiaTheme="minorEastAsia" w:cstheme="minorEastAsia"/>
          <w:i/>
          <w:color w:val="auto"/>
          <w:highlight w:val="none"/>
          <w:u w:val="single"/>
        </w:rPr>
        <w:t>本招标文件中斜体且有下划线部分为实质性要求和条件）。</w:t>
      </w:r>
    </w:p>
    <w:p w14:paraId="7E1000B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BAE5C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27.1.9投标文件含有采购人不能接受的附加条件的。</w:t>
      </w:r>
    </w:p>
    <w:p w14:paraId="4885B46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27.1.10投标人不能证明其报价合理性的，评标委员会应当将其作为无效投标处理。</w:t>
      </w:r>
    </w:p>
    <w:p w14:paraId="7655894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（一）评审过程中出现下列情形之一的，评标委员会应当启动异常低价投标审查程序：</w:t>
      </w:r>
    </w:p>
    <w:p w14:paraId="1A472D2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1.投标（响应）报价低于全部通过符合性审查供应商投标（响应）报价平均值50%的，即投标（响应）报价&lt;全部通过符合性审查供应商投标（响应）报价平均值×50%；</w:t>
      </w:r>
    </w:p>
    <w:p w14:paraId="3A31ABE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2.投标（响应）报价低于通过符合性审查的次低报价供应商投标（响应）报价50%的，即投标（响应）报价&lt;通过符合性审查的次低报价供应商投标（响应）报价×50%；</w:t>
      </w:r>
    </w:p>
    <w:p w14:paraId="6F36D60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3.投标（响应）报价低于采购项目最高限价</w:t>
      </w:r>
      <w:r>
        <w:rPr>
          <w:rFonts w:hint="eastAsia" w:asciiTheme="minorEastAsia" w:hAnsiTheme="minorEastAsia" w:cstheme="minorEastAsia"/>
          <w:b/>
          <w:bCs/>
          <w:color w:val="auto"/>
          <w:highlight w:val="none"/>
          <w:lang w:val="en-US" w:eastAsia="zh-CN"/>
        </w:rPr>
        <w:t>50</w:t>
      </w:r>
      <w:r>
        <w:rPr>
          <w:rFonts w:hint="eastAsia" w:asciiTheme="minorEastAsia" w:hAnsiTheme="minorEastAsia" w:eastAsiaTheme="minorEastAsia" w:cstheme="minorEastAsia"/>
          <w:b/>
          <w:bCs/>
          <w:color w:val="auto"/>
          <w:highlight w:val="none"/>
        </w:rPr>
        <w:t>%的，即投标（响应）报价&lt;采购项目最高限价×</w:t>
      </w:r>
      <w:r>
        <w:rPr>
          <w:rFonts w:hint="eastAsia" w:asciiTheme="minorEastAsia" w:hAnsiTheme="minorEastAsia" w:cstheme="minorEastAsia"/>
          <w:b/>
          <w:bCs/>
          <w:color w:val="auto"/>
          <w:highlight w:val="none"/>
          <w:lang w:val="en-US" w:eastAsia="zh-CN"/>
        </w:rPr>
        <w:t>50</w:t>
      </w:r>
      <w:r>
        <w:rPr>
          <w:rFonts w:hint="eastAsia" w:asciiTheme="minorEastAsia" w:hAnsiTheme="minorEastAsia" w:eastAsiaTheme="minorEastAsia" w:cstheme="minorEastAsia"/>
          <w:b/>
          <w:bCs/>
          <w:color w:val="auto"/>
          <w:highlight w:val="none"/>
        </w:rPr>
        <w:t>%；</w:t>
      </w:r>
    </w:p>
    <w:p w14:paraId="08B8BC1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4.评审委员会基于专业判断，认为供应商报价过低，有可能影响产品质量或者不能诚信履约的其他情形。</w:t>
      </w:r>
    </w:p>
    <w:p w14:paraId="4E719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u w:val="single"/>
        </w:rPr>
      </w:pPr>
      <w:r>
        <w:rPr>
          <w:rFonts w:hint="eastAsia" w:asciiTheme="minorEastAsia" w:hAnsiTheme="minorEastAsia" w:eastAsiaTheme="minorEastAsia" w:cstheme="minorEastAsia"/>
          <w:b/>
          <w:bCs/>
          <w:color w:val="auto"/>
          <w:highlight w:val="none"/>
          <w:u w:val="single"/>
        </w:rPr>
        <w:t>提醒：采购人可以结合具体项目实际情况，提高上述第1项至第3项中启动异常低价投标（响应）审查的数值标准，但是最高不得超过65%。</w:t>
      </w:r>
    </w:p>
    <w:p w14:paraId="0869DC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相关法律法规对供应商报价有规定的，从其规定。</w:t>
      </w:r>
    </w:p>
    <w:p w14:paraId="30E89FF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76DFB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3A8BB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53F5C30">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异常低价投标（响应）审查的启动原因、审查意见和审查结果应当在评审报告中记录，并随供应商提供的相关书面说明及证明材料，以及评审委员会有关互联网浏览、查询历史一并归档。</w:t>
      </w:r>
    </w:p>
    <w:p w14:paraId="67D571F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CB0FC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27.1.12 投标文件未按照招标文件要求加盖CA电子公章的。</w:t>
      </w:r>
    </w:p>
    <w:p w14:paraId="67BBB71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27.1.13其他法律、法规及本招标文件规定的属无效投标的情形。</w:t>
      </w:r>
    </w:p>
    <w:p w14:paraId="743CEAF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27.2废标条款</w:t>
      </w:r>
    </w:p>
    <w:p w14:paraId="168E89D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27.2.1符合专业条件的供应商或者对招标文件作实质响应的供应商不足三家的。</w:t>
      </w:r>
    </w:p>
    <w:p w14:paraId="1278D81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27.2.2出现影响采购公正的违法、违规行为的。</w:t>
      </w:r>
    </w:p>
    <w:p w14:paraId="5C370CE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27.2.3因重大变故，采购任务取消的。</w:t>
      </w:r>
    </w:p>
    <w:p w14:paraId="4BFD874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27.2.4评标委员会认定招标文件存在歧义、重大缺陷导致评审工作无法进行。</w:t>
      </w:r>
    </w:p>
    <w:p w14:paraId="262CCA1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27.2.5 因苏采云系统故障原因造成开标不成功的。</w:t>
      </w:r>
    </w:p>
    <w:p w14:paraId="772F097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 投标截止时间结束后参加投标的供应商不足三家的处理：</w:t>
      </w:r>
    </w:p>
    <w:p w14:paraId="6915A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27.3.1如出现投标截止时间结束后参加投标的供应商或者在评标期间对招标文件做出实质响应的供应商不足三家情况，按政府采购相关规定执行。</w:t>
      </w:r>
    </w:p>
    <w:p w14:paraId="7FFF9079">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Theme="minorEastAsia" w:hAnsiTheme="minorEastAsia" w:eastAsiaTheme="minorEastAsia" w:cstheme="minorEastAsia"/>
          <w:color w:val="auto"/>
          <w:highlight w:val="none"/>
        </w:rPr>
      </w:pPr>
      <w:bookmarkStart w:id="131" w:name="_Toc120614219"/>
      <w:r>
        <w:rPr>
          <w:rFonts w:hint="eastAsia" w:asciiTheme="minorEastAsia" w:hAnsiTheme="minorEastAsia" w:eastAsiaTheme="minorEastAsia" w:cstheme="minorEastAsia"/>
          <w:b/>
          <w:color w:val="auto"/>
          <w:highlight w:val="none"/>
        </w:rPr>
        <w:t>六、定标</w:t>
      </w:r>
      <w:bookmarkEnd w:id="131"/>
    </w:p>
    <w:p w14:paraId="72E20B3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32" w:name="_Toc20823310"/>
      <w:bookmarkStart w:id="133" w:name="_Toc16938554"/>
      <w:bookmarkStart w:id="134" w:name="_Toc513029238"/>
      <w:r>
        <w:rPr>
          <w:rFonts w:hint="eastAsia" w:asciiTheme="minorEastAsia" w:hAnsiTheme="minorEastAsia" w:eastAsiaTheme="minorEastAsia" w:cstheme="minorEastAsia"/>
          <w:color w:val="auto"/>
          <w:highlight w:val="none"/>
        </w:rPr>
        <w:t>28、</w:t>
      </w:r>
      <w:bookmarkEnd w:id="132"/>
      <w:r>
        <w:rPr>
          <w:rFonts w:hint="eastAsia" w:asciiTheme="minorEastAsia" w:hAnsiTheme="minorEastAsia" w:eastAsiaTheme="minorEastAsia" w:cstheme="minorEastAsia"/>
          <w:color w:val="auto"/>
          <w:highlight w:val="none"/>
        </w:rPr>
        <w:t>确定</w:t>
      </w:r>
      <w:bookmarkEnd w:id="133"/>
      <w:bookmarkEnd w:id="134"/>
      <w:r>
        <w:rPr>
          <w:rFonts w:hint="eastAsia" w:asciiTheme="minorEastAsia" w:hAnsiTheme="minorEastAsia" w:eastAsiaTheme="minorEastAsia" w:cstheme="minorEastAsia"/>
          <w:color w:val="auto"/>
          <w:highlight w:val="none"/>
        </w:rPr>
        <w:t>中标单位</w:t>
      </w:r>
    </w:p>
    <w:p w14:paraId="07A9517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28.1中标候选人的选取原则和数量见招标文件第五章规定。 </w:t>
      </w:r>
    </w:p>
    <w:p w14:paraId="637B44B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28.2 采购人应根据评委会推荐的中标候选人确定中标人。</w:t>
      </w:r>
    </w:p>
    <w:p w14:paraId="489DCD8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28.3 采购代理机构将在“中国政府采购网”“江苏政府采购网”“盐城市政府采购网</w:t>
      </w:r>
      <w:r>
        <w:rPr>
          <w:rFonts w:hint="eastAsia" w:asciiTheme="minorEastAsia" w:hAnsiTheme="minorEastAsia" w:eastAsiaTheme="minorEastAsia" w:cstheme="minorEastAsia"/>
          <w:color w:val="auto"/>
          <w:highlight w:val="none"/>
          <w:shd w:val="clear" w:color="auto" w:fill="FFFFFF"/>
        </w:rPr>
        <w:t>”</w:t>
      </w:r>
      <w:r>
        <w:rPr>
          <w:rFonts w:hint="eastAsia" w:asciiTheme="minorEastAsia" w:hAnsiTheme="minorEastAsia" w:eastAsiaTheme="minorEastAsia" w:cstheme="minorEastAsia"/>
          <w:color w:val="auto"/>
          <w:highlight w:val="none"/>
        </w:rPr>
        <w:t>发布中标公告，公告期限为1个工作日。</w:t>
      </w:r>
    </w:p>
    <w:p w14:paraId="2A5B467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  若有充分证据证明，中标人出现下列情况之一的，一经查实，将被取消中标资格：</w:t>
      </w:r>
    </w:p>
    <w:p w14:paraId="7F2590B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28.4.1提供虚假材料谋取中标的。</w:t>
      </w:r>
    </w:p>
    <w:p w14:paraId="3776BCE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28.4.2向采购人、采购代理机构行贿或者提供其他不正当利益的。</w:t>
      </w:r>
    </w:p>
    <w:p w14:paraId="3753B80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28.4.3属于本文件规定的无效条件，但在评标过程中又未被评委会发现的。</w:t>
      </w:r>
    </w:p>
    <w:p w14:paraId="762163B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28.4.4与采购人或者其他供应商恶意串通的。</w:t>
      </w:r>
    </w:p>
    <w:p w14:paraId="768728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28.4.5采取不正当手段诋毁、排挤其他供应商的。</w:t>
      </w:r>
    </w:p>
    <w:p w14:paraId="1B24CEF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bookmarkStart w:id="135" w:name="_Toc200451960"/>
      <w:r>
        <w:rPr>
          <w:rFonts w:hint="eastAsia" w:asciiTheme="minorEastAsia" w:hAnsiTheme="minorEastAsia" w:eastAsiaTheme="minorEastAsia" w:cstheme="minorEastAsia"/>
          <w:color w:val="auto"/>
          <w:highlight w:val="none"/>
        </w:rPr>
        <w:t>28.5. 有下列情形之一的，视为投标人串通投标，投标无效：</w:t>
      </w:r>
      <w:bookmarkEnd w:id="135"/>
    </w:p>
    <w:p w14:paraId="60E740F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28.5.1不同投标人的投标文件由同一单位或者个人编制；</w:t>
      </w:r>
    </w:p>
    <w:p w14:paraId="5441552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28.5.2不同投标人委托同一单位或者个人办理投标事宜；</w:t>
      </w:r>
    </w:p>
    <w:p w14:paraId="6B740E2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28.5.3 不同投标人的投标文件载明的项目管理成员或者联系人员为同一人；</w:t>
      </w:r>
    </w:p>
    <w:p w14:paraId="6B797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28.5.4不同投标人的投标文件异常一致或者投标报价呈规律性差异；</w:t>
      </w:r>
    </w:p>
    <w:p w14:paraId="2B35B2BB">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29、质疑处理</w:t>
      </w:r>
    </w:p>
    <w:p w14:paraId="758879E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29.1 提出质疑的供应商应当是参与所质疑项目采购活动的供应商。潜在供应商依法获取其可质疑的采购文件的，可以对采购文件提出质疑。</w:t>
      </w:r>
    </w:p>
    <w:p w14:paraId="02B7B27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28CB529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29.2.1对可以质疑的采购文件提出质疑的，为收到采购文件之日或者采购文件公告期限届满之日；</w:t>
      </w:r>
    </w:p>
    <w:p w14:paraId="1496D1F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29.2.2对采购过程提出质疑的，为各采购程序环节结束之日；</w:t>
      </w:r>
    </w:p>
    <w:p w14:paraId="237B7A7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29.2.3对中标或者成交结果提出质疑的，为中标或者成交结果公告期限届满之日。</w:t>
      </w:r>
    </w:p>
    <w:p w14:paraId="30EC97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E0DE08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1E821F06">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0672DE9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采购人及采购代理机构只接收以纸质原件形式送达的质疑,采购人和采购代理机构不接受未填写快递运单的快件。</w:t>
      </w:r>
    </w:p>
    <w:p w14:paraId="4A16CC1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 以下情形的质疑不予受理</w:t>
      </w:r>
    </w:p>
    <w:p w14:paraId="4884F1E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29.5.1 内容不符合《政府采购质疑和投诉办法》第十二条规定的质疑。</w:t>
      </w:r>
    </w:p>
    <w:p w14:paraId="21B154EB">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29.5.2 超出政府采购法定期限的质疑。</w:t>
      </w:r>
    </w:p>
    <w:p w14:paraId="4208899F">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29.5.3 以传真、电子邮件等方式递交的非原件形式的质疑。</w:t>
      </w:r>
    </w:p>
    <w:p w14:paraId="5191F387">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29.5.4 未参加投标活动的供应商或在投标活动中自身权益未受到损害的供应商所提出的质疑。</w:t>
      </w:r>
    </w:p>
    <w:p w14:paraId="1CD0D4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29.5.5供应商组成联合体参加投标，联合体中任何一方或多方未按要求签字、盖章、加盖公章的质疑。</w:t>
      </w:r>
    </w:p>
    <w:p w14:paraId="6CB804E4">
      <w:pPr>
        <w:pStyle w:val="31"/>
        <w:pageBreakBefore w:val="0"/>
        <w:widowControl w:val="0"/>
        <w:kinsoku/>
        <w:wordWrap/>
        <w:overflowPunct/>
        <w:topLinePunct w:val="0"/>
        <w:autoSpaceDE/>
        <w:autoSpaceDN/>
        <w:bidi w:val="0"/>
        <w:adjustRightInd/>
        <w:snapToGrid/>
        <w:spacing w:beforeAutospacing="0" w:afterAutospacing="0" w:line="500" w:lineRule="exact"/>
        <w:ind w:firstLine="468"/>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B4BEDD0">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30、中标通知书</w:t>
      </w:r>
    </w:p>
    <w:p w14:paraId="31D5E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b/>
          <w:color w:val="auto"/>
          <w:highlight w:val="none"/>
        </w:rPr>
        <w:t> </w:t>
      </w:r>
      <w:r>
        <w:rPr>
          <w:rFonts w:hint="eastAsia" w:asciiTheme="minorEastAsia" w:hAnsiTheme="minorEastAsia" w:eastAsiaTheme="minorEastAsia" w:cstheme="minorEastAsia"/>
          <w:color w:val="auto"/>
          <w:highlight w:val="none"/>
        </w:rPr>
        <w:t>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1DD9388">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30.2中标通知书将是合同的一个组成部分。对采购人和中标供应商均具有法律效力。中标通知书发出后，采购人改变中标结果的，或者中标供应商放弃中标项目的，应当依法承担法律责任。</w:t>
      </w:r>
    </w:p>
    <w:p w14:paraId="1D8A2D41">
      <w:pPr>
        <w:pStyle w:val="31"/>
        <w:keepNext/>
        <w:keepLines/>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36" w:name="_Toc513029236"/>
      <w:bookmarkStart w:id="137" w:name="_Toc20823308"/>
      <w:bookmarkStart w:id="138" w:name="_Toc120614220"/>
      <w:bookmarkStart w:id="139" w:name="_Toc16938552"/>
      <w:r>
        <w:rPr>
          <w:rFonts w:hint="eastAsia" w:asciiTheme="minorEastAsia" w:hAnsiTheme="minorEastAsia" w:eastAsiaTheme="minorEastAsia" w:cstheme="minorEastAsia"/>
          <w:b/>
          <w:color w:val="auto"/>
          <w:highlight w:val="none"/>
        </w:rPr>
        <w:t>七、授予合同</w:t>
      </w:r>
      <w:bookmarkEnd w:id="136"/>
      <w:bookmarkEnd w:id="137"/>
      <w:bookmarkEnd w:id="138"/>
      <w:bookmarkEnd w:id="139"/>
    </w:p>
    <w:p w14:paraId="129F2643">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bookmarkStart w:id="140" w:name="_Toc16938553"/>
      <w:bookmarkStart w:id="141" w:name="_Toc20823309"/>
      <w:bookmarkStart w:id="142" w:name="_Toc513029237"/>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签订合同</w:t>
      </w:r>
      <w:bookmarkEnd w:id="140"/>
      <w:bookmarkEnd w:id="141"/>
      <w:bookmarkEnd w:id="142"/>
    </w:p>
    <w:p w14:paraId="1CBD8A82">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w:t>
      </w:r>
      <w:r>
        <w:rPr>
          <w:rFonts w:hint="eastAsia" w:asciiTheme="minorEastAsia" w:hAnsi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中标人应当在中标通知书发出之日起三十日内，按照招标文件确定的事项与采购人签订政府采购合同。</w:t>
      </w:r>
    </w:p>
    <w:p w14:paraId="7851817E">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31.2招标文件、中标人的投标文件及招标过程中有关澄清、承诺文件均应作为合同附件。</w:t>
      </w:r>
    </w:p>
    <w:p w14:paraId="32F8BEDB">
      <w:pPr>
        <w:pStyle w:val="31"/>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31.3 签订合同后，</w:t>
      </w:r>
      <w:r>
        <w:rPr>
          <w:rFonts w:hint="eastAsia" w:asciiTheme="minorEastAsia" w:hAnsiTheme="minorEastAsia" w:eastAsiaTheme="minorEastAsia" w:cstheme="minorEastAsia"/>
          <w:i/>
          <w:color w:val="auto"/>
          <w:highlight w:val="none"/>
          <w:u w:val="single"/>
        </w:rPr>
        <w:t>中标人不得将合同标的进行转包</w:t>
      </w:r>
      <w:r>
        <w:rPr>
          <w:rFonts w:hint="eastAsia" w:asciiTheme="minorEastAsia" w:hAnsiTheme="minorEastAsia" w:eastAsiaTheme="minorEastAsia" w:cstheme="minorEastAsia"/>
          <w:color w:val="auto"/>
          <w:highlight w:val="none"/>
        </w:rPr>
        <w:t>。未经采购人同意，中标人也不得采用分包的形式履行合同，否则采购人有权终止合同。转包或分包造成采购人损失的，中标人应承担相应赔偿责任。</w:t>
      </w:r>
    </w:p>
    <w:p w14:paraId="348A930F">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60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32、货物（包含与货物相关的服务）的追加</w:t>
      </w:r>
    </w:p>
    <w:p w14:paraId="6476263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C932061">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33.政府采购政策功能落实</w:t>
      </w:r>
    </w:p>
    <w:p w14:paraId="14B9F7FA">
      <w:pPr>
        <w:pStyle w:val="31"/>
        <w:keepNext/>
        <w:keepLines/>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33.1政府采购线上合同信用融资政策</w:t>
      </w:r>
    </w:p>
    <w:p w14:paraId="2FFE93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00C990C">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33.2进口产品</w:t>
      </w:r>
    </w:p>
    <w:p w14:paraId="6C8C44D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A7BBFE">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33.3中小企业、监狱企业及残疾人福利性单位</w:t>
      </w:r>
    </w:p>
    <w:p w14:paraId="1AF5A79A">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33.3.1中小企业定义：</w:t>
      </w:r>
    </w:p>
    <w:p w14:paraId="3B7C6F4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A292C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33.3.2供应商提供的货物、工程或者服务符合下列情形的，享受中小企业扶持政策：</w:t>
      </w:r>
    </w:p>
    <w:p w14:paraId="6614C77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33.3.2.1在货物采购项目中，货物由中小企业制造，即货物由中小企业生产且使用该中小企业商号或者注册商标；</w:t>
      </w:r>
    </w:p>
    <w:p w14:paraId="4A68829E">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33.3.2.2在工程采购项目中，工程由中小企业承建，即工程施工单位为中小企业；</w:t>
      </w:r>
    </w:p>
    <w:p w14:paraId="0A35511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33.3.2.3在服务采购项目中，服务由中小企业承接，即提供服务的人员为中小企业依照《中华人民共和国劳动合同法》订立劳动合同的从业人员。</w:t>
      </w:r>
    </w:p>
    <w:p w14:paraId="5437D09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33.3.3在货物采购项目中，供应商提供的货物既有中小企业制造货物，也有大型企业制造货物的，不享受中小企业扶持政策。</w:t>
      </w:r>
    </w:p>
    <w:p w14:paraId="03EF36A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33.3.4以联合体形式参加政府采购活动，联合体各方均为中小企业的，联合体视同中小企业。其中，联合体各方均为小微企业的，联合体视同小微企业。</w:t>
      </w:r>
    </w:p>
    <w:p w14:paraId="5A1251E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36B75A">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33.3.6残疾人福利单位定义：享受政府采购支持政策的残疾人福利性单位应当同时满足以下条件：</w:t>
      </w:r>
    </w:p>
    <w:p w14:paraId="379372D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33.3.6.1安置的残疾人占本单位在职职工人数的比例不低于25%（含25%），并且安置的残疾人人数不少于10 人（含10 人）；</w:t>
      </w:r>
    </w:p>
    <w:p w14:paraId="611DC8AD">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33.3.6.2依法与安置的每位残疾人签订了一年以上（含一年）的劳动合同或服务协议；</w:t>
      </w:r>
    </w:p>
    <w:p w14:paraId="7C624A64">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33.3.6.3为安置的每位残疾人按月足额缴纳了基本养老保险、基本医疗保险、失业保险、工伤保险和生育保险等社会保险费；</w:t>
      </w:r>
    </w:p>
    <w:p w14:paraId="10165395">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33.3.6.4通过银行等金融机构向安置的每位残疾人，按月支付了不低于单位所在区县适用的经省级人民政府批准的月最低工资标准的工资；</w:t>
      </w:r>
    </w:p>
    <w:p w14:paraId="13458AD3">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33.3.6.5提供本单位制造的货物、承担的工程或者服务（以下简称产品），或者提供其他残疾人福利性单位制造的货物（不包括使用非残疾人福利性单位注册商标的货物）；</w:t>
      </w:r>
    </w:p>
    <w:p w14:paraId="2894F89C">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8034242">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33.3.7本项目是否专门面向中小企业预留采购份额见第一章《招标公告》。</w:t>
      </w:r>
    </w:p>
    <w:p w14:paraId="1F38EB59">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33.3.8采购标的对应的中小企业划分标准所属行业见第四章《采购需求》。</w:t>
      </w:r>
    </w:p>
    <w:p w14:paraId="3989B1D8">
      <w:pPr>
        <w:pStyle w:val="31"/>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33.3.9小微企业价格评审优惠的政策：见第五章《评标方法和评标标准》。</w:t>
      </w:r>
    </w:p>
    <w:p w14:paraId="02EEEAD1">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33.4政府采购节能产品、环境标志产品</w:t>
      </w:r>
    </w:p>
    <w:p w14:paraId="754B6898">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7A9AC167">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8D01605">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33.5绿色包装</w:t>
      </w:r>
    </w:p>
    <w:p w14:paraId="270DE2B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CBD6C1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33.6政府采购创新产品</w:t>
      </w:r>
    </w:p>
    <w:p w14:paraId="61F9B5BF">
      <w:pPr>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00" w:lineRule="exact"/>
        <w:ind w:firstLine="478"/>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采购人优先采购各级政府部门公开发布的有效期内的创新产品、创新服务、首台套、首购首用等《目录》的创新产品。</w:t>
      </w:r>
    </w:p>
    <w:p w14:paraId="7EE32869">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33.7绿色数据中心政策 </w:t>
      </w:r>
    </w:p>
    <w:p w14:paraId="09C7730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90B5FD0">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33.8实施本国产品标准及相关政策</w:t>
      </w:r>
    </w:p>
    <w:p w14:paraId="1A7645C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1.本项目对采购本国产品给予政策支持，具体内容见招标文件“第五章 评标方法与评标标准”。</w:t>
      </w:r>
    </w:p>
    <w:p w14:paraId="372CD4C9">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57B355D">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260701">
      <w:pPr>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auto"/>
          <w:sz w:val="24"/>
          <w:highlight w:val="none"/>
          <w:u w:val="single"/>
        </w:rPr>
        <w:t>故，如供应商所提供产品为本国产品的，应当对其提供的产品出具《关于符合本国产品标准的声明函》（以下简称《声明函》），不出具《声明函》的，不享受政府采购对本国产品的支持政策。</w:t>
      </w:r>
    </w:p>
    <w:p w14:paraId="7FF541F7">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33.9履约保证金政策</w:t>
      </w:r>
    </w:p>
    <w:p w14:paraId="4C9E518D">
      <w:pPr>
        <w:pStyle w:val="74"/>
        <w:pageBreakBefore w:val="0"/>
        <w:widowControl w:val="0"/>
        <w:kinsoku/>
        <w:wordWrap/>
        <w:overflowPunct/>
        <w:topLinePunct w:val="0"/>
        <w:autoSpaceDE/>
        <w:autoSpaceDN/>
        <w:bidi w:val="0"/>
        <w:adjustRightInd/>
        <w:snapToGrid/>
        <w:spacing w:after="0" w:line="500" w:lineRule="exact"/>
        <w:ind w:left="0" w:firstLine="56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确需收取履约保证金的，履约保证金的缴纳形式：</w:t>
      </w:r>
    </w:p>
    <w:p w14:paraId="469842EF">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A5C55F4">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如以履约保函（保险）形式缴纳履约保证金，供应商可通过政府采购电子履约保函（保险）平台（www.jsdzbh.com）在线申请履约保函（保险）。</w:t>
      </w:r>
    </w:p>
    <w:p w14:paraId="4E90585C">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p>
    <w:p w14:paraId="0F6CE1A0">
      <w:pPr>
        <w:pageBreakBefore w:val="0"/>
        <w:widowControl w:val="0"/>
        <w:tabs>
          <w:tab w:val="left" w:pos="1381"/>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34. 预付款制度</w:t>
      </w:r>
    </w:p>
    <w:p w14:paraId="4B2E57A0">
      <w:pPr>
        <w:pageBreakBefore w:val="0"/>
        <w:widowControl w:val="0"/>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本项目落实预付款制度，预付款比例为</w:t>
      </w:r>
      <w:r>
        <w:rPr>
          <w:rFonts w:hint="eastAsia" w:asciiTheme="minorEastAsia" w:hAnsiTheme="minorEastAsia" w:eastAsiaTheme="minorEastAsia" w:cstheme="minorEastAsia"/>
          <w:color w:val="auto"/>
          <w:sz w:val="24"/>
          <w:highlight w:val="none"/>
          <w:u w:val="single"/>
        </w:rPr>
        <w:t>30</w:t>
      </w:r>
      <w:r>
        <w:rPr>
          <w:rFonts w:hint="eastAsia" w:asciiTheme="minorEastAsia" w:hAnsiTheme="minorEastAsia" w:eastAsiaTheme="minorEastAsia" w:cstheme="minorEastAsia"/>
          <w:color w:val="auto"/>
          <w:sz w:val="24"/>
          <w:highlight w:val="none"/>
        </w:rPr>
        <w:t>%。在签订合同时，中标、成交供应商明确书面表示无需预付款或者主动要求降低预付款比例的，采购人可就预付款比例作相应调整。</w:t>
      </w:r>
    </w:p>
    <w:p w14:paraId="2E9CCEBE">
      <w:pPr>
        <w:widowControl/>
        <w:spacing w:line="360" w:lineRule="auto"/>
        <w:jc w:val="center"/>
        <w:rPr>
          <w:rFonts w:hint="eastAsia" w:asciiTheme="minorEastAsia" w:hAnsiTheme="minorEastAsia" w:eastAsiaTheme="minorEastAsia" w:cstheme="minorEastAsia"/>
          <w:color w:val="auto"/>
          <w:sz w:val="36"/>
          <w:szCs w:val="44"/>
          <w:highlight w:val="none"/>
        </w:rPr>
      </w:pPr>
    </w:p>
    <w:p w14:paraId="7642E027">
      <w:pPr>
        <w:tabs>
          <w:tab w:val="left" w:pos="7017"/>
        </w:tabs>
        <w:rPr>
          <w:rFonts w:hint="eastAsia" w:asciiTheme="minorEastAsia" w:hAnsiTheme="minorEastAsia" w:eastAsiaTheme="minorEastAsia" w:cstheme="minorEastAsia"/>
          <w:color w:val="auto"/>
          <w:sz w:val="36"/>
          <w:szCs w:val="44"/>
          <w:highlight w:val="none"/>
          <w:lang w:eastAsia="zh-CN"/>
        </w:rPr>
      </w:pPr>
      <w:r>
        <w:rPr>
          <w:rFonts w:hint="eastAsia" w:asciiTheme="minorEastAsia" w:hAnsiTheme="minorEastAsia" w:eastAsiaTheme="minorEastAsia" w:cstheme="minorEastAsia"/>
          <w:color w:val="auto"/>
          <w:sz w:val="36"/>
          <w:szCs w:val="44"/>
          <w:highlight w:val="none"/>
        </w:rPr>
        <w:br w:type="page"/>
      </w:r>
      <w:r>
        <w:rPr>
          <w:rFonts w:hint="eastAsia" w:asciiTheme="minorEastAsia" w:hAnsiTheme="minorEastAsia" w:eastAsiaTheme="minorEastAsia" w:cstheme="minorEastAsia"/>
          <w:color w:val="auto"/>
          <w:sz w:val="36"/>
          <w:szCs w:val="44"/>
          <w:highlight w:val="none"/>
          <w:lang w:eastAsia="zh-CN"/>
        </w:rPr>
        <w:tab/>
      </w:r>
    </w:p>
    <w:p w14:paraId="7CFB2C22">
      <w:pPr>
        <w:widowControl/>
        <w:spacing w:line="360" w:lineRule="auto"/>
        <w:jc w:val="center"/>
        <w:rPr>
          <w:rFonts w:hint="eastAsia" w:asciiTheme="minorEastAsia" w:hAnsiTheme="minorEastAsia" w:eastAsiaTheme="minorEastAsia" w:cstheme="minorEastAsia"/>
          <w:b/>
          <w:color w:val="auto"/>
          <w:sz w:val="48"/>
          <w:szCs w:val="44"/>
          <w:highlight w:val="none"/>
        </w:rPr>
      </w:pPr>
      <w:r>
        <w:rPr>
          <w:rFonts w:hint="eastAsia" w:asciiTheme="minorEastAsia" w:hAnsiTheme="minorEastAsia" w:eastAsiaTheme="minorEastAsia" w:cstheme="minorEastAsia"/>
          <w:b/>
          <w:color w:val="auto"/>
          <w:sz w:val="48"/>
          <w:szCs w:val="44"/>
          <w:highlight w:val="none"/>
        </w:rPr>
        <w:t>第三章  合同条款</w:t>
      </w:r>
    </w:p>
    <w:p w14:paraId="6B9BF242">
      <w:pPr>
        <w:spacing w:line="500" w:lineRule="exact"/>
        <w:jc w:val="center"/>
        <w:rPr>
          <w:rFonts w:hint="eastAsia" w:asciiTheme="minorEastAsia" w:hAnsiTheme="minorEastAsia" w:eastAsiaTheme="minorEastAsia" w:cstheme="minorEastAsia"/>
          <w:b/>
          <w:color w:val="auto"/>
          <w:sz w:val="30"/>
          <w:szCs w:val="30"/>
          <w:highlight w:val="none"/>
        </w:rPr>
      </w:pPr>
      <w:bookmarkStart w:id="143" w:name="EB6d2006462e294de090c16e672cecc3bd"/>
      <w:bookmarkEnd w:id="143"/>
      <w:r>
        <w:rPr>
          <w:rFonts w:hint="eastAsia" w:asciiTheme="minorEastAsia" w:hAnsiTheme="minorEastAsia" w:eastAsiaTheme="minorEastAsia" w:cstheme="minorEastAsia"/>
          <w:b/>
          <w:color w:val="auto"/>
          <w:sz w:val="30"/>
          <w:szCs w:val="30"/>
          <w:highlight w:val="none"/>
          <w:lang w:bidi="ar"/>
        </w:rPr>
        <w:t>政府采购合同</w:t>
      </w:r>
    </w:p>
    <w:p w14:paraId="7DCB834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p>
    <w:p w14:paraId="0E0B10F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根据《中华人民共和国民法典》等相关法律法规之规定，按照平等、自愿、公平和诚实信用的原则，经</w:t>
      </w:r>
      <w:r>
        <w:rPr>
          <w:rFonts w:hint="eastAsia" w:asciiTheme="minorEastAsia" w:hAnsiTheme="minorEastAsia" w:cstheme="minorEastAsia"/>
          <w:color w:val="auto"/>
          <w:sz w:val="24"/>
          <w:szCs w:val="24"/>
          <w:highlight w:val="none"/>
          <w:u w:val="single"/>
          <w:lang w:eastAsia="zh-CN"/>
        </w:rPr>
        <w:t>盐城市盐都区楼王镇人民政府</w:t>
      </w:r>
      <w:r>
        <w:rPr>
          <w:rFonts w:hint="eastAsia" w:asciiTheme="minorEastAsia" w:hAnsiTheme="minorEastAsia" w:cstheme="minorEastAsia"/>
          <w:color w:val="auto"/>
          <w:sz w:val="24"/>
          <w:szCs w:val="24"/>
          <w:highlight w:val="none"/>
          <w:lang w:eastAsia="zh-CN"/>
        </w:rPr>
        <w:t>(以下简称：甲方)和</w:t>
      </w:r>
      <w:r>
        <w:rPr>
          <w:rFonts w:hint="eastAsia" w:asciiTheme="minorEastAsia" w:hAnsiTheme="minorEastAsia" w:cstheme="minorEastAsia"/>
          <w:color w:val="auto"/>
          <w:sz w:val="24"/>
          <w:szCs w:val="24"/>
          <w:highlight w:val="none"/>
          <w:u w:val="single"/>
          <w:lang w:eastAsia="zh-CN"/>
        </w:rPr>
        <w:t>（中标人名称）</w:t>
      </w:r>
      <w:r>
        <w:rPr>
          <w:rFonts w:hint="eastAsia" w:asciiTheme="minorEastAsia" w:hAnsiTheme="minorEastAsia" w:cstheme="minorEastAsia"/>
          <w:color w:val="auto"/>
          <w:sz w:val="24"/>
          <w:szCs w:val="24"/>
          <w:highlight w:val="none"/>
          <w:lang w:eastAsia="zh-CN"/>
        </w:rPr>
        <w:t xml:space="preserve"> (以下简称：乙方)协商一致，约定以下合同条款，以兹共同遵守、全面履行。 </w:t>
      </w:r>
    </w:p>
    <w:p w14:paraId="09E7D731">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 xml:space="preserve">项目编号：JSZC-320903-ZFDL-G2026-0014  </w:t>
      </w:r>
    </w:p>
    <w:p w14:paraId="3D989609">
      <w:pPr>
        <w:pStyle w:val="65"/>
        <w:widowControl/>
        <w:spacing w:line="500" w:lineRule="exact"/>
        <w:ind w:firstLine="482"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项目名称：盐都区楼王镇第二轮土地承包到期后再延长30年技术服务项目</w:t>
      </w:r>
    </w:p>
    <w:p w14:paraId="56C4487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cstheme="minorEastAsia"/>
          <w:color w:val="auto"/>
          <w:sz w:val="24"/>
          <w:szCs w:val="24"/>
          <w:highlight w:val="none"/>
          <w:lang w:eastAsia="zh-CN"/>
        </w:rPr>
        <w:t xml:space="preserve">                    </w:t>
      </w:r>
    </w:p>
    <w:p w14:paraId="149330A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乙方</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cstheme="minorEastAsia"/>
          <w:color w:val="auto"/>
          <w:sz w:val="24"/>
          <w:szCs w:val="24"/>
          <w:highlight w:val="none"/>
          <w:lang w:eastAsia="zh-CN"/>
        </w:rPr>
        <w:t xml:space="preserve">              </w:t>
      </w:r>
    </w:p>
    <w:p w14:paraId="59D67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甲、乙双方根据盐都区楼王镇第二轮土地承包到期后再延长30年技术服务项目公开招标的结果，签署本合同。</w:t>
      </w:r>
    </w:p>
    <w:p w14:paraId="6F83D11B">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第一条 采购内容</w:t>
      </w:r>
    </w:p>
    <w:p w14:paraId="65E912A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1、项目名称：盐都区楼王镇第二轮土地承包到期后再延长30年技术服务项目  </w:t>
      </w:r>
    </w:p>
    <w:p w14:paraId="193F5F20">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2、服务内容：成立机构、摸底核实、制定方案、开展调查、审核公示、签订合同、整理网签系统表格、汇交不动产颁证数据、档案整理等。</w:t>
      </w:r>
    </w:p>
    <w:p w14:paraId="0FAB72E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3、服务范围：盐都区楼王镇第二轮土地承包到期后再延长30年技术服务</w:t>
      </w:r>
    </w:p>
    <w:p w14:paraId="1B8D634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4、服务周期：</w:t>
      </w:r>
      <w:r>
        <w:rPr>
          <w:rFonts w:hint="eastAsia" w:asciiTheme="minorEastAsia" w:hAnsiTheme="minorEastAsia" w:cstheme="minorEastAsia"/>
          <w:color w:val="auto"/>
          <w:sz w:val="24"/>
          <w:szCs w:val="24"/>
          <w:highlight w:val="none"/>
          <w:lang w:val="en-US" w:eastAsia="zh-CN"/>
        </w:rPr>
        <w:t>120天</w:t>
      </w:r>
      <w:r>
        <w:rPr>
          <w:rFonts w:hint="eastAsia" w:asciiTheme="minorEastAsia" w:hAnsiTheme="minorEastAsia" w:cstheme="minorEastAsia"/>
          <w:color w:val="auto"/>
          <w:sz w:val="24"/>
          <w:szCs w:val="24"/>
          <w:highlight w:val="none"/>
          <w:lang w:eastAsia="zh-CN"/>
        </w:rPr>
        <w:t>（且在2027年3月底前完成）</w:t>
      </w:r>
    </w:p>
    <w:p w14:paraId="210B2A76">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第二条 合同总价款</w:t>
      </w:r>
    </w:p>
    <w:p w14:paraId="47628C0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 xml:space="preserve">本合同总价款为人民币 </w:t>
      </w:r>
      <w:r>
        <w:rPr>
          <w:rFonts w:hint="eastAsia" w:asciiTheme="minorEastAsia" w:hAnsiTheme="minorEastAsia" w:cstheme="minorEastAsia"/>
          <w:color w:val="auto"/>
          <w:sz w:val="24"/>
          <w:szCs w:val="24"/>
          <w:highlight w:val="none"/>
          <w:u w:val="single"/>
          <w:lang w:eastAsia="zh-CN"/>
        </w:rPr>
        <w:t>¥      元</w:t>
      </w:r>
      <w:r>
        <w:rPr>
          <w:rFonts w:hint="eastAsia" w:asciiTheme="minorEastAsia" w:hAnsiTheme="minorEastAsia" w:cstheme="minorEastAsia"/>
          <w:color w:val="auto"/>
          <w:sz w:val="24"/>
          <w:szCs w:val="24"/>
          <w:highlight w:val="none"/>
          <w:lang w:eastAsia="zh-CN"/>
        </w:rPr>
        <w:t>（小写），</w:t>
      </w:r>
      <w:r>
        <w:rPr>
          <w:rFonts w:hint="eastAsia" w:asciiTheme="minorEastAsia" w:hAnsiTheme="minorEastAsia" w:cstheme="minorEastAsia"/>
          <w:color w:val="auto"/>
          <w:sz w:val="24"/>
          <w:szCs w:val="24"/>
          <w:highlight w:val="none"/>
          <w:u w:val="single"/>
          <w:lang w:eastAsia="zh-CN"/>
        </w:rPr>
        <w:t xml:space="preserve">      </w:t>
      </w:r>
      <w:r>
        <w:rPr>
          <w:rFonts w:hint="eastAsia" w:asciiTheme="minorEastAsia" w:hAnsiTheme="minorEastAsia" w:cstheme="minorEastAsia"/>
          <w:color w:val="auto"/>
          <w:sz w:val="24"/>
          <w:szCs w:val="24"/>
          <w:highlight w:val="none"/>
          <w:lang w:eastAsia="zh-CN"/>
        </w:rPr>
        <w:t>（大写）。</w:t>
      </w:r>
    </w:p>
    <w:p w14:paraId="3E49692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本合同服务期限内合同总价款不变。</w:t>
      </w:r>
    </w:p>
    <w:p w14:paraId="6657B517">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第三条 组成本合同的有关文件</w:t>
      </w:r>
    </w:p>
    <w:p w14:paraId="7FAFEE2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下列与本次采购活动相适应的文件及有关附件是本合同不可分割的组成部分，与本合同具有同等法律效力，这些文件包括但不限于：</w:t>
      </w:r>
    </w:p>
    <w:p w14:paraId="5EEA64A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（1）招标文件；</w:t>
      </w:r>
    </w:p>
    <w:p w14:paraId="3124D19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（2）投标文件；</w:t>
      </w:r>
    </w:p>
    <w:p w14:paraId="185D455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（3）中标通知书；</w:t>
      </w:r>
    </w:p>
    <w:p w14:paraId="151635E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（4）中标人在投标、评标过程中所作其它有关承诺、声明、书面澄清；</w:t>
      </w:r>
    </w:p>
    <w:p w14:paraId="53D68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（5）甲乙双方商定的其他文件等。</w:t>
      </w:r>
    </w:p>
    <w:p w14:paraId="1F75BE38">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第四条 权利保证</w:t>
      </w:r>
    </w:p>
    <w:p w14:paraId="539DEEF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乙方应保证甲方在合同履行期限内不受第三方提出侵犯其专利权、版权、商标权或其他权利的起诉。一旦出现侵权，乙方应承担全部责任。</w:t>
      </w:r>
    </w:p>
    <w:p w14:paraId="67D95B5B">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第五条 付款方式</w:t>
      </w:r>
    </w:p>
    <w:p w14:paraId="6C189ED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1、合同签订时，甲方支付合同总价的30%作为项目预付款。</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如乙方自愿放弃预付款或者降低预付款比例的，按乙方承诺执行</w:t>
      </w:r>
      <w:r>
        <w:rPr>
          <w:rFonts w:hint="eastAsia" w:hAnsi="宋体" w:eastAsia="宋体" w:cs="宋体"/>
          <w:color w:val="auto"/>
          <w:sz w:val="24"/>
          <w:szCs w:val="24"/>
          <w:highlight w:val="none"/>
          <w:lang w:eastAsia="zh-CN"/>
        </w:rPr>
        <w:t>）。</w:t>
      </w:r>
      <w:bookmarkStart w:id="156" w:name="_GoBack"/>
      <w:bookmarkEnd w:id="156"/>
    </w:p>
    <w:p w14:paraId="38D9798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2、完成成立机构、摸底核实、制定方案、开展调查、审核公示、签订合同工作，且延包合同网签率达95%后，甲方向乙方支付合同总价的60%。</w:t>
      </w:r>
    </w:p>
    <w:p w14:paraId="4073230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3、完成后期档案整理归档工作，经甲方验收合格后付清合同尾款。</w:t>
      </w:r>
    </w:p>
    <w:p w14:paraId="3373A83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（备注：对满足合同支付条件的，采购人应当自收到发票后30日内支付资金。）</w:t>
      </w:r>
    </w:p>
    <w:p w14:paraId="63E526E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第六条 履约保证金</w:t>
      </w:r>
    </w:p>
    <w:p w14:paraId="6B7362BD">
      <w:pPr>
        <w:pStyle w:val="65"/>
        <w:widowControl/>
        <w:spacing w:line="500" w:lineRule="exact"/>
        <w:ind w:firstLine="480" w:firstLineChars="200"/>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1、乙方交纳人民币_________元作为本合同的履约保证金。（备注：履约保证金金额为合同金额的10%，采购人对第三方信用服务机构依据标准规范评定为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5814E73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2、确需收取履约保证金的，履约保证金的缴纳形式：</w:t>
      </w:r>
    </w:p>
    <w:p w14:paraId="03F4C6C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56D0DC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2.2 如以履约保函（保险）形式缴纳履约保证金，供应商可通过政府采购电子履约保函（保险）平台（www.jsdzbh.com）在线申请履约保函（保险）。</w:t>
      </w:r>
    </w:p>
    <w:p w14:paraId="34F2D1E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3、合同履行结束后，甲方应及时退还交纳的履约保证金。</w:t>
      </w:r>
    </w:p>
    <w:p w14:paraId="2641F5E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4、履约保证金的退还：</w:t>
      </w:r>
    </w:p>
    <w:p w14:paraId="38D99A8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4.1方式：无息退还至投标响应人缴纳履约保证金的账户。如为保函，在到期时自行失效。</w:t>
      </w:r>
    </w:p>
    <w:p w14:paraId="5AEFE2C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4.2时间：验收合格且采购人收到发票后30日内。</w:t>
      </w:r>
    </w:p>
    <w:p w14:paraId="48BB552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4.3条件：按合同要求全部履约完成并经采购人验收合格，且采购人收到中标人出具的发票。</w:t>
      </w:r>
    </w:p>
    <w:p w14:paraId="4F88467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4.4不予退还情形：</w:t>
      </w:r>
    </w:p>
    <w:p w14:paraId="67BF6EA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除不可抗力情况外，投标响应人出现下列情形之一的，其履约保证金，采购人将视情节决定不予退还或部分不予退还。</w:t>
      </w:r>
    </w:p>
    <w:p w14:paraId="492B739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（1）中标人无正当理由拒绝签订合同的，或者在签订合同时向采购人提出附加条件或者更改合同实质性内容要求的；</w:t>
      </w:r>
    </w:p>
    <w:p w14:paraId="69873EA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（2）中标人不履行与采购人订立的合同的；</w:t>
      </w:r>
    </w:p>
    <w:p w14:paraId="2F21C72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（3）中标人所供货物或服务不符合招标文件规定要求的；</w:t>
      </w:r>
    </w:p>
    <w:p w14:paraId="7A84559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（4）中标人采取欺骗、弄虚作假方式投标的或与其它投标响应人串通投标的；</w:t>
      </w:r>
    </w:p>
    <w:p w14:paraId="33B84B3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（5）中标人将合同内容转包、违法分包的；</w:t>
      </w:r>
    </w:p>
    <w:p w14:paraId="51A1A9C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（6）中标人故意捏造事实或伪造证明材料，进行虚假恶意投诉或反映的。</w:t>
      </w:r>
    </w:p>
    <w:p w14:paraId="0C1CF81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4.5逾期退还的违约责任：采购人逾期无故未退还履约保证金的，按中国人民银行同期贷款基准利率上浮20%后的利率支付超期资金占用费，但因供应商自身原因导致无法及时退还的除外。</w:t>
      </w:r>
    </w:p>
    <w:p w14:paraId="051C7D8D">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第七条 双方的权利和义务</w:t>
      </w:r>
    </w:p>
    <w:p w14:paraId="10B1438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甲方权利义务：</w:t>
      </w:r>
    </w:p>
    <w:p w14:paraId="6057EB32">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1、甲方有权随时向乙方了解项目进度并要求乙方提供项目相关资料。</w:t>
      </w:r>
    </w:p>
    <w:p w14:paraId="076FAFF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p>
    <w:p w14:paraId="67A5724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3、甲方应及时向乙方提供与履行本合同相关的所有必须的文件、资料。</w:t>
      </w:r>
    </w:p>
    <w:p w14:paraId="1A729AC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4、甲方应为乙方在合同履行过程中与相关政府部门及其他第三方的沟通、协调提供必要的协助。</w:t>
      </w:r>
    </w:p>
    <w:p w14:paraId="7353EAE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乙方权利义务：</w:t>
      </w:r>
    </w:p>
    <w:p w14:paraId="3382C0C0">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1、乙方有权按照本合同约定向甲方收取费用。</w:t>
      </w:r>
    </w:p>
    <w:p w14:paraId="37D8B89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2、履行本合同所需的文件、资料由乙方自行向相关部门收集，所发生的相关费用由乙方承担，甲方配合乙方做好相关协调工作。</w:t>
      </w:r>
    </w:p>
    <w:p w14:paraId="44EEBD8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3、乙方应接受并配合甲方或甲方组织的对本合同履行情况的监督与检查，对于甲方指出的问题，应及时作出合理解释或予以纠正。</w:t>
      </w:r>
    </w:p>
    <w:p w14:paraId="190E389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4、本合同到期后，如有需乙方配合的，乙方有义务予以协助。</w:t>
      </w:r>
    </w:p>
    <w:p w14:paraId="231066A3">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第八条 违约责任</w:t>
      </w:r>
    </w:p>
    <w:p w14:paraId="443D49F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1、乙方采用转包、</w:t>
      </w:r>
      <w:r>
        <w:rPr>
          <w:rFonts w:hint="eastAsia" w:asciiTheme="minorEastAsia" w:hAnsiTheme="minorEastAsia" w:cstheme="minorEastAsia"/>
          <w:color w:val="auto"/>
          <w:sz w:val="24"/>
          <w:szCs w:val="24"/>
          <w:highlight w:val="none"/>
          <w:lang w:val="en-US" w:eastAsia="zh-CN"/>
        </w:rPr>
        <w:t>违法</w:t>
      </w:r>
      <w:r>
        <w:rPr>
          <w:rFonts w:hint="eastAsia" w:asciiTheme="minorEastAsia" w:hAnsiTheme="minorEastAsia" w:cstheme="minorEastAsia"/>
          <w:color w:val="auto"/>
          <w:sz w:val="24"/>
          <w:szCs w:val="24"/>
          <w:highlight w:val="none"/>
          <w:lang w:eastAsia="zh-CN"/>
        </w:rPr>
        <w:t>分包的形式履行合同的，甲方有权中止或终止合同，由此给甲方造成损失的，由乙方承担赔偿责任，并按相关规定进行处罚，直至建议有关部门吊销资质证书。</w:t>
      </w:r>
    </w:p>
    <w:p w14:paraId="14542D7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乙方逾期完成工作和提交成果的，除不可抗力外，每逾期1日，甲方有权按照合同金额的0.1%作为违约金，在支付乙方的款项中扣除相应金额；逾期超过30日的，甲方有权中止或终止合同，由于乙方责任造成的项目违约，没收乙方全部履约保证金，并扣除合同金额的20%作为违约金。</w:t>
      </w:r>
    </w:p>
    <w:p w14:paraId="041579B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3、乙方在项目实施过程中，因作风不实、工作效率低下、调查成果质量差等原因，影响调查工作的，甲方有权酌情处置。性质严重的，将被列为不诚信单位并上报市、省行政主管部门。</w:t>
      </w:r>
    </w:p>
    <w:p w14:paraId="2D698D2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第九条 验收条款</w:t>
      </w:r>
    </w:p>
    <w:p w14:paraId="30F579B2">
      <w:pPr>
        <w:pStyle w:val="65"/>
        <w:widowControl/>
        <w:spacing w:line="500" w:lineRule="exact"/>
        <w:ind w:firstLine="482" w:firstLineChars="200"/>
        <w:rPr>
          <w:rFonts w:hint="default" w:asciiTheme="minorEastAsia" w:hAnsiTheme="minorEastAsia" w:cstheme="minorEastAsia"/>
          <w:b/>
          <w:bCs/>
          <w:color w:val="auto"/>
          <w:sz w:val="24"/>
          <w:szCs w:val="24"/>
          <w:highlight w:val="none"/>
          <w:lang w:val="en-US" w:eastAsia="zh-CN"/>
        </w:rPr>
      </w:pPr>
    </w:p>
    <w:p w14:paraId="417C55C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验收依据为本合同、招标文件、投标文件及国家、行业相关技术规范。分为阶段性核查和最终竣工验收。</w:t>
      </w:r>
    </w:p>
    <w:p w14:paraId="07E93A95">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cstheme="minorEastAsia"/>
          <w:color w:val="auto"/>
          <w:sz w:val="24"/>
          <w:szCs w:val="24"/>
          <w:highlight w:val="none"/>
          <w:lang w:eastAsia="zh-CN"/>
        </w:rPr>
        <w:t>乙方全部服务完成后提交完整成果及验收申请，甲方组织竣工验收，核查外业测绘、数据库、延包合同、纸质及电子档案、数据汇交移交、培训驻场服务等全部内容。</w:t>
      </w:r>
    </w:p>
    <w:p w14:paraId="3E22387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cstheme="minorEastAsia"/>
          <w:color w:val="auto"/>
          <w:sz w:val="24"/>
          <w:szCs w:val="24"/>
          <w:highlight w:val="none"/>
          <w:lang w:eastAsia="zh-CN"/>
        </w:rPr>
        <w:t>验收不合格，乙方须限期无偿整改；两次整改仍不合格，按合同违约条款处理。</w:t>
      </w:r>
    </w:p>
    <w:p w14:paraId="16FE3A8E">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w:t>
      </w:r>
      <w:r>
        <w:rPr>
          <w:rFonts w:hint="eastAsia" w:asciiTheme="minorEastAsia" w:hAnsiTheme="minorEastAsia" w:cstheme="minorEastAsia"/>
          <w:b/>
          <w:bCs/>
          <w:color w:val="auto"/>
          <w:sz w:val="24"/>
          <w:szCs w:val="24"/>
          <w:highlight w:val="none"/>
          <w:lang w:val="en-US" w:eastAsia="zh-CN"/>
        </w:rPr>
        <w:t>十</w:t>
      </w:r>
      <w:r>
        <w:rPr>
          <w:rFonts w:hint="eastAsia" w:asciiTheme="minorEastAsia" w:hAnsiTheme="minorEastAsia" w:cstheme="minorEastAsia"/>
          <w:b/>
          <w:bCs/>
          <w:color w:val="auto"/>
          <w:sz w:val="24"/>
          <w:szCs w:val="24"/>
          <w:highlight w:val="none"/>
          <w:lang w:eastAsia="zh-CN"/>
        </w:rPr>
        <w:t>条 不可抗力</w:t>
      </w:r>
    </w:p>
    <w:p w14:paraId="6370528D">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1、不可抗力，是指不能预见、不能避免并不能克服的客观情况，如战争、动乱、瘟疫、严重火灾、洪水、地震、风暴或其他自然灾害等。</w:t>
      </w:r>
    </w:p>
    <w:p w14:paraId="132FE8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6A6977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3、发生不可抗力事件，任何一方均不对因不可抗力无法履行或迟延履行本合同义务而使另一方蒙受的任何损失承担责任，法律另有规定的除外。</w:t>
      </w:r>
    </w:p>
    <w:p w14:paraId="5DA073E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4、合同各方应根据不可抗力对本合同履行的影响程度，协商确定是否终止本合同或是继续履行本合同。</w:t>
      </w:r>
    </w:p>
    <w:p w14:paraId="3F2EBF81">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一</w:t>
      </w:r>
      <w:r>
        <w:rPr>
          <w:rFonts w:hint="eastAsia" w:asciiTheme="minorEastAsia" w:hAnsiTheme="minorEastAsia" w:cstheme="minorEastAsia"/>
          <w:b/>
          <w:bCs/>
          <w:color w:val="auto"/>
          <w:sz w:val="24"/>
          <w:szCs w:val="24"/>
          <w:highlight w:val="none"/>
          <w:lang w:eastAsia="zh-CN"/>
        </w:rPr>
        <w:t>条 合同的变更和终止</w:t>
      </w:r>
    </w:p>
    <w:p w14:paraId="3EB8EFE2">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1、除《中华人民共和国政府采购法》第五十条规定的情形外，本合同一经签订，甲乙双方不得擅自变更、中止或终止合同。</w:t>
      </w:r>
    </w:p>
    <w:p w14:paraId="6077322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2、除发生法律规定的不能预见、不能避免并不能克服的客观情况外，甲乙双方不得放弃或拒绝履行合同。</w:t>
      </w:r>
    </w:p>
    <w:p w14:paraId="7BC44F64">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二</w:t>
      </w:r>
      <w:r>
        <w:rPr>
          <w:rFonts w:hint="eastAsia" w:asciiTheme="minorEastAsia" w:hAnsiTheme="minorEastAsia" w:cstheme="minorEastAsia"/>
          <w:b/>
          <w:bCs/>
          <w:color w:val="auto"/>
          <w:sz w:val="24"/>
          <w:szCs w:val="24"/>
          <w:highlight w:val="none"/>
          <w:lang w:eastAsia="zh-CN"/>
        </w:rPr>
        <w:t>条 合同的终止</w:t>
      </w:r>
    </w:p>
    <w:p w14:paraId="297FB2F9">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本合同因下列原因而终止：</w:t>
      </w:r>
    </w:p>
    <w:p w14:paraId="1BC38EA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（1）本合同正常履行完毕；</w:t>
      </w:r>
    </w:p>
    <w:p w14:paraId="2E9B009E">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（2）因不可抗力导致本合同无法履行或履行不必要；</w:t>
      </w:r>
    </w:p>
    <w:p w14:paraId="212A0A7C">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（3）任何一方行使解除权解除本合同；</w:t>
      </w:r>
    </w:p>
    <w:p w14:paraId="3F5164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（4）合同的继续履行将损害国家利益和社会公共利益。</w:t>
      </w:r>
    </w:p>
    <w:p w14:paraId="47C1FA8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除上述情形外，甲乙双方不得擅自终止合同。</w:t>
      </w:r>
    </w:p>
    <w:p w14:paraId="556100A3">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cstheme="minorEastAsia"/>
          <w:b/>
          <w:bCs/>
          <w:color w:val="auto"/>
          <w:sz w:val="24"/>
          <w:szCs w:val="24"/>
          <w:highlight w:val="none"/>
          <w:lang w:eastAsia="zh-CN"/>
        </w:rPr>
        <w:t>条 争议的解决</w:t>
      </w:r>
    </w:p>
    <w:p w14:paraId="7BAEFF04">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因履行本合同引起的或与本合同有关的争议，甲、乙双方应首先通过友好协商解决，如果协商不能解决争议，则向甲方所在地有管辖权的人民法院提起诉讼。</w:t>
      </w:r>
    </w:p>
    <w:p w14:paraId="24556559">
      <w:pPr>
        <w:pStyle w:val="65"/>
        <w:widowControl/>
        <w:spacing w:line="500" w:lineRule="exact"/>
        <w:ind w:firstLine="482" w:firstLineChars="200"/>
        <w:rPr>
          <w:rFonts w:hint="eastAsia"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lang w:eastAsia="zh-CN"/>
        </w:rPr>
        <w:t>第十</w:t>
      </w:r>
      <w:r>
        <w:rPr>
          <w:rFonts w:hint="eastAsia" w:asciiTheme="minorEastAsia" w:hAnsiTheme="minorEastAsia" w:cstheme="minorEastAsia"/>
          <w:b/>
          <w:bCs/>
          <w:color w:val="auto"/>
          <w:sz w:val="24"/>
          <w:szCs w:val="24"/>
          <w:highlight w:val="none"/>
          <w:lang w:val="en-US" w:eastAsia="zh-CN"/>
        </w:rPr>
        <w:t>四</w:t>
      </w:r>
      <w:r>
        <w:rPr>
          <w:rFonts w:hint="eastAsia" w:asciiTheme="minorEastAsia" w:hAnsiTheme="minorEastAsia" w:cstheme="minorEastAsia"/>
          <w:b/>
          <w:bCs/>
          <w:color w:val="auto"/>
          <w:sz w:val="24"/>
          <w:szCs w:val="24"/>
          <w:highlight w:val="none"/>
          <w:lang w:eastAsia="zh-CN"/>
        </w:rPr>
        <w:t>条 合同生效及其他</w:t>
      </w:r>
    </w:p>
    <w:p w14:paraId="0E7DA33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1、本合同由甲乙双方签字、盖章后生效。</w:t>
      </w:r>
    </w:p>
    <w:p w14:paraId="09F2B48B">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2、本合同一式陆份，甲方、乙方各执叁份。</w:t>
      </w:r>
    </w:p>
    <w:p w14:paraId="746F8B7F">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3、本合同应按照中华人民共和国的现行法律进行解释。</w:t>
      </w:r>
    </w:p>
    <w:p w14:paraId="123AE186">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4、约定事项：在合同履行过程中对标的物的质量发生争议时，以质量技术监督部门鉴定结果为准。</w:t>
      </w:r>
    </w:p>
    <w:p w14:paraId="254343F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p>
    <w:p w14:paraId="4E4DD593">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甲方（盖章）：                  乙方（盖章）：</w:t>
      </w:r>
    </w:p>
    <w:p w14:paraId="3EBA40EA">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法定代表人或委托代理人：        法定代表人或委托代理人：</w:t>
      </w:r>
    </w:p>
    <w:p w14:paraId="6923A2E7">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单位地址：                      单位地址：</w:t>
      </w:r>
    </w:p>
    <w:p w14:paraId="7C5D80F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联系电话：                      联系电话：</w:t>
      </w:r>
    </w:p>
    <w:p w14:paraId="0D00EFF1">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开户银行：</w:t>
      </w:r>
    </w:p>
    <w:p w14:paraId="2498A478">
      <w:pPr>
        <w:pStyle w:val="65"/>
        <w:widowControl/>
        <w:spacing w:line="500" w:lineRule="exact"/>
        <w:ind w:firstLine="480" w:firstLineChars="200"/>
        <w:rPr>
          <w:rFonts w:hint="eastAsia" w:asciiTheme="minorEastAsia" w:hAnsi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银行账号：</w:t>
      </w:r>
    </w:p>
    <w:p w14:paraId="5F30FB54">
      <w:pPr>
        <w:pStyle w:val="65"/>
        <w:widowControl/>
        <w:spacing w:line="500" w:lineRule="exact"/>
        <w:jc w:val="right"/>
        <w:rPr>
          <w:rFonts w:hint="eastAsia" w:asciiTheme="minorEastAsia" w:hAnsiTheme="minorEastAsia" w:cstheme="minorEastAsia"/>
          <w:color w:val="auto"/>
          <w:sz w:val="24"/>
          <w:szCs w:val="24"/>
          <w:highlight w:val="none"/>
          <w:lang w:eastAsia="zh-CN"/>
        </w:rPr>
      </w:pPr>
    </w:p>
    <w:p w14:paraId="442F0B37">
      <w:pPr>
        <w:pStyle w:val="65"/>
        <w:widowControl/>
        <w:spacing w:line="500" w:lineRule="exact"/>
        <w:jc w:val="righ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eastAsia="zh-CN"/>
        </w:rPr>
        <w:t>签订日期：   年    月    日</w:t>
      </w:r>
    </w:p>
    <w:p w14:paraId="0FBA46A0">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p>
    <w:p w14:paraId="479A07EC">
      <w:pPr>
        <w:pStyle w:val="31"/>
        <w:spacing w:before="120" w:beforeAutospacing="0" w:after="120" w:afterAutospacing="0" w:line="0" w:lineRule="atLeast"/>
        <w:jc w:val="cente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 </w:t>
      </w:r>
    </w:p>
    <w:p w14:paraId="3D356807">
      <w:pPr>
        <w:widowControl/>
        <w:jc w:val="left"/>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2F47D371">
      <w:pPr>
        <w:pStyle w:val="31"/>
        <w:spacing w:before="120" w:beforeAutospacing="0" w:after="12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第四章 采购需求</w:t>
      </w:r>
    </w:p>
    <w:p w14:paraId="744C7D05">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bookmarkStart w:id="144" w:name="_Toc26554093"/>
      <w:bookmarkStart w:id="145" w:name="_Toc49090575"/>
    </w:p>
    <w:p w14:paraId="7443B5C7">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项目属性:</w:t>
      </w:r>
      <w:r>
        <w:rPr>
          <w:rFonts w:hint="eastAsia" w:asciiTheme="minorEastAsia" w:hAnsiTheme="minorEastAsia" w:eastAsia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类项目。</w:t>
      </w:r>
      <w:bookmarkEnd w:id="144"/>
      <w:bookmarkEnd w:id="145"/>
    </w:p>
    <w:p w14:paraId="4EB5FC71">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p>
    <w:p w14:paraId="16F1A3B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一、项目基本要求：</w:t>
      </w:r>
    </w:p>
    <w:p w14:paraId="6FED95DA">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rPr>
        <w:t>1、项目名称：</w:t>
      </w:r>
      <w:r>
        <w:rPr>
          <w:rFonts w:hint="eastAsia" w:asciiTheme="minorEastAsia" w:hAnsiTheme="minorEastAsia" w:cstheme="minorEastAsia"/>
          <w:bCs/>
          <w:color w:val="auto"/>
          <w:highlight w:val="none"/>
          <w:lang w:eastAsia="zh-CN"/>
        </w:rPr>
        <w:t>盐都区楼王镇第二轮土地承包到期后再延长30年技术服务项目</w:t>
      </w:r>
    </w:p>
    <w:p w14:paraId="1BBA7FD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2、预算金额：</w:t>
      </w:r>
      <w:r>
        <w:rPr>
          <w:rFonts w:hint="eastAsia" w:asciiTheme="minorEastAsia" w:hAnsiTheme="minorEastAsia" w:cstheme="minorEastAsia"/>
          <w:bCs/>
          <w:color w:val="auto"/>
          <w:highlight w:val="none"/>
          <w:lang w:val="en-US" w:eastAsia="zh-CN"/>
        </w:rPr>
        <w:t>137.1525万</w:t>
      </w:r>
      <w:r>
        <w:rPr>
          <w:rFonts w:hint="eastAsia" w:asciiTheme="minorEastAsia" w:hAnsiTheme="minorEastAsia" w:eastAsiaTheme="minorEastAsia" w:cstheme="minorEastAsia"/>
          <w:bCs/>
          <w:color w:val="auto"/>
          <w:highlight w:val="none"/>
        </w:rPr>
        <w:t>元</w:t>
      </w:r>
    </w:p>
    <w:p w14:paraId="322ED35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lang w:val="en-US" w:eastAsia="zh-CN"/>
        </w:rPr>
      </w:pPr>
      <w:r>
        <w:rPr>
          <w:rFonts w:hint="eastAsia" w:asciiTheme="minorEastAsia" w:hAnsiTheme="minorEastAsia" w:eastAsiaTheme="minorEastAsia" w:cstheme="minorEastAsia"/>
          <w:bCs/>
          <w:color w:val="auto"/>
          <w:highlight w:val="none"/>
        </w:rPr>
        <w:t>3、最高限价：</w:t>
      </w:r>
      <w:r>
        <w:rPr>
          <w:rFonts w:hint="eastAsia" w:asciiTheme="minorEastAsia" w:hAnsiTheme="minorEastAsia" w:cstheme="minorEastAsia"/>
          <w:bCs/>
          <w:color w:val="auto"/>
          <w:highlight w:val="none"/>
          <w:lang w:val="en-US" w:eastAsia="zh-CN"/>
        </w:rPr>
        <w:t>137.1525万</w:t>
      </w:r>
      <w:r>
        <w:rPr>
          <w:rFonts w:hint="eastAsia" w:asciiTheme="minorEastAsia" w:hAnsiTheme="minorEastAsia" w:eastAsiaTheme="minorEastAsia" w:cstheme="minorEastAsia"/>
          <w:bCs/>
          <w:color w:val="auto"/>
          <w:highlight w:val="none"/>
        </w:rPr>
        <w:t>元</w:t>
      </w:r>
      <w:r>
        <w:rPr>
          <w:rFonts w:hint="eastAsia" w:asciiTheme="minorEastAsia" w:hAnsiTheme="minorEastAsia" w:eastAsiaTheme="minorEastAsia" w:cstheme="minorEastAsia"/>
          <w:color w:val="auto"/>
          <w:highlight w:val="none"/>
          <w:lang w:val="en-US" w:eastAsia="zh-CN"/>
        </w:rPr>
        <w:t>。</w:t>
      </w:r>
      <w:r>
        <w:rPr>
          <w:rFonts w:hint="eastAsia" w:asciiTheme="minorEastAsia" w:hAnsiTheme="minorEastAsia" w:eastAsiaTheme="minorEastAsia" w:cstheme="minorEastAsia"/>
          <w:color w:val="auto"/>
          <w:highlight w:val="none"/>
        </w:rPr>
        <w:t>报价超过最高限价的为无效报价，按照无效响应处理</w:t>
      </w:r>
      <w:r>
        <w:rPr>
          <w:rFonts w:hint="eastAsia" w:asciiTheme="minorEastAsia" w:hAnsiTheme="minorEastAsia" w:cstheme="minorEastAsia"/>
          <w:color w:val="auto"/>
          <w:highlight w:val="none"/>
          <w:lang w:eastAsia="zh-CN"/>
        </w:rPr>
        <w:t>。</w:t>
      </w:r>
    </w:p>
    <w:p w14:paraId="462D673C">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4、采购内容：</w:t>
      </w:r>
      <w:r>
        <w:rPr>
          <w:rFonts w:hint="eastAsia" w:asciiTheme="minorEastAsia" w:hAnsiTheme="minorEastAsia" w:cstheme="minorEastAsia"/>
          <w:bCs/>
          <w:color w:val="auto"/>
          <w:highlight w:val="none"/>
          <w:lang w:eastAsia="zh-CN"/>
        </w:rPr>
        <w:t>根据二轮承包及土地确权成果数据，楼王镇2028年度二轮承包全部到期。本轮延包需完成将楼王镇承包地现状信息全部摸清，包括但不限于发包方信息（发包方名称、组织机构代码等）、承包方信息（含户主、家庭成员姓名、身份证号、成员关系等）、地块信息（含地块空间位置、四至、面积、对应权属、耕地质量等级、土地用途等）；全面解决土地确权时遗留的历史问题；指导并协助乡镇、村组完成延包合同签订工作；提供完整延包成果数据交予不动产登记管理部门，协助采购人参与数据移交共享工作；本项目采购包含：楼王镇本轮延包涉及到行政村（社区）28个，承包户约18287户</w:t>
      </w:r>
      <w:r>
        <w:rPr>
          <w:rFonts w:hint="eastAsia" w:asciiTheme="minorEastAsia" w:hAnsiTheme="minorEastAsia" w:eastAsiaTheme="minorEastAsia" w:cstheme="minorEastAsia"/>
          <w:bCs/>
          <w:color w:val="auto"/>
          <w:highlight w:val="none"/>
        </w:rPr>
        <w:t>。</w:t>
      </w:r>
    </w:p>
    <w:p w14:paraId="0952330F">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5、合同履行期限（服务期）：</w:t>
      </w:r>
      <w:r>
        <w:rPr>
          <w:rFonts w:hint="eastAsia" w:asciiTheme="minorEastAsia" w:hAnsiTheme="minorEastAsia" w:cstheme="minorEastAsia"/>
          <w:bCs/>
          <w:color w:val="auto"/>
          <w:highlight w:val="none"/>
          <w:lang w:val="en-US" w:eastAsia="zh-CN"/>
        </w:rPr>
        <w:t>120</w:t>
      </w:r>
      <w:r>
        <w:rPr>
          <w:rFonts w:hint="eastAsia" w:asciiTheme="minorEastAsia" w:hAnsiTheme="minorEastAsia" w:eastAsiaTheme="minorEastAsia" w:cstheme="minorEastAsia"/>
          <w:bCs/>
          <w:color w:val="auto"/>
          <w:highlight w:val="none"/>
        </w:rPr>
        <w:t>天（且在2027年3月底前完成）。</w:t>
      </w:r>
    </w:p>
    <w:p w14:paraId="1D549A14">
      <w:pPr>
        <w:pStyle w:val="31"/>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Cs/>
          <w:color w:val="auto"/>
          <w:highlight w:val="none"/>
        </w:rPr>
        <w:t>6、质量要求：合格且符合采购人要求。</w:t>
      </w:r>
    </w:p>
    <w:p w14:paraId="791A07ED">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rPr>
        <w:t>二、</w:t>
      </w:r>
      <w:r>
        <w:rPr>
          <w:rFonts w:hint="eastAsia" w:asciiTheme="minorEastAsia" w:hAnsiTheme="minorEastAsia" w:cstheme="minorEastAsia"/>
          <w:b/>
          <w:color w:val="auto"/>
          <w:sz w:val="24"/>
          <w:highlight w:val="none"/>
          <w:lang w:val="en-US" w:eastAsia="zh-CN"/>
        </w:rPr>
        <w:t>项目要求</w:t>
      </w:r>
    </w:p>
    <w:p w14:paraId="0D2E11C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1、项目背景</w:t>
      </w:r>
    </w:p>
    <w:p w14:paraId="54B7120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2023年中央一号文件提出，研究制定第二轮土地承包到期后再延长30年试点工作指导意见。这是继 2022年底在中央农村工作会议上习近平总书记强调“扎实做好承包期再延长30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期后再延长30年试点工作的意见》精神，根据省、市委部署，决定在盐城市进一步扩大试点范围。</w:t>
      </w:r>
    </w:p>
    <w:p w14:paraId="7C1FF56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2、指导思想</w:t>
      </w:r>
    </w:p>
    <w:p w14:paraId="7D9191E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以习近平新时代中国特色社会主义思想为指导，认真落实党中央、国务院推进土地制度改革、做好土地承包管理工作的决策部署，坚持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p>
    <w:p w14:paraId="77EDF55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3、基本原则</w:t>
      </w:r>
    </w:p>
    <w:p w14:paraId="0AF0549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一是把握政策界限。坚持农村土地集体所有，坚持家庭承包经营基础性地位，坚持土地承包关系稳定并长久不变，坚持延包原则，不得打乱重分。</w:t>
      </w:r>
    </w:p>
    <w:p w14:paraId="52135DB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农民集体在法律政策范围内通过民主协商自主调节利益关系，充分发挥农民主动性和创造性，依靠农民解决好自己最关心最现实的利益问题。</w:t>
      </w:r>
    </w:p>
    <w:p w14:paraId="1F0178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p>
    <w:p w14:paraId="41ABBB1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4、项目依据</w:t>
      </w:r>
    </w:p>
    <w:p w14:paraId="72D2C17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4.1《国土资源部、中央农村工作领导小组办公室、财政部、农业部关于农村集体土地确权登记发证的若干意见》（国土资发[2011]178 号）；</w:t>
      </w:r>
    </w:p>
    <w:p w14:paraId="7D643D8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4.2《农村土地承包合同管理办法》（农业农村部令 2023 年第 1 号）；</w:t>
      </w:r>
    </w:p>
    <w:p w14:paraId="1B472BD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4.3《农村土地承包经营权调查规程》NY/T 2537-2014；</w:t>
      </w:r>
    </w:p>
    <w:p w14:paraId="19F206A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4.4《农村土地承包经营权要素编码规则》NY/T 2538-2014；</w:t>
      </w:r>
    </w:p>
    <w:p w14:paraId="360C1A7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4.5《农村土地承包经营权确权登记数据库规范》NY/T 2539-2016；</w:t>
      </w:r>
    </w:p>
    <w:p w14:paraId="1A06434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4.6《地籍调查规程》（GB/T 42547-2023）；</w:t>
      </w:r>
    </w:p>
    <w:p w14:paraId="0897172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4.7《土地利用现状分类》（GB/T 21010-2017）；</w:t>
      </w:r>
    </w:p>
    <w:p w14:paraId="1788987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4.8《国家土地管理局关于确定土地所有权和使用权的若干规定》（[1995]国土[籍]字第 26号）；</w:t>
      </w:r>
    </w:p>
    <w:p w14:paraId="31ED76E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4.9《城镇地籍数据库标准》（TD/T 1015-2007）；</w:t>
      </w:r>
    </w:p>
    <w:p w14:paraId="45A4EBE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4.10《宗地代码编制规则（试行）》；</w:t>
      </w:r>
    </w:p>
    <w:p w14:paraId="298D3D5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4.11《中华人民共和国行政区域代码》（GB/T 2260-2007）；</w:t>
      </w:r>
    </w:p>
    <w:p w14:paraId="350DABD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4.12《国家三、四等水准测量规范》（GB/T12898-2009）；</w:t>
      </w:r>
    </w:p>
    <w:p w14:paraId="4DADE84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4.13《卫星定位城市测量技术规范》（CJJ/T73-2010）；</w:t>
      </w:r>
    </w:p>
    <w:p w14:paraId="268F2A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4.14《1：500、1：1000、1：2000 地形图图式》（GB/T 20257.1—2017）；</w:t>
      </w:r>
    </w:p>
    <w:p w14:paraId="0BAEA27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4.15《国家基本比例尺地形图分幅和编号》（GB/T 13989-2012）；</w:t>
      </w:r>
    </w:p>
    <w:p w14:paraId="3DA60E5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4.16《全球定位系统实时动态测量（RTK）技术规范》（CH/T 2009-2010）；</w:t>
      </w:r>
    </w:p>
    <w:p w14:paraId="7AD6F17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4.17《测绘成果质量检查与验收》（GB/T 24356-2023）；</w:t>
      </w:r>
    </w:p>
    <w:p w14:paraId="552D822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4.18《数字测绘成果质量检查与验收》（GB/T18316-2008）；</w:t>
      </w:r>
    </w:p>
    <w:p w14:paraId="6493C35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4.19《不动产登记暂行条例实施细则》（国土资源部令第 63 号）；</w:t>
      </w:r>
    </w:p>
    <w:p w14:paraId="2113562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4.20《土地登记档案卷内文件排列顺序》；</w:t>
      </w:r>
    </w:p>
    <w:p w14:paraId="3BF0475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4.21《不动产权籍调查技术方案》；</w:t>
      </w:r>
    </w:p>
    <w:p w14:paraId="7FD55AD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4.22《农村土地承包经营权确权登记颁证成果检查验收办法》（试行）；</w:t>
      </w:r>
    </w:p>
    <w:p w14:paraId="06C428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4.23《农业部关于做好农村土地承包经营权信息应用平台建设工作的通知》（农经发〔2016〕10 号）；</w:t>
      </w:r>
    </w:p>
    <w:p w14:paraId="7CA78A1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4.24《农业农村部办公厅关于加强农村土地承包经营合同管理的通知》；</w:t>
      </w:r>
    </w:p>
    <w:p w14:paraId="6AB252C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4.25《第二轮土地承包到期后再延长 30 年试点工作规程(试行)》（农办政改〔2023〕7 号）；</w:t>
      </w:r>
    </w:p>
    <w:p w14:paraId="4F19581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4.26《自然资源部 农业农村部关于做好不动产统一登记与土地承包合同管理工作有序衔接的通知》（自然资发〔2022〕157 号）</w:t>
      </w:r>
    </w:p>
    <w:p w14:paraId="633C73A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4.27《中共中央、国务院关于保持土地承包关系稳定并长久不变的意见》。</w:t>
      </w:r>
    </w:p>
    <w:p w14:paraId="1B28518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4.28《关于做好第二轮土地承包到期后再延长30年试点工作的意见》。</w:t>
      </w:r>
    </w:p>
    <w:p w14:paraId="4EFEBF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4.29《关于做好2025年第二轮土地承包到期后再延长30年试点工作的通知》（盐城市农业农村局）。</w:t>
      </w:r>
    </w:p>
    <w:p w14:paraId="5DA6A4C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5、项目内容</w:t>
      </w:r>
    </w:p>
    <w:tbl>
      <w:tblPr>
        <w:tblStyle w:val="34"/>
        <w:tblW w:w="8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35"/>
        <w:gridCol w:w="1608"/>
        <w:gridCol w:w="3936"/>
        <w:gridCol w:w="1284"/>
      </w:tblGrid>
      <w:tr w14:paraId="2A6A9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0113B593">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工作程序</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5165A9E">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对应第三方技术服务工作</w:t>
            </w:r>
          </w:p>
        </w:tc>
        <w:tc>
          <w:tcPr>
            <w:tcW w:w="3936" w:type="dxa"/>
            <w:tcBorders>
              <w:top w:val="single" w:color="000000" w:sz="4" w:space="0"/>
              <w:left w:val="single" w:color="000000" w:sz="4" w:space="0"/>
              <w:bottom w:val="single" w:color="000000" w:sz="4" w:space="0"/>
              <w:right w:val="single" w:color="000000" w:sz="4" w:space="0"/>
            </w:tcBorders>
            <w:noWrap/>
            <w:vAlign w:val="center"/>
          </w:tcPr>
          <w:p w14:paraId="2E183E47">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工作描述</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732A8300">
            <w:pPr>
              <w:widowControl/>
              <w:spacing w:line="24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备注</w:t>
            </w:r>
          </w:p>
        </w:tc>
      </w:tr>
      <w:tr w14:paraId="1DFD8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2A102366">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成立机构</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107137B8">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4F5F66D">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由本农村集体经济组织成员的村民会议依法 选举产生延包工作小组。根据上级要求制定村组延包工作计划，明确时间节点、工作步骤等。</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08A85E65">
            <w:pPr>
              <w:widowControl/>
              <w:spacing w:line="240" w:lineRule="auto"/>
              <w:jc w:val="center"/>
              <w:textAlignment w:val="center"/>
              <w:rPr>
                <w:rFonts w:hint="eastAsia" w:ascii="宋体" w:hAnsi="宋体" w:eastAsia="宋体" w:cs="宋体"/>
                <w:color w:val="auto"/>
                <w:sz w:val="24"/>
                <w:szCs w:val="24"/>
                <w:highlight w:val="none"/>
              </w:rPr>
            </w:pPr>
          </w:p>
        </w:tc>
      </w:tr>
      <w:tr w14:paraId="13B25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2DBDC15B">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宣传培训</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4557CF25">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38BD29CA">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宣传动员对象为参与第二轮农村土地承包到期后延长30年工作的乡镇、村组工作人员和农户。由业主方统一部署，组织多次宣传动员大会，让乡镇村组工作人员认识到延包工作的重要性。</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2D59A68B">
            <w:pPr>
              <w:widowControl/>
              <w:spacing w:line="240" w:lineRule="auto"/>
              <w:jc w:val="center"/>
              <w:textAlignment w:val="center"/>
              <w:rPr>
                <w:rFonts w:hint="eastAsia" w:ascii="宋体" w:hAnsi="宋体" w:eastAsia="宋体" w:cs="宋体"/>
                <w:color w:val="auto"/>
                <w:sz w:val="24"/>
                <w:szCs w:val="24"/>
                <w:highlight w:val="none"/>
              </w:rPr>
            </w:pPr>
          </w:p>
        </w:tc>
      </w:tr>
      <w:tr w14:paraId="568DC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3B05323B">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摸底核实</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386DB96B">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村级摸底调查</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062A4B2D">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按原确权数据，整理出全镇（街道）摸底基础数据，并以村组为单位出具电子版摸底表（承包方调查表及按组汇总表），培训并指导村组工作人员开展延包摸底调查。</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6ADD1543">
            <w:pPr>
              <w:widowControl/>
              <w:spacing w:line="240" w:lineRule="auto"/>
              <w:jc w:val="center"/>
              <w:textAlignment w:val="center"/>
              <w:rPr>
                <w:rFonts w:hint="eastAsia" w:ascii="宋体" w:hAnsi="宋体" w:eastAsia="宋体" w:cs="宋体"/>
                <w:color w:val="auto"/>
                <w:sz w:val="24"/>
                <w:szCs w:val="24"/>
                <w:highlight w:val="none"/>
              </w:rPr>
            </w:pPr>
          </w:p>
        </w:tc>
      </w:tr>
      <w:tr w14:paraId="0B50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1E15F7E">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研判认定</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18DFD809">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协助摸底</w:t>
            </w:r>
          </w:p>
          <w:p w14:paraId="5FD4A81B">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研判分析</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87F2B02">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分析摸底核实问题，做好成员身份认定。</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4E3416">
            <w:pPr>
              <w:widowControl/>
              <w:spacing w:line="240" w:lineRule="auto"/>
              <w:textAlignment w:val="center"/>
              <w:rPr>
                <w:rFonts w:hint="eastAsia" w:ascii="宋体" w:hAnsi="宋体" w:eastAsia="宋体" w:cs="宋体"/>
                <w:b/>
                <w:bCs/>
                <w:color w:val="auto"/>
                <w:sz w:val="24"/>
                <w:szCs w:val="24"/>
                <w:highlight w:val="none"/>
              </w:rPr>
            </w:pPr>
          </w:p>
        </w:tc>
      </w:tr>
      <w:tr w14:paraId="06FD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68C4C5F">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制定方案</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0D59E72A">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547B899E">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按照法律、法规规定拟定延包方案,明确重大 问题处置意见,在所涉集体经济组织范围内张榜公示,期限不少于</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天。 公示结束后,延包方案应当依法经本集体经济组织成员的 村民会议三分之二以上成员或者三分之二以上村民代表同意,并上报人民政府和盐都区农业农村部门。</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2BB68A">
            <w:pPr>
              <w:widowControl/>
              <w:spacing w:line="240" w:lineRule="auto"/>
              <w:textAlignment w:val="center"/>
              <w:rPr>
                <w:rFonts w:hint="eastAsia" w:ascii="宋体" w:hAnsi="宋体" w:eastAsia="宋体" w:cs="宋体"/>
                <w:b/>
                <w:bCs/>
                <w:color w:val="auto"/>
                <w:sz w:val="24"/>
                <w:szCs w:val="24"/>
                <w:highlight w:val="none"/>
              </w:rPr>
            </w:pPr>
          </w:p>
        </w:tc>
      </w:tr>
      <w:tr w14:paraId="68932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0D00A987">
            <w:pPr>
              <w:widowControl/>
              <w:spacing w:line="240" w:lineRule="auto"/>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通过方案</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47B9586">
            <w:pPr>
              <w:widowControl/>
              <w:spacing w:line="240" w:lineRule="auto"/>
              <w:jc w:val="center"/>
              <w:textAlignment w:val="center"/>
              <w:rPr>
                <w:rFonts w:hint="eastAsia" w:ascii="宋体" w:hAnsi="宋体" w:eastAsia="宋体" w:cs="宋体"/>
                <w:color w:val="auto"/>
                <w:kern w:val="0"/>
                <w:sz w:val="24"/>
                <w:szCs w:val="24"/>
                <w:highlight w:val="none"/>
                <w:lang w:bidi="ar"/>
              </w:rPr>
            </w:pP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1F6D55D1">
            <w:pPr>
              <w:widowControl/>
              <w:spacing w:line="240" w:lineRule="auto"/>
              <w:jc w:val="left"/>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人民政府和盐都区农业农村部门审核村组工作方案。</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15B9E20E">
            <w:pPr>
              <w:widowControl/>
              <w:spacing w:line="240" w:lineRule="auto"/>
              <w:textAlignment w:val="center"/>
              <w:rPr>
                <w:rFonts w:hint="eastAsia" w:ascii="宋体" w:hAnsi="宋体" w:eastAsia="宋体" w:cs="宋体"/>
                <w:b/>
                <w:bCs/>
                <w:color w:val="auto"/>
                <w:sz w:val="24"/>
                <w:szCs w:val="24"/>
                <w:highlight w:val="none"/>
              </w:rPr>
            </w:pPr>
          </w:p>
        </w:tc>
      </w:tr>
      <w:tr w14:paraId="39F9F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vMerge w:val="restart"/>
            <w:tcBorders>
              <w:top w:val="single" w:color="000000" w:sz="4" w:space="0"/>
              <w:left w:val="single" w:color="000000" w:sz="4" w:space="0"/>
              <w:bottom w:val="single" w:color="000000" w:sz="4" w:space="0"/>
              <w:right w:val="single" w:color="000000" w:sz="4" w:space="0"/>
            </w:tcBorders>
            <w:noWrap/>
            <w:vAlign w:val="center"/>
          </w:tcPr>
          <w:p w14:paraId="50A30E45">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开展调查</w:t>
            </w: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326E7399">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延包测绘调查</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457DEA8">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根据摸底情况汇总统计需调查测绘的地块信息，安排外业补充测绘，并按原确权要求处理相关测绘数据。</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5B4021F4">
            <w:pPr>
              <w:widowControl/>
              <w:spacing w:line="240" w:lineRule="auto"/>
              <w:textAlignment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本次延包测绘费用包含在总价中，不再单独计算</w:t>
            </w:r>
          </w:p>
        </w:tc>
      </w:tr>
      <w:tr w14:paraId="351D0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1435" w:type="dxa"/>
            <w:vMerge w:val="continue"/>
            <w:tcBorders>
              <w:left w:val="single" w:color="000000" w:sz="4" w:space="0"/>
              <w:right w:val="single" w:color="000000" w:sz="4" w:space="0"/>
            </w:tcBorders>
            <w:noWrap/>
            <w:vAlign w:val="center"/>
          </w:tcPr>
          <w:p w14:paraId="5467CF8A">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0803CFE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延包数据处理</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2A49118A">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结合摸底数据、延包测绘数据、延包方案处理最终延包数据，并以村为单位制作成质检无错误的汇交包，接入到全国承包地合同网签系统，收集村级签章材料并提交系统申请村级电子签章。</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7CC91159">
            <w:pPr>
              <w:widowControl/>
              <w:spacing w:line="240" w:lineRule="auto"/>
              <w:jc w:val="center"/>
              <w:textAlignment w:val="center"/>
              <w:rPr>
                <w:rFonts w:hint="eastAsia" w:ascii="宋体" w:hAnsi="宋体" w:eastAsia="宋体" w:cs="宋体"/>
                <w:b w:val="0"/>
                <w:bCs w:val="0"/>
                <w:color w:val="auto"/>
                <w:sz w:val="24"/>
                <w:szCs w:val="24"/>
                <w:highlight w:val="none"/>
              </w:rPr>
            </w:pPr>
          </w:p>
        </w:tc>
      </w:tr>
      <w:tr w14:paraId="07C51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0" w:hRule="atLeast"/>
          <w:jc w:val="center"/>
        </w:trPr>
        <w:tc>
          <w:tcPr>
            <w:tcW w:w="1435" w:type="dxa"/>
            <w:tcBorders>
              <w:top w:val="single" w:color="000000" w:sz="4" w:space="0"/>
              <w:left w:val="single" w:color="000000" w:sz="4" w:space="0"/>
              <w:bottom w:val="single" w:color="000000" w:sz="4" w:space="0"/>
              <w:right w:val="single" w:color="000000" w:sz="4" w:space="0"/>
            </w:tcBorders>
            <w:noWrap/>
            <w:vAlign w:val="center"/>
          </w:tcPr>
          <w:p w14:paraId="40807D89">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审核公示</w:t>
            </w: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3E32F71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公示培训及现</w:t>
            </w:r>
            <w:r>
              <w:rPr>
                <w:rFonts w:hint="eastAsia" w:ascii="宋体" w:hAnsi="宋体" w:eastAsia="宋体" w:cs="宋体"/>
                <w:color w:val="auto"/>
                <w:kern w:val="0"/>
                <w:sz w:val="24"/>
                <w:szCs w:val="24"/>
                <w:highlight w:val="none"/>
                <w:lang w:bidi="ar"/>
              </w:rPr>
              <w:br w:type="textWrapping"/>
            </w:r>
            <w:r>
              <w:rPr>
                <w:rFonts w:hint="eastAsia" w:ascii="宋体" w:hAnsi="宋体" w:eastAsia="宋体" w:cs="宋体"/>
                <w:color w:val="auto"/>
                <w:kern w:val="0"/>
                <w:sz w:val="24"/>
                <w:szCs w:val="24"/>
                <w:highlight w:val="none"/>
                <w:lang w:bidi="ar"/>
              </w:rPr>
              <w:t>场驻点技术服务</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67E7E3A7">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利用微信小程序、或线下公示表，培训、指导并协助村组顺利开展延包公示工作，在公示过程中若有信息变动的，协助村组在承包地网签系统完善并修改相关内容（2-4人驻场约2个月，确保每村每周至少有2天驻村培训）。</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0105112A">
            <w:pPr>
              <w:widowControl/>
              <w:spacing w:line="240" w:lineRule="auto"/>
              <w:jc w:val="center"/>
              <w:textAlignment w:val="center"/>
              <w:rPr>
                <w:rFonts w:hint="eastAsia" w:ascii="宋体" w:hAnsi="宋体" w:eastAsia="宋体" w:cs="宋体"/>
                <w:color w:val="auto"/>
                <w:sz w:val="24"/>
                <w:szCs w:val="24"/>
                <w:highlight w:val="none"/>
              </w:rPr>
            </w:pPr>
          </w:p>
        </w:tc>
      </w:tr>
      <w:tr w14:paraId="4606C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1435" w:type="dxa"/>
            <w:vMerge w:val="restart"/>
            <w:tcBorders>
              <w:top w:val="single" w:color="000000" w:sz="4" w:space="0"/>
              <w:left w:val="single" w:color="000000" w:sz="4" w:space="0"/>
              <w:bottom w:val="single" w:color="000000" w:sz="4" w:space="0"/>
              <w:right w:val="single" w:color="000000" w:sz="4" w:space="0"/>
            </w:tcBorders>
            <w:noWrap/>
            <w:vAlign w:val="center"/>
          </w:tcPr>
          <w:p w14:paraId="344398A1">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签订合同</w:t>
            </w: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4D04F6A4">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网签系统</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374BD5EE">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全国承包地合同网签系统运维服务，含云资源服务、村级电子签章管理及备案、账户管理及其他系统日常使用运维。</w:t>
            </w:r>
          </w:p>
        </w:tc>
        <w:tc>
          <w:tcPr>
            <w:tcW w:w="1284" w:type="dxa"/>
            <w:vMerge w:val="restart"/>
            <w:tcBorders>
              <w:top w:val="single" w:color="000000" w:sz="4" w:space="0"/>
              <w:left w:val="single" w:color="000000" w:sz="4" w:space="0"/>
              <w:bottom w:val="single" w:color="000000" w:sz="4" w:space="0"/>
              <w:right w:val="single" w:color="000000" w:sz="4" w:space="0"/>
            </w:tcBorders>
            <w:noWrap/>
            <w:vAlign w:val="center"/>
          </w:tcPr>
          <w:p w14:paraId="78941ACE">
            <w:pPr>
              <w:widowControl/>
              <w:spacing w:line="240" w:lineRule="auto"/>
              <w:jc w:val="center"/>
              <w:textAlignment w:val="center"/>
              <w:rPr>
                <w:rFonts w:hint="eastAsia" w:ascii="宋体" w:hAnsi="宋体" w:eastAsia="宋体" w:cs="宋体"/>
                <w:color w:val="auto"/>
                <w:sz w:val="24"/>
                <w:szCs w:val="24"/>
                <w:highlight w:val="none"/>
                <w:lang w:val="en-US" w:eastAsia="zh-CN"/>
              </w:rPr>
            </w:pPr>
          </w:p>
        </w:tc>
      </w:tr>
      <w:tr w14:paraId="6BC5B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vMerge w:val="continue"/>
            <w:tcBorders>
              <w:left w:val="single" w:color="000000" w:sz="4" w:space="0"/>
              <w:right w:val="single" w:color="000000" w:sz="4" w:space="0"/>
            </w:tcBorders>
            <w:noWrap/>
            <w:vAlign w:val="center"/>
          </w:tcPr>
          <w:p w14:paraId="22124A6B">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0"/>
            <w:vAlign w:val="center"/>
          </w:tcPr>
          <w:p w14:paraId="64BE5F23">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电子签章</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1CB6CC5F">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注册及申请村级电子签章，提供全镇（街道）的签章日常使用管理服务。</w:t>
            </w:r>
          </w:p>
        </w:tc>
        <w:tc>
          <w:tcPr>
            <w:tcW w:w="1284" w:type="dxa"/>
            <w:vMerge w:val="continue"/>
            <w:tcBorders>
              <w:left w:val="single" w:color="000000" w:sz="4" w:space="0"/>
              <w:right w:val="single" w:color="000000" w:sz="4" w:space="0"/>
            </w:tcBorders>
            <w:noWrap/>
            <w:vAlign w:val="center"/>
          </w:tcPr>
          <w:p w14:paraId="3D6DAFAA">
            <w:pPr>
              <w:spacing w:line="240" w:lineRule="auto"/>
              <w:jc w:val="center"/>
              <w:textAlignment w:val="center"/>
              <w:rPr>
                <w:rFonts w:hint="eastAsia" w:ascii="宋体" w:hAnsi="宋体" w:eastAsia="宋体" w:cs="宋体"/>
                <w:color w:val="auto"/>
                <w:sz w:val="24"/>
                <w:szCs w:val="24"/>
                <w:highlight w:val="none"/>
              </w:rPr>
            </w:pPr>
          </w:p>
        </w:tc>
      </w:tr>
      <w:tr w14:paraId="7CC23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1435" w:type="dxa"/>
            <w:vMerge w:val="continue"/>
            <w:tcBorders>
              <w:left w:val="single" w:color="000000" w:sz="4" w:space="0"/>
              <w:right w:val="single" w:color="000000" w:sz="4" w:space="0"/>
            </w:tcBorders>
            <w:noWrap/>
            <w:vAlign w:val="center"/>
          </w:tcPr>
          <w:p w14:paraId="72F36D92">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85C763D">
            <w:pPr>
              <w:widowControl/>
              <w:spacing w:line="24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合同签订服务</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5A0B4169">
            <w:pPr>
              <w:widowControl/>
              <w:spacing w:line="24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提供</w:t>
            </w:r>
            <w:r>
              <w:rPr>
                <w:rFonts w:hint="eastAsia" w:ascii="宋体" w:hAnsi="宋体" w:eastAsia="宋体" w:cs="宋体"/>
                <w:color w:val="auto"/>
                <w:kern w:val="0"/>
                <w:sz w:val="24"/>
                <w:szCs w:val="24"/>
                <w:highlight w:val="none"/>
                <w:lang w:val="en-US" w:eastAsia="zh-CN" w:bidi="ar"/>
              </w:rPr>
              <w:t>全部</w:t>
            </w:r>
            <w:r>
              <w:rPr>
                <w:rFonts w:hint="eastAsia" w:ascii="宋体" w:hAnsi="宋体" w:eastAsia="宋体" w:cs="宋体"/>
                <w:color w:val="auto"/>
                <w:kern w:val="0"/>
                <w:sz w:val="24"/>
                <w:szCs w:val="24"/>
                <w:highlight w:val="none"/>
                <w:lang w:bidi="ar"/>
              </w:rPr>
              <w:t>农户网签人脸识别技术支持、培训并指导村组开展延包合同签订工作（人脸识别鉴证费用）。</w:t>
            </w:r>
          </w:p>
        </w:tc>
        <w:tc>
          <w:tcPr>
            <w:tcW w:w="1284" w:type="dxa"/>
            <w:vMerge w:val="continue"/>
            <w:tcBorders>
              <w:left w:val="single" w:color="000000" w:sz="4" w:space="0"/>
              <w:right w:val="single" w:color="000000" w:sz="4" w:space="0"/>
            </w:tcBorders>
            <w:noWrap/>
            <w:vAlign w:val="center"/>
          </w:tcPr>
          <w:p w14:paraId="0CE9D02A">
            <w:pPr>
              <w:widowControl/>
              <w:spacing w:line="240" w:lineRule="auto"/>
              <w:jc w:val="center"/>
              <w:textAlignment w:val="center"/>
              <w:rPr>
                <w:rFonts w:hint="eastAsia" w:ascii="宋体" w:hAnsi="宋体" w:eastAsia="宋体" w:cs="宋体"/>
                <w:color w:val="auto"/>
                <w:sz w:val="24"/>
                <w:szCs w:val="24"/>
                <w:highlight w:val="none"/>
              </w:rPr>
            </w:pPr>
          </w:p>
        </w:tc>
      </w:tr>
      <w:tr w14:paraId="4732F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1435" w:type="dxa"/>
            <w:vMerge w:val="continue"/>
            <w:tcBorders>
              <w:left w:val="single" w:color="000000" w:sz="4" w:space="0"/>
              <w:right w:val="single" w:color="000000" w:sz="4" w:space="0"/>
            </w:tcBorders>
            <w:noWrap/>
            <w:vAlign w:val="center"/>
          </w:tcPr>
          <w:p w14:paraId="5DF1900C">
            <w:pPr>
              <w:spacing w:line="240" w:lineRule="auto"/>
              <w:jc w:val="center"/>
              <w:rPr>
                <w:rFonts w:hint="eastAsia" w:ascii="宋体" w:hAnsi="宋体" w:eastAsia="宋体" w:cs="宋体"/>
                <w:color w:val="auto"/>
                <w:sz w:val="24"/>
                <w:szCs w:val="24"/>
                <w:highlight w:val="none"/>
              </w:rPr>
            </w:pPr>
          </w:p>
        </w:tc>
        <w:tc>
          <w:tcPr>
            <w:tcW w:w="1608" w:type="dxa"/>
            <w:tcBorders>
              <w:top w:val="single" w:color="000000" w:sz="4" w:space="0"/>
              <w:left w:val="single" w:color="000000" w:sz="4" w:space="0"/>
              <w:bottom w:val="single" w:color="000000" w:sz="4" w:space="0"/>
              <w:right w:val="single" w:color="000000" w:sz="4" w:space="0"/>
            </w:tcBorders>
            <w:noWrap/>
            <w:vAlign w:val="center"/>
          </w:tcPr>
          <w:p w14:paraId="6C5910EB">
            <w:pPr>
              <w:widowControl/>
              <w:spacing w:line="24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网签技术指导</w:t>
            </w:r>
          </w:p>
        </w:tc>
        <w:tc>
          <w:tcPr>
            <w:tcW w:w="3936" w:type="dxa"/>
            <w:tcBorders>
              <w:top w:val="single" w:color="000000" w:sz="4" w:space="0"/>
              <w:left w:val="single" w:color="000000" w:sz="4" w:space="0"/>
              <w:bottom w:val="single" w:color="000000" w:sz="4" w:space="0"/>
              <w:right w:val="single" w:color="000000" w:sz="4" w:space="0"/>
            </w:tcBorders>
            <w:noWrap w:val="0"/>
            <w:vAlign w:val="center"/>
          </w:tcPr>
          <w:p w14:paraId="41B9D59B">
            <w:pPr>
              <w:widowControl/>
              <w:spacing w:line="240" w:lineRule="auto"/>
              <w:jc w:val="left"/>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网签驻场技术服务（1-3人驻场约1个月，确保每村每周至少有2天驻村培训）。</w:t>
            </w:r>
          </w:p>
        </w:tc>
        <w:tc>
          <w:tcPr>
            <w:tcW w:w="1284" w:type="dxa"/>
            <w:vMerge w:val="continue"/>
            <w:tcBorders>
              <w:left w:val="single" w:color="000000" w:sz="4" w:space="0"/>
              <w:right w:val="single" w:color="000000" w:sz="4" w:space="0"/>
            </w:tcBorders>
            <w:noWrap/>
            <w:vAlign w:val="center"/>
          </w:tcPr>
          <w:p w14:paraId="1CC2DEED">
            <w:pPr>
              <w:widowControl/>
              <w:spacing w:line="240" w:lineRule="auto"/>
              <w:jc w:val="center"/>
              <w:textAlignment w:val="center"/>
              <w:rPr>
                <w:rFonts w:hint="eastAsia" w:ascii="宋体" w:hAnsi="宋体" w:eastAsia="宋体" w:cs="宋体"/>
                <w:color w:val="auto"/>
                <w:sz w:val="24"/>
                <w:szCs w:val="24"/>
                <w:highlight w:val="none"/>
              </w:rPr>
            </w:pPr>
          </w:p>
        </w:tc>
      </w:tr>
      <w:tr w14:paraId="08D19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4A84C">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资料归档</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45506">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档案整理</w:t>
            </w:r>
            <w:r>
              <w:rPr>
                <w:rFonts w:hint="eastAsia" w:ascii="宋体" w:hAnsi="宋体" w:eastAsia="宋体" w:cs="宋体"/>
                <w:color w:val="auto"/>
                <w:kern w:val="0"/>
                <w:sz w:val="24"/>
                <w:szCs w:val="24"/>
                <w:highlight w:val="none"/>
                <w:lang w:eastAsia="zh-CN" w:bidi="ar"/>
              </w:rPr>
              <w:t>数字化</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00C1">
            <w:pPr>
              <w:widowControl/>
              <w:spacing w:line="240" w:lineRule="auto"/>
              <w:jc w:val="both"/>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按照档案管理及</w:t>
            </w:r>
            <w:r>
              <w:rPr>
                <w:rFonts w:hint="eastAsia" w:ascii="宋体" w:hAnsi="宋体" w:eastAsia="宋体" w:cs="宋体"/>
                <w:color w:val="auto"/>
                <w:kern w:val="0"/>
                <w:sz w:val="24"/>
                <w:szCs w:val="24"/>
                <w:highlight w:val="none"/>
                <w:lang w:val="en-US" w:eastAsia="zh-CN" w:bidi="ar"/>
              </w:rPr>
              <w:t>根</w:t>
            </w:r>
            <w:r>
              <w:rPr>
                <w:rFonts w:hint="eastAsia" w:ascii="宋体" w:hAnsi="宋体" w:eastAsia="宋体" w:cs="宋体"/>
                <w:color w:val="auto"/>
                <w:kern w:val="0"/>
                <w:sz w:val="24"/>
                <w:szCs w:val="24"/>
                <w:highlight w:val="none"/>
                <w:lang w:bidi="ar"/>
              </w:rPr>
              <w:t>据部、省两级要求，整理二轮到期延包档案材料（包括但不限于合同整理打印、签章图制作、归户表制作等）</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3DA9BBB">
            <w:pPr>
              <w:widowControl/>
              <w:spacing w:line="240" w:lineRule="auto"/>
              <w:jc w:val="center"/>
              <w:textAlignment w:val="center"/>
              <w:rPr>
                <w:rFonts w:hint="eastAsia" w:ascii="宋体" w:hAnsi="宋体" w:eastAsia="宋体" w:cs="宋体"/>
                <w:color w:val="auto"/>
                <w:sz w:val="24"/>
                <w:szCs w:val="24"/>
                <w:highlight w:val="none"/>
              </w:rPr>
            </w:pPr>
          </w:p>
        </w:tc>
      </w:tr>
      <w:tr w14:paraId="10A68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E6CB">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资料归档汇交</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975C5">
            <w:pPr>
              <w:widowControl/>
              <w:spacing w:line="240" w:lineRule="auto"/>
              <w:jc w:val="center"/>
              <w:textAlignment w:val="center"/>
              <w:rPr>
                <w:rFonts w:hint="eastAsia" w:ascii="宋体" w:hAnsi="宋体" w:eastAsia="宋体" w:cs="宋体"/>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档案整理</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FD574">
            <w:pPr>
              <w:widowControl/>
              <w:spacing w:line="240" w:lineRule="auto"/>
              <w:jc w:val="both"/>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纸质材料成果档案，以镇、村、户为单位，成交供应商分别整理装袋提交甲方；电子档成果数据（包括测绘数据库、</w:t>
            </w:r>
            <w:r>
              <w:rPr>
                <w:rFonts w:hint="eastAsia" w:ascii="宋体" w:hAnsi="宋体" w:eastAsia="宋体" w:cs="宋体"/>
                <w:color w:val="auto"/>
                <w:kern w:val="0"/>
                <w:sz w:val="24"/>
                <w:szCs w:val="24"/>
                <w:highlight w:val="none"/>
                <w:lang w:eastAsia="zh-CN" w:bidi="ar"/>
              </w:rPr>
              <w:t>矢量图</w:t>
            </w:r>
            <w:r>
              <w:rPr>
                <w:rFonts w:hint="eastAsia" w:ascii="宋体" w:hAnsi="宋体" w:eastAsia="宋体" w:cs="宋体"/>
                <w:color w:val="auto"/>
                <w:kern w:val="0"/>
                <w:sz w:val="24"/>
                <w:szCs w:val="24"/>
                <w:highlight w:val="none"/>
                <w:lang w:bidi="ar"/>
              </w:rPr>
              <w:t>、承包方和发包方信息等），成交供应商完成数据库合并，汇交甲方，并负责技术服务，</w:t>
            </w:r>
            <w:r>
              <w:rPr>
                <w:rFonts w:hint="eastAsia" w:ascii="宋体" w:hAnsi="宋体" w:eastAsia="宋体" w:cs="宋体"/>
                <w:color w:val="auto"/>
                <w:kern w:val="0"/>
                <w:sz w:val="24"/>
                <w:szCs w:val="24"/>
                <w:highlight w:val="none"/>
                <w:lang w:eastAsia="zh-CN" w:bidi="ar"/>
              </w:rPr>
              <w:t>达到</w:t>
            </w:r>
            <w:r>
              <w:rPr>
                <w:rFonts w:hint="eastAsia" w:ascii="宋体" w:hAnsi="宋体" w:eastAsia="宋体" w:cs="宋体"/>
                <w:color w:val="auto"/>
                <w:kern w:val="0"/>
                <w:sz w:val="24"/>
                <w:szCs w:val="24"/>
                <w:highlight w:val="none"/>
                <w:lang w:val="en-US" w:eastAsia="zh-CN" w:bidi="ar"/>
              </w:rPr>
              <w:t>盐都区农业农村部门要求，并无条件移交到位</w:t>
            </w:r>
            <w:r>
              <w:rPr>
                <w:rFonts w:hint="eastAsia" w:ascii="宋体" w:hAnsi="宋体" w:eastAsia="宋体" w:cs="宋体"/>
                <w:color w:val="auto"/>
                <w:kern w:val="0"/>
                <w:sz w:val="24"/>
                <w:szCs w:val="24"/>
                <w:highlight w:val="none"/>
                <w:lang w:eastAsia="zh-CN" w:bidi="ar"/>
              </w:rPr>
              <w:t>。</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797A922">
            <w:pPr>
              <w:widowControl/>
              <w:spacing w:line="240" w:lineRule="auto"/>
              <w:jc w:val="center"/>
              <w:textAlignment w:val="center"/>
              <w:rPr>
                <w:rFonts w:hint="eastAsia" w:ascii="宋体" w:hAnsi="宋体" w:eastAsia="宋体" w:cs="宋体"/>
                <w:color w:val="auto"/>
                <w:sz w:val="24"/>
                <w:szCs w:val="24"/>
                <w:highlight w:val="none"/>
              </w:rPr>
            </w:pPr>
          </w:p>
        </w:tc>
      </w:tr>
      <w:tr w14:paraId="71C66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1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FC19">
            <w:pPr>
              <w:widowControl/>
              <w:spacing w:line="240" w:lineRule="auto"/>
              <w:jc w:val="center"/>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验收总结</w:t>
            </w:r>
          </w:p>
        </w:tc>
        <w:tc>
          <w:tcPr>
            <w:tcW w:w="1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D7D0">
            <w:pPr>
              <w:widowControl/>
              <w:spacing w:line="240" w:lineRule="auto"/>
              <w:jc w:val="center"/>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验收总结</w:t>
            </w:r>
          </w:p>
        </w:tc>
        <w:tc>
          <w:tcPr>
            <w:tcW w:w="39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C45A44">
            <w:pPr>
              <w:widowControl/>
              <w:spacing w:line="240" w:lineRule="auto"/>
              <w:jc w:val="left"/>
              <w:textAlignment w:val="center"/>
              <w:rPr>
                <w:rFonts w:hint="eastAsia" w:ascii="宋体" w:hAnsi="宋体" w:eastAsia="宋体" w:cs="宋体"/>
                <w:snapToGrid w:val="0"/>
                <w:color w:val="auto"/>
                <w:kern w:val="0"/>
                <w:sz w:val="24"/>
                <w:szCs w:val="24"/>
                <w:highlight w:val="none"/>
                <w:lang w:val="en-US" w:eastAsia="en-US" w:bidi="ar"/>
              </w:rPr>
            </w:pPr>
            <w:r>
              <w:rPr>
                <w:rFonts w:hint="eastAsia" w:ascii="宋体" w:hAnsi="宋体" w:eastAsia="宋体" w:cs="宋体"/>
                <w:color w:val="auto"/>
                <w:kern w:val="0"/>
                <w:sz w:val="24"/>
                <w:szCs w:val="24"/>
                <w:highlight w:val="none"/>
                <w:lang w:bidi="ar"/>
              </w:rPr>
              <w:t>按省、市要求组织验收工作，并总结形成记录。</w:t>
            </w:r>
          </w:p>
        </w:tc>
        <w:tc>
          <w:tcPr>
            <w:tcW w:w="1284" w:type="dxa"/>
            <w:tcBorders>
              <w:top w:val="single" w:color="000000" w:sz="4" w:space="0"/>
              <w:left w:val="single" w:color="000000" w:sz="4" w:space="0"/>
              <w:bottom w:val="single" w:color="000000" w:sz="4" w:space="0"/>
              <w:right w:val="single" w:color="000000" w:sz="4" w:space="0"/>
            </w:tcBorders>
            <w:noWrap/>
            <w:vAlign w:val="center"/>
          </w:tcPr>
          <w:p w14:paraId="31C44D5E">
            <w:pPr>
              <w:widowControl/>
              <w:spacing w:line="240" w:lineRule="auto"/>
              <w:jc w:val="center"/>
              <w:textAlignment w:val="center"/>
              <w:rPr>
                <w:rFonts w:hint="eastAsia" w:ascii="宋体" w:hAnsi="宋体" w:eastAsia="宋体" w:cs="宋体"/>
                <w:color w:val="auto"/>
                <w:sz w:val="24"/>
                <w:szCs w:val="24"/>
                <w:highlight w:val="none"/>
              </w:rPr>
            </w:pPr>
          </w:p>
        </w:tc>
      </w:tr>
    </w:tbl>
    <w:p w14:paraId="7C53B8F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bCs/>
          <w:color w:val="auto"/>
          <w:sz w:val="24"/>
          <w:szCs w:val="24"/>
          <w:highlight w:val="none"/>
          <w:lang w:val="en-US" w:eastAsia="zh-CN" w:bidi="ar-SA"/>
        </w:rPr>
        <w:t>三、主要技术服务要求</w:t>
      </w:r>
    </w:p>
    <w:p w14:paraId="2C624E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服务内容包括但不限于以下内容：</w:t>
      </w:r>
    </w:p>
    <w:p w14:paraId="206129C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1、数据处理规范</w:t>
      </w:r>
    </w:p>
    <w:p w14:paraId="26E38B1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1.1 摸底表规范</w:t>
      </w:r>
    </w:p>
    <w:p w14:paraId="4508134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按照原土地确权汇交数据及历年来变更业务最新数据，以组为单位，出具摸底表，并指导村组如何按照摸底表进行延包摸底核实工作。</w:t>
      </w:r>
    </w:p>
    <w:p w14:paraId="66530C6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1.2 延包数据处理规范</w:t>
      </w:r>
    </w:p>
    <w:p w14:paraId="25B7EC9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系统数据初始接入支持按乡镇或村导入数据汇交包，但数据汇交需满足如下规范：</w:t>
      </w:r>
    </w:p>
    <w:p w14:paraId="3BED8A6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《农村土地承包经营权调查规程》(NY/T2537—2014)</w:t>
      </w:r>
    </w:p>
    <w:p w14:paraId="0394962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《农村土地承包经营权要素编码规则》(NY/T2538—2014)</w:t>
      </w:r>
    </w:p>
    <w:p w14:paraId="3C5EFC3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《农村土地承包经营权确权登记数据库规范》(NY/T2539—2016)</w:t>
      </w:r>
    </w:p>
    <w:p w14:paraId="34197F8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《农村土地承包经营权确权登记颁证成果检查验收办法（试行）》（农办经[2015]5号）</w:t>
      </w:r>
    </w:p>
    <w:p w14:paraId="33B2580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《农村土地承包经营权确权登记数据库建设技术指南（试行）》（农办经[2015]13号）</w:t>
      </w:r>
    </w:p>
    <w:p w14:paraId="7544DAA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《农村土地承包经营权确权登记数据库成果汇交办法（试行）》（农办经[2015]13号）</w:t>
      </w:r>
    </w:p>
    <w:p w14:paraId="4E2643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此外汇交包需通过农业农村部最新质检软件质检，方可成功接入系统。</w:t>
      </w:r>
    </w:p>
    <w:p w14:paraId="491AA59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2、矢量数据：矢量数据分层及结构遵守《农村土地承包经营权确权登记数据库规范》(NY/T2539-2016)规定。矢量数据必须采用 CGCS2000 坐标系，同时矢量数据文件格式采用标准的shapefile 格式(.shp)。矢量数据元数据以 XML 格式保存，编码方式为 UTF-8，统一存放在“矢量数据”目录中。</w:t>
      </w:r>
    </w:p>
    <w:p w14:paraId="7AA1593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矢量汇交数据命名规范：(属性表名)(6 位县级区划代码)(4 位年份代码).SHP。</w:t>
      </w:r>
    </w:p>
    <w:p w14:paraId="502F138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矢量数据元数据命名规范：SL(6 位县级区划代码)(4 位年份代码).XML。</w:t>
      </w:r>
    </w:p>
    <w:p w14:paraId="71F9895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3、权属数据：权属数据包括发包方、承包方、承包地块、承包合同等，遵守《农村土地承包经营权确权登记数据库规范》(NY/T 2539-2014)规定。权属数据文件格式采用 Access2003 的MDB 数据格式，权属单位代码表格式采用 EXCEL2003 格式，统一存放在“权属数据”目录中。</w:t>
      </w:r>
    </w:p>
    <w:p w14:paraId="2ACA5D3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权属数据文件命名规范：(6 位县级区划代码)(4 位年份代码).MDB。</w:t>
      </w:r>
    </w:p>
    <w:p w14:paraId="58F5186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权属单位代码表命名规范：(6 位县级区划代码)(4 位年份代码)权属单位代码表.XLS。</w:t>
      </w:r>
    </w:p>
    <w:p w14:paraId="09ED2E2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4、栅格数据：栅格数据采用标准图幅形式进行组织，提交格式为国际工业标准无压缩的TIFF格式（.TIF）。图幅编号按照 NY/T2537-2014 执行。栅格数据须采用 CGCS2000 坐标系。</w:t>
      </w:r>
    </w:p>
    <w:p w14:paraId="5F81C13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分别建立数字正射影像图，数字栅格地图，其他栅格数据目录，存放各自栅格数据文件，所有目录统一存放在“栅格数据”目录中。</w:t>
      </w:r>
    </w:p>
    <w:p w14:paraId="07D637E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数字正射影像图命名规范：(图幅号)DOM.TIF。</w:t>
      </w:r>
    </w:p>
    <w:p w14:paraId="6E7A22A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数字栅格地图命名规范：(图幅号)DRG.TIF。</w:t>
      </w:r>
    </w:p>
    <w:p w14:paraId="355B5D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其它栅格数据命名规范：(图幅号)QTSG.TIF。</w:t>
      </w:r>
    </w:p>
    <w:p w14:paraId="16029B8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图件、汇总表格：本次无要求，国家系统可自动生成相关数据。</w:t>
      </w:r>
    </w:p>
    <w:p w14:paraId="51CECC8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5、测绘规范</w:t>
      </w:r>
    </w:p>
    <w:p w14:paraId="6B39351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延包工作涉及到一定数量的地块修补测工作，测绘需满足如下规范：</w:t>
      </w:r>
    </w:p>
    <w:p w14:paraId="5D6883F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（农经发（2016）10号）《农村土地承包经营权信息应用平台建设总体方案》</w:t>
      </w:r>
    </w:p>
    <w:p w14:paraId="0BB44F3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《基础地理信息数据库基本规定》（CH/T 9005-2009）</w:t>
      </w:r>
    </w:p>
    <w:p w14:paraId="62B957A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《农村土地承包合同管理办法》</w:t>
      </w:r>
    </w:p>
    <w:p w14:paraId="4CC5161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《土地登记办法》</w:t>
      </w:r>
    </w:p>
    <w:p w14:paraId="325B7FD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《中华人民共和国民法典》</w:t>
      </w:r>
    </w:p>
    <w:p w14:paraId="0917791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《土地管理档案目录数据库标准》（试用）</w:t>
      </w:r>
    </w:p>
    <w:p w14:paraId="27DF604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《中华人民共和国农村土地承包经营纠纷调解仲裁法》</w:t>
      </w:r>
    </w:p>
    <w:p w14:paraId="6BB185B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修补测数据可在延包数据处理过程中直接整合进汇交包，也可在国家平台按单个矢量地块上传。</w:t>
      </w:r>
    </w:p>
    <w:p w14:paraId="05C2B86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6、数学基础</w:t>
      </w:r>
    </w:p>
    <w:p w14:paraId="744D5B07">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比例尺</w:t>
      </w:r>
    </w:p>
    <w:p w14:paraId="51F7ECE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农村承包土地调查比例尺 1：2000</w:t>
      </w:r>
    </w:p>
    <w:p w14:paraId="7EF471A2">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影像分辨率</w:t>
      </w:r>
    </w:p>
    <w:p w14:paraId="15075AA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影像分辨率为0.2m；</w:t>
      </w:r>
    </w:p>
    <w:p w14:paraId="24F5CB0A">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坐标系统</w:t>
      </w:r>
    </w:p>
    <w:p w14:paraId="1CC67B30">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 平面坐标系：采用 2000 国家大地坐标系；</w:t>
      </w:r>
    </w:p>
    <w:p w14:paraId="798C601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(2) 高程系统：1985 国家高程基准；</w:t>
      </w:r>
    </w:p>
    <w:p w14:paraId="28FF697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(3) 投影方式：高斯-克吕格地图投影，采用标准 3°分带平面直角坐标系统。</w:t>
      </w:r>
    </w:p>
    <w:p w14:paraId="667193E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7、调查图件</w:t>
      </w:r>
    </w:p>
    <w:p w14:paraId="745B4FB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7.1栅格数据分幅</w:t>
      </w:r>
    </w:p>
    <w:p w14:paraId="0A7DB0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采用 1:2000DOM 放大制作成 1：1000 比例尺，使用行政村界线进行套合、叠加，按自然村进行分幅，地块分布图采用以行政村为单位分幅。</w:t>
      </w:r>
    </w:p>
    <w:p w14:paraId="19F64AD8">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7.2矢量数据分幅</w:t>
      </w:r>
    </w:p>
    <w:p w14:paraId="5B2443A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承包地块、地物等矢量数据以自然村为单位进行分幅。</w:t>
      </w:r>
    </w:p>
    <w:p w14:paraId="3632921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7.3正射影像数据</w:t>
      </w:r>
    </w:p>
    <w:p w14:paraId="0392E42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分辨率包括0.5米或优于0.5米，采用0.5米分辨率的数据时，调查图件统一由省测绘局提供，优于0.5米分辨率时其图件由专家组认可后方可使用。</w:t>
      </w:r>
    </w:p>
    <w:p w14:paraId="520F3FEC">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7.4矢量数据</w:t>
      </w:r>
    </w:p>
    <w:p w14:paraId="6E498E4D">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矢量数据由正射影像解译出来的包括地块、水系、道路等图层。</w:t>
      </w:r>
    </w:p>
    <w:p w14:paraId="2AB5B9B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7.5工作底图</w:t>
      </w:r>
    </w:p>
    <w:p w14:paraId="086F962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工作底图采用 1：2000 比例尺。</w:t>
      </w:r>
    </w:p>
    <w:p w14:paraId="0FC8161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8、主要精度指标</w:t>
      </w:r>
    </w:p>
    <w:p w14:paraId="1B07A1C4">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地块分布图上界址点相对于邻近控制点的点位中误差和相邻界址点之间的间距中误差原则上不得超过表 1 的规定。</w:t>
      </w:r>
    </w:p>
    <w:p w14:paraId="2451221A">
      <w:pPr>
        <w:keepNext w:val="0"/>
        <w:keepLines w:val="0"/>
        <w:pageBreakBefore w:val="0"/>
        <w:wordWrap/>
        <w:topLinePunct w:val="0"/>
        <w:bidi w:val="0"/>
        <w:spacing w:line="44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界址点精度指标</w:t>
      </w:r>
    </w:p>
    <w:tbl>
      <w:tblPr>
        <w:tblStyle w:val="34"/>
        <w:tblW w:w="498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64"/>
        <w:gridCol w:w="3868"/>
        <w:gridCol w:w="3141"/>
      </w:tblGrid>
      <w:tr w14:paraId="153C7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64" w:type="pct"/>
            <w:vMerge w:val="restart"/>
            <w:tcBorders>
              <w:top w:val="single" w:color="000000" w:sz="4" w:space="0"/>
              <w:left w:val="single" w:color="000000" w:sz="4" w:space="0"/>
              <w:bottom w:val="single" w:color="000000" w:sz="4" w:space="0"/>
              <w:right w:val="single" w:color="000000" w:sz="4" w:space="0"/>
            </w:tcBorders>
            <w:noWrap w:val="0"/>
            <w:vAlign w:val="center"/>
          </w:tcPr>
          <w:p w14:paraId="17BD37AF">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比例尺</w:t>
            </w:r>
          </w:p>
        </w:tc>
        <w:tc>
          <w:tcPr>
            <w:tcW w:w="4235" w:type="pct"/>
            <w:gridSpan w:val="2"/>
            <w:tcBorders>
              <w:top w:val="single" w:color="000000" w:sz="4" w:space="0"/>
              <w:left w:val="single" w:color="000000" w:sz="4" w:space="0"/>
              <w:bottom w:val="single" w:color="000000" w:sz="4" w:space="0"/>
              <w:right w:val="single" w:color="000000" w:sz="4" w:space="0"/>
            </w:tcBorders>
            <w:noWrap w:val="0"/>
            <w:vAlign w:val="center"/>
          </w:tcPr>
          <w:p w14:paraId="6B9B9402">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界址点相对于邻近控制点的点位中误差和相邻界址点间的间距中误差</w:t>
            </w:r>
          </w:p>
        </w:tc>
      </w:tr>
      <w:tr w14:paraId="55F88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jc w:val="center"/>
        </w:trPr>
        <w:tc>
          <w:tcPr>
            <w:tcW w:w="764" w:type="pct"/>
            <w:vMerge w:val="continue"/>
            <w:tcBorders>
              <w:left w:val="single" w:color="000000" w:sz="4" w:space="0"/>
              <w:right w:val="single" w:color="000000" w:sz="4" w:space="0"/>
            </w:tcBorders>
            <w:noWrap w:val="0"/>
            <w:vAlign w:val="center"/>
          </w:tcPr>
          <w:p w14:paraId="2ABE8A73">
            <w:pPr>
              <w:keepNext w:val="0"/>
              <w:keepLines w:val="0"/>
              <w:pageBreakBefore w:val="0"/>
              <w:wordWrap/>
              <w:topLinePunct w:val="0"/>
              <w:bidi w:val="0"/>
              <w:spacing w:line="440" w:lineRule="exact"/>
              <w:ind w:firstLine="480"/>
              <w:rPr>
                <w:rFonts w:hint="eastAsia" w:ascii="宋体" w:hAnsi="宋体" w:eastAsia="宋体" w:cs="宋体"/>
                <w:color w:val="auto"/>
                <w:sz w:val="24"/>
                <w:szCs w:val="24"/>
                <w:highlight w:val="none"/>
              </w:rPr>
            </w:pPr>
          </w:p>
        </w:tc>
        <w:tc>
          <w:tcPr>
            <w:tcW w:w="2337" w:type="pct"/>
            <w:tcBorders>
              <w:top w:val="single" w:color="000000" w:sz="4" w:space="0"/>
              <w:left w:val="single" w:color="000000" w:sz="4" w:space="0"/>
              <w:bottom w:val="single" w:color="000000" w:sz="4" w:space="0"/>
              <w:right w:val="single" w:color="000000" w:sz="4" w:space="0"/>
            </w:tcBorders>
            <w:noWrap w:val="0"/>
            <w:vAlign w:val="center"/>
          </w:tcPr>
          <w:p w14:paraId="0B17C6EE">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平地、丘陵</w:t>
            </w:r>
          </w:p>
        </w:tc>
        <w:tc>
          <w:tcPr>
            <w:tcW w:w="1897" w:type="pct"/>
            <w:tcBorders>
              <w:top w:val="single" w:color="000000" w:sz="4" w:space="0"/>
              <w:left w:val="single" w:color="000000" w:sz="4" w:space="0"/>
              <w:bottom w:val="single" w:color="000000" w:sz="4" w:space="0"/>
              <w:right w:val="single" w:color="000000" w:sz="4" w:space="0"/>
            </w:tcBorders>
            <w:noWrap w:val="0"/>
            <w:vAlign w:val="center"/>
          </w:tcPr>
          <w:p w14:paraId="4CFBE6D2">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山地、高山地</w:t>
            </w:r>
          </w:p>
        </w:tc>
      </w:tr>
      <w:tr w14:paraId="60CD95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764" w:type="pct"/>
            <w:tcBorders>
              <w:top w:val="single" w:color="000000" w:sz="4" w:space="0"/>
              <w:left w:val="single" w:color="000000" w:sz="4" w:space="0"/>
              <w:bottom w:val="single" w:color="000000" w:sz="4" w:space="0"/>
              <w:right w:val="single" w:color="000000" w:sz="4" w:space="0"/>
            </w:tcBorders>
            <w:noWrap w:val="0"/>
            <w:vAlign w:val="center"/>
          </w:tcPr>
          <w:p w14:paraId="7DB5EE4D">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1∶2000</w:t>
            </w:r>
          </w:p>
        </w:tc>
        <w:tc>
          <w:tcPr>
            <w:tcW w:w="2337" w:type="pct"/>
            <w:tcBorders>
              <w:top w:val="single" w:color="000000" w:sz="4" w:space="0"/>
              <w:left w:val="single" w:color="000000" w:sz="4" w:space="0"/>
              <w:bottom w:val="single" w:color="000000" w:sz="4" w:space="0"/>
              <w:right w:val="single" w:color="000000" w:sz="4" w:space="0"/>
            </w:tcBorders>
            <w:noWrap w:val="0"/>
            <w:vAlign w:val="center"/>
          </w:tcPr>
          <w:p w14:paraId="3CBCA0FC">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w:t>
            </w:r>
          </w:p>
        </w:tc>
        <w:tc>
          <w:tcPr>
            <w:tcW w:w="1897" w:type="pct"/>
            <w:tcBorders>
              <w:top w:val="single" w:color="000000" w:sz="4" w:space="0"/>
              <w:left w:val="single" w:color="000000" w:sz="4" w:space="0"/>
              <w:bottom w:val="single" w:color="000000" w:sz="4" w:space="0"/>
              <w:right w:val="single" w:color="000000" w:sz="4" w:space="0"/>
            </w:tcBorders>
            <w:noWrap w:val="0"/>
            <w:vAlign w:val="center"/>
          </w:tcPr>
          <w:p w14:paraId="24F2D489">
            <w:pPr>
              <w:keepNext w:val="0"/>
              <w:keepLines w:val="0"/>
              <w:pageBreakBefore w:val="0"/>
              <w:wordWrap/>
              <w:topLinePunct w:val="0"/>
              <w:bidi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±1.60</w:t>
            </w:r>
          </w:p>
        </w:tc>
      </w:tr>
    </w:tbl>
    <w:p w14:paraId="31F34EB5">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9、计量单位</w:t>
      </w:r>
    </w:p>
    <w:p w14:paraId="47261EB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9.1长度单位采用米(m),小数点后保留两位有效数字（0.01）。</w:t>
      </w:r>
    </w:p>
    <w:p w14:paraId="155690BE">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9.2面积单位采用平方米（㎡）,小数点后保留两位有效数字（0.01）。统计汇总时,面积单位采用公顷(h ㎡),小数点后保留两位有效数字（0.01）。</w:t>
      </w:r>
    </w:p>
    <w:p w14:paraId="15D746E9">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9.3亩作为辅助面积单位（mu），小数点后保留两位有效数字（0.01）</w:t>
      </w:r>
    </w:p>
    <w:p w14:paraId="7C36EEEF">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9.4坐标单位采用米（m），保留 3 位有效数字（0.001）。</w:t>
      </w:r>
    </w:p>
    <w:p w14:paraId="765C770B">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10、面积计算</w:t>
      </w:r>
    </w:p>
    <w:p w14:paraId="6278A001">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面积计算采用水平投影面积，面积相对误差在 5%以内。</w:t>
      </w:r>
    </w:p>
    <w:p w14:paraId="3D167613">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cstheme="minorEastAsia"/>
          <w:b w:val="0"/>
          <w:bCs w:val="0"/>
          <w:color w:val="auto"/>
          <w:sz w:val="24"/>
          <w:szCs w:val="24"/>
          <w:highlight w:val="none"/>
          <w:lang w:val="en-US" w:eastAsia="zh-CN" w:bidi="ar-SA"/>
        </w:rPr>
      </w:pPr>
      <w:r>
        <w:rPr>
          <w:rFonts w:hint="eastAsia" w:asciiTheme="minorEastAsia" w:hAnsiTheme="minorEastAsia" w:cstheme="minorEastAsia"/>
          <w:b w:val="0"/>
          <w:bCs w:val="0"/>
          <w:color w:val="auto"/>
          <w:sz w:val="24"/>
          <w:szCs w:val="24"/>
          <w:highlight w:val="none"/>
          <w:lang w:val="en-US" w:eastAsia="zh-CN" w:bidi="ar-SA"/>
        </w:rPr>
        <w:t>11、界址点测量</w:t>
      </w:r>
    </w:p>
    <w:p w14:paraId="67D976C6">
      <w:pPr>
        <w:keepNext w:val="0"/>
        <w:keepLines w:val="0"/>
        <w:pageBreakBefore w:val="0"/>
        <w:widowControl w:val="0"/>
        <w:numPr>
          <w:ilvl w:val="0"/>
          <w:numId w:val="0"/>
        </w:numPr>
        <w:kinsoku/>
        <w:wordWrap/>
        <w:overflowPunct/>
        <w:topLinePunct w:val="0"/>
        <w:autoSpaceDE w:val="0"/>
        <w:autoSpaceDN w:val="0"/>
        <w:bidi w:val="0"/>
        <w:adjustRightInd/>
        <w:snapToGrid w:val="0"/>
        <w:spacing w:line="500" w:lineRule="exact"/>
        <w:ind w:firstLine="480" w:firstLineChars="200"/>
        <w:textAlignment w:val="auto"/>
        <w:rPr>
          <w:rFonts w:hint="eastAsia" w:asciiTheme="minorEastAsia" w:hAnsiTheme="minorEastAsia" w:eastAsiaTheme="minorEastAsia" w:cstheme="minorEastAsia"/>
          <w:b/>
          <w:bCs/>
          <w:color w:val="auto"/>
          <w:sz w:val="24"/>
          <w:highlight w:val="none"/>
        </w:rPr>
      </w:pPr>
      <w:r>
        <w:rPr>
          <w:rFonts w:hint="eastAsia" w:asciiTheme="minorEastAsia" w:hAnsiTheme="minorEastAsia" w:cstheme="minorEastAsia"/>
          <w:b w:val="0"/>
          <w:bCs w:val="0"/>
          <w:color w:val="auto"/>
          <w:sz w:val="24"/>
          <w:szCs w:val="24"/>
          <w:highlight w:val="none"/>
          <w:lang w:val="en-US" w:eastAsia="zh-CN" w:bidi="ar-SA"/>
        </w:rPr>
        <w:t>以图解法为基础，辅以实地勘测法进行补充调查确定界址点坐标的方法。即利用工作底图到实地核实解译界址点的正确性，对解译界址点与实地不符的，经实地标绘或测量予以纠正。</w:t>
      </w:r>
    </w:p>
    <w:p w14:paraId="651469FD">
      <w:pPr>
        <w:keepNext w:val="0"/>
        <w:keepLines w:val="0"/>
        <w:pageBreakBefore w:val="0"/>
        <w:widowControl w:val="0"/>
        <w:kinsoku/>
        <w:wordWrap/>
        <w:overflowPunct/>
        <w:topLinePunct w:val="0"/>
        <w:autoSpaceDE/>
        <w:autoSpaceDN/>
        <w:bidi w:val="0"/>
        <w:spacing w:line="500" w:lineRule="exact"/>
        <w:textAlignment w:val="auto"/>
        <w:rPr>
          <w:rFonts w:hint="default" w:asciiTheme="minorEastAsia" w:hAnsiTheme="minorEastAsia" w:eastAsiaTheme="minorEastAsia" w:cstheme="minorEastAsia"/>
          <w:b/>
          <w:color w:val="auto"/>
          <w:sz w:val="24"/>
          <w:szCs w:val="21"/>
          <w:highlight w:val="none"/>
          <w:lang w:val="en-US" w:eastAsia="zh-CN"/>
        </w:rPr>
      </w:pPr>
      <w:r>
        <w:rPr>
          <w:rFonts w:hint="eastAsia" w:asciiTheme="minorEastAsia" w:hAnsiTheme="minorEastAsia" w:eastAsiaTheme="minorEastAsia" w:cstheme="minorEastAsia"/>
          <w:b/>
          <w:color w:val="auto"/>
          <w:sz w:val="24"/>
          <w:highlight w:val="none"/>
        </w:rPr>
        <w:t>四、</w:t>
      </w:r>
      <w:r>
        <w:rPr>
          <w:rFonts w:hint="eastAsia" w:asciiTheme="minorEastAsia" w:hAnsiTheme="minorEastAsia" w:cstheme="minorEastAsia"/>
          <w:b/>
          <w:color w:val="auto"/>
          <w:sz w:val="24"/>
          <w:szCs w:val="21"/>
          <w:highlight w:val="none"/>
          <w:lang w:val="en-US" w:eastAsia="zh-CN"/>
        </w:rPr>
        <w:t>工作要求</w:t>
      </w:r>
    </w:p>
    <w:p w14:paraId="2F0AD03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1、质量要求：①成果文件要求：开展</w:t>
      </w:r>
      <w:r>
        <w:rPr>
          <w:rFonts w:hint="eastAsia" w:asciiTheme="minorEastAsia" w:hAnsiTheme="minorEastAsia" w:cstheme="minorEastAsia"/>
          <w:color w:val="auto"/>
          <w:sz w:val="24"/>
          <w:szCs w:val="24"/>
          <w:highlight w:val="none"/>
          <w:lang w:eastAsia="zh-CN"/>
        </w:rPr>
        <w:t>盐都区楼王镇</w:t>
      </w:r>
      <w:r>
        <w:rPr>
          <w:rFonts w:hint="eastAsia" w:asciiTheme="minorEastAsia" w:hAnsiTheme="minorEastAsia" w:cstheme="minorEastAsia"/>
          <w:color w:val="auto"/>
          <w:sz w:val="24"/>
          <w:szCs w:val="21"/>
          <w:highlight w:val="none"/>
          <w:lang w:val="en-US" w:eastAsia="zh-CN"/>
        </w:rPr>
        <w:t>第二轮土地承包到期后再延长30年技术服务工作，并通过采购方组织的专家技术审查。提交的成果数量应满足咨询、审查、存档、报批等各环节的需求。②成果技术要求：项目成果报告符合采购需求的相关法律法规文件要求</w:t>
      </w:r>
      <w:r>
        <w:rPr>
          <w:rFonts w:hint="eastAsia" w:asciiTheme="minorEastAsia" w:hAnsiTheme="minorEastAsia" w:eastAsiaTheme="minorEastAsia" w:cstheme="minorEastAsia"/>
          <w:color w:val="auto"/>
          <w:sz w:val="24"/>
          <w:szCs w:val="21"/>
          <w:highlight w:val="none"/>
        </w:rPr>
        <w:t>。</w:t>
      </w:r>
    </w:p>
    <w:p w14:paraId="33543AD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2、培训及驻场服务要求：培训主要分为工作流程培训及系统操作使用培训，要求是通过技术服务单位的培训指导，镇、村组，可充分熟悉并掌握延包工作方法及依托承包地顺利完成延包合同签订工作。本文件对技术服务单位的培训要求只是最低限度要求，具体次数及培训时间安排，要以延包工作成果为导向。技术服务单位驻场时间及人员具体数量安排，视延包合同签订完成率而定，在延包合同签订完成率达不到95%的情况下，驻点人员不得离场，且采购人不再因第三方驻场时间超期而另行支付费用。</w:t>
      </w:r>
    </w:p>
    <w:p w14:paraId="6AA4D56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cstheme="minorEastAsia"/>
          <w:color w:val="auto"/>
          <w:sz w:val="24"/>
          <w:szCs w:val="21"/>
          <w:highlight w:val="none"/>
          <w:lang w:val="en-US" w:eastAsia="zh-CN"/>
        </w:rPr>
      </w:pPr>
      <w:r>
        <w:rPr>
          <w:rFonts w:hint="eastAsia" w:asciiTheme="minorEastAsia" w:hAnsiTheme="minorEastAsia" w:cstheme="minorEastAsia"/>
          <w:color w:val="auto"/>
          <w:sz w:val="24"/>
          <w:szCs w:val="21"/>
          <w:highlight w:val="none"/>
          <w:lang w:val="en-US" w:eastAsia="zh-CN"/>
        </w:rPr>
        <w:t>3、人员及实施要求：①项目团队人员应具有专业技术能力，针对采购内容提供相应的人员配备，项目组成员分工明确，至少包含项目负责人、技术负责人、数据库建设负责人等成员。 ②项目实施过程中的工作人员需服从采购人的管理安排。</w:t>
      </w:r>
    </w:p>
    <w:p w14:paraId="1A852DA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inorEastAsia" w:hAnsiTheme="minorEastAsia" w:eastAsiaTheme="minorEastAsia" w:cstheme="minorEastAsia"/>
          <w:color w:val="auto"/>
          <w:sz w:val="24"/>
          <w:szCs w:val="21"/>
          <w:highlight w:val="none"/>
        </w:rPr>
      </w:pPr>
      <w:r>
        <w:rPr>
          <w:rFonts w:hint="eastAsia" w:asciiTheme="minorEastAsia" w:hAnsiTheme="minorEastAsia" w:cstheme="minorEastAsia"/>
          <w:color w:val="auto"/>
          <w:sz w:val="24"/>
          <w:szCs w:val="21"/>
          <w:highlight w:val="none"/>
          <w:lang w:val="en-US" w:eastAsia="zh-CN"/>
        </w:rPr>
        <w:t>4</w:t>
      </w:r>
      <w:r>
        <w:rPr>
          <w:rFonts w:hint="eastAsia" w:asciiTheme="minorEastAsia" w:hAnsiTheme="minorEastAsia" w:eastAsiaTheme="minorEastAsia" w:cstheme="minorEastAsia"/>
          <w:color w:val="auto"/>
          <w:sz w:val="24"/>
          <w:szCs w:val="21"/>
          <w:highlight w:val="none"/>
        </w:rPr>
        <w:t>、本项目费用报价采用固定总价报价的方式。服务费用主要包括（但不限于）：服务酬金（包含人员工资、社会福利费、公司管理费、利润等）、交通费、食宿费、通讯费、各种资料的编制、打印、复印和传递费、办公设备和用品费、本项目的不可预见费、在执行本项目服务的过程中所发生的额外的其它所有费用。</w:t>
      </w:r>
    </w:p>
    <w:p w14:paraId="1521B7DF">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五</w:t>
      </w:r>
      <w:r>
        <w:rPr>
          <w:rFonts w:hint="eastAsia" w:asciiTheme="minorEastAsia" w:hAnsiTheme="minorEastAsia" w:eastAsiaTheme="minorEastAsia" w:cstheme="minorEastAsia"/>
          <w:b/>
          <w:bCs/>
          <w:color w:val="auto"/>
          <w:highlight w:val="none"/>
        </w:rPr>
        <w:t>、其他要求</w:t>
      </w:r>
    </w:p>
    <w:p w14:paraId="21CEAC6A">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highlight w:val="none"/>
          <w:lang w:val="en-US" w:eastAsia="zh-CN"/>
        </w:rPr>
        <w:t>1</w:t>
      </w:r>
      <w:r>
        <w:rPr>
          <w:rFonts w:hint="eastAsia" w:ascii="宋体" w:hAnsi="宋体" w:eastAsia="宋体" w:cs="宋体"/>
          <w:b/>
          <w:bCs/>
          <w:color w:val="auto"/>
          <w:sz w:val="24"/>
          <w:szCs w:val="24"/>
          <w:highlight w:val="none"/>
          <w:lang w:val="en-US" w:eastAsia="zh-CN"/>
        </w:rPr>
        <w:t>、业绩</w:t>
      </w:r>
    </w:p>
    <w:p w14:paraId="53BBF2D0">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为了确保</w:t>
      </w:r>
      <w:r>
        <w:rPr>
          <w:rFonts w:hint="eastAsia" w:asciiTheme="minorEastAsia" w:hAnsiTheme="minorEastAsia" w:cstheme="minorEastAsia"/>
          <w:color w:val="auto"/>
          <w:highlight w:val="none"/>
          <w:lang w:val="en-US" w:eastAsia="zh-CN"/>
        </w:rPr>
        <w:t>本</w:t>
      </w:r>
      <w:r>
        <w:rPr>
          <w:rFonts w:hint="eastAsia" w:asciiTheme="minorEastAsia" w:hAnsiTheme="minorEastAsia" w:eastAsiaTheme="minorEastAsia" w:cstheme="minorEastAsia"/>
          <w:color w:val="auto"/>
          <w:highlight w:val="none"/>
        </w:rPr>
        <w:t>项目的顺利实施，投标人提供自2023年1月1日</w:t>
      </w:r>
      <w:r>
        <w:rPr>
          <w:rFonts w:hint="eastAsia" w:asciiTheme="minorEastAsia" w:hAnsiTheme="minorEastAsia" w:eastAsiaTheme="minorEastAsia" w:cstheme="minorEastAsia"/>
          <w:color w:val="auto"/>
          <w:highlight w:val="none"/>
          <w:lang w:bidi="ar"/>
        </w:rPr>
        <w:t>（以合同签订时间为准）</w:t>
      </w:r>
      <w:r>
        <w:rPr>
          <w:rFonts w:hint="eastAsia" w:asciiTheme="minorEastAsia" w:hAnsiTheme="minorEastAsia" w:eastAsiaTheme="minorEastAsia" w:cstheme="minorEastAsia"/>
          <w:color w:val="auto"/>
          <w:highlight w:val="none"/>
        </w:rPr>
        <w:t>以来承担过类似项目业绩的优先（同类业绩指：二轮延包类项目）。</w:t>
      </w:r>
    </w:p>
    <w:p w14:paraId="67E78EDC">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2</w:t>
      </w:r>
      <w:r>
        <w:rPr>
          <w:rFonts w:hint="eastAsia" w:asciiTheme="minorEastAsia" w:hAnsiTheme="minorEastAsia" w:eastAsiaTheme="minorEastAsia" w:cstheme="minorEastAsia"/>
          <w:b/>
          <w:bCs/>
          <w:color w:val="auto"/>
          <w:highlight w:val="none"/>
          <w:lang w:val="en-US" w:eastAsia="zh-CN"/>
        </w:rPr>
        <w:t>、</w:t>
      </w:r>
      <w:r>
        <w:rPr>
          <w:rFonts w:hint="eastAsia" w:asciiTheme="minorEastAsia" w:hAnsiTheme="minorEastAsia" w:cstheme="minorEastAsia"/>
          <w:b/>
          <w:bCs/>
          <w:color w:val="auto"/>
          <w:highlight w:val="none"/>
          <w:lang w:val="en-US" w:eastAsia="zh-CN"/>
        </w:rPr>
        <w:t>企业资信</w:t>
      </w:r>
    </w:p>
    <w:p w14:paraId="3FC2B01F">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为了择优选择中标人，体现企业实力，投标人具备质量管理体系认证证书、环境管理体系认证证书、职业健康安全管理体系认证证书</w:t>
      </w:r>
      <w:r>
        <w:rPr>
          <w:rFonts w:hint="eastAsia" w:asciiTheme="minorEastAsia" w:hAnsiTheme="minorEastAsia" w:cstheme="minorEastAsia"/>
          <w:color w:val="auto"/>
          <w:highlight w:val="none"/>
          <w:lang w:eastAsia="zh-CN"/>
        </w:rPr>
        <w:t>、测量管理体系</w:t>
      </w:r>
      <w:r>
        <w:rPr>
          <w:rFonts w:hint="eastAsia" w:asciiTheme="minorEastAsia" w:hAnsiTheme="minorEastAsia" w:eastAsiaTheme="minorEastAsia" w:cstheme="minorEastAsia"/>
          <w:color w:val="auto"/>
          <w:highlight w:val="none"/>
        </w:rPr>
        <w:t>证书</w:t>
      </w:r>
      <w:r>
        <w:rPr>
          <w:rFonts w:hint="eastAsia" w:asciiTheme="minorEastAsia" w:hAnsiTheme="minorEastAsia" w:cstheme="minorEastAsia"/>
          <w:color w:val="auto"/>
          <w:highlight w:val="none"/>
          <w:lang w:eastAsia="zh-CN"/>
        </w:rPr>
        <w:t>、信息技术服务管理体系认证证书</w:t>
      </w:r>
      <w:r>
        <w:rPr>
          <w:rFonts w:hint="eastAsia" w:asciiTheme="minorEastAsia" w:hAnsiTheme="minorEastAsia" w:eastAsiaTheme="minorEastAsia" w:cstheme="minorEastAsia"/>
          <w:color w:val="auto"/>
          <w:highlight w:val="none"/>
        </w:rPr>
        <w:t>的优先。</w:t>
      </w:r>
    </w:p>
    <w:p w14:paraId="0316FC17">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投标人</w:t>
      </w:r>
      <w:r>
        <w:rPr>
          <w:rFonts w:hint="eastAsia" w:asciiTheme="minorEastAsia" w:hAnsiTheme="minorEastAsia" w:eastAsiaTheme="minorEastAsia" w:cstheme="minorEastAsia"/>
          <w:b w:val="0"/>
          <w:bCs w:val="0"/>
          <w:color w:val="auto"/>
          <w:highlight w:val="none"/>
        </w:rPr>
        <w:t>具有档案管理部门颁发的档案工作规范化管理证书</w:t>
      </w:r>
      <w:r>
        <w:rPr>
          <w:rFonts w:hint="eastAsia" w:asciiTheme="minorEastAsia" w:hAnsiTheme="minorEastAsia" w:eastAsiaTheme="minorEastAsia" w:cstheme="minorEastAsia"/>
          <w:color w:val="auto"/>
          <w:sz w:val="24"/>
          <w:highlight w:val="none"/>
          <w:lang w:bidi="ar"/>
        </w:rPr>
        <w:t>（或具有档案管理部门出具的“良好及以上等级”的工作评价证明）</w:t>
      </w:r>
      <w:r>
        <w:rPr>
          <w:rFonts w:hint="eastAsia" w:asciiTheme="minorEastAsia" w:hAnsiTheme="minorEastAsia" w:eastAsiaTheme="minorEastAsia" w:cstheme="minorEastAsia"/>
          <w:b w:val="0"/>
          <w:bCs w:val="0"/>
          <w:color w:val="auto"/>
          <w:highlight w:val="none"/>
        </w:rPr>
        <w:t>的</w:t>
      </w:r>
      <w:r>
        <w:rPr>
          <w:rFonts w:hint="eastAsia" w:asciiTheme="minorEastAsia" w:hAnsiTheme="minorEastAsia" w:eastAsiaTheme="minorEastAsia" w:cstheme="minorEastAsia"/>
          <w:color w:val="auto"/>
          <w:highlight w:val="none"/>
        </w:rPr>
        <w:t>优先</w:t>
      </w:r>
      <w:r>
        <w:rPr>
          <w:rFonts w:hint="eastAsia" w:asciiTheme="minorEastAsia" w:hAnsiTheme="minorEastAsia" w:eastAsiaTheme="minorEastAsia" w:cstheme="minorEastAsia"/>
          <w:b w:val="0"/>
          <w:bCs w:val="0"/>
          <w:color w:val="auto"/>
          <w:highlight w:val="none"/>
          <w:lang w:val="en-US" w:eastAsia="zh-CN"/>
        </w:rPr>
        <w:t>。</w:t>
      </w:r>
    </w:p>
    <w:p w14:paraId="7D6A3D06">
      <w:pPr>
        <w:pStyle w:val="31"/>
        <w:keepNext w:val="0"/>
        <w:keepLines w:val="0"/>
        <w:pageBreakBefore w:val="0"/>
        <w:widowControl w:val="0"/>
        <w:kinsoku/>
        <w:wordWrap/>
        <w:overflowPunct/>
        <w:topLinePunct w:val="0"/>
        <w:autoSpaceDE/>
        <w:autoSpaceDN/>
        <w:bidi w:val="0"/>
        <w:spacing w:beforeAutospacing="0" w:afterAutospacing="0" w:line="500" w:lineRule="exact"/>
        <w:ind w:firstLine="482"/>
        <w:textAlignment w:val="auto"/>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3</w:t>
      </w:r>
      <w:r>
        <w:rPr>
          <w:rFonts w:hint="eastAsia" w:asciiTheme="minorEastAsia" w:hAnsiTheme="minorEastAsia" w:eastAsiaTheme="minorEastAsia" w:cstheme="minorEastAsia"/>
          <w:b/>
          <w:bCs/>
          <w:color w:val="auto"/>
          <w:highlight w:val="none"/>
        </w:rPr>
        <w:t>、</w:t>
      </w:r>
      <w:r>
        <w:rPr>
          <w:rFonts w:hint="eastAsia" w:asciiTheme="minorEastAsia" w:hAnsiTheme="minorEastAsia" w:cstheme="minorEastAsia"/>
          <w:b/>
          <w:bCs/>
          <w:color w:val="auto"/>
          <w:highlight w:val="none"/>
          <w:lang w:val="en-US" w:eastAsia="zh-CN"/>
        </w:rPr>
        <w:t>服务团队</w:t>
      </w:r>
    </w:p>
    <w:p w14:paraId="6A3C6C46">
      <w:pPr>
        <w:pStyle w:val="31"/>
        <w:keepNext w:val="0"/>
        <w:keepLines w:val="0"/>
        <w:pageBreakBefore w:val="0"/>
        <w:widowControl w:val="0"/>
        <w:kinsoku/>
        <w:wordWrap/>
        <w:overflowPunct/>
        <w:topLinePunct w:val="0"/>
        <w:autoSpaceDE/>
        <w:autoSpaceDN/>
        <w:bidi w:val="0"/>
        <w:spacing w:beforeAutospacing="0" w:afterAutospacing="0" w:line="500" w:lineRule="exact"/>
        <w:ind w:firstLine="480"/>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为了择优选择中标人，项目负责人具有测绘类或计算机类高级及以上职称证书的、注册测绘师执业资格证书、档案人员上岗培训证书、地理信息安全保密培训合格证书的优先。</w:t>
      </w:r>
    </w:p>
    <w:p w14:paraId="1CBC09F9">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技术负责人具有测绘类或计算机类高级及以上职称证书、具有注册测绘师执业资格证书的优先。</w:t>
      </w:r>
    </w:p>
    <w:p w14:paraId="441F548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default" w:asciiTheme="minorEastAsia" w:hAnsiTheme="minorEastAsia" w:cstheme="minorEastAsia"/>
          <w:b w:val="0"/>
          <w:bCs w:val="0"/>
          <w:color w:val="auto"/>
          <w:highlight w:val="none"/>
          <w:lang w:val="en-US" w:eastAsia="zh-CN"/>
        </w:rPr>
      </w:pPr>
      <w:r>
        <w:rPr>
          <w:rFonts w:hint="eastAsia" w:asciiTheme="minorEastAsia" w:hAnsiTheme="minorEastAsia" w:cstheme="minorEastAsia"/>
          <w:b w:val="0"/>
          <w:bCs w:val="0"/>
          <w:color w:val="auto"/>
          <w:highlight w:val="none"/>
          <w:lang w:val="en-US" w:eastAsia="zh-CN"/>
        </w:rPr>
        <w:t>数据库建设负责人有信息系统项目管理师证书（或系统集成项目管理工程师证书）、地理信息安全保密培训合格证书的优先。</w:t>
      </w:r>
    </w:p>
    <w:p w14:paraId="2F21902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val="0"/>
          <w:bCs w:val="0"/>
          <w:color w:val="auto"/>
          <w:highlight w:val="none"/>
          <w:lang w:val="en-US" w:eastAsia="zh-CN"/>
        </w:rPr>
        <w:t>其他人员（不包含项目负责人、技术负责人、数据库建设负责人）：具有测绘类或计算机类中级工程师职称证书、具有测绘类或计算机类高级及以上职称证书、具有民用无人机驾驶合格证、具有农村土地承包延包工作培训合格证书的优先。</w:t>
      </w:r>
    </w:p>
    <w:p w14:paraId="2334226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cstheme="minorEastAsia"/>
          <w:b/>
          <w:bCs/>
          <w:color w:val="auto"/>
          <w:highlight w:val="none"/>
          <w:lang w:val="en-US" w:eastAsia="zh-CN"/>
        </w:rPr>
        <w:t>4</w:t>
      </w:r>
      <w:r>
        <w:rPr>
          <w:rFonts w:hint="eastAsia" w:asciiTheme="minorEastAsia" w:hAnsiTheme="minorEastAsia" w:eastAsiaTheme="minorEastAsia" w:cstheme="minorEastAsia"/>
          <w:b/>
          <w:bCs/>
          <w:color w:val="auto"/>
          <w:highlight w:val="none"/>
          <w:lang w:val="en-US" w:eastAsia="zh-CN"/>
        </w:rPr>
        <w:t>、</w:t>
      </w:r>
      <w:r>
        <w:rPr>
          <w:rFonts w:hint="eastAsia" w:asciiTheme="minorEastAsia" w:hAnsiTheme="minorEastAsia" w:cstheme="minorEastAsia"/>
          <w:b/>
          <w:bCs/>
          <w:color w:val="auto"/>
          <w:highlight w:val="none"/>
          <w:lang w:val="en-US" w:eastAsia="zh-CN"/>
        </w:rPr>
        <w:t>技术</w:t>
      </w:r>
      <w:r>
        <w:rPr>
          <w:rFonts w:hint="eastAsia" w:asciiTheme="minorEastAsia" w:hAnsiTheme="minorEastAsia" w:eastAsiaTheme="minorEastAsia" w:cstheme="minorEastAsia"/>
          <w:b/>
          <w:bCs/>
          <w:color w:val="auto"/>
          <w:highlight w:val="none"/>
          <w:lang w:val="en-US" w:eastAsia="zh-CN"/>
        </w:rPr>
        <w:t>服务方案</w:t>
      </w:r>
    </w:p>
    <w:p w14:paraId="26BF5B4C">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根据农业农村部办公厅、自然资源部办公厅、国家档案局办公室关于印发《第二轮土地承包到期后再延长30年试点工作规程》，结合本次项目实际情况，对相应工作制定切实可行的实施方案，方案至少包含以下内容：</w:t>
      </w:r>
    </w:p>
    <w:p w14:paraId="503AAA18">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default"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4.1 项目整体理解及把控方案</w:t>
      </w:r>
    </w:p>
    <w:p w14:paraId="73D20BC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①分析阐述对延包“八步法”的理解</w:t>
      </w:r>
    </w:p>
    <w:p w14:paraId="47F0C97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宣传动员，通过村广播、公开栏、入户走访、村民会议等不少于3种渠道宣讲延包政策，群众答疑响应不超过24小时，统一思想认识。二是摸底清查，承包地块、面积、权属、家庭成员等基础信息核查覆盖率100%，建立一户一档台账。三是方案拟定，结合村情拟定延包实施方案，明确延包规则、调整情形，保障政策落地。四是民主议事，履行村民议事程序，村民代表到会率不低于应到代表的三分之二，会议资料留存完整率100%。五是公示征求意见，对延包方案、承包信息进行公示，公示期不少于15天，收集异议并在5个工作日内核查处置完毕。六是签订延包合同，规范土地承包延包合同文本，农户签约率100%，合同归档完整率100%。七是确权登记，依托国土空间数据，承包地权属登记资料整理完整率100%，配合证书换发。八是资料归档验收，全过程资料分类立卷，归档完整率100%，自查整改闭环率100%，迎接上级验收。</w:t>
      </w:r>
    </w:p>
    <w:p w14:paraId="712FA4F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②对项目需求理解</w:t>
      </w:r>
    </w:p>
    <w:p w14:paraId="3D951A62">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核心目标：稳定农村土地承包关系，保持土地承包长久不变，规范完善土地承包合同、权属资料，农户延包签约率100%，顺利完成延包落地，保障农民土地承包权益。技术服务全过程严格遵循土地承包相关法规政策，统筹外业调查、内业数据整理、成果质检、档案归集、系统入库与业务培训，培训覆盖率100%。建立质量管控机制，成果一次性验收通过率不低于95%，按合同工期100%交付完整权属资料与数字化成果，助力辖区平稳有序完成土地延包，维护农村社会稳定，夯实农村土地制度改革基础。</w:t>
      </w:r>
    </w:p>
    <w:p w14:paraId="6EB8784F">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4.2 项目实施细节方案及建议措施</w:t>
      </w:r>
    </w:p>
    <w:p w14:paraId="3491BE0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①延包工作关键环节在摸底核实</w:t>
      </w:r>
    </w:p>
    <w:p w14:paraId="6C6A080B">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摸底核实阶段重点做好权属、地块、人口、合同档案核查四大核心环节，核查覆盖率100%。一是资料归集比对，收集原承包合同、台账、地籍资料，承包户信息、地块坐落、面积、四至核对率100%，排查档案缺失、信息不一致问题。二是实地外业核实，现场踏勘地块边界，核实土地现状、地类变化、流转、占用及分户、销户等人员变动情况，每地块现场采集不少于2张影像佐证，化解边界争议。三是内业复核校验，对采集信息交叉审核，特殊情形地块建档率100%，分类建立问题台账。四是入户调查确认，入户核实覆盖率100%，农户签字确认率100%，做好政策宣讲，留存农户确认材料。建议措施：建立分级核查机制，实行村组初审、项目组复核、抽查验收三级质控，抽查比例不低于10%；设立争议调处专班，争议响应不超过24小时，提前介入矛盾纠纷；规范数据标准，统一成果入库；强化全过程资料留痕，保障摸底成果真实准确，为土地延包方案编制、承包合同签订提供可靠基础数据，确保延包工作依法平稳推进。</w:t>
      </w:r>
    </w:p>
    <w:p w14:paraId="3EF1512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②延包工作工作量最大的部分在调查修补测</w:t>
      </w:r>
    </w:p>
    <w:p w14:paraId="35C16AB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主要包含权属调查、地块修补测、资料复核、矛盾地块核查等工作。作业需以原有确权数据库为基底，实地核查承包地边界、地类、面积，灭失、移位界址点修补率100%，更新地块图形与权属信息，同步收集农户身份、承包合同等资料，权属争议地块建档率100%。建议措施：一是组建外业专班，分片分区作业，开展实地修测，平面定位精度满足±5cm以内，对照档案逐地块核验，减少内业返工；二是建立现场公示机制，实地指界确认率100%，提前排查邻里边界纠纷，现场记录争议情况并分类建档；三是严格质量管控，实行外业100%核查、内业分层抽检不低于30%，保证图形、权属、台账三者一致，一致性差错率不超过1%；四是做好数据衔接，修测成果直接对接土地承包数据库，规范成果格式；五是加强乡镇、村社联动，提前开展政策宣讲，引导农户配合指界，指界到场率不低于95%，保障修补测进度，按时提交合格调查成果，支撑延包合同签订与档案入库。</w:t>
      </w:r>
    </w:p>
    <w:p w14:paraId="60A1E38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③延包工作重点技术环节在延包数据处理</w:t>
      </w:r>
    </w:p>
    <w:p w14:paraId="6D01B103">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以农村土地承包确权原有数据库为基础，整合外业调查修补测成果、承包合同、权属档案、农户信息等多源数据，开展数据清洗、图形拓扑检查、权属信息挂接、逻辑校验、地块信息更新、数据库重构及成果汇交。重点处理地块图形矛盾、权属信息不一致、农户信息缺失、承包期限更新、地块合并分割等问题，图、数、账、证一致率100%。建议措施：一是搭建专用数据处理工作组，制定标准化数据字典与作业流程，统一数据格式；二是采用自动化质检工具结合人工复核，批量开展拓扑、面积、权属逻辑检查，问题台账闭环整改率100%；三是做好多源数据融合匹配，承包起止期限更新率100%，关联延包备案信息；四是建立数据分级备份机制，每日备份不少于1次，历史版本留存不少于3个，全过程可追溯，保障数据安全；五是对接主管部门数据库标准，按要求输出数据库、报表、图件等成果，成果汇交合格率100%，配合成果核查验收，支撑延包档案电子化管理。</w:t>
      </w:r>
    </w:p>
    <w:p w14:paraId="2DE15D3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④延包工作成果在合同签订，而审核公示、网签技术服务是关乎合同签订进度的重要工作节点</w:t>
      </w:r>
    </w:p>
    <w:p w14:paraId="1F10947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建立分层成果审核机制。对权属资料、承包地块信息、农户身份信息开展不少于3轮交叉核验，提前排查地块边界、面积、家庭成员等数据矛盾，形成问题台账，一般问题3个工作日内整改、重大问题24小时内响应，从源头减少合同签订争议。二是规范公示技术支撑。搭建公示信息模板，统一公示内容、范围、期限，公示期不少于15天，线上线下公示影像与记录留存完整率100%，群众异议在5个工作日内核查处置完毕，保障公示程序合规。三是强化网签技术保障。优化网签系统操作流程，农户端、村级操作人员培训覆盖率100%，线上合同录入、签章、存档稳定运行，数据实时归集率100%。四是建立进度管控体系，关键节点提前3天预警，及时协调解决审核、公示、网签堵点，保障延包合同签订整体进度。配套建立档案与质量抽查机制，抽查比例不低于10%，确保成果合法合规、数据真实准确，农户延包合同签订率100%，顺利完成延包合同签订目标。</w:t>
      </w:r>
    </w:p>
    <w:p w14:paraId="477BACF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2" w:firstLineChars="200"/>
        <w:textAlignment w:val="auto"/>
        <w:rPr>
          <w:rFonts w:hint="eastAsia" w:asciiTheme="minorEastAsia" w:hAnsiTheme="minorEastAsia" w:cstheme="minorEastAsia"/>
          <w:b/>
          <w:bCs/>
          <w:color w:val="auto"/>
          <w:highlight w:val="none"/>
          <w:lang w:val="en-US" w:eastAsia="zh-CN"/>
        </w:rPr>
      </w:pPr>
      <w:r>
        <w:rPr>
          <w:rFonts w:hint="eastAsia" w:asciiTheme="minorEastAsia" w:hAnsiTheme="minorEastAsia" w:cstheme="minorEastAsia"/>
          <w:b/>
          <w:bCs/>
          <w:color w:val="auto"/>
          <w:highlight w:val="none"/>
          <w:lang w:val="en-US" w:eastAsia="zh-CN"/>
        </w:rPr>
        <w:t>4.3项目质量控制、保密措施及工期安排</w:t>
      </w:r>
    </w:p>
    <w:p w14:paraId="008FF51A">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①质量控制措施方案</w:t>
      </w:r>
    </w:p>
    <w:p w14:paraId="74ABBCD1">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组织质量管控。成立专项技术质控小组，明确项目负责人、技术负责人、内审员岗位职责，实行分级审核制度，落实质量终身责任制，每周开展不少于1次内部质量会商，工作疑点响应不超过24小时。二是全过程工序质量控制。严格按照土地承包确权、延包政策及技术规范开展外业调查、权属核实、地块测绘、资料采集；外业双人核查率100%，对内业矢量数据、权属信息、承包合同、登记簿等成果实行“自检-互检-专检”三级检查，三级检查覆盖率100%，重点核查地块边界、面积、农户信息一致性，一致性差错率不超过1%。三是成果审核与风险管控。对照延包政策逐项校验成果合规性，问题台账闭环整改率100%；同步开展档案资料质量检查，纸质、电子档案完整统一率100%。四是质量验收与回访。配合业主开展阶段性验收与最终成果验收，成果一次性验收通过率不低于95%，做好成果移交后的技术复核，接受主管部门抽检，对发现问题一般3个工作日内整改、重大问题24小时内响应，保障土地延包成果可入库、可应用，维护农户土地承包权益。</w:t>
      </w:r>
    </w:p>
    <w:p w14:paraId="7BC445A5">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②项目数据保密工作方案措施</w:t>
      </w:r>
    </w:p>
    <w:p w14:paraId="6CC91BB6">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一是组织与责任管控。设立项目保密小组，明确项目负责人为保密第一责任人，所有技术人员保密承诺书签订率100%，岗前保密培训不少于1次、培训时长不少于2学时，落实岗位保密职责，严禁无关人员接触项目数据。二是数据全生命周期防护。数据采集、存储、处理、移交各环节分级管控；原始权属资料、地块矢量数据、农户身份信息实行内网隔离存储率100%，禁止外网拷贝、传输；纸质档案专柜上锁保管，借阅登记率100%、限时归还。三是操作与人员管控。设置分级权限账号，操作全程留痕审计，操作日志留存不少于6个月；严禁私自复制、转发、外传项目数据，手机等移动设备禁止接入涉密工作终端。四是应急与收尾管理。制定数据泄露应急预案，每月开展不少于1次保密自查；项目完工后按要求清理临时数据、销毁冗余资料，规范成果移交，严守延包农户隐私与土地权属数据安全，保障延包工作依法稳妥推进。</w:t>
      </w:r>
    </w:p>
    <w:p w14:paraId="304D3062">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eastAsia"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③工期计划安排</w:t>
      </w:r>
    </w:p>
    <w:p w14:paraId="545E75AD">
      <w:pPr>
        <w:pStyle w:val="31"/>
        <w:keepNext w:val="0"/>
        <w:keepLines w:val="0"/>
        <w:pageBreakBefore w:val="0"/>
        <w:widowControl w:val="0"/>
        <w:numPr>
          <w:ilvl w:val="0"/>
          <w:numId w:val="0"/>
        </w:numPr>
        <w:kinsoku/>
        <w:wordWrap/>
        <w:overflowPunct/>
        <w:topLinePunct w:val="0"/>
        <w:autoSpaceDE/>
        <w:autoSpaceDN/>
        <w:bidi w:val="0"/>
        <w:spacing w:beforeAutospacing="0" w:afterAutospacing="0" w:line="500" w:lineRule="exact"/>
        <w:ind w:firstLine="480" w:firstLineChars="200"/>
        <w:textAlignment w:val="auto"/>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第一阶段为前期准备阶段，约占总工期的10%：组建专项技术服务团队，开展政策培训、资料收集、现状底图梳理，实地踏勘调研，制定项目技术细则与工作清单，完成工作交底。第二阶段为外业核查阶段，约占总工期的40%：入户开展承包地块权属核实、现场指界、矛盾初步排查，入户覆盖率100%，采集地块空间信息，核对承包户信息，同步记录权属争议情况。第三阶段为内业建库阶段，约占总工期的30%：整理外业成果，矢量化地块数据，完善承包信息，制作承包地块分布图，完成数据质检、权属资料校核，形成延包基础成果。第四阶段为成果公示与整改阶段，约占总工期的15%：组织成果公示，公示期不少于15天，收集群众异议，开展问题复核修改，化解权属纠纷。第五阶段为验收归档阶段，约占总工期的5%：汇总全套技术资料，完成自检验收，自检验收通过率100%，配合业主开展项目验收，成果入库归档，做好后续技术交底</w:t>
      </w:r>
      <w:r>
        <w:rPr>
          <w:rFonts w:hint="default" w:asciiTheme="minorEastAsia" w:hAnsiTheme="minorEastAsia" w:cstheme="minorEastAsia"/>
          <w:color w:val="auto"/>
          <w:highlight w:val="none"/>
          <w:lang w:val="en-US" w:eastAsia="zh-CN"/>
        </w:rPr>
        <w:t>。</w:t>
      </w:r>
    </w:p>
    <w:p w14:paraId="7F56105E">
      <w:pPr>
        <w:pStyle w:val="31"/>
        <w:keepNext w:val="0"/>
        <w:keepLines w:val="0"/>
        <w:pageBreakBefore w:val="0"/>
        <w:widowControl w:val="0"/>
        <w:kinsoku/>
        <w:wordWrap/>
        <w:overflowPunct/>
        <w:topLinePunct w:val="0"/>
        <w:autoSpaceDE/>
        <w:autoSpaceDN/>
        <w:bidi w:val="0"/>
        <w:spacing w:beforeAutospacing="0" w:afterAutospacing="0" w:line="500" w:lineRule="exac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bCs/>
          <w:color w:val="auto"/>
          <w:highlight w:val="none"/>
          <w:lang w:val="en-US" w:eastAsia="zh-CN"/>
        </w:rPr>
        <w:t>六</w:t>
      </w:r>
      <w:r>
        <w:rPr>
          <w:rFonts w:hint="eastAsia" w:asciiTheme="minorEastAsia" w:hAnsiTheme="minorEastAsia" w:eastAsiaTheme="minorEastAsia" w:cstheme="minorEastAsia"/>
          <w:b/>
          <w:bCs/>
          <w:color w:val="auto"/>
          <w:highlight w:val="none"/>
        </w:rPr>
        <w:t>、采购标的对应的中小企业划分标准所属行业一览表</w:t>
      </w:r>
    </w:p>
    <w:tbl>
      <w:tblPr>
        <w:tblStyle w:val="34"/>
        <w:tblW w:w="8504" w:type="dxa"/>
        <w:jc w:val="center"/>
        <w:tblCellSpacing w:w="0" w:type="dxa"/>
        <w:tblLayout w:type="fixed"/>
        <w:tblCellMar>
          <w:top w:w="0" w:type="dxa"/>
          <w:left w:w="108" w:type="dxa"/>
          <w:bottom w:w="0" w:type="dxa"/>
          <w:right w:w="108" w:type="dxa"/>
        </w:tblCellMar>
      </w:tblPr>
      <w:tblGrid>
        <w:gridCol w:w="693"/>
        <w:gridCol w:w="4185"/>
        <w:gridCol w:w="3626"/>
      </w:tblGrid>
      <w:tr w14:paraId="70121347">
        <w:tblPrEx>
          <w:tblCellMar>
            <w:top w:w="0" w:type="dxa"/>
            <w:left w:w="108" w:type="dxa"/>
            <w:bottom w:w="0" w:type="dxa"/>
            <w:right w:w="108" w:type="dxa"/>
          </w:tblCellMar>
        </w:tblPrEx>
        <w:trPr>
          <w:trHeight w:val="902"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A24A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D982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采购标的</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560A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对应中小企业划分标准所属行业</w:t>
            </w:r>
          </w:p>
        </w:tc>
      </w:tr>
      <w:tr w14:paraId="5F6FDB11">
        <w:tblPrEx>
          <w:tblCellMar>
            <w:top w:w="0" w:type="dxa"/>
            <w:left w:w="108" w:type="dxa"/>
            <w:bottom w:w="0" w:type="dxa"/>
            <w:right w:w="108" w:type="dxa"/>
          </w:tblCellMar>
        </w:tblPrEx>
        <w:trPr>
          <w:trHeight w:val="983" w:hRule="atLeast"/>
          <w:tblCellSpacing w:w="0" w:type="dxa"/>
          <w:jc w:val="center"/>
        </w:trPr>
        <w:tc>
          <w:tcPr>
            <w:tcW w:w="6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EEC4B">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41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3B668">
            <w:pPr>
              <w:pStyle w:val="31"/>
              <w:spacing w:beforeAutospacing="0" w:afterAutospacing="0" w:line="0" w:lineRule="atLeast"/>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highlight w:val="none"/>
                <w:lang w:eastAsia="zh-CN"/>
              </w:rPr>
              <w:t>盐都区楼王镇第二轮土地承包到期后再延长30年技术服务项目</w:t>
            </w:r>
          </w:p>
        </w:tc>
        <w:tc>
          <w:tcPr>
            <w:tcW w:w="3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BBC1D">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FFFFF"/>
              </w:rPr>
              <w:t>租赁和商务服务业</w:t>
            </w:r>
          </w:p>
        </w:tc>
      </w:tr>
    </w:tbl>
    <w:p w14:paraId="392F2FEB">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r>
    </w:p>
    <w:p w14:paraId="4968D9EB">
      <w:pPr>
        <w:jc w:val="cente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第五章  评标方法与评标标准</w:t>
      </w:r>
    </w:p>
    <w:p w14:paraId="2A8F5A8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3C7A96F">
      <w:pPr>
        <w:spacing w:line="500" w:lineRule="exact"/>
        <w:ind w:firstLine="482"/>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一、定标原则</w:t>
      </w:r>
    </w:p>
    <w:p w14:paraId="305A441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本项目采用</w:t>
      </w:r>
      <w:r>
        <w:rPr>
          <w:rFonts w:hint="eastAsia" w:asciiTheme="minorEastAsia" w:hAnsiTheme="minorEastAsia" w:eastAsiaTheme="minorEastAsia" w:cstheme="minorEastAsia"/>
          <w:bCs/>
          <w:color w:val="auto"/>
          <w:sz w:val="24"/>
          <w:highlight w:val="none"/>
          <w:u w:val="single"/>
        </w:rPr>
        <w:t xml:space="preserve"> 综合评分法</w:t>
      </w:r>
      <w:r>
        <w:rPr>
          <w:rFonts w:hint="eastAsia" w:asciiTheme="minorEastAsia" w:hAnsiTheme="minorEastAsia" w:eastAsiaTheme="minorEastAsia" w:cstheme="minorEastAsia"/>
          <w:bCs/>
          <w:color w:val="auto"/>
          <w:sz w:val="24"/>
          <w:highlight w:val="none"/>
        </w:rPr>
        <w:t>。</w:t>
      </w:r>
      <w:r>
        <w:rPr>
          <w:rFonts w:hint="eastAsia" w:asciiTheme="minorEastAsia" w:hAnsiTheme="minorEastAsia" w:eastAsiaTheme="minorEastAsia" w:cstheme="minorEastAsia"/>
          <w:color w:val="auto"/>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CAA2BAA">
      <w:pPr>
        <w:pStyle w:val="31"/>
        <w:spacing w:beforeAutospacing="0" w:afterAutospacing="0" w:line="50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政府采购政策功能落实</w:t>
      </w:r>
    </w:p>
    <w:p w14:paraId="7B72DD80">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1、小微型企业价格扣除</w:t>
      </w:r>
    </w:p>
    <w:p w14:paraId="1AC1B578">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（1）本项目专门面向中小企业采购，不再对小型和微型企业报价给予价格扣除。 </w:t>
      </w:r>
    </w:p>
    <w:p w14:paraId="3816D49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（2）供应商需按照采购文件的要求提供相应的《中小企业声明函》。 </w:t>
      </w:r>
    </w:p>
    <w:p w14:paraId="0069D90C">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（3）企业标准请参照《关于印发中小企业划型标准规定的通知》（工信部联企业〔2011〕300号）文件规定自行填写。</w:t>
      </w:r>
    </w:p>
    <w:p w14:paraId="1288ED72">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2、残疾人福利单位价格扣除</w:t>
      </w:r>
    </w:p>
    <w:p w14:paraId="60A63E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（1）本项目对残疾人福利性单位视同小型、微型企业。 </w:t>
      </w:r>
    </w:p>
    <w:p w14:paraId="1DFC2567">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（2）残疾人福利单位需按照采购文件的要求提供《残疾人福利性单位声明函》。 </w:t>
      </w:r>
    </w:p>
    <w:p w14:paraId="66A51910">
      <w:pPr>
        <w:pStyle w:val="31"/>
        <w:spacing w:beforeAutospacing="0" w:afterAutospacing="0" w:line="500" w:lineRule="exact"/>
        <w:ind w:firstLine="36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（3）残疾人福利单位标准请参照《关于促进残疾人就业政府采购政策的通知》（财库〔2017〕141号）。</w:t>
      </w:r>
    </w:p>
    <w:p w14:paraId="7AF942DC">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3、监狱和戒毒企业价格扣除</w:t>
      </w:r>
    </w:p>
    <w:p w14:paraId="6FEB54A7">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（1）本项目对监狱和戒毒企业（简称监狱企业）视同小型、微型企业。 </w:t>
      </w:r>
    </w:p>
    <w:p w14:paraId="3F6BBBD5">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 </w:t>
      </w:r>
    </w:p>
    <w:p w14:paraId="407103C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（3）监狱企业标准请参照《关于政府采购支持监狱企业发展有关问题的通知》 （财库〔2014〕68号）。</w:t>
      </w:r>
    </w:p>
    <w:p w14:paraId="578F1C1B">
      <w:pPr>
        <w:pStyle w:val="31"/>
        <w:spacing w:beforeAutospacing="0" w:afterAutospacing="0" w:line="50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4、残疾人福利单位、监狱企业属于小型、微型企业的，不重复享受政策。</w:t>
      </w:r>
    </w:p>
    <w:p w14:paraId="1F1B4685">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5</w:t>
      </w:r>
      <w:r>
        <w:rPr>
          <w:rFonts w:hint="eastAsia" w:asciiTheme="minorEastAsia" w:hAnsiTheme="minorEastAsia" w:eastAsiaTheme="minorEastAsia" w:cstheme="minorEastAsia"/>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sz w:val="24"/>
          <w:highlight w:val="none"/>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sz w:val="24"/>
          <w:highlight w:val="none"/>
        </w:rPr>
        <w:t>。</w:t>
      </w:r>
      <w:r>
        <w:rPr>
          <w:rFonts w:hint="eastAsia" w:asciiTheme="minorEastAsia" w:hAnsiTheme="minorEastAsia" w:eastAsiaTheme="minorEastAsia" w:cstheme="minorEastAsia"/>
          <w:color w:val="auto"/>
          <w:sz w:val="24"/>
          <w:highlight w:val="none"/>
        </w:rPr>
        <w:t>其他条件相同情况下，应当优先采购节能产品、环境标志产品。</w:t>
      </w:r>
    </w:p>
    <w:p w14:paraId="4337E4BF">
      <w:pPr>
        <w:pStyle w:val="31"/>
        <w:spacing w:beforeAutospacing="0" w:afterAutospacing="0" w:line="500" w:lineRule="exact"/>
        <w:ind w:firstLine="482"/>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评标方法与评标标准</w:t>
      </w:r>
    </w:p>
    <w:tbl>
      <w:tblPr>
        <w:tblStyle w:val="34"/>
        <w:tblW w:w="9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7"/>
        <w:gridCol w:w="1320"/>
        <w:gridCol w:w="765"/>
        <w:gridCol w:w="6777"/>
      </w:tblGrid>
      <w:tr w14:paraId="3E634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575D218">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序号</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748875F6">
            <w:pPr>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评审项目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24C51918">
            <w:pPr>
              <w:spacing w:line="400" w:lineRule="exact"/>
              <w:jc w:val="center"/>
              <w:rPr>
                <w:rFonts w:hint="eastAsia" w:asciiTheme="minorEastAsia" w:hAnsiTheme="minorEastAsia" w:eastAsiaTheme="minorEastAsia" w:cstheme="minorEastAsia"/>
                <w:b/>
                <w:bCs/>
                <w:color w:val="auto"/>
                <w:spacing w:val="-8"/>
                <w:sz w:val="24"/>
                <w:highlight w:val="none"/>
              </w:rPr>
            </w:pPr>
            <w:r>
              <w:rPr>
                <w:rFonts w:hint="eastAsia" w:asciiTheme="minorEastAsia" w:hAnsiTheme="minorEastAsia" w:eastAsiaTheme="minorEastAsia" w:cstheme="minorEastAsia"/>
                <w:b/>
                <w:bCs/>
                <w:color w:val="auto"/>
                <w:spacing w:val="-8"/>
                <w:sz w:val="24"/>
                <w:highlight w:val="none"/>
                <w:lang w:bidi="ar"/>
              </w:rPr>
              <w:t>分值</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2F8D2ADC">
            <w:pPr>
              <w:widowControl/>
              <w:spacing w:line="400" w:lineRule="exact"/>
              <w:jc w:val="center"/>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bidi="ar"/>
              </w:rPr>
              <w:t>评分标准</w:t>
            </w:r>
          </w:p>
        </w:tc>
      </w:tr>
      <w:tr w14:paraId="018B6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2"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29443DB7">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1</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8F4D110">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bidi="ar"/>
              </w:rPr>
              <w:t>投标报价</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6E167F8">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10</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4A861E14">
            <w:pPr>
              <w:spacing w:line="400" w:lineRule="exact"/>
              <w:ind w:firstLine="48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价格分采用低价优先法计算，即满足招标文件要求且投标价格最低的投标报价为评标基准价，其价格分为满分。其他投标人的价格分统一按照下列公式计算：投标报价得分=（评标基准价／投标报价）×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4"/>
                <w:highlight w:val="none"/>
                <w:lang w:val="en-US" w:eastAsia="zh-CN" w:bidi="ar"/>
              </w:rPr>
              <w:t>10</w:t>
            </w:r>
            <w:r>
              <w:rPr>
                <w:rFonts w:hint="eastAsia" w:asciiTheme="minorEastAsia" w:hAnsiTheme="minorEastAsia" w:eastAsiaTheme="minorEastAsia" w:cstheme="minorEastAsia"/>
                <w:color w:val="auto"/>
                <w:sz w:val="24"/>
                <w:highlight w:val="none"/>
                <w:lang w:bidi="ar"/>
              </w:rPr>
              <w:t>。（得分保留两位小数）</w:t>
            </w:r>
          </w:p>
        </w:tc>
      </w:tr>
      <w:tr w14:paraId="4295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8"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7FF957D3">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2</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88A0F">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业绩</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E3B3E">
            <w:pPr>
              <w:spacing w:line="36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highlight w:val="none"/>
                <w:lang w:val="en-US" w:eastAsia="zh-CN" w:bidi="ar"/>
              </w:rPr>
              <w:t>18</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59E2E">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供应商自2023年1月1日至今（以合同签订时间为准），供应商承担过同类项目业绩的，每有1个得3分，本项最高得18分。（同类业绩指：二轮延包类项目）</w:t>
            </w:r>
          </w:p>
          <w:p w14:paraId="7186CCB2">
            <w:pPr>
              <w:spacing w:line="400" w:lineRule="exact"/>
              <w:ind w:firstLine="480" w:firstLineChars="0"/>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highlight w:val="none"/>
                <w:lang w:bidi="ar"/>
              </w:rPr>
              <w:t>注：提供合同扫描件，合同须能反映项目名称、主要标的物、签订时间、单位公章或专用合同章,如不能反映的，另须提供盖有原委托单位公章的证明，否则不予认可。</w:t>
            </w:r>
          </w:p>
        </w:tc>
      </w:tr>
      <w:tr w14:paraId="0E64E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5"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5FFC8F58">
            <w:pPr>
              <w:spacing w:line="360" w:lineRule="exact"/>
              <w:jc w:val="center"/>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C0852">
            <w:pPr>
              <w:spacing w:line="360" w:lineRule="exact"/>
              <w:jc w:val="center"/>
              <w:rPr>
                <w:rFonts w:hint="eastAsia"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企业资信</w:t>
            </w:r>
          </w:p>
        </w:tc>
        <w:tc>
          <w:tcPr>
            <w:tcW w:w="7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96EC0B">
            <w:pPr>
              <w:spacing w:line="360" w:lineRule="exact"/>
              <w:jc w:val="center"/>
              <w:rPr>
                <w:rFonts w:hint="default" w:asciiTheme="minorEastAsia" w:hAnsi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6分</w:t>
            </w:r>
          </w:p>
        </w:tc>
        <w:tc>
          <w:tcPr>
            <w:tcW w:w="6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B6CB7">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1、供应商具有有效的质量管理体系、环境管理体系、职业健康安全管理体系、测量管理体系、信息技术服务管理体系认证证书的，每提供1个得1分，本项最高得5分。（认证证书须在“国家认监委网站（http://cnca.gov.cn/）”可查，提供网站查询截屏、证书扫描件，二个材料必须同时提供，未提供或提供不全的不得分）。</w:t>
            </w:r>
          </w:p>
          <w:p w14:paraId="0DA63DA9">
            <w:pPr>
              <w:spacing w:line="400" w:lineRule="exact"/>
              <w:ind w:firstLine="480" w:firstLineChars="0"/>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2、供应商具有档案管理部门颁发的档案工作规范化管理证书（或具有档案管理部门出具的“良好及以上等级”的工作评价证明）的得1分，本项最高得1分。（提供证书扫描件）</w:t>
            </w:r>
          </w:p>
        </w:tc>
      </w:tr>
      <w:tr w14:paraId="4ACA9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D899704">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4</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C9B9B6C">
            <w:pPr>
              <w:spacing w:line="360" w:lineRule="exact"/>
              <w:jc w:val="cente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人员配置</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AEEAF29">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cstheme="minorEastAsia"/>
                <w:color w:val="auto"/>
                <w:sz w:val="24"/>
                <w:highlight w:val="none"/>
                <w:lang w:val="en-US" w:eastAsia="zh-CN" w:bidi="ar"/>
              </w:rPr>
              <w:t>16</w:t>
            </w:r>
            <w:r>
              <w:rPr>
                <w:rFonts w:hint="eastAsia" w:asciiTheme="minorEastAsia" w:hAnsiTheme="minorEastAsia" w:eastAsiaTheme="minorEastAsia" w:cstheme="minorEastAsia"/>
                <w:color w:val="auto"/>
                <w:sz w:val="24"/>
                <w:highlight w:val="none"/>
                <w:lang w:val="en-US" w:eastAsia="zh-CN"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56406085">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1、拟派项目负责人：具有测绘类或计算机类高级及以上职称证书的得1分；具有注册测绘师执业资格证书的得1分；具有档案人员上岗培训证书的得1分；具有地理信息安全保密培训合格证书得1分，本项最高得4分。</w:t>
            </w:r>
          </w:p>
          <w:p w14:paraId="7C65416D">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2、拟派技术负责人：具有测绘类或计算机类高级及以上职称证书的得1分；具有注册测绘师执业资格证书的得1分，本项最高得2分。</w:t>
            </w:r>
          </w:p>
          <w:p w14:paraId="008939E7">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3、拟派数据库建设负责人：具有信息系统项目管理师证书（或系统集成项目管理工程师证书）的得1分；具有地理信息安全保密培训合格证书得1分，本项最高得2分。</w:t>
            </w:r>
          </w:p>
          <w:p w14:paraId="264D583A">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4、其他人员（不包含1-3项人员）：</w:t>
            </w:r>
          </w:p>
          <w:p w14:paraId="0B9DB024">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（1）具有测绘类或计算机类中级工程师职称的得0.5分/人，具有测绘类或计算机类高级及以上职称的得1分/人，最高得4分。</w:t>
            </w:r>
          </w:p>
          <w:p w14:paraId="3D778A07">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（2）具有民用无人机驾驶合格证的得1分/人，最高得2分。</w:t>
            </w:r>
          </w:p>
          <w:p w14:paraId="420104E4">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（3）具有农村土地承包延包工作培训合格证书的得1分/人，最高得2分。</w:t>
            </w:r>
          </w:p>
          <w:p w14:paraId="61E22FBD">
            <w:pPr>
              <w:spacing w:line="400" w:lineRule="exact"/>
              <w:ind w:firstLine="480"/>
              <w:rPr>
                <w:rFonts w:hint="eastAsia" w:asciiTheme="minorEastAsia" w:hAnsi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其他人员（不包含1-3项人员）须一人一证，不得重复（同一自然人同时具有多项证书的，只计分一次，不重复计分）</w:t>
            </w:r>
          </w:p>
          <w:p w14:paraId="3CCD2ED8">
            <w:pPr>
              <w:spacing w:line="400" w:lineRule="exact"/>
              <w:ind w:firstLine="480"/>
              <w:rPr>
                <w:rFonts w:hint="eastAsia" w:asciiTheme="minorEastAsia" w:hAnsiTheme="minorEastAsia" w:eastAsiaTheme="minorEastAsia" w:cstheme="minorEastAsia"/>
                <w:color w:val="auto"/>
                <w:sz w:val="24"/>
                <w:highlight w:val="none"/>
                <w:lang w:eastAsia="zh-CN" w:bidi="ar"/>
              </w:rPr>
            </w:pPr>
            <w:r>
              <w:rPr>
                <w:rFonts w:hint="eastAsia" w:asciiTheme="minorEastAsia" w:hAnsiTheme="minorEastAsia" w:cstheme="minorEastAsia"/>
                <w:color w:val="auto"/>
                <w:kern w:val="0"/>
                <w:sz w:val="24"/>
                <w:szCs w:val="24"/>
                <w:highlight w:val="none"/>
                <w:lang w:val="en-US" w:eastAsia="zh-CN"/>
              </w:rPr>
              <w:t>备注:上述1-4项，投标响应时须同时提供：①证书扫描件或网页查询截图；②供应商本单位为其缴纳的从2026年3月至投标截止日当月其中的任意一个月的社保证明材料为准。未提供或提供不全的不得分</w:t>
            </w:r>
            <w:r>
              <w:rPr>
                <w:rFonts w:hint="eastAsia" w:asciiTheme="minorEastAsia" w:hAnsiTheme="minorEastAsia" w:cstheme="minorEastAsia"/>
                <w:color w:val="auto"/>
                <w:kern w:val="0"/>
                <w:sz w:val="24"/>
                <w:szCs w:val="24"/>
                <w:highlight w:val="none"/>
                <w:lang w:eastAsia="zh-CN"/>
              </w:rPr>
              <w:t>。</w:t>
            </w:r>
          </w:p>
        </w:tc>
      </w:tr>
      <w:tr w14:paraId="77BA4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3BF92F35">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699AF007">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-项目整体理解及把控方案</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43056869">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12</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32DE635B">
            <w:pPr>
              <w:spacing w:line="400" w:lineRule="exact"/>
              <w:ind w:firstLine="480"/>
              <w:rPr>
                <w:rFonts w:hint="eastAsia" w:asciiTheme="minorEastAsia" w:hAnsiTheme="minorEastAsia" w:eastAsiaTheme="minorEastAsia" w:cstheme="minorEastAsia"/>
                <w:b w:val="0"/>
                <w:bCs w:val="0"/>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提供明确、详细</w:t>
            </w:r>
            <w:r>
              <w:rPr>
                <w:rFonts w:hint="eastAsia" w:asciiTheme="minorEastAsia" w:hAnsiTheme="minorEastAsia" w:eastAsiaTheme="minorEastAsia" w:cstheme="minorEastAsia"/>
                <w:b w:val="0"/>
                <w:bCs w:val="0"/>
                <w:color w:val="auto"/>
                <w:sz w:val="24"/>
                <w:szCs w:val="24"/>
                <w:highlight w:val="none"/>
                <w:lang w:bidi="ar"/>
              </w:rPr>
              <w:t>、规范、全面、可操作性强的</w:t>
            </w:r>
            <w:r>
              <w:rPr>
                <w:rFonts w:hint="eastAsia" w:asciiTheme="minorEastAsia" w:hAnsiTheme="minorEastAsia" w:cstheme="minorEastAsia"/>
                <w:b w:val="0"/>
                <w:bCs w:val="0"/>
                <w:color w:val="auto"/>
                <w:sz w:val="24"/>
                <w:szCs w:val="24"/>
                <w:highlight w:val="none"/>
                <w:lang w:val="en-US" w:eastAsia="zh-CN"/>
              </w:rPr>
              <w:t>项目整体理解及把控方案</w:t>
            </w:r>
            <w:r>
              <w:rPr>
                <w:rFonts w:hint="eastAsia" w:asciiTheme="minorEastAsia" w:hAnsiTheme="minorEastAsia" w:eastAsiaTheme="minorEastAsia" w:cstheme="minorEastAsia"/>
                <w:b w:val="0"/>
                <w:bCs w:val="0"/>
                <w:color w:val="auto"/>
                <w:sz w:val="24"/>
                <w:szCs w:val="24"/>
                <w:highlight w:val="none"/>
                <w:lang w:bidi="ar"/>
              </w:rPr>
              <w:t>，至少包含：①分析阐述对延包“八步法”的理解</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②对项目需求理解。</w:t>
            </w:r>
          </w:p>
          <w:p w14:paraId="24EAA60C">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val="0"/>
                <w:bCs w:val="0"/>
                <w:color w:val="auto"/>
                <w:sz w:val="24"/>
                <w:szCs w:val="24"/>
                <w:highlight w:val="none"/>
                <w:lang w:bidi="ar"/>
              </w:rPr>
              <w:t>方案优于项目需求的得</w:t>
            </w:r>
            <w:r>
              <w:rPr>
                <w:rFonts w:hint="eastAsia" w:asciiTheme="minorEastAsia" w:hAnsiTheme="minorEastAsia" w:eastAsiaTheme="minorEastAsia" w:cstheme="minorEastAsia"/>
                <w:b w:val="0"/>
                <w:bCs w:val="0"/>
                <w:color w:val="auto"/>
                <w:sz w:val="24"/>
                <w:szCs w:val="24"/>
                <w:highlight w:val="none"/>
                <w:lang w:val="en-US" w:eastAsia="zh-CN" w:bidi="ar"/>
              </w:rPr>
              <w:t>6</w:t>
            </w:r>
            <w:r>
              <w:rPr>
                <w:rFonts w:hint="eastAsia" w:asciiTheme="minorEastAsia" w:hAnsiTheme="minorEastAsia" w:eastAsiaTheme="minorEastAsia" w:cstheme="minorEastAsia"/>
                <w:b w:val="0"/>
                <w:bCs w:val="0"/>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本项最高得12分</w:t>
            </w:r>
            <w:r>
              <w:rPr>
                <w:rFonts w:hint="eastAsia" w:asciiTheme="minorEastAsia" w:hAnsiTheme="minorEastAsia" w:eastAsiaTheme="minorEastAsia" w:cstheme="minorEastAsia"/>
                <w:color w:val="auto"/>
                <w:sz w:val="24"/>
                <w:szCs w:val="24"/>
                <w:highlight w:val="none"/>
                <w:lang w:bidi="ar"/>
              </w:rPr>
              <w:t>。</w:t>
            </w:r>
          </w:p>
          <w:p w14:paraId="0D749A3D">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27ED62D1">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技术服务方案-项目整体理解及把控方案应描述简明扼要，不得超过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r w14:paraId="197F5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1C9C2B0">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6</w:t>
            </w:r>
          </w:p>
        </w:tc>
        <w:tc>
          <w:tcPr>
            <w:tcW w:w="1320" w:type="dxa"/>
            <w:tcBorders>
              <w:left w:val="single" w:color="000000" w:sz="4" w:space="0"/>
              <w:right w:val="single" w:color="000000" w:sz="4" w:space="0"/>
            </w:tcBorders>
            <w:noWrap w:val="0"/>
            <w:vAlign w:val="center"/>
          </w:tcPr>
          <w:p w14:paraId="7B1DF01F">
            <w:pPr>
              <w:spacing w:line="360" w:lineRule="exact"/>
              <w:jc w:val="center"/>
              <w:rPr>
                <w:rFonts w:hint="eastAsia" w:asciiTheme="minorEastAsia" w:hAnsiTheme="minorEastAsia" w:eastAsiaTheme="minorEastAsia" w:cstheme="minorEastAsia"/>
                <w:color w:val="auto"/>
                <w:sz w:val="24"/>
                <w:highlight w:val="none"/>
                <w:lang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w:t>
            </w:r>
            <w:r>
              <w:rPr>
                <w:rFonts w:hint="eastAsia" w:asciiTheme="minorEastAsia" w:hAnsiTheme="minorEastAsia" w:eastAsiaTheme="minorEastAsia" w:cstheme="minorEastAsia"/>
                <w:color w:val="auto"/>
                <w:sz w:val="24"/>
                <w:highlight w:val="none"/>
                <w:lang w:bidi="ar"/>
              </w:rPr>
              <w:t>项目实施细节方案及建议措施</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11C11077">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20</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tcPr>
          <w:p w14:paraId="3DB4524B">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w:t>
            </w:r>
            <w:r>
              <w:rPr>
                <w:rFonts w:hint="eastAsia" w:asciiTheme="minorEastAsia" w:hAnsiTheme="minorEastAsia" w:eastAsiaTheme="minorEastAsia" w:cstheme="minorEastAsia"/>
                <w:b w:val="0"/>
                <w:bCs w:val="0"/>
                <w:color w:val="auto"/>
                <w:sz w:val="24"/>
                <w:szCs w:val="24"/>
                <w:highlight w:val="none"/>
                <w:lang w:bidi="ar"/>
              </w:rPr>
              <w:t>供明确、详细、规范、全面、可操作性强的项目实施细节方案及建议措施，至少包含</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①延包工作关键环节在摸底核实，供应</w:t>
            </w:r>
            <w:r>
              <w:rPr>
                <w:rFonts w:hint="eastAsia" w:asciiTheme="minorEastAsia" w:hAnsiTheme="minorEastAsia" w:eastAsiaTheme="minorEastAsia" w:cstheme="minorEastAsia"/>
                <w:color w:val="auto"/>
                <w:sz w:val="24"/>
                <w:szCs w:val="24"/>
                <w:highlight w:val="none"/>
                <w:lang w:bidi="ar"/>
              </w:rPr>
              <w:t>商针对摸底核实给出具体方案，对疑难点问题给出建议措施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②延包工作工作量最大的部分在调查修补测，供应商针对调查修补测工作给出具体工作方案，对疑难点问题给出建议措施。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③延包工作重点技术环节在延包数据处理，供应商针对延包数据处理给出具体工作方案，对疑难点问题给出建议措施</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④延包工作成果在合同签订，而审核公示、网签技术服务是关乎合同签订进度的重要工作节点，供应商针对审核公示、合同签订环节给出具体的培训指导方案等方面内容。</w:t>
            </w:r>
          </w:p>
          <w:p w14:paraId="7800FD99">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方案优于项目需求的得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本项最高得20分</w:t>
            </w:r>
            <w:r>
              <w:rPr>
                <w:rFonts w:hint="eastAsia" w:asciiTheme="minorEastAsia" w:hAnsiTheme="minorEastAsia" w:eastAsiaTheme="minorEastAsia" w:cstheme="minorEastAsia"/>
                <w:color w:val="auto"/>
                <w:sz w:val="24"/>
                <w:szCs w:val="24"/>
                <w:highlight w:val="none"/>
                <w:lang w:bidi="ar"/>
              </w:rPr>
              <w:t>。</w:t>
            </w:r>
          </w:p>
          <w:p w14:paraId="4719D862">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1E32DD17">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技术服务方案-项目实施细节方案及建议措施应描述简明扼要，不得超过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r w14:paraId="5367B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77" w:type="dxa"/>
            <w:tcBorders>
              <w:top w:val="single" w:color="000000" w:sz="4" w:space="0"/>
              <w:left w:val="single" w:color="000000" w:sz="4" w:space="0"/>
              <w:bottom w:val="single" w:color="000000" w:sz="4" w:space="0"/>
              <w:right w:val="single" w:color="000000" w:sz="4" w:space="0"/>
            </w:tcBorders>
            <w:noWrap w:val="0"/>
            <w:vAlign w:val="center"/>
          </w:tcPr>
          <w:p w14:paraId="0F32C244">
            <w:pPr>
              <w:spacing w:line="360" w:lineRule="exact"/>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cstheme="minorEastAsia"/>
                <w:color w:val="auto"/>
                <w:sz w:val="24"/>
                <w:highlight w:val="none"/>
                <w:lang w:val="en-US" w:eastAsia="zh-CN" w:bidi="ar"/>
              </w:rPr>
              <w:t>7</w:t>
            </w:r>
          </w:p>
        </w:tc>
        <w:tc>
          <w:tcPr>
            <w:tcW w:w="1320" w:type="dxa"/>
            <w:tcBorders>
              <w:left w:val="single" w:color="000000" w:sz="4" w:space="0"/>
              <w:right w:val="single" w:color="000000" w:sz="4" w:space="0"/>
            </w:tcBorders>
            <w:noWrap w:val="0"/>
            <w:vAlign w:val="center"/>
          </w:tcPr>
          <w:p w14:paraId="0ED5D7A2">
            <w:pPr>
              <w:spacing w:line="360" w:lineRule="exact"/>
              <w:jc w:val="center"/>
              <w:rPr>
                <w:rFonts w:hint="eastAsia" w:asciiTheme="minorEastAsia" w:hAnsiTheme="minorEastAsia" w:eastAsiaTheme="minorEastAsia" w:cstheme="minorEastAsia"/>
                <w:color w:val="auto"/>
                <w:sz w:val="24"/>
                <w:highlight w:val="none"/>
                <w:lang w:val="en-US" w:eastAsia="zh-CN" w:bidi="ar"/>
              </w:rPr>
            </w:pPr>
            <w:r>
              <w:rPr>
                <w:rFonts w:hint="eastAsia" w:asciiTheme="minorEastAsia" w:hAnsiTheme="minorEastAsia" w:eastAsiaTheme="minorEastAsia" w:cstheme="minorEastAsia"/>
                <w:color w:val="auto"/>
                <w:sz w:val="24"/>
                <w:highlight w:val="none"/>
                <w:lang w:bidi="ar"/>
              </w:rPr>
              <w:t>技术服务方案</w:t>
            </w:r>
            <w:r>
              <w:rPr>
                <w:rFonts w:hint="eastAsia" w:asciiTheme="minorEastAsia" w:hAnsiTheme="minorEastAsia" w:eastAsiaTheme="minorEastAsia" w:cstheme="minorEastAsia"/>
                <w:color w:val="auto"/>
                <w:sz w:val="24"/>
                <w:highlight w:val="none"/>
                <w:lang w:val="en-US" w:eastAsia="zh-CN" w:bidi="ar"/>
              </w:rPr>
              <w:t>-</w:t>
            </w:r>
            <w:r>
              <w:rPr>
                <w:rFonts w:hint="eastAsia" w:asciiTheme="minorEastAsia" w:hAnsiTheme="minorEastAsia" w:eastAsiaTheme="minorEastAsia" w:cstheme="minorEastAsia"/>
                <w:color w:val="auto"/>
                <w:sz w:val="24"/>
                <w:highlight w:val="none"/>
                <w:lang w:bidi="ar"/>
              </w:rPr>
              <w:t>项目质量控制、保密措施及工期安排</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14:paraId="00345B06">
            <w:pPr>
              <w:spacing w:line="36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bidi="ar"/>
              </w:rPr>
              <w:t>18</w:t>
            </w:r>
            <w:r>
              <w:rPr>
                <w:rFonts w:hint="eastAsia" w:asciiTheme="minorEastAsia" w:hAnsiTheme="minorEastAsia" w:eastAsiaTheme="minorEastAsia" w:cstheme="minorEastAsia"/>
                <w:color w:val="auto"/>
                <w:sz w:val="24"/>
                <w:highlight w:val="none"/>
                <w:lang w:bidi="ar"/>
              </w:rPr>
              <w:t>分</w:t>
            </w:r>
          </w:p>
        </w:tc>
        <w:tc>
          <w:tcPr>
            <w:tcW w:w="6777" w:type="dxa"/>
            <w:tcBorders>
              <w:top w:val="single" w:color="000000" w:sz="4" w:space="0"/>
              <w:left w:val="single" w:color="000000" w:sz="4" w:space="0"/>
              <w:bottom w:val="single" w:color="000000" w:sz="4" w:space="0"/>
              <w:right w:val="single" w:color="000000" w:sz="4" w:space="0"/>
            </w:tcBorders>
            <w:noWrap w:val="0"/>
            <w:vAlign w:val="center"/>
          </w:tcPr>
          <w:p w14:paraId="374C0637">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投标人根据本项目第四章“</w:t>
            </w:r>
            <w:r>
              <w:rPr>
                <w:rFonts w:hint="eastAsia" w:asciiTheme="minorEastAsia" w:hAnsiTheme="minorEastAsia" w:cstheme="minorEastAsia"/>
                <w:color w:val="auto"/>
                <w:sz w:val="24"/>
                <w:szCs w:val="24"/>
                <w:highlight w:val="none"/>
                <w:lang w:val="en-US" w:eastAsia="zh-CN" w:bidi="ar"/>
              </w:rPr>
              <w:t>五</w:t>
            </w:r>
            <w:r>
              <w:rPr>
                <w:rFonts w:hint="eastAsia" w:asciiTheme="minorEastAsia" w:hAnsiTheme="minorEastAsia" w:eastAsiaTheme="minorEastAsia" w:cstheme="minorEastAsia"/>
                <w:color w:val="auto"/>
                <w:sz w:val="24"/>
                <w:szCs w:val="24"/>
                <w:highlight w:val="none"/>
                <w:lang w:bidi="ar"/>
              </w:rPr>
              <w:t>、其他要求中：</w:t>
            </w:r>
            <w:r>
              <w:rPr>
                <w:rFonts w:hint="eastAsia" w:asciiTheme="minorEastAsia" w:hAnsiTheme="minorEastAsia" w:eastAsiaTheme="minorEastAsia" w:cstheme="minorEastAsia"/>
                <w:color w:val="auto"/>
                <w:sz w:val="24"/>
                <w:szCs w:val="24"/>
                <w:highlight w:val="none"/>
                <w:lang w:val="en-US" w:eastAsia="zh-CN" w:bidi="ar"/>
              </w:rPr>
              <w:t>技术服务方案</w:t>
            </w:r>
            <w:r>
              <w:rPr>
                <w:rFonts w:hint="eastAsia" w:asciiTheme="minorEastAsia" w:hAnsiTheme="minorEastAsia" w:eastAsiaTheme="minorEastAsia" w:cstheme="minorEastAsia"/>
                <w:color w:val="auto"/>
                <w:sz w:val="24"/>
                <w:szCs w:val="24"/>
                <w:highlight w:val="none"/>
                <w:lang w:bidi="ar"/>
              </w:rPr>
              <w:t>”要求</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提</w:t>
            </w:r>
            <w:r>
              <w:rPr>
                <w:rFonts w:hint="eastAsia" w:asciiTheme="minorEastAsia" w:hAnsiTheme="minorEastAsia" w:eastAsiaTheme="minorEastAsia" w:cstheme="minorEastAsia"/>
                <w:b w:val="0"/>
                <w:bCs w:val="0"/>
                <w:color w:val="auto"/>
                <w:sz w:val="24"/>
                <w:szCs w:val="24"/>
                <w:highlight w:val="none"/>
                <w:lang w:bidi="ar"/>
              </w:rPr>
              <w:t>供明确、详细、规范、全面、可操作性强的项目质量控制、保密措施及工期安排，至少包含</w:t>
            </w:r>
            <w:r>
              <w:rPr>
                <w:rFonts w:hint="eastAsia" w:asciiTheme="minorEastAsia" w:hAnsiTheme="minorEastAsia" w:eastAsiaTheme="minorEastAsia" w:cstheme="minorEastAsia"/>
                <w:b w:val="0"/>
                <w:bCs w:val="0"/>
                <w:color w:val="auto"/>
                <w:sz w:val="24"/>
                <w:szCs w:val="24"/>
                <w:highlight w:val="none"/>
                <w:lang w:eastAsia="zh-CN" w:bidi="ar"/>
              </w:rPr>
              <w:t>：</w:t>
            </w:r>
            <w:r>
              <w:rPr>
                <w:rFonts w:hint="eastAsia" w:asciiTheme="minorEastAsia" w:hAnsiTheme="minorEastAsia" w:eastAsiaTheme="minorEastAsia" w:cstheme="minorEastAsia"/>
                <w:b w:val="0"/>
                <w:bCs w:val="0"/>
                <w:color w:val="auto"/>
                <w:sz w:val="24"/>
                <w:szCs w:val="24"/>
                <w:highlight w:val="none"/>
                <w:lang w:bidi="ar"/>
              </w:rPr>
              <w:t>①为确保项目质量，供应商给出</w:t>
            </w:r>
            <w:r>
              <w:rPr>
                <w:rFonts w:hint="eastAsia" w:asciiTheme="minorEastAsia" w:hAnsiTheme="minorEastAsia" w:eastAsiaTheme="minorEastAsia" w:cstheme="minorEastAsia"/>
                <w:color w:val="auto"/>
                <w:sz w:val="24"/>
                <w:szCs w:val="24"/>
                <w:highlight w:val="none"/>
                <w:lang w:bidi="ar"/>
              </w:rPr>
              <w:t>完整的质量控制措施方案</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②土地承包经营权数据有一定的保密要求，供应商针对项目数据保密工作制定相关方案措施</w:t>
            </w:r>
            <w:r>
              <w:rPr>
                <w:rFonts w:hint="eastAsia" w:asciiTheme="minorEastAsia" w:hAnsi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③延包工作有明确的完成时间要求，供应商针对本项工作制定一份工期计划安排。</w:t>
            </w:r>
          </w:p>
          <w:p w14:paraId="31BE48A5">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方案优于项目需求的得</w:t>
            </w:r>
            <w:r>
              <w:rPr>
                <w:rFonts w:hint="eastAsia" w:asciiTheme="minorEastAsia" w:hAnsiTheme="minorEastAsia" w:eastAsiaTheme="minorEastAsia" w:cstheme="minorEastAsia"/>
                <w:color w:val="auto"/>
                <w:sz w:val="24"/>
                <w:szCs w:val="24"/>
                <w:highlight w:val="none"/>
                <w:lang w:val="en-US" w:eastAsia="zh-CN" w:bidi="ar"/>
              </w:rPr>
              <w:t>6</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；满足项目需求的得</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bidi="ar"/>
              </w:rPr>
              <w:t>；基本满足项目需求的得</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分</w:t>
            </w:r>
            <w:r>
              <w:rPr>
                <w:rFonts w:hint="eastAsia" w:asciiTheme="minorEastAsia" w:hAnsiTheme="minorEastAsia" w:eastAsiaTheme="minorEastAsia" w:cstheme="minorEastAsia"/>
                <w:color w:val="auto"/>
                <w:sz w:val="24"/>
                <w:szCs w:val="24"/>
                <w:highlight w:val="none"/>
                <w:lang w:val="en-US" w:eastAsia="zh-CN" w:bidi="ar"/>
              </w:rPr>
              <w:t>/条</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bidi="ar"/>
              </w:rPr>
              <w:t>不满足或无此项内容的本项不得分</w:t>
            </w:r>
            <w:r>
              <w:rPr>
                <w:rFonts w:hint="eastAsia" w:asciiTheme="minorEastAsia" w:hAnsiTheme="minorEastAsia" w:eastAsiaTheme="minorEastAsia" w:cstheme="minorEastAsia"/>
                <w:color w:val="auto"/>
                <w:sz w:val="24"/>
                <w:szCs w:val="24"/>
                <w:highlight w:val="none"/>
                <w:lang w:eastAsia="zh-CN" w:bidi="ar"/>
              </w:rPr>
              <w:t>；</w:t>
            </w:r>
            <w:r>
              <w:rPr>
                <w:rFonts w:hint="eastAsia" w:asciiTheme="minorEastAsia" w:hAnsiTheme="minorEastAsia" w:eastAsiaTheme="minorEastAsia" w:cstheme="minorEastAsia"/>
                <w:color w:val="auto"/>
                <w:sz w:val="24"/>
                <w:szCs w:val="24"/>
                <w:highlight w:val="none"/>
                <w:lang w:val="en-US" w:eastAsia="zh-CN" w:bidi="ar"/>
              </w:rPr>
              <w:t>本项最高得</w:t>
            </w:r>
            <w:r>
              <w:rPr>
                <w:rFonts w:hint="eastAsia" w:asciiTheme="minorEastAsia" w:hAnsiTheme="minorEastAsia" w:cstheme="minorEastAsia"/>
                <w:color w:val="auto"/>
                <w:sz w:val="24"/>
                <w:szCs w:val="24"/>
                <w:highlight w:val="none"/>
                <w:lang w:val="en-US" w:eastAsia="zh-CN" w:bidi="ar"/>
              </w:rPr>
              <w:t>18</w:t>
            </w:r>
            <w:r>
              <w:rPr>
                <w:rFonts w:hint="eastAsia" w:asciiTheme="minorEastAsia" w:hAnsiTheme="minorEastAsia" w:eastAsiaTheme="minorEastAsia" w:cstheme="minorEastAsia"/>
                <w:color w:val="auto"/>
                <w:sz w:val="24"/>
                <w:szCs w:val="24"/>
                <w:highlight w:val="none"/>
                <w:lang w:val="en-US" w:eastAsia="zh-CN" w:bidi="ar"/>
              </w:rPr>
              <w:t>分</w:t>
            </w:r>
            <w:r>
              <w:rPr>
                <w:rFonts w:hint="eastAsia" w:asciiTheme="minorEastAsia" w:hAnsiTheme="minorEastAsia" w:eastAsiaTheme="minorEastAsia" w:cstheme="minorEastAsia"/>
                <w:color w:val="auto"/>
                <w:sz w:val="24"/>
                <w:szCs w:val="24"/>
                <w:highlight w:val="none"/>
                <w:lang w:bidi="ar"/>
              </w:rPr>
              <w:t>。</w:t>
            </w:r>
          </w:p>
          <w:p w14:paraId="1D417450">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满足。具体由评审委员会评审。</w:t>
            </w:r>
          </w:p>
          <w:p w14:paraId="33C14D6C">
            <w:pPr>
              <w:spacing w:line="400" w:lineRule="exact"/>
              <w:ind w:firstLine="480"/>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技术服务方案-项目质量控制、保密措施及工期安排应描述简明扼要，不得超过</w:t>
            </w:r>
            <w:r>
              <w:rPr>
                <w:rFonts w:hint="eastAsia" w:asciiTheme="minorEastAsia" w:hAnsiTheme="minorEastAsia" w:cstheme="minorEastAsia"/>
                <w:b/>
                <w:bCs/>
                <w:color w:val="auto"/>
                <w:sz w:val="24"/>
                <w:szCs w:val="24"/>
                <w:highlight w:val="none"/>
                <w:lang w:val="en-US" w:eastAsia="zh-CN" w:bidi="ar"/>
              </w:rPr>
              <w:t>30</w:t>
            </w:r>
            <w:r>
              <w:rPr>
                <w:rFonts w:hint="eastAsia" w:asciiTheme="minorEastAsia" w:hAnsiTheme="minorEastAsia" w:eastAsiaTheme="minorEastAsia" w:cstheme="minorEastAsia"/>
                <w:b/>
                <w:bCs/>
                <w:color w:val="auto"/>
                <w:sz w:val="24"/>
                <w:szCs w:val="24"/>
                <w:highlight w:val="none"/>
                <w:lang w:bidi="ar"/>
              </w:rPr>
              <w:t>页，否则每超过1页扣1分，扣完为止。</w:t>
            </w:r>
          </w:p>
        </w:tc>
      </w:tr>
    </w:tbl>
    <w:p w14:paraId="4236DDC9">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r>
    </w:p>
    <w:p w14:paraId="51ECA410">
      <w:pPr>
        <w:pStyle w:val="31"/>
        <w:keepNext/>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44"/>
          <w:highlight w:val="none"/>
        </w:rPr>
        <w:t xml:space="preserve">第六章  投标文件格式 </w:t>
      </w:r>
    </w:p>
    <w:p w14:paraId="2F465AD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bookmarkStart w:id="146" w:name="_Toc120614282"/>
      <w:bookmarkEnd w:id="146"/>
      <w:bookmarkStart w:id="147" w:name="_Toc49090576"/>
      <w:bookmarkEnd w:id="147"/>
    </w:p>
    <w:p w14:paraId="7F4E7897">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3F1F505C">
      <w:pPr>
        <w:pStyle w:val="31"/>
        <w:spacing w:beforeAutospacing="0" w:afterAutospacing="0"/>
        <w:jc w:val="center"/>
        <w:rPr>
          <w:rFonts w:hint="eastAsia" w:asciiTheme="minorEastAsia" w:hAnsiTheme="minorEastAsia" w:eastAsiaTheme="minorEastAsia" w:cstheme="minorEastAsia"/>
          <w:b/>
          <w:color w:val="auto"/>
          <w:sz w:val="72"/>
          <w:szCs w:val="72"/>
          <w:highlight w:val="none"/>
        </w:rPr>
      </w:pPr>
    </w:p>
    <w:p w14:paraId="69E4ED0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72"/>
          <w:szCs w:val="72"/>
          <w:highlight w:val="none"/>
        </w:rPr>
        <w:t>投  标  文  件</w:t>
      </w:r>
    </w:p>
    <w:p w14:paraId="728A10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582D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572BA2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48EF649">
      <w:pPr>
        <w:pStyle w:val="31"/>
        <w:spacing w:beforeAutospacing="0" w:afterAutospacing="0"/>
        <w:jc w:val="center"/>
        <w:rPr>
          <w:rFonts w:hint="eastAsia" w:asciiTheme="minorEastAsia" w:hAnsiTheme="minorEastAsia" w:eastAsiaTheme="minorEastAsia" w:cstheme="minorEastAsia"/>
          <w:color w:val="auto"/>
          <w:highlight w:val="none"/>
        </w:rPr>
      </w:pPr>
    </w:p>
    <w:p w14:paraId="7A8D3CDD">
      <w:pPr>
        <w:pStyle w:val="31"/>
        <w:spacing w:beforeAutospacing="0" w:afterAutospacing="0"/>
        <w:jc w:val="center"/>
        <w:rPr>
          <w:rFonts w:hint="eastAsia" w:asciiTheme="minorEastAsia" w:hAnsiTheme="minorEastAsia" w:eastAsiaTheme="minorEastAsia" w:cstheme="minorEastAsia"/>
          <w:color w:val="auto"/>
          <w:highlight w:val="none"/>
        </w:rPr>
      </w:pPr>
    </w:p>
    <w:p w14:paraId="4F2838A0">
      <w:pPr>
        <w:pStyle w:val="31"/>
        <w:spacing w:beforeAutospacing="0" w:afterAutospacing="0"/>
        <w:jc w:val="center"/>
        <w:rPr>
          <w:rFonts w:hint="eastAsia" w:asciiTheme="minorEastAsia" w:hAnsiTheme="minorEastAsia" w:eastAsiaTheme="minorEastAsia" w:cstheme="minorEastAsia"/>
          <w:color w:val="auto"/>
          <w:highlight w:val="none"/>
        </w:rPr>
      </w:pPr>
    </w:p>
    <w:p w14:paraId="60983D52">
      <w:pPr>
        <w:pStyle w:val="31"/>
        <w:spacing w:beforeAutospacing="0" w:afterAutospacing="0"/>
        <w:jc w:val="center"/>
        <w:rPr>
          <w:rFonts w:hint="eastAsia" w:asciiTheme="minorEastAsia" w:hAnsiTheme="minorEastAsia" w:eastAsiaTheme="minorEastAsia" w:cstheme="minorEastAsia"/>
          <w:color w:val="auto"/>
          <w:highlight w:val="none"/>
        </w:rPr>
      </w:pPr>
    </w:p>
    <w:p w14:paraId="1C7067AD">
      <w:pPr>
        <w:pStyle w:val="31"/>
        <w:spacing w:beforeAutospacing="0" w:afterAutospacing="0"/>
        <w:jc w:val="center"/>
        <w:rPr>
          <w:rFonts w:hint="eastAsia" w:asciiTheme="minorEastAsia" w:hAnsiTheme="minorEastAsia" w:eastAsiaTheme="minorEastAsia" w:cstheme="minorEastAsia"/>
          <w:color w:val="auto"/>
          <w:highlight w:val="none"/>
        </w:rPr>
      </w:pPr>
    </w:p>
    <w:p w14:paraId="1A8B5587">
      <w:pPr>
        <w:pStyle w:val="31"/>
        <w:spacing w:beforeAutospacing="0" w:afterAutospacing="0"/>
        <w:jc w:val="center"/>
        <w:rPr>
          <w:rFonts w:hint="eastAsia" w:asciiTheme="minorEastAsia" w:hAnsiTheme="minorEastAsia" w:eastAsiaTheme="minorEastAsia" w:cstheme="minorEastAsia"/>
          <w:color w:val="auto"/>
          <w:highlight w:val="none"/>
        </w:rPr>
      </w:pPr>
    </w:p>
    <w:p w14:paraId="569563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44C345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623297F">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名 称：</w:t>
      </w:r>
      <w:r>
        <w:rPr>
          <w:rFonts w:hint="eastAsia" w:asciiTheme="minorEastAsia" w:hAnsiTheme="minorEastAsia" w:eastAsiaTheme="minorEastAsia" w:cstheme="minorEastAsia"/>
          <w:b/>
          <w:color w:val="auto"/>
          <w:sz w:val="36"/>
          <w:szCs w:val="36"/>
          <w:highlight w:val="none"/>
          <w:u w:val="single"/>
        </w:rPr>
        <w:t>             </w:t>
      </w:r>
    </w:p>
    <w:p w14:paraId="107F1122">
      <w:pPr>
        <w:pStyle w:val="31"/>
        <w:spacing w:beforeAutospacing="0" w:afterAutospacing="0"/>
        <w:ind w:firstLine="108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项 目 编 号：</w:t>
      </w:r>
      <w:r>
        <w:rPr>
          <w:rFonts w:hint="eastAsia" w:asciiTheme="minorEastAsia" w:hAnsiTheme="minorEastAsia" w:eastAsiaTheme="minorEastAsia" w:cstheme="minorEastAsia"/>
          <w:b/>
          <w:color w:val="auto"/>
          <w:sz w:val="36"/>
          <w:szCs w:val="36"/>
          <w:highlight w:val="none"/>
          <w:u w:val="single"/>
        </w:rPr>
        <w:t>             </w:t>
      </w:r>
    </w:p>
    <w:p w14:paraId="196C7522">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投标人名称 ：</w:t>
      </w:r>
      <w:r>
        <w:rPr>
          <w:rFonts w:hint="eastAsia" w:asciiTheme="minorEastAsia" w:hAnsiTheme="minorEastAsia" w:eastAsiaTheme="minorEastAsia" w:cstheme="minorEastAsia"/>
          <w:b/>
          <w:color w:val="auto"/>
          <w:sz w:val="36"/>
          <w:szCs w:val="36"/>
          <w:highlight w:val="none"/>
          <w:u w:val="single"/>
        </w:rPr>
        <w:t>（加盖CA电子公章）</w:t>
      </w:r>
    </w:p>
    <w:p w14:paraId="43BFE3E4">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6"/>
          <w:szCs w:val="36"/>
          <w:highlight w:val="none"/>
        </w:rPr>
        <w:t>   日   期 ：</w:t>
      </w:r>
      <w:r>
        <w:rPr>
          <w:rFonts w:hint="eastAsia" w:asciiTheme="minorEastAsia" w:hAnsiTheme="minorEastAsia" w:eastAsiaTheme="minorEastAsia" w:cstheme="minorEastAsia"/>
          <w:b/>
          <w:color w:val="auto"/>
          <w:sz w:val="36"/>
          <w:szCs w:val="36"/>
          <w:highlight w:val="none"/>
          <w:u w:val="single"/>
        </w:rPr>
        <w:t>             </w:t>
      </w:r>
    </w:p>
    <w:p w14:paraId="13A543A8">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26A619B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p>
    <w:p w14:paraId="3702FCE0">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4281FB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AB6738">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70E3BBD1">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p>
    <w:p w14:paraId="0184A94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A2EBB8">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一、法人或者其他组织的营业执照等证明文件，自然人的身份证明</w:t>
      </w:r>
    </w:p>
    <w:p w14:paraId="2D7B663E">
      <w:pPr>
        <w:tabs>
          <w:tab w:val="left" w:pos="1331"/>
        </w:tabs>
        <w:ind w:firstLine="480"/>
        <w:jc w:val="left"/>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sz w:val="24"/>
          <w:highlight w:val="none"/>
        </w:rPr>
        <w:t>二、上一年度的财务状况报告（至少提供资产负债表、利润表、现金流量表，</w:t>
      </w:r>
      <w:r>
        <w:rPr>
          <w:rFonts w:hint="eastAsia" w:asciiTheme="minorEastAsia" w:hAnsiTheme="minorEastAsia" w:eastAsiaTheme="minorEastAsia" w:cstheme="minorEastAsia"/>
          <w:iCs/>
          <w:color w:val="auto"/>
          <w:highlight w:val="none"/>
        </w:rPr>
        <w:t>投标人成立不满一年无需提供）</w:t>
      </w:r>
    </w:p>
    <w:p w14:paraId="5481BD04">
      <w:pPr>
        <w:pStyle w:val="31"/>
        <w:spacing w:beforeAutospacing="0" w:afterAutospacing="0"/>
        <w:ind w:left="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三、具备履行合同所必需的设备和专业技术能力的书面声明</w:t>
      </w:r>
    </w:p>
    <w:p w14:paraId="58CFF74C">
      <w:pPr>
        <w:pStyle w:val="31"/>
        <w:spacing w:beforeAutospacing="0" w:afterAutospacing="0"/>
        <w:ind w:firstLine="480" w:firstLineChars="20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59E6BD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五、参加政府采购活动前 3 年内在经营活动中没有重大违法记录的书面声明</w:t>
      </w:r>
    </w:p>
    <w:p w14:paraId="5791A390">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六、特定资格要求的证明文件（如果本项目设置特定资格要求，则需要提供）</w:t>
      </w:r>
    </w:p>
    <w:p w14:paraId="2BF85D13">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七、法人授权书</w:t>
      </w:r>
    </w:p>
    <w:p w14:paraId="584D4801">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八、投标函</w:t>
      </w:r>
    </w:p>
    <w:p w14:paraId="33479737">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九、中小企业声明函</w:t>
      </w:r>
    </w:p>
    <w:p w14:paraId="5DC54EF5">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十、残疾人福利性单位声明函</w:t>
      </w:r>
    </w:p>
    <w:p w14:paraId="0A7E513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highlight w:val="none"/>
          <w:lang w:val="en-US" w:eastAsia="zh-CN"/>
        </w:rPr>
        <w:t>一</w:t>
      </w:r>
      <w:r>
        <w:rPr>
          <w:rFonts w:hint="eastAsia" w:asciiTheme="minorEastAsia" w:hAnsiTheme="minorEastAsia" w:eastAsiaTheme="minorEastAsia" w:cstheme="minorEastAsia"/>
          <w:iCs/>
          <w:color w:val="auto"/>
          <w:highlight w:val="none"/>
        </w:rPr>
        <w:t>、投标分项报价表</w:t>
      </w:r>
    </w:p>
    <w:p w14:paraId="0E1C7B6B">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十二、技术要求响应及偏离表</w:t>
      </w:r>
    </w:p>
    <w:p w14:paraId="0402142F">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十三、商务要求响应及偏离表</w:t>
      </w:r>
    </w:p>
    <w:p w14:paraId="077C77AA">
      <w:pPr>
        <w:pStyle w:val="31"/>
        <w:spacing w:beforeAutospacing="0" w:afterAutospacing="0" w:line="0" w:lineRule="atLeast"/>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十四、开标一览表</w:t>
      </w:r>
    </w:p>
    <w:p w14:paraId="2879BF41">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十</w:t>
      </w:r>
      <w:r>
        <w:rPr>
          <w:rFonts w:hint="eastAsia" w:asciiTheme="minorEastAsia" w:hAnsiTheme="minorEastAsia" w:eastAsiaTheme="minorEastAsia" w:cstheme="minorEastAsia"/>
          <w:iCs/>
          <w:color w:val="auto"/>
          <w:highlight w:val="none"/>
        </w:rPr>
        <w:t>五</w:t>
      </w:r>
      <w:r>
        <w:rPr>
          <w:rFonts w:hint="eastAsia" w:asciiTheme="minorEastAsia" w:hAnsiTheme="minorEastAsia" w:eastAsiaTheme="minorEastAsia" w:cstheme="minorEastAsia"/>
          <w:iCs/>
          <w:color w:val="auto"/>
          <w:sz w:val="24"/>
          <w:highlight w:val="none"/>
        </w:rPr>
        <w:t>、拟投入本项目服务人员一览表</w:t>
      </w:r>
    </w:p>
    <w:p w14:paraId="5C03AA76">
      <w:pPr>
        <w:widowControl/>
        <w:spacing w:before="50" w:after="50"/>
        <w:ind w:firstLine="480"/>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rPr>
        <w:t>六</w:t>
      </w:r>
      <w:r>
        <w:rPr>
          <w:rFonts w:hint="eastAsia" w:asciiTheme="minorEastAsia" w:hAnsiTheme="minorEastAsia" w:eastAsiaTheme="minorEastAsia" w:cstheme="minorEastAsia"/>
          <w:iCs/>
          <w:color w:val="auto"/>
          <w:sz w:val="24"/>
          <w:highlight w:val="none"/>
          <w:lang w:eastAsia="zh-CN"/>
        </w:rPr>
        <w:t>、技术服务方案等</w:t>
      </w:r>
    </w:p>
    <w:p w14:paraId="59612D10">
      <w:pPr>
        <w:pStyle w:val="31"/>
        <w:spacing w:beforeAutospacing="0" w:afterAutospacing="0" w:line="360" w:lineRule="auto"/>
        <w:ind w:firstLine="480"/>
        <w:jc w:val="both"/>
        <w:rPr>
          <w:rFonts w:hint="eastAsia" w:asciiTheme="minorEastAsia" w:hAnsiTheme="minorEastAsia" w:eastAsiaTheme="minorEastAsia" w:cstheme="minorEastAsia"/>
          <w:iCs/>
          <w:color w:val="auto"/>
          <w:highlight w:val="none"/>
        </w:rPr>
      </w:pPr>
      <w:r>
        <w:rPr>
          <w:rFonts w:hint="eastAsia" w:asciiTheme="minorEastAsia" w:hAnsiTheme="minorEastAsia" w:eastAsiaTheme="minorEastAsia" w:cstheme="minorEastAsia"/>
          <w:iCs/>
          <w:color w:val="auto"/>
          <w:highlight w:val="none"/>
        </w:rPr>
        <w:t>十</w:t>
      </w:r>
      <w:r>
        <w:rPr>
          <w:rFonts w:hint="eastAsia" w:asciiTheme="minorEastAsia" w:hAnsiTheme="minorEastAsia" w:eastAsiaTheme="minorEastAsia" w:cstheme="minorEastAsia"/>
          <w:iCs/>
          <w:color w:val="auto"/>
          <w:sz w:val="24"/>
          <w:highlight w:val="none"/>
          <w:lang w:val="en-US" w:eastAsia="zh-CN"/>
        </w:rPr>
        <w:t>七</w:t>
      </w:r>
      <w:r>
        <w:rPr>
          <w:rFonts w:hint="eastAsia" w:asciiTheme="minorEastAsia" w:hAnsiTheme="minorEastAsia" w:eastAsiaTheme="minorEastAsia" w:cstheme="minorEastAsia"/>
          <w:iCs/>
          <w:color w:val="auto"/>
          <w:highlight w:val="none"/>
        </w:rPr>
        <w:t>、盐城市政府采购事前信用承诺书</w:t>
      </w:r>
    </w:p>
    <w:p w14:paraId="641DEDA3">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9414BA6">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64B1A228">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31809C">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6DDFD27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一、法人或者其他组织的营业执照等证明文件，自然人的身份证明</w:t>
      </w:r>
    </w:p>
    <w:p w14:paraId="3F7DF44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B9D0B3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二、上一年度的财务状况报告</w:t>
      </w:r>
    </w:p>
    <w:p w14:paraId="7E575F25">
      <w:pPr>
        <w:tabs>
          <w:tab w:val="left" w:pos="1331"/>
        </w:tabs>
        <w:ind w:firstLine="480"/>
        <w:jc w:val="left"/>
        <w:rPr>
          <w:rFonts w:hint="eastAsia" w:asciiTheme="minorEastAsia" w:hAnsiTheme="minorEastAsia" w:eastAsiaTheme="minorEastAsia" w:cstheme="minorEastAsia"/>
          <w:iCs/>
          <w:color w:val="auto"/>
          <w:sz w:val="24"/>
          <w:highlight w:val="none"/>
        </w:rPr>
      </w:pPr>
      <w:r>
        <w:rPr>
          <w:rFonts w:hint="eastAsia" w:asciiTheme="minorEastAsia" w:hAnsiTheme="minorEastAsia" w:eastAsiaTheme="minorEastAsia" w:cstheme="minorEastAsia"/>
          <w:iCs/>
          <w:color w:val="auto"/>
          <w:sz w:val="24"/>
          <w:highlight w:val="none"/>
        </w:rPr>
        <w:t>（至少提供资产负债表、利润表、现金流量表，投标人成立不满一年无需提供）</w:t>
      </w:r>
    </w:p>
    <w:p w14:paraId="5081E9A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12923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三、具备履行合同所必需的设备和专业技术能力的书面声明</w:t>
      </w:r>
    </w:p>
    <w:p w14:paraId="0EF38189">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我单位郑重声明：我单位具备履行本项采购合同所必需的设备和专业技术能力，为履行本项采购合同我公司具备如下主要设备和主要专业技术能力：</w:t>
      </w:r>
    </w:p>
    <w:p w14:paraId="79BF852D">
      <w:pPr>
        <w:pStyle w:val="31"/>
        <w:spacing w:beforeAutospacing="0" w:afterAutospacing="0" w:line="0" w:lineRule="atLeast"/>
        <w:ind w:firstLine="4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348FE3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p>
    <w:p w14:paraId="2BF686D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四、依法缴纳税收和社会保障资金的相关材料</w:t>
      </w:r>
    </w:p>
    <w:p w14:paraId="57A199BF">
      <w:pPr>
        <w:pStyle w:val="31"/>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提供提交投标文件截止时间前一年内至少一个月依法缴纳税收及缴纳社会保障资金的证明材料。投标人依法享受缓缴、免缴税收、社会保障资金的提供证明材料。</w:t>
      </w:r>
    </w:p>
    <w:p w14:paraId="789C317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7A255CE">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五、参加政府采购活动前 3 年内在经营活动中没有重大违法记录的书面声明</w:t>
      </w:r>
    </w:p>
    <w:p w14:paraId="2D667F3E">
      <w:pPr>
        <w:pStyle w:val="31"/>
        <w:spacing w:beforeAutospacing="0" w:afterAutospacing="0" w:line="0" w:lineRule="atLeast"/>
        <w:jc w:val="both"/>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w:t>
      </w:r>
    </w:p>
    <w:p w14:paraId="7803E260">
      <w:pPr>
        <w:pStyle w:val="31"/>
        <w:spacing w:beforeAutospacing="0" w:afterAutospacing="0" w:line="0" w:lineRule="atLeast"/>
        <w:ind w:firstLine="3092"/>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44"/>
          <w:szCs w:val="44"/>
          <w:highlight w:val="none"/>
        </w:rPr>
        <w:t xml:space="preserve"> 声  明</w:t>
      </w:r>
    </w:p>
    <w:p w14:paraId="756EEF8D">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BA0D37">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F88C733">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sz w:val="32"/>
          <w:szCs w:val="32"/>
          <w:highlight w:val="none"/>
          <w:u w:val="single"/>
        </w:rPr>
        <w:t>六、特定资格要求的证明文件</w:t>
      </w:r>
    </w:p>
    <w:p w14:paraId="30F2A3EC">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如果本项目申请人的特定资格要求中要求提供的，必须提供。</w:t>
      </w:r>
    </w:p>
    <w:p w14:paraId="62CC4FBD">
      <w:pPr>
        <w:widowControl/>
        <w:jc w:val="left"/>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br w:type="page"/>
      </w:r>
    </w:p>
    <w:p w14:paraId="59267804">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七、法人授权书</w:t>
      </w:r>
    </w:p>
    <w:p w14:paraId="73461A88">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p>
    <w:p w14:paraId="2A8F7AE0">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本授权书声明：____________（投标人名称）授权________________（被授权人的姓名）为我方就</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号项目采购活动的合法代理人，以本单位名义全权处理一切与该项目采购有关的事务。</w:t>
      </w:r>
    </w:p>
    <w:p w14:paraId="3B6CCF34">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本授权书于______年____月____日起生效，特此声明。</w:t>
      </w:r>
    </w:p>
    <w:p w14:paraId="0AC83EFC">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被授权人身份证号码：</w:t>
      </w:r>
      <w:r>
        <w:rPr>
          <w:rFonts w:hint="eastAsia" w:asciiTheme="minorEastAsia" w:hAnsiTheme="minorEastAsia" w:eastAsiaTheme="minorEastAsia" w:cstheme="minorEastAsia"/>
          <w:color w:val="auto"/>
          <w:highlight w:val="none"/>
          <w:u w:val="single"/>
        </w:rPr>
        <w:t xml:space="preserve">        </w:t>
      </w:r>
    </w:p>
    <w:p w14:paraId="04987382">
      <w:pPr>
        <w:pStyle w:val="31"/>
        <w:tabs>
          <w:tab w:val="left" w:pos="360"/>
        </w:tabs>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被授权人联系电话：（手机）</w:t>
      </w:r>
      <w:r>
        <w:rPr>
          <w:rFonts w:hint="eastAsia" w:asciiTheme="minorEastAsia" w:hAnsiTheme="minorEastAsia" w:eastAsiaTheme="minorEastAsia" w:cstheme="minorEastAsia"/>
          <w:color w:val="auto"/>
          <w:highlight w:val="none"/>
          <w:u w:val="single"/>
        </w:rPr>
        <w:t xml:space="preserve">           </w:t>
      </w:r>
    </w:p>
    <w:p w14:paraId="70A82F1C">
      <w:pPr>
        <w:pStyle w:val="31"/>
        <w:tabs>
          <w:tab w:val="left" w:pos="360"/>
        </w:tabs>
        <w:spacing w:beforeAutospacing="0" w:afterAutospacing="0"/>
        <w:ind w:firstLine="12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授权单位名称：</w:t>
      </w:r>
      <w:r>
        <w:rPr>
          <w:rFonts w:hint="eastAsia" w:asciiTheme="minorEastAsia" w:hAnsiTheme="minorEastAsia" w:eastAsiaTheme="minorEastAsia" w:cstheme="minorEastAsia"/>
          <w:color w:val="auto"/>
          <w:highlight w:val="none"/>
          <w:u w:val="single"/>
        </w:rPr>
        <w:t>（加盖CA电子公章）</w:t>
      </w:r>
    </w:p>
    <w:p w14:paraId="07368935">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单位地址：</w:t>
      </w:r>
      <w:r>
        <w:rPr>
          <w:rFonts w:hint="eastAsia" w:asciiTheme="minorEastAsia" w:hAnsiTheme="minorEastAsia" w:eastAsiaTheme="minorEastAsia" w:cstheme="minorEastAsia"/>
          <w:color w:val="auto"/>
          <w:highlight w:val="none"/>
          <w:u w:val="single"/>
        </w:rPr>
        <w:t xml:space="preserve">           </w:t>
      </w:r>
    </w:p>
    <w:p w14:paraId="60F6FC1B">
      <w:pPr>
        <w:pStyle w:val="31"/>
        <w:tabs>
          <w:tab w:val="left" w:pos="360"/>
        </w:tabs>
        <w:spacing w:beforeAutospacing="0" w:afterAutospacing="0"/>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日期：</w:t>
      </w:r>
      <w:r>
        <w:rPr>
          <w:rFonts w:hint="eastAsia" w:asciiTheme="minorEastAsia" w:hAnsiTheme="minorEastAsia" w:eastAsiaTheme="minorEastAsia" w:cstheme="minorEastAsia"/>
          <w:color w:val="auto"/>
          <w:highlight w:val="none"/>
          <w:u w:val="single"/>
        </w:rPr>
        <w:t xml:space="preserve">           </w:t>
      </w:r>
    </w:p>
    <w:p w14:paraId="3DF94212">
      <w:pPr>
        <w:pStyle w:val="31"/>
        <w:spacing w:beforeAutospacing="0" w:afterAutospacing="0"/>
        <w:ind w:firstLine="4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527AD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982DACA">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6290A9">
      <w:pPr>
        <w:pStyle w:val="31"/>
        <w:keepNext/>
        <w:keepLines/>
        <w:spacing w:before="260" w:beforeAutospacing="0" w:after="260" w:afterAutospacing="0" w:line="415" w:lineRule="auto"/>
        <w:ind w:firstLine="3390"/>
        <w:jc w:val="both"/>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b/>
          <w:color w:val="auto"/>
          <w:highlight w:val="none"/>
        </w:rPr>
        <w:br w:type="page"/>
      </w:r>
      <w:r>
        <w:rPr>
          <w:rFonts w:hint="eastAsia" w:asciiTheme="minorEastAsia" w:hAnsiTheme="minorEastAsia" w:eastAsiaTheme="minorEastAsia" w:cstheme="minorEastAsia"/>
          <w:i/>
          <w:color w:val="auto"/>
          <w:sz w:val="32"/>
          <w:szCs w:val="32"/>
          <w:highlight w:val="none"/>
          <w:u w:val="single"/>
        </w:rPr>
        <w:t>八、投标函</w:t>
      </w:r>
    </w:p>
    <w:p w14:paraId="13864812">
      <w:pPr>
        <w:pStyle w:val="31"/>
        <w:spacing w:beforeAutospacing="0" w:afterAutospacing="0" w:line="0" w:lineRule="atLeas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致：</w:t>
      </w:r>
      <w:r>
        <w:rPr>
          <w:rFonts w:hint="eastAsia" w:asciiTheme="minorEastAsia" w:hAnsiTheme="minorEastAsia" w:cstheme="minorEastAsia"/>
          <w:color w:val="auto"/>
          <w:highlight w:val="none"/>
          <w:lang w:eastAsia="zh-CN"/>
        </w:rPr>
        <w:t>盐城市盐都区楼王镇人民政府</w:t>
      </w:r>
    </w:p>
    <w:p w14:paraId="6C556D78">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号招标文件，正式授权下述签字人_________________(姓名)代表我方______________（投标人的名称），全权处理本次项目投标的有关事宜。</w:t>
      </w:r>
    </w:p>
    <w:p w14:paraId="0E180F47">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据此函，__________签字人兹宣布同意如下：</w:t>
      </w:r>
    </w:p>
    <w:p w14:paraId="0730F91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1.按招标文件规定的各项要求，向买方提供所需</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（包含与</w:t>
      </w:r>
      <w:r>
        <w:rPr>
          <w:rFonts w:hint="eastAsia" w:asciiTheme="minorEastAsia" w:hAnsiTheme="minorEastAsia" w:cstheme="minorEastAsia"/>
          <w:color w:val="auto"/>
          <w:highlight w:val="none"/>
          <w:lang w:val="en-US" w:eastAsia="zh-CN"/>
        </w:rPr>
        <w:t>服务</w:t>
      </w:r>
      <w:r>
        <w:rPr>
          <w:rFonts w:hint="eastAsia" w:asciiTheme="minorEastAsia" w:hAnsiTheme="minorEastAsia" w:eastAsiaTheme="minorEastAsia" w:cstheme="minorEastAsia"/>
          <w:color w:val="auto"/>
          <w:highlight w:val="none"/>
        </w:rPr>
        <w:t>相关的</w:t>
      </w:r>
      <w:r>
        <w:rPr>
          <w:rFonts w:hint="eastAsia" w:asciiTheme="minorEastAsia" w:hAnsiTheme="minorEastAsia" w:cstheme="minorEastAsia"/>
          <w:color w:val="auto"/>
          <w:highlight w:val="none"/>
          <w:lang w:val="en-US" w:eastAsia="zh-CN"/>
        </w:rPr>
        <w:t>货物</w:t>
      </w:r>
      <w:r>
        <w:rPr>
          <w:rFonts w:hint="eastAsia" w:asciiTheme="minorEastAsia" w:hAnsiTheme="minorEastAsia" w:eastAsiaTheme="minorEastAsia" w:cstheme="minorEastAsia"/>
          <w:color w:val="auto"/>
          <w:highlight w:val="none"/>
        </w:rPr>
        <w:t>）。</w:t>
      </w:r>
    </w:p>
    <w:p w14:paraId="748DEBF1">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2.我们完全理解贵方不一定将合同授予最低报价的投标人。</w:t>
      </w:r>
    </w:p>
    <w:p w14:paraId="42A062BA">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3.我们已详细审核全部招标文件及其有效补充文件，我们知道必须放弃提出含糊不清或误解问题的权利。</w:t>
      </w:r>
    </w:p>
    <w:p w14:paraId="002983BC">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4.我们同意从规定的开标日期起遵循本投标文件，并在规定的投标有效期期满之前均具有约束力。</w:t>
      </w:r>
    </w:p>
    <w:p w14:paraId="1ADBED32">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5.同意向贵方提供贵方可能另外要求的与投标有关的任何证据或资料，并保证我方已提供和将要提供的文件是真实的、准确的。</w:t>
      </w:r>
    </w:p>
    <w:p w14:paraId="47BF30CF">
      <w:pPr>
        <w:pStyle w:val="31"/>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6.一旦我方中标,我方将根据招标文件的规定，严格履行合同的责任和义务,并保证在招标文件规定的时间完成项目，交付买方验收、使用。</w:t>
      </w:r>
    </w:p>
    <w:p w14:paraId="67F01EE4">
      <w:pPr>
        <w:pStyle w:val="31"/>
        <w:spacing w:beforeAutospacing="0" w:afterAutospacing="0" w:line="0" w:lineRule="atLeast"/>
        <w:ind w:left="425"/>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7.与本投标有关的正式通讯地址为：</w:t>
      </w:r>
    </w:p>
    <w:p w14:paraId="4B96739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地          址：</w:t>
      </w:r>
    </w:p>
    <w:p w14:paraId="1A50CA02">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          编：</w:t>
      </w:r>
    </w:p>
    <w:p w14:paraId="6513DDD8">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电          话：</w:t>
      </w:r>
    </w:p>
    <w:p w14:paraId="1B157BF9">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传          真：</w:t>
      </w:r>
    </w:p>
    <w:p w14:paraId="3DF02EF4">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投标人开户行：</w:t>
      </w:r>
    </w:p>
    <w:p w14:paraId="2361944F">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账          号： </w:t>
      </w:r>
    </w:p>
    <w:p w14:paraId="2F78AD35">
      <w:pPr>
        <w:pStyle w:val="31"/>
        <w:spacing w:beforeAutospacing="0" w:afterAutospacing="0" w:line="0" w:lineRule="atLeast"/>
        <w:ind w:left="420"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期：________年____月____日</w:t>
      </w:r>
    </w:p>
    <w:p w14:paraId="52EBA570">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4FD53C5">
      <w:pPr>
        <w:pStyle w:val="31"/>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D2973D6">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DA281FB">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九、中小企业声明函（服务）（分包号：**）</w:t>
      </w:r>
    </w:p>
    <w:p w14:paraId="32644B09">
      <w:pPr>
        <w:spacing w:line="500" w:lineRule="exact"/>
        <w:ind w:firstLine="480"/>
        <w:rPr>
          <w:rFonts w:hint="eastAsia" w:asciiTheme="minorEastAsia" w:hAnsiTheme="minorEastAsia" w:eastAsiaTheme="minorEastAsia" w:cstheme="minorEastAsia"/>
          <w:color w:val="auto"/>
          <w:sz w:val="24"/>
          <w:highlight w:val="none"/>
        </w:rPr>
      </w:pPr>
    </w:p>
    <w:p w14:paraId="315618F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本公司（联合体）郑重声明，根据《政府采购促进中小企业发展管理办法》（财库﹝2020﹞46 号）的规定，本公司（联合体）参加</w:t>
      </w:r>
      <w:r>
        <w:rPr>
          <w:rFonts w:hint="eastAsia" w:asciiTheme="minorEastAsia" w:hAnsiTheme="minorEastAsia" w:cstheme="minorEastAsia"/>
          <w:color w:val="auto"/>
          <w:sz w:val="24"/>
          <w:highlight w:val="none"/>
          <w:u w:val="single"/>
          <w:lang w:val="en-US" w:eastAsia="zh-CN"/>
        </w:rPr>
        <w:t>盐城市盐都区楼王镇人民政府</w:t>
      </w:r>
      <w:r>
        <w:rPr>
          <w:rFonts w:hint="eastAsia" w:asciiTheme="minorEastAsia" w:hAnsiTheme="minorEastAsia" w:eastAsiaTheme="minorEastAsia" w:cstheme="minorEastAsia"/>
          <w:color w:val="auto"/>
          <w:sz w:val="24"/>
          <w:highlight w:val="none"/>
        </w:rPr>
        <w:t>组织的，采购编号为</w:t>
      </w:r>
      <w:r>
        <w:rPr>
          <w:rFonts w:hint="eastAsia" w:asciiTheme="minorEastAsia" w:hAnsiTheme="minorEastAsia" w:cstheme="minorEastAsia"/>
          <w:color w:val="auto"/>
          <w:sz w:val="24"/>
          <w:highlight w:val="none"/>
          <w:u w:val="single"/>
          <w:lang w:eastAsia="zh-CN"/>
        </w:rPr>
        <w:t>JSZC-320903-ZFDL-G2026-0014</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cstheme="minorEastAsia"/>
          <w:color w:val="auto"/>
          <w:sz w:val="24"/>
          <w:highlight w:val="none"/>
          <w:u w:val="single"/>
          <w:lang w:eastAsia="zh-CN"/>
        </w:rPr>
        <w:t>盐都区楼王镇第二轮土地承包到期后再延长30年技术服务项目</w:t>
      </w:r>
      <w:r>
        <w:rPr>
          <w:rFonts w:hint="eastAsia" w:asciiTheme="minorEastAsia" w:hAnsiTheme="minorEastAsia" w:eastAsiaTheme="minorEastAsia" w:cstheme="minorEastAsia"/>
          <w:color w:val="auto"/>
          <w:sz w:val="24"/>
          <w:highlight w:val="none"/>
        </w:rPr>
        <w:t>的采购活动，服务全部由符合政策要求的中小企业承接。相关企业（含联合体中的中小企业、签订分包意向协议的中小企业）的具体情况如下：</w:t>
      </w:r>
    </w:p>
    <w:p w14:paraId="4BF12881">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color w:val="auto"/>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1501CB26">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u w:val="single"/>
        </w:rPr>
        <w:t>（标的名称）</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(采购文件中明确的所属行业)</w:t>
      </w:r>
      <w:r>
        <w:rPr>
          <w:rFonts w:hint="eastAsia" w:asciiTheme="minorEastAsia" w:hAnsiTheme="minorEastAsia" w:eastAsiaTheme="minorEastAsia" w:cstheme="minorEastAsia"/>
          <w:color w:val="auto"/>
          <w:highlight w:val="none"/>
        </w:rPr>
        <w:t>行业；</w:t>
      </w:r>
      <w:r>
        <w:rPr>
          <w:rFonts w:hint="eastAsia"/>
          <w:color w:val="auto"/>
          <w:sz w:val="24"/>
        </w:rPr>
        <w:t>承接企业为</w:t>
      </w:r>
      <w:r>
        <w:rPr>
          <w:rFonts w:hint="eastAsia" w:asciiTheme="minorEastAsia" w:hAnsiTheme="minorEastAsia" w:eastAsiaTheme="minorEastAsia" w:cstheme="minorEastAsia"/>
          <w:color w:val="auto"/>
          <w:highlight w:val="none"/>
          <w:u w:val="single"/>
        </w:rPr>
        <w:t>（企业名称）</w:t>
      </w:r>
      <w:r>
        <w:rPr>
          <w:rFonts w:hint="eastAsia" w:asciiTheme="minorEastAsia" w:hAnsiTheme="minorEastAsia" w:eastAsiaTheme="minorEastAsia" w:cstheme="minorEastAsia"/>
          <w:color w:val="auto"/>
          <w:highlight w:val="none"/>
        </w:rPr>
        <w:t>，从业人员</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人，营业收入为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万元，资产总额为</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万元，属于</w:t>
      </w:r>
      <w:r>
        <w:rPr>
          <w:rFonts w:hint="eastAsia" w:asciiTheme="minorEastAsia" w:hAnsiTheme="minorEastAsia" w:eastAsiaTheme="minorEastAsia" w:cstheme="minorEastAsia"/>
          <w:color w:val="auto"/>
          <w:highlight w:val="none"/>
          <w:u w:val="single"/>
        </w:rPr>
        <w:t>（中型企业、小型企业、微型企业）；</w:t>
      </w:r>
    </w:p>
    <w:p w14:paraId="24EC88FA">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25818BDE">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3B5B2DAB">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本企业对上述声明内容的真实性负责。如有虚假，将依法承担相应责任</w:t>
      </w:r>
    </w:p>
    <w:p w14:paraId="60D3D93F">
      <w:pPr>
        <w:pStyle w:val="31"/>
        <w:spacing w:beforeAutospacing="0" w:afterAutospacing="0" w:line="360" w:lineRule="auto"/>
        <w:ind w:right="72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8DECF79">
      <w:pPr>
        <w:pStyle w:val="31"/>
        <w:spacing w:beforeAutospacing="0" w:afterAutospacing="0" w:line="360" w:lineRule="auto"/>
        <w:ind w:right="180" w:firstLine="36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企业名称（加盖CA电子公章）：</w:t>
      </w:r>
    </w:p>
    <w:p w14:paraId="0BBD4F66">
      <w:pPr>
        <w:pStyle w:val="31"/>
        <w:spacing w:beforeAutospacing="0" w:afterAutospacing="0" w:line="360" w:lineRule="auto"/>
        <w:ind w:right="480" w:firstLine="540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  期：</w:t>
      </w:r>
    </w:p>
    <w:p w14:paraId="45BD90D7">
      <w:pPr>
        <w:pStyle w:val="31"/>
        <w:spacing w:beforeAutospacing="0" w:afterAutospacing="0" w:line="360" w:lineRule="auto"/>
        <w:ind w:firstLine="36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B1D47C">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备注1：从业人员、营业收入、资产总额填报上一年度数据，无上一年度数据的新成立企业可不填报。</w:t>
      </w:r>
    </w:p>
    <w:p w14:paraId="7404CD03">
      <w:pPr>
        <w:pStyle w:val="31"/>
        <w:spacing w:beforeAutospacing="0" w:afterAutospacing="0" w:line="360" w:lineRule="auto"/>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备注2：供应商如不提供此声明函，价格将不做相应扣除（如项目全面面向中小企业，则资格审查不通过）。</w:t>
      </w:r>
    </w:p>
    <w:p w14:paraId="4FF77660">
      <w:pPr>
        <w:pStyle w:val="31"/>
        <w:spacing w:beforeAutospacing="0" w:afterAutospacing="0" w:line="0" w:lineRule="atLeast"/>
        <w:jc w:val="center"/>
        <w:rPr>
          <w:rFonts w:hint="eastAsia" w:asciiTheme="minorEastAsia" w:hAnsiTheme="minorEastAsia" w:eastAsiaTheme="minorEastAsia" w:cstheme="minorEastAsia"/>
          <w:b/>
          <w:color w:val="auto"/>
          <w:sz w:val="32"/>
          <w:szCs w:val="32"/>
          <w:highlight w:val="none"/>
        </w:rPr>
      </w:pPr>
    </w:p>
    <w:p w14:paraId="0FCB0F2C">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1A9FD8D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十、残疾人福利性单位声明函（分包号：**）</w:t>
      </w:r>
    </w:p>
    <w:p w14:paraId="19EC8CC4">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cstheme="minorEastAsia"/>
          <w:color w:val="auto"/>
          <w:highlight w:val="none"/>
          <w:u w:val="single"/>
          <w:lang w:eastAsia="zh-CN"/>
        </w:rPr>
        <w:t>盐城市盐都区楼王镇人民政府</w:t>
      </w:r>
      <w:r>
        <w:rPr>
          <w:rFonts w:hint="eastAsia" w:asciiTheme="minorEastAsia" w:hAnsiTheme="minorEastAsia" w:eastAsiaTheme="minorEastAsia" w:cstheme="minorEastAsia"/>
          <w:color w:val="auto"/>
          <w:highlight w:val="none"/>
        </w:rPr>
        <w:t>的采购文件编号为</w:t>
      </w:r>
      <w:r>
        <w:rPr>
          <w:rFonts w:hint="eastAsia" w:asciiTheme="minorEastAsia" w:hAnsiTheme="minorEastAsia" w:cstheme="minorEastAsia"/>
          <w:color w:val="auto"/>
          <w:highlight w:val="none"/>
          <w:u w:val="single"/>
          <w:lang w:eastAsia="zh-CN"/>
        </w:rPr>
        <w:t>JSZC-320903-ZFDL-G2026-0014</w:t>
      </w:r>
      <w:r>
        <w:rPr>
          <w:rFonts w:hint="eastAsia" w:asciiTheme="minorEastAsia" w:hAnsiTheme="minorEastAsia" w:eastAsiaTheme="minorEastAsia" w:cstheme="minorEastAsia"/>
          <w:color w:val="auto"/>
          <w:highlight w:val="none"/>
        </w:rPr>
        <w:t>的</w:t>
      </w:r>
      <w:r>
        <w:rPr>
          <w:rFonts w:hint="eastAsia" w:asciiTheme="minorEastAsia" w:hAnsiTheme="minorEastAsia" w:cstheme="minorEastAsia"/>
          <w:color w:val="auto"/>
          <w:highlight w:val="none"/>
          <w:u w:val="single"/>
          <w:lang w:eastAsia="zh-CN"/>
        </w:rPr>
        <w:t>盐都区楼王镇第二轮土地承包到期后再延长30年技术服务项目</w:t>
      </w:r>
      <w:r>
        <w:rPr>
          <w:rFonts w:hint="eastAsia" w:asciiTheme="minorEastAsia" w:hAnsiTheme="minorEastAsia" w:eastAsiaTheme="minorEastAsia" w:cstheme="minorEastAsia"/>
          <w:color w:val="auto"/>
          <w:highlight w:val="none"/>
        </w:rPr>
        <w:t>（分包号：**）</w:t>
      </w:r>
      <w:r>
        <w:rPr>
          <w:rFonts w:hint="eastAsia" w:ascii="宋体" w:hAnsi="宋体" w:eastAsia="宋体" w:cs="宋体"/>
          <w:color w:val="auto"/>
        </w:rPr>
        <w:t>采购活动由本单位提供服务。</w:t>
      </w:r>
    </w:p>
    <w:p w14:paraId="1E0A172F">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本单位对上述声明的真实性负责。如有虚假，将依法承担相应责任。</w:t>
      </w:r>
    </w:p>
    <w:p w14:paraId="4577B1D1">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72D716A">
      <w:pPr>
        <w:pStyle w:val="31"/>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备注：1、供应商如不提供此声明函，价格将不做相应扣除（如项目全面面向中小企业，则资格审查不通过）。2、中标供应商为残疾人福利单位的，此声明函将随中标结果同时公告，接受社会监督</w:t>
      </w:r>
    </w:p>
    <w:p w14:paraId="3C94DF39">
      <w:pPr>
        <w:pStyle w:val="31"/>
        <w:spacing w:beforeAutospacing="0" w:afterAutospacing="0" w:line="0" w:lineRule="atLeast"/>
        <w:ind w:firstLine="624"/>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8A99C7F">
      <w:pPr>
        <w:pStyle w:val="31"/>
        <w:tabs>
          <w:tab w:val="left" w:pos="4864"/>
        </w:tabs>
        <w:spacing w:beforeAutospacing="0" w:afterAutospacing="0" w:line="0" w:lineRule="atLeast"/>
        <w:ind w:right="1560" w:firstLine="624"/>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             </w:t>
      </w:r>
      <w:r>
        <w:rPr>
          <w:rFonts w:hint="eastAsia" w:asciiTheme="minorEastAsia" w:hAnsiTheme="minorEastAsia" w:eastAsiaTheme="minorEastAsia" w:cstheme="minorEastAsia"/>
          <w:color w:val="auto"/>
          <w:highlight w:val="none"/>
        </w:rPr>
        <w:t>          供应商全称（加盖CA电子公章）：</w:t>
      </w:r>
    </w:p>
    <w:p w14:paraId="51A2D434">
      <w:pPr>
        <w:pStyle w:val="31"/>
        <w:tabs>
          <w:tab w:val="left" w:pos="4864"/>
        </w:tabs>
        <w:spacing w:beforeAutospacing="0" w:afterAutospacing="0" w:line="0" w:lineRule="atLeast"/>
        <w:ind w:right="1560" w:firstLine="48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日  期：</w:t>
      </w:r>
    </w:p>
    <w:p w14:paraId="297DA2A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BBA6D1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1793E12">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E26AB96">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626218F">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0F3D23">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44CCBA">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6D31099">
      <w:pPr>
        <w:pStyle w:val="31"/>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37273EB">
      <w:pPr>
        <w:rPr>
          <w:rFonts w:hint="eastAsia" w:asciiTheme="minorEastAsia" w:hAnsiTheme="minorEastAsia" w:eastAsiaTheme="minorEastAsia" w:cstheme="minorEastAsia"/>
          <w:color w:val="auto"/>
          <w:spacing w:val="27"/>
          <w:sz w:val="39"/>
          <w:szCs w:val="39"/>
          <w:highlight w:val="none"/>
        </w:rPr>
      </w:pPr>
      <w:r>
        <w:rPr>
          <w:rFonts w:hint="eastAsia" w:asciiTheme="minorEastAsia" w:hAnsiTheme="minorEastAsia" w:eastAsiaTheme="minorEastAsia" w:cstheme="minorEastAsia"/>
          <w:color w:val="auto"/>
          <w:spacing w:val="27"/>
          <w:sz w:val="39"/>
          <w:szCs w:val="39"/>
          <w:highlight w:val="none"/>
        </w:rPr>
        <w:br w:type="page"/>
      </w:r>
    </w:p>
    <w:p w14:paraId="16481605">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lang w:val="en-US" w:eastAsia="zh-CN"/>
        </w:rPr>
        <w:t>十一</w:t>
      </w:r>
      <w:r>
        <w:rPr>
          <w:rFonts w:hint="eastAsia" w:asciiTheme="minorEastAsia" w:hAnsiTheme="minorEastAsia" w:eastAsiaTheme="minorEastAsia" w:cstheme="minorEastAsia"/>
          <w:b/>
          <w:color w:val="auto"/>
          <w:sz w:val="32"/>
          <w:szCs w:val="32"/>
          <w:highlight w:val="none"/>
        </w:rPr>
        <w:t>、投标分项报价表（分包号：***）</w:t>
      </w:r>
    </w:p>
    <w:p w14:paraId="353A2993">
      <w:pPr>
        <w:spacing w:line="520" w:lineRule="exact"/>
        <w:jc w:val="right"/>
        <w:rPr>
          <w:rFonts w:hint="eastAsia" w:asciiTheme="minorEastAsia" w:hAnsiTheme="minorEastAsia" w:eastAsiaTheme="minorEastAsia" w:cstheme="minorEastAsia"/>
          <w:color w:val="auto"/>
          <w:szCs w:val="21"/>
          <w:highlight w:val="none"/>
        </w:rPr>
      </w:pPr>
    </w:p>
    <w:p w14:paraId="0FC772FB">
      <w:pPr>
        <w:spacing w:line="520" w:lineRule="exact"/>
        <w:jc w:val="center"/>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cstheme="minorEastAsia"/>
          <w:color w:val="auto"/>
          <w:sz w:val="24"/>
          <w:szCs w:val="24"/>
          <w:highlight w:val="none"/>
          <w:lang w:val="en-US" w:eastAsia="zh-CN" w:bidi="ar-SA"/>
        </w:rPr>
        <w:t>投标人自拟</w:t>
      </w:r>
    </w:p>
    <w:p w14:paraId="1115DC61">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p>
    <w:p w14:paraId="42493D13">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p>
    <w:p w14:paraId="65AFE321">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供应商名称：</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（盖章或电子签章）</w:t>
      </w:r>
    </w:p>
    <w:p w14:paraId="47DDAA64">
      <w:pPr>
        <w:spacing w:line="520" w:lineRule="exact"/>
        <w:jc w:val="right"/>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法定代表人或授权委托人：</w:t>
      </w:r>
      <w:r>
        <w:rPr>
          <w:rFonts w:hint="eastAsia" w:asciiTheme="minorEastAsia" w:hAnsiTheme="minorEastAsia" w:eastAsiaTheme="minorEastAsia" w:cstheme="minorEastAsia"/>
          <w:color w:val="auto"/>
          <w:sz w:val="24"/>
          <w:szCs w:val="24"/>
          <w:highlight w:val="none"/>
          <w:u w:val="single"/>
          <w:lang w:val="en-US" w:eastAsia="zh-CN" w:bidi="ar-SA"/>
        </w:rPr>
        <w:t xml:space="preserve">                         </w:t>
      </w:r>
      <w:r>
        <w:rPr>
          <w:rFonts w:hint="eastAsia" w:asciiTheme="minorEastAsia" w:hAnsiTheme="minorEastAsia" w:eastAsiaTheme="minorEastAsia" w:cstheme="minorEastAsia"/>
          <w:color w:val="auto"/>
          <w:sz w:val="24"/>
          <w:szCs w:val="24"/>
          <w:highlight w:val="none"/>
          <w:lang w:val="en-US" w:eastAsia="zh-CN" w:bidi="ar-SA"/>
        </w:rPr>
        <w:t>（签字或电子签章）</w:t>
      </w:r>
    </w:p>
    <w:p w14:paraId="67E972CD">
      <w:pPr>
        <w:spacing w:line="520" w:lineRule="exact"/>
        <w:jc w:val="center"/>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年   月   日</w:t>
      </w:r>
    </w:p>
    <w:p w14:paraId="0AE464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1F9AEB0">
      <w:pPr>
        <w:spacing w:line="520" w:lineRule="exact"/>
        <w:ind w:firstLine="5250"/>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highlight w:val="none"/>
        </w:rPr>
        <w:br w:type="page"/>
      </w:r>
    </w:p>
    <w:p w14:paraId="56BB7526">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十</w:t>
      </w:r>
      <w:r>
        <w:rPr>
          <w:rFonts w:hint="eastAsia" w:asciiTheme="minorEastAsia" w:hAnsiTheme="minorEastAsia" w:eastAsiaTheme="minorEastAsia" w:cstheme="minorEastAsia"/>
          <w:i/>
          <w:color w:val="auto"/>
          <w:sz w:val="32"/>
          <w:szCs w:val="32"/>
          <w:highlight w:val="none"/>
          <w:u w:val="single"/>
          <w:lang w:val="en-US" w:eastAsia="zh-CN"/>
        </w:rPr>
        <w:t>二</w:t>
      </w:r>
      <w:r>
        <w:rPr>
          <w:rFonts w:hint="eastAsia" w:asciiTheme="minorEastAsia" w:hAnsiTheme="minorEastAsia" w:eastAsiaTheme="minorEastAsia" w:cstheme="minorEastAsia"/>
          <w:i/>
          <w:color w:val="auto"/>
          <w:sz w:val="32"/>
          <w:szCs w:val="32"/>
          <w:highlight w:val="none"/>
          <w:u w:val="single"/>
        </w:rPr>
        <w:t>、技术要求响应及偏离表（分包号：**）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3A0C73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DF9B4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8BF2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D68E8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B4F6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A0F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38CC31A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34127A1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605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FDC4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6D4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3ED4B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8C65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01CD8CE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15850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4577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DC07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16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8AE4C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9B20F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14AF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378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378E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A0E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4CF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060C11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A46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A3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3C6F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68B55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76FB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4DDEC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DF8C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18CD1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E869F">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24360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6204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3F7E4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85A2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540B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203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A5AC8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C56B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BE203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FC14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2F242A">
            <w:pPr>
              <w:pStyle w:val="31"/>
              <w:spacing w:beforeAutospacing="0" w:afterAutospacing="0"/>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 </w:t>
            </w:r>
            <w:r>
              <w:rPr>
                <w:rFonts w:hint="eastAsia" w:asciiTheme="minorEastAsia" w:hAnsiTheme="minorEastAsia" w:cstheme="minorEastAsia"/>
                <w:color w:val="auto"/>
                <w:highlight w:val="none"/>
                <w:lang w:eastAsia="zh-CN"/>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5F81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4A8A9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24712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C261C4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A90CE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CE173">
            <w:pPr>
              <w:pStyle w:val="31"/>
              <w:spacing w:beforeAutospacing="0" w:afterAutospacing="0"/>
              <w:jc w:val="center"/>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详见招标文件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CF0EE">
            <w:pPr>
              <w:pStyle w:val="31"/>
              <w:spacing w:beforeAutospacing="0" w:afterAutospacing="0"/>
              <w:jc w:val="center"/>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完全响应招标文件全部技术要求</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20FD54">
            <w:pPr>
              <w:pStyle w:val="31"/>
              <w:spacing w:beforeAutospacing="0" w:afterAutospacing="0"/>
              <w:jc w:val="center"/>
              <w:rPr>
                <w:rFonts w:hint="default" w:asciiTheme="minorEastAsia" w:hAnsi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符合</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1137E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52F9DA9D">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6DBB7F01">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6EFB610">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0DABA0A">
      <w:pPr>
        <w:widowControl/>
        <w:jc w:val="left"/>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4B654A49">
      <w:pPr>
        <w:pStyle w:val="31"/>
        <w:keepNext/>
        <w:keepLines/>
        <w:spacing w:before="260" w:beforeAutospacing="0" w:after="260" w:afterAutospacing="0" w:line="415" w:lineRule="auto"/>
        <w:jc w:val="center"/>
        <w:rPr>
          <w:rFonts w:hint="eastAsia" w:asciiTheme="minorEastAsia" w:hAnsiTheme="minorEastAsia" w:eastAsiaTheme="minorEastAsia" w:cstheme="minorEastAsia"/>
          <w:i/>
          <w:color w:val="auto"/>
          <w:sz w:val="32"/>
          <w:szCs w:val="32"/>
          <w:highlight w:val="none"/>
          <w:u w:val="single"/>
        </w:rPr>
      </w:pPr>
      <w:r>
        <w:rPr>
          <w:rFonts w:hint="eastAsia" w:asciiTheme="minorEastAsia" w:hAnsiTheme="minorEastAsia" w:eastAsiaTheme="minorEastAsia" w:cstheme="minorEastAsia"/>
          <w:i/>
          <w:color w:val="auto"/>
          <w:sz w:val="32"/>
          <w:szCs w:val="32"/>
          <w:highlight w:val="none"/>
          <w:u w:val="single"/>
        </w:rPr>
        <w:t>十</w:t>
      </w:r>
      <w:r>
        <w:rPr>
          <w:rFonts w:hint="eastAsia" w:asciiTheme="minorEastAsia" w:hAnsiTheme="minorEastAsia" w:eastAsiaTheme="minorEastAsia" w:cstheme="minorEastAsia"/>
          <w:i/>
          <w:color w:val="auto"/>
          <w:sz w:val="32"/>
          <w:szCs w:val="32"/>
          <w:highlight w:val="none"/>
          <w:u w:val="single"/>
          <w:lang w:val="en-US" w:eastAsia="zh-CN"/>
        </w:rPr>
        <w:t>三</w:t>
      </w:r>
      <w:r>
        <w:rPr>
          <w:rFonts w:hint="eastAsia" w:asciiTheme="minorEastAsia" w:hAnsiTheme="minorEastAsia" w:eastAsiaTheme="minorEastAsia" w:cstheme="minorEastAsia"/>
          <w:i/>
          <w:color w:val="auto"/>
          <w:sz w:val="32"/>
          <w:szCs w:val="32"/>
          <w:highlight w:val="none"/>
          <w:u w:val="single"/>
        </w:rPr>
        <w:t>、商务要求响应及偏离表（分包号：**）</w:t>
      </w:r>
    </w:p>
    <w:tbl>
      <w:tblPr>
        <w:tblStyle w:val="34"/>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C5CB51C">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B25D4F">
            <w:pPr>
              <w:pStyle w:val="31"/>
              <w:spacing w:beforeAutospacing="0" w:afterAutospacing="0"/>
              <w:jc w:val="center"/>
              <w:rPr>
                <w:rFonts w:hint="eastAsia" w:asciiTheme="minorEastAsia" w:hAnsiTheme="minorEastAsia" w:eastAsiaTheme="minorEastAsia" w:cstheme="minorEastAsia"/>
                <w:color w:val="auto"/>
                <w:highlight w:val="none"/>
              </w:rPr>
            </w:pPr>
            <w:bookmarkStart w:id="148" w:name="_Hlt26580838"/>
            <w:bookmarkStart w:id="149" w:name="_Hlt26955064"/>
            <w:bookmarkStart w:id="150" w:name="_Hlt26671343"/>
            <w:bookmarkStart w:id="151" w:name="_Hlt24879081"/>
            <w:bookmarkStart w:id="152" w:name="_Hlt26609391"/>
            <w:bookmarkStart w:id="153" w:name="_Hlt26671372"/>
            <w:bookmarkStart w:id="154" w:name="_Hlt26782999"/>
            <w:bookmarkStart w:id="155" w:name="_Hlt26955056"/>
            <w:r>
              <w:rPr>
                <w:rFonts w:hint="eastAsia" w:asciiTheme="minorEastAsia" w:hAnsiTheme="minorEastAsia" w:eastAsiaTheme="minorEastAsia" w:cstheme="minorEastAsia"/>
                <w:color w:val="auto"/>
                <w:highlight w:val="none"/>
              </w:rPr>
              <w:t>序号</w:t>
            </w:r>
            <w:bookmarkEnd w:id="148"/>
            <w:bookmarkEnd w:id="149"/>
            <w:bookmarkEnd w:id="150"/>
            <w:bookmarkEnd w:id="151"/>
            <w:bookmarkEnd w:id="152"/>
            <w:bookmarkEnd w:id="153"/>
            <w:bookmarkEnd w:id="154"/>
            <w:bookmarkEnd w:id="155"/>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230AF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8A01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9CDF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061A7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5E11193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3AEC276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D538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9D2A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0033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CE8B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16F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6A2BAC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B323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8FF1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37E189">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41AE9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C866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FB33F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62278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7B859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92A8BE">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9BD512">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EDF7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4C1981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E9D4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9E4E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9430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44B0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E385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DF4051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EFC065">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B8F37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F736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18DD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7527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A15D9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C7A6D">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0DC8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E652D7">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CE6743">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FB42C">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6E4BC2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77F1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FCA14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00876">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583E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01FF4">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CA5DF9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D1B488">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A0E01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详见招标文件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015EA0">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完全响应招标文件全部商务要求</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09BDB">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color w:val="auto"/>
                <w:highlight w:val="none"/>
                <w:lang w:val="en-US" w:eastAsia="zh-CN"/>
              </w:rPr>
              <w:t>符合</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375EBA">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03C3E765">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4016C671">
      <w:pPr>
        <w:pStyle w:val="31"/>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C97951">
      <w:pPr>
        <w:pStyle w:val="31"/>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A0965AC">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01FAA613">
      <w:pPr>
        <w:pStyle w:val="2"/>
        <w:pBdr>
          <w:top w:val="none" w:color="auto" w:sz="0" w:space="0"/>
          <w:left w:val="none" w:color="auto" w:sz="0" w:space="0"/>
          <w:bottom w:val="none" w:color="auto" w:sz="0" w:space="0"/>
          <w:right w:val="none" w:color="auto" w:sz="0" w:space="0"/>
        </w:pBdr>
        <w:spacing w:before="322" w:after="322"/>
        <w:jc w:val="center"/>
        <w:rPr>
          <w:rFonts w:hint="eastAsia" w:asciiTheme="minorEastAsia" w:hAnsiTheme="minorEastAsia" w:eastAsiaTheme="minorEastAsia" w:cstheme="minorEastAsia"/>
          <w:bCs w:val="0"/>
          <w:i/>
          <w:color w:val="auto"/>
          <w:sz w:val="32"/>
          <w:szCs w:val="32"/>
          <w:highlight w:val="none"/>
          <w:u w:val="single"/>
        </w:rPr>
      </w:pPr>
      <w:r>
        <w:rPr>
          <w:rFonts w:hint="eastAsia" w:asciiTheme="minorEastAsia" w:hAnsiTheme="minorEastAsia" w:eastAsiaTheme="minorEastAsia" w:cstheme="minorEastAsia"/>
          <w:bCs w:val="0"/>
          <w:i/>
          <w:color w:val="auto"/>
          <w:sz w:val="32"/>
          <w:szCs w:val="32"/>
          <w:highlight w:val="none"/>
          <w:u w:val="single"/>
        </w:rPr>
        <w:t>十</w:t>
      </w:r>
      <w:r>
        <w:rPr>
          <w:rFonts w:hint="eastAsia" w:asciiTheme="minorEastAsia" w:hAnsiTheme="minorEastAsia" w:eastAsiaTheme="minorEastAsia" w:cstheme="minorEastAsia"/>
          <w:bCs w:val="0"/>
          <w:i/>
          <w:color w:val="auto"/>
          <w:sz w:val="32"/>
          <w:szCs w:val="32"/>
          <w:highlight w:val="none"/>
          <w:u w:val="single"/>
          <w:lang w:val="en-US" w:eastAsia="zh-CN"/>
        </w:rPr>
        <w:t>四</w:t>
      </w:r>
      <w:r>
        <w:rPr>
          <w:rFonts w:hint="eastAsia" w:asciiTheme="minorEastAsia" w:hAnsiTheme="minorEastAsia" w:eastAsiaTheme="minorEastAsia" w:cstheme="minorEastAsia"/>
          <w:bCs w:val="0"/>
          <w:i/>
          <w:color w:val="auto"/>
          <w:sz w:val="32"/>
          <w:szCs w:val="32"/>
          <w:highlight w:val="none"/>
          <w:u w:val="single"/>
        </w:rPr>
        <w:t>、开标一览表</w:t>
      </w:r>
    </w:p>
    <w:p w14:paraId="5C708920">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项目编号：</w:t>
      </w:r>
      <w:r>
        <w:rPr>
          <w:rFonts w:hint="eastAsia" w:asciiTheme="minorEastAsia" w:hAnsiTheme="minorEastAsia" w:cstheme="minorEastAsia"/>
          <w:color w:val="auto"/>
          <w:sz w:val="24"/>
          <w:highlight w:val="none"/>
          <w:lang w:eastAsia="zh-CN"/>
        </w:rPr>
        <w:t>JSZC-320903-ZFDL-G2026-0014</w:t>
      </w:r>
      <w:r>
        <w:rPr>
          <w:rFonts w:hint="eastAsia" w:asciiTheme="minorEastAsia" w:hAnsiTheme="minorEastAsia" w:eastAsiaTheme="minorEastAsia" w:cstheme="minorEastAsia"/>
          <w:color w:val="auto"/>
          <w:sz w:val="24"/>
          <w:highlight w:val="none"/>
        </w:rPr>
        <w:t> </w:t>
      </w:r>
    </w:p>
    <w:p w14:paraId="3220721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货币单位：人民币元</w:t>
      </w:r>
    </w:p>
    <w:tbl>
      <w:tblPr>
        <w:tblStyle w:val="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704"/>
        <w:gridCol w:w="2466"/>
        <w:gridCol w:w="3136"/>
      </w:tblGrid>
      <w:tr w14:paraId="1D93F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747F9367">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项目名称</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0A8440A">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项目内容</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9117E48">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总价（小写）</w:t>
            </w:r>
          </w:p>
        </w:tc>
      </w:tr>
      <w:tr w14:paraId="4B028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8C07C6E">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lang w:eastAsia="zh-CN"/>
              </w:rPr>
            </w:pPr>
            <w:r>
              <w:rPr>
                <w:rFonts w:hint="eastAsia" w:asciiTheme="minorEastAsia" w:hAnsiTheme="minorEastAsia" w:cstheme="minorEastAsia"/>
                <w:color w:val="auto"/>
                <w:sz w:val="24"/>
                <w:highlight w:val="none"/>
                <w:lang w:eastAsia="zh-CN"/>
              </w:rPr>
              <w:t>盐都区楼王镇第二轮土地承包到期后再延长30年技术服务项目</w:t>
            </w:r>
          </w:p>
        </w:tc>
        <w:tc>
          <w:tcPr>
            <w:tcW w:w="28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29C1DB3">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详见投标文件</w:t>
            </w:r>
          </w:p>
        </w:tc>
        <w:tc>
          <w:tcPr>
            <w:tcW w:w="354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4594FA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元</w:t>
            </w:r>
          </w:p>
        </w:tc>
      </w:tr>
      <w:tr w14:paraId="07C14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00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606D1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总价（大写）：</w:t>
            </w:r>
          </w:p>
        </w:tc>
        <w:tc>
          <w:tcPr>
            <w:tcW w:w="6344"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53B70E5">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金额大写  </w:t>
            </w:r>
          </w:p>
        </w:tc>
      </w:tr>
    </w:tbl>
    <w:p w14:paraId="0BE5B2A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5A9F409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投标人公章：（电子签章）</w:t>
      </w:r>
    </w:p>
    <w:p w14:paraId="32FEE976">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0424340">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056FC0C4">
      <w:pPr>
        <w:pBdr>
          <w:top w:val="none" w:color="auto" w:sz="0" w:space="0"/>
          <w:left w:val="none" w:color="auto" w:sz="0" w:space="0"/>
          <w:bottom w:val="none" w:color="auto" w:sz="0" w:space="0"/>
          <w:right w:val="none" w:color="auto" w:sz="0" w:space="0"/>
        </w:pBdr>
        <w:spacing w:before="240" w:after="240"/>
        <w:jc w:val="righ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日期： 年 月 日</w:t>
      </w:r>
    </w:p>
    <w:p w14:paraId="01898042">
      <w:pPr>
        <w:pBdr>
          <w:top w:val="none" w:color="auto" w:sz="0" w:space="0"/>
          <w:left w:val="none" w:color="auto" w:sz="0" w:space="0"/>
          <w:bottom w:val="none" w:color="auto" w:sz="0" w:space="0"/>
          <w:right w:val="none" w:color="auto" w:sz="0" w:space="0"/>
        </w:pBdr>
        <w:spacing w:before="240" w:after="24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 </w:t>
      </w:r>
    </w:p>
    <w:p w14:paraId="13CA14D2">
      <w:pPr>
        <w:pStyle w:val="31"/>
        <w:jc w:val="right"/>
        <w:rPr>
          <w:rFonts w:hint="eastAsia" w:asciiTheme="minorEastAsia" w:hAnsiTheme="minorEastAsia" w:eastAsiaTheme="minorEastAsia" w:cstheme="minorEastAsia"/>
          <w:color w:val="auto"/>
          <w:highlight w:val="none"/>
        </w:rPr>
      </w:pPr>
    </w:p>
    <w:p w14:paraId="1D75AAB8">
      <w:pPr>
        <w:pStyle w:val="31"/>
        <w:spacing w:beforeAutospacing="0" w:afterAutospacing="0"/>
        <w:ind w:firstLine="480"/>
        <w:jc w:val="both"/>
        <w:rPr>
          <w:rFonts w:hint="eastAsia" w:asciiTheme="minorEastAsia" w:hAnsiTheme="minorEastAsia" w:eastAsiaTheme="minorEastAsia" w:cstheme="minorEastAsia"/>
          <w:color w:val="auto"/>
          <w:highlight w:val="none"/>
        </w:rPr>
      </w:pPr>
    </w:p>
    <w:p w14:paraId="06E3060F">
      <w:pPr>
        <w:pStyle w:val="31"/>
        <w:spacing w:beforeAutospacing="0" w:afterAutospacing="0"/>
        <w:ind w:firstLine="480"/>
        <w:jc w:val="both"/>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highlight w:val="none"/>
        </w:rPr>
        <w:t> </w:t>
      </w:r>
    </w:p>
    <w:p w14:paraId="54C6CA8D">
      <w:pPr>
        <w:widowControl/>
        <w:jc w:val="left"/>
        <w:rPr>
          <w:rFonts w:hint="eastAsia"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b/>
          <w:i/>
          <w:color w:val="auto"/>
          <w:sz w:val="32"/>
          <w:szCs w:val="32"/>
          <w:highlight w:val="none"/>
          <w:u w:val="single"/>
        </w:rPr>
        <w:br w:type="page"/>
      </w:r>
    </w:p>
    <w:p w14:paraId="394DCF2C">
      <w:pPr>
        <w:widowControl/>
        <w:spacing w:before="50" w:after="50"/>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五</w:t>
      </w:r>
      <w:r>
        <w:rPr>
          <w:rFonts w:hint="eastAsia" w:asciiTheme="minorEastAsia" w:hAnsiTheme="minorEastAsia" w:eastAsiaTheme="minorEastAsia" w:cstheme="minorEastAsia"/>
          <w:color w:val="auto"/>
          <w:sz w:val="32"/>
          <w:szCs w:val="32"/>
          <w:highlight w:val="none"/>
        </w:rPr>
        <w:t>、拟投入本项目服务人员一览表</w:t>
      </w:r>
    </w:p>
    <w:tbl>
      <w:tblPr>
        <w:tblStyle w:val="34"/>
        <w:tblW w:w="9060" w:type="dxa"/>
        <w:jc w:val="center"/>
        <w:tblLayout w:type="fixed"/>
        <w:tblCellMar>
          <w:top w:w="0" w:type="dxa"/>
          <w:left w:w="108" w:type="dxa"/>
          <w:bottom w:w="0" w:type="dxa"/>
          <w:right w:w="108" w:type="dxa"/>
        </w:tblCellMar>
      </w:tblPr>
      <w:tblGrid>
        <w:gridCol w:w="751"/>
        <w:gridCol w:w="753"/>
        <w:gridCol w:w="728"/>
        <w:gridCol w:w="807"/>
        <w:gridCol w:w="1251"/>
        <w:gridCol w:w="1307"/>
        <w:gridCol w:w="893"/>
        <w:gridCol w:w="2570"/>
      </w:tblGrid>
      <w:tr w14:paraId="77BB2039">
        <w:tblPrEx>
          <w:tblCellMar>
            <w:top w:w="0" w:type="dxa"/>
            <w:left w:w="108" w:type="dxa"/>
            <w:bottom w:w="0" w:type="dxa"/>
            <w:right w:w="108" w:type="dxa"/>
          </w:tblCellMar>
        </w:tblPrEx>
        <w:trPr>
          <w:trHeight w:val="929" w:hRule="atLeast"/>
          <w:jc w:val="center"/>
        </w:trPr>
        <w:tc>
          <w:tcPr>
            <w:tcW w:w="9060" w:type="dxa"/>
            <w:gridSpan w:val="8"/>
            <w:tcBorders>
              <w:top w:val="single" w:color="auto" w:sz="4" w:space="0"/>
              <w:left w:val="single" w:color="auto" w:sz="4" w:space="0"/>
              <w:bottom w:val="single" w:color="auto" w:sz="4" w:space="0"/>
              <w:right w:val="single" w:color="auto" w:sz="4" w:space="0"/>
            </w:tcBorders>
            <w:vAlign w:val="center"/>
          </w:tcPr>
          <w:p w14:paraId="469E7459">
            <w:pPr>
              <w:adjustRightInd w:val="0"/>
              <w:spacing w:line="360" w:lineRule="auto"/>
              <w:jc w:val="center"/>
              <w:textAlignment w:val="baseline"/>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服务人员</w:t>
            </w:r>
          </w:p>
        </w:tc>
      </w:tr>
      <w:tr w14:paraId="376F89A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279C23B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序号</w:t>
            </w:r>
          </w:p>
        </w:tc>
        <w:tc>
          <w:tcPr>
            <w:tcW w:w="753" w:type="dxa"/>
            <w:tcBorders>
              <w:top w:val="single" w:color="auto" w:sz="4" w:space="0"/>
              <w:left w:val="single" w:color="auto" w:sz="4" w:space="0"/>
              <w:bottom w:val="single" w:color="auto" w:sz="4" w:space="0"/>
              <w:right w:val="single" w:color="auto" w:sz="4" w:space="0"/>
            </w:tcBorders>
            <w:vAlign w:val="center"/>
          </w:tcPr>
          <w:p w14:paraId="2CA4A7F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姓名</w:t>
            </w:r>
          </w:p>
        </w:tc>
        <w:tc>
          <w:tcPr>
            <w:tcW w:w="728" w:type="dxa"/>
            <w:tcBorders>
              <w:top w:val="single" w:color="auto" w:sz="4" w:space="0"/>
              <w:left w:val="nil"/>
              <w:bottom w:val="single" w:color="auto" w:sz="4" w:space="0"/>
              <w:right w:val="single" w:color="auto" w:sz="4" w:space="0"/>
            </w:tcBorders>
            <w:vAlign w:val="center"/>
          </w:tcPr>
          <w:p w14:paraId="6337C6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性别</w:t>
            </w:r>
          </w:p>
        </w:tc>
        <w:tc>
          <w:tcPr>
            <w:tcW w:w="807" w:type="dxa"/>
            <w:tcBorders>
              <w:top w:val="single" w:color="auto" w:sz="4" w:space="0"/>
              <w:left w:val="nil"/>
              <w:bottom w:val="single" w:color="auto" w:sz="4" w:space="0"/>
              <w:right w:val="single" w:color="auto" w:sz="4" w:space="0"/>
            </w:tcBorders>
            <w:vAlign w:val="center"/>
          </w:tcPr>
          <w:p w14:paraId="010B37D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年龄</w:t>
            </w:r>
          </w:p>
        </w:tc>
        <w:tc>
          <w:tcPr>
            <w:tcW w:w="1251" w:type="dxa"/>
            <w:tcBorders>
              <w:top w:val="single" w:color="auto" w:sz="4" w:space="0"/>
              <w:left w:val="nil"/>
              <w:bottom w:val="single" w:color="auto" w:sz="4" w:space="0"/>
              <w:right w:val="single" w:color="auto" w:sz="4" w:space="0"/>
            </w:tcBorders>
            <w:vAlign w:val="center"/>
          </w:tcPr>
          <w:p w14:paraId="46B2799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职务职称</w:t>
            </w:r>
          </w:p>
        </w:tc>
        <w:tc>
          <w:tcPr>
            <w:tcW w:w="1307" w:type="dxa"/>
            <w:tcBorders>
              <w:top w:val="single" w:color="auto" w:sz="4" w:space="0"/>
              <w:left w:val="nil"/>
              <w:bottom w:val="single" w:color="auto" w:sz="4" w:space="0"/>
              <w:right w:val="single" w:color="auto" w:sz="4" w:space="0"/>
            </w:tcBorders>
            <w:vAlign w:val="center"/>
          </w:tcPr>
          <w:p w14:paraId="768CE9B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业务专业</w:t>
            </w:r>
          </w:p>
        </w:tc>
        <w:tc>
          <w:tcPr>
            <w:tcW w:w="893" w:type="dxa"/>
            <w:tcBorders>
              <w:top w:val="single" w:color="auto" w:sz="4" w:space="0"/>
              <w:left w:val="nil"/>
              <w:bottom w:val="single" w:color="auto" w:sz="4" w:space="0"/>
              <w:right w:val="single" w:color="auto" w:sz="4" w:space="0"/>
            </w:tcBorders>
            <w:vAlign w:val="center"/>
          </w:tcPr>
          <w:p w14:paraId="181A1CC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学历</w:t>
            </w:r>
          </w:p>
        </w:tc>
        <w:tc>
          <w:tcPr>
            <w:tcW w:w="2570" w:type="dxa"/>
            <w:tcBorders>
              <w:top w:val="single" w:color="auto" w:sz="4" w:space="0"/>
              <w:left w:val="nil"/>
              <w:bottom w:val="single" w:color="auto" w:sz="4" w:space="0"/>
              <w:right w:val="single" w:color="auto" w:sz="4" w:space="0"/>
            </w:tcBorders>
            <w:vAlign w:val="center"/>
          </w:tcPr>
          <w:p w14:paraId="5008E98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备注</w:t>
            </w:r>
          </w:p>
        </w:tc>
      </w:tr>
      <w:tr w14:paraId="66714DBE">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6F996FA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w:t>
            </w:r>
          </w:p>
        </w:tc>
        <w:tc>
          <w:tcPr>
            <w:tcW w:w="753" w:type="dxa"/>
            <w:tcBorders>
              <w:top w:val="single" w:color="auto" w:sz="4" w:space="0"/>
              <w:left w:val="single" w:color="auto" w:sz="4" w:space="0"/>
              <w:bottom w:val="single" w:color="auto" w:sz="4" w:space="0"/>
              <w:right w:val="single" w:color="auto" w:sz="4" w:space="0"/>
            </w:tcBorders>
            <w:vAlign w:val="center"/>
          </w:tcPr>
          <w:p w14:paraId="27361BC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7CDA883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0A1C44F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B792E3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7A07D73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A16BA2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F6FE98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2A371B5">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506E7C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w:t>
            </w:r>
          </w:p>
        </w:tc>
        <w:tc>
          <w:tcPr>
            <w:tcW w:w="753" w:type="dxa"/>
            <w:tcBorders>
              <w:top w:val="single" w:color="auto" w:sz="4" w:space="0"/>
              <w:left w:val="single" w:color="auto" w:sz="4" w:space="0"/>
              <w:bottom w:val="single" w:color="auto" w:sz="4" w:space="0"/>
              <w:right w:val="single" w:color="auto" w:sz="4" w:space="0"/>
            </w:tcBorders>
            <w:vAlign w:val="center"/>
          </w:tcPr>
          <w:p w14:paraId="0112A59B">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30ACE78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512D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480406E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A9611C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5AC0A0E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C2D0D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78C39BEB">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5BC055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w:t>
            </w:r>
          </w:p>
        </w:tc>
        <w:tc>
          <w:tcPr>
            <w:tcW w:w="753" w:type="dxa"/>
            <w:tcBorders>
              <w:top w:val="single" w:color="auto" w:sz="4" w:space="0"/>
              <w:left w:val="single" w:color="auto" w:sz="4" w:space="0"/>
              <w:bottom w:val="single" w:color="auto" w:sz="4" w:space="0"/>
              <w:right w:val="single" w:color="auto" w:sz="4" w:space="0"/>
            </w:tcBorders>
            <w:vAlign w:val="center"/>
          </w:tcPr>
          <w:p w14:paraId="12C36AE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0BB662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60C507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E720A3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2B453B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107EA820">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019EDE0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57954958">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5918041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4</w:t>
            </w:r>
          </w:p>
        </w:tc>
        <w:tc>
          <w:tcPr>
            <w:tcW w:w="753" w:type="dxa"/>
            <w:tcBorders>
              <w:top w:val="single" w:color="auto" w:sz="4" w:space="0"/>
              <w:left w:val="single" w:color="auto" w:sz="4" w:space="0"/>
              <w:bottom w:val="single" w:color="auto" w:sz="4" w:space="0"/>
              <w:right w:val="single" w:color="auto" w:sz="4" w:space="0"/>
            </w:tcBorders>
            <w:vAlign w:val="center"/>
          </w:tcPr>
          <w:p w14:paraId="35C3F96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4125433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766653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1293942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1E693AD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68409AF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2776563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BB4D38B">
        <w:tblPrEx>
          <w:tblCellMar>
            <w:top w:w="0" w:type="dxa"/>
            <w:left w:w="108" w:type="dxa"/>
            <w:bottom w:w="0" w:type="dxa"/>
            <w:right w:w="108" w:type="dxa"/>
          </w:tblCellMar>
        </w:tblPrEx>
        <w:trPr>
          <w:trHeight w:val="929"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02D8F28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5</w:t>
            </w:r>
          </w:p>
        </w:tc>
        <w:tc>
          <w:tcPr>
            <w:tcW w:w="753" w:type="dxa"/>
            <w:tcBorders>
              <w:top w:val="single" w:color="auto" w:sz="4" w:space="0"/>
              <w:left w:val="single" w:color="auto" w:sz="4" w:space="0"/>
              <w:bottom w:val="single" w:color="auto" w:sz="4" w:space="0"/>
              <w:right w:val="single" w:color="auto" w:sz="4" w:space="0"/>
            </w:tcBorders>
            <w:vAlign w:val="center"/>
          </w:tcPr>
          <w:p w14:paraId="4FD1737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1B7C971">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105C2F5F">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77E7987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04D6D342">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28DA71AE">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F9531E6">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r w14:paraId="1C70C734">
        <w:tblPrEx>
          <w:tblCellMar>
            <w:top w:w="0" w:type="dxa"/>
            <w:left w:w="108" w:type="dxa"/>
            <w:bottom w:w="0" w:type="dxa"/>
            <w:right w:w="108" w:type="dxa"/>
          </w:tblCellMar>
        </w:tblPrEx>
        <w:trPr>
          <w:trHeight w:val="984" w:hRule="atLeast"/>
          <w:jc w:val="center"/>
        </w:trPr>
        <w:tc>
          <w:tcPr>
            <w:tcW w:w="751" w:type="dxa"/>
            <w:tcBorders>
              <w:top w:val="single" w:color="auto" w:sz="4" w:space="0"/>
              <w:left w:val="single" w:color="auto" w:sz="4" w:space="0"/>
              <w:bottom w:val="single" w:color="auto" w:sz="4" w:space="0"/>
              <w:right w:val="single" w:color="auto" w:sz="4" w:space="0"/>
            </w:tcBorders>
            <w:vAlign w:val="center"/>
          </w:tcPr>
          <w:p w14:paraId="3E6B6C5D">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6</w:t>
            </w:r>
          </w:p>
        </w:tc>
        <w:tc>
          <w:tcPr>
            <w:tcW w:w="753" w:type="dxa"/>
            <w:tcBorders>
              <w:top w:val="single" w:color="auto" w:sz="4" w:space="0"/>
              <w:left w:val="single" w:color="auto" w:sz="4" w:space="0"/>
              <w:bottom w:val="single" w:color="auto" w:sz="4" w:space="0"/>
              <w:right w:val="single" w:color="auto" w:sz="4" w:space="0"/>
            </w:tcBorders>
            <w:vAlign w:val="center"/>
          </w:tcPr>
          <w:p w14:paraId="56DFDFB3">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728" w:type="dxa"/>
            <w:tcBorders>
              <w:top w:val="single" w:color="auto" w:sz="4" w:space="0"/>
              <w:left w:val="nil"/>
              <w:bottom w:val="single" w:color="auto" w:sz="4" w:space="0"/>
              <w:right w:val="single" w:color="auto" w:sz="4" w:space="0"/>
            </w:tcBorders>
            <w:vAlign w:val="center"/>
          </w:tcPr>
          <w:p w14:paraId="66F593F9">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07" w:type="dxa"/>
            <w:tcBorders>
              <w:top w:val="single" w:color="auto" w:sz="4" w:space="0"/>
              <w:left w:val="nil"/>
              <w:bottom w:val="single" w:color="auto" w:sz="4" w:space="0"/>
              <w:right w:val="single" w:color="auto" w:sz="4" w:space="0"/>
            </w:tcBorders>
            <w:vAlign w:val="center"/>
          </w:tcPr>
          <w:p w14:paraId="3AFC80BA">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251" w:type="dxa"/>
            <w:tcBorders>
              <w:top w:val="single" w:color="auto" w:sz="4" w:space="0"/>
              <w:left w:val="nil"/>
              <w:bottom w:val="single" w:color="auto" w:sz="4" w:space="0"/>
              <w:right w:val="single" w:color="auto" w:sz="4" w:space="0"/>
            </w:tcBorders>
            <w:vAlign w:val="center"/>
          </w:tcPr>
          <w:p w14:paraId="245D0F04">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1307" w:type="dxa"/>
            <w:tcBorders>
              <w:top w:val="single" w:color="auto" w:sz="4" w:space="0"/>
              <w:left w:val="nil"/>
              <w:bottom w:val="single" w:color="auto" w:sz="4" w:space="0"/>
              <w:right w:val="single" w:color="auto" w:sz="4" w:space="0"/>
            </w:tcBorders>
            <w:vAlign w:val="center"/>
          </w:tcPr>
          <w:p w14:paraId="59C525B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893" w:type="dxa"/>
            <w:tcBorders>
              <w:top w:val="single" w:color="auto" w:sz="4" w:space="0"/>
              <w:left w:val="nil"/>
              <w:bottom w:val="single" w:color="auto" w:sz="4" w:space="0"/>
              <w:right w:val="single" w:color="auto" w:sz="4" w:space="0"/>
            </w:tcBorders>
            <w:vAlign w:val="center"/>
          </w:tcPr>
          <w:p w14:paraId="05E08F68">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c>
          <w:tcPr>
            <w:tcW w:w="2570" w:type="dxa"/>
            <w:tcBorders>
              <w:top w:val="single" w:color="auto" w:sz="4" w:space="0"/>
              <w:left w:val="nil"/>
              <w:bottom w:val="single" w:color="auto" w:sz="4" w:space="0"/>
              <w:right w:val="single" w:color="auto" w:sz="4" w:space="0"/>
            </w:tcBorders>
            <w:vAlign w:val="center"/>
          </w:tcPr>
          <w:p w14:paraId="487EA867">
            <w:pPr>
              <w:adjustRightInd w:val="0"/>
              <w:spacing w:line="360" w:lineRule="auto"/>
              <w:jc w:val="center"/>
              <w:textAlignment w:val="baseline"/>
              <w:rPr>
                <w:rFonts w:hint="eastAsia" w:asciiTheme="minorEastAsia" w:hAnsiTheme="minorEastAsia" w:eastAsiaTheme="minorEastAsia" w:cstheme="minorEastAsia"/>
                <w:color w:val="auto"/>
                <w:kern w:val="0"/>
                <w:sz w:val="24"/>
                <w:highlight w:val="none"/>
              </w:rPr>
            </w:pPr>
          </w:p>
        </w:tc>
      </w:tr>
    </w:tbl>
    <w:p w14:paraId="0854D47A">
      <w:pPr>
        <w:spacing w:line="520" w:lineRule="exact"/>
        <w:jc w:val="right"/>
        <w:rPr>
          <w:rFonts w:hint="eastAsia" w:asciiTheme="minorEastAsia" w:hAnsiTheme="minorEastAsia" w:eastAsiaTheme="minorEastAsia" w:cstheme="minorEastAsia"/>
          <w:color w:val="auto"/>
          <w:szCs w:val="21"/>
          <w:highlight w:val="none"/>
        </w:rPr>
      </w:pPr>
    </w:p>
    <w:p w14:paraId="1AD23C1C">
      <w:pPr>
        <w:spacing w:line="520" w:lineRule="exact"/>
        <w:jc w:val="right"/>
        <w:rPr>
          <w:rFonts w:hint="eastAsia" w:asciiTheme="minorEastAsia" w:hAnsiTheme="minorEastAsia" w:eastAsiaTheme="minorEastAsia" w:cstheme="minorEastAsia"/>
          <w:color w:val="auto"/>
          <w:szCs w:val="21"/>
          <w:highlight w:val="none"/>
        </w:rPr>
      </w:pPr>
    </w:p>
    <w:p w14:paraId="4479F76A">
      <w:pPr>
        <w:spacing w:line="520" w:lineRule="exact"/>
        <w:jc w:val="righ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（盖章或电子签章）</w:t>
      </w:r>
    </w:p>
    <w:p w14:paraId="2B5549AC">
      <w:pPr>
        <w:spacing w:line="520" w:lineRule="exact"/>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法定代表人或授权委托人：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（签字或电子签章）</w:t>
      </w:r>
    </w:p>
    <w:p w14:paraId="44F1A269">
      <w:pPr>
        <w:widowControl/>
        <w:spacing w:before="50" w:after="50"/>
        <w:jc w:val="center"/>
        <w:rPr>
          <w:rFonts w:hint="eastAsia" w:asciiTheme="minorEastAsia" w:hAnsiTheme="minorEastAsia" w:eastAsiaTheme="minorEastAsia" w:cstheme="minorEastAsia"/>
          <w:color w:val="auto"/>
          <w:sz w:val="32"/>
          <w:szCs w:val="32"/>
          <w:highlight w:val="none"/>
          <w:lang w:eastAsia="zh-CN"/>
        </w:rPr>
        <w:sectPr>
          <w:headerReference r:id="rId9" w:type="first"/>
          <w:headerReference r:id="rId7" w:type="default"/>
          <w:headerReference r:id="rId8" w:type="even"/>
          <w:pgSz w:w="11906" w:h="16838"/>
          <w:pgMar w:top="1440" w:right="1800" w:bottom="1440" w:left="1800" w:header="851" w:footer="992" w:gutter="0"/>
          <w:cols w:space="425" w:num="1"/>
          <w:docGrid w:linePitch="360" w:charSpace="0"/>
        </w:sectPr>
      </w:pPr>
      <w:r>
        <w:rPr>
          <w:rFonts w:hint="eastAsia" w:asciiTheme="minorEastAsia" w:hAnsiTheme="minorEastAsia" w:eastAsiaTheme="minorEastAsia" w:cstheme="minorEastAsia"/>
          <w:color w:val="auto"/>
          <w:szCs w:val="21"/>
          <w:highlight w:val="none"/>
        </w:rPr>
        <w:t xml:space="preserve">                       年   月   日</w:t>
      </w:r>
    </w:p>
    <w:p w14:paraId="2914A22E">
      <w:pPr>
        <w:widowControl/>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w:t>
      </w:r>
      <w:r>
        <w:rPr>
          <w:rFonts w:hint="eastAsia" w:asciiTheme="minorEastAsia" w:hAnsiTheme="minorEastAsia" w:cstheme="minorEastAsia"/>
          <w:color w:val="auto"/>
          <w:sz w:val="32"/>
          <w:szCs w:val="32"/>
          <w:highlight w:val="none"/>
          <w:lang w:val="en-US" w:eastAsia="zh-CN"/>
        </w:rPr>
        <w:t>技术</w:t>
      </w:r>
      <w:r>
        <w:rPr>
          <w:rFonts w:hint="eastAsia" w:asciiTheme="minorEastAsia" w:hAnsiTheme="minorEastAsia" w:eastAsiaTheme="minorEastAsia" w:cstheme="minorEastAsia"/>
          <w:color w:val="auto"/>
          <w:sz w:val="32"/>
          <w:szCs w:val="32"/>
          <w:highlight w:val="none"/>
          <w:lang w:eastAsia="zh-CN"/>
        </w:rPr>
        <w:t>服务方案</w:t>
      </w:r>
      <w:r>
        <w:rPr>
          <w:rFonts w:hint="eastAsia" w:asciiTheme="minorEastAsia" w:hAnsiTheme="minorEastAsia" w:eastAsiaTheme="minorEastAsia" w:cstheme="minorEastAsia"/>
          <w:color w:val="auto"/>
          <w:sz w:val="32"/>
          <w:szCs w:val="32"/>
          <w:highlight w:val="none"/>
        </w:rPr>
        <w:t>等</w:t>
      </w:r>
    </w:p>
    <w:p w14:paraId="517BC002">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4520CD9">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1D82DC8B">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47702E1E">
      <w:pPr>
        <w:widowControl/>
        <w:jc w:val="left"/>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5A8E5F0F">
      <w:pPr>
        <w:widowControl/>
        <w:spacing w:line="499" w:lineRule="atLeast"/>
        <w:ind w:firstLine="1600"/>
        <w:rPr>
          <w:rFonts w:hint="eastAsia" w:asciiTheme="minorEastAsia" w:hAnsiTheme="minorEastAsia" w:eastAsiaTheme="minorEastAsia" w:cstheme="minorEastAsia"/>
          <w:i/>
          <w:color w:val="auto"/>
          <w:sz w:val="32"/>
          <w:szCs w:val="32"/>
          <w:highlight w:val="none"/>
          <w:u w:val="single"/>
          <w:lang w:val="en-US" w:eastAsia="zh-CN" w:bidi="ar-SA"/>
        </w:rPr>
      </w:pPr>
      <w:r>
        <w:rPr>
          <w:rFonts w:hint="eastAsia" w:asciiTheme="minorEastAsia" w:hAnsiTheme="minorEastAsia" w:eastAsiaTheme="minorEastAsia" w:cstheme="minorEastAsia"/>
          <w:i/>
          <w:color w:val="auto"/>
          <w:sz w:val="32"/>
          <w:szCs w:val="32"/>
          <w:highlight w:val="none"/>
          <w:u w:val="single"/>
          <w:lang w:val="en-US" w:eastAsia="zh-CN" w:bidi="ar-SA"/>
        </w:rPr>
        <w:t>十七、盐城市政府采购事前信用承诺书</w:t>
      </w:r>
    </w:p>
    <w:p w14:paraId="3C410AEA">
      <w:pPr>
        <w:widowControl/>
        <w:spacing w:line="499" w:lineRule="atLeast"/>
        <w:ind w:firstLine="64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w:t>
      </w:r>
    </w:p>
    <w:p w14:paraId="6502B6FB">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10BAE66E">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B444D3E">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03BEA4">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（三）严格依照国家和省、市关于政府采购的法律、法规、规章、规范性文件，参加政府采购投标活动；积极履行社会责任，促进廉政建设； </w:t>
      </w:r>
    </w:p>
    <w:p w14:paraId="71015DE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（四）严格遵守即时信息公示规定，及时维护和更新盐城市政府采购网中与本单位相关的信息；</w:t>
      </w:r>
    </w:p>
    <w:p w14:paraId="5185EBA0">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05E04A5">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（六）自觉接受政府、行业组织、社会公众、新闻舆论的监督；</w:t>
      </w:r>
    </w:p>
    <w:p w14:paraId="1F09BE02">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FE2F43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（八）本人已认真阅读了上述承诺，并向本单位员工作了宣传教育。</w:t>
      </w:r>
    </w:p>
    <w:p w14:paraId="11891DA1">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p>
    <w:p w14:paraId="2B1B232D">
      <w:pPr>
        <w:widowControl/>
        <w:spacing w:line="499" w:lineRule="atLeast"/>
        <w:ind w:firstLine="5280" w:firstLineChars="2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法定代表人签名：</w:t>
      </w:r>
    </w:p>
    <w:p w14:paraId="38707788">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单位名称（盖章）：</w:t>
      </w:r>
    </w:p>
    <w:p w14:paraId="37E4842B">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日</w:t>
      </w:r>
    </w:p>
    <w:p w14:paraId="4E6B99D7">
      <w:pPr>
        <w:pStyle w:val="31"/>
        <w:spacing w:beforeAutospacing="0" w:afterAutospacing="0"/>
        <w:jc w:val="center"/>
        <w:rPr>
          <w:rFonts w:hint="eastAsia" w:asciiTheme="minorEastAsia" w:hAnsiTheme="minorEastAsia" w:eastAsiaTheme="minorEastAsia" w:cstheme="minorEastAsia"/>
          <w:color w:val="auto"/>
          <w:highlight w:val="none"/>
        </w:rPr>
      </w:pPr>
    </w:p>
    <w:p w14:paraId="38DA3E8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0360307">
      <w:pPr>
        <w:pStyle w:val="31"/>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27E66C7B">
      <w:pPr>
        <w:pStyle w:val="31"/>
        <w:spacing w:before="290"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16C36AF0">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03E998A">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3FA1E7B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7ED55EB">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A2E5C17">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252E3CE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6ECF39F">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65C0586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56D4B3E6">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29366895">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1F43E15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5C937F84">
      <w:pPr>
        <w:pStyle w:val="31"/>
        <w:spacing w:beforeAutospacing="0" w:afterAutospacing="0" w:line="360" w:lineRule="auto"/>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7C64147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4731D3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6F48EB2A">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0D53A62D">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5A97E2BB">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42A4EFEF">
      <w:pPr>
        <w:pStyle w:val="31"/>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7E0FA6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1B484D41">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48AAAAC9">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101DDC34">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4D5A7202">
      <w:pPr>
        <w:pStyle w:val="31"/>
        <w:spacing w:beforeAutospacing="0" w:afterAutospacing="0" w:line="36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745E79BC">
      <w:pPr>
        <w:pStyle w:val="31"/>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377CB1D1">
      <w:pPr>
        <w:pStyle w:val="31"/>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3D6A68A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1.供应商提出质疑时，应提交质疑函和必要的证明材料。</w:t>
      </w:r>
    </w:p>
    <w:p w14:paraId="3C612B0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CCC0D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3.质疑供应商若对项目的某一分包进行质疑，质疑函中应列明具体分包号。</w:t>
      </w:r>
    </w:p>
    <w:p w14:paraId="4280B4F8">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79017DDE">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551A687B">
      <w:pPr>
        <w:pStyle w:val="31"/>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6.质疑供应商为自然人的，质疑函应由本人签字；质疑供应商为法人或者其他组织的，质疑函应由法定代表人、主要负责人，或者其授权代表签字或者盖章，并加盖公章。</w:t>
      </w:r>
    </w:p>
    <w:p w14:paraId="5124C826">
      <w:pPr>
        <w:pStyle w:val="31"/>
        <w:spacing w:beforeAutospacing="0" w:afterAutospacing="0"/>
        <w:rPr>
          <w:rFonts w:hint="eastAsia" w:asciiTheme="minorEastAsia" w:hAnsiTheme="minorEastAsia" w:eastAsiaTheme="minorEastAsia" w:cstheme="minorEastAsia"/>
          <w:color w:val="auto"/>
          <w:highlight w:val="none"/>
        </w:rPr>
      </w:pPr>
    </w:p>
    <w:sectPr>
      <w:headerReference r:id="rId12" w:type="first"/>
      <w:headerReference r:id="rId10" w:type="default"/>
      <w:headerReference r:id="rId11" w:type="even"/>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384CD">
    <w:pPr>
      <w:pStyle w:val="173"/>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C3DFC4">
                          <w:pPr>
                            <w:pStyle w:val="2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0Ft4wsAgAAVg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XQW3jCwCAABWBAAADgAAAAAAAAABACAAAAAfAQAAZHJzL2Uyb0RvYy54bWxQSwUGAAAAAAYA&#10;BgBZAQAAvQUAAAAA&#10;">
              <v:fill on="f" focussize="0,0"/>
              <v:stroke on="f" weight="0.5pt"/>
              <v:imagedata o:title=""/>
              <o:lock v:ext="edit" aspectratio="f"/>
              <v:textbox inset="0mm,0mm,0mm,0mm" style="mso-fit-shape-to-text:t;">
                <w:txbxContent>
                  <w:p w14:paraId="05C3DFC4">
                    <w:pPr>
                      <w:pStyle w:val="2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BA776"/>
  <w:p w14:paraId="79A8D253">
    <w:pPr>
      <w:tabs>
        <w:tab w:val="left" w:pos="3249"/>
      </w:tabs>
      <w:rPr>
        <w:rFonts w:hint="eastAsia" w:eastAsiaTheme="minorEastAsia"/>
        <w:lang w:eastAsia="zh-CN"/>
      </w:rPr>
    </w:pPr>
    <w:r>
      <w:rPr>
        <w:rFonts w:hint="eastAsia"/>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CA06B">
    <w:r>
      <mc:AlternateContent>
        <mc:Choice Requires="wps">
          <w:drawing>
            <wp:anchor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8" name="矩形 42"/>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7C44CAB6">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2" o:spid="_x0000_s1026" o:spt="136" type="#_x0000_t136" style="position:absolute;left:0pt;margin-left:30pt;margin-top:200pt;height:35pt;width:400pt;rotation:-1638402f;z-index:251700224;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BzY5DnHAIAAD4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B7ax1AAAAAoBAAAP&#10;AAAAAAAAAAEAIAAAACIAAABkcnMvZG93bnJldi54bWxQSwECFAAUAAAACACHTuJAc2OQ5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7C44CAB6">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0" name="矩形 43"/>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C71D404">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3" o:spid="_x0000_s1026" o:spt="136" type="#_x0000_t136" style="position:absolute;left:0pt;margin-left:30pt;margin-top:400pt;height:35pt;width:400pt;rotation:-1638402f;z-index:251701248;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1wpv7SAAAACgEAAA8A&#10;AAAAAAAAAQAgAAAAIgAAAGRycy9kb3ducmV2LnhtbFBLAQIUABQAAAAIAIdO4kCx6HY2HQIAAD8E&#10;AAAOAAAAAAAAAAEAIAAAACEBAABkcnMvZTJvRG9jLnhtbFBLBQYAAAAABgAGAFkBAACwBQAAAAA=&#10;" adj="10800">
              <v:fill on="f" focussize="0,0"/>
              <v:stroke on="f" weight="1pt"/>
              <v:imagedata o:title=""/>
              <o:lock v:ext="edit" aspectratio="f"/>
              <v:textpath on="f" fitpath="t" trim="t" xscale="f" string="" style="font-size:36pt;v-text-align:center;"/>
              <v:textbox inset="0mm,0mm,0mm,0mm">
                <w:txbxContent>
                  <w:p w14:paraId="6C71D404">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44"/>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1A9815D">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4" o:spid="_x0000_s1026" o:spt="136" type="#_x0000_t136" style="position:absolute;left:0pt;margin-left:30pt;margin-top:600pt;height:35pt;width:400pt;rotation:-1638402f;z-index:251702272;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VH0cN1AAAAAwBAAAP&#10;AAAAAAAAAAEAIAAAACIAAABkcnMvZG93bnJldi54bWxQSwECFAAUAAAACACHTuJA/xEBq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41A9815D">
                    <w:pPr>
                      <w:jc w:val="center"/>
                      <w:rPr>
                        <w:rFonts w:ascii="宋体" w:hAnsi="宋体"/>
                        <w:color w:val="D9D9D9"/>
                        <w:sz w:val="72"/>
                        <w:szCs w:val="72"/>
                      </w:rPr>
                    </w:pPr>
                  </w:p>
                </w:txbxContent>
              </v:textbox>
            </v:shape>
          </w:pict>
        </mc:Fallback>
      </mc:AlternateContent>
    </w:r>
  </w:p>
  <w:p w14:paraId="1D97DD12">
    <w:r>
      <w:pict>
        <v:shape id="_x0000_s4103" o:spid="_x0000_s4103" o:spt="136" type="#_x0000_t136" style="position:absolute;left:0pt;margin-left:30pt;margin-top:100pt;height:25pt;width:200pt;rotation:-1638400f;z-index:2516664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4" o:spid="_x0000_s4104" o:spt="136" type="#_x0000_t136" style="position:absolute;left:0pt;margin-left:30pt;margin-top:300pt;height:25pt;width:200pt;rotation:-1638400f;z-index:2516674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5" o:spid="_x0000_s4105" o:spt="136" type="#_x0000_t136" style="position:absolute;left:0pt;margin-left:30pt;margin-top:500pt;height:25pt;width:200pt;rotation:-1638400f;z-index:2516684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6" o:spid="_x0000_s4106" o:spt="136" type="#_x0000_t136" style="position:absolute;left:0pt;margin-left:230pt;margin-top:100pt;height:25pt;width:200pt;rotation:-1638400f;z-index:2516695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7" o:spid="_x0000_s4107" o:spt="136" type="#_x0000_t136" style="position:absolute;left:0pt;margin-left:230pt;margin-top:300pt;height:25pt;width:200pt;rotation:-1638400f;z-index:2516705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8" o:spid="_x0000_s4108" o:spt="136" type="#_x0000_t136" style="position:absolute;left:0pt;margin-left:230pt;margin-top:500pt;height:25pt;width:200pt;rotation:-1638400f;z-index:25167155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B564E">
    <w:r>
      <mc:AlternateContent>
        <mc:Choice Requires="wps">
          <w:drawing>
            <wp:anchor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 name="矩形 45"/>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2A07570">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5" o:spid="_x0000_s1026" o:spt="136" type="#_x0000_t136" style="position:absolute;left:0pt;margin-left:30pt;margin-top:200pt;height:35pt;width:400pt;rotation:-1638402f;z-index:251697152;mso-width-relative:page;mso-height-relative:page;" filled="f" stroked="f" coordsize="21600,21600" o:gfxdata="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tB7ax1AAAAAoBAAAP&#10;AAAAAAAAAAEAIAAAACIAAABkcnMvZG93bnJldi54bWxQSwECFAAUAAAACACHTuJA2Un1cxwCAAA+&#10;BAAADgAAAAAAAAABACAAAAAjAQAAZHJzL2Uyb0RvYy54bWxQSwUGAAAAAAYABgBZAQAAsQUAAAAA&#10;" adj="10800">
              <v:fill on="f" focussize="0,0"/>
              <v:stroke on="f" weight="1pt"/>
              <v:imagedata o:title=""/>
              <o:lock v:ext="edit" aspectratio="f"/>
              <v:textpath on="f" fitpath="t" trim="t" xscale="f" string="" style="font-size:36pt;v-text-align:center;"/>
              <v:textbox inset="0mm,0mm,0mm,0mm">
                <w:txbxContent>
                  <w:p w14:paraId="62A07570">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 name="矩形 46"/>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4DA17CC2">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6" o:spid="_x0000_s1026" o:spt="136" type="#_x0000_t136" style="position:absolute;left:0pt;margin-left:30pt;margin-top:400pt;height:35pt;width:400pt;rotation:-1638402f;z-index:251698176;mso-width-relative:page;mso-height-relative:page;" filled="f" stroked="f" coordsize="21600,21600" o:gfxdata="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1wpv7SAAAACgEAAA8A&#10;AAAAAAAAAQAgAAAAIgAAAGRycy9kb3ducmV2LnhtbFBLAQIUABQAAAAIAIdO4kAhCJIjHQIAAD4E&#10;AAAOAAAAAAAAAAEAIAAAACEBAABkcnMvZTJvRG9jLnhtbFBLBQYAAAAABgAGAFkBAACwBQAAAAA=&#10;" adj="10800">
              <v:fill on="f" focussize="0,0"/>
              <v:stroke on="f" weight="1pt"/>
              <v:imagedata o:title=""/>
              <o:lock v:ext="edit" aspectratio="f"/>
              <v:textpath on="f" fitpath="t" trim="t" xscale="f" string="" style="font-size:36pt;v-text-align:center;"/>
              <v:textbox inset="0mm,0mm,0mm,0mm">
                <w:txbxContent>
                  <w:p w14:paraId="4DA17CC2">
                    <w:pPr>
                      <w:jc w:val="center"/>
                      <w:rPr>
                        <w:rFonts w:ascii="宋体" w:hAnsi="宋体"/>
                        <w:color w:val="D9D9D9"/>
                        <w:sz w:val="72"/>
                        <w:szCs w:val="72"/>
                      </w:rPr>
                    </w:pP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47"/>
              <wp:cNvGraphicFramePr/>
              <a:graphic xmlns:a="http://schemas.openxmlformats.org/drawingml/2006/main">
                <a:graphicData uri="http://schemas.microsoft.com/office/word/2010/wordprocessingShape">
                  <wps:wsp>
                    <wps:cNvSpPr/>
                    <wps:spPr>
                      <a:xfrm rot="20099998">
                        <a:off x="0" y="0"/>
                        <a:ext cx="5080000" cy="444500"/>
                      </a:xfrm>
                      <a:prstGeom prst="rect">
                        <a:avLst/>
                      </a:prstGeom>
                      <a:noFill/>
                      <a:ln w="12700">
                        <a:noFill/>
                      </a:ln>
                    </wps:spPr>
                    <wps:txbx>
                      <w:txbxContent>
                        <w:p w14:paraId="66734028">
                          <w:pPr>
                            <w:jc w:val="center"/>
                            <w:rPr>
                              <w:rFonts w:ascii="宋体" w:hAnsi="宋体"/>
                              <w:color w:val="D9D9D9"/>
                              <w:sz w:val="72"/>
                              <w:szCs w:val="72"/>
                            </w:rPr>
                          </w:pPr>
                        </w:p>
                      </w:txbxContent>
                    </wps:txbx>
                    <wps:bodyPr rot="0" vert="horz" wrap="square" lIns="0" tIns="0" rIns="0" bIns="0" fromWordArt="1" anchor="t" anchorCtr="0">
                      <a:prstTxWarp prst="textPlain">
                        <a:avLst>
                          <a:gd name="adj" fmla="val 50000"/>
                        </a:avLst>
                      </a:prstTxWarp>
                      <a:normAutofit/>
                    </wps:bodyPr>
                  </wps:wsp>
                </a:graphicData>
              </a:graphic>
            </wp:anchor>
          </w:drawing>
        </mc:Choice>
        <mc:Fallback>
          <w:pict>
            <v:shape id="矩形 47" o:spid="_x0000_s1026" o:spt="136" type="#_x0000_t136" style="position:absolute;left:0pt;margin-left:30pt;margin-top:600pt;height:35pt;width:400pt;rotation:-1638402f;z-index:251699200;mso-width-relative:page;mso-height-relative:page;" filled="f" stroked="f" coordsize="21600,21600" o:gfxdata="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R9HDdQAAAAMAQAA&#10;DwAAAAAAAAABACAAAAAiAAAAZHJzL2Rvd25yZXYueG1sUEsBAhQAFAAAAAgAh07iQInIsBMdAgAA&#10;PgQAAA4AAAAAAAAAAQAgAAAAIwEAAGRycy9lMm9Eb2MueG1sUEsFBgAAAAAGAAYAWQEAALIFAAAA&#10;AA==&#10;" adj="10800">
              <v:fill on="f" focussize="0,0"/>
              <v:stroke on="f" weight="1pt"/>
              <v:imagedata o:title=""/>
              <o:lock v:ext="edit" aspectratio="f"/>
              <v:textpath on="f" fitpath="t" trim="t" xscale="f" string="" style="font-size:36pt;v-text-align:center;"/>
              <v:textbox inset="0mm,0mm,0mm,0mm">
                <w:txbxContent>
                  <w:p w14:paraId="66734028">
                    <w:pPr>
                      <w:jc w:val="center"/>
                      <w:rPr>
                        <w:rFonts w:ascii="宋体" w:hAnsi="宋体"/>
                        <w:color w:val="D9D9D9"/>
                        <w:sz w:val="72"/>
                        <w:szCs w:val="72"/>
                      </w:rPr>
                    </w:pPr>
                  </w:p>
                </w:txbxContent>
              </v:textbox>
            </v:shape>
          </w:pict>
        </mc:Fallback>
      </mc:AlternateContent>
    </w:r>
  </w:p>
  <w:p w14:paraId="3FDC6272">
    <w:r>
      <w:pict>
        <v:shape id="_x0000_s4097" o:spid="_x0000_s4097" o:spt="136" type="#_x0000_t136" style="position:absolute;left:0pt;margin-left:30pt;margin-top:100pt;height:25pt;width:200pt;rotation:-1638400f;z-index:2516592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8" o:spid="_x0000_s4098" o:spt="136" type="#_x0000_t136" style="position:absolute;left:0pt;margin-left:30pt;margin-top:300pt;height:25pt;width:200pt;rotation:-1638400f;z-index:2516602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099" o:spid="_x0000_s4099" o:spt="136" type="#_x0000_t136" style="position:absolute;left:0pt;margin-left:30pt;margin-top:500pt;height:25pt;width:200pt;rotation:-1638400f;z-index:2516613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0" o:spid="_x0000_s4100" o:spt="136" type="#_x0000_t136" style="position:absolute;left:0pt;margin-left:230pt;margin-top:100pt;height:25pt;width:200pt;rotation:-1638400f;z-index:2516623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1" o:spid="_x0000_s4101" o:spt="136" type="#_x0000_t136" style="position:absolute;left:0pt;margin-left:230pt;margin-top:300pt;height:25pt;width:200pt;rotation:-1638400f;z-index:2516633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02" o:spid="_x0000_s4102" o:spt="136" type="#_x0000_t136" style="position:absolute;left:0pt;margin-left:230pt;margin-top:500pt;height:25pt;width:200pt;rotation:-1638400f;z-index:2516643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034EF"/>
  <w:p w14:paraId="055099B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255FC">
    <w:r>
      <w:pict>
        <v:shape id="_x0000_s4115" o:spid="_x0000_s4115" o:spt="136" type="#_x0000_t136" style="position:absolute;left:0pt;margin-left:30pt;margin-top:100pt;height:25pt;width:200pt;rotation:-1638400f;z-index:25167872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6" o:spid="_x0000_s4116" o:spt="136" type="#_x0000_t136" style="position:absolute;left:0pt;margin-left:30pt;margin-top:300pt;height:25pt;width:200pt;rotation:-1638400f;z-index:25167974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7" o:spid="_x0000_s4117" o:spt="136" type="#_x0000_t136" style="position:absolute;left:0pt;margin-left:30pt;margin-top:500pt;height:25pt;width:200pt;rotation:-1638400f;z-index:25168076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8" o:spid="_x0000_s4118" o:spt="136" type="#_x0000_t136" style="position:absolute;left:0pt;margin-left:230pt;margin-top:100pt;height:25pt;width:200pt;rotation:-1638400f;z-index:25168179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9" o:spid="_x0000_s4119" o:spt="136" type="#_x0000_t136" style="position:absolute;left:0pt;margin-left:230pt;margin-top:300pt;height:25pt;width:200pt;rotation:-1638400f;z-index:25168281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0" o:spid="_x0000_s4120" o:spt="136" type="#_x0000_t136" style="position:absolute;left:0pt;margin-left:230pt;margin-top:500pt;height:25pt;width:200pt;rotation:-1638400f;z-index:25168384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D845E2">
    <w:r>
      <w:pict>
        <v:shape id="_x0000_s4109" o:spid="_x0000_s4109" o:spt="136" type="#_x0000_t136" style="position:absolute;left:0pt;margin-left:30pt;margin-top:100pt;height:25pt;width:200pt;rotation:-1638400f;z-index:25167257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0" o:spid="_x0000_s4110" o:spt="136" type="#_x0000_t136" style="position:absolute;left:0pt;margin-left:30pt;margin-top:300pt;height:25pt;width:200pt;rotation:-1638400f;z-index:25167360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1" o:spid="_x0000_s4111" o:spt="136" type="#_x0000_t136" style="position:absolute;left:0pt;margin-left:30pt;margin-top:500pt;height:25pt;width:200pt;rotation:-1638400f;z-index:25167462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2" o:spid="_x0000_s4112" o:spt="136" type="#_x0000_t136" style="position:absolute;left:0pt;margin-left:230pt;margin-top:100pt;height:25pt;width:200pt;rotation:-1638400f;z-index:25167564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3" o:spid="_x0000_s4113" o:spt="136" type="#_x0000_t136" style="position:absolute;left:0pt;margin-left:230pt;margin-top:300pt;height:25pt;width:200pt;rotation:-1638400f;z-index:25167667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14" o:spid="_x0000_s4114" o:spt="136" type="#_x0000_t136" style="position:absolute;left:0pt;margin-left:230pt;margin-top:500pt;height:25pt;width:200pt;rotation:-1638400f;z-index:25167769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3F8D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0F7CD">
    <w:r>
      <w:pict>
        <v:shape id="_x0000_s4127" o:spid="_x0000_s4127" o:spt="136" type="#_x0000_t136" style="position:absolute;left:0pt;margin-left:30pt;margin-top:100pt;height:25pt;width:200pt;rotation:-1638400f;z-index:25169100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8" o:spid="_x0000_s4128" o:spt="136" type="#_x0000_t136" style="position:absolute;left:0pt;margin-left:30pt;margin-top:300pt;height:25pt;width:200pt;rotation:-1638400f;z-index:25169203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9" o:spid="_x0000_s4129" o:spt="136" type="#_x0000_t136" style="position:absolute;left:0pt;margin-left:30pt;margin-top:500pt;height:25pt;width:200pt;rotation:-1638400f;z-index:25169305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0" o:spid="_x0000_s4130" o:spt="136" type="#_x0000_t136" style="position:absolute;left:0pt;margin-left:230pt;margin-top:100pt;height:25pt;width:200pt;rotation:-1638400f;z-index:25169408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1" o:spid="_x0000_s4131" o:spt="136" type="#_x0000_t136" style="position:absolute;left:0pt;margin-left:230pt;margin-top:300pt;height:25pt;width:200pt;rotation:-1638400f;z-index:25169510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32" o:spid="_x0000_s4132" o:spt="136" type="#_x0000_t136" style="position:absolute;left:0pt;margin-left:230pt;margin-top:500pt;height:25pt;width:200pt;rotation:-1638400f;z-index:25169612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B6141">
    <w:r>
      <w:pict>
        <v:shape id="_x0000_s4121" o:spid="_x0000_s4121" o:spt="136" type="#_x0000_t136" style="position:absolute;left:0pt;margin-left:30pt;margin-top:100pt;height:25pt;width:200pt;rotation:-1638400f;z-index:25168486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2" o:spid="_x0000_s4122" o:spt="136" type="#_x0000_t136" style="position:absolute;left:0pt;margin-left:30pt;margin-top:300pt;height:25pt;width:200pt;rotation:-1638400f;z-index:251685888;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3" o:spid="_x0000_s4123" o:spt="136" type="#_x0000_t136" style="position:absolute;left:0pt;margin-left:30pt;margin-top:500pt;height:25pt;width:200pt;rotation:-1638400f;z-index:251686912;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4" o:spid="_x0000_s4124" o:spt="136" type="#_x0000_t136" style="position:absolute;left:0pt;margin-left:230pt;margin-top:100pt;height:25pt;width:200pt;rotation:-1638400f;z-index:251687936;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5" o:spid="_x0000_s4125" o:spt="136" type="#_x0000_t136" style="position:absolute;left:0pt;margin-left:230pt;margin-top:300pt;height:25pt;width:200pt;rotation:-1638400f;z-index:251688960;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r>
      <w:pict>
        <v:shape id="_x0000_s4126" o:spid="_x0000_s4126" o:spt="136" type="#_x0000_t136" style="position:absolute;left:0pt;margin-left:230pt;margin-top:500pt;height:25pt;width:200pt;rotation:-1638400f;z-index:251689984;mso-width-relative:page;mso-height-relative:page;" fillcolor="#D9D9D9" filled="t" stroked="t" coordsize="21600,21600">
          <v:path/>
          <v:fill on="t" focussize="0,0"/>
          <v:stroke color="#D9D9D9"/>
          <v:imagedata o:title=""/>
          <o:lock v:ext="edit"/>
          <v:textpath on="t" fitshape="t" fitpath="t" trim="f" xscale="f" string="水域感知前端二期维保项目" style="font-family:宋体;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20A667F"/>
    <w:rsid w:val="0257765C"/>
    <w:rsid w:val="025A34EF"/>
    <w:rsid w:val="02EF1E8A"/>
    <w:rsid w:val="03DE4B75"/>
    <w:rsid w:val="04FF538E"/>
    <w:rsid w:val="05D76C05"/>
    <w:rsid w:val="060F6BA3"/>
    <w:rsid w:val="06DF1C6E"/>
    <w:rsid w:val="08EE6404"/>
    <w:rsid w:val="0B3F7B9A"/>
    <w:rsid w:val="0BEB50F9"/>
    <w:rsid w:val="0CBC15B4"/>
    <w:rsid w:val="0D9E68BF"/>
    <w:rsid w:val="0F083024"/>
    <w:rsid w:val="11B01E08"/>
    <w:rsid w:val="11D113C2"/>
    <w:rsid w:val="12CB228E"/>
    <w:rsid w:val="138C1BF3"/>
    <w:rsid w:val="13BF320D"/>
    <w:rsid w:val="15001278"/>
    <w:rsid w:val="155525BF"/>
    <w:rsid w:val="15EF5B3F"/>
    <w:rsid w:val="16077093"/>
    <w:rsid w:val="164717FA"/>
    <w:rsid w:val="18AA3FBE"/>
    <w:rsid w:val="1ADB3574"/>
    <w:rsid w:val="1AE51C6E"/>
    <w:rsid w:val="1C506260"/>
    <w:rsid w:val="1DC01148"/>
    <w:rsid w:val="1E1703A0"/>
    <w:rsid w:val="1E5779A7"/>
    <w:rsid w:val="1EA83700"/>
    <w:rsid w:val="1EC75D27"/>
    <w:rsid w:val="1ED015A4"/>
    <w:rsid w:val="217F6D76"/>
    <w:rsid w:val="22A06A5E"/>
    <w:rsid w:val="23281535"/>
    <w:rsid w:val="23DC56BB"/>
    <w:rsid w:val="245E4EEC"/>
    <w:rsid w:val="2482619D"/>
    <w:rsid w:val="25D97DD2"/>
    <w:rsid w:val="2622341B"/>
    <w:rsid w:val="262754C5"/>
    <w:rsid w:val="26675075"/>
    <w:rsid w:val="27585706"/>
    <w:rsid w:val="27841CAF"/>
    <w:rsid w:val="27BA5D13"/>
    <w:rsid w:val="2953662D"/>
    <w:rsid w:val="29C946E1"/>
    <w:rsid w:val="2B93301D"/>
    <w:rsid w:val="2E776F89"/>
    <w:rsid w:val="2E821554"/>
    <w:rsid w:val="2E9504C8"/>
    <w:rsid w:val="2F0C1B5E"/>
    <w:rsid w:val="2F1A2EE6"/>
    <w:rsid w:val="2F6D7D8D"/>
    <w:rsid w:val="30613399"/>
    <w:rsid w:val="30C14F41"/>
    <w:rsid w:val="319933F9"/>
    <w:rsid w:val="31AF3C99"/>
    <w:rsid w:val="31E962F9"/>
    <w:rsid w:val="322D5FE5"/>
    <w:rsid w:val="32BC65DB"/>
    <w:rsid w:val="32E93111"/>
    <w:rsid w:val="331A1D5C"/>
    <w:rsid w:val="33405DBE"/>
    <w:rsid w:val="341D30E4"/>
    <w:rsid w:val="34642CF3"/>
    <w:rsid w:val="351705A2"/>
    <w:rsid w:val="36C81DE9"/>
    <w:rsid w:val="36D5760B"/>
    <w:rsid w:val="37542097"/>
    <w:rsid w:val="379829BA"/>
    <w:rsid w:val="379F04AB"/>
    <w:rsid w:val="38796AD2"/>
    <w:rsid w:val="39AF5291"/>
    <w:rsid w:val="3A530E77"/>
    <w:rsid w:val="3B450A85"/>
    <w:rsid w:val="3C340332"/>
    <w:rsid w:val="3C8C7164"/>
    <w:rsid w:val="3CE20F03"/>
    <w:rsid w:val="3D0E6600"/>
    <w:rsid w:val="3F4C1107"/>
    <w:rsid w:val="3F773477"/>
    <w:rsid w:val="408D1B3A"/>
    <w:rsid w:val="428047AF"/>
    <w:rsid w:val="43305247"/>
    <w:rsid w:val="435A3AA9"/>
    <w:rsid w:val="438658C4"/>
    <w:rsid w:val="43D86CC1"/>
    <w:rsid w:val="44863BD7"/>
    <w:rsid w:val="44E346A3"/>
    <w:rsid w:val="454A22B8"/>
    <w:rsid w:val="464E28CA"/>
    <w:rsid w:val="496E3A86"/>
    <w:rsid w:val="4A4D18A8"/>
    <w:rsid w:val="4AA21F98"/>
    <w:rsid w:val="4AC92DCE"/>
    <w:rsid w:val="4AD52522"/>
    <w:rsid w:val="4B4C7C18"/>
    <w:rsid w:val="4BC40805"/>
    <w:rsid w:val="4C441BBB"/>
    <w:rsid w:val="4E3D0491"/>
    <w:rsid w:val="4EEA2134"/>
    <w:rsid w:val="4EEF75F4"/>
    <w:rsid w:val="4F5F2EEE"/>
    <w:rsid w:val="4FF65A37"/>
    <w:rsid w:val="50A52A0C"/>
    <w:rsid w:val="513879CA"/>
    <w:rsid w:val="51845BFD"/>
    <w:rsid w:val="52855EB7"/>
    <w:rsid w:val="52B9590A"/>
    <w:rsid w:val="52C81A9C"/>
    <w:rsid w:val="539D3C66"/>
    <w:rsid w:val="56D15A6E"/>
    <w:rsid w:val="56D27CC5"/>
    <w:rsid w:val="573B1F39"/>
    <w:rsid w:val="573C74B5"/>
    <w:rsid w:val="57611C71"/>
    <w:rsid w:val="58232EFA"/>
    <w:rsid w:val="583C03BC"/>
    <w:rsid w:val="59247E56"/>
    <w:rsid w:val="593376EE"/>
    <w:rsid w:val="5A0537AD"/>
    <w:rsid w:val="5A062B68"/>
    <w:rsid w:val="5A92474A"/>
    <w:rsid w:val="5A9926FC"/>
    <w:rsid w:val="5BA876FB"/>
    <w:rsid w:val="5BD021DE"/>
    <w:rsid w:val="5C01225A"/>
    <w:rsid w:val="5C550BA8"/>
    <w:rsid w:val="5C826EB6"/>
    <w:rsid w:val="5CD8011F"/>
    <w:rsid w:val="5CD96D5E"/>
    <w:rsid w:val="5D3E4715"/>
    <w:rsid w:val="608A719D"/>
    <w:rsid w:val="6147532E"/>
    <w:rsid w:val="616C004B"/>
    <w:rsid w:val="62201C8F"/>
    <w:rsid w:val="62CD4DDC"/>
    <w:rsid w:val="644840CB"/>
    <w:rsid w:val="65534217"/>
    <w:rsid w:val="65776CA6"/>
    <w:rsid w:val="66042C77"/>
    <w:rsid w:val="673D5922"/>
    <w:rsid w:val="6767750A"/>
    <w:rsid w:val="69243F4E"/>
    <w:rsid w:val="6BAC6727"/>
    <w:rsid w:val="6BF41EB7"/>
    <w:rsid w:val="6C6F4FFD"/>
    <w:rsid w:val="705E35A2"/>
    <w:rsid w:val="70F21646"/>
    <w:rsid w:val="719733DC"/>
    <w:rsid w:val="71DE58E2"/>
    <w:rsid w:val="738C3C7F"/>
    <w:rsid w:val="74E77E59"/>
    <w:rsid w:val="75BF1D13"/>
    <w:rsid w:val="790621BE"/>
    <w:rsid w:val="79750F0E"/>
    <w:rsid w:val="79940E9D"/>
    <w:rsid w:val="79EA1A55"/>
    <w:rsid w:val="7C812A86"/>
    <w:rsid w:val="7DC776BE"/>
    <w:rsid w:val="7E4E5754"/>
    <w:rsid w:val="7F3E773F"/>
    <w:rsid w:val="7F861F3F"/>
    <w:rsid w:val="7F8861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77"/>
    <w:qFormat/>
    <w:uiPriority w:val="0"/>
    <w:pPr>
      <w:keepNext/>
      <w:keepLines/>
      <w:spacing w:before="340" w:after="330" w:line="578" w:lineRule="auto"/>
      <w:outlineLvl w:val="0"/>
    </w:pPr>
    <w:rPr>
      <w:b/>
      <w:bCs/>
      <w:sz w:val="44"/>
      <w:szCs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8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sz w:val="24"/>
    </w:rPr>
  </w:style>
  <w:style w:type="paragraph" w:styleId="6">
    <w:name w:val="heading 5"/>
    <w:basedOn w:val="1"/>
    <w:next w:val="1"/>
    <w:link w:val="23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7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7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unhideWhenUsed/>
    <w:qFormat/>
    <w:uiPriority w:val="0"/>
    <w:pPr>
      <w:spacing w:after="120"/>
    </w:pPr>
    <w:rPr>
      <w:rFonts w:ascii="Calibri" w:hAnsi="Calibri"/>
      <w:szCs w:val="22"/>
    </w:rPr>
  </w:style>
  <w:style w:type="paragraph" w:styleId="15">
    <w:name w:val="Body Text Indent"/>
    <w:basedOn w:val="1"/>
    <w:link w:val="113"/>
    <w:qFormat/>
    <w:uiPriority w:val="0"/>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unhideWhenUsed/>
    <w:qFormat/>
    <w:uiPriority w:val="0"/>
    <w:rPr>
      <w:rFonts w:ascii="宋体" w:hAnsi="Courier New" w:cs="Courier New"/>
      <w:szCs w:val="21"/>
    </w:rPr>
  </w:style>
  <w:style w:type="paragraph" w:styleId="19">
    <w:name w:val="toc 8"/>
    <w:basedOn w:val="1"/>
    <w:next w:val="1"/>
    <w:unhideWhenUsed/>
    <w:qFormat/>
    <w:uiPriority w:val="39"/>
    <w:pPr>
      <w:spacing w:after="57"/>
      <w:ind w:left="1984"/>
    </w:pPr>
  </w:style>
  <w:style w:type="paragraph" w:styleId="20">
    <w:name w:val="endnote text"/>
    <w:basedOn w:val="1"/>
    <w:link w:val="64"/>
    <w:semiHidden/>
    <w:unhideWhenUsed/>
    <w:qFormat/>
    <w:uiPriority w:val="99"/>
    <w:rPr>
      <w:sz w:val="20"/>
    </w:rPr>
  </w:style>
  <w:style w:type="paragraph" w:styleId="21">
    <w:name w:val="footer"/>
    <w:basedOn w:val="1"/>
    <w:link w:val="194"/>
    <w:qFormat/>
    <w:uiPriority w:val="0"/>
    <w:pPr>
      <w:tabs>
        <w:tab w:val="center" w:pos="4153"/>
        <w:tab w:val="right" w:pos="8306"/>
      </w:tabs>
      <w:jc w:val="left"/>
    </w:pPr>
    <w:rPr>
      <w:sz w:val="18"/>
      <w:szCs w:val="18"/>
    </w:rPr>
  </w:style>
  <w:style w:type="paragraph" w:styleId="22">
    <w:name w:val="header"/>
    <w:basedOn w:val="1"/>
    <w:link w:val="42"/>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link w:val="88"/>
    <w:qFormat/>
    <w:uiPriority w:val="11"/>
    <w:pPr>
      <w:spacing w:before="200" w:after="200"/>
    </w:pPr>
    <w:rPr>
      <w:sz w:val="24"/>
    </w:rPr>
  </w:style>
  <w:style w:type="paragraph" w:styleId="26">
    <w:name w:val="footnote text"/>
    <w:basedOn w:val="1"/>
    <w:link w:val="140"/>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link w:val="110"/>
    <w:qFormat/>
    <w:uiPriority w:val="0"/>
    <w:pPr>
      <w:spacing w:beforeAutospacing="1" w:afterAutospacing="1"/>
      <w:jc w:val="left"/>
    </w:pPr>
    <w:rPr>
      <w:rFonts w:cs="Times New Roman"/>
      <w:sz w:val="24"/>
    </w:rPr>
  </w:style>
  <w:style w:type="paragraph" w:styleId="32">
    <w:name w:val="Title"/>
    <w:basedOn w:val="1"/>
    <w:link w:val="226"/>
    <w:qFormat/>
    <w:uiPriority w:val="10"/>
    <w:pPr>
      <w:spacing w:before="300" w:after="200"/>
      <w:contextualSpacing/>
    </w:pPr>
    <w:rPr>
      <w:sz w:val="48"/>
      <w:szCs w:val="48"/>
    </w:rPr>
  </w:style>
  <w:style w:type="paragraph" w:styleId="33">
    <w:name w:val="Body Text First Indent 2"/>
    <w:basedOn w:val="15"/>
    <w:link w:val="141"/>
    <w:qFormat/>
    <w:uiPriority w:val="99"/>
    <w:pPr>
      <w:ind w:firstLine="420"/>
    </w:pPr>
  </w:style>
  <w:style w:type="table" w:styleId="35">
    <w:name w:val="Table Grid"/>
    <w:basedOn w:val="3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bCs/>
    </w:rPr>
  </w:style>
  <w:style w:type="character" w:styleId="38">
    <w:name w:val="endnote reference"/>
    <w:basedOn w:val="36"/>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563C1" w:themeColor="hyperlink"/>
      <w:u w:val="single"/>
      <w14:textFill>
        <w14:solidFill>
          <w14:schemeClr w14:val="hlink"/>
        </w14:solidFill>
      </w14:textFill>
    </w:rPr>
  </w:style>
  <w:style w:type="character" w:styleId="41">
    <w:name w:val="footnote reference"/>
    <w:basedOn w:val="36"/>
    <w:unhideWhenUsed/>
    <w:qFormat/>
    <w:uiPriority w:val="99"/>
    <w:rPr>
      <w:vertAlign w:val="superscript"/>
    </w:rPr>
  </w:style>
  <w:style w:type="character" w:customStyle="1" w:styleId="42">
    <w:name w:val="页眉 Char"/>
    <w:basedOn w:val="36"/>
    <w:link w:val="22"/>
    <w:qFormat/>
    <w:uiPriority w:val="0"/>
    <w:rPr>
      <w:rFonts w:asciiTheme="minorHAnsi" w:hAnsiTheme="minorHAnsi" w:eastAsiaTheme="minorEastAsia" w:cstheme="minorBidi"/>
      <w:sz w:val="18"/>
      <w:szCs w:val="18"/>
    </w:rPr>
  </w:style>
  <w:style w:type="paragraph" w:styleId="43">
    <w:name w:val="Intense Quote"/>
    <w:basedOn w:val="1"/>
    <w:link w:val="1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4">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45">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paragraph" w:customStyle="1" w:styleId="46">
    <w:name w:val="正文缩进1"/>
    <w:basedOn w:val="1"/>
    <w:qFormat/>
    <w:uiPriority w:val="0"/>
    <w:pPr>
      <w:ind w:firstLine="420"/>
    </w:pPr>
  </w:style>
  <w:style w:type="character" w:customStyle="1" w:styleId="47">
    <w:name w:val="Heading 1 Char"/>
    <w:basedOn w:val="36"/>
    <w:qFormat/>
    <w:uiPriority w:val="9"/>
    <w:rPr>
      <w:rFonts w:ascii="Arial" w:hAnsi="Arial" w:eastAsia="Arial" w:cs="Arial"/>
      <w:sz w:val="40"/>
      <w:szCs w:val="40"/>
    </w:rPr>
  </w:style>
  <w:style w:type="table" w:customStyle="1" w:styleId="48">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49">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character" w:customStyle="1" w:styleId="50">
    <w:name w:val="Heading 8 Char"/>
    <w:basedOn w:val="36"/>
    <w:qFormat/>
    <w:uiPriority w:val="9"/>
    <w:rPr>
      <w:rFonts w:ascii="Arial" w:hAnsi="Arial" w:eastAsia="Arial" w:cs="Arial"/>
      <w:i/>
      <w:iCs/>
      <w:sz w:val="22"/>
      <w:szCs w:val="22"/>
    </w:rPr>
  </w:style>
  <w:style w:type="table" w:customStyle="1" w:styleId="51">
    <w:name w:val="List Table 4 - Accent 2"/>
    <w:basedOn w:val="3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52">
    <w:name w:val="List Table 2 - Accent 6"/>
    <w:basedOn w:val="3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paragraph" w:customStyle="1" w:styleId="53">
    <w:name w:val="正文1"/>
    <w:basedOn w:val="1"/>
    <w:next w:val="1"/>
    <w:unhideWhenUsed/>
    <w:qFormat/>
    <w:uiPriority w:val="0"/>
    <w:pPr>
      <w:spacing w:before="0" w:line="360" w:lineRule="auto"/>
      <w:ind w:firstLine="200" w:firstLineChars="200"/>
    </w:pPr>
    <w:rPr>
      <w:rFonts w:hint="eastAsia" w:ascii="Calibri" w:hAnsi="Calibri" w:eastAsia="Calibri"/>
      <w:kern w:val="0"/>
      <w:sz w:val="32"/>
      <w:szCs w:val="32"/>
    </w:rPr>
  </w:style>
  <w:style w:type="table" w:customStyle="1" w:styleId="54">
    <w:name w:val="Grid Table 6 Colorful - Accent 3"/>
    <w:basedOn w:val="3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55">
    <w:name w:val="List Table 4 - Accent 6"/>
    <w:basedOn w:val="3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56">
    <w:name w:val="清单表 6 彩色1"/>
    <w:basedOn w:val="34"/>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Grid Table 4 - Accent 1"/>
    <w:basedOn w:val="3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8">
    <w:name w:val="Grid Table 2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character" w:customStyle="1" w:styleId="59">
    <w:name w:val="标题 9 Char"/>
    <w:basedOn w:val="36"/>
    <w:link w:val="10"/>
    <w:qFormat/>
    <w:uiPriority w:val="9"/>
    <w:rPr>
      <w:rFonts w:ascii="Arial" w:hAnsi="Arial" w:eastAsia="Arial" w:cs="Arial"/>
      <w:i/>
      <w:iCs/>
      <w:sz w:val="21"/>
      <w:szCs w:val="21"/>
    </w:rPr>
  </w:style>
  <w:style w:type="table" w:customStyle="1" w:styleId="60">
    <w:name w:val="List Table 6 Colorful - Accent 3"/>
    <w:basedOn w:val="34"/>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61">
    <w:name w:val="List Table 4 - Accent 1"/>
    <w:basedOn w:val="3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62">
    <w:name w:val="Bordered &amp; Lined - Accent 6"/>
    <w:basedOn w:val="3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63">
    <w:name w:val="Grid Table 6 Colorful - Accent 6"/>
    <w:basedOn w:val="3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character" w:customStyle="1" w:styleId="64">
    <w:name w:val="尾注文本 Char"/>
    <w:link w:val="20"/>
    <w:qFormat/>
    <w:uiPriority w:val="99"/>
    <w:rPr>
      <w:sz w:val="20"/>
    </w:rPr>
  </w:style>
  <w:style w:type="paragraph" w:customStyle="1" w:styleId="65">
    <w:name w:val="纯文本1"/>
    <w:basedOn w:val="1"/>
    <w:unhideWhenUsed/>
    <w:qFormat/>
    <w:uiPriority w:val="0"/>
    <w:rPr>
      <w:rFonts w:hint="eastAsia" w:ascii="宋体" w:hAnsi="Courier New" w:cs="Times New Roman"/>
      <w:szCs w:val="21"/>
    </w:rPr>
  </w:style>
  <w:style w:type="table" w:customStyle="1" w:styleId="66">
    <w:name w:val="List Table 6 Colorful - Accent 6"/>
    <w:basedOn w:val="34"/>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67">
    <w:name w:val="Bordered &amp; Lined - Accent 1"/>
    <w:basedOn w:val="3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paragraph" w:customStyle="1" w:styleId="68">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6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table" w:customStyle="1" w:styleId="70">
    <w:name w:val="Bordered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1">
    <w:name w:val="Grid Table 1 Light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paragraph" w:styleId="73">
    <w:name w:val="Quote"/>
    <w:basedOn w:val="1"/>
    <w:link w:val="185"/>
    <w:qFormat/>
    <w:uiPriority w:val="29"/>
    <w:pPr>
      <w:ind w:left="720" w:right="720"/>
    </w:pPr>
    <w:rPr>
      <w:i/>
    </w:rPr>
  </w:style>
  <w:style w:type="paragraph" w:customStyle="1" w:styleId="74">
    <w:name w:val="正文首行缩进 21"/>
    <w:basedOn w:val="75"/>
    <w:qFormat/>
    <w:uiPriority w:val="0"/>
    <w:pPr>
      <w:ind w:firstLine="420"/>
    </w:pPr>
  </w:style>
  <w:style w:type="paragraph" w:customStyle="1" w:styleId="75">
    <w:name w:val="正文文本缩进1"/>
    <w:basedOn w:val="1"/>
    <w:qFormat/>
    <w:uiPriority w:val="0"/>
    <w:pPr>
      <w:spacing w:after="120"/>
      <w:ind w:left="420"/>
    </w:pPr>
  </w:style>
  <w:style w:type="table" w:customStyle="1" w:styleId="76">
    <w:name w:val="List Table 2 - Accent 1"/>
    <w:basedOn w:val="3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character" w:customStyle="1" w:styleId="77">
    <w:name w:val="标题 1 Char"/>
    <w:basedOn w:val="36"/>
    <w:link w:val="2"/>
    <w:qFormat/>
    <w:uiPriority w:val="0"/>
    <w:rPr>
      <w:rFonts w:asciiTheme="minorHAnsi" w:hAnsiTheme="minorHAnsi" w:eastAsiaTheme="minorEastAsia" w:cstheme="minorBidi"/>
      <w:b/>
      <w:bCs/>
      <w:sz w:val="44"/>
      <w:szCs w:val="44"/>
    </w:rPr>
  </w:style>
  <w:style w:type="table" w:customStyle="1" w:styleId="78">
    <w:name w:val="Lined - Accent"/>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79">
    <w:name w:val="List Table 1 Light - Accent 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0">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character" w:customStyle="1" w:styleId="81">
    <w:name w:val="标题 3 Char"/>
    <w:basedOn w:val="36"/>
    <w:link w:val="4"/>
    <w:qFormat/>
    <w:uiPriority w:val="9"/>
    <w:rPr>
      <w:rFonts w:ascii="Arial" w:hAnsi="Arial" w:eastAsia="Arial" w:cs="Arial"/>
      <w:sz w:val="30"/>
      <w:szCs w:val="30"/>
    </w:rPr>
  </w:style>
  <w:style w:type="table" w:customStyle="1" w:styleId="82">
    <w:name w:val="清单表 1 浅色1"/>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Grid Table 1 Light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paragraph" w:styleId="84">
    <w:name w:val="No Spacing"/>
    <w:qFormat/>
    <w:uiPriority w:val="1"/>
    <w:rPr>
      <w:rFonts w:hint="default" w:ascii="Times New Roman" w:hAnsi="Times New Roman" w:eastAsia="宋体" w:cs="Times New Roman"/>
      <w:lang w:val="en-US" w:eastAsia="zh-CN" w:bidi="ar-SA"/>
    </w:rPr>
  </w:style>
  <w:style w:type="character" w:customStyle="1" w:styleId="85">
    <w:name w:val="Heading 5 Char"/>
    <w:basedOn w:val="36"/>
    <w:qFormat/>
    <w:uiPriority w:val="9"/>
    <w:rPr>
      <w:rFonts w:ascii="Arial" w:hAnsi="Arial" w:eastAsia="Arial" w:cs="Arial"/>
      <w:b/>
      <w:bCs/>
      <w:sz w:val="24"/>
      <w:szCs w:val="24"/>
    </w:rPr>
  </w:style>
  <w:style w:type="table" w:customStyle="1" w:styleId="86">
    <w:name w:val="Grid Table 4 - Accent 6"/>
    <w:basedOn w:val="3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无格式表格 51"/>
    <w:basedOn w:val="34"/>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88">
    <w:name w:val="副标题 Char"/>
    <w:basedOn w:val="36"/>
    <w:link w:val="25"/>
    <w:qFormat/>
    <w:uiPriority w:val="11"/>
    <w:rPr>
      <w:sz w:val="24"/>
      <w:szCs w:val="24"/>
    </w:rPr>
  </w:style>
  <w:style w:type="table" w:customStyle="1" w:styleId="89">
    <w:name w:val="List Table 4 - Accent 4"/>
    <w:basedOn w:val="3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character" w:customStyle="1" w:styleId="90">
    <w:name w:val="Heading 9 Char"/>
    <w:basedOn w:val="36"/>
    <w:qFormat/>
    <w:uiPriority w:val="9"/>
    <w:rPr>
      <w:rFonts w:ascii="Arial" w:hAnsi="Arial" w:eastAsia="Arial" w:cs="Arial"/>
      <w:i/>
      <w:iCs/>
      <w:sz w:val="21"/>
      <w:szCs w:val="21"/>
    </w:rPr>
  </w:style>
  <w:style w:type="table" w:customStyle="1" w:styleId="91">
    <w:name w:val="Grid Table 3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character" w:customStyle="1" w:styleId="92">
    <w:name w:val="custom-tag-placeholder-class"/>
    <w:basedOn w:val="36"/>
    <w:qFormat/>
    <w:uiPriority w:val="0"/>
  </w:style>
  <w:style w:type="table" w:customStyle="1" w:styleId="93">
    <w:name w:val="List Table 6 Colorful - Accent 4"/>
    <w:basedOn w:val="34"/>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94">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6">
    <w:name w:val="List Table 3 - Accent 3"/>
    <w:basedOn w:val="3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97">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98">
    <w:name w:val="Table Text"/>
    <w:basedOn w:val="1"/>
    <w:qFormat/>
    <w:uiPriority w:val="0"/>
    <w:pPr>
      <w:widowControl/>
      <w:jc w:val="left"/>
    </w:pPr>
    <w:rPr>
      <w:rFonts w:ascii="仿宋" w:hAnsi="仿宋" w:eastAsia="仿宋" w:cs="仿宋"/>
      <w:color w:val="000000"/>
      <w:sz w:val="24"/>
      <w:lang w:eastAsia="en-US"/>
    </w:rPr>
  </w:style>
  <w:style w:type="table" w:customStyle="1" w:styleId="99">
    <w:name w:val="Bordered &amp; Lined - Accent 3"/>
    <w:basedOn w:val="3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00">
    <w:name w:val="List Table 7 Colorful - Accent 3"/>
    <w:basedOn w:val="34"/>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paragraph" w:customStyle="1" w:styleId="101">
    <w:name w:val="普通(网站)1"/>
    <w:basedOn w:val="1"/>
    <w:qFormat/>
    <w:uiPriority w:val="0"/>
    <w:pPr>
      <w:spacing w:beforeAutospacing="1" w:afterAutospacing="1"/>
      <w:jc w:val="left"/>
    </w:pPr>
    <w:rPr>
      <w:rFonts w:ascii="Times New Roman" w:hAnsi="Times New Roman" w:eastAsia="宋体" w:cs="Times New Roman"/>
      <w:sz w:val="24"/>
    </w:rPr>
  </w:style>
  <w:style w:type="table" w:customStyle="1" w:styleId="102">
    <w:name w:val="List Table 2 - Accent 4"/>
    <w:basedOn w:val="3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3">
    <w:name w:val="清单表 7 彩色1"/>
    <w:basedOn w:val="34"/>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List Table 3 - Accent 1"/>
    <w:basedOn w:val="3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06">
    <w:name w:val="List Table 6 Colorful - Accent 5"/>
    <w:basedOn w:val="34"/>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07">
    <w:name w:val="List Table 2 - Accent 5"/>
    <w:basedOn w:val="3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08">
    <w:name w:val="Grid Table 7 Colorful - Accent 2"/>
    <w:basedOn w:val="3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2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110">
    <w:name w:val="普通(网站) Char"/>
    <w:link w:val="31"/>
    <w:qFormat/>
    <w:uiPriority w:val="0"/>
    <w:rPr>
      <w:rFonts w:asciiTheme="minorHAnsi" w:hAnsiTheme="minorHAnsi" w:eastAsiaTheme="minorEastAsia"/>
      <w:sz w:val="24"/>
      <w:szCs w:val="24"/>
    </w:rPr>
  </w:style>
  <w:style w:type="character" w:customStyle="1" w:styleId="111">
    <w:name w:val="Footer Char"/>
    <w:basedOn w:val="36"/>
    <w:qFormat/>
    <w:uiPriority w:val="99"/>
  </w:style>
  <w:style w:type="table" w:customStyle="1" w:styleId="112">
    <w:name w:val="Lined - Accent 2"/>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character" w:customStyle="1" w:styleId="113">
    <w:name w:val="正文文本缩进 Char"/>
    <w:basedOn w:val="36"/>
    <w:link w:val="15"/>
    <w:qFormat/>
    <w:uiPriority w:val="0"/>
    <w:rPr>
      <w:rFonts w:asciiTheme="minorHAnsi" w:hAnsiTheme="minorHAnsi" w:eastAsiaTheme="minorEastAsia" w:cstheme="minorBidi"/>
      <w:sz w:val="21"/>
      <w:szCs w:val="24"/>
    </w:rPr>
  </w:style>
  <w:style w:type="table" w:customStyle="1" w:styleId="114">
    <w:name w:val="List Table 6 Colorful - Accent 2"/>
    <w:basedOn w:val="34"/>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3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6">
    <w:name w:val="Grid Table 7 Colorful - Accent 3"/>
    <w:basedOn w:val="3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Lined - Accent 4"/>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paragraph" w:customStyle="1" w:styleId="118">
    <w:name w:val="列表段落1"/>
    <w:basedOn w:val="1"/>
    <w:qFormat/>
    <w:uiPriority w:val="34"/>
    <w:pPr>
      <w:ind w:firstLine="420" w:firstLineChars="200"/>
    </w:pPr>
  </w:style>
  <w:style w:type="table" w:customStyle="1" w:styleId="119">
    <w:name w:val="List Table 7 Colorful - Accent 6"/>
    <w:basedOn w:val="34"/>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0">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List Table 1 Light - Accent 5"/>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character" w:customStyle="1" w:styleId="122">
    <w:name w:val="Subtitle Char"/>
    <w:basedOn w:val="36"/>
    <w:qFormat/>
    <w:uiPriority w:val="11"/>
    <w:rPr>
      <w:sz w:val="24"/>
      <w:szCs w:val="24"/>
    </w:rPr>
  </w:style>
  <w:style w:type="table" w:customStyle="1" w:styleId="123">
    <w:name w:val="List Table 5 Dark - Accent 1"/>
    <w:basedOn w:val="3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24">
    <w:name w:val="Grid Table 4 - Accent 2"/>
    <w:basedOn w:val="3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5">
    <w:name w:val="Grid Table 2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character" w:customStyle="1" w:styleId="126">
    <w:name w:val="标题 8 Char"/>
    <w:basedOn w:val="36"/>
    <w:link w:val="9"/>
    <w:qFormat/>
    <w:uiPriority w:val="9"/>
    <w:rPr>
      <w:rFonts w:ascii="Arial" w:hAnsi="Arial" w:eastAsia="Arial" w:cs="Arial"/>
      <w:i/>
      <w:iCs/>
      <w:sz w:val="22"/>
      <w:szCs w:val="22"/>
    </w:rPr>
  </w:style>
  <w:style w:type="table" w:customStyle="1" w:styleId="127">
    <w:name w:val="Grid Table 1 Light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8">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129">
    <w:name w:val="列出段落1"/>
    <w:basedOn w:val="1"/>
    <w:qFormat/>
    <w:uiPriority w:val="34"/>
    <w:pPr>
      <w:ind w:firstLine="420"/>
    </w:pPr>
    <w:rPr>
      <w:rFonts w:ascii="Calibri" w:hAnsi="Calibri" w:eastAsia="宋体" w:cs="Times New Roman"/>
      <w:szCs w:val="20"/>
    </w:rPr>
  </w:style>
  <w:style w:type="table" w:customStyle="1" w:styleId="130">
    <w:name w:val="无格式表格 21"/>
    <w:basedOn w:val="34"/>
    <w:qFormat/>
    <w:uiPriority w:val="59"/>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1">
    <w:name w:val="List Table 4 - Accent 5"/>
    <w:basedOn w:val="3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Bordered &amp; Lined - Accent 4"/>
    <w:basedOn w:val="3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4">
    <w:name w:val="Grid Table 7 Colorful - Accent 6"/>
    <w:basedOn w:val="3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Grid Table 6 Colorful - Accent 5"/>
    <w:basedOn w:val="3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6">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37">
    <w:name w:val="Footnote Text Char"/>
    <w:qFormat/>
    <w:uiPriority w:val="99"/>
    <w:rPr>
      <w:sz w:val="18"/>
    </w:rPr>
  </w:style>
  <w:style w:type="character" w:customStyle="1" w:styleId="138">
    <w:name w:val="Endnote Text Char"/>
    <w:qFormat/>
    <w:uiPriority w:val="99"/>
    <w:rPr>
      <w:sz w:val="20"/>
    </w:rPr>
  </w:style>
  <w:style w:type="table" w:customStyle="1" w:styleId="139">
    <w:name w:val="List Table 3 - Accent 5"/>
    <w:basedOn w:val="3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character" w:customStyle="1" w:styleId="140">
    <w:name w:val="脚注文本 Char"/>
    <w:link w:val="26"/>
    <w:qFormat/>
    <w:uiPriority w:val="99"/>
    <w:rPr>
      <w:sz w:val="18"/>
    </w:rPr>
  </w:style>
  <w:style w:type="character" w:customStyle="1" w:styleId="141">
    <w:name w:val="正文首行缩进 2 Char"/>
    <w:basedOn w:val="113"/>
    <w:link w:val="33"/>
    <w:qFormat/>
    <w:uiPriority w:val="99"/>
    <w:rPr>
      <w:rFonts w:asciiTheme="minorHAnsi" w:hAnsiTheme="minorHAnsi" w:eastAsiaTheme="minorEastAsia" w:cstheme="minorBidi"/>
      <w:sz w:val="21"/>
      <w:szCs w:val="24"/>
    </w:rPr>
  </w:style>
  <w:style w:type="table" w:customStyle="1" w:styleId="142">
    <w:name w:val="List Table 5 Dark - Accent 6"/>
    <w:basedOn w:val="3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43">
    <w:name w:val="List Table 3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Lined - Accent 6"/>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paragraph" w:customStyle="1" w:styleId="147">
    <w:name w:val="TOC Heading"/>
    <w:unhideWhenUsed/>
    <w:qFormat/>
    <w:uiPriority w:val="39"/>
    <w:rPr>
      <w:rFonts w:hint="default" w:ascii="Times New Roman" w:hAnsi="Times New Roman" w:eastAsia="宋体" w:cs="Times New Roman"/>
      <w:lang w:val="en-US" w:eastAsia="en-US" w:bidi="ar-SA"/>
    </w:rPr>
  </w:style>
  <w:style w:type="table" w:customStyle="1" w:styleId="148">
    <w:name w:val="List Table 5 Dark - Accent 4"/>
    <w:basedOn w:val="3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ned - Accent 1"/>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50">
    <w:name w:val="Bordered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character" w:customStyle="1" w:styleId="151">
    <w:name w:val="Heading 2 Char"/>
    <w:basedOn w:val="36"/>
    <w:qFormat/>
    <w:uiPriority w:val="9"/>
    <w:rPr>
      <w:rFonts w:ascii="Arial" w:hAnsi="Arial" w:eastAsia="Arial" w:cs="Arial"/>
      <w:sz w:val="34"/>
    </w:rPr>
  </w:style>
  <w:style w:type="table" w:customStyle="1" w:styleId="152">
    <w:name w:val="Bordered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53">
    <w:name w:val="Plain Table 2"/>
    <w:basedOn w:val="34"/>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4">
    <w:name w:val="Grid Table 4 - Accent 3"/>
    <w:basedOn w:val="3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character" w:customStyle="1" w:styleId="155">
    <w:name w:val="Heading 3 Char"/>
    <w:basedOn w:val="36"/>
    <w:qFormat/>
    <w:uiPriority w:val="9"/>
    <w:rPr>
      <w:rFonts w:ascii="Arial" w:hAnsi="Arial" w:eastAsia="Arial" w:cs="Arial"/>
      <w:sz w:val="30"/>
      <w:szCs w:val="30"/>
    </w:rPr>
  </w:style>
  <w:style w:type="table" w:customStyle="1" w:styleId="156">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7">
    <w:name w:val="Grid Table 3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8">
    <w:name w:val="Grid Table 1 Light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character" w:customStyle="1" w:styleId="159">
    <w:name w:val="Title Char"/>
    <w:basedOn w:val="36"/>
    <w:qFormat/>
    <w:uiPriority w:val="10"/>
    <w:rPr>
      <w:sz w:val="48"/>
      <w:szCs w:val="48"/>
    </w:rPr>
  </w:style>
  <w:style w:type="table" w:customStyle="1" w:styleId="160">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3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62">
    <w:name w:val="Bordered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63">
    <w:name w:val="Grid Table 1 Light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64">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5">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paragraph" w:customStyle="1" w:styleId="166">
    <w:name w:val="正文文本1"/>
    <w:basedOn w:val="1"/>
    <w:qFormat/>
    <w:uiPriority w:val="0"/>
    <w:pPr>
      <w:spacing w:after="120"/>
    </w:pPr>
    <w:rPr>
      <w:rFonts w:ascii="Times New Roman" w:hAnsi="Times New Roman" w:eastAsia="宋体" w:cs="Times New Roman"/>
      <w:szCs w:val="21"/>
    </w:rPr>
  </w:style>
  <w:style w:type="table" w:customStyle="1" w:styleId="167">
    <w:name w:val="List Table 1 Light - Accent 4"/>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8">
    <w:name w:val="Grid Table 6 Colorful - Accent 1"/>
    <w:basedOn w:val="3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character" w:customStyle="1" w:styleId="169">
    <w:name w:val="Quote Char"/>
    <w:qFormat/>
    <w:uiPriority w:val="29"/>
    <w:rPr>
      <w:i/>
    </w:rPr>
  </w:style>
  <w:style w:type="table" w:customStyle="1" w:styleId="170">
    <w:name w:val="List Table 7 Colorful - Accent 2"/>
    <w:basedOn w:val="34"/>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paragraph" w:customStyle="1" w:styleId="171">
    <w:name w:val="正文文本11"/>
    <w:basedOn w:val="1"/>
    <w:qFormat/>
    <w:uiPriority w:val="0"/>
    <w:rPr>
      <w:rFonts w:ascii="楷体_GB2312" w:hAnsi="Arial" w:eastAsia="楷体_GB2312"/>
      <w:sz w:val="28"/>
      <w:szCs w:val="28"/>
      <w:lang w:eastAsia="en-US"/>
    </w:rPr>
  </w:style>
  <w:style w:type="table" w:customStyle="1" w:styleId="172">
    <w:name w:val="List Table 2 - Accent 2"/>
    <w:basedOn w:val="3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paragraph" w:customStyle="1" w:styleId="173">
    <w:name w:val="页脚1"/>
    <w:basedOn w:val="1"/>
    <w:unhideWhenUsed/>
    <w:qFormat/>
    <w:uiPriority w:val="99"/>
    <w:pPr>
      <w:tabs>
        <w:tab w:val="center" w:pos="4153"/>
        <w:tab w:val="right" w:pos="8306"/>
      </w:tabs>
      <w:jc w:val="left"/>
    </w:pPr>
    <w:rPr>
      <w:sz w:val="18"/>
      <w:szCs w:val="18"/>
    </w:rPr>
  </w:style>
  <w:style w:type="character" w:customStyle="1" w:styleId="174">
    <w:name w:val="明显引用 Char"/>
    <w:link w:val="43"/>
    <w:qFormat/>
    <w:uiPriority w:val="30"/>
    <w:rPr>
      <w:i/>
    </w:rPr>
  </w:style>
  <w:style w:type="paragraph" w:customStyle="1" w:styleId="175">
    <w:name w:val="普通(网站)11"/>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rPr>
  </w:style>
  <w:style w:type="character" w:customStyle="1" w:styleId="176">
    <w:name w:val="标题 6 Char"/>
    <w:basedOn w:val="36"/>
    <w:link w:val="7"/>
    <w:qFormat/>
    <w:uiPriority w:val="9"/>
    <w:rPr>
      <w:rFonts w:ascii="Arial" w:hAnsi="Arial" w:eastAsia="Arial" w:cs="Arial"/>
      <w:b/>
      <w:bCs/>
      <w:sz w:val="22"/>
      <w:szCs w:val="22"/>
    </w:rPr>
  </w:style>
  <w:style w:type="table" w:customStyle="1" w:styleId="177">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178">
    <w:name w:val="标题 7 Char"/>
    <w:basedOn w:val="36"/>
    <w:link w:val="8"/>
    <w:qFormat/>
    <w:uiPriority w:val="9"/>
    <w:rPr>
      <w:rFonts w:ascii="Arial" w:hAnsi="Arial" w:eastAsia="Arial" w:cs="Arial"/>
      <w:b/>
      <w:bCs/>
      <w:i/>
      <w:iCs/>
      <w:sz w:val="22"/>
      <w:szCs w:val="22"/>
    </w:rPr>
  </w:style>
  <w:style w:type="paragraph" w:customStyle="1" w:styleId="179">
    <w:name w:val="批注文字1"/>
    <w:basedOn w:val="1"/>
    <w:qFormat/>
    <w:uiPriority w:val="0"/>
    <w:pPr>
      <w:jc w:val="left"/>
    </w:pPr>
    <w:rPr>
      <w:rFonts w:ascii="Times New Roman" w:hAnsi="Times New Roman" w:eastAsia="宋体" w:cs="Times New Roman"/>
    </w:rPr>
  </w:style>
  <w:style w:type="table" w:customStyle="1" w:styleId="180">
    <w:name w:val="无格式表格 31"/>
    <w:basedOn w:val="34"/>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181">
    <w:name w:val="Caption Char"/>
    <w:qFormat/>
    <w:uiPriority w:val="99"/>
  </w:style>
  <w:style w:type="table" w:customStyle="1" w:styleId="182">
    <w:name w:val="List Table 1 Light - Accent 6"/>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3">
    <w:name w:val="List Table 3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4">
    <w:name w:val="List Table 7 Colorful - Accent 1"/>
    <w:basedOn w:val="34"/>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character" w:customStyle="1" w:styleId="185">
    <w:name w:val="引用 Char"/>
    <w:link w:val="73"/>
    <w:qFormat/>
    <w:uiPriority w:val="29"/>
    <w:rPr>
      <w:i/>
    </w:rPr>
  </w:style>
  <w:style w:type="table" w:customStyle="1" w:styleId="186">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Grid Table 2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5"/>
    <w:basedOn w:val="3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paragraph" w:customStyle="1" w:styleId="189">
    <w:name w:val="09正文_wh"/>
    <w:qFormat/>
    <w:uiPriority w:val="0"/>
    <w:pPr>
      <w:spacing w:line="300" w:lineRule="auto"/>
      <w:ind w:firstLine="200"/>
      <w:jc w:val="both"/>
    </w:pPr>
    <w:rPr>
      <w:rFonts w:hint="default" w:ascii="Calibri" w:hAnsi="Calibri" w:eastAsia="宋体" w:cs="Times New Roman"/>
      <w:sz w:val="28"/>
      <w:szCs w:val="22"/>
      <w:lang w:val="en-US" w:eastAsia="zh-CN" w:bidi="ar-SA"/>
    </w:rPr>
  </w:style>
  <w:style w:type="table" w:customStyle="1" w:styleId="190">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92">
    <w:name w:val="List Table 6 Colorful - Accent 1"/>
    <w:basedOn w:val="34"/>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3">
    <w:name w:val="Lined - Accent 5"/>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character" w:customStyle="1" w:styleId="194">
    <w:name w:val="页脚 Char"/>
    <w:basedOn w:val="36"/>
    <w:link w:val="21"/>
    <w:qFormat/>
    <w:uiPriority w:val="0"/>
    <w:rPr>
      <w:rFonts w:asciiTheme="minorHAnsi" w:hAnsiTheme="minorHAnsi" w:eastAsiaTheme="minorEastAsia" w:cstheme="minorBidi"/>
      <w:sz w:val="18"/>
      <w:szCs w:val="18"/>
    </w:rPr>
  </w:style>
  <w:style w:type="table" w:customStyle="1" w:styleId="195">
    <w:name w:val="Bordered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6">
    <w:name w:val="List Table 5 Dark - Accent 5"/>
    <w:basedOn w:val="3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7">
    <w:name w:val="List Table 7 Colorful - Accent 5"/>
    <w:basedOn w:val="34"/>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8">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200">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Grid Table 7 Colorful - Accent 5"/>
    <w:basedOn w:val="3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paragraph" w:customStyle="1" w:styleId="202">
    <w:name w:val="TOC 标题1"/>
    <w:unhideWhenUsed/>
    <w:qFormat/>
    <w:uiPriority w:val="39"/>
    <w:rPr>
      <w:rFonts w:hint="default" w:ascii="Times New Roman" w:hAnsi="Times New Roman" w:eastAsia="宋体" w:cs="Times New Roman"/>
      <w:lang w:val="en-US" w:eastAsia="zh-CN" w:bidi="ar-SA"/>
    </w:rPr>
  </w:style>
  <w:style w:type="table" w:customStyle="1" w:styleId="203">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character" w:customStyle="1" w:styleId="204">
    <w:name w:val="Heading 7 Char"/>
    <w:basedOn w:val="36"/>
    <w:qFormat/>
    <w:uiPriority w:val="9"/>
    <w:rPr>
      <w:rFonts w:ascii="Arial" w:hAnsi="Arial" w:eastAsia="Arial" w:cs="Arial"/>
      <w:b/>
      <w:bCs/>
      <w:i/>
      <w:iCs/>
      <w:sz w:val="22"/>
      <w:szCs w:val="22"/>
    </w:rPr>
  </w:style>
  <w:style w:type="table" w:customStyle="1" w:styleId="205">
    <w:name w:val="Grid Table 4 - Accent 4"/>
    <w:basedOn w:val="3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paragraph" w:customStyle="1" w:styleId="206">
    <w:name w:val="Default"/>
    <w:basedOn w:val="1"/>
    <w:semiHidden/>
    <w:qFormat/>
    <w:uiPriority w:val="0"/>
    <w:pPr>
      <w:jc w:val="left"/>
    </w:pPr>
    <w:rPr>
      <w:rFonts w:ascii="宋体" w:hAnsi="Calibri" w:cs="宋体"/>
      <w:color w:val="000000"/>
      <w:sz w:val="24"/>
    </w:rPr>
  </w:style>
  <w:style w:type="character" w:customStyle="1" w:styleId="207">
    <w:name w:val="Heading 6 Char"/>
    <w:basedOn w:val="36"/>
    <w:qFormat/>
    <w:uiPriority w:val="9"/>
    <w:rPr>
      <w:rFonts w:ascii="Arial" w:hAnsi="Arial" w:eastAsia="Arial" w:cs="Arial"/>
      <w:b/>
      <w:bCs/>
      <w:sz w:val="22"/>
      <w:szCs w:val="22"/>
    </w:rPr>
  </w:style>
  <w:style w:type="table" w:customStyle="1" w:styleId="208">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210">
    <w:name w:val="Grid Table 4 - Accent 5"/>
    <w:basedOn w:val="3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211">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12">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213">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14">
    <w:name w:val="List Table 3 - Accent 6"/>
    <w:basedOn w:val="3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15">
    <w:name w:val="Grid Table 3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216">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7">
    <w:name w:val="List Table 1 Light - Accent 2"/>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218">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character" w:customStyle="1" w:styleId="219">
    <w:name w:val="NormalCharacter12"/>
    <w:semiHidden/>
    <w:qFormat/>
    <w:uiPriority w:val="0"/>
    <w:rPr>
      <w:rFonts w:asciiTheme="minorHAnsi" w:hAnsiTheme="minorHAnsi" w:eastAsiaTheme="minorEastAsia" w:cstheme="minorBidi"/>
      <w:sz w:val="21"/>
      <w:szCs w:val="24"/>
      <w:lang w:val="en-US" w:eastAsia="zh-CN" w:bidi="ar-SA"/>
    </w:rPr>
  </w:style>
  <w:style w:type="character" w:customStyle="1" w:styleId="220">
    <w:name w:val="Header Char"/>
    <w:basedOn w:val="36"/>
    <w:qFormat/>
    <w:uiPriority w:val="99"/>
  </w:style>
  <w:style w:type="table" w:customStyle="1" w:styleId="221">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22">
    <w:name w:val="List Table 7 Colorful - Accent 4"/>
    <w:basedOn w:val="34"/>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3">
    <w:name w:val="Grid Table 2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224">
    <w:name w:val="List Table 1 Light - Accent 3"/>
    <w:basedOn w:val="34"/>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225">
    <w:name w:val="Grid Table 6 Colorful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character" w:customStyle="1" w:styleId="226">
    <w:name w:val="标题 Char"/>
    <w:basedOn w:val="36"/>
    <w:link w:val="32"/>
    <w:qFormat/>
    <w:uiPriority w:val="10"/>
    <w:rPr>
      <w:sz w:val="48"/>
      <w:szCs w:val="48"/>
    </w:rPr>
  </w:style>
  <w:style w:type="paragraph" w:customStyle="1" w:styleId="227">
    <w:name w:val="正文首行缩进11"/>
    <w:basedOn w:val="171"/>
    <w:unhideWhenUsed/>
    <w:qFormat/>
    <w:uiPriority w:val="99"/>
    <w:pPr>
      <w:ind w:firstLine="420"/>
    </w:pPr>
    <w:rPr>
      <w:rFonts w:ascii="Times New Roman" w:hAnsi="Times New Roman"/>
    </w:rPr>
  </w:style>
  <w:style w:type="table" w:customStyle="1" w:styleId="228">
    <w:name w:val="List Table 5 Dark - Accent 3"/>
    <w:basedOn w:val="3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29">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230">
    <w:name w:val="Heading 4 Char"/>
    <w:basedOn w:val="36"/>
    <w:qFormat/>
    <w:uiPriority w:val="9"/>
    <w:rPr>
      <w:rFonts w:ascii="Arial" w:hAnsi="Arial" w:eastAsia="Arial" w:cs="Arial"/>
      <w:b/>
      <w:bCs/>
      <w:sz w:val="26"/>
      <w:szCs w:val="26"/>
    </w:rPr>
  </w:style>
  <w:style w:type="table" w:customStyle="1" w:styleId="231">
    <w:name w:val="Bordered &amp; Lined - Accent 2"/>
    <w:basedOn w:val="3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paragraph" w:styleId="232">
    <w:name w:val="List Paragraph"/>
    <w:basedOn w:val="1"/>
    <w:qFormat/>
    <w:uiPriority w:val="34"/>
    <w:pPr>
      <w:ind w:left="720"/>
      <w:contextualSpacing/>
    </w:pPr>
    <w:rPr>
      <w:rFonts w:ascii="Times New Roman" w:hAnsi="Times New Roman" w:eastAsia="宋体" w:cs="Times New Roman"/>
    </w:rPr>
  </w:style>
  <w:style w:type="table" w:customStyle="1" w:styleId="233">
    <w:name w:val="Grid Table 2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234">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235">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36">
    <w:name w:val="Grid Table 1 Light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7">
    <w:name w:val="Grid Table 7 Colorful - Accent 1"/>
    <w:basedOn w:val="3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238">
    <w:name w:val="Lined - Accent 3"/>
    <w:basedOn w:val="34"/>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character" w:customStyle="1" w:styleId="239">
    <w:name w:val="标题 5 Char"/>
    <w:basedOn w:val="36"/>
    <w:link w:val="6"/>
    <w:qFormat/>
    <w:uiPriority w:val="9"/>
    <w:rPr>
      <w:rFonts w:ascii="Arial" w:hAnsi="Arial" w:eastAsia="Arial" w:cs="Arial"/>
      <w:b/>
      <w:bCs/>
      <w:sz w:val="24"/>
      <w:szCs w:val="24"/>
    </w:rPr>
  </w:style>
  <w:style w:type="table" w:customStyle="1" w:styleId="240">
    <w:name w:val="Grid Table 7 Colorful - Accent 4"/>
    <w:basedOn w:val="3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paragraph" w:customStyle="1" w:styleId="241">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table" w:customStyle="1" w:styleId="242">
    <w:name w:val="Bordered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3">
    <w:name w:val="Grid Table 3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244">
    <w:name w:val="List Table 4 - Accent 3"/>
    <w:basedOn w:val="3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45">
    <w:name w:val="List Table 5 Dark - Accent 2"/>
    <w:basedOn w:val="3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46">
    <w:name w:val="Grid Table 6 Colorful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47">
    <w:name w:val="无格式表格 41"/>
    <w:basedOn w:val="34"/>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248">
    <w:name w:val="List Table 2 - Accent 3"/>
    <w:basedOn w:val="3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character" w:customStyle="1" w:styleId="249">
    <w:name w:val="Intense Quote Char"/>
    <w:qFormat/>
    <w:uiPriority w:val="30"/>
    <w:rPr>
      <w:i/>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4103"/>
    <customShpInfo spid="_x0000_s4104"/>
    <customShpInfo spid="_x0000_s4105"/>
    <customShpInfo spid="_x0000_s4106"/>
    <customShpInfo spid="_x0000_s4107"/>
    <customShpInfo spid="_x0000_s4108"/>
    <customShpInfo spid="_x0000_s4097"/>
    <customShpInfo spid="_x0000_s4098"/>
    <customShpInfo spid="_x0000_s4099"/>
    <customShpInfo spid="_x0000_s4100"/>
    <customShpInfo spid="_x0000_s4101"/>
    <customShpInfo spid="_x0000_s4102"/>
    <customShpInfo spid="_x0000_s4115"/>
    <customShpInfo spid="_x0000_s4116"/>
    <customShpInfo spid="_x0000_s4117"/>
    <customShpInfo spid="_x0000_s4118"/>
    <customShpInfo spid="_x0000_s4119"/>
    <customShpInfo spid="_x0000_s4120"/>
    <customShpInfo spid="_x0000_s4109"/>
    <customShpInfo spid="_x0000_s4110"/>
    <customShpInfo spid="_x0000_s4111"/>
    <customShpInfo spid="_x0000_s4112"/>
    <customShpInfo spid="_x0000_s4113"/>
    <customShpInfo spid="_x0000_s4114"/>
    <customShpInfo spid="_x0000_s4127"/>
    <customShpInfo spid="_x0000_s4128"/>
    <customShpInfo spid="_x0000_s4129"/>
    <customShpInfo spid="_x0000_s4130"/>
    <customShpInfo spid="_x0000_s4131"/>
    <customShpInfo spid="_x0000_s4132"/>
    <customShpInfo spid="_x0000_s4121"/>
    <customShpInfo spid="_x0000_s4122"/>
    <customShpInfo spid="_x0000_s4123"/>
    <customShpInfo spid="_x0000_s4124"/>
    <customShpInfo spid="_x0000_s4125"/>
    <customShpInfo spid="_x0000_s41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119</Words>
  <Characters>150</Characters>
  <TotalTime>0</TotalTime>
  <ScaleCrop>false</ScaleCrop>
  <LinksUpToDate>false</LinksUpToDate>
  <CharactersWithSpaces>230</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2026-10-29T08:57:00Z</dcterms:created>
  <dc:creator>admin</dc:creator>
  <cp:lastModifiedBy>吉胜1418378764</cp:lastModifiedBy>
  <cp:lastPrinted>2026-10-29T01:08:00Z</cp:lastPrinted>
  <dcterms:modified xsi:type="dcterms:W3CDTF">2026-10-30T06:49:09Z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D0F82E2DAAEF4AE7999ADE136E3BE498_13</vt:lpwstr>
  </property>
  <property fmtid="{D5CDD505-2E9C-101B-9397-08002B2CF9AE}" pid="3" name="KSOProductBuildVer">
    <vt:lpwstr>2052-12.1.0.29161</vt:lpwstr>
  </property>
  <property fmtid="{D5CDD505-2E9C-101B-9397-08002B2CF9AE}" pid="4" name="KSOTemplateDocerSaveRecord">
    <vt:lpwstr>eyJoZGlkIjoiMTUzYmVjNmQ4YjhjYTVlNTVkNTIxN2EyZTRhZjI3NDYiLCJ1c2VySWQiOiIyNjY5ODk2MiJ9</vt:lpwstr>
  </property>
</Properties>
</file>