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D9235">
      <w:pPr>
        <w:spacing w:before="120" w:after="120" w:line="360" w:lineRule="auto"/>
        <w:jc w:val="left"/>
        <w:rPr>
          <w:rFonts w:hint="eastAsia" w:ascii="Arial" w:hAnsi="Arial" w:eastAsia="黑体"/>
          <w:b/>
          <w:bCs/>
          <w:color w:val="auto"/>
          <w:sz w:val="84"/>
          <w:szCs w:val="24"/>
          <w:highlight w:val="none"/>
        </w:rPr>
      </w:pPr>
    </w:p>
    <w:p w14:paraId="2F5A72BF">
      <w:pPr>
        <w:pStyle w:val="244"/>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rPr>
        <w:t>竞争性</w:t>
      </w:r>
      <w:r>
        <w:rPr>
          <w:rFonts w:hint="eastAsia" w:ascii="Arial" w:hAnsi="Arial" w:eastAsia="黑体" w:cs="Times New Roman"/>
          <w:b/>
          <w:bCs/>
          <w:color w:val="auto"/>
          <w:sz w:val="84"/>
          <w:highlight w:val="none"/>
          <w:lang w:eastAsia="zh-CN"/>
        </w:rPr>
        <w:t>谈判</w:t>
      </w:r>
      <w:r>
        <w:rPr>
          <w:rFonts w:hint="eastAsia" w:ascii="Arial" w:hAnsi="Arial" w:eastAsia="黑体" w:cs="Times New Roman"/>
          <w:b/>
          <w:bCs/>
          <w:color w:val="auto"/>
          <w:sz w:val="84"/>
          <w:highlight w:val="none"/>
        </w:rPr>
        <w:t>文件</w:t>
      </w:r>
    </w:p>
    <w:p w14:paraId="13A922C6">
      <w:pPr>
        <w:rPr>
          <w:rFonts w:hint="eastAsia" w:ascii="Arial" w:hAnsi="Arial" w:eastAsia="宋体" w:cs="Times New Roman"/>
          <w:b/>
          <w:bCs/>
          <w:color w:val="auto"/>
          <w:sz w:val="32"/>
          <w:szCs w:val="24"/>
          <w:highlight w:val="none"/>
          <w:lang w:eastAsia="zh-CN"/>
        </w:rPr>
      </w:pPr>
    </w:p>
    <w:p w14:paraId="41DE2C9E">
      <w:pPr>
        <w:rPr>
          <w:rFonts w:hint="eastAsia" w:ascii="Arial" w:hAnsi="Arial" w:eastAsia="宋体" w:cs="Times New Roman"/>
          <w:b/>
          <w:bCs/>
          <w:color w:val="auto"/>
          <w:sz w:val="32"/>
          <w:szCs w:val="24"/>
          <w:highlight w:val="none"/>
          <w:lang w:eastAsia="zh-CN"/>
        </w:rPr>
      </w:pPr>
    </w:p>
    <w:p w14:paraId="2C0F66A6">
      <w:pPr>
        <w:rPr>
          <w:rFonts w:hint="eastAsia" w:ascii="Arial" w:hAnsi="Arial" w:eastAsia="宋体" w:cs="Times New Roman"/>
          <w:b/>
          <w:bCs/>
          <w:color w:val="auto"/>
          <w:sz w:val="32"/>
          <w:szCs w:val="24"/>
          <w:highlight w:val="none"/>
          <w:lang w:eastAsia="zh-CN"/>
        </w:rPr>
      </w:pPr>
    </w:p>
    <w:p w14:paraId="59656F30">
      <w:pPr>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项目名称：</w:t>
      </w:r>
      <w:r>
        <w:rPr>
          <w:rFonts w:hint="eastAsia" w:ascii="Times New Roman" w:hAnsi="Times New Roman"/>
          <w:b/>
          <w:color w:val="auto"/>
          <w:sz w:val="32"/>
          <w:szCs w:val="32"/>
          <w:highlight w:val="none"/>
          <w:lang w:eastAsia="zh-CN"/>
        </w:rPr>
        <w:t>江苏省江宁监狱监管区房屋安全消防安全双评估</w:t>
      </w:r>
      <w:r>
        <w:rPr>
          <w:rFonts w:hint="eastAsia" w:ascii="Times New Roman" w:hAnsi="Times New Roman" w:eastAsia="宋体" w:cs="Times New Roman"/>
          <w:b/>
          <w:bCs w:val="0"/>
          <w:color w:val="auto"/>
          <w:sz w:val="32"/>
          <w:szCs w:val="32"/>
          <w:highlight w:val="none"/>
          <w:u w:val="none"/>
          <w:lang w:val="en-US" w:eastAsia="zh-CN"/>
        </w:rPr>
        <w:t xml:space="preserve"> </w:t>
      </w:r>
    </w:p>
    <w:p w14:paraId="45BC1865">
      <w:pPr>
        <w:spacing w:before="120" w:after="120" w:line="360" w:lineRule="auto"/>
        <w:jc w:val="left"/>
        <w:rPr>
          <w:rFonts w:hint="default"/>
          <w:color w:val="auto"/>
          <w:highlight w:val="none"/>
          <w:lang w:val="en-US"/>
        </w:rPr>
      </w:pPr>
      <w:r>
        <w:rPr>
          <w:rFonts w:hint="eastAsia" w:ascii="Arial" w:hAnsi="Arial" w:eastAsia="宋体" w:cs="Times New Roman"/>
          <w:b/>
          <w:bCs/>
          <w:color w:val="auto"/>
          <w:sz w:val="32"/>
          <w:szCs w:val="24"/>
          <w:highlight w:val="none"/>
          <w:lang w:eastAsia="zh-CN"/>
        </w:rPr>
        <w:t>项目编号：</w:t>
      </w:r>
      <w:r>
        <w:rPr>
          <w:rFonts w:hint="eastAsia" w:ascii="Times New Roman" w:hAnsi="Times New Roman" w:cs="Times New Roman"/>
          <w:b/>
          <w:bCs w:val="0"/>
          <w:color w:val="auto"/>
          <w:sz w:val="32"/>
          <w:szCs w:val="32"/>
          <w:highlight w:val="none"/>
          <w:u w:val="none"/>
          <w:lang w:val="en-US" w:eastAsia="zh-CN"/>
        </w:rPr>
        <w:t>JSZC-320000-NJJC-T2026-0159</w:t>
      </w:r>
    </w:p>
    <w:p w14:paraId="4ABB2CD4">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w:t>
      </w:r>
      <w:r>
        <w:rPr>
          <w:rFonts w:hint="eastAsia" w:ascii="宋体" w:hAnsi="宋体" w:eastAsia="宋体" w:cs="宋体"/>
          <w:b/>
          <w:bCs/>
          <w:color w:val="auto"/>
          <w:sz w:val="30"/>
          <w:szCs w:val="30"/>
          <w:highlight w:val="none"/>
          <w:lang w:eastAsia="zh-CN"/>
        </w:rPr>
        <w:t>非专门</w:t>
      </w:r>
      <w:r>
        <w:rPr>
          <w:rFonts w:hint="eastAsia" w:ascii="Times New Roman" w:hAnsi="Times New Roman" w:eastAsia="宋体" w:cs="Times New Roman"/>
          <w:b/>
          <w:bCs w:val="0"/>
          <w:color w:val="auto"/>
          <w:sz w:val="30"/>
          <w:szCs w:val="30"/>
          <w:highlight w:val="none"/>
          <w:lang w:eastAsia="zh-CN"/>
        </w:rPr>
        <w:t>面向中小企业</w:t>
      </w:r>
      <w:r>
        <w:rPr>
          <w:rFonts w:hint="eastAsia" w:ascii="Times New Roman" w:hAnsi="Times New Roman" w:eastAsia="宋体" w:cs="Times New Roman"/>
          <w:b/>
          <w:color w:val="auto"/>
          <w:sz w:val="30"/>
          <w:szCs w:val="30"/>
          <w:highlight w:val="none"/>
          <w:lang w:eastAsia="zh-CN"/>
        </w:rPr>
        <w:t>）</w:t>
      </w:r>
    </w:p>
    <w:p w14:paraId="2FD629C0">
      <w:pPr>
        <w:spacing w:line="360" w:lineRule="auto"/>
        <w:jc w:val="left"/>
        <w:rPr>
          <w:rFonts w:hint="eastAsia" w:ascii="宋体" w:hAnsi="宋体"/>
          <w:color w:val="auto"/>
          <w:sz w:val="24"/>
          <w:szCs w:val="24"/>
          <w:highlight w:val="none"/>
        </w:rPr>
      </w:pPr>
    </w:p>
    <w:p w14:paraId="3F3B3019">
      <w:pPr>
        <w:spacing w:line="360" w:lineRule="auto"/>
        <w:jc w:val="left"/>
        <w:rPr>
          <w:rFonts w:hint="eastAsia" w:ascii="宋体" w:hAnsi="宋体"/>
          <w:color w:val="auto"/>
          <w:sz w:val="24"/>
          <w:szCs w:val="24"/>
          <w:highlight w:val="none"/>
        </w:rPr>
      </w:pPr>
    </w:p>
    <w:p w14:paraId="516860EE">
      <w:pPr>
        <w:spacing w:line="360" w:lineRule="auto"/>
        <w:jc w:val="left"/>
        <w:rPr>
          <w:rFonts w:hint="eastAsia" w:ascii="宋体" w:hAnsi="宋体"/>
          <w:color w:val="auto"/>
          <w:sz w:val="24"/>
          <w:szCs w:val="24"/>
          <w:highlight w:val="none"/>
        </w:rPr>
      </w:pPr>
    </w:p>
    <w:p w14:paraId="25036AD9">
      <w:pPr>
        <w:spacing w:line="360" w:lineRule="auto"/>
        <w:jc w:val="left"/>
        <w:rPr>
          <w:rFonts w:hint="eastAsia" w:ascii="宋体" w:hAnsi="宋体"/>
          <w:color w:val="auto"/>
          <w:sz w:val="24"/>
          <w:szCs w:val="24"/>
          <w:highlight w:val="none"/>
        </w:rPr>
      </w:pPr>
    </w:p>
    <w:p w14:paraId="24399873">
      <w:pPr>
        <w:spacing w:line="360" w:lineRule="auto"/>
        <w:jc w:val="left"/>
        <w:rPr>
          <w:rFonts w:hint="eastAsia" w:ascii="宋体" w:hAnsi="宋体"/>
          <w:color w:val="auto"/>
          <w:sz w:val="24"/>
          <w:szCs w:val="24"/>
          <w:highlight w:val="none"/>
        </w:rPr>
      </w:pPr>
    </w:p>
    <w:p w14:paraId="6CF1614F">
      <w:pPr>
        <w:spacing w:line="360" w:lineRule="auto"/>
        <w:jc w:val="left"/>
        <w:rPr>
          <w:rFonts w:hint="eastAsia" w:ascii="宋体" w:hAnsi="宋体"/>
          <w:color w:val="auto"/>
          <w:sz w:val="24"/>
          <w:szCs w:val="24"/>
          <w:highlight w:val="none"/>
        </w:rPr>
      </w:pPr>
    </w:p>
    <w:p w14:paraId="20F431B5">
      <w:pPr>
        <w:spacing w:line="360" w:lineRule="auto"/>
        <w:jc w:val="left"/>
        <w:rPr>
          <w:rFonts w:hint="eastAsia" w:ascii="宋体" w:hAnsi="宋体"/>
          <w:color w:val="auto"/>
          <w:sz w:val="24"/>
          <w:szCs w:val="24"/>
          <w:highlight w:val="none"/>
        </w:rPr>
      </w:pPr>
    </w:p>
    <w:p w14:paraId="3B281AAA">
      <w:pPr>
        <w:pStyle w:val="244"/>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采购人：江苏省江宁监狱</w:t>
      </w:r>
    </w:p>
    <w:p w14:paraId="7239EBD9">
      <w:pPr>
        <w:pStyle w:val="244"/>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采购代理机构：南京江城工程项目管理有限公司</w:t>
      </w:r>
    </w:p>
    <w:p w14:paraId="27B7ADFF">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2026年</w:t>
      </w:r>
      <w:r>
        <w:rPr>
          <w:rFonts w:hint="eastAsia" w:ascii="Times New Roman" w:hAnsi="Times New Roman" w:cs="Times New Roman"/>
          <w:b/>
          <w:bCs w:val="0"/>
          <w:color w:val="auto"/>
          <w:sz w:val="32"/>
          <w:szCs w:val="32"/>
          <w:highlight w:val="none"/>
          <w:u w:val="none"/>
          <w:lang w:val="en-US" w:eastAsia="zh-CN"/>
        </w:rPr>
        <w:t>10</w:t>
      </w:r>
      <w:r>
        <w:rPr>
          <w:rFonts w:hint="eastAsia" w:ascii="Times New Roman" w:hAnsi="Times New Roman" w:eastAsia="宋体" w:cs="Times New Roman"/>
          <w:b/>
          <w:bCs w:val="0"/>
          <w:color w:val="auto"/>
          <w:sz w:val="32"/>
          <w:szCs w:val="32"/>
          <w:highlight w:val="none"/>
          <w:u w:val="none"/>
          <w:lang w:val="en-US" w:eastAsia="zh-CN"/>
        </w:rPr>
        <w:t>月</w:t>
      </w:r>
    </w:p>
    <w:p w14:paraId="2920B92C">
      <w:pPr>
        <w:spacing w:before="120" w:after="120" w:line="360" w:lineRule="auto"/>
        <w:jc w:val="left"/>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14:paraId="39225FE1">
      <w:pPr>
        <w:spacing w:before="120" w:after="120" w:line="360" w:lineRule="auto"/>
        <w:jc w:val="center"/>
        <w:rPr>
          <w:rFonts w:hint="eastAsia" w:ascii="Arial" w:hAnsi="Arial"/>
          <w:color w:val="auto"/>
          <w:sz w:val="24"/>
          <w:szCs w:val="24"/>
          <w:highlight w:val="none"/>
        </w:rPr>
      </w:pPr>
    </w:p>
    <w:p w14:paraId="2CD0E991">
      <w:pPr>
        <w:spacing w:line="480" w:lineRule="exact"/>
        <w:jc w:val="both"/>
        <w:outlineLvl w:val="9"/>
        <w:rPr>
          <w:rFonts w:hint="eastAsia" w:ascii="宋体" w:hAnsi="宋体" w:eastAsia="宋体" w:cs="宋体"/>
          <w:b/>
          <w:bCs/>
          <w:color w:val="auto"/>
          <w:sz w:val="24"/>
          <w:szCs w:val="24"/>
          <w:highlight w:val="none"/>
          <w:lang w:eastAsia="zh-CN"/>
        </w:rPr>
      </w:pPr>
    </w:p>
    <w:p w14:paraId="69DB9ED6">
      <w:pPr>
        <w:spacing w:line="480" w:lineRule="auto"/>
        <w:jc w:val="center"/>
        <w:outlineLvl w:val="0"/>
        <w:rPr>
          <w:rFonts w:ascii="Times New Roman" w:hAnsi="Times New Roman"/>
          <w:color w:val="auto"/>
          <w:szCs w:val="21"/>
          <w:highlight w:val="none"/>
        </w:rPr>
      </w:pPr>
    </w:p>
    <w:p w14:paraId="69244C7A">
      <w:pPr>
        <w:spacing w:line="480" w:lineRule="auto"/>
        <w:jc w:val="center"/>
        <w:outlineLvl w:val="0"/>
        <w:rPr>
          <w:rFonts w:hint="eastAsia" w:ascii="黑体" w:hAnsi="Arial" w:eastAsia="黑体"/>
          <w:b/>
          <w:color w:val="auto"/>
          <w:sz w:val="44"/>
          <w:szCs w:val="21"/>
          <w:highlight w:val="none"/>
        </w:rPr>
      </w:pPr>
      <w:r>
        <w:rPr>
          <w:rFonts w:ascii="Times New Roman" w:hAnsi="Times New Roman"/>
          <w:color w:val="auto"/>
          <w:szCs w:val="21"/>
          <w:highlight w:val="none"/>
        </w:rPr>
        <w:br w:type="page" w:clear="all"/>
      </w:r>
      <w:bookmarkStart w:id="0" w:name="_Toc120614210"/>
      <w:bookmarkStart w:id="1" w:name="_Toc16938516"/>
      <w:bookmarkStart w:id="2" w:name="_Toc479757206"/>
      <w:bookmarkStart w:id="3" w:name="_Toc523127445"/>
      <w:bookmarkStart w:id="4" w:name="_Toc513029200"/>
      <w:bookmarkStart w:id="5" w:name="_Toc20823272"/>
      <w:r>
        <w:rPr>
          <w:rFonts w:hint="eastAsia" w:ascii="黑体" w:hAnsi="Arial" w:eastAsia="黑体"/>
          <w:b/>
          <w:color w:val="auto"/>
          <w:sz w:val="44"/>
          <w:szCs w:val="21"/>
          <w:highlight w:val="none"/>
        </w:rPr>
        <w:t>总  目  录</w:t>
      </w:r>
    </w:p>
    <w:p w14:paraId="1851025A">
      <w:pPr>
        <w:spacing w:line="480" w:lineRule="auto"/>
        <w:rPr>
          <w:rFonts w:hint="eastAsia" w:ascii="仿宋_GB2312" w:hAnsi="Arial" w:eastAsia="仿宋_GB2312"/>
          <w:b/>
          <w:color w:val="auto"/>
          <w:sz w:val="28"/>
          <w:szCs w:val="21"/>
          <w:highlight w:val="none"/>
        </w:rPr>
      </w:pPr>
    </w:p>
    <w:p w14:paraId="016BFE5F">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lang w:eastAsia="zh-CN"/>
        </w:rPr>
      </w:pPr>
      <w:r>
        <w:rPr>
          <w:rFonts w:hint="eastAsia" w:ascii="黑体" w:hAnsi="宋体" w:eastAsia="黑体" w:cs="Times New Roman"/>
          <w:color w:val="auto"/>
          <w:sz w:val="36"/>
          <w:szCs w:val="21"/>
          <w:highlight w:val="none"/>
          <w:lang w:eastAsia="zh-CN"/>
        </w:rPr>
        <w:t xml:space="preserve">谈判邀请…………………………………… </w:t>
      </w:r>
      <w:r>
        <w:rPr>
          <w:rFonts w:hint="eastAsia" w:ascii="黑体" w:hAnsi="宋体" w:eastAsia="黑体" w:cs="Times New Roman"/>
          <w:color w:val="auto"/>
          <w:sz w:val="36"/>
          <w:szCs w:val="21"/>
          <w:highlight w:val="none"/>
          <w:lang w:val="en-US" w:eastAsia="zh-CN"/>
        </w:rPr>
        <w:t>3</w:t>
      </w:r>
    </w:p>
    <w:p w14:paraId="6671D3D8">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lang w:eastAsia="zh-CN"/>
        </w:rPr>
      </w:pPr>
      <w:r>
        <w:rPr>
          <w:rFonts w:hint="eastAsia" w:ascii="黑体" w:hAnsi="宋体" w:eastAsia="黑体" w:cs="Times New Roman"/>
          <w:color w:val="auto"/>
          <w:sz w:val="36"/>
          <w:szCs w:val="21"/>
          <w:highlight w:val="none"/>
          <w:lang w:eastAsia="zh-CN"/>
        </w:rPr>
        <w:t xml:space="preserve">供应商须知………………………………… </w:t>
      </w:r>
      <w:r>
        <w:rPr>
          <w:rFonts w:hint="eastAsia" w:ascii="黑体" w:hAnsi="宋体" w:eastAsia="黑体" w:cs="Times New Roman"/>
          <w:color w:val="auto"/>
          <w:sz w:val="36"/>
          <w:szCs w:val="21"/>
          <w:highlight w:val="none"/>
          <w:lang w:val="en-US" w:eastAsia="zh-CN"/>
        </w:rPr>
        <w:t>5</w:t>
      </w:r>
    </w:p>
    <w:p w14:paraId="0230F243">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lang w:eastAsia="zh-CN"/>
        </w:rPr>
      </w:pPr>
      <w:r>
        <w:rPr>
          <w:rFonts w:hint="eastAsia" w:ascii="黑体" w:hAnsi="宋体" w:eastAsia="黑体" w:cs="Times New Roman"/>
          <w:color w:val="auto"/>
          <w:sz w:val="36"/>
          <w:szCs w:val="21"/>
          <w:highlight w:val="none"/>
          <w:lang w:eastAsia="zh-CN"/>
        </w:rPr>
        <w:t>合同文本……………………………………</w:t>
      </w:r>
      <w:r>
        <w:rPr>
          <w:rFonts w:hint="eastAsia" w:ascii="黑体" w:hAnsi="宋体" w:eastAsia="黑体" w:cs="Times New Roman"/>
          <w:color w:val="auto"/>
          <w:sz w:val="36"/>
          <w:szCs w:val="21"/>
          <w:highlight w:val="none"/>
          <w:lang w:val="en-US" w:eastAsia="zh-CN"/>
        </w:rPr>
        <w:t>15</w:t>
      </w:r>
    </w:p>
    <w:p w14:paraId="6EE1A31C">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lang w:eastAsia="zh-CN"/>
        </w:rPr>
      </w:pPr>
      <w:r>
        <w:rPr>
          <w:rFonts w:hint="eastAsia" w:ascii="黑体" w:hAnsi="宋体" w:eastAsia="黑体" w:cs="Times New Roman"/>
          <w:color w:val="auto"/>
          <w:sz w:val="36"/>
          <w:szCs w:val="21"/>
          <w:highlight w:val="none"/>
          <w:lang w:eastAsia="zh-CN"/>
        </w:rPr>
        <w:t>采购需求……………………………………</w:t>
      </w:r>
      <w:r>
        <w:rPr>
          <w:rFonts w:hint="eastAsia" w:ascii="黑体" w:hAnsi="宋体" w:eastAsia="黑体" w:cs="Times New Roman"/>
          <w:color w:val="auto"/>
          <w:sz w:val="36"/>
          <w:szCs w:val="21"/>
          <w:highlight w:val="none"/>
          <w:lang w:val="en-US" w:eastAsia="zh-CN"/>
        </w:rPr>
        <w:t>19</w:t>
      </w:r>
    </w:p>
    <w:p w14:paraId="5E2BEC42">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lang w:eastAsia="zh-CN"/>
        </w:rPr>
      </w:pPr>
      <w:r>
        <w:rPr>
          <w:rFonts w:hint="eastAsia" w:ascii="黑体" w:hAnsi="宋体" w:eastAsia="黑体" w:cs="Times New Roman"/>
          <w:color w:val="auto"/>
          <w:sz w:val="36"/>
          <w:szCs w:val="21"/>
          <w:highlight w:val="none"/>
          <w:lang w:eastAsia="zh-CN"/>
        </w:rPr>
        <w:t>成交标准……………………………………</w:t>
      </w:r>
      <w:r>
        <w:rPr>
          <w:rFonts w:hint="eastAsia" w:ascii="黑体" w:hAnsi="宋体" w:eastAsia="黑体" w:cs="Times New Roman"/>
          <w:color w:val="auto"/>
          <w:sz w:val="36"/>
          <w:szCs w:val="21"/>
          <w:highlight w:val="none"/>
          <w:lang w:val="en-US" w:eastAsia="zh-CN"/>
        </w:rPr>
        <w:t>22</w:t>
      </w:r>
    </w:p>
    <w:p w14:paraId="3639A957">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lang w:eastAsia="zh-CN"/>
        </w:rPr>
      </w:pPr>
      <w:r>
        <w:rPr>
          <w:rFonts w:hint="eastAsia" w:ascii="黑体" w:hAnsi="宋体" w:eastAsia="黑体" w:cs="Times New Roman"/>
          <w:color w:val="auto"/>
          <w:sz w:val="36"/>
          <w:szCs w:val="21"/>
          <w:highlight w:val="none"/>
          <w:lang w:eastAsia="zh-CN"/>
        </w:rPr>
        <w:t>响应文件格式………………………………</w:t>
      </w:r>
      <w:r>
        <w:rPr>
          <w:rFonts w:hint="eastAsia" w:ascii="黑体" w:hAnsi="宋体" w:eastAsia="黑体" w:cs="Times New Roman"/>
          <w:color w:val="auto"/>
          <w:sz w:val="36"/>
          <w:szCs w:val="21"/>
          <w:highlight w:val="none"/>
          <w:lang w:val="en-US" w:eastAsia="zh-CN"/>
        </w:rPr>
        <w:t>23</w:t>
      </w:r>
    </w:p>
    <w:p w14:paraId="230E6850">
      <w:pPr>
        <w:keepNext w:val="0"/>
        <w:keepLines w:val="0"/>
        <w:pageBreakBefore w:val="0"/>
        <w:widowControl w:val="0"/>
        <w:spacing w:line="480" w:lineRule="auto"/>
        <w:rPr>
          <w:rFonts w:hint="eastAsia" w:ascii="Times New Roman" w:hAnsi="Times New Roman"/>
          <w:color w:val="auto"/>
          <w:szCs w:val="21"/>
          <w:highlight w:val="none"/>
        </w:rPr>
      </w:pPr>
    </w:p>
    <w:p w14:paraId="1C72ED63">
      <w:pPr>
        <w:rPr>
          <w:rFonts w:hint="eastAsia" w:ascii="Times New Roman" w:hAnsi="Times New Roman"/>
          <w:color w:val="auto"/>
          <w:szCs w:val="21"/>
          <w:highlight w:val="none"/>
        </w:rPr>
      </w:pPr>
    </w:p>
    <w:p w14:paraId="285BF64F">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谈判邀请</w:t>
      </w:r>
    </w:p>
    <w:p w14:paraId="5D51E69D">
      <w:pPr>
        <w:pageBreakBefore w:val="0"/>
        <w:widowControl w:val="0"/>
        <w:spacing w:line="240" w:lineRule="auto"/>
        <w:ind w:firstLine="480"/>
        <w:rPr>
          <w:rFonts w:hint="eastAsia" w:ascii="宋体" w:hAnsi="宋体"/>
          <w:color w:val="auto"/>
          <w:sz w:val="24"/>
          <w:szCs w:val="24"/>
          <w:highlight w:val="none"/>
        </w:rPr>
      </w:pPr>
      <w:bookmarkStart w:id="6" w:name="_Toc35393790"/>
      <w:bookmarkStart w:id="7" w:name="_Toc38985263"/>
      <w:bookmarkStart w:id="8" w:name="_Toc28359002"/>
      <w:bookmarkStart w:id="9" w:name="_Toc28359079"/>
      <w:bookmarkStart w:id="10" w:name="_Toc35393621"/>
      <w:bookmarkStart w:id="11" w:name="_Hlk24379207"/>
      <w:bookmarkStart w:id="12" w:name="_Toc38985264"/>
      <w:bookmarkStart w:id="13" w:name="_Toc28359080"/>
      <w:bookmarkStart w:id="14" w:name="_Toc35393622"/>
      <w:bookmarkStart w:id="15" w:name="_Toc28359003"/>
      <w:bookmarkStart w:id="16" w:name="_Toc35393791"/>
    </w:p>
    <w:p w14:paraId="3E28AADF">
      <w:pPr>
        <w:pageBreakBefore w:val="0"/>
        <w:widowControl w:val="0"/>
        <w:spacing w:line="240" w:lineRule="auto"/>
        <w:ind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eastAsia="zh-CN"/>
        </w:rPr>
        <w:t>受</w:t>
      </w:r>
      <w:r>
        <w:rPr>
          <w:rFonts w:hint="eastAsia" w:ascii="宋体" w:hAnsi="宋体" w:cs="Times New Roman"/>
          <w:b w:val="0"/>
          <w:bCs w:val="0"/>
          <w:color w:val="auto"/>
          <w:sz w:val="24"/>
          <w:szCs w:val="24"/>
          <w:highlight w:val="none"/>
          <w:u w:val="single"/>
          <w:lang w:eastAsia="zh-CN"/>
        </w:rPr>
        <w:t>江苏省江宁监狱</w:t>
      </w:r>
      <w:r>
        <w:rPr>
          <w:rFonts w:hint="eastAsia" w:ascii="宋体" w:hAnsi="宋体" w:eastAsia="宋体" w:cs="Times New Roman"/>
          <w:b w:val="0"/>
          <w:bCs w:val="0"/>
          <w:color w:val="auto"/>
          <w:sz w:val="24"/>
          <w:szCs w:val="24"/>
          <w:highlight w:val="none"/>
          <w:lang w:eastAsia="zh-CN"/>
        </w:rPr>
        <w:t>委托，</w:t>
      </w:r>
      <w:r>
        <w:rPr>
          <w:rFonts w:hint="eastAsia" w:ascii="宋体" w:hAnsi="宋体" w:cs="Times New Roman"/>
          <w:b w:val="0"/>
          <w:bCs w:val="0"/>
          <w:color w:val="auto"/>
          <w:sz w:val="24"/>
          <w:szCs w:val="24"/>
          <w:highlight w:val="none"/>
          <w:u w:val="single"/>
          <w:lang w:eastAsia="zh-CN"/>
        </w:rPr>
        <w:t>南京江城工程项目管理有限公司</w:t>
      </w:r>
      <w:r>
        <w:rPr>
          <w:rFonts w:hint="eastAsia" w:ascii="宋体" w:hAnsi="宋体" w:eastAsia="宋体" w:cs="Times New Roman"/>
          <w:b w:val="0"/>
          <w:bCs w:val="0"/>
          <w:color w:val="auto"/>
          <w:sz w:val="24"/>
          <w:szCs w:val="24"/>
          <w:highlight w:val="none"/>
          <w:lang w:eastAsia="zh-CN"/>
        </w:rPr>
        <w:t>就</w:t>
      </w:r>
      <w:r>
        <w:rPr>
          <w:rFonts w:hint="eastAsia" w:ascii="宋体" w:hAnsi="宋体" w:cs="Times New Roman"/>
          <w:b w:val="0"/>
          <w:bCs w:val="0"/>
          <w:color w:val="auto"/>
          <w:sz w:val="24"/>
          <w:szCs w:val="24"/>
          <w:highlight w:val="none"/>
          <w:u w:val="single"/>
          <w:lang w:eastAsia="zh-CN"/>
        </w:rPr>
        <w:t>江苏省江宁监狱监管区房屋安全消防安全双评估</w:t>
      </w:r>
      <w:r>
        <w:rPr>
          <w:rFonts w:hint="eastAsia" w:ascii="宋体" w:hAnsi="宋体" w:eastAsia="宋体" w:cs="Times New Roman"/>
          <w:b w:val="0"/>
          <w:bCs w:val="0"/>
          <w:color w:val="auto"/>
          <w:sz w:val="24"/>
          <w:szCs w:val="24"/>
          <w:highlight w:val="none"/>
          <w:lang w:eastAsia="zh-CN"/>
        </w:rPr>
        <w:t>进行</w:t>
      </w:r>
      <w:r>
        <w:rPr>
          <w:rFonts w:hint="eastAsia" w:ascii="宋体" w:hAnsi="宋体" w:eastAsia="宋体" w:cs="Times New Roman"/>
          <w:b w:val="0"/>
          <w:bCs w:val="0"/>
          <w:color w:val="auto"/>
          <w:sz w:val="24"/>
          <w:szCs w:val="24"/>
          <w:highlight w:val="none"/>
          <w:lang w:val="en-US" w:eastAsia="zh-CN"/>
        </w:rPr>
        <w:t>竞争性谈判采购，欢迎符合条件的供应商参加谈判。</w:t>
      </w:r>
    </w:p>
    <w:p w14:paraId="67179652">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一、项目基本情况</w:t>
      </w:r>
      <w:bookmarkEnd w:id="6"/>
      <w:bookmarkEnd w:id="7"/>
      <w:bookmarkEnd w:id="8"/>
      <w:bookmarkEnd w:id="9"/>
      <w:bookmarkEnd w:id="10"/>
    </w:p>
    <w:p w14:paraId="0CD913FC">
      <w:pPr>
        <w:pageBreakBefore w:val="0"/>
        <w:widowControl w:val="0"/>
        <w:spacing w:line="240" w:lineRule="auto"/>
        <w:ind w:firstLine="480"/>
        <w:rPr>
          <w:rFonts w:hint="default" w:ascii="宋体" w:hAnsi="宋体"/>
          <w:color w:val="auto"/>
          <w:sz w:val="24"/>
          <w:szCs w:val="24"/>
          <w:highlight w:val="none"/>
          <w:lang w:val="en-US"/>
        </w:rPr>
      </w:pPr>
      <w:r>
        <w:rPr>
          <w:rFonts w:hint="eastAsia" w:ascii="宋体" w:hAnsi="宋体"/>
          <w:color w:val="auto"/>
          <w:sz w:val="24"/>
          <w:szCs w:val="24"/>
          <w:highlight w:val="none"/>
        </w:rPr>
        <w:t>1.项目编号：</w:t>
      </w:r>
      <w:r>
        <w:rPr>
          <w:rFonts w:hint="eastAsia" w:ascii="宋体" w:hAnsi="宋体" w:cs="Times New Roman"/>
          <w:color w:val="auto"/>
          <w:sz w:val="24"/>
          <w:szCs w:val="24"/>
          <w:highlight w:val="none"/>
          <w:lang w:eastAsia="zh-CN"/>
        </w:rPr>
        <w:t>JSZC-320000-NJJC-T2026-0159</w:t>
      </w:r>
    </w:p>
    <w:p w14:paraId="7846124B">
      <w:pPr>
        <w:pageBreakBefore w:val="0"/>
        <w:widowControl w:val="0"/>
        <w:spacing w:line="240" w:lineRule="auto"/>
        <w:ind w:firstLine="480"/>
        <w:rPr>
          <w:rFonts w:hint="eastAsia" w:ascii="宋体" w:hAnsi="宋体" w:cs="Times New Roman"/>
          <w:b w:val="0"/>
          <w:bCs w:val="0"/>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s="Times New Roman"/>
          <w:b w:val="0"/>
          <w:bCs w:val="0"/>
          <w:color w:val="auto"/>
          <w:sz w:val="24"/>
          <w:szCs w:val="24"/>
          <w:highlight w:val="none"/>
          <w:lang w:eastAsia="zh-CN"/>
        </w:rPr>
        <w:t>江苏省江宁监狱监管区房屋安全消防安全双评估</w:t>
      </w:r>
    </w:p>
    <w:tbl>
      <w:tblPr>
        <w:tblStyle w:val="50"/>
        <w:tblW w:w="4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1509"/>
        <w:gridCol w:w="1909"/>
        <w:gridCol w:w="1263"/>
        <w:gridCol w:w="1319"/>
        <w:gridCol w:w="1742"/>
        <w:gridCol w:w="870"/>
      </w:tblGrid>
      <w:tr w14:paraId="50B4B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373" w:type="pct"/>
            <w:noWrap w:val="0"/>
            <w:vAlign w:val="center"/>
          </w:tcPr>
          <w:p w14:paraId="1247AD58">
            <w:pPr>
              <w:widowControl w:val="0"/>
              <w:spacing w:line="360" w:lineRule="auto"/>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序号</w:t>
            </w:r>
          </w:p>
        </w:tc>
        <w:tc>
          <w:tcPr>
            <w:tcW w:w="810" w:type="pct"/>
            <w:noWrap w:val="0"/>
            <w:vAlign w:val="center"/>
          </w:tcPr>
          <w:p w14:paraId="43E83228">
            <w:pPr>
              <w:widowControl w:val="0"/>
              <w:spacing w:line="360" w:lineRule="auto"/>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包名称</w:t>
            </w:r>
          </w:p>
        </w:tc>
        <w:tc>
          <w:tcPr>
            <w:tcW w:w="1025" w:type="pct"/>
            <w:noWrap w:val="0"/>
            <w:vAlign w:val="center"/>
          </w:tcPr>
          <w:p w14:paraId="13F50604">
            <w:pPr>
              <w:widowControl w:val="0"/>
              <w:spacing w:line="360" w:lineRule="auto"/>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采购需求</w:t>
            </w:r>
          </w:p>
        </w:tc>
        <w:tc>
          <w:tcPr>
            <w:tcW w:w="678" w:type="pct"/>
            <w:noWrap w:val="0"/>
            <w:vAlign w:val="center"/>
          </w:tcPr>
          <w:p w14:paraId="02EDF7B3">
            <w:pPr>
              <w:widowControl w:val="0"/>
              <w:spacing w:line="360" w:lineRule="auto"/>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预算金额</w:t>
            </w:r>
          </w:p>
        </w:tc>
        <w:tc>
          <w:tcPr>
            <w:tcW w:w="708" w:type="pct"/>
            <w:noWrap w:val="0"/>
            <w:vAlign w:val="center"/>
          </w:tcPr>
          <w:p w14:paraId="55951127">
            <w:pPr>
              <w:widowControl w:val="0"/>
              <w:spacing w:line="360" w:lineRule="auto"/>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最高限价</w:t>
            </w:r>
          </w:p>
        </w:tc>
        <w:tc>
          <w:tcPr>
            <w:tcW w:w="935" w:type="pct"/>
            <w:noWrap w:val="0"/>
            <w:vAlign w:val="center"/>
          </w:tcPr>
          <w:p w14:paraId="126712EF">
            <w:pPr>
              <w:widowControl w:val="0"/>
              <w:spacing w:line="360" w:lineRule="auto"/>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服务期</w:t>
            </w:r>
          </w:p>
        </w:tc>
        <w:tc>
          <w:tcPr>
            <w:tcW w:w="467" w:type="pct"/>
            <w:noWrap w:val="0"/>
            <w:vAlign w:val="center"/>
          </w:tcPr>
          <w:p w14:paraId="6D4FCADB">
            <w:pPr>
              <w:widowControl w:val="0"/>
              <w:spacing w:line="360" w:lineRule="auto"/>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是否接受联合体</w:t>
            </w:r>
          </w:p>
        </w:tc>
      </w:tr>
      <w:tr w14:paraId="2EAB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373" w:type="pct"/>
            <w:noWrap w:val="0"/>
            <w:vAlign w:val="center"/>
          </w:tcPr>
          <w:p w14:paraId="2C088A0A">
            <w:pPr>
              <w:widowControl w:val="0"/>
              <w:spacing w:line="360" w:lineRule="auto"/>
              <w:jc w:val="center"/>
              <w:textAlignment w:val="auto"/>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w:t>
            </w:r>
          </w:p>
        </w:tc>
        <w:tc>
          <w:tcPr>
            <w:tcW w:w="810" w:type="pct"/>
            <w:noWrap w:val="0"/>
            <w:vAlign w:val="center"/>
          </w:tcPr>
          <w:p w14:paraId="5C489ACA">
            <w:pPr>
              <w:widowControl w:val="0"/>
              <w:spacing w:line="360" w:lineRule="auto"/>
              <w:jc w:val="center"/>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一包：建筑消防设计安全评估</w:t>
            </w:r>
          </w:p>
        </w:tc>
        <w:tc>
          <w:tcPr>
            <w:tcW w:w="1025" w:type="pct"/>
            <w:noWrap w:val="0"/>
            <w:vAlign w:val="center"/>
          </w:tcPr>
          <w:p w14:paraId="716EFC09">
            <w:pPr>
              <w:widowControl w:val="0"/>
              <w:spacing w:line="360" w:lineRule="auto"/>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建筑消防设计安全评估</w:t>
            </w:r>
            <w:r>
              <w:rPr>
                <w:rFonts w:hint="eastAsia" w:ascii="宋体" w:hAnsi="宋体" w:cs="宋体"/>
                <w:color w:val="auto"/>
                <w:kern w:val="2"/>
                <w:sz w:val="21"/>
                <w:szCs w:val="21"/>
                <w:highlight w:val="none"/>
                <w:lang w:val="en-US" w:eastAsia="zh-CN"/>
              </w:rPr>
              <w:t>，</w:t>
            </w:r>
            <w:r>
              <w:rPr>
                <w:rFonts w:hint="eastAsia" w:ascii="宋体" w:hAnsi="宋体" w:eastAsia="宋体" w:cs="宋体"/>
                <w:color w:val="auto"/>
                <w:kern w:val="2"/>
                <w:sz w:val="21"/>
                <w:szCs w:val="21"/>
                <w:highlight w:val="none"/>
                <w:lang w:val="en-US" w:eastAsia="zh-CN"/>
              </w:rPr>
              <w:t>详见文件第四章采购需求</w:t>
            </w:r>
          </w:p>
        </w:tc>
        <w:tc>
          <w:tcPr>
            <w:tcW w:w="678" w:type="pct"/>
            <w:noWrap w:val="0"/>
            <w:vAlign w:val="center"/>
          </w:tcPr>
          <w:p w14:paraId="631A5062">
            <w:pPr>
              <w:widowControl w:val="0"/>
              <w:spacing w:line="360" w:lineRule="auto"/>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15.38万元</w:t>
            </w:r>
          </w:p>
        </w:tc>
        <w:tc>
          <w:tcPr>
            <w:tcW w:w="708" w:type="pct"/>
            <w:noWrap w:val="0"/>
            <w:vAlign w:val="center"/>
          </w:tcPr>
          <w:p w14:paraId="08A47A6C">
            <w:pPr>
              <w:widowControl w:val="0"/>
              <w:spacing w:line="360" w:lineRule="auto"/>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15.38万元，超过最高限价为无效响应</w:t>
            </w:r>
          </w:p>
        </w:tc>
        <w:tc>
          <w:tcPr>
            <w:tcW w:w="935" w:type="pct"/>
            <w:noWrap w:val="0"/>
            <w:vAlign w:val="center"/>
          </w:tcPr>
          <w:p w14:paraId="6311E905">
            <w:pPr>
              <w:widowControl w:val="0"/>
              <w:spacing w:line="360" w:lineRule="auto"/>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合同签订之日起30日内完成工作并出具报告</w:t>
            </w:r>
            <w:r>
              <w:rPr>
                <w:rFonts w:hint="eastAsia" w:ascii="宋体" w:hAnsi="宋体" w:cs="宋体"/>
                <w:color w:val="auto"/>
                <w:kern w:val="2"/>
                <w:sz w:val="21"/>
                <w:szCs w:val="21"/>
                <w:highlight w:val="none"/>
                <w:lang w:val="en-US" w:eastAsia="zh-CN"/>
              </w:rPr>
              <w:t>（若初次检测不合格，整改时间另算）</w:t>
            </w:r>
          </w:p>
        </w:tc>
        <w:tc>
          <w:tcPr>
            <w:tcW w:w="467" w:type="pct"/>
            <w:noWrap w:val="0"/>
            <w:vAlign w:val="center"/>
          </w:tcPr>
          <w:p w14:paraId="6C3B2FD1">
            <w:pPr>
              <w:widowControl w:val="0"/>
              <w:spacing w:line="360" w:lineRule="auto"/>
              <w:jc w:val="center"/>
              <w:textAlignment w:val="baseline"/>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接受</w:t>
            </w:r>
          </w:p>
        </w:tc>
      </w:tr>
      <w:bookmarkEnd w:id="12"/>
      <w:bookmarkEnd w:id="13"/>
      <w:bookmarkEnd w:id="14"/>
      <w:bookmarkEnd w:id="15"/>
      <w:bookmarkEnd w:id="16"/>
    </w:tbl>
    <w:p w14:paraId="01063C61">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7" w:name="_Toc28359081"/>
      <w:bookmarkStart w:id="18" w:name="_Toc38985265"/>
      <w:bookmarkStart w:id="19" w:name="_Toc28359004"/>
      <w:bookmarkStart w:id="20" w:name="_Toc35393623"/>
      <w:bookmarkStart w:id="21" w:name="_Toc35393792"/>
      <w:r>
        <w:rPr>
          <w:rFonts w:hint="eastAsia" w:ascii="方正黑体_GBK" w:hAnsi="方正黑体_GBK" w:eastAsia="方正黑体_GBK" w:cs="方正黑体_GBK"/>
          <w:b w:val="0"/>
          <w:bCs w:val="0"/>
          <w:color w:val="auto"/>
          <w:sz w:val="30"/>
          <w:szCs w:val="30"/>
          <w:highlight w:val="none"/>
        </w:rPr>
        <w:t>二、申请人的资格要求</w:t>
      </w:r>
    </w:p>
    <w:p w14:paraId="53D0CC9D">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1.满足《中华人民共和国政府采购法》第二十二条规定（</w:t>
      </w:r>
      <w:r>
        <w:rPr>
          <w:rFonts w:hint="eastAsia" w:ascii="宋体" w:hAnsi="宋体" w:cs="Times New Roman"/>
          <w:b w:val="0"/>
          <w:bCs w:val="0"/>
          <w:color w:val="auto"/>
          <w:sz w:val="24"/>
          <w:szCs w:val="24"/>
          <w:highlight w:val="none"/>
          <w:lang w:val="en-US" w:eastAsia="zh-CN"/>
        </w:rPr>
        <w:t>如为联合投标，</w:t>
      </w:r>
      <w:r>
        <w:rPr>
          <w:rFonts w:hint="default" w:ascii="宋体" w:hAnsi="宋体" w:eastAsia="宋体" w:cs="Times New Roman"/>
          <w:b w:val="0"/>
          <w:bCs w:val="0"/>
          <w:color w:val="auto"/>
          <w:sz w:val="24"/>
          <w:szCs w:val="24"/>
          <w:highlight w:val="none"/>
          <w:lang w:val="en-US"/>
        </w:rPr>
        <w:t>以下（1）-（6）项均须提供相应的证明材料）：</w:t>
      </w:r>
    </w:p>
    <w:p w14:paraId="5B1B988C">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（1）具有独立承担民事责任的能力（提供法人或者其他组织的营业执照，自然人的身份证明复印件加盖公章）；</w:t>
      </w:r>
    </w:p>
    <w:p w14:paraId="6A7EB5AB">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（2）具有良好的商业信誉和健全的财务会计制度（提供经审计</w:t>
      </w:r>
      <w:r>
        <w:rPr>
          <w:rFonts w:hint="eastAsia" w:ascii="宋体" w:hAnsi="宋体" w:cs="Times New Roman"/>
          <w:b w:val="0"/>
          <w:bCs w:val="0"/>
          <w:color w:val="auto"/>
          <w:sz w:val="24"/>
          <w:szCs w:val="24"/>
          <w:highlight w:val="none"/>
          <w:lang w:val="en-US" w:eastAsia="zh-CN"/>
        </w:rPr>
        <w:t>的</w:t>
      </w:r>
      <w:r>
        <w:rPr>
          <w:rFonts w:hint="default" w:ascii="宋体" w:hAnsi="宋体" w:eastAsia="宋体" w:cs="Times New Roman"/>
          <w:b w:val="0"/>
          <w:bCs w:val="0"/>
          <w:color w:val="auto"/>
          <w:sz w:val="24"/>
          <w:szCs w:val="24"/>
          <w:highlight w:val="none"/>
          <w:lang w:val="en-US"/>
        </w:rPr>
        <w:t>2025年度财务报告复印件加盖公章，或提供本次采购活动前6个月内</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即</w:t>
      </w:r>
      <w:r>
        <w:rPr>
          <w:rFonts w:hint="eastAsia" w:ascii="宋体" w:hAnsi="宋体" w:cs="Times New Roman"/>
          <w:b w:val="0"/>
          <w:bCs w:val="0"/>
          <w:color w:val="auto"/>
          <w:sz w:val="24"/>
          <w:szCs w:val="24"/>
          <w:highlight w:val="none"/>
          <w:lang w:val="en-US" w:eastAsia="zh-CN"/>
        </w:rPr>
        <w:t>2026年5月（含）</w:t>
      </w:r>
      <w:r>
        <w:rPr>
          <w:rFonts w:hint="default" w:ascii="宋体" w:hAnsi="宋体" w:eastAsia="宋体" w:cs="Times New Roman"/>
          <w:b w:val="0"/>
          <w:bCs w:val="0"/>
          <w:color w:val="auto"/>
          <w:sz w:val="24"/>
          <w:szCs w:val="24"/>
          <w:highlight w:val="none"/>
          <w:lang w:val="en-US"/>
        </w:rPr>
        <w:t>以来</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任意一个月的财务报表复印件加盖公章，或银行出具的本次采购活动前6个月</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即</w:t>
      </w:r>
      <w:r>
        <w:rPr>
          <w:rFonts w:hint="eastAsia" w:ascii="宋体" w:hAnsi="宋体" w:cs="Times New Roman"/>
          <w:b w:val="0"/>
          <w:bCs w:val="0"/>
          <w:color w:val="auto"/>
          <w:sz w:val="24"/>
          <w:szCs w:val="24"/>
          <w:highlight w:val="none"/>
          <w:lang w:val="en-US" w:eastAsia="zh-CN"/>
        </w:rPr>
        <w:t>2026年5月（含）</w:t>
      </w:r>
      <w:r>
        <w:rPr>
          <w:rFonts w:hint="default" w:ascii="宋体" w:hAnsi="宋体" w:eastAsia="宋体" w:cs="Times New Roman"/>
          <w:b w:val="0"/>
          <w:bCs w:val="0"/>
          <w:color w:val="auto"/>
          <w:sz w:val="24"/>
          <w:szCs w:val="24"/>
          <w:highlight w:val="none"/>
          <w:lang w:val="en-US"/>
        </w:rPr>
        <w:t>以来</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内资信证书复印件加盖公章或财政部门认可的政府采购专业担保机构出具的投标担保函）；</w:t>
      </w:r>
    </w:p>
    <w:p w14:paraId="0786527F">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（3）具有履行合同所必需的设备和专业技术能力（根据项目需求提供履行合同所必需的设备和专业技术能力的证明材料的承诺书原件）；</w:t>
      </w:r>
    </w:p>
    <w:p w14:paraId="5145FEDC">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（4）有依法缴纳税收和社会保障资金的良好记录（提供参加本次政府采购活动前半年内</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即</w:t>
      </w:r>
      <w:r>
        <w:rPr>
          <w:rFonts w:hint="eastAsia" w:ascii="宋体" w:hAnsi="宋体" w:cs="Times New Roman"/>
          <w:b w:val="0"/>
          <w:bCs w:val="0"/>
          <w:color w:val="auto"/>
          <w:sz w:val="24"/>
          <w:szCs w:val="24"/>
          <w:highlight w:val="none"/>
          <w:lang w:val="en-US" w:eastAsia="zh-CN"/>
        </w:rPr>
        <w:t>2026年5月（含）</w:t>
      </w:r>
      <w:r>
        <w:rPr>
          <w:rFonts w:hint="default" w:ascii="宋体" w:hAnsi="宋体" w:eastAsia="宋体" w:cs="Times New Roman"/>
          <w:b w:val="0"/>
          <w:bCs w:val="0"/>
          <w:color w:val="auto"/>
          <w:sz w:val="24"/>
          <w:szCs w:val="24"/>
          <w:highlight w:val="none"/>
          <w:lang w:val="en-US"/>
        </w:rPr>
        <w:t>以来</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，至少1个月缴纳税收和社会保险的凭证复印件，依法享受免缴、缓缴的，提供证明材料复印件）；</w:t>
      </w:r>
    </w:p>
    <w:p w14:paraId="16356DB2">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（5）参加政府采购活动前三年内，在经营活动中没有重大违法记录（提供参加本次政府采购活动前3年内在经营活动中没有重大违法记录的书面声明）（格式见后附件）；</w:t>
      </w:r>
    </w:p>
    <w:p w14:paraId="70D9BF05">
      <w:pPr>
        <w:pageBreakBefore w:val="0"/>
        <w:widowControl w:val="0"/>
        <w:spacing w:line="240" w:lineRule="auto"/>
        <w:ind w:firstLine="480"/>
        <w:rPr>
          <w:rFonts w:hint="eastAsia"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rPr>
        <w:t>（6）法律、行政法规规定的其他条件。（提供承诺书，格式自拟）</w:t>
      </w:r>
      <w:r>
        <w:rPr>
          <w:rFonts w:hint="eastAsia" w:ascii="宋体" w:hAnsi="宋体" w:cs="Times New Roman"/>
          <w:b w:val="0"/>
          <w:bCs w:val="0"/>
          <w:color w:val="auto"/>
          <w:sz w:val="24"/>
          <w:szCs w:val="24"/>
          <w:highlight w:val="none"/>
          <w:lang w:val="en-US" w:eastAsia="zh-CN"/>
        </w:rPr>
        <w:t>；</w:t>
      </w:r>
    </w:p>
    <w:p w14:paraId="40103F3C">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2.落实政府采购政策需满足的资格要求：本项目非专门面向中小企业采购，采用以下第（4）种方式落实政府采购促进中小企业发展的要求：</w:t>
      </w:r>
    </w:p>
    <w:p w14:paraId="31496171">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（1）本项目整体专门面向中小企业采购；</w:t>
      </w:r>
    </w:p>
    <w:p w14:paraId="029AD031">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（2）本项目整体专门面向小微企业采购；</w:t>
      </w:r>
    </w:p>
    <w:p w14:paraId="1EE725A7">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（3）本项目通过以下第 / 种方式预留部分采购份额采购中小企业。</w:t>
      </w:r>
    </w:p>
    <w:p w14:paraId="1BE9B2B6">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①本项目要求供应商以联合体形式参加，企业合同金额应当达到的比例为 / %。</w:t>
      </w:r>
    </w:p>
    <w:p w14:paraId="0D60DE09">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②本项目要求供应商进行合同分包，企业合同金额应当达到的比例为 / %。</w:t>
      </w:r>
    </w:p>
    <w:p w14:paraId="06AE7429">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（4）本项目为非预留份额的采购项目或采购包，执行价格扣除优惠政策，具体详见招标文件“第</w:t>
      </w:r>
      <w:r>
        <w:rPr>
          <w:rFonts w:hint="eastAsia" w:ascii="宋体" w:hAnsi="宋体" w:cs="Times New Roman"/>
          <w:color w:val="auto"/>
          <w:sz w:val="24"/>
          <w:szCs w:val="24"/>
          <w:highlight w:val="none"/>
          <w:lang w:val="en-US" w:eastAsia="zh-CN"/>
        </w:rPr>
        <w:t>五章</w:t>
      </w:r>
      <w:r>
        <w:rPr>
          <w:rFonts w:hint="eastAsia" w:ascii="宋体" w:hAnsi="宋体" w:eastAsia="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成交标准</w:t>
      </w:r>
      <w:r>
        <w:rPr>
          <w:rFonts w:hint="eastAsia" w:ascii="宋体" w:hAnsi="宋体" w:eastAsia="宋体" w:cs="Times New Roman"/>
          <w:color w:val="auto"/>
          <w:sz w:val="24"/>
          <w:szCs w:val="24"/>
          <w:highlight w:val="none"/>
          <w:lang w:val="en-US" w:eastAsia="zh-CN"/>
        </w:rPr>
        <w:t>”。</w:t>
      </w:r>
    </w:p>
    <w:p w14:paraId="1CAA3594">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3.本项目的特定资格要求：</w:t>
      </w:r>
    </w:p>
    <w:p w14:paraId="024D01D1">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（1）供应商</w:t>
      </w:r>
      <w:r>
        <w:rPr>
          <w:rFonts w:hint="eastAsia" w:ascii="宋体" w:hAnsi="宋体" w:eastAsia="宋体" w:cs="Times New Roman"/>
          <w:color w:val="auto"/>
          <w:sz w:val="24"/>
          <w:szCs w:val="24"/>
          <w:highlight w:val="none"/>
          <w:lang w:val="en-US" w:eastAsia="zh-CN"/>
        </w:rPr>
        <w:t>在社会消防技术服务信息系统（https://shhxf.119.gov.cn/templet/index_7.jsp）完成消防安全评估备案（提供网站备案公示截图加盖供应商</w:t>
      </w:r>
      <w:r>
        <w:rPr>
          <w:rFonts w:hint="eastAsia" w:ascii="宋体" w:hAnsi="宋体" w:cs="Times New Roman"/>
          <w:color w:val="auto"/>
          <w:sz w:val="24"/>
          <w:szCs w:val="24"/>
          <w:highlight w:val="none"/>
          <w:lang w:val="en-US" w:eastAsia="zh-CN"/>
        </w:rPr>
        <w:t>电子</w:t>
      </w:r>
      <w:r>
        <w:rPr>
          <w:rFonts w:hint="eastAsia" w:ascii="宋体" w:hAnsi="宋体" w:eastAsia="宋体" w:cs="Times New Roman"/>
          <w:color w:val="auto"/>
          <w:sz w:val="24"/>
          <w:szCs w:val="24"/>
          <w:highlight w:val="none"/>
          <w:lang w:val="en-US" w:eastAsia="zh-CN"/>
        </w:rPr>
        <w:t>公章）</w:t>
      </w:r>
      <w:r>
        <w:rPr>
          <w:rFonts w:hint="eastAsia" w:ascii="宋体" w:hAnsi="宋体" w:cs="Times New Roman"/>
          <w:color w:val="auto"/>
          <w:sz w:val="24"/>
          <w:szCs w:val="24"/>
          <w:highlight w:val="none"/>
          <w:lang w:val="en-US" w:eastAsia="zh-CN"/>
        </w:rPr>
        <w:t>；</w:t>
      </w:r>
    </w:p>
    <w:p w14:paraId="0884ED55">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ind w:firstLine="480" w:firstLineChars="200"/>
        <w:textAlignment w:val="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val="en-US" w:eastAsia="zh-CN"/>
        </w:rPr>
        <w:t>供应商具有工程设计综合甲级资质或建筑行业甲级资质或建筑行业（建筑工程）甲级资质（提供有效的资质证书原件扫描件加盖供应商电子公章）。</w:t>
      </w:r>
    </w:p>
    <w:p w14:paraId="696EA4B8">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4.拒绝下述供应商参加本次采购活动：</w:t>
      </w:r>
    </w:p>
    <w:p w14:paraId="196E1408">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（1）供应商单位负责人为同一人或者存在直接控股、管理关系的不同供应商，不得参加同一合同项下的采购活动；</w:t>
      </w:r>
    </w:p>
    <w:p w14:paraId="73994C6E">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（2）凡为采购项目提供整体设计、规范编制或者项目管理、监理、检测等服务的供应商，不得再参加本项目的采购活动；</w:t>
      </w:r>
    </w:p>
    <w:p w14:paraId="4CF34A0B">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拒绝列入失信被执行人、重大税收违法案件当事人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信用记录。</w:t>
      </w:r>
    </w:p>
    <w:p w14:paraId="1C732E92">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三、获取</w:t>
      </w:r>
      <w:bookmarkEnd w:id="17"/>
      <w:bookmarkEnd w:id="18"/>
      <w:bookmarkEnd w:id="19"/>
      <w:bookmarkEnd w:id="20"/>
      <w:bookmarkEnd w:id="21"/>
      <w:r>
        <w:rPr>
          <w:rFonts w:hint="eastAsia" w:ascii="方正黑体_GBK" w:hAnsi="方正黑体_GBK" w:eastAsia="方正黑体_GBK" w:cs="方正黑体_GBK"/>
          <w:b w:val="0"/>
          <w:bCs w:val="0"/>
          <w:color w:val="auto"/>
          <w:sz w:val="30"/>
          <w:szCs w:val="30"/>
          <w:highlight w:val="none"/>
        </w:rPr>
        <w:t>谈判文件</w:t>
      </w:r>
    </w:p>
    <w:p w14:paraId="4C498C8C">
      <w:pPr>
        <w:pageBreakBefore w:val="0"/>
        <w:widowControl w:val="0"/>
        <w:spacing w:line="240" w:lineRule="auto"/>
        <w:ind w:firstLine="480"/>
        <w:rPr>
          <w:rFonts w:hint="eastAsia" w:ascii="宋体" w:hAnsi="宋体" w:eastAsia="宋体" w:cs="Times New Roman"/>
          <w:color w:val="auto"/>
          <w:sz w:val="24"/>
          <w:szCs w:val="24"/>
          <w:highlight w:val="none"/>
        </w:rPr>
      </w:pPr>
      <w:bookmarkStart w:id="22" w:name="_Toc28359005"/>
      <w:bookmarkStart w:id="23" w:name="_Toc28359082"/>
      <w:bookmarkStart w:id="24" w:name="_Toc38985266"/>
      <w:bookmarkStart w:id="25" w:name="_Toc35393793"/>
      <w:bookmarkStart w:id="26" w:name="_Toc35393624"/>
      <w:r>
        <w:rPr>
          <w:rFonts w:hint="eastAsia" w:ascii="宋体" w:hAnsi="宋体" w:eastAsia="宋体" w:cs="Times New Roman"/>
          <w:color w:val="auto"/>
          <w:sz w:val="24"/>
          <w:szCs w:val="24"/>
          <w:highlight w:val="none"/>
        </w:rPr>
        <w:t>1.时间：自谈判文件公告发布之日起</w:t>
      </w:r>
      <w:r>
        <w:rPr>
          <w:rFonts w:hint="eastAsia" w:ascii="宋体" w:hAnsi="宋体" w:cs="Times New Roman"/>
          <w:color w:val="auto"/>
          <w:sz w:val="24"/>
          <w:szCs w:val="24"/>
          <w:highlight w:val="none"/>
          <w:lang w:val="en-US" w:eastAsia="zh-CN"/>
        </w:rPr>
        <w:t>3个工作日</w:t>
      </w:r>
      <w:r>
        <w:rPr>
          <w:rFonts w:hint="eastAsia" w:ascii="宋体" w:hAnsi="宋体" w:eastAsia="宋体" w:cs="Times New Roman"/>
          <w:color w:val="auto"/>
          <w:sz w:val="24"/>
          <w:szCs w:val="24"/>
          <w:highlight w:val="none"/>
        </w:rPr>
        <w:t>。</w:t>
      </w:r>
    </w:p>
    <w:p w14:paraId="53C101D7">
      <w:pPr>
        <w:pageBreakBefore w:val="0"/>
        <w:widowControl w:val="0"/>
        <w:spacing w:line="24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hint="eastAsia" w:ascii="宋体" w:hAnsi="宋体" w:cs="Times New Roman"/>
          <w:color w:val="auto"/>
          <w:sz w:val="24"/>
          <w:szCs w:val="24"/>
          <w:highlight w:val="none"/>
          <w:lang w:val="en-US" w:eastAsia="zh-CN"/>
        </w:rPr>
        <w:t>地点</w:t>
      </w:r>
      <w:r>
        <w:rPr>
          <w:rFonts w:hint="eastAsia" w:ascii="宋体" w:hAnsi="宋体" w:eastAsia="宋体" w:cs="Times New Roman"/>
          <w:color w:val="auto"/>
          <w:sz w:val="24"/>
          <w:szCs w:val="24"/>
          <w:highlight w:val="none"/>
        </w:rPr>
        <w:t>：在“江苏政府采购网”免费下载。</w:t>
      </w:r>
    </w:p>
    <w:p w14:paraId="5A2792F9">
      <w:pPr>
        <w:pageBreakBefore w:val="0"/>
        <w:widowControl w:val="0"/>
        <w:spacing w:line="240" w:lineRule="auto"/>
        <w:ind w:firstLine="480"/>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3.方式：本项目采用网上注册登记方式。在“江苏政府采购网”自行免费下载竞争性谈判文件。</w:t>
      </w:r>
    </w:p>
    <w:p w14:paraId="45EDB622">
      <w:pPr>
        <w:pageBreakBefore w:val="0"/>
        <w:widowControl w:val="0"/>
        <w:spacing w:line="240" w:lineRule="auto"/>
        <w:ind w:firstLine="480"/>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4.售价：0.00元</w:t>
      </w:r>
    </w:p>
    <w:p w14:paraId="6F8A9E93">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四、提交</w:t>
      </w:r>
      <w:bookmarkEnd w:id="22"/>
      <w:bookmarkEnd w:id="23"/>
      <w:r>
        <w:rPr>
          <w:rFonts w:hint="eastAsia" w:ascii="方正黑体_GBK" w:hAnsi="方正黑体_GBK" w:eastAsia="方正黑体_GBK" w:cs="方正黑体_GBK"/>
          <w:b w:val="0"/>
          <w:bCs w:val="0"/>
          <w:color w:val="auto"/>
          <w:sz w:val="30"/>
          <w:szCs w:val="30"/>
          <w:highlight w:val="none"/>
        </w:rPr>
        <w:t>响应文件截止时间</w:t>
      </w:r>
      <w:bookmarkEnd w:id="24"/>
      <w:bookmarkEnd w:id="25"/>
      <w:bookmarkEnd w:id="26"/>
    </w:p>
    <w:p w14:paraId="0776D451">
      <w:pPr>
        <w:spacing w:line="240" w:lineRule="auto"/>
        <w:ind w:firstLine="480"/>
        <w:outlineLvl w:val="9"/>
        <w:rPr>
          <w:rFonts w:hint="eastAsia" w:ascii="宋体" w:hAnsi="宋体" w:eastAsia="宋体" w:cs="Times New Roman"/>
          <w:b w:val="0"/>
          <w:bCs w:val="0"/>
          <w:color w:val="auto"/>
          <w:sz w:val="24"/>
          <w:szCs w:val="24"/>
          <w:highlight w:val="none"/>
          <w:lang w:eastAsia="zh-CN"/>
        </w:rPr>
      </w:pPr>
      <w:bookmarkStart w:id="27" w:name="_Toc38985267"/>
      <w:bookmarkStart w:id="28" w:name="_Toc35393794"/>
      <w:bookmarkStart w:id="29" w:name="_Toc28359007"/>
      <w:bookmarkStart w:id="30" w:name="_Toc35393625"/>
      <w:bookmarkStart w:id="31" w:name="_Toc28359084"/>
      <w:r>
        <w:rPr>
          <w:rFonts w:hint="eastAsia" w:ascii="宋体" w:hAnsi="宋体" w:cs="Times New Roman"/>
          <w:b w:val="0"/>
          <w:bCs w:val="0"/>
          <w:color w:val="auto"/>
          <w:sz w:val="24"/>
          <w:szCs w:val="24"/>
          <w:highlight w:val="none"/>
          <w:u w:val="none"/>
          <w:lang w:val="en-US" w:eastAsia="zh-CN"/>
        </w:rPr>
        <w:t>截止时间：</w:t>
      </w:r>
      <w:r>
        <w:rPr>
          <w:rFonts w:hint="eastAsia" w:ascii="宋体" w:hAnsi="宋体" w:eastAsia="宋体" w:cs="Times New Roman"/>
          <w:b w:val="0"/>
          <w:bCs w:val="0"/>
          <w:color w:val="auto"/>
          <w:sz w:val="24"/>
          <w:szCs w:val="24"/>
          <w:highlight w:val="none"/>
          <w:u w:val="none"/>
          <w:lang w:val="en-US" w:eastAsia="zh-CN"/>
        </w:rPr>
        <w:t>2026</w:t>
      </w:r>
      <w:r>
        <w:rPr>
          <w:rFonts w:hint="eastAsia" w:ascii="宋体" w:hAnsi="宋体" w:eastAsia="宋体" w:cs="Times New Roman"/>
          <w:b w:val="0"/>
          <w:bCs w:val="0"/>
          <w:color w:val="auto"/>
          <w:sz w:val="24"/>
          <w:szCs w:val="24"/>
          <w:highlight w:val="none"/>
          <w:u w:val="none"/>
        </w:rPr>
        <w:t>年</w:t>
      </w:r>
      <w:r>
        <w:rPr>
          <w:rFonts w:hint="eastAsia" w:ascii="宋体" w:hAnsi="宋体" w:cs="Times New Roman"/>
          <w:b w:val="0"/>
          <w:bCs w:val="0"/>
          <w:color w:val="auto"/>
          <w:sz w:val="24"/>
          <w:szCs w:val="24"/>
          <w:highlight w:val="none"/>
          <w:u w:val="none"/>
          <w:lang w:val="en-US" w:eastAsia="zh-CN"/>
        </w:rPr>
        <w:t>11</w:t>
      </w:r>
      <w:r>
        <w:rPr>
          <w:rFonts w:hint="eastAsia" w:ascii="宋体" w:hAnsi="宋体" w:eastAsia="宋体" w:cs="Times New Roman"/>
          <w:b w:val="0"/>
          <w:bCs w:val="0"/>
          <w:color w:val="auto"/>
          <w:sz w:val="24"/>
          <w:szCs w:val="24"/>
          <w:highlight w:val="none"/>
          <w:u w:val="none"/>
        </w:rPr>
        <w:t>月</w:t>
      </w:r>
      <w:r>
        <w:rPr>
          <w:rFonts w:hint="eastAsia" w:ascii="宋体" w:hAnsi="宋体" w:cs="Times New Roman"/>
          <w:b w:val="0"/>
          <w:bCs w:val="0"/>
          <w:color w:val="auto"/>
          <w:sz w:val="24"/>
          <w:szCs w:val="24"/>
          <w:highlight w:val="none"/>
          <w:u w:val="none"/>
          <w:lang w:val="en-US" w:eastAsia="zh-CN"/>
        </w:rPr>
        <w:t>9</w:t>
      </w:r>
      <w:r>
        <w:rPr>
          <w:rFonts w:hint="eastAsia" w:ascii="宋体" w:hAnsi="宋体" w:eastAsia="宋体" w:cs="Times New Roman"/>
          <w:b w:val="0"/>
          <w:bCs w:val="0"/>
          <w:color w:val="auto"/>
          <w:sz w:val="24"/>
          <w:szCs w:val="24"/>
          <w:highlight w:val="none"/>
          <w:u w:val="none"/>
        </w:rPr>
        <w:t>日</w:t>
      </w:r>
      <w:r>
        <w:rPr>
          <w:rFonts w:hint="eastAsia" w:ascii="宋体" w:hAnsi="宋体" w:cs="Times New Roman"/>
          <w:b w:val="0"/>
          <w:bCs w:val="0"/>
          <w:color w:val="auto"/>
          <w:sz w:val="24"/>
          <w:szCs w:val="24"/>
          <w:highlight w:val="none"/>
          <w:u w:val="none"/>
          <w:lang w:val="en-US" w:eastAsia="zh-CN"/>
        </w:rPr>
        <w:t>14</w:t>
      </w:r>
      <w:r>
        <w:rPr>
          <w:rFonts w:hint="eastAsia" w:ascii="宋体" w:hAnsi="宋体" w:eastAsia="宋体" w:cs="Times New Roman"/>
          <w:b w:val="0"/>
          <w:bCs w:val="0"/>
          <w:color w:val="auto"/>
          <w:sz w:val="24"/>
          <w:szCs w:val="24"/>
          <w:highlight w:val="none"/>
          <w:u w:val="none"/>
          <w:lang w:val="en-US" w:eastAsia="zh-CN"/>
        </w:rPr>
        <w:t>时</w:t>
      </w:r>
      <w:r>
        <w:rPr>
          <w:rFonts w:hint="eastAsia" w:ascii="宋体" w:hAnsi="宋体" w:cs="Times New Roman"/>
          <w:b w:val="0"/>
          <w:bCs w:val="0"/>
          <w:color w:val="auto"/>
          <w:sz w:val="24"/>
          <w:szCs w:val="24"/>
          <w:highlight w:val="none"/>
          <w:u w:val="none"/>
          <w:lang w:val="en-US" w:eastAsia="zh-CN"/>
        </w:rPr>
        <w:t>3</w:t>
      </w:r>
      <w:r>
        <w:rPr>
          <w:rFonts w:hint="eastAsia" w:ascii="宋体" w:hAnsi="宋体" w:eastAsia="宋体" w:cs="Times New Roman"/>
          <w:b w:val="0"/>
          <w:bCs w:val="0"/>
          <w:color w:val="auto"/>
          <w:sz w:val="24"/>
          <w:szCs w:val="24"/>
          <w:highlight w:val="none"/>
          <w:u w:val="none"/>
          <w:lang w:val="en-US" w:eastAsia="zh-CN"/>
        </w:rPr>
        <w:t>0</w:t>
      </w:r>
      <w:r>
        <w:rPr>
          <w:rFonts w:hint="eastAsia" w:ascii="宋体" w:hAnsi="宋体" w:eastAsia="宋体" w:cs="Times New Roman"/>
          <w:b w:val="0"/>
          <w:bCs w:val="0"/>
          <w:color w:val="auto"/>
          <w:sz w:val="24"/>
          <w:szCs w:val="24"/>
          <w:highlight w:val="none"/>
          <w:u w:val="none"/>
        </w:rPr>
        <w:t>分（</w:t>
      </w:r>
      <w:r>
        <w:rPr>
          <w:rFonts w:hint="eastAsia" w:ascii="宋体" w:hAnsi="宋体" w:eastAsia="宋体" w:cs="Times New Roman"/>
          <w:b w:val="0"/>
          <w:bCs w:val="0"/>
          <w:color w:val="auto"/>
          <w:sz w:val="24"/>
          <w:szCs w:val="24"/>
          <w:highlight w:val="none"/>
        </w:rPr>
        <w:t>北京时间）</w:t>
      </w:r>
    </w:p>
    <w:p w14:paraId="6AB0994F">
      <w:pPr>
        <w:spacing w:line="240" w:lineRule="auto"/>
        <w:ind w:firstLine="480"/>
        <w:outlineLvl w:val="9"/>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地点：“苏采云”政府采购交易系统网上开标大厅</w:t>
      </w:r>
    </w:p>
    <w:p w14:paraId="656079D7">
      <w:pPr>
        <w:numPr>
          <w:ilvl w:val="0"/>
          <w:numId w:val="5"/>
        </w:numPr>
        <w:spacing w:line="240" w:lineRule="auto"/>
        <w:ind w:firstLine="480"/>
        <w:outlineLvl w:val="9"/>
        <w:rPr>
          <w:rFonts w:hint="eastAsia" w:ascii="方正黑体_GBK" w:hAnsi="方正黑体_GBK" w:eastAsia="方正黑体_GBK" w:cs="方正黑体_GBK"/>
          <w:b w:val="0"/>
          <w:bCs w:val="0"/>
          <w:color w:val="auto"/>
          <w:sz w:val="30"/>
          <w:szCs w:val="30"/>
          <w:highlight w:val="none"/>
          <w:lang w:val="en-US" w:eastAsia="zh-CN" w:bidi="ar-SA"/>
        </w:rPr>
      </w:pPr>
      <w:r>
        <w:rPr>
          <w:rFonts w:hint="eastAsia" w:ascii="方正黑体_GBK" w:hAnsi="方正黑体_GBK" w:eastAsia="方正黑体_GBK" w:cs="方正黑体_GBK"/>
          <w:b w:val="0"/>
          <w:bCs w:val="0"/>
          <w:color w:val="auto"/>
          <w:sz w:val="30"/>
          <w:szCs w:val="30"/>
          <w:highlight w:val="none"/>
          <w:lang w:val="en-US" w:eastAsia="zh-CN" w:bidi="ar-SA"/>
        </w:rPr>
        <w:t>开启</w:t>
      </w:r>
    </w:p>
    <w:p w14:paraId="32E7915C">
      <w:pPr>
        <w:spacing w:line="240" w:lineRule="auto"/>
        <w:ind w:firstLine="480"/>
        <w:outlineLvl w:val="9"/>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时间：2026年</w:t>
      </w:r>
      <w:r>
        <w:rPr>
          <w:rFonts w:hint="eastAsia" w:ascii="宋体" w:hAnsi="宋体" w:cs="Times New Roman"/>
          <w:b w:val="0"/>
          <w:bCs w:val="0"/>
          <w:color w:val="auto"/>
          <w:sz w:val="24"/>
          <w:szCs w:val="24"/>
          <w:highlight w:val="none"/>
          <w:u w:val="none"/>
          <w:lang w:val="en-US" w:eastAsia="zh-CN"/>
        </w:rPr>
        <w:t>11</w:t>
      </w:r>
      <w:r>
        <w:rPr>
          <w:rFonts w:hint="eastAsia" w:ascii="宋体" w:hAnsi="宋体" w:eastAsia="宋体" w:cs="Times New Roman"/>
          <w:b w:val="0"/>
          <w:bCs w:val="0"/>
          <w:color w:val="auto"/>
          <w:sz w:val="24"/>
          <w:szCs w:val="24"/>
          <w:highlight w:val="none"/>
          <w:u w:val="none"/>
          <w:lang w:val="en-US" w:eastAsia="zh-CN"/>
        </w:rPr>
        <w:t>月</w:t>
      </w:r>
      <w:r>
        <w:rPr>
          <w:rFonts w:hint="eastAsia" w:ascii="宋体" w:hAnsi="宋体" w:cs="Times New Roman"/>
          <w:b w:val="0"/>
          <w:bCs w:val="0"/>
          <w:color w:val="auto"/>
          <w:sz w:val="24"/>
          <w:szCs w:val="24"/>
          <w:highlight w:val="none"/>
          <w:u w:val="none"/>
          <w:lang w:val="en-US" w:eastAsia="zh-CN"/>
        </w:rPr>
        <w:t>9</w:t>
      </w:r>
      <w:r>
        <w:rPr>
          <w:rFonts w:hint="eastAsia" w:ascii="宋体" w:hAnsi="宋体" w:eastAsia="宋体" w:cs="Times New Roman"/>
          <w:b w:val="0"/>
          <w:bCs w:val="0"/>
          <w:color w:val="auto"/>
          <w:sz w:val="24"/>
          <w:szCs w:val="24"/>
          <w:highlight w:val="none"/>
          <w:u w:val="none"/>
          <w:lang w:val="en-US" w:eastAsia="zh-CN"/>
        </w:rPr>
        <w:t>日</w:t>
      </w:r>
      <w:r>
        <w:rPr>
          <w:rFonts w:hint="eastAsia" w:ascii="宋体" w:hAnsi="宋体" w:cs="Times New Roman"/>
          <w:b w:val="0"/>
          <w:bCs w:val="0"/>
          <w:color w:val="auto"/>
          <w:sz w:val="24"/>
          <w:szCs w:val="24"/>
          <w:highlight w:val="none"/>
          <w:u w:val="none"/>
          <w:lang w:val="en-US" w:eastAsia="zh-CN"/>
        </w:rPr>
        <w:t>14</w:t>
      </w:r>
      <w:r>
        <w:rPr>
          <w:rFonts w:hint="eastAsia" w:ascii="宋体" w:hAnsi="宋体" w:eastAsia="宋体" w:cs="Times New Roman"/>
          <w:b w:val="0"/>
          <w:bCs w:val="0"/>
          <w:color w:val="auto"/>
          <w:sz w:val="24"/>
          <w:szCs w:val="24"/>
          <w:highlight w:val="none"/>
          <w:u w:val="none"/>
          <w:lang w:val="en-US" w:eastAsia="zh-CN"/>
        </w:rPr>
        <w:t>时30分（北京时间）</w:t>
      </w:r>
    </w:p>
    <w:p w14:paraId="5875DED5">
      <w:pPr>
        <w:spacing w:line="240" w:lineRule="auto"/>
        <w:ind w:firstLine="480"/>
        <w:outlineLvl w:val="9"/>
        <w:rPr>
          <w:rFonts w:hint="default"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地点：南京市建邺区云龙山路89号龙湖时代上城写字楼1栋高区29楼开标室</w:t>
      </w:r>
    </w:p>
    <w:p w14:paraId="17318F10">
      <w:pPr>
        <w:numPr>
          <w:ilvl w:val="0"/>
          <w:numId w:val="5"/>
        </w:numPr>
        <w:spacing w:line="240" w:lineRule="auto"/>
        <w:ind w:firstLine="480"/>
        <w:outlineLvl w:val="9"/>
        <w:rPr>
          <w:rFonts w:hint="eastAsia" w:ascii="方正黑体_GBK" w:hAnsi="方正黑体_GBK" w:eastAsia="方正黑体_GBK" w:cs="方正黑体_GBK"/>
          <w:b w:val="0"/>
          <w:bCs w:val="0"/>
          <w:color w:val="auto"/>
          <w:sz w:val="30"/>
          <w:szCs w:val="30"/>
          <w:highlight w:val="none"/>
          <w:lang w:val="en-US" w:eastAsia="zh-CN" w:bidi="ar-SA"/>
        </w:rPr>
      </w:pPr>
      <w:r>
        <w:rPr>
          <w:rFonts w:hint="eastAsia" w:ascii="方正黑体_GBK" w:hAnsi="方正黑体_GBK" w:eastAsia="方正黑体_GBK" w:cs="方正黑体_GBK"/>
          <w:b w:val="0"/>
          <w:bCs w:val="0"/>
          <w:color w:val="auto"/>
          <w:sz w:val="30"/>
          <w:szCs w:val="30"/>
          <w:highlight w:val="none"/>
          <w:lang w:val="en-US" w:eastAsia="zh-CN" w:bidi="ar-SA"/>
        </w:rPr>
        <w:t>公告期限</w:t>
      </w:r>
      <w:bookmarkEnd w:id="27"/>
      <w:bookmarkEnd w:id="28"/>
      <w:bookmarkEnd w:id="29"/>
      <w:bookmarkEnd w:id="30"/>
      <w:bookmarkEnd w:id="31"/>
    </w:p>
    <w:p w14:paraId="2230295C">
      <w:pPr>
        <w:pageBreakBefore w:val="0"/>
        <w:widowControl w:val="0"/>
        <w:spacing w:line="240" w:lineRule="auto"/>
        <w:ind w:firstLine="480"/>
        <w:rPr>
          <w:rFonts w:hint="eastAsia" w:ascii="宋体" w:hAnsi="宋体" w:eastAsia="宋体" w:cs="Times New Roman"/>
          <w:color w:val="auto"/>
          <w:sz w:val="24"/>
          <w:szCs w:val="24"/>
          <w:highlight w:val="none"/>
        </w:rPr>
      </w:pPr>
      <w:bookmarkStart w:id="32" w:name="_Toc35393626"/>
      <w:bookmarkStart w:id="33" w:name="_Toc35393795"/>
      <w:bookmarkStart w:id="34" w:name="_Toc38985268"/>
      <w:r>
        <w:rPr>
          <w:rFonts w:hint="eastAsia" w:ascii="宋体" w:hAnsi="宋体" w:eastAsia="宋体" w:cs="Times New Roman"/>
          <w:color w:val="auto"/>
          <w:sz w:val="24"/>
          <w:szCs w:val="24"/>
          <w:highlight w:val="none"/>
        </w:rPr>
        <w:t>自本公告发布之日起3个工作日。</w:t>
      </w:r>
    </w:p>
    <w:p w14:paraId="5AC435A2">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lang w:val="en-US" w:eastAsia="zh-CN"/>
        </w:rPr>
        <w:t>七</w:t>
      </w:r>
      <w:r>
        <w:rPr>
          <w:rFonts w:hint="eastAsia" w:ascii="方正黑体_GBK" w:hAnsi="方正黑体_GBK" w:eastAsia="方正黑体_GBK" w:cs="方正黑体_GBK"/>
          <w:b w:val="0"/>
          <w:bCs w:val="0"/>
          <w:color w:val="auto"/>
          <w:sz w:val="30"/>
          <w:szCs w:val="30"/>
          <w:highlight w:val="none"/>
        </w:rPr>
        <w:t>、其他补充事宜</w:t>
      </w:r>
      <w:bookmarkEnd w:id="32"/>
      <w:bookmarkEnd w:id="33"/>
      <w:bookmarkEnd w:id="34"/>
    </w:p>
    <w:p w14:paraId="6A44426D">
      <w:pPr>
        <w:pageBreakBefore w:val="0"/>
        <w:widowControl w:val="0"/>
        <w:tabs>
          <w:tab w:val="left" w:pos="900"/>
        </w:tabs>
        <w:spacing w:line="240" w:lineRule="auto"/>
        <w:ind w:firstLine="480"/>
        <w:rPr>
          <w:rFonts w:hint="eastAsia" w:ascii="宋体" w:hAnsi="宋体"/>
          <w:bCs/>
          <w:color w:val="auto"/>
          <w:sz w:val="24"/>
          <w:szCs w:val="24"/>
          <w:highlight w:val="none"/>
        </w:rPr>
      </w:pPr>
      <w:bookmarkStart w:id="35" w:name="_Toc38985269"/>
      <w:bookmarkStart w:id="36" w:name="_Toc35393796"/>
      <w:bookmarkStart w:id="37" w:name="_Toc28359008"/>
      <w:bookmarkStart w:id="38" w:name="_Toc35393627"/>
      <w:bookmarkStart w:id="39" w:name="_Toc28359085"/>
      <w:r>
        <w:rPr>
          <w:rFonts w:hint="eastAsia" w:ascii="宋体" w:hAnsi="宋体" w:eastAsia="宋体" w:cs="宋体"/>
          <w:color w:val="auto"/>
          <w:sz w:val="24"/>
          <w:szCs w:val="24"/>
          <w:highlight w:val="none"/>
        </w:rPr>
        <w:t>1.</w:t>
      </w:r>
      <w:r>
        <w:rPr>
          <w:rFonts w:hint="eastAsia" w:ascii="宋体" w:hAnsi="宋体"/>
          <w:bCs/>
          <w:color w:val="auto"/>
          <w:sz w:val="24"/>
          <w:szCs w:val="24"/>
          <w:highlight w:val="none"/>
        </w:rPr>
        <w:t>本次</w:t>
      </w:r>
      <w:r>
        <w:rPr>
          <w:rFonts w:hint="eastAsia" w:ascii="宋体" w:hAnsi="宋体"/>
          <w:bCs/>
          <w:color w:val="auto"/>
          <w:sz w:val="24"/>
          <w:szCs w:val="24"/>
          <w:highlight w:val="none"/>
          <w:lang w:eastAsia="zh-CN"/>
        </w:rPr>
        <w:t>谈判</w:t>
      </w:r>
      <w:r>
        <w:rPr>
          <w:rFonts w:hint="eastAsia" w:ascii="宋体" w:hAnsi="宋体"/>
          <w:bCs/>
          <w:color w:val="auto"/>
          <w:sz w:val="24"/>
          <w:szCs w:val="24"/>
          <w:highlight w:val="none"/>
        </w:rPr>
        <w:t>不收取</w:t>
      </w:r>
      <w:r>
        <w:rPr>
          <w:rFonts w:hint="eastAsia" w:ascii="宋体" w:hAnsi="宋体"/>
          <w:bCs/>
          <w:color w:val="auto"/>
          <w:sz w:val="24"/>
          <w:szCs w:val="24"/>
          <w:highlight w:val="none"/>
          <w:lang w:eastAsia="zh-CN"/>
        </w:rPr>
        <w:t>谈判</w:t>
      </w:r>
      <w:r>
        <w:rPr>
          <w:rFonts w:hint="eastAsia" w:ascii="宋体" w:hAnsi="宋体"/>
          <w:bCs/>
          <w:color w:val="auto"/>
          <w:sz w:val="24"/>
          <w:szCs w:val="24"/>
          <w:highlight w:val="none"/>
        </w:rPr>
        <w:t>保证金。</w:t>
      </w:r>
    </w:p>
    <w:p w14:paraId="78FC1789">
      <w:pPr>
        <w:pageBreakBefore w:val="0"/>
        <w:widowControl w:val="0"/>
        <w:tabs>
          <w:tab w:val="left" w:pos="900"/>
        </w:tabs>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bCs/>
          <w:color w:val="auto"/>
          <w:sz w:val="24"/>
          <w:szCs w:val="24"/>
          <w:highlight w:val="none"/>
          <w:lang w:eastAsia="zh-CN"/>
        </w:rPr>
        <w:t>集中考察现场或答疑：</w:t>
      </w:r>
      <w:r>
        <w:rPr>
          <w:rFonts w:hint="eastAsia" w:ascii="宋体" w:hAnsi="宋体" w:eastAsia="宋体" w:cs="宋体"/>
          <w:color w:val="auto"/>
          <w:sz w:val="24"/>
          <w:szCs w:val="24"/>
          <w:highlight w:val="none"/>
          <w:lang w:val="en-US" w:eastAsia="zh-CN"/>
        </w:rPr>
        <w:t>采购人定于2026年</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日08时30分（</w:t>
      </w:r>
      <w:r>
        <w:rPr>
          <w:rFonts w:hint="eastAsia" w:ascii="宋体" w:hAnsi="宋体" w:eastAsia="宋体" w:cs="宋体"/>
          <w:b/>
          <w:bCs/>
          <w:color w:val="auto"/>
          <w:sz w:val="24"/>
          <w:szCs w:val="24"/>
          <w:highlight w:val="none"/>
          <w:lang w:val="en-US" w:eastAsia="zh-CN"/>
        </w:rPr>
        <w:t>请勿迟到</w:t>
      </w:r>
      <w:r>
        <w:rPr>
          <w:rFonts w:hint="eastAsia" w:ascii="宋体" w:hAnsi="宋体" w:eastAsia="宋体" w:cs="宋体"/>
          <w:color w:val="auto"/>
          <w:sz w:val="24"/>
          <w:szCs w:val="24"/>
          <w:highlight w:val="none"/>
          <w:lang w:val="en-US" w:eastAsia="zh-CN"/>
        </w:rPr>
        <w:t>）统一组织现场勘察，集合及登记地点：江苏省江宁监狱交易办，联系人：李主任；号码17311116330。</w:t>
      </w:r>
      <w:r>
        <w:rPr>
          <w:rFonts w:hint="eastAsia" w:ascii="宋体" w:hAnsi="宋体" w:eastAsia="宋体" w:cs="宋体"/>
          <w:b/>
          <w:bCs/>
          <w:color w:val="auto"/>
          <w:sz w:val="24"/>
          <w:szCs w:val="24"/>
          <w:highlight w:val="none"/>
          <w:lang w:val="en-US" w:eastAsia="zh-CN"/>
        </w:rPr>
        <w:t>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 xml:space="preserve">未参加本次集中踏勘的供应商，可自行前往项目现场踏勘，采购人不单独接待供应商，且自行踏勘阶段不接受任何现场答疑。 </w:t>
      </w:r>
    </w:p>
    <w:p w14:paraId="5A0E4C83">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.潜在供应商访问政府采购管理交易系统（苏采云）的网络地址和方法：</w:t>
      </w:r>
    </w:p>
    <w:p w14:paraId="605BB40E">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3FB3BC3">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（2）“CA数字证书”的获取：供应商需办理CA锁，“苏采云”系统目前仅支持“苏采云”系统下的政务CA，省内各地区办理的“苏采云”系统下的政务CA全省通用。</w:t>
      </w:r>
    </w:p>
    <w:p w14:paraId="3AB45A41">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（3）“CA数字证书”的办理材料以及供应商操作手册详见：http://jsxcmm.com/help/gys.html。</w:t>
      </w:r>
    </w:p>
    <w:p w14:paraId="76F5C417">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（4）潜在供应商访问“苏采云”系统的网络地址和方法：“苏采云”系统的网址：http://jszfcg.jsczt.cn/jszc/login。</w:t>
      </w:r>
    </w:p>
    <w:p w14:paraId="1195504B">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（5）采购文件（后缀名为“.kedt”）、供应商操作手册及政府采购客户端工具也可通过“苏采云”系统--已报名项目--报名详情页面内相应链接进行下载。</w:t>
      </w:r>
    </w:p>
    <w:p w14:paraId="648F5825">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p>
    <w:p w14:paraId="665BCD77">
      <w:pPr>
        <w:pageBreakBefore w:val="0"/>
        <w:widowControl w:val="0"/>
        <w:spacing w:line="240" w:lineRule="auto"/>
        <w:ind w:firstLine="480"/>
        <w:rPr>
          <w:color w:val="auto"/>
          <w:highlight w:val="none"/>
        </w:rPr>
      </w:pPr>
      <w:r>
        <w:rPr>
          <w:rFonts w:hint="eastAsia" w:ascii="宋体" w:hAnsi="宋体" w:eastAsia="宋体" w:cs="宋体"/>
          <w:color w:val="auto"/>
          <w:sz w:val="24"/>
          <w:szCs w:val="24"/>
          <w:highlight w:val="none"/>
          <w:lang w:eastAsia="zh-CN"/>
        </w:rPr>
        <w:t>（7）苏采云系统使用谷歌浏览器参与不见面开标</w:t>
      </w:r>
      <w:r>
        <w:rPr>
          <w:rFonts w:hint="eastAsia" w:ascii="宋体" w:hAnsi="宋体" w:eastAsia="宋体" w:cs="宋体"/>
          <w:color w:val="auto"/>
          <w:sz w:val="24"/>
          <w:szCs w:val="24"/>
          <w:highlight w:val="none"/>
          <w:lang w:val="en-US" w:eastAsia="zh-CN"/>
        </w:rPr>
        <w:t>。</w:t>
      </w:r>
    </w:p>
    <w:p w14:paraId="68D7D93C">
      <w:pPr>
        <w:pageBreakBefore w:val="0"/>
        <w:widowControl w:val="0"/>
        <w:spacing w:line="24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0925B64E">
      <w:pPr>
        <w:pageBreakBefore w:val="0"/>
        <w:widowControl w:val="0"/>
        <w:spacing w:line="240" w:lineRule="auto"/>
        <w:ind w:firstLine="480"/>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4"/>
          <w:szCs w:val="24"/>
          <w:highlight w:val="none"/>
          <w:lang w:val="en-US" w:eastAsia="zh-CN"/>
        </w:rPr>
        <w:t>5.说明：本项目原共划分为</w:t>
      </w:r>
      <w:r>
        <w:rPr>
          <w:rFonts w:hint="eastAsia" w:ascii="宋体" w:hAnsi="宋体" w:eastAsia="宋体" w:cs="宋体"/>
          <w:color w:val="auto"/>
          <w:sz w:val="24"/>
          <w:szCs w:val="24"/>
          <w:highlight w:val="none"/>
          <w:lang w:val="en-US" w:eastAsia="zh-CN"/>
        </w:rPr>
        <w:t>三个包，原招标文件约定一包与二包为互斥包：供应商可同时响应一包、二包，但不得同时成为一包和二包的成交人。若投标供应商在一包中已经被推荐为第一成交候选人，则在二包中继续参与评审但不被推荐为成交候选人。目前二包、三包已完成采购并确定成交供应商。现一包重新公告，二包的成交供应商若响应一包，不得推荐为成交候选人。</w:t>
      </w:r>
    </w:p>
    <w:p w14:paraId="64DF1675">
      <w:pPr>
        <w:pageBreakBefore w:val="0"/>
        <w:widowControl w:val="0"/>
        <w:spacing w:line="24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6.本项目接受联合体参与投标，对于接受供应商以联合体形式参加采购活动的项目：</w:t>
      </w:r>
    </w:p>
    <w:p w14:paraId="4FD603EE">
      <w:pPr>
        <w:pageBreakBefore w:val="0"/>
        <w:widowControl w:val="0"/>
        <w:spacing w:line="24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（1）两个以上的自然人、法人或者其他组织可以组成一个联合体，以一个供应商的身份共同参加政府采购。</w:t>
      </w:r>
    </w:p>
    <w:p w14:paraId="087C82CF">
      <w:pPr>
        <w:pageBreakBefore w:val="0"/>
        <w:widowControl w:val="0"/>
        <w:spacing w:line="24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p>
    <w:p w14:paraId="6780159D">
      <w:pPr>
        <w:pageBreakBefore w:val="0"/>
        <w:widowControl w:val="0"/>
        <w:spacing w:line="24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（3）联合体中有同类资质的供应商按照联合体分工承担相同工作的，应当按照资质等级较低的供应商确定资质等级。</w:t>
      </w:r>
    </w:p>
    <w:p w14:paraId="20614A90">
      <w:pPr>
        <w:pageBreakBefore w:val="0"/>
        <w:widowControl w:val="0"/>
        <w:spacing w:line="24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（4）以联合体形式参加政府采购活动的，联合体各方不得再单独参加或者与其他供应商另外组成联合体参加同一合同项下的政府采购活动。</w:t>
      </w:r>
    </w:p>
    <w:p w14:paraId="4C030698">
      <w:pPr>
        <w:pageBreakBefore w:val="0"/>
        <w:widowControl w:val="0"/>
        <w:spacing w:line="240" w:lineRule="auto"/>
        <w:ind w:firstLine="48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（5）联合体成员存在不良信用记录的，视同联合体存在不良信用记录。</w:t>
      </w:r>
    </w:p>
    <w:p w14:paraId="79D3E05E">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七、本次谈判联系方式</w:t>
      </w:r>
      <w:bookmarkEnd w:id="35"/>
      <w:bookmarkEnd w:id="36"/>
      <w:bookmarkEnd w:id="37"/>
      <w:bookmarkEnd w:id="38"/>
      <w:bookmarkEnd w:id="39"/>
    </w:p>
    <w:p w14:paraId="27CC1872">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1.采购人</w:t>
      </w:r>
    </w:p>
    <w:p w14:paraId="025DF3D3">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名  称：</w:t>
      </w:r>
      <w:r>
        <w:rPr>
          <w:rFonts w:hint="eastAsia" w:ascii="宋体" w:hAnsi="宋体"/>
          <w:color w:val="auto"/>
          <w:sz w:val="24"/>
          <w:szCs w:val="24"/>
          <w:highlight w:val="none"/>
          <w:lang w:eastAsia="zh-CN"/>
        </w:rPr>
        <w:t>江苏省江宁监狱</w:t>
      </w:r>
      <w:r>
        <w:rPr>
          <w:rFonts w:hint="eastAsia" w:ascii="宋体" w:hAnsi="宋体" w:eastAsia="宋体" w:cs="Times New Roman"/>
          <w:color w:val="auto"/>
          <w:sz w:val="24"/>
          <w:szCs w:val="24"/>
          <w:highlight w:val="none"/>
          <w:u w:val="none"/>
          <w:lang w:val="en-US" w:eastAsia="zh-CN"/>
        </w:rPr>
        <w:t xml:space="preserve">          </w:t>
      </w:r>
    </w:p>
    <w:p w14:paraId="78E6773D">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地  址：</w:t>
      </w:r>
      <w:r>
        <w:rPr>
          <w:rFonts w:hint="eastAsia" w:ascii="宋体" w:hAnsi="宋体"/>
          <w:color w:val="auto"/>
          <w:sz w:val="24"/>
          <w:szCs w:val="24"/>
          <w:highlight w:val="none"/>
          <w:lang w:eastAsia="zh-CN"/>
        </w:rPr>
        <w:t>南京市江宁区淳化街道</w:t>
      </w:r>
      <w:r>
        <w:rPr>
          <w:rFonts w:hint="eastAsia" w:ascii="宋体" w:hAnsi="宋体" w:eastAsia="宋体" w:cs="Times New Roman"/>
          <w:color w:val="auto"/>
          <w:sz w:val="24"/>
          <w:szCs w:val="24"/>
          <w:highlight w:val="none"/>
          <w:u w:val="none"/>
          <w:lang w:val="en-US" w:eastAsia="zh-CN"/>
        </w:rPr>
        <w:t xml:space="preserve">    </w:t>
      </w:r>
    </w:p>
    <w:p w14:paraId="0838110B">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联系人：</w:t>
      </w:r>
      <w:r>
        <w:rPr>
          <w:rFonts w:hint="eastAsia" w:ascii="宋体" w:hAnsi="宋体" w:cs="Times New Roman"/>
          <w:color w:val="auto"/>
          <w:sz w:val="24"/>
          <w:szCs w:val="24"/>
          <w:highlight w:val="none"/>
          <w:u w:val="none"/>
          <w:lang w:val="en-US" w:eastAsia="zh-CN"/>
        </w:rPr>
        <w:t>宋主任</w:t>
      </w:r>
      <w:r>
        <w:rPr>
          <w:rFonts w:hint="eastAsia" w:ascii="宋体" w:hAnsi="宋体" w:eastAsia="宋体" w:cs="Times New Roman"/>
          <w:color w:val="auto"/>
          <w:sz w:val="24"/>
          <w:szCs w:val="24"/>
          <w:highlight w:val="none"/>
          <w:u w:val="none"/>
          <w:lang w:val="en-US" w:eastAsia="zh-CN"/>
        </w:rPr>
        <w:t xml:space="preserve"> </w:t>
      </w:r>
    </w:p>
    <w:p w14:paraId="6018AC7B">
      <w:pPr>
        <w:pageBreakBefore w:val="0"/>
        <w:widowControl w:val="0"/>
        <w:spacing w:line="24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联系电话：</w:t>
      </w:r>
      <w:r>
        <w:rPr>
          <w:rFonts w:hint="eastAsia" w:ascii="宋体" w:hAnsi="宋体"/>
          <w:color w:val="auto"/>
          <w:sz w:val="24"/>
          <w:szCs w:val="24"/>
          <w:highlight w:val="none"/>
        </w:rPr>
        <w:t>025-</w:t>
      </w:r>
      <w:r>
        <w:rPr>
          <w:rFonts w:hint="eastAsia" w:ascii="宋体" w:hAnsi="宋体"/>
          <w:color w:val="auto"/>
          <w:sz w:val="24"/>
          <w:szCs w:val="24"/>
          <w:highlight w:val="none"/>
          <w:lang w:eastAsia="zh-CN"/>
        </w:rPr>
        <w:t>52295040</w:t>
      </w:r>
      <w:r>
        <w:rPr>
          <w:rFonts w:hint="eastAsia" w:ascii="宋体" w:hAnsi="宋体" w:eastAsia="宋体" w:cs="Times New Roman"/>
          <w:color w:val="auto"/>
          <w:sz w:val="24"/>
          <w:szCs w:val="24"/>
          <w:highlight w:val="none"/>
          <w:u w:val="none"/>
          <w:lang w:val="en-US" w:eastAsia="zh-CN"/>
        </w:rPr>
        <w:t xml:space="preserve"> </w:t>
      </w:r>
      <w:bookmarkStart w:id="40" w:name="_Toc28359009"/>
      <w:bookmarkStart w:id="41" w:name="_Toc28359086"/>
    </w:p>
    <w:p w14:paraId="72CEF4CE">
      <w:pPr>
        <w:pageBreakBefore w:val="0"/>
        <w:widowControl w:val="0"/>
        <w:spacing w:line="252"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2.</w:t>
      </w:r>
      <w:bookmarkEnd w:id="40"/>
      <w:bookmarkEnd w:id="41"/>
      <w:r>
        <w:rPr>
          <w:rFonts w:hint="eastAsia" w:ascii="宋体" w:hAnsi="宋体" w:eastAsia="宋体" w:cs="Times New Roman"/>
          <w:color w:val="auto"/>
          <w:sz w:val="24"/>
          <w:szCs w:val="24"/>
          <w:highlight w:val="none"/>
          <w:u w:val="none"/>
          <w:lang w:val="en-US" w:eastAsia="zh-CN"/>
        </w:rPr>
        <w:t>采购代理机构信息</w:t>
      </w:r>
    </w:p>
    <w:p w14:paraId="5DCF65CB">
      <w:pPr>
        <w:pageBreakBefore w:val="0"/>
        <w:widowControl w:val="0"/>
        <w:spacing w:line="252"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单位名称：南京江城工程项目管理有公司</w:t>
      </w:r>
    </w:p>
    <w:p w14:paraId="1C6993AF">
      <w:pPr>
        <w:pageBreakBefore w:val="0"/>
        <w:widowControl w:val="0"/>
        <w:spacing w:line="252"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单位地址：南京市建邺区云龙山路89号龙湖时代上城1栋29楼</w:t>
      </w:r>
    </w:p>
    <w:p w14:paraId="780D8EDC">
      <w:pPr>
        <w:pageBreakBefore w:val="0"/>
        <w:widowControl w:val="0"/>
        <w:spacing w:line="252"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联系人：高婷、韦洪林</w:t>
      </w:r>
    </w:p>
    <w:p w14:paraId="58D6FF0D">
      <w:pPr>
        <w:pageBreakBefore w:val="0"/>
        <w:widowControl w:val="0"/>
        <w:spacing w:line="252" w:lineRule="auto"/>
        <w:ind w:firstLine="480"/>
        <w:rPr>
          <w:rFonts w:hint="eastAsia"/>
          <w:color w:val="auto"/>
          <w:highlight w:val="none"/>
          <w:u w:val="none"/>
        </w:rPr>
      </w:pPr>
      <w:r>
        <w:rPr>
          <w:rFonts w:hint="eastAsia" w:ascii="宋体" w:hAnsi="宋体" w:eastAsia="宋体" w:cs="Times New Roman"/>
          <w:color w:val="auto"/>
          <w:sz w:val="24"/>
          <w:szCs w:val="24"/>
          <w:highlight w:val="none"/>
          <w:u w:val="none"/>
          <w:lang w:val="en-US" w:eastAsia="zh-CN"/>
        </w:rPr>
        <w:t xml:space="preserve">联系电话：025-58835827-8047 </w:t>
      </w:r>
    </w:p>
    <w:p w14:paraId="2E08DA3D">
      <w:pPr>
        <w:ind w:right="840"/>
        <w:jc w:val="center"/>
        <w:outlineLvl w:val="0"/>
        <w:rPr>
          <w:rFonts w:hint="eastAsia" w:ascii="方正小标宋简体" w:hAnsi="方正小标宋简体" w:eastAsia="方正小标宋简体" w:cs="方正小标宋简体"/>
          <w:color w:val="auto"/>
          <w:sz w:val="36"/>
          <w:szCs w:val="36"/>
          <w:highlight w:val="none"/>
        </w:rPr>
      </w:pPr>
      <w:bookmarkStart w:id="42" w:name="_Toc120614211"/>
      <w:r>
        <w:rPr>
          <w:rFonts w:hint="eastAsia" w:ascii="方正小标宋简体" w:hAnsi="方正小标宋简体" w:eastAsia="方正小标宋简体" w:cs="方正小标宋简体"/>
          <w:color w:val="auto"/>
          <w:sz w:val="36"/>
          <w:szCs w:val="36"/>
          <w:highlight w:val="none"/>
        </w:rPr>
        <w:br w:type="page" w:clear="all"/>
      </w:r>
      <w:r>
        <w:rPr>
          <w:rFonts w:hint="eastAsia" w:ascii="方正小标宋简体" w:hAnsi="方正小标宋简体" w:eastAsia="方正小标宋简体" w:cs="方正小标宋简体"/>
          <w:color w:val="auto"/>
          <w:sz w:val="36"/>
          <w:szCs w:val="36"/>
          <w:highlight w:val="none"/>
        </w:rPr>
        <w:t xml:space="preserve">第二章  </w:t>
      </w:r>
      <w:bookmarkEnd w:id="1"/>
      <w:bookmarkEnd w:id="2"/>
      <w:bookmarkEnd w:id="3"/>
      <w:bookmarkEnd w:id="4"/>
      <w:bookmarkEnd w:id="5"/>
      <w:bookmarkEnd w:id="42"/>
      <w:r>
        <w:rPr>
          <w:rFonts w:hint="eastAsia" w:ascii="方正小标宋简体" w:hAnsi="方正小标宋简体" w:eastAsia="方正小标宋简体" w:cs="方正小标宋简体"/>
          <w:color w:val="auto"/>
          <w:sz w:val="36"/>
          <w:szCs w:val="36"/>
          <w:highlight w:val="none"/>
        </w:rPr>
        <w:t>供应商须知</w:t>
      </w:r>
    </w:p>
    <w:p w14:paraId="5DE0C282">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43" w:name="_Toc120614214"/>
      <w:bookmarkStart w:id="44" w:name="_Toc513029203"/>
      <w:bookmarkStart w:id="45" w:name="_Toc20823275"/>
      <w:bookmarkStart w:id="46" w:name="_Toc16938519"/>
      <w:r>
        <w:rPr>
          <w:rFonts w:hint="eastAsia" w:ascii="方正黑体_GBK" w:hAnsi="方正黑体_GBK" w:eastAsia="方正黑体_GBK" w:cs="方正黑体_GBK"/>
          <w:b w:val="0"/>
          <w:bCs w:val="0"/>
          <w:color w:val="auto"/>
          <w:sz w:val="30"/>
          <w:szCs w:val="30"/>
          <w:highlight w:val="none"/>
        </w:rPr>
        <w:t>一、总则</w:t>
      </w:r>
      <w:bookmarkEnd w:id="43"/>
      <w:bookmarkEnd w:id="44"/>
      <w:bookmarkEnd w:id="45"/>
      <w:bookmarkEnd w:id="46"/>
    </w:p>
    <w:p w14:paraId="432DD3ED">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47" w:name="_Hlt16619475"/>
      <w:bookmarkEnd w:id="47"/>
      <w:bookmarkStart w:id="48" w:name="_Toc458694821"/>
      <w:bookmarkStart w:id="49" w:name="_Toc20823276"/>
      <w:bookmarkStart w:id="50" w:name="_Toc513029204"/>
      <w:bookmarkStart w:id="51" w:name="_Toc16938520"/>
      <w:r>
        <w:rPr>
          <w:rFonts w:hint="eastAsia" w:ascii="方正楷体_GBK" w:hAnsi="方正楷体_GBK" w:eastAsia="方正楷体_GBK" w:cs="方正楷体_GBK"/>
          <w:b/>
          <w:bCs/>
          <w:color w:val="auto"/>
          <w:highlight w:val="none"/>
        </w:rPr>
        <w:t>1</w:t>
      </w:r>
      <w:bookmarkEnd w:id="48"/>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采购方式</w:t>
      </w:r>
      <w:bookmarkEnd w:id="49"/>
      <w:bookmarkEnd w:id="50"/>
      <w:bookmarkEnd w:id="51"/>
    </w:p>
    <w:p w14:paraId="2C0BD615">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1.1 本次政府采购活动采取竞争性谈判</w:t>
      </w:r>
      <w:r>
        <w:rPr>
          <w:rFonts w:hint="eastAsia" w:ascii="宋体" w:hAnsi="宋体" w:eastAsia="宋体" w:cs="Times New Roman"/>
          <w:color w:val="auto"/>
          <w:sz w:val="24"/>
          <w:szCs w:val="21"/>
          <w:highlight w:val="none"/>
        </w:rPr>
        <w:t>(以下简称</w:t>
      </w:r>
      <w:r>
        <w:rPr>
          <w:rFonts w:hint="eastAsia" w:ascii="宋体" w:hAnsi="宋体" w:eastAsia="宋体" w:cs="Times New Roman"/>
          <w:color w:val="auto"/>
          <w:sz w:val="24"/>
          <w:szCs w:val="21"/>
          <w:highlight w:val="none"/>
          <w:lang w:eastAsia="zh-CN"/>
        </w:rPr>
        <w:t>“谈判”</w:t>
      </w:r>
      <w:r>
        <w:rPr>
          <w:rFonts w:hint="eastAsia" w:ascii="宋体" w:hAnsi="宋体" w:eastAsia="宋体" w:cs="Times New Roman"/>
          <w:color w:val="auto"/>
          <w:sz w:val="24"/>
          <w:szCs w:val="21"/>
          <w:highlight w:val="none"/>
        </w:rPr>
        <w:t>)</w:t>
      </w:r>
      <w:r>
        <w:rPr>
          <w:rFonts w:hint="eastAsia" w:ascii="宋体" w:hAnsi="宋体" w:eastAsia="宋体" w:cs="Times New Roman"/>
          <w:color w:val="auto"/>
          <w:sz w:val="24"/>
          <w:highlight w:val="none"/>
          <w:lang w:eastAsia="zh-CN"/>
        </w:rPr>
        <w:t>方式，本文件仅适用于</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eastAsia="zh-CN"/>
        </w:rPr>
        <w:t>公告中所述项目。</w:t>
      </w:r>
    </w:p>
    <w:p w14:paraId="70F46455">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52" w:name="_Toc20823277"/>
      <w:bookmarkStart w:id="53" w:name="_Toc16938521"/>
      <w:bookmarkStart w:id="54" w:name="_Toc513029205"/>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合格的</w:t>
      </w:r>
      <w:bookmarkEnd w:id="52"/>
      <w:bookmarkEnd w:id="53"/>
      <w:bookmarkEnd w:id="54"/>
      <w:r>
        <w:rPr>
          <w:rFonts w:hint="eastAsia" w:ascii="方正楷体_GBK" w:hAnsi="方正楷体_GBK" w:eastAsia="方正楷体_GBK" w:cs="方正楷体_GBK"/>
          <w:b/>
          <w:bCs/>
          <w:color w:val="auto"/>
          <w:highlight w:val="none"/>
        </w:rPr>
        <w:t>供应商</w:t>
      </w:r>
    </w:p>
    <w:p w14:paraId="6DA24FB9">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满足</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eastAsia="zh-CN"/>
        </w:rPr>
        <w:t>公告对供应商资格要求的规定。</w:t>
      </w:r>
    </w:p>
    <w:p w14:paraId="254A8AF7">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2.2 满足谈判文件规定的实质性要求和条件。</w:t>
      </w:r>
    </w:p>
    <w:p w14:paraId="332E29E7">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55" w:name="_Toc513029206"/>
      <w:bookmarkStart w:id="56" w:name="_Toc20823278"/>
      <w:bookmarkStart w:id="57" w:name="_Toc16938522"/>
      <w:r>
        <w:rPr>
          <w:rFonts w:hint="eastAsia" w:ascii="方正楷体_GBK" w:hAnsi="方正楷体_GBK" w:eastAsia="方正楷体_GBK" w:cs="方正楷体_GBK"/>
          <w:b/>
          <w:bCs/>
          <w:color w:val="auto"/>
          <w:highlight w:val="none"/>
        </w:rPr>
        <w:t>3</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适用法律</w:t>
      </w:r>
      <w:bookmarkEnd w:id="55"/>
      <w:bookmarkEnd w:id="56"/>
      <w:bookmarkEnd w:id="57"/>
    </w:p>
    <w:p w14:paraId="372AE6B2">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3.1 本次</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eastAsia="zh-CN"/>
        </w:rPr>
        <w:t>及由此产生的合同受中华人民共和国有关的法律法规制约和保护。</w:t>
      </w:r>
    </w:p>
    <w:p w14:paraId="18B8B3D6">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58" w:name="_Toc20823279"/>
      <w:bookmarkStart w:id="59" w:name="_Toc16938523"/>
      <w:bookmarkStart w:id="60" w:name="_Toc513029207"/>
      <w:bookmarkStart w:id="61" w:name="_Toc462564067"/>
      <w:r>
        <w:rPr>
          <w:rFonts w:hint="eastAsia" w:ascii="方正楷体_GBK" w:hAnsi="方正楷体_GBK" w:eastAsia="方正楷体_GBK" w:cs="方正楷体_GBK"/>
          <w:b/>
          <w:bCs/>
          <w:color w:val="auto"/>
          <w:highlight w:val="none"/>
        </w:rPr>
        <w:t>4</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谈判费用</w:t>
      </w:r>
      <w:bookmarkEnd w:id="58"/>
      <w:bookmarkEnd w:id="59"/>
      <w:bookmarkEnd w:id="60"/>
      <w:bookmarkEnd w:id="61"/>
    </w:p>
    <w:p w14:paraId="0832ACE3">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4.1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供应商应自行承担所有与参加本次</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eastAsia="zh-CN"/>
        </w:rPr>
        <w:t>有关的费用，无论</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eastAsia="zh-CN"/>
        </w:rPr>
        <w:t>过程中的做法和结果如何，</w:t>
      </w:r>
      <w:r>
        <w:rPr>
          <w:rFonts w:hint="eastAsia" w:ascii="宋体" w:hAnsi="宋体" w:cs="Times New Roman"/>
          <w:color w:val="auto"/>
          <w:sz w:val="24"/>
          <w:highlight w:val="none"/>
          <w:lang w:val="en-US" w:eastAsia="zh-CN"/>
        </w:rPr>
        <w:t>代理人和采购人</w:t>
      </w:r>
      <w:r>
        <w:rPr>
          <w:rFonts w:hint="eastAsia" w:ascii="宋体" w:hAnsi="宋体" w:eastAsia="宋体" w:cs="Times New Roman"/>
          <w:color w:val="auto"/>
          <w:sz w:val="24"/>
          <w:highlight w:val="none"/>
          <w:lang w:eastAsia="zh-CN"/>
        </w:rPr>
        <w:t>在任何情况下均无义务和责任承担这些费用。</w:t>
      </w:r>
    </w:p>
    <w:p w14:paraId="675C6434">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宋体"/>
          <w:b/>
          <w:bCs/>
          <w:color w:val="auto"/>
          <w:sz w:val="24"/>
          <w:szCs w:val="24"/>
          <w:highlight w:val="none"/>
          <w:lang w:val="en-US"/>
        </w:rPr>
        <w:t>本项目</w:t>
      </w:r>
      <w:r>
        <w:rPr>
          <w:rFonts w:hint="eastAsia" w:ascii="宋体" w:hAnsi="宋体" w:eastAsia="宋体" w:cs="宋体"/>
          <w:b/>
          <w:bCs/>
          <w:color w:val="auto"/>
          <w:sz w:val="24"/>
          <w:szCs w:val="24"/>
          <w:highlight w:val="none"/>
        </w:rPr>
        <w:t>代理费</w:t>
      </w:r>
      <w:r>
        <w:rPr>
          <w:rFonts w:hint="eastAsia" w:ascii="宋体" w:hAnsi="宋体" w:cs="宋体"/>
          <w:b/>
          <w:bCs/>
          <w:color w:val="auto"/>
          <w:sz w:val="24"/>
          <w:szCs w:val="24"/>
          <w:highlight w:val="none"/>
          <w:lang w:val="en-US" w:eastAsia="zh-CN"/>
        </w:rPr>
        <w:t>按分包收取，</w:t>
      </w:r>
      <w:r>
        <w:rPr>
          <w:rFonts w:hint="eastAsia" w:ascii="宋体" w:hAnsi="宋体" w:eastAsia="宋体" w:cs="宋体"/>
          <w:b/>
          <w:bCs/>
          <w:color w:val="auto"/>
          <w:sz w:val="24"/>
          <w:szCs w:val="24"/>
          <w:highlight w:val="none"/>
        </w:rPr>
        <w:t>用</w:t>
      </w:r>
      <w:r>
        <w:rPr>
          <w:rFonts w:hint="eastAsia" w:ascii="宋体" w:hAnsi="宋体" w:eastAsia="宋体" w:cs="宋体"/>
          <w:b/>
          <w:bCs/>
          <w:color w:val="auto"/>
          <w:sz w:val="24"/>
          <w:szCs w:val="24"/>
          <w:highlight w:val="none"/>
          <w:lang w:val="en-US"/>
        </w:rPr>
        <w:t>由成交人承担，</w:t>
      </w:r>
      <w:r>
        <w:rPr>
          <w:rFonts w:hint="eastAsia" w:ascii="宋体" w:hAnsi="宋体" w:eastAsia="宋体" w:cs="宋体"/>
          <w:b/>
          <w:bCs/>
          <w:color w:val="auto"/>
          <w:sz w:val="24"/>
          <w:szCs w:val="24"/>
          <w:highlight w:val="none"/>
        </w:rPr>
        <w:t>按《江苏省招标代理服务收费的指导意见》(苏招协【2022】002号)招标代理服务费率计算方法的基准价乘以30%计算，</w:t>
      </w:r>
      <w:r>
        <w:rPr>
          <w:rFonts w:hint="eastAsia" w:ascii="宋体" w:hAnsi="宋体" w:eastAsia="宋体" w:cs="宋体"/>
          <w:b/>
          <w:bCs/>
          <w:color w:val="auto"/>
          <w:sz w:val="24"/>
          <w:szCs w:val="24"/>
          <w:highlight w:val="none"/>
          <w:lang w:val="en-US" w:eastAsia="zh-CN"/>
        </w:rPr>
        <w:t>计算基数为成交价。以上费用成交供应商均在领取成交通知书时一次性付清。代理服务费不单独立项、不予单独结算，请各供应商在编制报价文件时务必充分考虑该费用因素，避免因报价疏漏造成损失</w:t>
      </w:r>
      <w:r>
        <w:rPr>
          <w:rFonts w:hint="eastAsia" w:ascii="宋体" w:hAnsi="宋体" w:eastAsia="宋体" w:cs="Times New Roman"/>
          <w:color w:val="auto"/>
          <w:sz w:val="24"/>
          <w:szCs w:val="24"/>
          <w:highlight w:val="none"/>
          <w:lang w:eastAsia="zh-CN"/>
        </w:rPr>
        <w:t>。</w:t>
      </w:r>
    </w:p>
    <w:p w14:paraId="72EBDB37">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5</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谈判文件的约束力</w:t>
      </w:r>
    </w:p>
    <w:p w14:paraId="62E3C86D">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供应商一旦参加本项目采购活动，即被认为接受了本文件的规定和约束。</w:t>
      </w:r>
    </w:p>
    <w:p w14:paraId="31BBBA36">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62" w:name="_Toc16938525"/>
      <w:bookmarkStart w:id="63" w:name="_Toc120614215"/>
      <w:bookmarkStart w:id="64" w:name="_Toc513029209"/>
      <w:bookmarkStart w:id="65" w:name="_Toc20823281"/>
      <w:r>
        <w:rPr>
          <w:rFonts w:hint="eastAsia" w:ascii="方正黑体_GBK" w:hAnsi="方正黑体_GBK" w:eastAsia="方正黑体_GBK" w:cs="方正黑体_GBK"/>
          <w:b w:val="0"/>
          <w:bCs w:val="0"/>
          <w:color w:val="auto"/>
          <w:sz w:val="30"/>
          <w:szCs w:val="30"/>
          <w:highlight w:val="none"/>
        </w:rPr>
        <w:t>二、</w:t>
      </w:r>
      <w:bookmarkEnd w:id="62"/>
      <w:bookmarkEnd w:id="63"/>
      <w:bookmarkEnd w:id="64"/>
      <w:bookmarkEnd w:id="65"/>
      <w:r>
        <w:rPr>
          <w:rFonts w:hint="eastAsia" w:ascii="方正黑体_GBK" w:hAnsi="方正黑体_GBK" w:eastAsia="方正黑体_GBK" w:cs="方正黑体_GBK"/>
          <w:b w:val="0"/>
          <w:bCs w:val="0"/>
          <w:color w:val="auto"/>
          <w:sz w:val="30"/>
          <w:szCs w:val="30"/>
          <w:highlight w:val="none"/>
        </w:rPr>
        <w:t>谈判文件</w:t>
      </w:r>
    </w:p>
    <w:p w14:paraId="2DACC2CF">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66" w:name="_Toc20823282"/>
      <w:bookmarkStart w:id="67" w:name="_Toc513029210"/>
      <w:bookmarkStart w:id="68" w:name="_Toc16938526"/>
      <w:r>
        <w:rPr>
          <w:rFonts w:hint="eastAsia" w:ascii="方正楷体_GBK" w:hAnsi="方正楷体_GBK" w:eastAsia="方正楷体_GBK" w:cs="方正楷体_GBK"/>
          <w:b/>
          <w:bCs/>
          <w:color w:val="auto"/>
          <w:highlight w:val="none"/>
        </w:rPr>
        <w:t>6</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谈判文件构成</w:t>
      </w:r>
      <w:bookmarkEnd w:id="66"/>
      <w:bookmarkEnd w:id="67"/>
      <w:bookmarkEnd w:id="68"/>
    </w:p>
    <w:p w14:paraId="49CCAAC1">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6.1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谈判文件由以下部分组成：</w:t>
      </w:r>
    </w:p>
    <w:p w14:paraId="4E5E8449">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（1）谈判邀请</w:t>
      </w:r>
    </w:p>
    <w:p w14:paraId="385F91A4">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（2）供应商须知</w:t>
      </w:r>
    </w:p>
    <w:p w14:paraId="510B12CD">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（3）合同文本</w:t>
      </w:r>
    </w:p>
    <w:p w14:paraId="66838E03">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（4）采购需求</w:t>
      </w:r>
    </w:p>
    <w:p w14:paraId="26E22E5B">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（5）成交标准</w:t>
      </w:r>
    </w:p>
    <w:p w14:paraId="28346521">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（6）响应文件格式</w:t>
      </w:r>
    </w:p>
    <w:p w14:paraId="5C259DC6">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供应商应仔细检查谈判文件是否齐全，如有缺漏请立即与</w:t>
      </w:r>
      <w:r>
        <w:rPr>
          <w:rFonts w:hint="eastAsia" w:ascii="宋体" w:hAnsi="宋体" w:cs="Times New Roman"/>
          <w:color w:val="auto"/>
          <w:sz w:val="24"/>
          <w:highlight w:val="none"/>
          <w:lang w:eastAsia="zh-CN"/>
        </w:rPr>
        <w:t>采购代理</w:t>
      </w:r>
      <w:r>
        <w:rPr>
          <w:rFonts w:hint="eastAsia" w:ascii="宋体" w:hAnsi="宋体" w:eastAsia="宋体" w:cs="Times New Roman"/>
          <w:color w:val="auto"/>
          <w:sz w:val="24"/>
          <w:highlight w:val="none"/>
          <w:lang w:eastAsia="zh-CN"/>
        </w:rPr>
        <w:t>联系解决。</w:t>
      </w:r>
    </w:p>
    <w:p w14:paraId="58A56ECC">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6.2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264C099C">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69" w:name="_Toc462564070"/>
      <w:bookmarkStart w:id="70" w:name="_Toc16938527"/>
      <w:bookmarkStart w:id="71" w:name="_Toc513029211"/>
      <w:bookmarkStart w:id="72" w:name="_Toc20823283"/>
      <w:r>
        <w:rPr>
          <w:rFonts w:hint="eastAsia" w:ascii="方正楷体_GBK" w:hAnsi="方正楷体_GBK" w:eastAsia="方正楷体_GBK" w:cs="方正楷体_GBK"/>
          <w:b/>
          <w:bCs/>
          <w:color w:val="auto"/>
          <w:highlight w:val="none"/>
        </w:rPr>
        <w:t>7</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谈判文件的澄清</w:t>
      </w:r>
      <w:bookmarkEnd w:id="69"/>
      <w:bookmarkEnd w:id="70"/>
      <w:bookmarkEnd w:id="71"/>
      <w:bookmarkEnd w:id="72"/>
    </w:p>
    <w:p w14:paraId="2C8BAE11">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7.1 任何要求对谈判文件进行澄清的供应商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应在谈判截止期</w:t>
      </w:r>
      <w:r>
        <w:rPr>
          <w:rFonts w:hint="eastAsia" w:ascii="宋体" w:hAnsi="宋体" w:eastAsia="宋体" w:cs="Times New Roman"/>
          <w:color w:val="auto"/>
          <w:sz w:val="24"/>
          <w:highlight w:val="none"/>
          <w:lang w:eastAsia="zh-CN"/>
        </w:rPr>
        <w:t>五</w:t>
      </w:r>
      <w:r>
        <w:rPr>
          <w:rFonts w:hint="eastAsia" w:ascii="宋体" w:hAnsi="宋体" w:eastAsia="宋体" w:cs="Times New Roman"/>
          <w:color w:val="auto"/>
          <w:sz w:val="24"/>
          <w:highlight w:val="none"/>
        </w:rPr>
        <w:t>日前按</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rPr>
        <w:t>公告中的通讯地址</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以书面形式通知</w:t>
      </w:r>
      <w:r>
        <w:rPr>
          <w:rFonts w:hint="eastAsia" w:ascii="宋体" w:hAnsi="宋体" w:cs="Times New Roman"/>
          <w:color w:val="auto"/>
          <w:sz w:val="24"/>
          <w:highlight w:val="none"/>
          <w:lang w:eastAsia="zh-CN"/>
        </w:rPr>
        <w:t>采购代理</w:t>
      </w:r>
      <w:r>
        <w:rPr>
          <w:rFonts w:hint="eastAsia" w:ascii="宋体" w:hAnsi="宋体" w:eastAsia="宋体" w:cs="Times New Roman"/>
          <w:color w:val="auto"/>
          <w:sz w:val="24"/>
          <w:highlight w:val="none"/>
        </w:rPr>
        <w:t>。</w:t>
      </w:r>
    </w:p>
    <w:p w14:paraId="49D0C8C3">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73" w:name="_Toc513029212"/>
      <w:bookmarkStart w:id="74" w:name="_Toc16938528"/>
      <w:bookmarkStart w:id="75" w:name="_Toc20823284"/>
      <w:bookmarkStart w:id="76" w:name="_Toc462564071"/>
      <w:r>
        <w:rPr>
          <w:rFonts w:hint="eastAsia" w:ascii="方正楷体_GBK" w:hAnsi="方正楷体_GBK" w:eastAsia="方正楷体_GBK" w:cs="方正楷体_GBK"/>
          <w:b/>
          <w:bCs/>
          <w:color w:val="auto"/>
          <w:highlight w:val="none"/>
        </w:rPr>
        <w:t>8</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谈判文件的修改</w:t>
      </w:r>
      <w:bookmarkEnd w:id="73"/>
      <w:bookmarkEnd w:id="74"/>
      <w:bookmarkEnd w:id="75"/>
      <w:bookmarkEnd w:id="76"/>
    </w:p>
    <w:p w14:paraId="4F96358C">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bookmarkStart w:id="77" w:name="_Toc513029213"/>
      <w:bookmarkStart w:id="78" w:name="_Toc20823285"/>
      <w:bookmarkStart w:id="79" w:name="_Toc16938529"/>
      <w:bookmarkStart w:id="80" w:name="_Toc120614216"/>
      <w:bookmarkStart w:id="81" w:name="_Toc462564072"/>
      <w:r>
        <w:rPr>
          <w:rFonts w:hint="eastAsia" w:ascii="宋体" w:hAnsi="宋体" w:eastAsia="宋体" w:cs="Times New Roman"/>
          <w:color w:val="auto"/>
          <w:sz w:val="24"/>
          <w:highlight w:val="none"/>
          <w:lang w:eastAsia="zh-CN"/>
        </w:rPr>
        <w:t>8.1 在响应文件提交截止时间前，</w:t>
      </w:r>
      <w:r>
        <w:rPr>
          <w:rFonts w:hint="eastAsia" w:ascii="宋体" w:hAnsi="宋体" w:cs="Times New Roman"/>
          <w:color w:val="auto"/>
          <w:sz w:val="24"/>
          <w:highlight w:val="none"/>
          <w:lang w:eastAsia="zh-CN"/>
        </w:rPr>
        <w:t>采购代理</w:t>
      </w:r>
      <w:r>
        <w:rPr>
          <w:rFonts w:hint="eastAsia" w:ascii="宋体" w:hAnsi="宋体" w:eastAsia="宋体" w:cs="Times New Roman"/>
          <w:color w:val="auto"/>
          <w:sz w:val="24"/>
          <w:highlight w:val="none"/>
          <w:lang w:eastAsia="zh-CN"/>
        </w:rPr>
        <w:t>可以对谈判文件进行修改。谈判文件的修改将在原公告媒体发布更正公告，更正内容将作为谈判文件的组成部分，并对供应商具有约束力。</w:t>
      </w:r>
    </w:p>
    <w:p w14:paraId="7AAF2886">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供应商应在提交响应文件截止时间前，关注原公告媒体有关本项目的更正公告，根据更正公告内容自行决定是否需要重新制作和提交响应文件，并承担由此产生的相应责任。</w:t>
      </w:r>
    </w:p>
    <w:p w14:paraId="46640E67">
      <w:pPr>
        <w:keepNext w:val="0"/>
        <w:keepLines w:val="0"/>
        <w:pageBreakBefore w:val="0"/>
        <w:widowControl w:val="0"/>
        <w:spacing w:line="240" w:lineRule="auto"/>
        <w:ind w:firstLine="42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8.3</w:t>
      </w: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val="en-US" w:eastAsia="zh-CN"/>
        </w:rPr>
        <w:t>采购代理</w:t>
      </w:r>
      <w:r>
        <w:rPr>
          <w:rFonts w:hint="eastAsia" w:ascii="宋体" w:hAnsi="宋体" w:eastAsia="宋体" w:cs="Times New Roman"/>
          <w:color w:val="auto"/>
          <w:sz w:val="24"/>
          <w:highlight w:val="none"/>
          <w:lang w:eastAsia="zh-CN"/>
        </w:rPr>
        <w:t>有权按照法定要求推迟提交响应文件截止时间，并在原公告媒体发布更正公告。</w:t>
      </w:r>
    </w:p>
    <w:p w14:paraId="42D9CB79">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三、响应文件的编制</w:t>
      </w:r>
      <w:bookmarkEnd w:id="77"/>
      <w:bookmarkEnd w:id="78"/>
      <w:bookmarkEnd w:id="79"/>
      <w:bookmarkEnd w:id="80"/>
      <w:bookmarkEnd w:id="81"/>
    </w:p>
    <w:p w14:paraId="2EBDA795">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82" w:name="_Toc20823286"/>
      <w:bookmarkStart w:id="83" w:name="_Toc462564073"/>
      <w:bookmarkStart w:id="84" w:name="_Toc513029214"/>
      <w:bookmarkStart w:id="85" w:name="_Toc16938530"/>
      <w:r>
        <w:rPr>
          <w:rFonts w:hint="eastAsia" w:ascii="方正楷体_GBK" w:hAnsi="方正楷体_GBK" w:eastAsia="方正楷体_GBK" w:cs="方正楷体_GBK"/>
          <w:b/>
          <w:bCs/>
          <w:color w:val="auto"/>
          <w:highlight w:val="none"/>
        </w:rPr>
        <w:t>9</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响应文件的语言及度量衡单位</w:t>
      </w:r>
      <w:bookmarkEnd w:id="82"/>
      <w:bookmarkEnd w:id="83"/>
      <w:bookmarkEnd w:id="84"/>
      <w:bookmarkEnd w:id="85"/>
    </w:p>
    <w:p w14:paraId="24DF2AD0">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供应商提交的响应文件以及供应商与</w:t>
      </w:r>
      <w:r>
        <w:rPr>
          <w:rFonts w:hint="eastAsia" w:ascii="宋体" w:hAnsi="宋体" w:cs="Times New Roman"/>
          <w:color w:val="auto"/>
          <w:sz w:val="24"/>
          <w:highlight w:val="none"/>
          <w:lang w:eastAsia="zh-CN"/>
        </w:rPr>
        <w:t>采购代理</w:t>
      </w:r>
      <w:r>
        <w:rPr>
          <w:rFonts w:hint="eastAsia" w:ascii="宋体" w:hAnsi="宋体" w:eastAsia="宋体" w:cs="Times New Roman"/>
          <w:color w:val="auto"/>
          <w:sz w:val="24"/>
          <w:highlight w:val="none"/>
        </w:rPr>
        <w:t>就有关谈判的所有来往通知、函件和文件均应使用简体中文。</w:t>
      </w:r>
    </w:p>
    <w:p w14:paraId="0635C075">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9.2 除技术性能另有规定外</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响应文件所使用的度量衡单位</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均须采用国家法定计量单位。</w:t>
      </w:r>
    </w:p>
    <w:p w14:paraId="7A74819B">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86" w:name="_Toc462564074"/>
      <w:bookmarkStart w:id="87" w:name="_Toc513029215"/>
      <w:bookmarkStart w:id="88" w:name="_Toc20823287"/>
      <w:bookmarkStart w:id="89" w:name="_Toc16938531"/>
      <w:r>
        <w:rPr>
          <w:rFonts w:hint="eastAsia" w:ascii="方正楷体_GBK" w:hAnsi="方正楷体_GBK" w:eastAsia="方正楷体_GBK" w:cs="方正楷体_GBK"/>
          <w:b/>
          <w:bCs/>
          <w:color w:val="auto"/>
          <w:highlight w:val="none"/>
        </w:rPr>
        <w:t>10</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响应文件构成</w:t>
      </w:r>
      <w:bookmarkEnd w:id="86"/>
      <w:bookmarkEnd w:id="87"/>
      <w:bookmarkEnd w:id="88"/>
      <w:bookmarkEnd w:id="89"/>
    </w:p>
    <w:p w14:paraId="55CFFBEF">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供应商编写的响应文件应包括资格证明文件、符合性证明文件、分项报价表、响应及偏离表、其他证明文件、谈判响应函等部分。</w:t>
      </w:r>
    </w:p>
    <w:p w14:paraId="068BFA87">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10.2 如标书制作工具中格式和内容与“江苏政府采购网”发布的谈判文件不一致</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以“江苏政府采购网”发布的谈判文件为准。</w:t>
      </w:r>
    </w:p>
    <w:p w14:paraId="3B3AB6A4">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90" w:name="_Hlt26668975"/>
      <w:bookmarkEnd w:id="90"/>
      <w:bookmarkStart w:id="91" w:name="_Hlt26670360"/>
      <w:bookmarkEnd w:id="91"/>
      <w:bookmarkStart w:id="92" w:name="_Hlt26954838"/>
      <w:bookmarkEnd w:id="92"/>
      <w:bookmarkStart w:id="93" w:name="_Toc513029219"/>
      <w:bookmarkStart w:id="94" w:name="_Toc14577357"/>
      <w:bookmarkStart w:id="95" w:name="_Toc513029216"/>
      <w:bookmarkStart w:id="96" w:name="_Toc49090507"/>
      <w:bookmarkStart w:id="97" w:name="_Toc49090509"/>
      <w:bookmarkStart w:id="98" w:name="_Toc14577354"/>
      <w:bookmarkStart w:id="99" w:name="_Toc49090508"/>
      <w:bookmarkStart w:id="100" w:name="_Toc14577355"/>
      <w:r>
        <w:rPr>
          <w:rFonts w:hint="eastAsia" w:ascii="方正楷体_GBK" w:hAnsi="方正楷体_GBK" w:eastAsia="方正楷体_GBK" w:cs="方正楷体_GBK"/>
          <w:b/>
          <w:bCs/>
          <w:color w:val="auto"/>
          <w:highlight w:val="none"/>
        </w:rPr>
        <w:t>11</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证明谈判响应标的符合谈判文件规定的文件</w:t>
      </w:r>
      <w:bookmarkEnd w:id="93"/>
      <w:bookmarkEnd w:id="94"/>
      <w:bookmarkEnd w:id="95"/>
      <w:bookmarkEnd w:id="96"/>
      <w:bookmarkEnd w:id="97"/>
      <w:bookmarkEnd w:id="98"/>
    </w:p>
    <w:p w14:paraId="5AAF6030">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供应商应按照法律、法规、规章和规范性文件以及谈判</w:t>
      </w:r>
      <w:r>
        <w:rPr>
          <w:rFonts w:hint="eastAsia" w:ascii="宋体" w:hAnsi="宋体" w:eastAsia="宋体" w:cs="Times New Roman"/>
          <w:color w:val="auto"/>
          <w:sz w:val="24"/>
          <w:highlight w:val="none"/>
          <w:lang w:eastAsia="zh-CN"/>
        </w:rPr>
        <w:t>文件</w:t>
      </w:r>
      <w:r>
        <w:rPr>
          <w:rFonts w:hint="eastAsia" w:ascii="宋体" w:hAnsi="宋体" w:eastAsia="宋体" w:cs="Times New Roman"/>
          <w:color w:val="auto"/>
          <w:sz w:val="24"/>
          <w:highlight w:val="none"/>
        </w:rPr>
        <w:t>要求提交证明文件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证明其响应标的符合</w:t>
      </w:r>
      <w:r>
        <w:rPr>
          <w:rFonts w:hint="eastAsia" w:ascii="宋体" w:hAnsi="宋体" w:eastAsia="宋体" w:cs="Times New Roman"/>
          <w:color w:val="auto"/>
          <w:sz w:val="24"/>
          <w:highlight w:val="none"/>
          <w:lang w:eastAsia="zh-CN"/>
        </w:rPr>
        <w:t>谈判</w:t>
      </w:r>
      <w:r>
        <w:rPr>
          <w:rFonts w:hint="eastAsia" w:ascii="宋体" w:hAnsi="宋体" w:eastAsia="宋体" w:cs="Times New Roman"/>
          <w:color w:val="auto"/>
          <w:sz w:val="24"/>
          <w:highlight w:val="none"/>
        </w:rPr>
        <w:t>文件规定。</w:t>
      </w:r>
    </w:p>
    <w:p w14:paraId="4FDE2E24">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谈判文件对证明文件无明确形式要求的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证明文件可以以文字资料、图纸和数据等形式提交。</w:t>
      </w:r>
      <w:bookmarkEnd w:id="99"/>
      <w:bookmarkEnd w:id="100"/>
    </w:p>
    <w:p w14:paraId="462C13F3">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12</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分项报价表</w:t>
      </w:r>
      <w:r>
        <w:rPr>
          <w:rFonts w:hint="eastAsia" w:ascii="方正楷体_GBK" w:hAnsi="方正楷体_GBK" w:eastAsia="方正楷体_GBK" w:cs="方正楷体_GBK"/>
          <w:b/>
          <w:bCs/>
          <w:color w:val="auto"/>
          <w:highlight w:val="none"/>
          <w:lang w:eastAsia="zh-CN"/>
        </w:rPr>
        <w:t>（如有）</w:t>
      </w:r>
    </w:p>
    <w:p w14:paraId="054CB182">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供应商应按照谈判文件规定格式填报分项报价表。</w:t>
      </w:r>
    </w:p>
    <w:p w14:paraId="0C9F9F8A">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响应文件中的单价和总价无特殊规定的采用人民币报价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以元为单位标注。谈判文件另有规定的按规定执行。</w:t>
      </w:r>
    </w:p>
    <w:p w14:paraId="5996F968">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01" w:name="_Hlt26954731"/>
      <w:bookmarkEnd w:id="101"/>
      <w:bookmarkStart w:id="102" w:name="_Hlt26954846"/>
      <w:bookmarkEnd w:id="102"/>
      <w:bookmarkStart w:id="103" w:name="_Hlt26670482"/>
      <w:bookmarkEnd w:id="103"/>
      <w:bookmarkStart w:id="104" w:name="_Hlt26670486"/>
      <w:bookmarkEnd w:id="104"/>
      <w:bookmarkStart w:id="105" w:name="_Hlt26954848"/>
      <w:bookmarkEnd w:id="105"/>
      <w:r>
        <w:rPr>
          <w:rFonts w:hint="eastAsia" w:ascii="方正楷体_GBK" w:hAnsi="方正楷体_GBK" w:eastAsia="方正楷体_GBK" w:cs="方正楷体_GBK"/>
          <w:b/>
          <w:bCs/>
          <w:color w:val="auto"/>
          <w:highlight w:val="none"/>
        </w:rPr>
        <w:t>13</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响应及偏离表</w:t>
      </w:r>
    </w:p>
    <w:p w14:paraId="07A49F7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13.1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供应商需对谈判文件中的技术要求与商务要求逐项作出响应或偏离说明。</w:t>
      </w:r>
    </w:p>
    <w:p w14:paraId="61A33E1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13.2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供应商可在响应文件中提供认为需要的其他技术文件或说明。</w:t>
      </w:r>
    </w:p>
    <w:p w14:paraId="53563F51">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06" w:name="_Toc49090510"/>
      <w:bookmarkStart w:id="107" w:name="_Toc14577359"/>
      <w:r>
        <w:rPr>
          <w:rFonts w:hint="eastAsia" w:ascii="方正楷体_GBK" w:hAnsi="方正楷体_GBK" w:eastAsia="方正楷体_GBK" w:cs="方正楷体_GBK"/>
          <w:b/>
          <w:bCs/>
          <w:color w:val="auto"/>
          <w:highlight w:val="none"/>
        </w:rPr>
        <w:t>1</w:t>
      </w:r>
      <w:r>
        <w:rPr>
          <w:rFonts w:hint="eastAsia" w:ascii="方正楷体_GBK" w:hAnsi="方正楷体_GBK" w:eastAsia="方正楷体_GBK" w:cs="方正楷体_GBK"/>
          <w:b/>
          <w:bCs/>
          <w:color w:val="auto"/>
          <w:highlight w:val="none"/>
          <w:lang w:val="en-US" w:eastAsia="zh-CN"/>
        </w:rPr>
        <w:t>4.</w:t>
      </w:r>
      <w:r>
        <w:rPr>
          <w:rFonts w:hint="eastAsia" w:ascii="方正楷体_GBK" w:hAnsi="方正楷体_GBK" w:eastAsia="方正楷体_GBK" w:cs="方正楷体_GBK"/>
          <w:b/>
          <w:bCs/>
          <w:color w:val="auto"/>
          <w:highlight w:val="none"/>
        </w:rPr>
        <w:t>谈判响应函</w:t>
      </w:r>
    </w:p>
    <w:p w14:paraId="015F6A4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供应商应按照谈判文件规定格式完整、正确填报谈判响应函。</w:t>
      </w:r>
      <w:bookmarkEnd w:id="106"/>
      <w:bookmarkEnd w:id="107"/>
    </w:p>
    <w:p w14:paraId="4C2350C6">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08" w:name="_Toc14577360"/>
      <w:bookmarkStart w:id="109" w:name="_Toc49090511"/>
      <w:r>
        <w:rPr>
          <w:rFonts w:hint="eastAsia" w:ascii="方正楷体_GBK" w:hAnsi="方正楷体_GBK" w:eastAsia="方正楷体_GBK" w:cs="方正楷体_GBK"/>
          <w:b/>
          <w:bCs/>
          <w:color w:val="auto"/>
          <w:highlight w:val="none"/>
        </w:rPr>
        <w:t>1</w:t>
      </w:r>
      <w:r>
        <w:rPr>
          <w:rFonts w:hint="eastAsia" w:ascii="方正楷体_GBK" w:hAnsi="方正楷体_GBK" w:eastAsia="方正楷体_GBK" w:cs="方正楷体_GBK"/>
          <w:b/>
          <w:bCs/>
          <w:color w:val="auto"/>
          <w:highlight w:val="none"/>
          <w:lang w:val="en-US" w:eastAsia="zh-CN"/>
        </w:rPr>
        <w:t>5.</w:t>
      </w:r>
      <w:r>
        <w:rPr>
          <w:rFonts w:hint="eastAsia" w:ascii="方正楷体_GBK" w:hAnsi="方正楷体_GBK" w:eastAsia="方正楷体_GBK" w:cs="方正楷体_GBK"/>
          <w:b/>
          <w:bCs/>
          <w:color w:val="auto"/>
          <w:highlight w:val="none"/>
        </w:rPr>
        <w:t>谈判有效期</w:t>
      </w:r>
      <w:bookmarkEnd w:id="108"/>
      <w:bookmarkEnd w:id="109"/>
    </w:p>
    <w:p w14:paraId="0F3B71A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谈判有效期为</w:t>
      </w:r>
      <w:r>
        <w:rPr>
          <w:rFonts w:hint="eastAsia" w:ascii="宋体" w:hAnsi="宋体" w:eastAsia="宋体" w:cs="Times New Roman"/>
          <w:color w:val="auto"/>
          <w:sz w:val="24"/>
          <w:highlight w:val="none"/>
          <w:lang w:val="zh-CN" w:eastAsia="zh-CN"/>
        </w:rPr>
        <w:t>谈判公告</w:t>
      </w:r>
      <w:r>
        <w:rPr>
          <w:rFonts w:hint="eastAsia" w:ascii="宋体" w:hAnsi="宋体" w:eastAsia="宋体" w:cs="Times New Roman"/>
          <w:color w:val="auto"/>
          <w:sz w:val="24"/>
          <w:highlight w:val="none"/>
          <w:lang w:val="zh-CN"/>
        </w:rPr>
        <w:t>规定的提交响应文件截止之日</w:t>
      </w:r>
      <w:r>
        <w:rPr>
          <w:rFonts w:hint="eastAsia" w:ascii="宋体" w:hAnsi="宋体" w:eastAsia="宋体" w:cs="Times New Roman"/>
          <w:color w:val="auto"/>
          <w:sz w:val="24"/>
          <w:highlight w:val="none"/>
          <w:lang w:val="zh-CN" w:eastAsia="zh-CN"/>
        </w:rPr>
        <w:t>起</w:t>
      </w:r>
      <w:r>
        <w:rPr>
          <w:rFonts w:hint="eastAsia" w:ascii="宋体" w:hAnsi="宋体" w:eastAsia="宋体" w:cs="Times New Roman"/>
          <w:color w:val="auto"/>
          <w:sz w:val="24"/>
          <w:highlight w:val="none"/>
          <w:lang w:val="zh-CN"/>
        </w:rPr>
        <w:t>六十天。谈判有效期比规定短的将被视为未实质性响应谈判文件而被拒绝。</w:t>
      </w:r>
    </w:p>
    <w:p w14:paraId="5A12B6C8">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1</w:t>
      </w:r>
      <w:r>
        <w:rPr>
          <w:rFonts w:hint="eastAsia" w:ascii="方正楷体_GBK" w:hAnsi="方正楷体_GBK" w:eastAsia="方正楷体_GBK" w:cs="方正楷体_GBK"/>
          <w:b/>
          <w:bCs/>
          <w:color w:val="auto"/>
          <w:highlight w:val="none"/>
          <w:lang w:val="en-US" w:eastAsia="zh-CN"/>
        </w:rPr>
        <w:t>6.</w:t>
      </w:r>
      <w:r>
        <w:rPr>
          <w:rFonts w:hint="eastAsia" w:ascii="方正楷体_GBK" w:hAnsi="方正楷体_GBK" w:eastAsia="方正楷体_GBK" w:cs="方正楷体_GBK"/>
          <w:b/>
          <w:bCs/>
          <w:color w:val="auto"/>
          <w:highlight w:val="none"/>
        </w:rPr>
        <w:t>谈判有效期的延长</w:t>
      </w:r>
    </w:p>
    <w:p w14:paraId="22C5E55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16</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在特殊情况下，</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rPr>
        <w:t>于原谈判有效期满之前，可向供应商提出延长谈判有效期的要求。这种要求与答复均应采用书面形式。供应商可以拒绝</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rPr>
        <w:t>的这一要求而放弃谈判</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zh-CN"/>
        </w:rPr>
        <w:t>同意延长谈判有效期的供应商既不能要求也不允许修改其响应文件</w:t>
      </w:r>
      <w:r>
        <w:rPr>
          <w:rFonts w:hint="eastAsia" w:ascii="宋体" w:hAnsi="宋体" w:eastAsia="宋体" w:cs="Times New Roman"/>
          <w:color w:val="auto"/>
          <w:sz w:val="24"/>
          <w:highlight w:val="none"/>
          <w:lang w:val="zh-CN" w:eastAsia="zh-CN"/>
        </w:rPr>
        <w:t>，同时</w:t>
      </w:r>
      <w:r>
        <w:rPr>
          <w:rFonts w:hint="eastAsia" w:ascii="宋体" w:hAnsi="宋体" w:eastAsia="宋体" w:cs="Times New Roman"/>
          <w:color w:val="auto"/>
          <w:sz w:val="24"/>
          <w:highlight w:val="none"/>
          <w:lang w:val="zh-CN"/>
        </w:rPr>
        <w:t>受谈判有效期约束的所有权利与义务均延长至新的有效期</w:t>
      </w:r>
      <w:r>
        <w:rPr>
          <w:rFonts w:hint="eastAsia" w:ascii="宋体" w:hAnsi="宋体" w:eastAsia="宋体" w:cs="Times New Roman"/>
          <w:color w:val="auto"/>
          <w:sz w:val="24"/>
          <w:highlight w:val="none"/>
          <w:lang w:val="zh-CN" w:eastAsia="zh-CN"/>
        </w:rPr>
        <w:t>满</w:t>
      </w:r>
      <w:r>
        <w:rPr>
          <w:rFonts w:hint="eastAsia" w:ascii="宋体" w:hAnsi="宋体" w:eastAsia="宋体" w:cs="Times New Roman"/>
          <w:color w:val="auto"/>
          <w:sz w:val="24"/>
          <w:highlight w:val="none"/>
          <w:lang w:val="zh-CN"/>
        </w:rPr>
        <w:t>。</w:t>
      </w:r>
    </w:p>
    <w:p w14:paraId="6466CA00">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10" w:name="_Hlt26954739"/>
      <w:bookmarkEnd w:id="110"/>
      <w:bookmarkStart w:id="111" w:name="_Hlt26954852"/>
      <w:bookmarkEnd w:id="111"/>
      <w:bookmarkStart w:id="112" w:name="_Toc120614217"/>
      <w:bookmarkStart w:id="113" w:name="_Toc20823296"/>
      <w:bookmarkStart w:id="114" w:name="_Toc513029224"/>
      <w:bookmarkStart w:id="115" w:name="_Toc16938540"/>
      <w:r>
        <w:rPr>
          <w:rFonts w:hint="eastAsia" w:ascii="方正黑体_GBK" w:hAnsi="方正黑体_GBK" w:eastAsia="方正黑体_GBK" w:cs="方正黑体_GBK"/>
          <w:b w:val="0"/>
          <w:bCs w:val="0"/>
          <w:color w:val="auto"/>
          <w:sz w:val="30"/>
          <w:szCs w:val="30"/>
          <w:highlight w:val="none"/>
        </w:rPr>
        <w:t>四、响应文件的递交</w:t>
      </w:r>
      <w:bookmarkEnd w:id="112"/>
      <w:bookmarkEnd w:id="113"/>
      <w:bookmarkEnd w:id="114"/>
      <w:bookmarkEnd w:id="115"/>
    </w:p>
    <w:p w14:paraId="281E2329">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16" w:name="_Toc462564084"/>
      <w:bookmarkStart w:id="117" w:name="_Toc20823297"/>
      <w:bookmarkStart w:id="118" w:name="_Toc16938541"/>
      <w:bookmarkStart w:id="119" w:name="_Toc513029225"/>
      <w:r>
        <w:rPr>
          <w:rFonts w:hint="eastAsia" w:ascii="方正楷体_GBK" w:hAnsi="方正楷体_GBK" w:eastAsia="方正楷体_GBK" w:cs="方正楷体_GBK"/>
          <w:b/>
          <w:bCs/>
          <w:color w:val="auto"/>
          <w:highlight w:val="none"/>
        </w:rPr>
        <w:t>1</w:t>
      </w:r>
      <w:r>
        <w:rPr>
          <w:rFonts w:hint="eastAsia" w:ascii="方正楷体_GBK" w:hAnsi="方正楷体_GBK" w:eastAsia="方正楷体_GBK" w:cs="方正楷体_GBK"/>
          <w:b/>
          <w:bCs/>
          <w:color w:val="auto"/>
          <w:highlight w:val="none"/>
          <w:lang w:val="en-US" w:eastAsia="zh-CN"/>
        </w:rPr>
        <w:t>7.</w:t>
      </w:r>
      <w:r>
        <w:rPr>
          <w:rFonts w:hint="eastAsia" w:ascii="方正楷体_GBK" w:hAnsi="方正楷体_GBK" w:eastAsia="方正楷体_GBK" w:cs="方正楷体_GBK"/>
          <w:b/>
          <w:bCs/>
          <w:color w:val="auto"/>
          <w:highlight w:val="none"/>
        </w:rPr>
        <w:t>谈判</w:t>
      </w:r>
      <w:bookmarkEnd w:id="116"/>
      <w:bookmarkEnd w:id="117"/>
      <w:bookmarkEnd w:id="118"/>
      <w:bookmarkEnd w:id="119"/>
      <w:r>
        <w:rPr>
          <w:rFonts w:hint="eastAsia" w:ascii="方正楷体_GBK" w:hAnsi="方正楷体_GBK" w:eastAsia="方正楷体_GBK" w:cs="方正楷体_GBK"/>
          <w:b/>
          <w:bCs/>
          <w:color w:val="auto"/>
          <w:highlight w:val="none"/>
        </w:rPr>
        <w:t>响应文件的递交</w:t>
      </w:r>
    </w:p>
    <w:p w14:paraId="7F0DFA70">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供应商应当按照《操作手册》规定，在</w:t>
      </w:r>
      <w:r>
        <w:rPr>
          <w:rFonts w:hint="eastAsia" w:ascii="宋体" w:hAnsi="宋体" w:eastAsia="宋体" w:cs="Times New Roman"/>
          <w:color w:val="auto"/>
          <w:sz w:val="24"/>
          <w:highlight w:val="none"/>
          <w:lang w:val="en-US" w:eastAsia="zh-CN"/>
        </w:rPr>
        <w:t>采购</w:t>
      </w:r>
      <w:r>
        <w:rPr>
          <w:rFonts w:hint="eastAsia" w:ascii="宋体" w:hAnsi="宋体" w:eastAsia="宋体" w:cs="Times New Roman"/>
          <w:color w:val="auto"/>
          <w:sz w:val="24"/>
          <w:highlight w:val="none"/>
          <w:lang w:val="zh-CN" w:eastAsia="zh-CN"/>
        </w:rPr>
        <w:t>公告规定的提交响应文件截止时间前制作并上传电子响应文件。</w:t>
      </w:r>
      <w:bookmarkStart w:id="120" w:name="_Toc513029226"/>
      <w:bookmarkEnd w:id="120"/>
      <w:bookmarkStart w:id="121" w:name="_Toc16938542"/>
      <w:bookmarkEnd w:id="121"/>
      <w:bookmarkStart w:id="122" w:name="_Toc20823298"/>
      <w:bookmarkEnd w:id="122"/>
    </w:p>
    <w:p w14:paraId="17CF16A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eastAsia="zh-CN"/>
        </w:rPr>
        <w:t>供应商应充分考虑网络环境、网络带宽等因素</w:t>
      </w:r>
      <w:r>
        <w:rPr>
          <w:rFonts w:hint="eastAsia" w:ascii="宋体" w:hAnsi="宋体" w:eastAsia="宋体" w:cs="Times New Roman"/>
          <w:color w:val="auto"/>
          <w:sz w:val="24"/>
          <w:highlight w:val="none"/>
          <w:lang w:val="en-US" w:eastAsia="zh-CN"/>
        </w:rPr>
        <w:t>可能产生的影响</w:t>
      </w:r>
      <w:r>
        <w:rPr>
          <w:rFonts w:hint="eastAsia" w:ascii="宋体" w:hAnsi="宋体" w:eastAsia="宋体" w:cs="Times New Roman"/>
          <w:color w:val="auto"/>
          <w:sz w:val="24"/>
          <w:highlight w:val="none"/>
          <w:lang w:val="zh-CN" w:eastAsia="zh-CN"/>
        </w:rPr>
        <w:t>，如因供应商自身原因造成的电子响应文件上传不成功</w:t>
      </w:r>
      <w:r>
        <w:rPr>
          <w:rFonts w:hint="eastAsia" w:ascii="宋体" w:hAnsi="宋体" w:eastAsia="宋体" w:cs="Times New Roman"/>
          <w:color w:val="auto"/>
          <w:sz w:val="24"/>
          <w:szCs w:val="22"/>
          <w:highlight w:val="none"/>
          <w:lang w:val="zh-CN"/>
        </w:rPr>
        <w:t>由供应商自行承担全部责任</w:t>
      </w:r>
      <w:r>
        <w:rPr>
          <w:rFonts w:hint="eastAsia" w:ascii="宋体" w:hAnsi="宋体" w:eastAsia="宋体" w:cs="Times New Roman"/>
          <w:color w:val="auto"/>
          <w:sz w:val="24"/>
          <w:highlight w:val="none"/>
          <w:lang w:val="zh-CN" w:eastAsia="zh-CN"/>
        </w:rPr>
        <w:t>，并按照本谈判文件第二章第2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条规定做无效响应处理。</w:t>
      </w:r>
    </w:p>
    <w:p w14:paraId="7758316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 xml:space="preserve"> </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eastAsia="zh-CN"/>
        </w:rPr>
        <w:t>可以按照规定，通过修改谈判文件酌情延长提交响应文件截止时间，在此情况下，供应商的所有权利和义务均以延长后新的截止时间为准。</w:t>
      </w:r>
    </w:p>
    <w:p w14:paraId="60B17DD3">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23" w:name="_Toc513029227"/>
      <w:bookmarkStart w:id="124" w:name="_Toc16938543"/>
      <w:bookmarkStart w:id="125" w:name="_Toc20823299"/>
      <w:r>
        <w:rPr>
          <w:rFonts w:hint="eastAsia" w:ascii="方正楷体_GBK" w:hAnsi="方正楷体_GBK" w:eastAsia="方正楷体_GBK" w:cs="方正楷体_GBK"/>
          <w:b/>
          <w:bCs/>
          <w:color w:val="auto"/>
          <w:highlight w:val="none"/>
          <w:lang w:val="en-US" w:eastAsia="zh-CN"/>
        </w:rPr>
        <w:t>18.</w:t>
      </w:r>
      <w:r>
        <w:rPr>
          <w:rFonts w:hint="eastAsia" w:ascii="方正楷体_GBK" w:hAnsi="方正楷体_GBK" w:eastAsia="方正楷体_GBK" w:cs="方正楷体_GBK"/>
          <w:b/>
          <w:bCs/>
          <w:color w:val="auto"/>
          <w:highlight w:val="none"/>
        </w:rPr>
        <w:t>响应文件</w:t>
      </w:r>
      <w:bookmarkEnd w:id="123"/>
      <w:bookmarkEnd w:id="124"/>
      <w:bookmarkEnd w:id="125"/>
      <w:r>
        <w:rPr>
          <w:rFonts w:hint="eastAsia" w:ascii="方正楷体_GBK" w:hAnsi="方正楷体_GBK" w:eastAsia="方正楷体_GBK" w:cs="方正楷体_GBK"/>
          <w:b/>
          <w:bCs/>
          <w:color w:val="auto"/>
          <w:highlight w:val="none"/>
        </w:rPr>
        <w:t>的拒收</w:t>
      </w:r>
    </w:p>
    <w:p w14:paraId="13A473C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18</w:t>
      </w:r>
      <w:r>
        <w:rPr>
          <w:rFonts w:hint="eastAsia" w:ascii="宋体" w:hAnsi="宋体" w:eastAsia="宋体" w:cs="Times New Roman"/>
          <w:color w:val="auto"/>
          <w:sz w:val="24"/>
          <w:highlight w:val="none"/>
          <w:lang w:val="zh-CN" w:eastAsia="zh-CN"/>
        </w:rPr>
        <w:t>.1 提交响应文件截止时间后上传的任何响应文件将被拒绝。</w:t>
      </w:r>
    </w:p>
    <w:p w14:paraId="4C66A1BD">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26" w:name="_Toc20823300"/>
      <w:bookmarkStart w:id="127" w:name="_Toc513029228"/>
      <w:bookmarkStart w:id="128" w:name="_Toc16938544"/>
      <w:r>
        <w:rPr>
          <w:rFonts w:hint="eastAsia" w:ascii="方正楷体_GBK" w:hAnsi="方正楷体_GBK" w:eastAsia="方正楷体_GBK" w:cs="方正楷体_GBK"/>
          <w:b/>
          <w:bCs/>
          <w:color w:val="auto"/>
          <w:highlight w:val="none"/>
          <w:lang w:val="en-US" w:eastAsia="zh-CN"/>
        </w:rPr>
        <w:t>19.</w:t>
      </w:r>
      <w:r>
        <w:rPr>
          <w:rFonts w:hint="eastAsia" w:ascii="方正楷体_GBK" w:hAnsi="方正楷体_GBK" w:eastAsia="方正楷体_GBK" w:cs="方正楷体_GBK"/>
          <w:b/>
          <w:bCs/>
          <w:color w:val="auto"/>
          <w:highlight w:val="none"/>
        </w:rPr>
        <w:t>响应文件的撤回和修改</w:t>
      </w:r>
      <w:bookmarkEnd w:id="126"/>
      <w:bookmarkEnd w:id="127"/>
      <w:bookmarkEnd w:id="128"/>
    </w:p>
    <w:p w14:paraId="1636A04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响应文件的撤回</w:t>
      </w:r>
    </w:p>
    <w:p w14:paraId="3271F0B0">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eastAsia="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供应商可在提交响应文件截止时间前，撤回其电子响应文件，具体操作方法见《操作手册》。</w:t>
      </w:r>
    </w:p>
    <w:p w14:paraId="49C765A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eastAsia="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供应商撤回电子响应文件，则认为其不再参与本项目谈判活动。</w:t>
      </w:r>
    </w:p>
    <w:p w14:paraId="63F2A6B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响应文件的修改</w:t>
      </w:r>
    </w:p>
    <w:p w14:paraId="1205F13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19.2.1 </w:t>
      </w:r>
      <w:r>
        <w:rPr>
          <w:rFonts w:hint="eastAsia" w:ascii="宋体" w:hAnsi="宋体" w:eastAsia="宋体" w:cs="Times New Roman"/>
          <w:color w:val="auto"/>
          <w:sz w:val="24"/>
          <w:highlight w:val="none"/>
          <w:lang w:val="zh-CN" w:eastAsia="zh-CN"/>
        </w:rPr>
        <w:t>供应商可在提交响应文件截止时间前，对其电子响应文件进行修改，具体操作方法见《操作手册》。</w:t>
      </w:r>
    </w:p>
    <w:p w14:paraId="024B8BC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19.2.2 </w:t>
      </w:r>
      <w:r>
        <w:rPr>
          <w:rFonts w:hint="eastAsia" w:ascii="宋体" w:hAnsi="宋体" w:eastAsia="宋体" w:cs="Times New Roman"/>
          <w:color w:val="auto"/>
          <w:sz w:val="24"/>
          <w:highlight w:val="none"/>
          <w:lang w:val="zh-CN" w:eastAsia="zh-CN"/>
        </w:rPr>
        <w:t>在提交响应文件截止时间后，供应商不得对其电子响应文件作任何修改。</w:t>
      </w:r>
    </w:p>
    <w:p w14:paraId="098778D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 xml:space="preserve"> 在提交响应文件截止时间至谈判文件中规定的谈判有效期满之间的这段时间内，供应商不得撤回其响应文件。</w:t>
      </w:r>
    </w:p>
    <w:p w14:paraId="38821355">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29" w:name="_Toc120614218"/>
      <w:bookmarkStart w:id="130" w:name="_Toc513029229"/>
      <w:bookmarkStart w:id="131" w:name="_Toc16938545"/>
      <w:bookmarkStart w:id="132" w:name="_Toc20823301"/>
      <w:r>
        <w:rPr>
          <w:rFonts w:hint="eastAsia" w:ascii="方正黑体_GBK" w:hAnsi="方正黑体_GBK" w:eastAsia="方正黑体_GBK" w:cs="方正黑体_GBK"/>
          <w:b w:val="0"/>
          <w:bCs w:val="0"/>
          <w:color w:val="auto"/>
          <w:sz w:val="30"/>
          <w:szCs w:val="30"/>
          <w:highlight w:val="none"/>
        </w:rPr>
        <w:t>五、响应文件的解密与评审</w:t>
      </w:r>
      <w:bookmarkEnd w:id="129"/>
      <w:bookmarkEnd w:id="130"/>
      <w:bookmarkEnd w:id="131"/>
      <w:bookmarkEnd w:id="132"/>
    </w:p>
    <w:p w14:paraId="515F0987">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20.</w:t>
      </w:r>
      <w:r>
        <w:rPr>
          <w:rFonts w:hint="eastAsia" w:ascii="方正楷体_GBK" w:hAnsi="方正楷体_GBK" w:eastAsia="方正楷体_GBK" w:cs="方正楷体_GBK"/>
          <w:b/>
          <w:bCs/>
          <w:color w:val="auto"/>
          <w:highlight w:val="none"/>
        </w:rPr>
        <w:t>响应文件解密</w:t>
      </w:r>
    </w:p>
    <w:p w14:paraId="38117F6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0</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供应商应当按照《操作手册》规定，在苏采云系统规定的时间内对响应文件进行解密。</w:t>
      </w:r>
    </w:p>
    <w:p w14:paraId="6474F09D">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lang w:val="en-US" w:eastAsia="zh-CN"/>
        </w:rPr>
      </w:pPr>
      <w:bookmarkStart w:id="133" w:name="_Toc20823303"/>
      <w:bookmarkStart w:id="134" w:name="_Toc513029231"/>
      <w:bookmarkStart w:id="135" w:name="_Toc16938547"/>
      <w:r>
        <w:rPr>
          <w:rFonts w:hint="eastAsia" w:ascii="方正楷体_GBK" w:hAnsi="方正楷体_GBK" w:eastAsia="方正楷体_GBK" w:cs="方正楷体_GBK"/>
          <w:b/>
          <w:bCs/>
          <w:color w:val="auto"/>
          <w:highlight w:val="none"/>
          <w:lang w:val="en-US" w:eastAsia="zh-CN"/>
        </w:rPr>
        <w:t>21.谈判</w:t>
      </w:r>
    </w:p>
    <w:p w14:paraId="4B853F9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依法组建的谈判小组对响应文件进行评审。</w:t>
      </w:r>
    </w:p>
    <w:p w14:paraId="66AF357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21.2 </w:t>
      </w:r>
      <w:r>
        <w:rPr>
          <w:rFonts w:hint="eastAsia" w:ascii="宋体" w:hAnsi="宋体" w:eastAsia="宋体" w:cs="Times New Roman"/>
          <w:color w:val="auto"/>
          <w:sz w:val="24"/>
          <w:highlight w:val="none"/>
          <w:lang w:val="zh-CN" w:eastAsia="zh-CN"/>
        </w:rPr>
        <w:t>谈判小组由采购人代表和有关方面的专家组成，人员构成符合政府采购有关规定。</w:t>
      </w:r>
    </w:p>
    <w:p w14:paraId="3024D5C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eastAsia="zh-CN"/>
        </w:rPr>
        <w:t>谈判小组独立工作，负责评审所有响应文件并推荐成交候选人，或根据采购人授权直接确定成交供应商。</w:t>
      </w:r>
    </w:p>
    <w:p w14:paraId="4862ED4E">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val="en-US" w:eastAsia="zh-CN"/>
        </w:rPr>
        <w:t>2.</w:t>
      </w:r>
      <w:r>
        <w:rPr>
          <w:rFonts w:hint="eastAsia" w:ascii="方正楷体_GBK" w:hAnsi="方正楷体_GBK" w:eastAsia="方正楷体_GBK" w:cs="方正楷体_GBK"/>
          <w:b/>
          <w:bCs/>
          <w:color w:val="auto"/>
          <w:highlight w:val="none"/>
        </w:rPr>
        <w:t>评审过程的保密与公正</w:t>
      </w:r>
      <w:bookmarkEnd w:id="133"/>
      <w:bookmarkEnd w:id="134"/>
      <w:bookmarkEnd w:id="135"/>
    </w:p>
    <w:p w14:paraId="1BB02E7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谈判小组、采购人和</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eastAsia="zh-CN"/>
        </w:rPr>
        <w:t>工作人员、相关监督人员等与评审工作有关的人员，对评审情况以及在评审过程中获悉的国家秘密、商业秘密负有保密责任。</w:t>
      </w:r>
    </w:p>
    <w:p w14:paraId="0DEB039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供应商不得以任何行为影响评审过程，否则其响应文件将被作为无效响应文件。</w:t>
      </w:r>
    </w:p>
    <w:p w14:paraId="5B93CEB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eastAsia="zh-CN"/>
        </w:rPr>
        <w:t>和谈判小组不向未成交的供应商解释未成交原因，也不公布评审过程中的相关细节。</w:t>
      </w:r>
    </w:p>
    <w:p w14:paraId="11FC038B">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36" w:name="_Toc16938548"/>
      <w:bookmarkStart w:id="137" w:name="_Toc513029232"/>
      <w:bookmarkStart w:id="138" w:name="_Toc20823304"/>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val="en-US" w:eastAsia="zh-CN"/>
        </w:rPr>
        <w:t>3.</w:t>
      </w:r>
      <w:r>
        <w:rPr>
          <w:rFonts w:hint="eastAsia" w:ascii="方正楷体_GBK" w:hAnsi="方正楷体_GBK" w:eastAsia="方正楷体_GBK" w:cs="方正楷体_GBK"/>
          <w:b/>
          <w:bCs/>
          <w:color w:val="auto"/>
          <w:highlight w:val="none"/>
        </w:rPr>
        <w:t>评审过程中的的澄清</w:t>
      </w:r>
      <w:bookmarkEnd w:id="136"/>
      <w:bookmarkEnd w:id="137"/>
      <w:bookmarkEnd w:id="138"/>
    </w:p>
    <w:p w14:paraId="576D791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项目评审期间，谈判小组</w:t>
      </w:r>
      <w:r>
        <w:rPr>
          <w:rFonts w:hint="eastAsia" w:ascii="宋体" w:hAnsi="宋体" w:eastAsia="宋体" w:cs="Times New Roman"/>
          <w:color w:val="auto"/>
          <w:sz w:val="24"/>
          <w:highlight w:val="none"/>
          <w:lang w:val="zh-CN"/>
        </w:rPr>
        <w:t>对响应文件中含义不明确、同类问题表述不一致或者有明显文字和计算错误的内容，有权要求供应商作出必要的澄清、说明或者补正。</w:t>
      </w:r>
    </w:p>
    <w:p w14:paraId="585675C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供应商的澄清、说明或者补正不得超出响应文件的范围或者改变响应文件的实质性内容。</w:t>
      </w:r>
    </w:p>
    <w:p w14:paraId="7AF189E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谈判小组并非对每个供应商都做澄清要求。</w:t>
      </w:r>
    </w:p>
    <w:p w14:paraId="7909F1C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需要供应商进行澄清、说明和补正的，谈判小组将通过苏采云系统向供应商发布</w:t>
      </w:r>
      <w:r>
        <w:rPr>
          <w:rFonts w:hint="eastAsia" w:ascii="宋体" w:hAnsi="宋体" w:eastAsia="宋体" w:cs="Times New Roman"/>
          <w:color w:val="auto"/>
          <w:sz w:val="24"/>
          <w:highlight w:val="none"/>
          <w:lang w:val="zh-CN"/>
        </w:rPr>
        <w:t>《澄清要求函》</w:t>
      </w:r>
      <w:r>
        <w:rPr>
          <w:rFonts w:hint="eastAsia" w:ascii="宋体" w:hAnsi="宋体" w:eastAsia="宋体" w:cs="Times New Roman"/>
          <w:color w:val="auto"/>
          <w:sz w:val="24"/>
          <w:highlight w:val="none"/>
          <w:lang w:val="zh-CN" w:eastAsia="zh-CN"/>
        </w:rPr>
        <w:t>，接到</w:t>
      </w:r>
      <w:r>
        <w:rPr>
          <w:rFonts w:hint="eastAsia" w:ascii="宋体" w:hAnsi="宋体" w:eastAsia="宋体" w:cs="Times New Roman"/>
          <w:color w:val="auto"/>
          <w:sz w:val="24"/>
          <w:highlight w:val="none"/>
          <w:lang w:val="zh-CN"/>
        </w:rPr>
        <w:t>《澄清要求函》</w:t>
      </w:r>
      <w:r>
        <w:rPr>
          <w:rFonts w:hint="eastAsia" w:ascii="宋体" w:hAnsi="宋体" w:eastAsia="宋体" w:cs="Times New Roman"/>
          <w:color w:val="auto"/>
          <w:sz w:val="24"/>
          <w:highlight w:val="none"/>
          <w:lang w:val="zh-CN" w:eastAsia="zh-CN"/>
        </w:rPr>
        <w:t>的供应商应当按照要求在苏采云系统中提交</w:t>
      </w:r>
      <w:r>
        <w:rPr>
          <w:rFonts w:hint="eastAsia" w:ascii="宋体" w:hAnsi="宋体" w:eastAsia="宋体" w:cs="Times New Roman"/>
          <w:color w:val="auto"/>
          <w:sz w:val="24"/>
          <w:highlight w:val="none"/>
          <w:lang w:val="zh-CN"/>
        </w:rPr>
        <w:t>《澄清响应函》</w:t>
      </w:r>
      <w:r>
        <w:rPr>
          <w:rFonts w:hint="eastAsia" w:ascii="宋体" w:hAnsi="宋体" w:eastAsia="宋体" w:cs="Times New Roman"/>
          <w:color w:val="auto"/>
          <w:sz w:val="24"/>
          <w:highlight w:val="none"/>
          <w:lang w:val="zh-CN" w:eastAsia="zh-CN"/>
        </w:rPr>
        <w:t>并加盖电子公章。澄清、说明和补正的内容作为响应文件的补充部分，具体操作方式见《操作手册》。</w:t>
      </w:r>
    </w:p>
    <w:p w14:paraId="060CB1C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.3 接到谈判小组澄清、说明和补正要求的供应商如未按规定做出澄清、说明和补正，其风险由供应商自行承担。</w:t>
      </w:r>
    </w:p>
    <w:p w14:paraId="0739FD36">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rPr>
      </w:pPr>
      <w:bookmarkStart w:id="139" w:name="_Toc20823305"/>
      <w:bookmarkStart w:id="140" w:name="_Toc513029233"/>
      <w:bookmarkStart w:id="141" w:name="_Toc16938549"/>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val="en-US" w:eastAsia="zh-CN"/>
        </w:rPr>
        <w:t>4.</w:t>
      </w:r>
      <w:r>
        <w:rPr>
          <w:rFonts w:hint="eastAsia" w:ascii="方正楷体_GBK" w:hAnsi="方正楷体_GBK" w:eastAsia="方正楷体_GBK" w:cs="方正楷体_GBK"/>
          <w:b/>
          <w:bCs/>
          <w:color w:val="auto"/>
          <w:highlight w:val="none"/>
        </w:rPr>
        <w:t>响应文件的审</w:t>
      </w:r>
      <w:bookmarkEnd w:id="139"/>
      <w:bookmarkEnd w:id="140"/>
      <w:bookmarkEnd w:id="141"/>
      <w:r>
        <w:rPr>
          <w:rFonts w:hint="eastAsia" w:ascii="方正楷体_GBK" w:hAnsi="方正楷体_GBK" w:eastAsia="方正楷体_GBK" w:cs="方正楷体_GBK"/>
          <w:b/>
          <w:bCs/>
          <w:color w:val="auto"/>
          <w:highlight w:val="none"/>
        </w:rPr>
        <w:t>查</w:t>
      </w:r>
    </w:p>
    <w:p w14:paraId="002C40EF">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24.1 响应文件审查分为资格审查和符合性审查。</w:t>
      </w:r>
    </w:p>
    <w:p w14:paraId="750AB385">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24.1.1 资格审查。依据法律法规和谈判文件的规定，谈判小组对响应文件中的资格证明文件进行审查，以确定供应商是否具备参加谈判的资格。</w:t>
      </w:r>
    </w:p>
    <w:p w14:paraId="1DC08DD0">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谈判小组在进行资格审查的同时，将在“信用中国”网站（www.creditchina.gov.cn）查询供应商的信用记录，以确定供应商是否具备谈判资格，查询结果留存并归档。</w:t>
      </w:r>
    </w:p>
    <w:p w14:paraId="5691FBBB">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接受联合体的项目</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联合体成员存在不良信用记录的</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视同联合体存在不良应用记录。</w:t>
      </w:r>
    </w:p>
    <w:p w14:paraId="0BD4933C">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24.1.2 符合性审查。依据谈判文件的规定，由谈判小组从响应文件的有效性、完整性和对谈判文件的响应程度进行审查，以确定是否对谈判文件的实质性要求作出响应。</w:t>
      </w:r>
    </w:p>
    <w:p w14:paraId="736E301A">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24.1.3 未通过资格审查或符合性审查的供应商，谈判小组</w:t>
      </w:r>
      <w:r>
        <w:rPr>
          <w:rFonts w:hint="eastAsia" w:ascii="宋体" w:hAnsi="宋体" w:eastAsia="宋体" w:cs="Times New Roman"/>
          <w:color w:val="auto"/>
          <w:sz w:val="24"/>
          <w:szCs w:val="22"/>
          <w:highlight w:val="none"/>
          <w:lang w:val="en-US" w:eastAsia="zh-CN"/>
        </w:rPr>
        <w:t>将通过苏采云系统告知具体原因，评审结束后将不再接受有关询问。</w:t>
      </w:r>
    </w:p>
    <w:p w14:paraId="011060F5">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24.2 在详细评审之前，谈判小组将首先审查每份响应文件是否实质性响应了谈判文件的要求。实质性响应的响应文件应该是与谈判文件要求的全部条款、条件和规格相符，没有重大偏离或保留的文件。</w:t>
      </w:r>
    </w:p>
    <w:p w14:paraId="67B6DD8A">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p>
    <w:p w14:paraId="2EC15941">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24.</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szCs w:val="22"/>
          <w:highlight w:val="none"/>
          <w:lang w:val="zh-CN"/>
        </w:rPr>
        <w:t>异常低价投标审查</w:t>
      </w:r>
    </w:p>
    <w:p w14:paraId="7299AA19">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w:t>
      </w:r>
      <w:r>
        <w:rPr>
          <w:rFonts w:hint="eastAsia" w:ascii="宋体" w:hAnsi="宋体" w:eastAsia="宋体" w:cs="Times New Roman"/>
          <w:color w:val="auto"/>
          <w:sz w:val="24"/>
          <w:szCs w:val="22"/>
          <w:highlight w:val="none"/>
          <w:lang w:val="en-US" w:eastAsia="zh-CN"/>
        </w:rPr>
        <w:t>审</w:t>
      </w:r>
      <w:r>
        <w:rPr>
          <w:rFonts w:hint="eastAsia" w:ascii="宋体" w:hAnsi="宋体" w:eastAsia="宋体" w:cs="Times New Roman"/>
          <w:color w:val="auto"/>
          <w:sz w:val="24"/>
          <w:szCs w:val="22"/>
          <w:highlight w:val="none"/>
          <w:lang w:val="zh-CN"/>
        </w:rPr>
        <w:t>过程中出现下列情形之一的，</w:t>
      </w:r>
      <w:r>
        <w:rPr>
          <w:rFonts w:hint="eastAsia" w:ascii="宋体" w:hAnsi="宋体" w:eastAsia="宋体" w:cs="Times New Roman"/>
          <w:color w:val="auto"/>
          <w:sz w:val="24"/>
          <w:szCs w:val="22"/>
          <w:highlight w:val="none"/>
          <w:lang w:val="en-US" w:eastAsia="zh-CN"/>
        </w:rPr>
        <w:t>谈判</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2"/>
          <w:highlight w:val="none"/>
          <w:lang w:val="zh-CN"/>
        </w:rPr>
        <w:t>应当启动异常低价投标审查程序：</w:t>
      </w:r>
    </w:p>
    <w:p w14:paraId="7A7F86C3">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（1）</w:t>
      </w:r>
      <w:r>
        <w:rPr>
          <w:rFonts w:hint="eastAsia" w:ascii="宋体" w:hAnsi="宋体" w:eastAsia="宋体" w:cs="Times New Roman"/>
          <w:color w:val="auto"/>
          <w:sz w:val="24"/>
          <w:szCs w:val="21"/>
          <w:highlight w:val="none"/>
          <w:lang w:val="en-US" w:eastAsia="zh-CN"/>
        </w:rPr>
        <w:t>最后报价</w:t>
      </w:r>
      <w:r>
        <w:rPr>
          <w:rFonts w:hint="eastAsia" w:ascii="宋体" w:hAnsi="宋体" w:eastAsia="宋体" w:cs="Times New Roman"/>
          <w:color w:val="auto"/>
          <w:sz w:val="24"/>
          <w:szCs w:val="22"/>
          <w:highlight w:val="none"/>
          <w:lang w:val="zh-CN"/>
        </w:rPr>
        <w:t>低于全部通过符合性审查</w:t>
      </w:r>
      <w:r>
        <w:rPr>
          <w:rFonts w:hint="eastAsia" w:ascii="宋体" w:hAnsi="宋体" w:eastAsia="宋体" w:cs="Times New Roman"/>
          <w:color w:val="auto"/>
          <w:sz w:val="24"/>
          <w:szCs w:val="22"/>
          <w:highlight w:val="none"/>
          <w:lang w:val="zh-CN" w:eastAsia="zh-CN"/>
        </w:rPr>
        <w:t>供应商</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平均值</w:t>
      </w:r>
      <w:r>
        <w:rPr>
          <w:rFonts w:hint="eastAsia" w:ascii="宋体" w:hAnsi="宋体" w:cs="Times New Roman"/>
          <w:color w:val="auto"/>
          <w:sz w:val="24"/>
          <w:szCs w:val="22"/>
          <w:highlight w:val="none"/>
          <w:lang w:val="en-US" w:eastAsia="zh-CN"/>
        </w:rPr>
        <w:t>50</w:t>
      </w:r>
      <w:r>
        <w:rPr>
          <w:rFonts w:hint="eastAsia" w:ascii="宋体" w:hAnsi="宋体" w:eastAsia="宋体" w:cs="Times New Roman"/>
          <w:color w:val="auto"/>
          <w:sz w:val="24"/>
          <w:szCs w:val="22"/>
          <w:highlight w:val="none"/>
          <w:lang w:val="zh-CN" w:eastAsia="zh-CN"/>
        </w:rPr>
        <w:t>%的，即</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&lt;全部通过符合性审查供应商</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平均值×</w:t>
      </w:r>
      <w:r>
        <w:rPr>
          <w:rFonts w:hint="eastAsia" w:ascii="宋体" w:hAnsi="宋体" w:cs="Times New Roman"/>
          <w:color w:val="auto"/>
          <w:sz w:val="24"/>
          <w:szCs w:val="22"/>
          <w:highlight w:val="none"/>
          <w:lang w:val="en-US" w:eastAsia="zh-CN"/>
        </w:rPr>
        <w:t>50</w:t>
      </w:r>
      <w:r>
        <w:rPr>
          <w:rFonts w:hint="eastAsia" w:ascii="宋体" w:hAnsi="宋体" w:eastAsia="宋体" w:cs="Times New Roman"/>
          <w:color w:val="auto"/>
          <w:sz w:val="24"/>
          <w:szCs w:val="22"/>
          <w:highlight w:val="none"/>
          <w:lang w:val="zh-CN" w:eastAsia="zh-CN"/>
        </w:rPr>
        <w:t>%；</w:t>
      </w:r>
    </w:p>
    <w:p w14:paraId="3EEE62CB">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（2）</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低于通过符合性审查的次低报价供应商</w:t>
      </w:r>
      <w:r>
        <w:rPr>
          <w:rFonts w:hint="eastAsia" w:ascii="宋体" w:hAnsi="宋体" w:eastAsia="宋体" w:cs="Times New Roman"/>
          <w:color w:val="auto"/>
          <w:sz w:val="24"/>
          <w:szCs w:val="22"/>
          <w:highlight w:val="none"/>
          <w:lang w:val="en-US" w:eastAsia="zh-CN"/>
        </w:rPr>
        <w:t>最后报价</w:t>
      </w:r>
      <w:r>
        <w:rPr>
          <w:rFonts w:hint="eastAsia" w:ascii="宋体" w:hAnsi="宋体" w:cs="Times New Roman"/>
          <w:color w:val="auto"/>
          <w:sz w:val="24"/>
          <w:szCs w:val="22"/>
          <w:highlight w:val="none"/>
          <w:lang w:val="en-US" w:eastAsia="zh-CN"/>
        </w:rPr>
        <w:t>50</w:t>
      </w:r>
      <w:r>
        <w:rPr>
          <w:rFonts w:hint="eastAsia" w:ascii="宋体" w:hAnsi="宋体" w:eastAsia="宋体" w:cs="Times New Roman"/>
          <w:color w:val="auto"/>
          <w:sz w:val="24"/>
          <w:szCs w:val="22"/>
          <w:highlight w:val="none"/>
          <w:lang w:val="zh-CN" w:eastAsia="zh-CN"/>
        </w:rPr>
        <w:t>%的，即</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&lt;通过符合性审查的次低报价供应商</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w:t>
      </w:r>
      <w:r>
        <w:rPr>
          <w:rFonts w:hint="eastAsia" w:ascii="宋体" w:hAnsi="宋体" w:cs="Times New Roman"/>
          <w:color w:val="auto"/>
          <w:sz w:val="24"/>
          <w:szCs w:val="22"/>
          <w:highlight w:val="none"/>
          <w:lang w:val="en-US" w:eastAsia="zh-CN"/>
        </w:rPr>
        <w:t>50</w:t>
      </w:r>
      <w:r>
        <w:rPr>
          <w:rFonts w:hint="eastAsia" w:ascii="宋体" w:hAnsi="宋体" w:eastAsia="宋体" w:cs="Times New Roman"/>
          <w:color w:val="auto"/>
          <w:sz w:val="24"/>
          <w:szCs w:val="22"/>
          <w:highlight w:val="none"/>
          <w:lang w:val="zh-CN" w:eastAsia="zh-CN"/>
        </w:rPr>
        <w:t>%；</w:t>
      </w:r>
    </w:p>
    <w:p w14:paraId="1F24ABC6">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（3）</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低于采购项目最高限价</w:t>
      </w:r>
      <w:r>
        <w:rPr>
          <w:rFonts w:hint="eastAsia" w:ascii="宋体" w:hAnsi="宋体" w:cs="Times New Roman"/>
          <w:color w:val="auto"/>
          <w:sz w:val="24"/>
          <w:szCs w:val="22"/>
          <w:highlight w:val="none"/>
          <w:lang w:val="en-US" w:eastAsia="zh-CN"/>
        </w:rPr>
        <w:t>50</w:t>
      </w:r>
      <w:r>
        <w:rPr>
          <w:rFonts w:hint="eastAsia" w:ascii="宋体" w:hAnsi="宋体" w:eastAsia="宋体" w:cs="Times New Roman"/>
          <w:color w:val="auto"/>
          <w:sz w:val="24"/>
          <w:szCs w:val="22"/>
          <w:highlight w:val="none"/>
          <w:lang w:val="zh-CN" w:eastAsia="zh-CN"/>
        </w:rPr>
        <w:t>%的，即</w:t>
      </w:r>
      <w:r>
        <w:rPr>
          <w:rFonts w:hint="eastAsia" w:ascii="宋体" w:hAnsi="宋体" w:eastAsia="宋体" w:cs="Times New Roman"/>
          <w:color w:val="auto"/>
          <w:sz w:val="24"/>
          <w:szCs w:val="22"/>
          <w:highlight w:val="none"/>
          <w:lang w:val="en-US" w:eastAsia="zh-CN"/>
        </w:rPr>
        <w:t>最后报价</w:t>
      </w:r>
      <w:r>
        <w:rPr>
          <w:rFonts w:hint="eastAsia" w:ascii="宋体" w:hAnsi="宋体" w:eastAsia="宋体" w:cs="Times New Roman"/>
          <w:color w:val="auto"/>
          <w:sz w:val="24"/>
          <w:szCs w:val="22"/>
          <w:highlight w:val="none"/>
          <w:lang w:val="zh-CN" w:eastAsia="zh-CN"/>
        </w:rPr>
        <w:t>&lt;采购项目最高限价×</w:t>
      </w:r>
      <w:r>
        <w:rPr>
          <w:rFonts w:hint="eastAsia" w:ascii="宋体" w:hAnsi="宋体" w:cs="Times New Roman"/>
          <w:color w:val="auto"/>
          <w:sz w:val="24"/>
          <w:szCs w:val="22"/>
          <w:highlight w:val="none"/>
          <w:lang w:val="en-US" w:eastAsia="zh-CN"/>
        </w:rPr>
        <w:t>50</w:t>
      </w:r>
      <w:r>
        <w:rPr>
          <w:rFonts w:hint="eastAsia" w:ascii="宋体" w:hAnsi="宋体" w:eastAsia="宋体" w:cs="Times New Roman"/>
          <w:color w:val="auto"/>
          <w:sz w:val="24"/>
          <w:szCs w:val="22"/>
          <w:highlight w:val="none"/>
          <w:lang w:val="zh-CN" w:eastAsia="zh-CN"/>
        </w:rPr>
        <w:t>%；</w:t>
      </w:r>
    </w:p>
    <w:p w14:paraId="168336EE">
      <w:pPr>
        <w:spacing w:line="240" w:lineRule="auto"/>
        <w:ind w:firstLine="420"/>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zh-CN"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谈判</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2"/>
          <w:highlight w:val="none"/>
          <w:lang w:val="zh-CN"/>
        </w:rPr>
        <w:t>基于专业判断，认为供应商</w:t>
      </w:r>
      <w:r>
        <w:rPr>
          <w:rFonts w:hint="eastAsia" w:ascii="宋体" w:hAnsi="宋体" w:eastAsia="宋体" w:cs="Times New Roman"/>
          <w:color w:val="auto"/>
          <w:sz w:val="24"/>
          <w:szCs w:val="22"/>
          <w:highlight w:val="none"/>
          <w:lang w:val="en-US" w:eastAsia="zh-CN"/>
        </w:rPr>
        <w:t>最后</w:t>
      </w:r>
      <w:r>
        <w:rPr>
          <w:rFonts w:hint="eastAsia" w:ascii="宋体" w:hAnsi="宋体" w:eastAsia="宋体" w:cs="Times New Roman"/>
          <w:color w:val="auto"/>
          <w:sz w:val="24"/>
          <w:szCs w:val="22"/>
          <w:highlight w:val="none"/>
          <w:lang w:val="zh-CN"/>
        </w:rPr>
        <w:t>报价过低，有可能影响产品质量或者不能诚信履约的其他情形。</w:t>
      </w:r>
    </w:p>
    <w:p w14:paraId="52210787">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3</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2谈判</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2"/>
          <w:highlight w:val="none"/>
          <w:lang w:val="zh-CN" w:eastAsia="zh-CN"/>
        </w:rPr>
        <w:t>启动异常低价投标审查后，属于前述第（1）项至第（4）项情形的，应当要求相关供应商在评审现场合理的时间内对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最后报价</w:t>
      </w:r>
      <w:r>
        <w:rPr>
          <w:rFonts w:hint="eastAsia" w:ascii="宋体" w:hAnsi="宋体" w:eastAsia="宋体" w:cs="Times New Roman"/>
          <w:color w:val="auto"/>
          <w:sz w:val="24"/>
          <w:szCs w:val="22"/>
          <w:highlight w:val="none"/>
          <w:lang w:val="zh-CN" w:eastAsia="zh-CN"/>
        </w:rPr>
        <w:t>作出解释，提供项目具体成本测算等与报价合理性相关的书面说明及必要的证明材料，包括但不限于原材料成本、人工成本、制造费用等，给予相关供应商的合理时间一般不少于30分钟。其中，属于第（3）项情形，</w:t>
      </w:r>
      <w:bookmarkStart w:id="142" w:name="OLE_LINK2"/>
      <w:r>
        <w:rPr>
          <w:rFonts w:hint="eastAsia" w:ascii="宋体" w:hAnsi="宋体" w:eastAsia="宋体" w:cs="Times New Roman"/>
          <w:color w:val="auto"/>
          <w:sz w:val="24"/>
          <w:szCs w:val="22"/>
          <w:highlight w:val="none"/>
          <w:lang w:val="zh-CN" w:eastAsia="zh-CN"/>
        </w:rPr>
        <w:t>供应商已随</w:t>
      </w:r>
      <w:r>
        <w:rPr>
          <w:rFonts w:hint="eastAsia" w:ascii="宋体" w:hAnsi="宋体" w:eastAsia="宋体" w:cs="Times New Roman"/>
          <w:color w:val="auto"/>
          <w:sz w:val="24"/>
          <w:szCs w:val="22"/>
          <w:highlight w:val="none"/>
          <w:lang w:val="en-US" w:eastAsia="zh-CN"/>
        </w:rPr>
        <w:t>响应</w:t>
      </w:r>
      <w:r>
        <w:rPr>
          <w:rFonts w:hint="eastAsia" w:ascii="宋体" w:hAnsi="宋体" w:eastAsia="宋体" w:cs="Times New Roman"/>
          <w:color w:val="auto"/>
          <w:sz w:val="24"/>
          <w:szCs w:val="22"/>
          <w:highlight w:val="none"/>
          <w:lang w:val="zh-CN" w:eastAsia="zh-CN"/>
        </w:rPr>
        <w:t>文件一并提交相关书面说明及必要的证明材料</w:t>
      </w:r>
      <w:bookmarkStart w:id="206" w:name="_GoBack"/>
      <w:bookmarkEnd w:id="206"/>
      <w:r>
        <w:rPr>
          <w:rFonts w:hint="eastAsia" w:ascii="宋体" w:hAnsi="宋体" w:eastAsia="宋体" w:cs="Times New Roman"/>
          <w:color w:val="auto"/>
          <w:sz w:val="24"/>
          <w:szCs w:val="22"/>
          <w:highlight w:val="none"/>
          <w:lang w:val="zh-CN" w:eastAsia="zh-CN"/>
        </w:rPr>
        <w:t>的，在评</w:t>
      </w:r>
      <w:r>
        <w:rPr>
          <w:rFonts w:hint="eastAsia" w:ascii="宋体" w:hAnsi="宋体" w:eastAsia="宋体" w:cs="Times New Roman"/>
          <w:color w:val="auto"/>
          <w:sz w:val="24"/>
          <w:szCs w:val="22"/>
          <w:highlight w:val="none"/>
          <w:lang w:val="en-US" w:eastAsia="zh-CN"/>
        </w:rPr>
        <w:t>审</w:t>
      </w:r>
      <w:r>
        <w:rPr>
          <w:rFonts w:hint="eastAsia" w:ascii="宋体" w:hAnsi="宋体" w:eastAsia="宋体" w:cs="Times New Roman"/>
          <w:color w:val="auto"/>
          <w:sz w:val="24"/>
          <w:szCs w:val="22"/>
          <w:highlight w:val="none"/>
          <w:lang w:val="zh-CN" w:eastAsia="zh-CN"/>
        </w:rPr>
        <w:t>现场可不再重复提交</w:t>
      </w:r>
      <w:bookmarkEnd w:id="142"/>
      <w:r>
        <w:rPr>
          <w:rFonts w:hint="eastAsia" w:ascii="宋体" w:hAnsi="宋体" w:eastAsia="宋体" w:cs="Times New Roman"/>
          <w:color w:val="auto"/>
          <w:sz w:val="24"/>
          <w:szCs w:val="22"/>
          <w:highlight w:val="none"/>
          <w:lang w:val="zh-CN" w:eastAsia="zh-CN"/>
        </w:rPr>
        <w:t>。</w:t>
      </w:r>
    </w:p>
    <w:p w14:paraId="4ACA6868">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谈判小组</w:t>
      </w:r>
      <w:r>
        <w:rPr>
          <w:rFonts w:hint="eastAsia" w:ascii="宋体" w:hAnsi="宋体" w:eastAsia="宋体" w:cs="Times New Roman"/>
          <w:color w:val="auto"/>
          <w:sz w:val="24"/>
          <w:szCs w:val="22"/>
          <w:highlight w:val="none"/>
          <w:lang w:val="zh-CN" w:eastAsia="zh-CN"/>
        </w:rPr>
        <w:t>依据专业经验，参考同类项目</w:t>
      </w:r>
      <w:r>
        <w:rPr>
          <w:rFonts w:hint="eastAsia" w:ascii="宋体" w:hAnsi="宋体" w:eastAsia="宋体" w:cs="Times New Roman"/>
          <w:color w:val="auto"/>
          <w:sz w:val="24"/>
          <w:szCs w:val="22"/>
          <w:highlight w:val="none"/>
          <w:lang w:val="en-US" w:eastAsia="zh-CN"/>
        </w:rPr>
        <w:t>成交</w:t>
      </w:r>
      <w:r>
        <w:rPr>
          <w:rFonts w:hint="eastAsia" w:ascii="宋体" w:hAnsi="宋体" w:eastAsia="宋体" w:cs="Times New Roman"/>
          <w:color w:val="auto"/>
          <w:sz w:val="24"/>
          <w:szCs w:val="22"/>
          <w:highlight w:val="none"/>
          <w:lang w:val="zh-CN" w:eastAsia="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谈判小组</w:t>
      </w:r>
      <w:r>
        <w:rPr>
          <w:rFonts w:hint="eastAsia" w:ascii="宋体" w:hAnsi="宋体" w:eastAsia="宋体" w:cs="Times New Roman"/>
          <w:color w:val="auto"/>
          <w:sz w:val="24"/>
          <w:szCs w:val="22"/>
          <w:highlight w:val="none"/>
          <w:lang w:val="zh-CN" w:eastAsia="zh-CN"/>
        </w:rPr>
        <w:t>应当将其作为</w:t>
      </w:r>
      <w:r>
        <w:rPr>
          <w:rFonts w:hint="eastAsia" w:ascii="宋体" w:hAnsi="宋体" w:eastAsia="宋体" w:cs="Times New Roman"/>
          <w:color w:val="auto"/>
          <w:sz w:val="24"/>
          <w:szCs w:val="22"/>
          <w:highlight w:val="none"/>
          <w:lang w:val="en-US" w:eastAsia="zh-CN"/>
        </w:rPr>
        <w:t>未实质性响应谈判文件</w:t>
      </w:r>
      <w:r>
        <w:rPr>
          <w:rFonts w:hint="eastAsia" w:ascii="宋体" w:hAnsi="宋体" w:eastAsia="宋体" w:cs="Times New Roman"/>
          <w:color w:val="auto"/>
          <w:sz w:val="24"/>
          <w:szCs w:val="22"/>
          <w:highlight w:val="none"/>
          <w:lang w:val="zh-CN" w:eastAsia="zh-CN"/>
        </w:rPr>
        <w:t>处理。</w:t>
      </w:r>
    </w:p>
    <w:p w14:paraId="1EDF6E52">
      <w:pPr>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异常低价响应审查的启动原因、审查意见和审查结果应当在评审报告中记录，并随供应商提供的相关书面说明及证明材料，以及</w:t>
      </w:r>
      <w:r>
        <w:rPr>
          <w:rFonts w:hint="eastAsia" w:ascii="宋体" w:hAnsi="宋体" w:cs="Times New Roman"/>
          <w:color w:val="auto"/>
          <w:sz w:val="24"/>
          <w:szCs w:val="22"/>
          <w:highlight w:val="none"/>
          <w:lang w:val="en-US" w:eastAsia="zh-CN"/>
        </w:rPr>
        <w:t>谈判</w:t>
      </w:r>
      <w:r>
        <w:rPr>
          <w:rFonts w:hint="eastAsia" w:ascii="宋体" w:hAnsi="宋体" w:eastAsia="宋体" w:cs="Times New Roman"/>
          <w:color w:val="auto"/>
          <w:sz w:val="24"/>
          <w:szCs w:val="22"/>
          <w:highlight w:val="none"/>
          <w:lang w:val="zh-CN" w:eastAsia="zh-CN"/>
        </w:rPr>
        <w:t>小组有关互联网浏览、查询历史一并归档。</w:t>
      </w:r>
    </w:p>
    <w:p w14:paraId="252AED57">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24.4 未实质性响应谈判文件的情形</w:t>
      </w:r>
    </w:p>
    <w:p w14:paraId="64AFA84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供应商在苏采云系统规定的时间内未成功解密电子响应文件。</w:t>
      </w:r>
    </w:p>
    <w:p w14:paraId="1758438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供应商未按照谈判文件要求上传电子响应文件。</w:t>
      </w:r>
    </w:p>
    <w:p w14:paraId="62C7D32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同一供应商提交两个（含两个）以上不同的响应文件或者最后报价。</w:t>
      </w:r>
    </w:p>
    <w:p w14:paraId="06EAFC9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供应商不具备谈判文件中规定的资格要求。</w:t>
      </w:r>
    </w:p>
    <w:p w14:paraId="7FF0AAF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供应商的最后报价超过了采购预算</w:t>
      </w:r>
      <w:r>
        <w:rPr>
          <w:rFonts w:hint="eastAsia" w:ascii="宋体" w:hAnsi="宋体" w:eastAsia="宋体" w:cs="Times New Roman"/>
          <w:color w:val="auto"/>
          <w:sz w:val="24"/>
          <w:szCs w:val="22"/>
          <w:highlight w:val="none"/>
          <w:lang w:val="zh-CN" w:eastAsia="zh-CN"/>
        </w:rPr>
        <w:t>或最高限价</w:t>
      </w:r>
      <w:r>
        <w:rPr>
          <w:rFonts w:hint="eastAsia" w:ascii="宋体" w:hAnsi="宋体" w:eastAsia="宋体" w:cs="Times New Roman"/>
          <w:color w:val="auto"/>
          <w:sz w:val="24"/>
          <w:szCs w:val="22"/>
          <w:highlight w:val="none"/>
          <w:lang w:val="en-US" w:eastAsia="zh-CN"/>
        </w:rPr>
        <w:t>或单价上限</w:t>
      </w:r>
      <w:r>
        <w:rPr>
          <w:rFonts w:hint="eastAsia" w:ascii="宋体" w:hAnsi="宋体" w:eastAsia="宋体" w:cs="Times New Roman"/>
          <w:color w:val="auto"/>
          <w:sz w:val="24"/>
          <w:highlight w:val="none"/>
          <w:lang w:val="zh-CN" w:eastAsia="zh-CN"/>
        </w:rPr>
        <w:t>。</w:t>
      </w:r>
    </w:p>
    <w:p w14:paraId="54512E5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不符合谈判文件中规定的实质性要求和条件</w:t>
      </w:r>
      <w:r>
        <w:rPr>
          <w:rFonts w:hint="eastAsia" w:ascii="宋体" w:hAnsi="宋体" w:eastAsia="宋体" w:cs="Times New Roman"/>
          <w:b w:val="0"/>
          <w:bCs w:val="0"/>
          <w:color w:val="auto"/>
          <w:sz w:val="24"/>
          <w:highlight w:val="none"/>
          <w:lang w:val="zh-CN" w:eastAsia="zh-CN"/>
        </w:rPr>
        <w:t>（</w:t>
      </w:r>
      <w:r>
        <w:rPr>
          <w:rFonts w:hint="eastAsia" w:ascii="宋体" w:hAnsi="宋体" w:eastAsia="宋体" w:cs="Times New Roman"/>
          <w:b/>
          <w:bCs/>
          <w:color w:val="auto"/>
          <w:sz w:val="24"/>
          <w:highlight w:val="none"/>
          <w:lang w:val="zh-CN" w:eastAsia="zh-CN"/>
        </w:rPr>
        <w:t>本文件中</w:t>
      </w:r>
      <w:r>
        <w:rPr>
          <w:rFonts w:hint="eastAsia" w:ascii="宋体" w:hAnsi="宋体" w:eastAsia="宋体" w:cs="Times New Roman"/>
          <w:b/>
          <w:bCs/>
          <w:i w:val="0"/>
          <w:iCs w:val="0"/>
          <w:color w:val="auto"/>
          <w:sz w:val="24"/>
          <w:szCs w:val="21"/>
          <w:highlight w:val="none"/>
          <w:u w:val="none"/>
          <w:lang w:val="en-US" w:eastAsia="zh-CN"/>
        </w:rPr>
        <w:t>斜体且有下划线部分</w:t>
      </w:r>
      <w:r>
        <w:rPr>
          <w:rFonts w:hint="eastAsia" w:ascii="宋体" w:hAnsi="宋体" w:eastAsia="宋体" w:cs="Times New Roman"/>
          <w:b/>
          <w:bCs/>
          <w:i w:val="0"/>
          <w:iCs w:val="0"/>
          <w:color w:val="auto"/>
          <w:sz w:val="24"/>
          <w:szCs w:val="21"/>
          <w:highlight w:val="none"/>
          <w:u w:val="none"/>
          <w:lang w:val="zh-CN" w:eastAsia="zh-CN"/>
        </w:rPr>
        <w:t>或者打“</w:t>
      </w:r>
      <w:r>
        <w:rPr>
          <w:rFonts w:hint="eastAsia" w:ascii="宋体" w:hAnsi="宋体" w:eastAsia="宋体" w:cs="Times New Roman"/>
          <w:b/>
          <w:bCs/>
          <w:i w:val="0"/>
          <w:iCs w:val="0"/>
          <w:color w:val="auto"/>
          <w:sz w:val="24"/>
          <w:szCs w:val="21"/>
          <w:highlight w:val="none"/>
          <w:u w:val="none"/>
          <w:lang w:val="en-US" w:eastAsia="zh-CN"/>
        </w:rPr>
        <w:t>★</w:t>
      </w:r>
      <w:r>
        <w:rPr>
          <w:rFonts w:hint="eastAsia" w:ascii="宋体" w:hAnsi="宋体" w:eastAsia="宋体" w:cs="Times New Roman"/>
          <w:b/>
          <w:bCs/>
          <w:i w:val="0"/>
          <w:iCs w:val="0"/>
          <w:color w:val="auto"/>
          <w:sz w:val="24"/>
          <w:szCs w:val="21"/>
          <w:highlight w:val="none"/>
          <w:u w:val="none"/>
          <w:lang w:val="zh-CN" w:eastAsia="zh-CN"/>
        </w:rPr>
        <w:t>”内容，</w:t>
      </w:r>
      <w:r>
        <w:rPr>
          <w:rFonts w:hint="eastAsia" w:ascii="宋体" w:hAnsi="宋体" w:eastAsia="宋体" w:cs="Times New Roman"/>
          <w:b/>
          <w:bCs/>
          <w:i w:val="0"/>
          <w:iCs w:val="0"/>
          <w:color w:val="auto"/>
          <w:sz w:val="24"/>
          <w:szCs w:val="21"/>
          <w:highlight w:val="none"/>
          <w:u w:val="none"/>
          <w:lang w:val="en-US" w:eastAsia="zh-CN"/>
        </w:rPr>
        <w:t>为实质性要求和条件</w:t>
      </w:r>
      <w:r>
        <w:rPr>
          <w:rFonts w:hint="eastAsia" w:ascii="宋体" w:hAnsi="宋体" w:eastAsia="宋体" w:cs="Times New Roman"/>
          <w:b w:val="0"/>
          <w:bCs w:val="0"/>
          <w:color w:val="auto"/>
          <w:sz w:val="24"/>
          <w:highlight w:val="none"/>
          <w:lang w:val="zh-CN" w:eastAsia="zh-CN"/>
        </w:rPr>
        <w:t>）。</w:t>
      </w:r>
    </w:p>
    <w:p w14:paraId="1D6F8AB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331E87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响应文件含有采购人不能接受的附加条件。</w:t>
      </w:r>
    </w:p>
    <w:p w14:paraId="04718937">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.9</w:t>
      </w:r>
      <w:r>
        <w:rPr>
          <w:rFonts w:hint="eastAsia" w:ascii="宋体" w:hAnsi="宋体" w:eastAsia="宋体" w:cs="Times New Roman"/>
          <w:color w:val="auto"/>
          <w:sz w:val="24"/>
          <w:highlight w:val="none"/>
          <w:lang w:val="en-US" w:eastAsia="zh-CN"/>
        </w:rPr>
        <w:t xml:space="preserve"> 谈判</w:t>
      </w:r>
      <w:r>
        <w:rPr>
          <w:rFonts w:hint="eastAsia" w:ascii="宋体" w:hAnsi="宋体" w:eastAsia="宋体" w:cs="Times New Roman"/>
          <w:color w:val="auto"/>
          <w:sz w:val="24"/>
          <w:szCs w:val="21"/>
          <w:highlight w:val="none"/>
          <w:lang w:val="en-US" w:eastAsia="zh-CN"/>
        </w:rPr>
        <w:t>小组</w:t>
      </w:r>
      <w:r>
        <w:rPr>
          <w:rFonts w:hint="eastAsia" w:ascii="宋体" w:hAnsi="宋体" w:eastAsia="宋体" w:cs="Times New Roman"/>
          <w:color w:val="auto"/>
          <w:sz w:val="24"/>
          <w:szCs w:val="21"/>
          <w:highlight w:val="none"/>
        </w:rPr>
        <w:t>按照</w:t>
      </w:r>
      <w:r>
        <w:rPr>
          <w:rFonts w:hint="eastAsia" w:ascii="宋体" w:hAnsi="宋体" w:eastAsia="宋体" w:cs="Times New Roman"/>
          <w:color w:val="auto"/>
          <w:sz w:val="24"/>
          <w:szCs w:val="21"/>
          <w:highlight w:val="none"/>
          <w:lang w:val="en-US" w:eastAsia="zh-CN"/>
        </w:rPr>
        <w:t>本采购</w:t>
      </w:r>
      <w:r>
        <w:rPr>
          <w:rFonts w:hint="eastAsia" w:ascii="宋体" w:hAnsi="宋体" w:eastAsia="宋体" w:cs="Times New Roman"/>
          <w:color w:val="auto"/>
          <w:sz w:val="24"/>
          <w:szCs w:val="21"/>
          <w:highlight w:val="none"/>
        </w:rPr>
        <w:t>文件规定对</w:t>
      </w:r>
      <w:r>
        <w:rPr>
          <w:rFonts w:hint="eastAsia" w:ascii="宋体" w:hAnsi="宋体" w:eastAsia="宋体" w:cs="Times New Roman"/>
          <w:color w:val="auto"/>
          <w:sz w:val="24"/>
          <w:szCs w:val="21"/>
          <w:highlight w:val="none"/>
          <w:lang w:val="en-US" w:eastAsia="zh-CN"/>
        </w:rPr>
        <w:t>供应商</w:t>
      </w:r>
      <w:r>
        <w:rPr>
          <w:rFonts w:hint="eastAsia" w:ascii="宋体" w:hAnsi="宋体" w:eastAsia="宋体" w:cs="Times New Roman"/>
          <w:color w:val="auto"/>
          <w:sz w:val="24"/>
          <w:szCs w:val="21"/>
          <w:highlight w:val="none"/>
        </w:rPr>
        <w:t>进行异常低价投标审查后，认为</w:t>
      </w:r>
      <w:r>
        <w:rPr>
          <w:rFonts w:hint="eastAsia" w:ascii="宋体" w:hAnsi="宋体" w:eastAsia="宋体" w:cs="Times New Roman"/>
          <w:color w:val="auto"/>
          <w:sz w:val="24"/>
          <w:szCs w:val="21"/>
          <w:highlight w:val="none"/>
          <w:lang w:val="en-US" w:eastAsia="zh-CN"/>
        </w:rPr>
        <w:t>供应商</w:t>
      </w:r>
      <w:r>
        <w:rPr>
          <w:rFonts w:hint="eastAsia" w:ascii="宋体" w:hAnsi="宋体" w:eastAsia="宋体" w:cs="Times New Roman"/>
          <w:color w:val="auto"/>
          <w:sz w:val="24"/>
          <w:szCs w:val="21"/>
          <w:highlight w:val="none"/>
        </w:rPr>
        <w:t>不能证明其报价合理性的。</w:t>
      </w:r>
    </w:p>
    <w:p w14:paraId="123B870F">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2</w:t>
      </w:r>
      <w:r>
        <w:rPr>
          <w:rFonts w:hint="eastAsia" w:ascii="宋体" w:hAnsi="宋体" w:eastAsia="宋体" w:cs="Times New Roman"/>
          <w:color w:val="auto"/>
          <w:sz w:val="24"/>
          <w:szCs w:val="21"/>
          <w:highlight w:val="none"/>
          <w:lang w:val="en-US" w:eastAsia="zh-CN"/>
        </w:rPr>
        <w:t>4</w:t>
      </w: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4</w:t>
      </w:r>
      <w:r>
        <w:rPr>
          <w:rFonts w:hint="eastAsia" w:ascii="宋体" w:hAnsi="宋体" w:eastAsia="宋体" w:cs="Times New Roman"/>
          <w:color w:val="auto"/>
          <w:sz w:val="24"/>
          <w:szCs w:val="21"/>
          <w:highlight w:val="none"/>
          <w:lang w:val="zh-CN" w:eastAsia="zh-CN"/>
        </w:rPr>
        <w:t>.</w:t>
      </w:r>
      <w:r>
        <w:rPr>
          <w:rFonts w:hint="eastAsia" w:ascii="宋体" w:hAnsi="宋体" w:eastAsia="宋体" w:cs="Times New Roman"/>
          <w:color w:val="auto"/>
          <w:sz w:val="24"/>
          <w:szCs w:val="21"/>
          <w:highlight w:val="none"/>
          <w:lang w:val="en-US" w:eastAsia="zh-CN"/>
        </w:rPr>
        <w:t xml:space="preserve">10 </w:t>
      </w:r>
      <w:r>
        <w:rPr>
          <w:rFonts w:hint="eastAsia" w:ascii="宋体" w:hAnsi="宋体" w:eastAsia="宋体" w:cs="Times New Roman"/>
          <w:color w:val="auto"/>
          <w:sz w:val="24"/>
          <w:szCs w:val="21"/>
          <w:highlight w:val="none"/>
          <w:lang w:val="zh-CN" w:eastAsia="zh-CN"/>
        </w:rPr>
        <w:t>采购产品被财政部、国家发改委、生态环境部等列入“节能产品品目清单”、“环境标志产品品目清单”强制采购范围，</w:t>
      </w:r>
      <w:r>
        <w:rPr>
          <w:rFonts w:hint="eastAsia" w:ascii="宋体" w:hAnsi="宋体" w:eastAsia="宋体" w:cs="Times New Roman"/>
          <w:color w:val="auto"/>
          <w:sz w:val="24"/>
          <w:szCs w:val="21"/>
          <w:highlight w:val="none"/>
          <w:lang w:val="en-US" w:eastAsia="zh-CN"/>
        </w:rPr>
        <w:t>而供应商提供的产品不在强制采购范围内</w:t>
      </w:r>
      <w:r>
        <w:rPr>
          <w:rFonts w:hint="eastAsia" w:ascii="宋体" w:hAnsi="宋体" w:eastAsia="宋体" w:cs="Times New Roman"/>
          <w:color w:val="auto"/>
          <w:sz w:val="24"/>
          <w:szCs w:val="21"/>
          <w:highlight w:val="none"/>
          <w:lang w:val="zh-CN" w:eastAsia="zh-CN"/>
        </w:rPr>
        <w:t>。</w:t>
      </w:r>
    </w:p>
    <w:p w14:paraId="4CBECAF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1 </w:t>
      </w:r>
      <w:r>
        <w:rPr>
          <w:rFonts w:hint="eastAsia" w:ascii="宋体" w:hAnsi="宋体" w:eastAsia="宋体" w:cs="Times New Roman"/>
          <w:color w:val="auto"/>
          <w:sz w:val="24"/>
          <w:highlight w:val="none"/>
          <w:lang w:val="zh-CN" w:eastAsia="zh-CN"/>
        </w:rPr>
        <w:t>响应文件未按照谈判文件要求加盖电子公章。</w:t>
      </w:r>
    </w:p>
    <w:p w14:paraId="1DC0D85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szCs w:val="21"/>
          <w:highlight w:val="none"/>
          <w:lang w:val="en-US" w:eastAsia="zh-CN"/>
        </w:rPr>
        <w:t>法律法规及本谈判文件规定的其他无效响应情形。</w:t>
      </w:r>
    </w:p>
    <w:p w14:paraId="09F5402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highlight w:val="none"/>
          <w:lang w:val="zh-CN" w:eastAsia="zh-CN"/>
        </w:rPr>
        <w:t>未实质性响应谈判文件的响应文件按无效响应处理。</w:t>
      </w:r>
    </w:p>
    <w:p w14:paraId="0812B28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highlight w:val="none"/>
          <w:lang w:val="zh-CN" w:eastAsia="zh-CN"/>
        </w:rPr>
        <w:t>如果响应文件实质上没有响应谈判文件的要求，谈判小组将予以拒绝，供应商不得通过修改或撤销不合理要求的偏离或保留而使其成为实质性响应的文件。</w:t>
      </w:r>
    </w:p>
    <w:p w14:paraId="6F565FF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7 </w:t>
      </w:r>
      <w:r>
        <w:rPr>
          <w:rFonts w:hint="eastAsia" w:ascii="宋体" w:hAnsi="宋体" w:eastAsia="宋体" w:cs="Times New Roman"/>
          <w:color w:val="auto"/>
          <w:sz w:val="24"/>
          <w:highlight w:val="none"/>
          <w:lang w:val="zh-CN" w:eastAsia="zh-CN"/>
        </w:rPr>
        <w:t>供应商在项目评审全过程中应保持通讯畅通，</w:t>
      </w:r>
      <w:r>
        <w:rPr>
          <w:rFonts w:hint="eastAsia" w:ascii="宋体" w:hAnsi="宋体" w:eastAsia="宋体" w:cs="Times New Roman"/>
          <w:color w:val="auto"/>
          <w:sz w:val="24"/>
          <w:highlight w:val="none"/>
          <w:lang w:val="zh-CN"/>
        </w:rPr>
        <w:t>及时登录苏采云系统查阅、答复相关信息，</w:t>
      </w:r>
      <w:r>
        <w:rPr>
          <w:rFonts w:hint="eastAsia" w:ascii="宋体" w:hAnsi="宋体" w:eastAsia="宋体" w:cs="Times New Roman"/>
          <w:color w:val="auto"/>
          <w:sz w:val="24"/>
          <w:highlight w:val="none"/>
          <w:lang w:val="zh-CN" w:eastAsia="zh-CN"/>
        </w:rPr>
        <w:t>并安排专人与</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eastAsia="zh-CN"/>
        </w:rPr>
        <w:t>及谈判小组联系。</w:t>
      </w:r>
    </w:p>
    <w:p w14:paraId="1616D59E">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lang w:val="zh-CN" w:eastAsia="zh-CN"/>
        </w:rPr>
      </w:pPr>
      <w:bookmarkStart w:id="143" w:name="_Toc513029234"/>
      <w:bookmarkStart w:id="144" w:name="_Toc16938550"/>
      <w:bookmarkStart w:id="145" w:name="_Toc20823306"/>
      <w:r>
        <w:rPr>
          <w:rFonts w:hint="eastAsia" w:ascii="方正楷体_GBK" w:hAnsi="方正楷体_GBK" w:eastAsia="方正楷体_GBK" w:cs="方正楷体_GBK"/>
          <w:b/>
          <w:bCs/>
          <w:color w:val="auto"/>
          <w:highlight w:val="none"/>
          <w:lang w:val="zh-CN" w:eastAsia="zh-CN"/>
        </w:rPr>
        <w:t>2</w:t>
      </w:r>
      <w:bookmarkEnd w:id="143"/>
      <w:bookmarkEnd w:id="144"/>
      <w:bookmarkEnd w:id="145"/>
      <w:r>
        <w:rPr>
          <w:rFonts w:hint="eastAsia" w:ascii="方正楷体_GBK" w:hAnsi="方正楷体_GBK" w:eastAsia="方正楷体_GBK" w:cs="方正楷体_GBK"/>
          <w:b/>
          <w:bCs/>
          <w:color w:val="auto"/>
          <w:highlight w:val="none"/>
          <w:lang w:val="en-US" w:eastAsia="zh-CN"/>
        </w:rPr>
        <w:t>5.</w:t>
      </w:r>
      <w:r>
        <w:rPr>
          <w:rFonts w:hint="eastAsia" w:ascii="方正楷体_GBK" w:hAnsi="方正楷体_GBK" w:eastAsia="方正楷体_GBK" w:cs="方正楷体_GBK"/>
          <w:b/>
          <w:bCs/>
          <w:color w:val="auto"/>
          <w:highlight w:val="none"/>
          <w:lang w:val="zh-CN" w:eastAsia="zh-CN"/>
        </w:rPr>
        <w:t>谈判程序及成交标准</w:t>
      </w:r>
    </w:p>
    <w:p w14:paraId="262F362D">
      <w:pPr>
        <w:keepNext w:val="0"/>
        <w:keepLines w:val="0"/>
        <w:pageBreakBefore w:val="0"/>
        <w:widowControl w:val="0"/>
        <w:spacing w:line="240" w:lineRule="auto"/>
        <w:ind w:firstLine="420"/>
        <w:rPr>
          <w:rFonts w:hint="eastAsia" w:ascii="宋体" w:hAnsi="宋体" w:eastAsia="宋体" w:cs="Times New Roman"/>
          <w:b w:val="0"/>
          <w:bCs w:val="0"/>
          <w:color w:val="auto"/>
          <w:sz w:val="24"/>
          <w:highlight w:val="none"/>
          <w:lang w:val="zh-CN" w:eastAsia="zh-CN"/>
        </w:rPr>
      </w:pPr>
      <w:r>
        <w:rPr>
          <w:rFonts w:hint="eastAsia" w:ascii="宋体" w:hAnsi="宋体" w:eastAsia="宋体" w:cs="Times New Roman"/>
          <w:b w:val="0"/>
          <w:bCs w:val="0"/>
          <w:color w:val="auto"/>
          <w:sz w:val="24"/>
          <w:highlight w:val="none"/>
          <w:lang w:val="zh-CN" w:eastAsia="zh-CN"/>
        </w:rPr>
        <w:t>2</w:t>
      </w:r>
      <w:r>
        <w:rPr>
          <w:rFonts w:hint="eastAsia" w:ascii="宋体" w:hAnsi="宋体" w:eastAsia="宋体" w:cs="Times New Roman"/>
          <w:b w:val="0"/>
          <w:bCs w:val="0"/>
          <w:color w:val="auto"/>
          <w:sz w:val="24"/>
          <w:highlight w:val="none"/>
          <w:lang w:val="en-US" w:eastAsia="zh-CN"/>
        </w:rPr>
        <w:t>5</w:t>
      </w:r>
      <w:r>
        <w:rPr>
          <w:rFonts w:hint="eastAsia" w:ascii="宋体" w:hAnsi="宋体" w:eastAsia="宋体" w:cs="Times New Roman"/>
          <w:b w:val="0"/>
          <w:bCs w:val="0"/>
          <w:color w:val="auto"/>
          <w:sz w:val="24"/>
          <w:highlight w:val="none"/>
          <w:lang w:val="zh-CN" w:eastAsia="zh-CN"/>
        </w:rPr>
        <w:t>.1</w:t>
      </w:r>
      <w:r>
        <w:rPr>
          <w:rFonts w:hint="eastAsia" w:ascii="宋体" w:hAnsi="宋体" w:eastAsia="宋体" w:cs="Times New Roman"/>
          <w:b w:val="0"/>
          <w:bCs w:val="0"/>
          <w:color w:val="auto"/>
          <w:sz w:val="24"/>
          <w:highlight w:val="none"/>
          <w:lang w:val="en-US" w:eastAsia="zh-CN"/>
        </w:rPr>
        <w:t xml:space="preserve"> </w:t>
      </w:r>
      <w:r>
        <w:rPr>
          <w:rFonts w:hint="eastAsia" w:ascii="宋体" w:hAnsi="宋体" w:eastAsia="宋体" w:cs="Times New Roman"/>
          <w:b w:val="0"/>
          <w:bCs w:val="0"/>
          <w:color w:val="auto"/>
          <w:sz w:val="24"/>
          <w:highlight w:val="none"/>
          <w:lang w:val="zh-CN" w:eastAsia="zh-CN"/>
        </w:rPr>
        <w:t>谈判程序</w:t>
      </w:r>
    </w:p>
    <w:p w14:paraId="662E1B5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谈判</w:t>
      </w:r>
      <w:r>
        <w:rPr>
          <w:rFonts w:hint="eastAsia" w:ascii="宋体" w:hAnsi="宋体" w:eastAsia="宋体" w:cs="Times New Roman"/>
          <w:color w:val="auto"/>
          <w:sz w:val="24"/>
          <w:szCs w:val="21"/>
          <w:highlight w:val="none"/>
          <w:lang w:val="en-US" w:eastAsia="zh-CN"/>
        </w:rPr>
        <w:t>小组将与通过资格审查和符合性审查的供应商分别进行</w:t>
      </w:r>
      <w:r>
        <w:rPr>
          <w:rFonts w:hint="eastAsia" w:ascii="宋体" w:hAnsi="宋体" w:eastAsia="宋体" w:cs="Times New Roman"/>
          <w:color w:val="auto"/>
          <w:sz w:val="24"/>
          <w:highlight w:val="none"/>
          <w:lang w:val="zh-CN" w:eastAsia="zh-CN"/>
        </w:rPr>
        <w:t>谈判。谈判小组通过苏采云系统向供应商发布《谈判函》，供应商应当按照要求在苏采云系统提交《谈判响应函》并加盖电子公章。</w:t>
      </w:r>
    </w:p>
    <w:p w14:paraId="572E0F3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p>
    <w:p w14:paraId="6C564E2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218EE45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auto"/>
          <w:sz w:val="24"/>
          <w:highlight w:val="none"/>
          <w:lang w:val="en-US" w:eastAsia="zh-CN"/>
        </w:rPr>
        <w:t>最后报价是供应商响应文件的有效组成部分。</w:t>
      </w:r>
    </w:p>
    <w:p w14:paraId="2201317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p>
    <w:p w14:paraId="5CDF0B7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b w:val="0"/>
          <w:bCs w:val="0"/>
          <w:color w:val="auto"/>
          <w:sz w:val="24"/>
          <w:highlight w:val="none"/>
          <w:lang w:val="zh-CN" w:eastAsia="zh-CN"/>
        </w:rPr>
        <w:t>2</w:t>
      </w:r>
      <w:r>
        <w:rPr>
          <w:rFonts w:hint="eastAsia" w:ascii="宋体" w:hAnsi="宋体" w:eastAsia="宋体" w:cs="Times New Roman"/>
          <w:b w:val="0"/>
          <w:bCs w:val="0"/>
          <w:color w:val="auto"/>
          <w:sz w:val="24"/>
          <w:highlight w:val="none"/>
          <w:lang w:val="en-US" w:eastAsia="zh-CN"/>
        </w:rPr>
        <w:t>5</w:t>
      </w:r>
      <w:r>
        <w:rPr>
          <w:rFonts w:hint="eastAsia" w:ascii="宋体" w:hAnsi="宋体" w:eastAsia="宋体" w:cs="Times New Roman"/>
          <w:b w:val="0"/>
          <w:bCs w:val="0"/>
          <w:color w:val="auto"/>
          <w:sz w:val="24"/>
          <w:highlight w:val="none"/>
          <w:lang w:val="zh-CN" w:eastAsia="zh-CN"/>
        </w:rPr>
        <w:t>.2 成交标准。</w:t>
      </w:r>
      <w:r>
        <w:rPr>
          <w:rFonts w:hint="eastAsia" w:ascii="宋体" w:hAnsi="宋体" w:eastAsia="宋体" w:cs="Times New Roman"/>
          <w:color w:val="auto"/>
          <w:sz w:val="24"/>
          <w:highlight w:val="none"/>
          <w:lang w:val="zh-CN" w:eastAsia="zh-CN"/>
        </w:rPr>
        <w:t>见谈判文件第五章</w:t>
      </w:r>
      <w:r>
        <w:rPr>
          <w:rFonts w:hint="eastAsia" w:ascii="宋体" w:hAnsi="宋体" w:eastAsia="宋体" w:cs="Times New Roman"/>
          <w:color w:val="auto"/>
          <w:sz w:val="24"/>
          <w:szCs w:val="22"/>
          <w:highlight w:val="none"/>
          <w:lang w:val="zh-CN" w:eastAsia="zh-CN"/>
        </w:rPr>
        <w:t>。</w:t>
      </w:r>
    </w:p>
    <w:p w14:paraId="7E758D1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25.3 采购活动终止</w:t>
      </w:r>
    </w:p>
    <w:p w14:paraId="2564F3A7">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eastAsia="zh-CN"/>
        </w:rPr>
      </w:pPr>
      <w:r>
        <w:rPr>
          <w:rFonts w:hint="eastAsia" w:ascii="宋体" w:hAnsi="宋体" w:eastAsia="宋体" w:cs="Times New Roman"/>
          <w:b/>
          <w:bCs/>
          <w:color w:val="auto"/>
          <w:sz w:val="24"/>
          <w:highlight w:val="none"/>
          <w:lang w:val="zh-CN" w:eastAsia="zh-CN"/>
        </w:rPr>
        <w:t>出现下列情形之一的，本次采购活动终止：</w:t>
      </w:r>
    </w:p>
    <w:p w14:paraId="78C53CE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.1因情况变化，不再符合规定的竞争性谈判采购方式适用情形。</w:t>
      </w:r>
    </w:p>
    <w:p w14:paraId="5AA87AF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.2出现影响采购公正的违法、违规行为。</w:t>
      </w:r>
    </w:p>
    <w:p w14:paraId="2E18004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szCs w:val="21"/>
          <w:highlight w:val="none"/>
          <w:lang w:val="en-US" w:eastAsia="zh-CN"/>
        </w:rPr>
        <w:t>在苏采云系统规定时间内成功解密电子响应文件的供应商不足三家。</w:t>
      </w:r>
    </w:p>
    <w:p w14:paraId="00FEAAA1">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bookmarkStart w:id="146" w:name="_Toc513029235"/>
      <w:bookmarkStart w:id="147" w:name="_Toc20823307"/>
      <w:bookmarkStart w:id="148" w:name="_Toc120614219"/>
      <w:bookmarkStart w:id="149" w:name="_Toc16938551"/>
      <w:bookmarkStart w:id="150" w:name="_Toc513029238"/>
      <w:bookmarkStart w:id="151" w:name="_Toc20823310"/>
      <w:bookmarkStart w:id="152" w:name="_Toc16938554"/>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.3.4在谈判过程中符合要求的供应商或者最后报价未超过采购预算</w:t>
      </w:r>
      <w:r>
        <w:rPr>
          <w:rFonts w:hint="eastAsia" w:ascii="宋体" w:hAnsi="宋体" w:eastAsia="宋体" w:cs="Times New Roman"/>
          <w:color w:val="auto"/>
          <w:sz w:val="24"/>
          <w:szCs w:val="21"/>
          <w:highlight w:val="none"/>
          <w:lang w:val="en-US" w:eastAsia="zh-CN"/>
        </w:rPr>
        <w:t>或最高限价</w:t>
      </w:r>
      <w:r>
        <w:rPr>
          <w:rFonts w:hint="eastAsia" w:ascii="宋体" w:hAnsi="宋体" w:eastAsia="宋体" w:cs="Times New Roman"/>
          <w:color w:val="auto"/>
          <w:sz w:val="24"/>
          <w:highlight w:val="none"/>
          <w:lang w:val="zh-CN" w:eastAsia="zh-CN"/>
        </w:rPr>
        <w:t>的供应商不足三家。</w:t>
      </w:r>
    </w:p>
    <w:p w14:paraId="2720222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.3.5法律法规规定的其他应当终止情形。</w:t>
      </w:r>
    </w:p>
    <w:p w14:paraId="78D5D0C9">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zh-CN" w:eastAsia="zh-CN"/>
        </w:rPr>
        <w:t>25.4 如出现25.</w:t>
      </w:r>
      <w:r>
        <w:rPr>
          <w:rFonts w:hint="eastAsia" w:ascii="宋体" w:hAnsi="宋体" w:eastAsia="宋体" w:cs="Times New Roman"/>
          <w:b/>
          <w:bCs/>
          <w:color w:val="auto"/>
          <w:sz w:val="24"/>
          <w:highlight w:val="none"/>
          <w:lang w:val="en-US" w:eastAsia="zh-CN"/>
        </w:rPr>
        <w:t>3</w:t>
      </w:r>
      <w:r>
        <w:rPr>
          <w:rFonts w:hint="eastAsia" w:ascii="宋体" w:hAnsi="宋体" w:eastAsia="宋体" w:cs="Times New Roman"/>
          <w:b/>
          <w:bCs/>
          <w:color w:val="auto"/>
          <w:sz w:val="24"/>
          <w:highlight w:val="none"/>
          <w:lang w:val="zh-CN" w:eastAsia="zh-CN"/>
        </w:rPr>
        <w:t>.</w:t>
      </w:r>
      <w:r>
        <w:rPr>
          <w:rFonts w:hint="eastAsia" w:ascii="宋体" w:hAnsi="宋体" w:eastAsia="宋体" w:cs="Times New Roman"/>
          <w:b/>
          <w:bCs/>
          <w:color w:val="auto"/>
          <w:sz w:val="24"/>
          <w:highlight w:val="none"/>
          <w:lang w:val="en-US" w:eastAsia="zh-CN"/>
        </w:rPr>
        <w:t>3</w:t>
      </w:r>
      <w:r>
        <w:rPr>
          <w:rFonts w:hint="eastAsia" w:ascii="宋体" w:hAnsi="宋体" w:eastAsia="宋体" w:cs="Times New Roman"/>
          <w:b/>
          <w:bCs/>
          <w:color w:val="auto"/>
          <w:sz w:val="24"/>
          <w:highlight w:val="none"/>
          <w:lang w:val="zh-CN" w:eastAsia="zh-CN"/>
        </w:rPr>
        <w:t>或25.3</w:t>
      </w:r>
      <w:r>
        <w:rPr>
          <w:rFonts w:hint="eastAsia" w:ascii="宋体" w:hAnsi="宋体" w:eastAsia="宋体" w:cs="Times New Roman"/>
          <w:b/>
          <w:bCs/>
          <w:color w:val="auto"/>
          <w:sz w:val="24"/>
          <w:highlight w:val="none"/>
          <w:lang w:val="en-US" w:eastAsia="zh-CN"/>
        </w:rPr>
        <w:t>.4</w:t>
      </w:r>
      <w:r>
        <w:rPr>
          <w:rFonts w:hint="eastAsia" w:ascii="宋体" w:hAnsi="宋体" w:eastAsia="宋体" w:cs="Times New Roman"/>
          <w:b/>
          <w:bCs/>
          <w:color w:val="auto"/>
          <w:sz w:val="24"/>
          <w:highlight w:val="none"/>
          <w:lang w:val="zh-CN" w:eastAsia="zh-CN"/>
        </w:rPr>
        <w:t>情形，</w:t>
      </w:r>
      <w:r>
        <w:rPr>
          <w:rFonts w:hint="eastAsia" w:ascii="宋体" w:hAnsi="宋体" w:eastAsia="宋体" w:cs="Times New Roman"/>
          <w:b/>
          <w:bCs/>
          <w:color w:val="auto"/>
          <w:sz w:val="24"/>
          <w:highlight w:val="none"/>
          <w:lang w:val="en-US" w:eastAsia="zh-CN"/>
        </w:rPr>
        <w:t>采购</w:t>
      </w:r>
      <w:r>
        <w:rPr>
          <w:rFonts w:hint="eastAsia" w:ascii="宋体" w:hAnsi="宋体" w:eastAsia="宋体" w:cs="Times New Roman"/>
          <w:b/>
          <w:bCs/>
          <w:color w:val="auto"/>
          <w:sz w:val="24"/>
          <w:highlight w:val="none"/>
          <w:lang w:val="zh-CN" w:eastAsia="zh-CN"/>
        </w:rPr>
        <w:t>活动失败，</w:t>
      </w:r>
      <w:r>
        <w:rPr>
          <w:rFonts w:hint="eastAsia" w:ascii="宋体" w:hAnsi="宋体" w:eastAsia="宋体" w:cs="Times New Roman"/>
          <w:b/>
          <w:bCs/>
          <w:color w:val="auto"/>
          <w:sz w:val="24"/>
          <w:highlight w:val="none"/>
          <w:lang w:val="en-US" w:eastAsia="zh-CN"/>
        </w:rPr>
        <w:t>谈判小组应</w:t>
      </w:r>
      <w:r>
        <w:rPr>
          <w:rFonts w:hint="eastAsia" w:ascii="宋体" w:hAnsi="宋体" w:eastAsia="宋体" w:cs="Times New Roman"/>
          <w:b/>
          <w:bCs/>
          <w:color w:val="auto"/>
          <w:sz w:val="24"/>
          <w:szCs w:val="22"/>
          <w:highlight w:val="none"/>
          <w:lang w:val="en-US" w:eastAsia="zh-CN" w:bidi="ar"/>
        </w:rPr>
        <w:t>对谈判</w:t>
      </w:r>
      <w:r>
        <w:rPr>
          <w:rFonts w:hint="eastAsia" w:ascii="宋体" w:hAnsi="宋体" w:eastAsia="宋体" w:cs="Times New Roman"/>
          <w:b/>
          <w:bCs/>
          <w:color w:val="auto"/>
          <w:sz w:val="24"/>
          <w:szCs w:val="22"/>
          <w:highlight w:val="none"/>
          <w:lang w:val="zh-CN" w:eastAsia="zh-CN" w:bidi="ar"/>
        </w:rPr>
        <w:t>文件是否存在不合理条款</w:t>
      </w:r>
      <w:r>
        <w:rPr>
          <w:rFonts w:hint="eastAsia" w:ascii="宋体" w:hAnsi="宋体" w:eastAsia="宋体" w:cs="Times New Roman"/>
          <w:b/>
          <w:bCs/>
          <w:color w:val="auto"/>
          <w:sz w:val="24"/>
          <w:szCs w:val="22"/>
          <w:highlight w:val="none"/>
          <w:lang w:val="en-US" w:eastAsia="zh-CN" w:bidi="ar"/>
        </w:rPr>
        <w:t>进行论证，并在评审报告中写明</w:t>
      </w:r>
      <w:r>
        <w:rPr>
          <w:rFonts w:hint="eastAsia" w:ascii="宋体" w:hAnsi="宋体" w:eastAsia="宋体" w:cs="Times New Roman"/>
          <w:b/>
          <w:bCs/>
          <w:color w:val="auto"/>
          <w:sz w:val="24"/>
          <w:szCs w:val="22"/>
          <w:highlight w:val="none"/>
          <w:lang w:val="zh-CN" w:eastAsia="zh-CN" w:bidi="ar"/>
        </w:rPr>
        <w:t>论证意见。</w:t>
      </w:r>
    </w:p>
    <w:p w14:paraId="116D2CEA">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w:t>
      </w:r>
      <w:bookmarkEnd w:id="146"/>
      <w:bookmarkEnd w:id="147"/>
      <w:bookmarkEnd w:id="148"/>
      <w:bookmarkEnd w:id="149"/>
      <w:r>
        <w:rPr>
          <w:rFonts w:hint="eastAsia" w:ascii="方正黑体_GBK" w:hAnsi="方正黑体_GBK" w:eastAsia="方正黑体_GBK" w:cs="方正黑体_GBK"/>
          <w:b w:val="0"/>
          <w:bCs w:val="0"/>
          <w:color w:val="auto"/>
          <w:sz w:val="30"/>
          <w:szCs w:val="30"/>
          <w:highlight w:val="none"/>
        </w:rPr>
        <w:t>成交</w:t>
      </w:r>
    </w:p>
    <w:p w14:paraId="058AA6E5">
      <w:pPr>
        <w:pStyle w:val="5"/>
        <w:pageBreakBefore w:val="0"/>
        <w:widowControl w:val="0"/>
        <w:spacing w:before="0" w:after="0" w:line="240" w:lineRule="auto"/>
        <w:ind w:firstLine="420"/>
        <w:rPr>
          <w:rFonts w:hint="eastAsia" w:ascii="方正楷体_GBK" w:hAnsi="方正楷体_GBK" w:eastAsia="方正楷体_GBK" w:cs="方正楷体_GBK"/>
          <w:b/>
          <w:bCs/>
          <w:color w:val="auto"/>
          <w:highlight w:val="none"/>
          <w:lang w:val="en-US" w:eastAsia="zh-CN"/>
        </w:rPr>
      </w:pPr>
      <w:r>
        <w:rPr>
          <w:rFonts w:hint="eastAsia" w:ascii="方正楷体_GBK" w:hAnsi="方正楷体_GBK" w:eastAsia="方正楷体_GBK" w:cs="方正楷体_GBK"/>
          <w:b/>
          <w:bCs/>
          <w:color w:val="auto"/>
          <w:highlight w:val="none"/>
          <w:lang w:val="en-US" w:eastAsia="zh-CN"/>
        </w:rPr>
        <w:t>26</w:t>
      </w:r>
      <w:bookmarkEnd w:id="150"/>
      <w:r>
        <w:rPr>
          <w:rFonts w:hint="eastAsia" w:ascii="方正楷体_GBK" w:hAnsi="方正楷体_GBK" w:eastAsia="方正楷体_GBK" w:cs="方正楷体_GBK"/>
          <w:b/>
          <w:bCs/>
          <w:color w:val="auto"/>
          <w:highlight w:val="none"/>
          <w:lang w:val="en-US" w:eastAsia="zh-CN"/>
        </w:rPr>
        <w:t>.确定</w:t>
      </w:r>
      <w:bookmarkEnd w:id="151"/>
      <w:bookmarkEnd w:id="152"/>
      <w:r>
        <w:rPr>
          <w:rFonts w:hint="eastAsia" w:ascii="方正楷体_GBK" w:hAnsi="方正楷体_GBK" w:eastAsia="方正楷体_GBK" w:cs="方正楷体_GBK"/>
          <w:b/>
          <w:bCs/>
          <w:color w:val="auto"/>
          <w:highlight w:val="none"/>
          <w:lang w:val="en-US" w:eastAsia="zh-CN"/>
        </w:rPr>
        <w:t>成交单位</w:t>
      </w:r>
    </w:p>
    <w:p w14:paraId="1ECFA15B">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26.1</w:t>
      </w:r>
      <w:r>
        <w:rPr>
          <w:rFonts w:hint="eastAsia" w:ascii="宋体" w:hAnsi="宋体" w:eastAsia="宋体" w:cs="Times New Roman"/>
          <w:color w:val="auto"/>
          <w:sz w:val="24"/>
          <w:szCs w:val="21"/>
          <w:highlight w:val="none"/>
          <w:lang w:val="en-US" w:eastAsia="zh-CN"/>
        </w:rPr>
        <w:t xml:space="preserve"> 成交候选供应商的确定原则和数量见谈判文件第五章。</w:t>
      </w:r>
    </w:p>
    <w:p w14:paraId="410F61D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按以下第（</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）种方式确定成交供应商：</w:t>
      </w:r>
    </w:p>
    <w:p w14:paraId="10440B7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（1）谈判小组直接确定排名第一的成交候选供应商为成交供应商。</w:t>
      </w:r>
    </w:p>
    <w:p w14:paraId="64D98C2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（2）采购人在谈判小组推荐的成交候选供应商中按顺序确定成交供应商。</w:t>
      </w:r>
    </w:p>
    <w:p w14:paraId="3C6F0F6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按第二种方式确定成交供应商的，</w:t>
      </w:r>
      <w:r>
        <w:rPr>
          <w:rFonts w:hint="eastAsia" w:ascii="宋体" w:hAnsi="宋体" w:cs="Times New Roman"/>
          <w:color w:val="auto"/>
          <w:sz w:val="24"/>
          <w:highlight w:val="none"/>
          <w:lang w:val="zh-CN"/>
        </w:rPr>
        <w:t>采购代理</w:t>
      </w:r>
      <w:r>
        <w:rPr>
          <w:rFonts w:hint="eastAsia" w:ascii="宋体" w:hAnsi="宋体" w:eastAsia="宋体" w:cs="Times New Roman"/>
          <w:color w:val="auto"/>
          <w:sz w:val="24"/>
          <w:highlight w:val="none"/>
          <w:lang w:val="zh-CN"/>
        </w:rPr>
        <w:t>自评审结束之日起两个工作日内将评审报告送</w:t>
      </w:r>
      <w:r>
        <w:rPr>
          <w:rFonts w:hint="eastAsia" w:ascii="宋体" w:hAnsi="宋体" w:eastAsia="宋体" w:cs="Times New Roman"/>
          <w:color w:val="auto"/>
          <w:sz w:val="24"/>
          <w:highlight w:val="none"/>
          <w:lang w:val="en-US" w:eastAsia="zh-CN"/>
        </w:rPr>
        <w:t>达</w:t>
      </w:r>
      <w:r>
        <w:rPr>
          <w:rFonts w:hint="eastAsia" w:ascii="宋体" w:hAnsi="宋体" w:eastAsia="宋体" w:cs="Times New Roman"/>
          <w:color w:val="auto"/>
          <w:sz w:val="24"/>
          <w:highlight w:val="none"/>
          <w:lang w:val="zh-CN"/>
        </w:rPr>
        <w:t>采购人，采购人自收到评审报告之日起五个工作日内，在评审报告推荐的成交候选供应商中按顺序确定成交供应商。</w:t>
      </w:r>
    </w:p>
    <w:p w14:paraId="4DE5209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26.3</w:t>
      </w:r>
      <w:r>
        <w:rPr>
          <w:rFonts w:hint="eastAsia" w:ascii="宋体" w:hAnsi="宋体" w:eastAsia="宋体" w:cs="Times New Roman"/>
          <w:color w:val="auto"/>
          <w:sz w:val="24"/>
          <w:highlight w:val="none"/>
          <w:lang w:val="zh-CN" w:eastAsia="zh-CN"/>
        </w:rPr>
        <w:t xml:space="preserve"> </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eastAsia="zh-CN"/>
        </w:rPr>
        <w:t>将在“江苏政府采购网”发布成交结果公告，公告期限为1个工作日。</w:t>
      </w:r>
    </w:p>
    <w:p w14:paraId="52DB395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26.4 </w:t>
      </w:r>
      <w:r>
        <w:rPr>
          <w:rFonts w:hint="eastAsia" w:ascii="宋体" w:hAnsi="宋体" w:eastAsia="宋体" w:cs="Times New Roman"/>
          <w:b/>
          <w:bCs/>
          <w:color w:val="auto"/>
          <w:sz w:val="24"/>
          <w:highlight w:val="none"/>
          <w:lang w:val="zh-CN" w:eastAsia="zh-CN"/>
        </w:rPr>
        <w:t>若有充分证据证明成交供应商出现下列情况之一的，一经查实将被取消成交资格：</w:t>
      </w:r>
    </w:p>
    <w:p w14:paraId="59BF36D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26.4.1 提供虚假材料谋取成交。</w:t>
      </w:r>
    </w:p>
    <w:p w14:paraId="1F18DA0C">
      <w:pPr>
        <w:keepNext w:val="0"/>
        <w:keepLines w:val="0"/>
        <w:pageBreakBefore w:val="0"/>
        <w:widowControl w:val="0"/>
        <w:spacing w:line="240" w:lineRule="auto"/>
        <w:ind w:firstLine="420"/>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26.4.2 向评审专家、采购人或</w:t>
      </w:r>
      <w:r>
        <w:rPr>
          <w:rFonts w:hint="eastAsia" w:ascii="宋体" w:hAnsi="宋体" w:cs="Times New Roman"/>
          <w:color w:val="auto"/>
          <w:sz w:val="24"/>
          <w:szCs w:val="22"/>
          <w:highlight w:val="none"/>
          <w:lang w:val="zh-CN" w:eastAsia="zh-CN"/>
        </w:rPr>
        <w:t>采购代理</w:t>
      </w:r>
      <w:r>
        <w:rPr>
          <w:rFonts w:hint="eastAsia" w:ascii="宋体" w:hAnsi="宋体" w:eastAsia="宋体" w:cs="Times New Roman"/>
          <w:color w:val="auto"/>
          <w:sz w:val="24"/>
          <w:szCs w:val="22"/>
          <w:highlight w:val="none"/>
          <w:lang w:val="zh-CN" w:eastAsia="zh-CN"/>
        </w:rPr>
        <w:t>工作人员行贿或者提供其他不正当利益。</w:t>
      </w:r>
    </w:p>
    <w:p w14:paraId="2D7DEC2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26.4.3 与其他供应商、评审专家、采购人或</w:t>
      </w:r>
      <w:r>
        <w:rPr>
          <w:rFonts w:hint="eastAsia" w:ascii="宋体" w:hAnsi="宋体" w:cs="Times New Roman"/>
          <w:color w:val="auto"/>
          <w:sz w:val="24"/>
          <w:szCs w:val="22"/>
          <w:highlight w:val="none"/>
          <w:lang w:val="zh-CN" w:eastAsia="zh-CN"/>
        </w:rPr>
        <w:t>采购代理</w:t>
      </w:r>
      <w:r>
        <w:rPr>
          <w:rFonts w:hint="eastAsia" w:ascii="宋体" w:hAnsi="宋体" w:eastAsia="宋体" w:cs="Times New Roman"/>
          <w:color w:val="auto"/>
          <w:sz w:val="24"/>
          <w:szCs w:val="22"/>
          <w:highlight w:val="none"/>
          <w:lang w:val="zh-CN" w:eastAsia="zh-CN"/>
        </w:rPr>
        <w:t>工作人员恶意串通。</w:t>
      </w:r>
    </w:p>
    <w:p w14:paraId="4ACCBAB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26.4.4 不满足本谈判文件规定的实质性要求，但在评审过程中未被谈判小组发现。</w:t>
      </w:r>
    </w:p>
    <w:p w14:paraId="07203A3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26.4.5 </w:t>
      </w:r>
      <w:r>
        <w:rPr>
          <w:rFonts w:hint="eastAsia" w:ascii="宋体" w:hAnsi="宋体" w:eastAsia="宋体" w:cs="Times New Roman"/>
          <w:color w:val="auto"/>
          <w:sz w:val="24"/>
          <w:highlight w:val="none"/>
          <w:lang w:val="zh-CN"/>
        </w:rPr>
        <w:t>采取不正当手段诋毁、排挤其他供应商。</w:t>
      </w:r>
    </w:p>
    <w:p w14:paraId="5421B151">
      <w:pPr>
        <w:pStyle w:val="5"/>
        <w:pageBreakBefore w:val="0"/>
        <w:widowControl w:val="0"/>
        <w:spacing w:before="0" w:after="0" w:line="240" w:lineRule="auto"/>
        <w:ind w:firstLine="420"/>
        <w:rPr>
          <w:rFonts w:hint="eastAsia" w:ascii="方正楷体_GBK" w:hAnsi="方正楷体_GBK" w:eastAsia="方正楷体_GBK" w:cs="方正楷体_GBK"/>
          <w:b/>
          <w:bCs/>
          <w:color w:val="auto"/>
          <w:sz w:val="28"/>
          <w:szCs w:val="28"/>
          <w:highlight w:val="none"/>
          <w:lang w:val="en-US" w:eastAsia="zh-CN"/>
        </w:rPr>
      </w:pPr>
      <w:bookmarkStart w:id="153" w:name="_Hlt16619369"/>
      <w:bookmarkEnd w:id="153"/>
      <w:bookmarkStart w:id="154" w:name="_Hlt16619350"/>
      <w:bookmarkStart w:id="155" w:name="_Toc120614244"/>
      <w:bookmarkStart w:id="156" w:name="_Toc16938590"/>
      <w:bookmarkStart w:id="157" w:name="_Toc20823346"/>
      <w:bookmarkStart w:id="158" w:name="_Toc479757211"/>
      <w:bookmarkStart w:id="159" w:name="_Toc462564139"/>
      <w:r>
        <w:rPr>
          <w:rFonts w:hint="eastAsia" w:ascii="方正楷体_GBK" w:hAnsi="方正楷体_GBK" w:eastAsia="方正楷体_GBK" w:cs="方正楷体_GBK"/>
          <w:b/>
          <w:bCs/>
          <w:color w:val="auto"/>
          <w:sz w:val="28"/>
          <w:szCs w:val="28"/>
          <w:highlight w:val="none"/>
          <w:lang w:val="en-US" w:eastAsia="zh-CN"/>
        </w:rPr>
        <w:t>27.成交通知书</w:t>
      </w:r>
    </w:p>
    <w:p w14:paraId="4F9DCE5F">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27.1 成交结果确定后，</w:t>
      </w:r>
      <w:r>
        <w:rPr>
          <w:rFonts w:hint="eastAsia" w:ascii="宋体" w:hAnsi="宋体" w:cs="Times New Roman"/>
          <w:color w:val="auto"/>
          <w:sz w:val="24"/>
          <w:szCs w:val="21"/>
          <w:highlight w:val="none"/>
          <w:lang w:val="en-US" w:eastAsia="zh-CN"/>
        </w:rPr>
        <w:t>采购代理</w:t>
      </w:r>
      <w:r>
        <w:rPr>
          <w:rFonts w:hint="eastAsia" w:ascii="宋体" w:hAnsi="宋体" w:eastAsia="宋体" w:cs="Times New Roman"/>
          <w:color w:val="auto"/>
          <w:sz w:val="24"/>
          <w:szCs w:val="21"/>
          <w:highlight w:val="none"/>
          <w:lang w:val="en-US" w:eastAsia="zh-CN"/>
        </w:rPr>
        <w:t xml:space="preserve">将向成交供应商发出《成交通知书》。成交供应商可在成交结果公告届满之日起三十日内，登录苏采云系统下载。    </w:t>
      </w:r>
    </w:p>
    <w:p w14:paraId="60D55DC3">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因系统存储空间有限，成交结果公告届满之日起三十日后，苏采云系统不再保证提供下载《成交通知书》服务，因未及时下载而造成的不利后果由成交供应商自行承担。</w:t>
      </w:r>
    </w:p>
    <w:p w14:paraId="26C6E074">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27.2 《成交通知书》是合同的一个组成部分，对采购人和成交供应商均具有法律效力。《成交通知书》发出后，采购人改变成交结果的，或者成交供应商放弃成交项目的，应当依法承担法律责任。</w:t>
      </w:r>
    </w:p>
    <w:p w14:paraId="3F41D2EA">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七、授予合同</w:t>
      </w:r>
    </w:p>
    <w:p w14:paraId="40869ED6">
      <w:pPr>
        <w:pStyle w:val="5"/>
        <w:pageBreakBefore w:val="0"/>
        <w:widowControl w:val="0"/>
        <w:spacing w:before="0" w:after="0" w:line="240" w:lineRule="auto"/>
        <w:ind w:firstLine="420"/>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28.签订合同</w:t>
      </w:r>
    </w:p>
    <w:p w14:paraId="5552D55F">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28.l 成交供应商应当在《成交通知书》发出之日起三十日内，按照谈判文件确定的事项与采购人签订政府采购合同。</w:t>
      </w:r>
      <w:r>
        <w:rPr>
          <w:rFonts w:hint="eastAsia" w:ascii="宋体" w:hAnsi="宋体" w:eastAsia="宋体" w:cs="Times New Roman"/>
          <w:color w:val="auto"/>
          <w:sz w:val="24"/>
          <w:highlight w:val="none"/>
          <w:lang w:val="en-US" w:eastAsia="zh-CN"/>
        </w:rPr>
        <w:t>采购人于合同签订后2个工作日内通过苏采云系统进行公示。</w:t>
      </w:r>
    </w:p>
    <w:p w14:paraId="69157B8F">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28.2 谈判文件、成交供应商的响应文件及谈判过程中有关澄清、承诺文件均作为合同附件。</w:t>
      </w:r>
    </w:p>
    <w:p w14:paraId="20171566">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28.3 签订合同后，成交供应商不得将合同标的进行转包。未经采购人同意，成交供应商也不得采用分包形式履行合同,否则采购人有权终止合同。转包或分包造成采购人损失的，成交供应商应承担相应赔偿责任。</w:t>
      </w:r>
    </w:p>
    <w:p w14:paraId="30B1B8BC">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28.4 成交供应商因自身原因拒绝与采购人签订合同的，</w:t>
      </w:r>
      <w:r>
        <w:rPr>
          <w:rFonts w:hint="eastAsia" w:ascii="宋体" w:hAnsi="宋体" w:eastAsia="宋体" w:cs="Times New Roman"/>
          <w:color w:val="auto"/>
          <w:sz w:val="24"/>
          <w:highlight w:val="none"/>
          <w:lang w:val="zh-CN" w:eastAsia="zh-CN"/>
        </w:rPr>
        <w:t>不得参加采购人</w:t>
      </w:r>
      <w:r>
        <w:rPr>
          <w:rFonts w:hint="eastAsia" w:ascii="宋体" w:hAnsi="宋体" w:eastAsia="宋体" w:cs="Times New Roman"/>
          <w:color w:val="auto"/>
          <w:sz w:val="24"/>
          <w:highlight w:val="none"/>
          <w:lang w:val="en-US" w:eastAsia="zh-CN"/>
        </w:rPr>
        <w:t>重新组织的</w:t>
      </w:r>
      <w:r>
        <w:rPr>
          <w:rFonts w:hint="eastAsia" w:ascii="宋体" w:hAnsi="宋体" w:eastAsia="宋体" w:cs="Times New Roman"/>
          <w:color w:val="auto"/>
          <w:sz w:val="24"/>
          <w:highlight w:val="none"/>
          <w:lang w:val="zh-CN" w:eastAsia="zh-CN"/>
        </w:rPr>
        <w:t>采购活动</w:t>
      </w:r>
      <w:r>
        <w:rPr>
          <w:rFonts w:hint="eastAsia"/>
          <w:color w:val="auto"/>
          <w:highlight w:val="none"/>
          <w:lang w:eastAsia="zh-CN"/>
        </w:rPr>
        <w:t>，</w:t>
      </w:r>
      <w:r>
        <w:rPr>
          <w:rFonts w:hint="eastAsia" w:ascii="宋体" w:hAnsi="宋体" w:eastAsia="宋体" w:cs="Times New Roman"/>
          <w:color w:val="auto"/>
          <w:sz w:val="24"/>
          <w:highlight w:val="none"/>
          <w:lang w:val="en-US" w:eastAsia="zh-CN"/>
        </w:rPr>
        <w:t>且将可能被拒绝参加该采购人</w:t>
      </w:r>
      <w:r>
        <w:rPr>
          <w:rFonts w:hint="eastAsia" w:ascii="宋体" w:hAnsi="宋体" w:eastAsia="宋体" w:cs="Times New Roman"/>
          <w:color w:val="auto"/>
          <w:sz w:val="24"/>
          <w:highlight w:val="none"/>
          <w:lang w:val="zh-CN" w:eastAsia="zh-CN"/>
        </w:rPr>
        <w:t>一年内</w:t>
      </w:r>
      <w:r>
        <w:rPr>
          <w:rFonts w:hint="eastAsia" w:ascii="宋体" w:hAnsi="宋体" w:eastAsia="宋体" w:cs="Times New Roman"/>
          <w:color w:val="auto"/>
          <w:sz w:val="24"/>
          <w:highlight w:val="none"/>
          <w:lang w:val="en-US" w:eastAsia="zh-CN"/>
        </w:rPr>
        <w:t>的其他</w:t>
      </w:r>
      <w:r>
        <w:rPr>
          <w:rFonts w:hint="eastAsia" w:ascii="宋体" w:hAnsi="宋体" w:eastAsia="宋体" w:cs="Times New Roman"/>
          <w:color w:val="auto"/>
          <w:sz w:val="24"/>
          <w:highlight w:val="none"/>
          <w:lang w:val="zh-CN" w:eastAsia="zh-CN"/>
        </w:rPr>
        <w:t>政府采购活动。</w:t>
      </w:r>
    </w:p>
    <w:p w14:paraId="4C64FF3A">
      <w:pPr>
        <w:pStyle w:val="5"/>
        <w:pageBreakBefore w:val="0"/>
        <w:widowControl w:val="0"/>
        <w:spacing w:before="0" w:after="0" w:line="240" w:lineRule="auto"/>
        <w:ind w:firstLine="420"/>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29.标的物的追加</w:t>
      </w:r>
    </w:p>
    <w:p w14:paraId="069260F1">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29.1 政府采购合同履行中，采购人需追加与合同标的相同的</w:t>
      </w:r>
      <w:r>
        <w:rPr>
          <w:rFonts w:hint="eastAsia" w:ascii="宋体" w:hAnsi="宋体" w:eastAsia="宋体" w:cs="Courier New"/>
          <w:color w:val="auto"/>
          <w:sz w:val="24"/>
          <w:szCs w:val="24"/>
          <w:highlight w:val="none"/>
          <w:lang w:val="zh-CN" w:eastAsia="zh-CN"/>
        </w:rPr>
        <w:t>货物或服务（包含与货物相关的服务</w:t>
      </w:r>
      <w:r>
        <w:rPr>
          <w:rFonts w:hint="eastAsia" w:ascii="宋体" w:hAnsi="宋体" w:eastAsia="宋体" w:cs="Courier New"/>
          <w:color w:val="auto"/>
          <w:sz w:val="24"/>
          <w:szCs w:val="24"/>
          <w:highlight w:val="none"/>
          <w:lang w:val="en-US" w:eastAsia="zh-CN"/>
        </w:rPr>
        <w:t>或</w:t>
      </w:r>
      <w:r>
        <w:rPr>
          <w:rFonts w:hint="eastAsia" w:ascii="宋体" w:hAnsi="宋体" w:eastAsia="宋体" w:cs="Courier New"/>
          <w:color w:val="auto"/>
          <w:sz w:val="24"/>
          <w:szCs w:val="24"/>
          <w:highlight w:val="none"/>
          <w:lang w:val="zh-CN" w:eastAsia="zh-CN"/>
        </w:rPr>
        <w:t>与服务相关的货物）</w:t>
      </w:r>
      <w:r>
        <w:rPr>
          <w:rFonts w:hint="eastAsia" w:ascii="宋体" w:hAnsi="宋体" w:eastAsia="宋体" w:cs="Times New Roman"/>
          <w:color w:val="auto"/>
          <w:sz w:val="24"/>
          <w:szCs w:val="21"/>
          <w:highlight w:val="none"/>
          <w:lang w:val="en-US" w:eastAsia="zh-CN"/>
        </w:rPr>
        <w:t>，在不改变合同其他条款的前提下，可以与成交供应商协商签订补充合同，但所有补充合同的金额不超过原合同金额10%。</w:t>
      </w:r>
    </w:p>
    <w:p w14:paraId="7D2F133C">
      <w:pPr>
        <w:pStyle w:val="5"/>
        <w:pageBreakBefore w:val="0"/>
        <w:widowControl w:val="0"/>
        <w:spacing w:before="0" w:after="0" w:line="240" w:lineRule="auto"/>
        <w:ind w:firstLine="420"/>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30.政府采购履约资金扶持政策</w:t>
      </w:r>
    </w:p>
    <w:p w14:paraId="0EDCD2B3">
      <w:pPr>
        <w:pageBreakBefore w:val="0"/>
        <w:widowControl w:val="0"/>
        <w:spacing w:line="240" w:lineRule="auto"/>
        <w:ind w:firstLine="420"/>
        <w:rPr>
          <w:rFonts w:hint="eastAsia"/>
          <w:color w:val="auto"/>
          <w:highlight w:val="none"/>
          <w:lang w:val="zh-CN" w:eastAsia="zh-CN"/>
        </w:rPr>
      </w:pPr>
      <w:r>
        <w:rPr>
          <w:rFonts w:hint="eastAsia" w:ascii="宋体" w:hAnsi="宋体" w:eastAsia="宋体" w:cs="Times New Roman"/>
          <w:color w:val="auto"/>
          <w:sz w:val="24"/>
          <w:szCs w:val="21"/>
          <w:highlight w:val="none"/>
          <w:lang w:val="en-US" w:eastAsia="zh-CN"/>
        </w:rPr>
        <w:t xml:space="preserve">30.1 </w:t>
      </w:r>
      <w:r>
        <w:rPr>
          <w:rFonts w:hint="eastAsia" w:ascii="宋体" w:hAnsi="宋体" w:eastAsia="宋体" w:cs="Times New Roman"/>
          <w:color w:val="auto"/>
          <w:sz w:val="24"/>
          <w:highlight w:val="none"/>
          <w:lang w:val="en-US" w:eastAsia="zh-CN"/>
        </w:rPr>
        <w:t>依据《关于在全省政府采购领域推行电子履约保函（保险）的通知》（苏财购</w:t>
      </w:r>
      <w:r>
        <w:rPr>
          <w:rFonts w:hint="eastAsia" w:ascii="宋体" w:hAnsi="宋体" w:eastAsia="宋体" w:cs="Times New Roman"/>
          <w:color w:val="auto"/>
          <w:sz w:val="24"/>
          <w:szCs w:val="22"/>
          <w:highlight w:val="none"/>
          <w:lang w:val="en-US" w:eastAsia="zh-CN"/>
        </w:rPr>
        <w:t>〔2023〕</w:t>
      </w:r>
      <w:r>
        <w:rPr>
          <w:rFonts w:hint="eastAsia" w:ascii="宋体" w:hAnsi="宋体" w:eastAsia="宋体" w:cs="Times New Roman"/>
          <w:color w:val="auto"/>
          <w:sz w:val="24"/>
          <w:highlight w:val="none"/>
          <w:lang w:val="en-US" w:eastAsia="zh-CN"/>
        </w:rPr>
        <w:t>150号），需要缴纳履约保证金的，成交供应商</w:t>
      </w:r>
      <w:r>
        <w:rPr>
          <w:rFonts w:hint="eastAsia" w:ascii="宋体" w:hAnsi="宋体" w:eastAsia="宋体" w:cs="Times New Roman"/>
          <w:color w:val="auto"/>
          <w:sz w:val="24"/>
          <w:highlight w:val="none"/>
          <w:lang w:val="zh-CN" w:eastAsia="zh-CN"/>
        </w:rPr>
        <w:t>可</w:t>
      </w:r>
      <w:r>
        <w:rPr>
          <w:rFonts w:hint="eastAsia" w:ascii="宋体" w:hAnsi="宋体" w:eastAsia="宋体" w:cs="Times New Roman"/>
          <w:color w:val="auto"/>
          <w:sz w:val="24"/>
          <w:highlight w:val="none"/>
          <w:lang w:val="en-US" w:eastAsia="zh-CN"/>
        </w:rPr>
        <w:t>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w:t>
      </w:r>
    </w:p>
    <w:p w14:paraId="067A1D50">
      <w:pPr>
        <w:pStyle w:val="4"/>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14:paraId="5535D8F2">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31</w:t>
      </w:r>
      <w:r>
        <w:rPr>
          <w:rFonts w:hint="eastAsia" w:ascii="宋体" w:hAnsi="宋体" w:eastAsia="宋体" w:cs="Times New Roman"/>
          <w:color w:val="auto"/>
          <w:sz w:val="24"/>
          <w:highlight w:val="none"/>
          <w:lang w:val="zh-CN"/>
        </w:rPr>
        <w:t>.提出质疑的供应商应当是参与所质疑项目采购活动的供应商，潜在供应商依法获取其可质疑的采购文件的，可以对采购文件提出质疑。</w:t>
      </w:r>
    </w:p>
    <w:p w14:paraId="43EB1C3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32</w:t>
      </w:r>
      <w:r>
        <w:rPr>
          <w:rFonts w:hint="eastAsia" w:ascii="宋体" w:hAnsi="宋体" w:eastAsia="宋体" w:cs="Times New Roman"/>
          <w:color w:val="auto"/>
          <w:sz w:val="24"/>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按照第</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条</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第</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条</w:t>
      </w:r>
      <w:r>
        <w:rPr>
          <w:rFonts w:hint="eastAsia" w:ascii="宋体" w:hAnsi="宋体" w:eastAsia="宋体" w:cs="Times New Roman"/>
          <w:color w:val="auto"/>
          <w:sz w:val="24"/>
          <w:highlight w:val="none"/>
          <w:lang w:val="en-US" w:eastAsia="zh-CN"/>
        </w:rPr>
        <w:t>之</w:t>
      </w:r>
      <w:r>
        <w:rPr>
          <w:rFonts w:hint="eastAsia" w:ascii="宋体" w:hAnsi="宋体" w:eastAsia="宋体" w:cs="Times New Roman"/>
          <w:color w:val="auto"/>
          <w:sz w:val="24"/>
          <w:highlight w:val="none"/>
          <w:lang w:val="zh-CN"/>
        </w:rPr>
        <w:t>规定以书面形式向采购人或</w:t>
      </w:r>
      <w:r>
        <w:rPr>
          <w:rFonts w:hint="eastAsia" w:ascii="宋体" w:hAnsi="宋体" w:cs="Times New Roman"/>
          <w:color w:val="auto"/>
          <w:sz w:val="24"/>
          <w:highlight w:val="none"/>
          <w:lang w:val="zh-CN"/>
        </w:rPr>
        <w:t>采购代理</w:t>
      </w:r>
      <w:r>
        <w:rPr>
          <w:rFonts w:hint="eastAsia" w:ascii="宋体" w:hAnsi="宋体" w:eastAsia="宋体" w:cs="Times New Roman"/>
          <w:color w:val="auto"/>
          <w:sz w:val="24"/>
          <w:highlight w:val="none"/>
          <w:lang w:val="zh-CN"/>
        </w:rPr>
        <w:t>提出质疑。</w:t>
      </w:r>
      <w:r>
        <w:rPr>
          <w:rFonts w:hint="eastAsia" w:ascii="宋体" w:hAnsi="宋体" w:eastAsia="宋体" w:cs="Times New Roman"/>
          <w:b/>
          <w:bCs/>
          <w:color w:val="auto"/>
          <w:sz w:val="24"/>
          <w:highlight w:val="none"/>
          <w:lang w:val="zh-CN"/>
        </w:rPr>
        <w:t>上述应知其权益受到损害之日是指：</w:t>
      </w:r>
    </w:p>
    <w:p w14:paraId="34A7E0B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对采购文件提出质疑的，为收到采购文件之日或者采购文件公告期限届满之日。</w:t>
      </w:r>
    </w:p>
    <w:p w14:paraId="10F2F22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对采购过程提出质疑的，为各采购程序环节结束之日。</w:t>
      </w:r>
    </w:p>
    <w:p w14:paraId="1EA4E4F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对成交结果提出质疑的，为成交结果公告期限届满之日。</w:t>
      </w:r>
    </w:p>
    <w:p w14:paraId="665941F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33.</w:t>
      </w:r>
      <w:r>
        <w:rPr>
          <w:rFonts w:hint="eastAsia" w:ascii="宋体" w:hAnsi="宋体" w:eastAsia="宋体" w:cs="Times New Roman"/>
          <w:color w:val="auto"/>
          <w:sz w:val="24"/>
          <w:highlight w:val="none"/>
          <w:lang w:val="zh-CN"/>
        </w:rPr>
        <w:t>供应商应当在法定质疑期内一次性提出针对同一采购程序环节的质疑。供应商如在法定期限内对同一采购程序环节提出多次质疑的，</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lang w:val="zh-CN"/>
        </w:rPr>
        <w:t>采购人将只对供应商第一次质疑作出答复。</w:t>
      </w:r>
    </w:p>
    <w:p w14:paraId="5E31598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34.</w:t>
      </w:r>
      <w:r>
        <w:rPr>
          <w:rFonts w:hint="eastAsia" w:ascii="宋体" w:hAnsi="宋体" w:eastAsia="宋体" w:cs="Times New Roman"/>
          <w:color w:val="auto"/>
          <w:sz w:val="24"/>
          <w:highlight w:val="none"/>
          <w:lang w:val="zh-CN"/>
        </w:rPr>
        <w:t>供应商提出质疑应提交《质疑函》原件，且尽可能通过邮寄方式送达，</w:t>
      </w:r>
      <w:r>
        <w:rPr>
          <w:rFonts w:hint="eastAsia" w:ascii="宋体" w:hAnsi="宋体" w:cs="Times New Roman"/>
          <w:color w:val="auto"/>
          <w:sz w:val="24"/>
          <w:highlight w:val="none"/>
          <w:lang w:val="zh-CN"/>
        </w:rPr>
        <w:t>采购代理</w:t>
      </w:r>
      <w:r>
        <w:rPr>
          <w:rFonts w:hint="eastAsia" w:ascii="宋体" w:hAnsi="宋体" w:eastAsia="宋体" w:cs="Times New Roman"/>
          <w:color w:val="auto"/>
          <w:sz w:val="24"/>
          <w:highlight w:val="none"/>
          <w:lang w:val="zh-CN"/>
        </w:rPr>
        <w:t>和采购人不接受无运单的快件。《质疑函》应按照本谈判文件中《质疑函范本》</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格式和内容填写。</w:t>
      </w:r>
      <w:r>
        <w:rPr>
          <w:rFonts w:hint="eastAsia" w:ascii="宋体" w:hAnsi="宋体" w:eastAsia="宋体" w:cs="仿宋"/>
          <w:b/>
          <w:bCs/>
          <w:color w:val="auto"/>
          <w:sz w:val="24"/>
          <w:szCs w:val="24"/>
          <w:highlight w:val="none"/>
          <w:lang w:val="en-US" w:eastAsia="zh-CN"/>
        </w:rPr>
        <w:t>由授权代表负责</w:t>
      </w:r>
      <w:r>
        <w:rPr>
          <w:rFonts w:hint="eastAsia" w:ascii="宋体" w:hAnsi="宋体" w:eastAsia="宋体" w:cs="仿宋"/>
          <w:b/>
          <w:bCs/>
          <w:color w:val="auto"/>
          <w:sz w:val="24"/>
          <w:szCs w:val="24"/>
          <w:highlight w:val="none"/>
          <w:lang w:eastAsia="zh-CN"/>
        </w:rPr>
        <w:t>质疑</w:t>
      </w:r>
      <w:r>
        <w:rPr>
          <w:rFonts w:hint="eastAsia" w:ascii="宋体" w:hAnsi="宋体" w:eastAsia="宋体" w:cs="仿宋"/>
          <w:b/>
          <w:bCs/>
          <w:color w:val="auto"/>
          <w:sz w:val="24"/>
          <w:szCs w:val="24"/>
          <w:highlight w:val="none"/>
          <w:lang w:val="en-US" w:eastAsia="zh-CN"/>
        </w:rPr>
        <w:t>事宜</w:t>
      </w:r>
      <w:r>
        <w:rPr>
          <w:rFonts w:hint="eastAsia" w:ascii="宋体" w:hAnsi="宋体" w:eastAsia="宋体" w:cs="仿宋"/>
          <w:b/>
          <w:bCs/>
          <w:color w:val="auto"/>
          <w:sz w:val="24"/>
          <w:szCs w:val="24"/>
          <w:highlight w:val="none"/>
          <w:lang w:eastAsia="zh-CN"/>
        </w:rPr>
        <w:t>的，《</w:t>
      </w:r>
      <w:r>
        <w:rPr>
          <w:rFonts w:hint="eastAsia" w:ascii="宋体" w:hAnsi="宋体" w:eastAsia="宋体" w:cs="仿宋"/>
          <w:b/>
          <w:bCs/>
          <w:color w:val="auto"/>
          <w:sz w:val="24"/>
          <w:szCs w:val="24"/>
          <w:highlight w:val="none"/>
        </w:rPr>
        <w:t>质疑函</w:t>
      </w:r>
      <w:r>
        <w:rPr>
          <w:rFonts w:hint="eastAsia" w:ascii="宋体" w:hAnsi="宋体" w:eastAsia="宋体" w:cs="仿宋"/>
          <w:b/>
          <w:bCs/>
          <w:color w:val="auto"/>
          <w:sz w:val="24"/>
          <w:szCs w:val="24"/>
          <w:highlight w:val="none"/>
          <w:lang w:eastAsia="zh-CN"/>
        </w:rPr>
        <w:t>》</w:t>
      </w:r>
      <w:r>
        <w:rPr>
          <w:rFonts w:hint="eastAsia" w:ascii="宋体" w:hAnsi="宋体" w:eastAsia="宋体" w:cs="仿宋"/>
          <w:b/>
          <w:bCs/>
          <w:color w:val="auto"/>
          <w:sz w:val="24"/>
          <w:szCs w:val="24"/>
          <w:highlight w:val="none"/>
          <w:lang w:val="en-US" w:eastAsia="zh-CN"/>
        </w:rPr>
        <w:t>附件中</w:t>
      </w:r>
      <w:r>
        <w:rPr>
          <w:rFonts w:hint="eastAsia" w:ascii="宋体" w:hAnsi="宋体" w:eastAsia="宋体" w:cs="仿宋"/>
          <w:b/>
          <w:bCs/>
          <w:color w:val="auto"/>
          <w:sz w:val="24"/>
          <w:szCs w:val="24"/>
          <w:highlight w:val="none"/>
        </w:rPr>
        <w:t>应</w:t>
      </w:r>
      <w:r>
        <w:rPr>
          <w:rFonts w:hint="eastAsia" w:ascii="宋体" w:hAnsi="宋体" w:eastAsia="宋体" w:cs="仿宋"/>
          <w:b/>
          <w:bCs/>
          <w:color w:val="auto"/>
          <w:sz w:val="24"/>
          <w:szCs w:val="24"/>
          <w:highlight w:val="none"/>
          <w:lang w:val="en-US" w:eastAsia="zh-CN"/>
        </w:rPr>
        <w:t>提交</w:t>
      </w:r>
      <w:r>
        <w:rPr>
          <w:rFonts w:hint="eastAsia" w:ascii="宋体" w:hAnsi="宋体" w:eastAsia="宋体" w:cs="仿宋"/>
          <w:b/>
          <w:bCs/>
          <w:color w:val="auto"/>
          <w:sz w:val="24"/>
          <w:szCs w:val="24"/>
          <w:highlight w:val="none"/>
          <w:lang w:eastAsia="zh-CN"/>
        </w:rPr>
        <w:t>由质疑供应商法定代表人</w:t>
      </w:r>
      <w:r>
        <w:rPr>
          <w:rFonts w:hint="eastAsia" w:ascii="宋体" w:hAnsi="宋体" w:eastAsia="宋体" w:cs="仿宋"/>
          <w:b/>
          <w:bCs/>
          <w:color w:val="auto"/>
          <w:sz w:val="24"/>
          <w:szCs w:val="24"/>
          <w:highlight w:val="none"/>
          <w:lang w:val="en-US" w:eastAsia="zh-CN"/>
        </w:rPr>
        <w:t>或主要负责人</w:t>
      </w:r>
      <w:r>
        <w:rPr>
          <w:rFonts w:hint="eastAsia" w:ascii="宋体" w:hAnsi="宋体" w:eastAsia="宋体" w:cs="仿宋"/>
          <w:b/>
          <w:bCs/>
          <w:color w:val="auto"/>
          <w:sz w:val="24"/>
          <w:szCs w:val="24"/>
          <w:highlight w:val="none"/>
          <w:lang w:eastAsia="zh-CN"/>
        </w:rPr>
        <w:t>签署的《授权委托书》</w:t>
      </w:r>
      <w:r>
        <w:rPr>
          <w:rFonts w:hint="eastAsia" w:ascii="宋体" w:hAnsi="宋体" w:eastAsia="宋体" w:cs="仿宋"/>
          <w:b/>
          <w:bCs/>
          <w:color w:val="auto"/>
          <w:sz w:val="24"/>
          <w:szCs w:val="24"/>
          <w:highlight w:val="none"/>
        </w:rPr>
        <w:t>。</w:t>
      </w:r>
    </w:p>
    <w:p w14:paraId="2E7689B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供应商如组成联合体参加采购活动，《质疑函范本》中要求加盖公章之处，联合体各方均须按要求加盖公章。</w:t>
      </w:r>
    </w:p>
    <w:p w14:paraId="78D6693B">
      <w:pPr>
        <w:keepNext w:val="0"/>
        <w:keepLines w:val="0"/>
        <w:pageBreakBefore w:val="0"/>
        <w:widowControl w:val="0"/>
        <w:spacing w:line="240" w:lineRule="auto"/>
        <w:ind w:firstLine="420"/>
        <w:jc w:val="left"/>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color w:val="auto"/>
          <w:sz w:val="24"/>
          <w:highlight w:val="none"/>
          <w:lang w:val="en-US" w:eastAsia="zh-CN"/>
        </w:rPr>
        <w:t>35.</w:t>
      </w:r>
      <w:r>
        <w:rPr>
          <w:rFonts w:hint="eastAsia" w:ascii="宋体" w:hAnsi="宋体" w:cs="Times New Roman"/>
          <w:b/>
          <w:bCs/>
          <w:color w:val="auto"/>
          <w:sz w:val="24"/>
          <w:highlight w:val="none"/>
          <w:lang w:val="en-US" w:eastAsia="zh-CN"/>
        </w:rPr>
        <w:t>供应商根据质疑事项向相应的</w:t>
      </w:r>
      <w:r>
        <w:rPr>
          <w:rFonts w:hint="eastAsia" w:ascii="宋体" w:hAnsi="宋体" w:eastAsia="宋体" w:cs="Times New Roman"/>
          <w:b/>
          <w:bCs/>
          <w:color w:val="auto"/>
          <w:sz w:val="24"/>
          <w:highlight w:val="none"/>
          <w:lang w:val="en-US" w:eastAsia="zh-CN"/>
        </w:rPr>
        <w:t>质疑答复主体提出质疑，具体详见采购文件第一章。</w:t>
      </w:r>
      <w:r>
        <w:rPr>
          <w:rFonts w:hint="eastAsia" w:ascii="宋体" w:hAnsi="宋体" w:eastAsia="宋体" w:cs="Times New Roman"/>
          <w:b/>
          <w:bCs/>
          <w:color w:val="auto"/>
          <w:sz w:val="24"/>
          <w:szCs w:val="22"/>
          <w:highlight w:val="none"/>
          <w:lang w:val="en-US" w:eastAsia="zh-CN"/>
        </w:rPr>
        <w:t>由采购人负责答复的质疑，采购人将</w:t>
      </w:r>
      <w:r>
        <w:rPr>
          <w:rFonts w:hint="eastAsia" w:ascii="宋体" w:hAnsi="宋体" w:cs="Times New Roman"/>
          <w:b/>
          <w:bCs/>
          <w:color w:val="auto"/>
          <w:sz w:val="24"/>
          <w:szCs w:val="22"/>
          <w:highlight w:val="none"/>
          <w:lang w:val="en-US" w:eastAsia="zh-CN"/>
        </w:rPr>
        <w:t>《质疑函》</w:t>
      </w:r>
      <w:r>
        <w:rPr>
          <w:rFonts w:hint="eastAsia" w:ascii="宋体" w:hAnsi="宋体" w:eastAsia="宋体" w:cs="Times New Roman"/>
          <w:b/>
          <w:bCs/>
          <w:color w:val="auto"/>
          <w:sz w:val="24"/>
          <w:szCs w:val="22"/>
          <w:highlight w:val="none"/>
          <w:lang w:val="en-US" w:eastAsia="zh-CN"/>
        </w:rPr>
        <w:t>《质疑答复函》抄送</w:t>
      </w:r>
      <w:r>
        <w:rPr>
          <w:rFonts w:hint="eastAsia" w:ascii="宋体" w:hAnsi="宋体" w:cs="Times New Roman"/>
          <w:b/>
          <w:bCs/>
          <w:color w:val="auto"/>
          <w:sz w:val="24"/>
          <w:szCs w:val="22"/>
          <w:highlight w:val="none"/>
          <w:lang w:val="en-US" w:eastAsia="zh-CN"/>
        </w:rPr>
        <w:t>采购代理</w:t>
      </w:r>
      <w:r>
        <w:rPr>
          <w:rFonts w:hint="eastAsia" w:ascii="宋体" w:hAnsi="宋体" w:eastAsia="宋体" w:cs="Times New Roman"/>
          <w:b/>
          <w:bCs/>
          <w:color w:val="auto"/>
          <w:sz w:val="24"/>
          <w:szCs w:val="22"/>
          <w:highlight w:val="none"/>
          <w:lang w:val="en-US" w:eastAsia="zh-CN"/>
        </w:rPr>
        <w:t>。</w:t>
      </w:r>
    </w:p>
    <w:p w14:paraId="54832D5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36.</w:t>
      </w:r>
      <w:r>
        <w:rPr>
          <w:rFonts w:hint="eastAsia" w:ascii="宋体" w:hAnsi="宋体" w:eastAsia="宋体" w:cs="Times New Roman"/>
          <w:color w:val="auto"/>
          <w:sz w:val="24"/>
          <w:highlight w:val="none"/>
          <w:lang w:val="zh-CN"/>
        </w:rPr>
        <w:t>以下情形的质疑不予受理：</w:t>
      </w:r>
    </w:p>
    <w:p w14:paraId="48C5ACA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6.1 超出政府采购法定期限的质疑；</w:t>
      </w:r>
    </w:p>
    <w:p w14:paraId="5759AF4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属于第33条规定的对</w:t>
      </w:r>
      <w:r>
        <w:rPr>
          <w:rFonts w:hint="eastAsia" w:ascii="宋体" w:hAnsi="宋体" w:eastAsia="宋体" w:cs="Times New Roman"/>
          <w:color w:val="auto"/>
          <w:sz w:val="24"/>
          <w:highlight w:val="none"/>
          <w:lang w:val="zh-CN"/>
        </w:rPr>
        <w:t>同一采购程序环节提出</w:t>
      </w:r>
      <w:r>
        <w:rPr>
          <w:rFonts w:hint="eastAsia" w:ascii="宋体" w:hAnsi="宋体" w:eastAsia="宋体" w:cs="Times New Roman"/>
          <w:color w:val="auto"/>
          <w:sz w:val="24"/>
          <w:highlight w:val="none"/>
          <w:lang w:val="en-US" w:eastAsia="zh-CN"/>
        </w:rPr>
        <w:t>的多次</w:t>
      </w:r>
      <w:r>
        <w:rPr>
          <w:rFonts w:hint="eastAsia" w:ascii="宋体" w:hAnsi="宋体" w:eastAsia="宋体" w:cs="Times New Roman"/>
          <w:color w:val="auto"/>
          <w:sz w:val="24"/>
          <w:highlight w:val="none"/>
          <w:lang w:val="zh-CN"/>
        </w:rPr>
        <w:t>质疑；</w:t>
      </w:r>
    </w:p>
    <w:p w14:paraId="589122B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6.3 法律法规规定的</w:t>
      </w:r>
      <w:r>
        <w:rPr>
          <w:rFonts w:hint="eastAsia" w:ascii="宋体" w:hAnsi="宋体" w:eastAsia="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不予受理情形。</w:t>
      </w:r>
    </w:p>
    <w:p w14:paraId="4DD477C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37</w:t>
      </w:r>
      <w:r>
        <w:rPr>
          <w:rFonts w:hint="eastAsia" w:ascii="宋体" w:hAnsi="宋体" w:eastAsia="宋体" w:cs="Times New Roman"/>
          <w:color w:val="auto"/>
          <w:sz w:val="24"/>
          <w:highlight w:val="none"/>
          <w:lang w:val="zh-CN"/>
        </w:rPr>
        <w:t>.供应商提出书面质疑必须有理、有据，不得捏造事实、提供虚假材料进行恶意质疑。否则，一经查实，</w:t>
      </w:r>
      <w:r>
        <w:rPr>
          <w:rFonts w:hint="eastAsia" w:ascii="宋体" w:hAnsi="宋体" w:cs="Times New Roman"/>
          <w:color w:val="auto"/>
          <w:sz w:val="24"/>
          <w:highlight w:val="none"/>
          <w:lang w:val="zh-CN" w:eastAsia="zh-CN"/>
        </w:rPr>
        <w:t>采购代理</w:t>
      </w:r>
      <w:r>
        <w:rPr>
          <w:rFonts w:hint="eastAsia" w:ascii="宋体" w:hAnsi="宋体" w:eastAsia="宋体" w:cs="Times New Roman"/>
          <w:color w:val="auto"/>
          <w:sz w:val="24"/>
          <w:highlight w:val="none"/>
          <w:lang w:val="zh-CN" w:eastAsia="zh-CN"/>
        </w:rPr>
        <w:t>或采购人</w:t>
      </w:r>
      <w:r>
        <w:rPr>
          <w:rFonts w:hint="eastAsia" w:ascii="宋体" w:hAnsi="宋体" w:eastAsia="宋体" w:cs="Times New Roman"/>
          <w:color w:val="auto"/>
          <w:sz w:val="24"/>
          <w:highlight w:val="none"/>
          <w:lang w:val="zh-CN"/>
        </w:rPr>
        <w:t>有权依据政府采购的有关规定，报请政府采购监管部门对该供应商进行相应的行政处罚和记录该供应商的失信信息。</w:t>
      </w:r>
    </w:p>
    <w:p w14:paraId="7E0141CC">
      <w:pPr>
        <w:pStyle w:val="4"/>
        <w:pageBreakBefore w:val="0"/>
        <w:widowControl w:val="0"/>
        <w:spacing w:before="145" w:after="145" w:line="240" w:lineRule="auto"/>
        <w:ind w:firstLine="465"/>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14:paraId="189A6183">
      <w:pPr>
        <w:pStyle w:val="5"/>
        <w:pageBreakBefore w:val="0"/>
        <w:widowControl w:val="0"/>
        <w:spacing w:before="0" w:after="0" w:line="240" w:lineRule="auto"/>
        <w:ind w:firstLine="420"/>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38.</w:t>
      </w:r>
      <w:r>
        <w:rPr>
          <w:rFonts w:hint="eastAsia" w:ascii="方正楷体_GBK" w:hAnsi="方正楷体_GBK" w:eastAsia="方正楷体_GBK" w:cs="方正楷体_GBK"/>
          <w:color w:val="auto"/>
          <w:sz w:val="28"/>
          <w:highlight w:val="none"/>
          <w:lang w:val="zh-CN"/>
        </w:rPr>
        <w:t>促进中小企业发展</w:t>
      </w:r>
    </w:p>
    <w:p w14:paraId="3534858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w:t>
      </w:r>
      <w:r>
        <w:rPr>
          <w:rFonts w:hint="eastAsia" w:ascii="宋体" w:hAnsi="宋体" w:eastAsia="宋体" w:cs="Times New Roman"/>
          <w:color w:val="auto"/>
          <w:sz w:val="24"/>
          <w:highlight w:val="none"/>
          <w:lang w:val="zh-CN"/>
        </w:rPr>
        <w:t>在政府采购活动中，供应商提供的货物或者服务符合下列情形的，享受中小企业扶持政策：</w:t>
      </w:r>
    </w:p>
    <w:p w14:paraId="2A99D25B">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p>
    <w:p w14:paraId="71B0A925">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p>
    <w:p w14:paraId="19A85559">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p>
    <w:p w14:paraId="2E333BE3">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00885C66">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p>
    <w:p w14:paraId="59C99141">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（6）参加政府采购活动的中小企业应当按“关于印发《政府采购促进中小企业发展管理办法》的通知[财库〔2020〕46号]” 规定提供《中小企业声明函》，未提供上述资料的报价，其价格不予扣除。</w:t>
      </w:r>
    </w:p>
    <w:p w14:paraId="0F8B8C98">
      <w:pPr>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p>
    <w:p w14:paraId="1C43D0E5">
      <w:pPr>
        <w:pStyle w:val="5"/>
        <w:pageBreakBefore w:val="0"/>
        <w:spacing w:before="0" w:after="0" w:line="240" w:lineRule="auto"/>
        <w:ind w:firstLine="420"/>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3</w:t>
      </w:r>
      <w:r>
        <w:rPr>
          <w:rFonts w:hint="eastAsia" w:ascii="方正楷体_GBK" w:hAnsi="方正楷体_GBK" w:eastAsia="方正楷体_GBK" w:cs="方正楷体_GBK"/>
          <w:color w:val="auto"/>
          <w:sz w:val="28"/>
          <w:highlight w:val="none"/>
          <w:lang w:val="en-US" w:eastAsia="zh-CN"/>
        </w:rPr>
        <w:t>9</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en-US" w:eastAsia="zh-CN"/>
        </w:rPr>
        <w:t>节能环保产品（本项目不适用）</w:t>
      </w:r>
    </w:p>
    <w:p w14:paraId="198B707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7AD6D2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39.2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213264F0">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39.3 采购产品</w:t>
      </w:r>
      <w:r>
        <w:rPr>
          <w:rFonts w:hint="eastAsia" w:ascii="宋体" w:hAnsi="宋体" w:eastAsia="宋体" w:cs="Times New Roman"/>
          <w:color w:val="auto"/>
          <w:sz w:val="24"/>
          <w:highlight w:val="none"/>
          <w:lang w:val="zh-CN"/>
        </w:rPr>
        <w:t>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highlight w:val="none"/>
          <w:lang w:val="en-US" w:eastAsia="zh-CN"/>
        </w:rPr>
        <w:t>第五章成交标准</w:t>
      </w:r>
      <w:r>
        <w:rPr>
          <w:rFonts w:hint="eastAsia" w:ascii="宋体" w:hAnsi="宋体" w:eastAsia="宋体" w:cs="Times New Roman"/>
          <w:color w:val="auto"/>
          <w:sz w:val="24"/>
          <w:highlight w:val="none"/>
          <w:lang w:val="zh-CN"/>
        </w:rPr>
        <w:t>）。</w:t>
      </w:r>
    </w:p>
    <w:p w14:paraId="7C4C8616">
      <w:pPr>
        <w:pStyle w:val="5"/>
        <w:pageBreakBefore w:val="0"/>
        <w:spacing w:before="0" w:after="0" w:line="240" w:lineRule="auto"/>
        <w:ind w:firstLine="420"/>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40</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en-US" w:eastAsia="zh-CN"/>
        </w:rPr>
        <w:t>绿色采购（本项目不适用）</w:t>
      </w:r>
    </w:p>
    <w:p w14:paraId="30E11E66">
      <w:pPr>
        <w:pageBreakBefore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40.1 采购产品</w:t>
      </w:r>
      <w:r>
        <w:rPr>
          <w:rFonts w:hint="eastAsia" w:ascii="宋体" w:eastAsia="宋体"/>
          <w:bCs/>
          <w:color w:val="auto"/>
          <w:sz w:val="24"/>
          <w:szCs w:val="24"/>
          <w:highlight w:val="none"/>
          <w:lang w:val="en-US" w:eastAsia="zh-CN"/>
        </w:rPr>
        <w:t>中</w:t>
      </w:r>
      <w:r>
        <w:rPr>
          <w:rFonts w:hint="eastAsia" w:ascii="宋体"/>
          <w:bCs/>
          <w:color w:val="auto"/>
          <w:sz w:val="24"/>
          <w:szCs w:val="24"/>
          <w:highlight w:val="none"/>
        </w:rPr>
        <w:t>涉及商品包装、快递包装要求的</w:t>
      </w:r>
      <w:r>
        <w:rPr>
          <w:rFonts w:hint="eastAsia" w:ascii="宋体"/>
          <w:bCs/>
          <w:color w:val="auto"/>
          <w:sz w:val="24"/>
          <w:szCs w:val="24"/>
          <w:highlight w:val="none"/>
          <w:lang w:eastAsia="zh-CN"/>
        </w:rPr>
        <w:t>，</w:t>
      </w:r>
      <w:r>
        <w:rPr>
          <w:rFonts w:hint="eastAsia" w:ascii="宋体"/>
          <w:bCs/>
          <w:color w:val="auto"/>
          <w:sz w:val="24"/>
          <w:szCs w:val="24"/>
          <w:highlight w:val="none"/>
          <w:lang w:val="en-US" w:eastAsia="zh-CN"/>
        </w:rPr>
        <w:t>应按照</w:t>
      </w:r>
      <w:r>
        <w:rPr>
          <w:rFonts w:hint="eastAsia" w:ascii="宋体" w:hAnsi="宋体" w:eastAsia="宋体" w:cs="Times New Roman"/>
          <w:b w:val="0"/>
          <w:bCs w:val="0"/>
          <w:color w:val="auto"/>
          <w:sz w:val="24"/>
          <w:szCs w:val="22"/>
          <w:highlight w:val="none"/>
          <w:lang w:val="en-US" w:eastAsia="zh-CN" w:bidi="ar-SA"/>
        </w:rPr>
        <w:t>《关于印发&lt;商品包装政府采购需求标准（试行）&gt;、&lt;快递包装政府采购需求标准（试行）&gt;的通知》（财办库〔2020〕123号）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w:t>
      </w:r>
      <w:r>
        <w:rPr>
          <w:rFonts w:hint="eastAsia" w:ascii="宋体" w:hAnsi="宋体" w:eastAsia="宋体" w:cs="宋体"/>
          <w:color w:val="auto"/>
          <w:sz w:val="24"/>
          <w:szCs w:val="24"/>
          <w:highlight w:val="none"/>
          <w:lang w:val="en-US" w:eastAsia="zh-CN"/>
        </w:rPr>
        <w:t>《江苏省财政厅关于加强政府绿色采购有关事项的通知》（苏财购〔2023〕65号）</w:t>
      </w:r>
      <w:r>
        <w:rPr>
          <w:rFonts w:hint="eastAsia" w:ascii="宋体" w:hAnsi="宋体" w:eastAsia="宋体" w:cs="Times New Roman"/>
          <w:color w:val="auto"/>
          <w:sz w:val="24"/>
          <w:highlight w:val="none"/>
          <w:lang w:val="en-US" w:eastAsia="zh-CN"/>
        </w:rPr>
        <w:t>文件执行。采购文件对</w:t>
      </w:r>
      <w:r>
        <w:rPr>
          <w:rFonts w:hint="eastAsia" w:ascii="宋体"/>
          <w:bCs/>
          <w:color w:val="auto"/>
          <w:sz w:val="24"/>
          <w:szCs w:val="24"/>
          <w:highlight w:val="none"/>
        </w:rPr>
        <w:t>商品包装和快递包装</w:t>
      </w:r>
      <w:r>
        <w:rPr>
          <w:rFonts w:hint="eastAsia" w:ascii="宋体"/>
          <w:bCs/>
          <w:color w:val="auto"/>
          <w:sz w:val="24"/>
          <w:szCs w:val="24"/>
          <w:highlight w:val="none"/>
          <w:lang w:val="en-US" w:eastAsia="zh-CN"/>
        </w:rPr>
        <w:t>有</w:t>
      </w:r>
      <w:r>
        <w:rPr>
          <w:rFonts w:hint="eastAsia" w:ascii="宋体"/>
          <w:bCs/>
          <w:color w:val="auto"/>
          <w:sz w:val="24"/>
          <w:szCs w:val="24"/>
          <w:highlight w:val="none"/>
        </w:rPr>
        <w:t>具体要求的</w:t>
      </w:r>
      <w:r>
        <w:rPr>
          <w:rFonts w:hint="eastAsia" w:ascii="宋体"/>
          <w:bCs/>
          <w:color w:val="auto"/>
          <w:sz w:val="24"/>
          <w:szCs w:val="24"/>
          <w:highlight w:val="none"/>
          <w:lang w:eastAsia="zh-CN"/>
        </w:rPr>
        <w:t>，</w:t>
      </w:r>
      <w:r>
        <w:rPr>
          <w:rFonts w:hint="eastAsia" w:ascii="宋体"/>
          <w:bCs/>
          <w:color w:val="auto"/>
          <w:sz w:val="24"/>
          <w:szCs w:val="24"/>
          <w:highlight w:val="none"/>
        </w:rPr>
        <w:t>政府采购合同中应当载明对供应商提供产品及相关快递服务的具体包装要求和履约验收相关条款</w:t>
      </w:r>
      <w:r>
        <w:rPr>
          <w:rFonts w:hint="eastAsia" w:ascii="宋体"/>
          <w:bCs/>
          <w:color w:val="auto"/>
          <w:sz w:val="24"/>
          <w:szCs w:val="24"/>
          <w:highlight w:val="none"/>
          <w:lang w:eastAsia="zh-CN"/>
        </w:rPr>
        <w:t>，</w:t>
      </w:r>
      <w:r>
        <w:rPr>
          <w:rFonts w:hint="eastAsia" w:ascii="宋体"/>
          <w:bCs/>
          <w:color w:val="auto"/>
          <w:sz w:val="24"/>
          <w:szCs w:val="24"/>
          <w:highlight w:val="none"/>
        </w:rPr>
        <w:t>供应商须严格执行</w:t>
      </w:r>
      <w:r>
        <w:rPr>
          <w:rFonts w:hint="eastAsia" w:ascii="宋体"/>
          <w:bCs/>
          <w:color w:val="auto"/>
          <w:sz w:val="24"/>
          <w:szCs w:val="24"/>
          <w:highlight w:val="none"/>
          <w:lang w:eastAsia="zh-CN"/>
        </w:rPr>
        <w:t>，</w:t>
      </w:r>
      <w:r>
        <w:rPr>
          <w:rFonts w:hint="eastAsia" w:ascii="宋体"/>
          <w:bCs/>
          <w:color w:val="auto"/>
          <w:sz w:val="24"/>
          <w:szCs w:val="24"/>
          <w:highlight w:val="none"/>
        </w:rPr>
        <w:t>必要时应按照要求在履约验收环节出具检测报告。</w:t>
      </w:r>
    </w:p>
    <w:p w14:paraId="28045E5E">
      <w:pPr>
        <w:pageBreakBefore w:val="0"/>
        <w:spacing w:line="240" w:lineRule="auto"/>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highlight w:val="none"/>
          <w:lang w:val="en-US" w:eastAsia="zh-CN"/>
        </w:rPr>
        <w:t>《江苏省财政厅关于加强政府绿色采购有关事项的通知》（苏财购〔2023〕65号）</w:t>
      </w:r>
      <w:r>
        <w:rPr>
          <w:rFonts w:hint="eastAsia" w:ascii="宋体" w:hAnsi="宋体" w:eastAsia="宋体" w:cs="Times New Roman"/>
          <w:color w:val="auto"/>
          <w:sz w:val="24"/>
          <w:highlight w:val="none"/>
          <w:lang w:val="en-US" w:eastAsia="zh-CN"/>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A79C1E6">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101C58A2">
      <w:pPr>
        <w:pageBreakBefore w:val="0"/>
        <w:spacing w:line="240" w:lineRule="auto"/>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40.4 采购产品中</w:t>
      </w:r>
      <w:r>
        <w:rPr>
          <w:rFonts w:hint="eastAsia" w:ascii="宋体" w:hAnsi="宋体" w:eastAsia="宋体" w:cs="Times New Roman"/>
          <w:color w:val="auto"/>
          <w:sz w:val="24"/>
          <w:highlight w:val="none"/>
          <w:lang w:val="en-US"/>
        </w:rPr>
        <w:t>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，供应商所投产品</w:t>
      </w:r>
      <w:r>
        <w:rPr>
          <w:rFonts w:hint="eastAsia" w:ascii="宋体" w:hAnsi="宋体" w:eastAsia="宋体" w:cs="Times New Roman"/>
          <w:color w:val="auto"/>
          <w:sz w:val="24"/>
          <w:highlight w:val="none"/>
          <w:lang w:val="en-US"/>
        </w:rPr>
        <w:t>不得违反财政部、工业和信息化部</w:t>
      </w:r>
      <w:r>
        <w:rPr>
          <w:rFonts w:hint="eastAsia" w:ascii="宋体" w:hAnsi="宋体" w:eastAsia="宋体" w:cs="Times New Roman"/>
          <w:color w:val="auto"/>
          <w:sz w:val="24"/>
          <w:highlight w:val="none"/>
          <w:lang w:val="en-US" w:eastAsia="zh-CN"/>
        </w:rPr>
        <w:t>印发的《</w:t>
      </w:r>
      <w:r>
        <w:rPr>
          <w:rFonts w:hint="eastAsia" w:ascii="宋体" w:hAnsi="宋体" w:eastAsia="宋体" w:cs="Times New Roman"/>
          <w:color w:val="auto"/>
          <w:sz w:val="24"/>
          <w:highlight w:val="none"/>
          <w:lang w:val="en-US"/>
        </w:rPr>
        <w:t>需求标准</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详见财库〔2023〕29号、30号、31号、32号、33号、34号、35号</w:t>
      </w:r>
      <w:r>
        <w:rPr>
          <w:rFonts w:hint="eastAsia" w:ascii="宋体" w:hAnsi="宋体" w:eastAsia="宋体" w:cs="Times New Roman"/>
          <w:color w:val="auto"/>
          <w:sz w:val="24"/>
          <w:highlight w:val="none"/>
          <w:lang w:val="en-US" w:eastAsia="zh-CN"/>
        </w:rPr>
        <w:t>文件）</w:t>
      </w:r>
      <w:r>
        <w:rPr>
          <w:rFonts w:hint="eastAsia" w:ascii="宋体" w:hAnsi="宋体" w:eastAsia="宋体" w:cs="Times New Roman"/>
          <w:color w:val="auto"/>
          <w:sz w:val="24"/>
          <w:highlight w:val="none"/>
          <w:lang w:val="en-US"/>
        </w:rPr>
        <w:t>。</w:t>
      </w:r>
      <w:r>
        <w:rPr>
          <w:rFonts w:hint="eastAsia" w:ascii="宋体" w:hAnsi="宋体" w:eastAsia="宋体" w:cs="Times New Roman"/>
          <w:color w:val="auto"/>
          <w:sz w:val="24"/>
          <w:highlight w:val="none"/>
          <w:lang w:val="en-US" w:eastAsia="zh-CN"/>
        </w:rPr>
        <w:t>采购人</w:t>
      </w:r>
      <w:r>
        <w:rPr>
          <w:rFonts w:hint="eastAsia" w:ascii="宋体" w:hAnsi="宋体" w:eastAsia="宋体" w:cs="Times New Roman"/>
          <w:color w:val="auto"/>
          <w:sz w:val="24"/>
          <w:highlight w:val="none"/>
          <w:lang w:val="en-US"/>
        </w:rPr>
        <w:t>可以对《需求标准》中的指标提出更高要求</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也可以根据实际需要增加《需求标准》以外的指标。采购人</w:t>
      </w:r>
      <w:r>
        <w:rPr>
          <w:rFonts w:hint="eastAsia" w:ascii="宋体" w:hAnsi="宋体" w:eastAsia="宋体" w:cs="Times New Roman"/>
          <w:color w:val="auto"/>
          <w:sz w:val="24"/>
          <w:highlight w:val="none"/>
          <w:lang w:val="en-US" w:eastAsia="zh-CN"/>
        </w:rPr>
        <w:t>按照采购</w:t>
      </w:r>
      <w:r>
        <w:rPr>
          <w:rFonts w:hint="eastAsia" w:ascii="宋体" w:hAnsi="宋体" w:eastAsia="宋体" w:cs="Times New Roman"/>
          <w:color w:val="auto"/>
          <w:sz w:val="24"/>
          <w:highlight w:val="none"/>
          <w:lang w:val="en-US"/>
        </w:rPr>
        <w:t>合同约定对</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lang w:val="en-US"/>
        </w:rPr>
        <w:t>所提供的</w:t>
      </w:r>
      <w:r>
        <w:rPr>
          <w:rFonts w:hint="eastAsia" w:ascii="宋体" w:hAnsi="宋体" w:eastAsia="宋体" w:cs="Times New Roman"/>
          <w:color w:val="auto"/>
          <w:sz w:val="24"/>
          <w:highlight w:val="none"/>
          <w:lang w:val="en-US" w:eastAsia="zh-CN"/>
        </w:rPr>
        <w:t>上述产品</w:t>
      </w:r>
      <w:r>
        <w:rPr>
          <w:rFonts w:hint="eastAsia" w:ascii="宋体" w:hAnsi="宋体" w:eastAsia="宋体" w:cs="Times New Roman"/>
          <w:color w:val="auto"/>
          <w:sz w:val="24"/>
          <w:highlight w:val="none"/>
          <w:lang w:val="en-US"/>
        </w:rPr>
        <w:t>进行验收</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en-US"/>
        </w:rPr>
        <w:t>必要时可以委托依法取得检测、认证资质的机构进行检测、认证。</w:t>
      </w:r>
    </w:p>
    <w:p w14:paraId="338BBB8C">
      <w:pPr>
        <w:pStyle w:val="5"/>
        <w:pageBreakBefore w:val="0"/>
        <w:spacing w:before="0" w:after="0" w:line="240" w:lineRule="auto"/>
        <w:ind w:firstLine="420"/>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41</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en-US" w:eastAsia="zh-CN"/>
        </w:rPr>
        <w:t>创新产品采购（本项目不适用）</w:t>
      </w:r>
    </w:p>
    <w:p w14:paraId="73C58676">
      <w:pPr>
        <w:keepNext w:val="0"/>
        <w:keepLines w:val="0"/>
        <w:pageBreakBefore w:val="0"/>
        <w:widowControl/>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41.1 优先采购各级政府部门公开发布的有效期内的创新产品、首台套等《目录》内的创新产品。创新产品自进入《目录》起2年内视同具备相应销售业绩。</w:t>
      </w:r>
    </w:p>
    <w:p w14:paraId="2A286F7F">
      <w:pPr>
        <w:pStyle w:val="5"/>
        <w:pageBreakBefore w:val="0"/>
        <w:spacing w:before="0" w:after="0" w:line="240" w:lineRule="auto"/>
        <w:ind w:firstLine="420"/>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42.</w:t>
      </w:r>
      <w:r>
        <w:rPr>
          <w:rFonts w:hint="eastAsia" w:ascii="方正楷体_GBK" w:hAnsi="方正楷体_GBK" w:eastAsia="方正楷体_GBK" w:cs="方正楷体_GBK"/>
          <w:b/>
          <w:bCs/>
          <w:color w:val="auto"/>
          <w:sz w:val="28"/>
          <w:highlight w:val="none"/>
          <w:lang w:val="zh-CN" w:eastAsia="zh-CN"/>
        </w:rPr>
        <w:t>网络产品、市场准入类产品采购</w:t>
      </w:r>
      <w:r>
        <w:rPr>
          <w:rFonts w:hint="eastAsia" w:ascii="方正楷体_GBK" w:hAnsi="方正楷体_GBK" w:eastAsia="方正楷体_GBK" w:cs="方正楷体_GBK"/>
          <w:color w:val="auto"/>
          <w:sz w:val="28"/>
          <w:highlight w:val="none"/>
          <w:lang w:val="en-US" w:eastAsia="zh-CN"/>
        </w:rPr>
        <w:t>（本项目不适用）</w:t>
      </w:r>
    </w:p>
    <w:p w14:paraId="74AEAAC6">
      <w:pPr>
        <w:pageBreakBefore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42.1 </w:t>
      </w:r>
      <w:r>
        <w:rPr>
          <w:rFonts w:hint="eastAsia" w:ascii="宋体" w:hAnsi="宋体" w:eastAsia="宋体" w:cs="Times New Roman"/>
          <w:color w:val="auto"/>
          <w:sz w:val="24"/>
          <w:highlight w:val="none"/>
          <w:lang w:val="zh-CN" w:eastAsia="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p>
    <w:p w14:paraId="577A5D46">
      <w:pPr>
        <w:pageBreakBefore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42.2 </w:t>
      </w:r>
      <w:r>
        <w:rPr>
          <w:rFonts w:hint="eastAsia" w:ascii="宋体" w:hAnsi="宋体" w:eastAsia="宋体" w:cs="Times New Roman"/>
          <w:color w:val="auto"/>
          <w:sz w:val="24"/>
          <w:highlight w:val="none"/>
          <w:lang w:val="zh-CN" w:eastAsia="zh-CN"/>
        </w:rPr>
        <w:t>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p>
    <w:p w14:paraId="2CA5BCFD">
      <w:pPr>
        <w:pStyle w:val="5"/>
        <w:spacing w:before="0" w:after="0" w:line="240" w:lineRule="auto"/>
        <w:ind w:firstLine="420"/>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43.</w:t>
      </w:r>
      <w:r>
        <w:rPr>
          <w:rFonts w:hint="eastAsia" w:ascii="方正楷体_GBK" w:hAnsi="方正楷体_GBK" w:eastAsia="方正楷体_GBK" w:cs="方正楷体_GBK"/>
          <w:bCs/>
          <w:color w:val="auto"/>
          <w:sz w:val="28"/>
          <w:szCs w:val="28"/>
          <w:highlight w:val="none"/>
          <w:lang w:val="zh-CN"/>
        </w:rPr>
        <w:t>实施本国产品标准及相关政策（本项目不适用）</w:t>
      </w:r>
    </w:p>
    <w:p w14:paraId="1F00A801">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43.</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w:t>
      </w:r>
    </w:p>
    <w:p w14:paraId="2DE6908B">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43.2</w:t>
      </w:r>
      <w:r>
        <w:rPr>
          <w:rFonts w:hint="eastAsia" w:ascii="宋体" w:hAnsi="宋体" w:eastAsia="宋体" w:cs="Times New Roman"/>
          <w:i w:val="0"/>
          <w:iCs w:val="0"/>
          <w:caps w:val="0"/>
          <w:color w:val="auto"/>
          <w:spacing w:val="0"/>
          <w:sz w:val="24"/>
          <w:szCs w:val="22"/>
          <w:highlight w:val="none"/>
          <w:shd w:val="clear" w:color="auto" w:fill="auto"/>
          <w:lang w:val="zh-CN"/>
        </w:rPr>
        <w:t>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w:t>
      </w:r>
    </w:p>
    <w:p w14:paraId="74D872BC">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（1）在中国境内生产</w:t>
      </w:r>
    </w:p>
    <w:p w14:paraId="32E7B85D">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7235C847">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8F23DB">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（2）在中国境内生产的组件成本占比达到规定比例</w:t>
      </w:r>
    </w:p>
    <w:p w14:paraId="3B4A6915">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条件的产品在政府采购活动中视同本国产品。</w:t>
      </w:r>
    </w:p>
    <w:p w14:paraId="3B20533E">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（3）特定产品的关键组件、关键工序符合相关要求</w:t>
      </w:r>
    </w:p>
    <w:p w14:paraId="01B59918">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27EEE446">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43.3本国产品标准的适用范围</w:t>
      </w:r>
    </w:p>
    <w:p w14:paraId="42B36658">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D5DD767">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43.4对本国产品的支持政策</w:t>
      </w:r>
    </w:p>
    <w:p w14:paraId="069B20BD">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本项目如</w:t>
      </w:r>
      <w:r>
        <w:rPr>
          <w:rFonts w:hint="eastAsia" w:ascii="宋体" w:hAnsi="宋体" w:eastAsia="宋体" w:cs="Times New Roman"/>
          <w:color w:val="auto"/>
          <w:sz w:val="24"/>
          <w:highlight w:val="none"/>
          <w:lang w:val="zh-CN" w:eastAsia="zh-CN"/>
        </w:rPr>
        <w:t>既有本国产品又有非本国产品参与竞争，依法对本国产品给予价格评审优惠</w:t>
      </w:r>
      <w:r>
        <w:rPr>
          <w:rFonts w:hint="eastAsia" w:ascii="宋体" w:hAnsi="宋体" w:eastAsia="宋体" w:cs="Times New Roman"/>
          <w:color w:val="auto"/>
          <w:sz w:val="24"/>
          <w:highlight w:val="none"/>
          <w:lang w:val="en-US" w:eastAsia="zh-CN"/>
        </w:rPr>
        <w:t>。</w:t>
      </w:r>
    </w:p>
    <w:p w14:paraId="5E36D9C4">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43.5政策执行要求</w:t>
      </w:r>
    </w:p>
    <w:p w14:paraId="2A2BDFAB">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详见</w:t>
      </w:r>
      <w:r>
        <w:rPr>
          <w:rFonts w:hint="eastAsia" w:ascii="宋体" w:hAnsi="宋体" w:eastAsia="宋体" w:cs="宋体"/>
          <w:i w:val="0"/>
          <w:iCs w:val="0"/>
          <w:caps w:val="0"/>
          <w:color w:val="auto"/>
          <w:spacing w:val="0"/>
          <w:sz w:val="24"/>
          <w:szCs w:val="24"/>
          <w:highlight w:val="none"/>
          <w:shd w:val="clear" w:color="auto" w:fill="FFFFFF"/>
          <w:lang w:val="en-US" w:eastAsia="zh-CN"/>
        </w:rPr>
        <w:t>《国务院办公厅关于在政府采购中实施本国产品标准及相关政策的通知》（国办发〔2025〕34号）规定。</w:t>
      </w:r>
    </w:p>
    <w:p w14:paraId="0116A482">
      <w:pPr>
        <w:numPr>
          <w:ilvl w:val="0"/>
          <w:numId w:val="0"/>
        </w:numPr>
        <w:ind w:firstLine="420"/>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color w:val="auto"/>
          <w:sz w:val="24"/>
          <w:highlight w:val="none"/>
          <w:lang w:val="zh-CN" w:eastAsia="zh-CN"/>
        </w:rPr>
        <w:t>（2）有关证明文件。</w:t>
      </w:r>
      <w:r>
        <w:rPr>
          <w:rFonts w:hint="eastAsia" w:ascii="宋体" w:hAnsi="宋体" w:eastAsia="宋体" w:cs="Times New Roman"/>
          <w:b w:val="0"/>
          <w:bCs w:val="0"/>
          <w:color w:val="auto"/>
          <w:sz w:val="24"/>
          <w:highlight w:val="none"/>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2AF807C8">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在</w:t>
      </w:r>
      <w:r>
        <w:rPr>
          <w:rFonts w:hint="eastAsia" w:ascii="宋体" w:hAnsi="宋体" w:eastAsia="宋体" w:cs="Times New Roman"/>
          <w:i w:val="0"/>
          <w:iCs w:val="0"/>
          <w:caps w:val="0"/>
          <w:color w:val="auto"/>
          <w:spacing w:val="0"/>
          <w:sz w:val="24"/>
          <w:szCs w:val="22"/>
          <w:highlight w:val="none"/>
          <w:shd w:val="clear" w:color="auto" w:fill="auto"/>
          <w:lang w:val="zh-CN"/>
        </w:rPr>
        <w:t>政府采购中实施本国产品标准及相关政策规定要求的，供应商提供的相关产品视为不符合本国产品标准。</w:t>
      </w:r>
    </w:p>
    <w:p w14:paraId="79DF6AE5">
      <w:pPr>
        <w:ind w:right="840"/>
        <w:jc w:val="center"/>
        <w:outlineLvl w:val="0"/>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lang w:val="en-US"/>
        </w:rPr>
        <w:t>第三章  合同文本</w:t>
      </w:r>
    </w:p>
    <w:p w14:paraId="7E66CE04">
      <w:pPr>
        <w:keepNext w:val="0"/>
        <w:keepLines w:val="0"/>
        <w:pageBreakBefore w:val="0"/>
        <w:widowControl w:val="0"/>
        <w:spacing w:line="240" w:lineRule="auto"/>
        <w:ind w:firstLine="480"/>
        <w:rPr>
          <w:rFonts w:hint="eastAsia" w:ascii="宋体" w:hAnsi="宋体"/>
          <w:bCs/>
          <w:color w:val="auto"/>
          <w:sz w:val="24"/>
          <w:szCs w:val="21"/>
          <w:highlight w:val="none"/>
        </w:rPr>
      </w:pPr>
      <w:bookmarkStart w:id="160" w:name="_Toc513029243"/>
      <w:bookmarkStart w:id="161" w:name="_Toc16938559"/>
      <w:bookmarkStart w:id="162" w:name="_Toc20823315"/>
      <w:r>
        <w:rPr>
          <w:rFonts w:hint="eastAsia" w:ascii="宋体" w:hAnsi="宋体"/>
          <w:bCs/>
          <w:color w:val="auto"/>
          <w:sz w:val="24"/>
          <w:szCs w:val="21"/>
          <w:highlight w:val="none"/>
        </w:rPr>
        <w:t>以下</w:t>
      </w:r>
      <w:r>
        <w:rPr>
          <w:rFonts w:hint="eastAsia" w:ascii="宋体" w:hAnsi="宋体"/>
          <w:bCs/>
          <w:color w:val="auto"/>
          <w:sz w:val="24"/>
          <w:szCs w:val="21"/>
          <w:highlight w:val="none"/>
          <w:lang w:val="en-US" w:eastAsia="zh-CN"/>
        </w:rPr>
        <w:t>为本项目的合同</w:t>
      </w:r>
      <w:r>
        <w:rPr>
          <w:rFonts w:hint="eastAsia" w:ascii="宋体" w:hAnsi="宋体"/>
          <w:bCs/>
          <w:color w:val="auto"/>
          <w:sz w:val="24"/>
          <w:szCs w:val="21"/>
          <w:highlight w:val="none"/>
        </w:rPr>
        <w:t>条款</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lang w:val="en-US" w:eastAsia="zh-CN"/>
        </w:rPr>
        <w:t>合同双方不得对谈判、响应文件内容作</w:t>
      </w:r>
      <w:r>
        <w:rPr>
          <w:rFonts w:hint="eastAsia" w:ascii="宋体" w:hAnsi="宋体"/>
          <w:bCs/>
          <w:color w:val="auto"/>
          <w:sz w:val="24"/>
          <w:szCs w:val="21"/>
          <w:highlight w:val="none"/>
        </w:rPr>
        <w:t>实质性修改。</w:t>
      </w:r>
    </w:p>
    <w:bookmarkEnd w:id="160"/>
    <w:bookmarkEnd w:id="161"/>
    <w:bookmarkEnd w:id="162"/>
    <w:p w14:paraId="6EC799CF">
      <w:pPr>
        <w:widowControl w:val="0"/>
        <w:spacing w:line="500" w:lineRule="exact"/>
        <w:jc w:val="both"/>
        <w:rPr>
          <w:rFonts w:ascii="宋体" w:hAnsi="宋体" w:eastAsia="宋体" w:cs="Times New Roman"/>
          <w:color w:val="auto"/>
          <w:kern w:val="2"/>
          <w:sz w:val="22"/>
          <w:szCs w:val="22"/>
          <w:highlight w:val="none"/>
          <w:lang w:val="en-US" w:eastAsia="zh-CN" w:bidi="ar-SA"/>
        </w:rPr>
      </w:pPr>
    </w:p>
    <w:p w14:paraId="3ECF4AD4">
      <w:pPr>
        <w:adjustRightInd w:val="0"/>
        <w:snapToGrid w:val="0"/>
        <w:spacing w:line="360" w:lineRule="auto"/>
        <w:ind w:firstLine="200"/>
        <w:jc w:val="center"/>
        <w:rPr>
          <w:rFonts w:hint="default" w:ascii="Times New Roman" w:hAnsi="Times New Roman" w:eastAsia="Calibri" w:cs="Times New Roman"/>
          <w:color w:val="auto"/>
          <w:sz w:val="28"/>
          <w:szCs w:val="36"/>
          <w:highlight w:val="none"/>
          <w:lang w:eastAsia="zh-CN"/>
        </w:rPr>
      </w:pPr>
      <w:r>
        <w:rPr>
          <w:rFonts w:hint="default" w:ascii="Times New Roman" w:hAnsi="Times New Roman" w:eastAsia="Calibri" w:cs="Times New Roman"/>
          <w:color w:val="auto"/>
          <w:sz w:val="28"/>
          <w:szCs w:val="36"/>
          <w:highlight w:val="none"/>
          <w:lang w:eastAsia="zh-CN"/>
        </w:rPr>
        <w:t>采购合同（模板）</w:t>
      </w:r>
    </w:p>
    <w:p w14:paraId="03BA8F3B">
      <w:pPr>
        <w:adjustRightInd w:val="0"/>
        <w:snapToGrid w:val="0"/>
        <w:spacing w:line="360" w:lineRule="auto"/>
        <w:ind w:firstLine="200"/>
        <w:jc w:val="left"/>
        <w:rPr>
          <w:rFonts w:hint="default" w:ascii="Times New Roman" w:hAnsi="Times New Roman" w:eastAsia="Calibri" w:cs="Times New Roman"/>
          <w:color w:val="auto"/>
          <w:sz w:val="22"/>
          <w:szCs w:val="21"/>
          <w:highlight w:val="none"/>
          <w:lang w:eastAsia="zh-CN"/>
        </w:rPr>
      </w:pPr>
      <w:r>
        <w:rPr>
          <w:rFonts w:hint="default" w:ascii="Times New Roman" w:hAnsi="Times New Roman" w:eastAsia="Calibri" w:cs="Times New Roman"/>
          <w:color w:val="auto"/>
          <w:sz w:val="22"/>
          <w:szCs w:val="21"/>
          <w:highlight w:val="none"/>
          <w:lang w:eastAsia="zh-CN"/>
        </w:rPr>
        <w:t xml:space="preserve">项目编号：                                    合同编号： </w:t>
      </w:r>
    </w:p>
    <w:p w14:paraId="3DDEFE40">
      <w:pPr>
        <w:adjustRightInd w:val="0"/>
        <w:snapToGrid w:val="0"/>
        <w:spacing w:line="360" w:lineRule="auto"/>
        <w:ind w:firstLine="200"/>
        <w:jc w:val="left"/>
        <w:rPr>
          <w:rFonts w:hint="default" w:ascii="Times New Roman" w:hAnsi="Times New Roman" w:eastAsia="Calibri" w:cs="Times New Roman"/>
          <w:color w:val="auto"/>
          <w:sz w:val="22"/>
          <w:szCs w:val="21"/>
          <w:highlight w:val="none"/>
          <w:lang w:eastAsia="zh-CN"/>
        </w:rPr>
      </w:pPr>
      <w:r>
        <w:rPr>
          <w:rFonts w:hint="default" w:ascii="Times New Roman" w:hAnsi="Times New Roman" w:eastAsia="Calibri" w:cs="Times New Roman"/>
          <w:color w:val="auto"/>
          <w:sz w:val="22"/>
          <w:szCs w:val="21"/>
          <w:highlight w:val="none"/>
          <w:lang w:eastAsia="zh-CN"/>
        </w:rPr>
        <w:t xml:space="preserve">甲方： </w:t>
      </w:r>
    </w:p>
    <w:p w14:paraId="29A71ED7">
      <w:pPr>
        <w:adjustRightInd w:val="0"/>
        <w:snapToGrid w:val="0"/>
        <w:spacing w:line="360" w:lineRule="auto"/>
        <w:ind w:firstLine="200"/>
        <w:jc w:val="left"/>
        <w:rPr>
          <w:rFonts w:hint="default" w:ascii="Times New Roman" w:hAnsi="Times New Roman" w:eastAsia="Calibri" w:cs="Times New Roman"/>
          <w:color w:val="auto"/>
          <w:sz w:val="22"/>
          <w:szCs w:val="21"/>
          <w:highlight w:val="none"/>
          <w:lang w:eastAsia="zh-CN"/>
        </w:rPr>
      </w:pPr>
      <w:r>
        <w:rPr>
          <w:rFonts w:hint="default" w:ascii="Times New Roman" w:hAnsi="Times New Roman" w:eastAsia="Calibri" w:cs="Times New Roman"/>
          <w:color w:val="auto"/>
          <w:sz w:val="22"/>
          <w:szCs w:val="21"/>
          <w:highlight w:val="none"/>
          <w:lang w:eastAsia="zh-CN"/>
        </w:rPr>
        <w:t>乙方：</w:t>
      </w:r>
    </w:p>
    <w:p w14:paraId="3EFE4BA9">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第一条 合同标的</w:t>
      </w:r>
    </w:p>
    <w:p w14:paraId="66B49CD5">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eastAsia="宋体" w:cs="Times New Roman"/>
          <w:color w:val="auto"/>
          <w:sz w:val="21"/>
          <w:szCs w:val="21"/>
          <w:highlight w:val="none"/>
          <w:lang w:eastAsia="zh-CN"/>
        </w:rPr>
        <w:t>1.乙方根据甲方需求提供下列服务：</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w:t>
      </w:r>
    </w:p>
    <w:p w14:paraId="1282CD6D">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2.具体服务执行要求详见乙方响应文件。</w:t>
      </w:r>
    </w:p>
    <w:p w14:paraId="12C72BE2">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第二条 合同总价款</w:t>
      </w:r>
    </w:p>
    <w:p w14:paraId="74BB1FB9">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1.本合同项下服务总价款为人民币___________（大写）元，分项价款如下：</w:t>
      </w:r>
    </w:p>
    <w:tbl>
      <w:tblPr>
        <w:tblStyle w:val="50"/>
        <w:tblW w:w="4998" w:type="pct"/>
        <w:tblInd w:w="0" w:type="dxa"/>
        <w:tblLayout w:type="autofit"/>
        <w:tblCellMar>
          <w:top w:w="15" w:type="dxa"/>
          <w:left w:w="15" w:type="dxa"/>
          <w:bottom w:w="15" w:type="dxa"/>
          <w:right w:w="15" w:type="dxa"/>
        </w:tblCellMar>
      </w:tblPr>
      <w:tblGrid>
        <w:gridCol w:w="853"/>
        <w:gridCol w:w="1672"/>
        <w:gridCol w:w="2759"/>
        <w:gridCol w:w="2445"/>
        <w:gridCol w:w="2253"/>
      </w:tblGrid>
      <w:tr w14:paraId="65B5B254">
        <w:tblPrEx>
          <w:tblCellMar>
            <w:top w:w="15" w:type="dxa"/>
            <w:left w:w="15" w:type="dxa"/>
            <w:bottom w:w="15" w:type="dxa"/>
            <w:right w:w="15" w:type="dxa"/>
          </w:tblCellMar>
        </w:tblPrEx>
        <w:trPr>
          <w:trHeight w:val="373" w:hRule="atLeast"/>
          <w:tblHeader/>
        </w:trPr>
        <w:tc>
          <w:tcPr>
            <w:tcW w:w="427"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59E10297">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序号</w:t>
            </w:r>
          </w:p>
        </w:tc>
        <w:tc>
          <w:tcPr>
            <w:tcW w:w="837"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4206F190">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关押点</w:t>
            </w:r>
          </w:p>
        </w:tc>
        <w:tc>
          <w:tcPr>
            <w:tcW w:w="1381"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1180E3FD">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建筑名称</w:t>
            </w:r>
          </w:p>
        </w:tc>
        <w:tc>
          <w:tcPr>
            <w:tcW w:w="1224"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46FDE33F">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建筑面积（m²）</w:t>
            </w:r>
          </w:p>
        </w:tc>
        <w:tc>
          <w:tcPr>
            <w:tcW w:w="1128"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6061858D">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评估费用（万元）</w:t>
            </w:r>
          </w:p>
        </w:tc>
      </w:tr>
      <w:tr w14:paraId="3568592D">
        <w:tblPrEx>
          <w:tblCellMar>
            <w:top w:w="15" w:type="dxa"/>
            <w:left w:w="15" w:type="dxa"/>
            <w:bottom w:w="15" w:type="dxa"/>
            <w:right w:w="15" w:type="dxa"/>
          </w:tblCellMar>
        </w:tblPrEx>
        <w:trPr>
          <w:trHeight w:val="468"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A729AD9">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w:t>
            </w:r>
          </w:p>
        </w:tc>
        <w:tc>
          <w:tcPr>
            <w:tcW w:w="837" w:type="pct"/>
            <w:vMerge w:val="restart"/>
            <w:tcBorders>
              <w:top w:val="single" w:color="auto" w:sz="4" w:space="0"/>
              <w:left w:val="single" w:color="auto" w:sz="4" w:space="0"/>
              <w:bottom w:val="single" w:color="DEE0E3" w:sz="6" w:space="0"/>
              <w:right w:val="single" w:color="auto" w:sz="4" w:space="0"/>
            </w:tcBorders>
            <w:tcMar>
              <w:top w:w="120" w:type="dxa"/>
              <w:left w:w="120" w:type="dxa"/>
              <w:bottom w:w="120" w:type="dxa"/>
              <w:right w:w="120" w:type="dxa"/>
            </w:tcMar>
          </w:tcPr>
          <w:p w14:paraId="60931D0A">
            <w:pPr>
              <w:widowControl/>
              <w:spacing w:line="320" w:lineRule="exact"/>
              <w:jc w:val="left"/>
              <w:rPr>
                <w:rFonts w:hint="eastAsia" w:ascii="宋体" w:hAnsi="宋体" w:eastAsia="宋体" w:cs="宋体"/>
                <w:color w:val="auto"/>
                <w:kern w:val="0"/>
                <w:sz w:val="21"/>
                <w:szCs w:val="21"/>
                <w:highlight w:val="none"/>
                <w:lang w:eastAsia="zh-CN"/>
              </w:rPr>
            </w:pPr>
          </w:p>
          <w:p w14:paraId="3F74C954">
            <w:pPr>
              <w:widowControl/>
              <w:spacing w:line="320" w:lineRule="exact"/>
              <w:jc w:val="left"/>
              <w:rPr>
                <w:rFonts w:hint="eastAsia" w:ascii="宋体" w:hAnsi="宋体" w:eastAsia="宋体" w:cs="宋体"/>
                <w:color w:val="auto"/>
                <w:kern w:val="0"/>
                <w:sz w:val="21"/>
                <w:szCs w:val="21"/>
                <w:highlight w:val="none"/>
                <w:lang w:eastAsia="zh-CN"/>
              </w:rPr>
            </w:pPr>
          </w:p>
          <w:p w14:paraId="343045C6">
            <w:pPr>
              <w:widowControl/>
              <w:spacing w:line="320" w:lineRule="exact"/>
              <w:jc w:val="left"/>
              <w:rPr>
                <w:rFonts w:hint="eastAsia" w:ascii="宋体" w:hAnsi="宋体" w:eastAsia="宋体" w:cs="宋体"/>
                <w:color w:val="auto"/>
                <w:kern w:val="0"/>
                <w:sz w:val="21"/>
                <w:szCs w:val="21"/>
                <w:highlight w:val="none"/>
                <w:lang w:eastAsia="zh-CN"/>
              </w:rPr>
            </w:pPr>
          </w:p>
          <w:p w14:paraId="55A52AF4">
            <w:pPr>
              <w:widowControl/>
              <w:spacing w:line="320" w:lineRule="exact"/>
              <w:jc w:val="left"/>
              <w:rPr>
                <w:rFonts w:hint="eastAsia" w:ascii="宋体" w:hAnsi="宋体" w:eastAsia="宋体" w:cs="宋体"/>
                <w:color w:val="auto"/>
                <w:kern w:val="0"/>
                <w:sz w:val="21"/>
                <w:szCs w:val="21"/>
                <w:highlight w:val="none"/>
                <w:lang w:eastAsia="zh-CN"/>
              </w:rPr>
            </w:pPr>
          </w:p>
          <w:p w14:paraId="236B71A0">
            <w:pPr>
              <w:widowControl/>
              <w:spacing w:line="320" w:lineRule="exact"/>
              <w:jc w:val="left"/>
              <w:rPr>
                <w:rFonts w:hint="eastAsia" w:ascii="宋体" w:hAnsi="宋体" w:eastAsia="宋体" w:cs="宋体"/>
                <w:color w:val="auto"/>
                <w:kern w:val="0"/>
                <w:sz w:val="21"/>
                <w:szCs w:val="21"/>
                <w:highlight w:val="none"/>
                <w:lang w:eastAsia="zh-CN"/>
              </w:rPr>
            </w:pPr>
          </w:p>
          <w:p w14:paraId="14A1D9EC">
            <w:pPr>
              <w:widowControl/>
              <w:spacing w:line="320" w:lineRule="exact"/>
              <w:jc w:val="left"/>
              <w:rPr>
                <w:rFonts w:hint="eastAsia" w:ascii="宋体" w:hAnsi="宋体" w:eastAsia="宋体" w:cs="宋体"/>
                <w:color w:val="auto"/>
                <w:kern w:val="0"/>
                <w:sz w:val="21"/>
                <w:szCs w:val="21"/>
                <w:highlight w:val="none"/>
                <w:lang w:eastAsia="zh-CN"/>
              </w:rPr>
            </w:pPr>
          </w:p>
          <w:p w14:paraId="1F8F6046">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w:t>
            </w: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53B805E">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中心监区1号监房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CA246C4">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6,778</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D65DB91">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38957716">
        <w:tblPrEx>
          <w:tblCellMar>
            <w:top w:w="15" w:type="dxa"/>
            <w:left w:w="15" w:type="dxa"/>
            <w:bottom w:w="15" w:type="dxa"/>
            <w:right w:w="15" w:type="dxa"/>
          </w:tblCellMar>
        </w:tblPrEx>
        <w:trPr>
          <w:trHeight w:val="293"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93E9D05">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40871CB5">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9CA0480">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中心监区1号厂房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86D26BC">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6,942</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A7D7185">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2333CC83">
        <w:tblPrEx>
          <w:tblCellMar>
            <w:top w:w="15" w:type="dxa"/>
            <w:left w:w="15" w:type="dxa"/>
            <w:bottom w:w="15" w:type="dxa"/>
            <w:right w:w="15" w:type="dxa"/>
          </w:tblCellMar>
        </w:tblPrEx>
        <w:trPr>
          <w:trHeight w:val="429"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D0C9C9F">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6AE9F731">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55FF6CA">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中心监区罪犯伙房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B4A61B1">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2,112.7</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67099FF">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5B851DA2">
        <w:tblPrEx>
          <w:tblCellMar>
            <w:top w:w="15" w:type="dxa"/>
            <w:left w:w="15" w:type="dxa"/>
            <w:bottom w:w="15" w:type="dxa"/>
            <w:right w:w="15" w:type="dxa"/>
          </w:tblCellMar>
        </w:tblPrEx>
        <w:trPr>
          <w:trHeight w:val="453"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7A302FA">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5B62AAF8">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C906BF9">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中心监区2号监房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91470E0">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6,787</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FD82342">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75E27EF6">
        <w:tblPrEx>
          <w:tblCellMar>
            <w:top w:w="15" w:type="dxa"/>
            <w:left w:w="15" w:type="dxa"/>
            <w:bottom w:w="15" w:type="dxa"/>
            <w:right w:w="15" w:type="dxa"/>
          </w:tblCellMar>
        </w:tblPrEx>
        <w:trPr>
          <w:trHeight w:val="463"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7F14743">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0BB09211">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98896B8">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中心监区2号厂房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4E19833">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6,881.6</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23DC2A8">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08F67546">
        <w:tblPrEx>
          <w:tblCellMar>
            <w:top w:w="15" w:type="dxa"/>
            <w:left w:w="15" w:type="dxa"/>
            <w:bottom w:w="15" w:type="dxa"/>
            <w:right w:w="15" w:type="dxa"/>
          </w:tblCellMar>
        </w:tblPrEx>
        <w:trPr>
          <w:trHeight w:val="445"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202BD26">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218852A8">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EE850AE">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中心监区3号监房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6D279BC">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6,755</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C867557">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62CF23F6">
        <w:tblPrEx>
          <w:tblCellMar>
            <w:top w:w="15" w:type="dxa"/>
            <w:left w:w="15" w:type="dxa"/>
            <w:bottom w:w="15" w:type="dxa"/>
            <w:right w:w="15" w:type="dxa"/>
          </w:tblCellMar>
        </w:tblPrEx>
        <w:trPr>
          <w:trHeight w:val="327"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1DED3FD">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7</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201B15B7">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098BBE9">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中心监区3号厂房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727762E">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6,881.6</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145DBCB">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2032962C">
        <w:tblPrEx>
          <w:tblCellMar>
            <w:top w:w="15" w:type="dxa"/>
            <w:left w:w="15" w:type="dxa"/>
            <w:bottom w:w="15" w:type="dxa"/>
            <w:right w:w="15" w:type="dxa"/>
          </w:tblCellMar>
        </w:tblPrEx>
        <w:trPr>
          <w:trHeight w:val="449"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8896820">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8</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2B6336D4">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D2E9486">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中心监区教学楼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B414F35">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3,974</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66F9923">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532DF736">
        <w:tblPrEx>
          <w:tblCellMar>
            <w:top w:w="15" w:type="dxa"/>
            <w:left w:w="15" w:type="dxa"/>
            <w:bottom w:w="15" w:type="dxa"/>
            <w:right w:w="15" w:type="dxa"/>
          </w:tblCellMar>
        </w:tblPrEx>
        <w:trPr>
          <w:trHeight w:val="585"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E297BAE">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9</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316FC491">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133BD80">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中心监区严管禁闭楼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64B69F9">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3,638</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0AC7012">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5EF3FE98">
        <w:tblPrEx>
          <w:tblCellMar>
            <w:top w:w="15" w:type="dxa"/>
            <w:left w:w="15" w:type="dxa"/>
            <w:bottom w:w="15" w:type="dxa"/>
            <w:right w:w="15" w:type="dxa"/>
          </w:tblCellMar>
        </w:tblPrEx>
        <w:trPr>
          <w:trHeight w:val="373"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DC96A6D">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10</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578AE1BA">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E596313">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中心监区医院</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32B8852">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4,680</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880190A">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62685DA3">
        <w:tblPrEx>
          <w:tblCellMar>
            <w:top w:w="15" w:type="dxa"/>
            <w:left w:w="15" w:type="dxa"/>
            <w:bottom w:w="15" w:type="dxa"/>
            <w:right w:w="15" w:type="dxa"/>
          </w:tblCellMar>
        </w:tblPrEx>
        <w:trPr>
          <w:trHeight w:val="515"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501D416">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11</w:t>
            </w:r>
          </w:p>
        </w:tc>
        <w:tc>
          <w:tcPr>
            <w:tcW w:w="837" w:type="pct"/>
            <w:vMerge w:val="continue"/>
            <w:tcBorders>
              <w:top w:val="single" w:color="DEE0E3" w:sz="6" w:space="0"/>
              <w:left w:val="single" w:color="auto" w:sz="4" w:space="0"/>
              <w:bottom w:val="single" w:color="auto" w:sz="4" w:space="0"/>
              <w:right w:val="single" w:color="auto" w:sz="4" w:space="0"/>
            </w:tcBorders>
            <w:vAlign w:val="center"/>
          </w:tcPr>
          <w:p w14:paraId="239E2C29">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CF04E58">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中心监区大门</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B37F5D8">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1,876</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788948C">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4EB4E983">
        <w:tblPrEx>
          <w:tblCellMar>
            <w:top w:w="15" w:type="dxa"/>
            <w:left w:w="15" w:type="dxa"/>
            <w:bottom w:w="15" w:type="dxa"/>
            <w:right w:w="15" w:type="dxa"/>
          </w:tblCellMar>
        </w:tblPrEx>
        <w:trPr>
          <w:trHeight w:val="456"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BA3EEFB">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12</w:t>
            </w:r>
          </w:p>
        </w:tc>
        <w:tc>
          <w:tcPr>
            <w:tcW w:w="837" w:type="pct"/>
            <w:vMerge w:val="restart"/>
            <w:tcBorders>
              <w:top w:val="single" w:color="auto" w:sz="4" w:space="0"/>
              <w:left w:val="single" w:color="auto" w:sz="4" w:space="0"/>
              <w:bottom w:val="single" w:color="DEE0E3" w:sz="6" w:space="0"/>
              <w:right w:val="single" w:color="auto" w:sz="4" w:space="0"/>
            </w:tcBorders>
            <w:tcMar>
              <w:top w:w="120" w:type="dxa"/>
              <w:left w:w="120" w:type="dxa"/>
              <w:bottom w:w="120" w:type="dxa"/>
              <w:right w:w="120" w:type="dxa"/>
            </w:tcMar>
          </w:tcPr>
          <w:p w14:paraId="69988BA7">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小岛分监狱</w:t>
            </w: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982130D">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低度戒备分监狱监房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6199364">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9,300</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BD42E20">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0F4EA62D">
        <w:tblPrEx>
          <w:tblCellMar>
            <w:top w:w="15" w:type="dxa"/>
            <w:left w:w="15" w:type="dxa"/>
            <w:bottom w:w="15" w:type="dxa"/>
            <w:right w:w="15" w:type="dxa"/>
          </w:tblCellMar>
        </w:tblPrEx>
        <w:trPr>
          <w:trHeight w:val="339"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BF7CE6A">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13</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15605850">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AA0226D">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分监狱厂房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5DD7717">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7,200</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58646E3">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1B791F9E">
        <w:tblPrEx>
          <w:tblCellMar>
            <w:top w:w="15" w:type="dxa"/>
            <w:left w:w="15" w:type="dxa"/>
            <w:bottom w:w="15" w:type="dxa"/>
            <w:right w:w="15" w:type="dxa"/>
          </w:tblCellMar>
        </w:tblPrEx>
        <w:trPr>
          <w:trHeight w:val="431"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C2337E6">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14</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5BA4AD08">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06D0F97">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分监狱罪犯伙房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DB38D8A">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560</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FCBD48F">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66942149">
        <w:tblPrEx>
          <w:tblCellMar>
            <w:top w:w="15" w:type="dxa"/>
            <w:left w:w="15" w:type="dxa"/>
            <w:bottom w:w="15" w:type="dxa"/>
            <w:right w:w="15" w:type="dxa"/>
          </w:tblCellMar>
        </w:tblPrEx>
        <w:trPr>
          <w:trHeight w:val="440"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5643E14">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15</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2C6D8D2B">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F5BA58A">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分监狱教学楼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39828C9">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1,214.3</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30E36E0">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r w14:paraId="1CA82C47">
        <w:tblPrEx>
          <w:tblCellMar>
            <w:top w:w="15" w:type="dxa"/>
            <w:left w:w="15" w:type="dxa"/>
            <w:bottom w:w="15" w:type="dxa"/>
            <w:right w:w="15" w:type="dxa"/>
          </w:tblCellMar>
        </w:tblPrEx>
        <w:trPr>
          <w:trHeight w:val="465" w:hRule="atLeast"/>
        </w:trPr>
        <w:tc>
          <w:tcPr>
            <w:tcW w:w="4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FBCFA50">
            <w:pPr>
              <w:widowControl/>
              <w:spacing w:line="320" w:lineRule="exact"/>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16</w:t>
            </w:r>
          </w:p>
        </w:tc>
        <w:tc>
          <w:tcPr>
            <w:tcW w:w="837" w:type="pct"/>
            <w:vMerge w:val="continue"/>
            <w:tcBorders>
              <w:top w:val="single" w:color="DEE0E3" w:sz="6" w:space="0"/>
              <w:left w:val="single" w:color="auto" w:sz="4" w:space="0"/>
              <w:bottom w:val="single" w:color="auto" w:sz="4" w:space="0"/>
              <w:right w:val="single" w:color="auto" w:sz="4" w:space="0"/>
            </w:tcBorders>
            <w:vAlign w:val="center"/>
          </w:tcPr>
          <w:p w14:paraId="4DE8FC99">
            <w:pPr>
              <w:widowControl/>
              <w:spacing w:line="320" w:lineRule="exact"/>
              <w:jc w:val="left"/>
              <w:rPr>
                <w:rFonts w:hint="eastAsia" w:ascii="宋体" w:hAnsi="宋体" w:eastAsia="宋体" w:cs="宋体"/>
                <w:color w:val="auto"/>
                <w:kern w:val="0"/>
                <w:sz w:val="21"/>
                <w:szCs w:val="21"/>
                <w:highlight w:val="none"/>
                <w:lang w:eastAsia="zh-CN"/>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E374D38">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小岛分监狱门楼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30A1568">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1,315</w:t>
            </w:r>
          </w:p>
        </w:tc>
        <w:tc>
          <w:tcPr>
            <w:tcW w:w="11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75D0F7F">
            <w:pPr>
              <w:widowControl/>
              <w:spacing w:line="320" w:lineRule="exact"/>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 </w:t>
            </w:r>
          </w:p>
        </w:tc>
      </w:tr>
    </w:tbl>
    <w:p w14:paraId="5219FCF0">
      <w:pPr>
        <w:spacing w:line="360" w:lineRule="auto"/>
        <w:ind w:firstLine="420" w:firstLineChars="200"/>
        <w:jc w:val="lef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2.本合同总价款是完成本项目所发生的所有含税费用、支付给员工的工资和国家强制缴纳的各种社会保障资金</w:t>
      </w:r>
      <w:r>
        <w:rPr>
          <w:rFonts w:hint="default" w:ascii="Times New Roman" w:hAnsi="Times New Roman" w:eastAsia="宋体" w:cs="Times New Roman"/>
          <w:bCs/>
          <w:color w:val="auto"/>
          <w:sz w:val="21"/>
          <w:szCs w:val="21"/>
          <w:highlight w:val="none"/>
          <w:lang w:eastAsia="zh-CN"/>
        </w:rPr>
        <w:t>，以</w:t>
      </w:r>
      <w:r>
        <w:rPr>
          <w:rFonts w:hint="default" w:ascii="Times New Roman" w:hAnsi="Times New Roman" w:eastAsia="宋体" w:cs="Times New Roman"/>
          <w:color w:val="auto"/>
          <w:sz w:val="21"/>
          <w:szCs w:val="21"/>
          <w:highlight w:val="none"/>
          <w:lang w:eastAsia="zh-CN"/>
        </w:rPr>
        <w:t>及乙方认为需要的其他费用等。</w:t>
      </w:r>
    </w:p>
    <w:p w14:paraId="2D4E4D2A">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3.本合同执行期间合同总价款不变。</w:t>
      </w:r>
    </w:p>
    <w:p w14:paraId="16DE7BBA">
      <w:pPr>
        <w:autoSpaceDE w:val="0"/>
        <w:autoSpaceDN w:val="0"/>
        <w:adjustRightInd w:val="0"/>
        <w:spacing w:line="360" w:lineRule="auto"/>
        <w:ind w:firstLine="422"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第三条 组成本合同的有关文件</w:t>
      </w:r>
      <w:r>
        <w:rPr>
          <w:rFonts w:hint="default" w:ascii="Times New Roman" w:hAnsi="Times New Roman" w:eastAsia="宋体" w:cs="Times New Roman"/>
          <w:color w:val="auto"/>
          <w:sz w:val="21"/>
          <w:szCs w:val="21"/>
          <w:highlight w:val="none"/>
          <w:lang w:eastAsia="zh-CN"/>
        </w:rPr>
        <w:t xml:space="preserve">  </w:t>
      </w:r>
    </w:p>
    <w:p w14:paraId="4856EC69">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下列关于</w:t>
      </w:r>
      <w:r>
        <w:rPr>
          <w:rFonts w:hint="default" w:ascii="Times New Roman" w:hAnsi="Times New Roman" w:eastAsia="宋体" w:cs="Times New Roman"/>
          <w:bCs/>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u w:val="single"/>
          <w:lang w:eastAsia="zh-CN"/>
        </w:rPr>
        <w:t>号</w:t>
      </w:r>
      <w:r>
        <w:rPr>
          <w:rFonts w:hint="default" w:ascii="Times New Roman" w:hAnsi="Times New Roman" w:eastAsia="宋体" w:cs="Times New Roman"/>
          <w:color w:val="auto"/>
          <w:sz w:val="21"/>
          <w:szCs w:val="21"/>
          <w:highlight w:val="none"/>
          <w:lang w:eastAsia="zh-CN"/>
        </w:rPr>
        <w:t>的竞争性</w:t>
      </w:r>
      <w:r>
        <w:rPr>
          <w:rFonts w:hint="eastAsia" w:ascii="Times New Roman" w:hAnsi="Times New Roman" w:cs="Times New Roman"/>
          <w:color w:val="auto"/>
          <w:sz w:val="21"/>
          <w:szCs w:val="21"/>
          <w:highlight w:val="none"/>
          <w:lang w:eastAsia="zh-CN"/>
        </w:rPr>
        <w:t>谈判</w:t>
      </w:r>
      <w:r>
        <w:rPr>
          <w:rFonts w:hint="default" w:ascii="Times New Roman" w:hAnsi="Times New Roman" w:eastAsia="宋体" w:cs="Times New Roman"/>
          <w:color w:val="auto"/>
          <w:sz w:val="21"/>
          <w:szCs w:val="21"/>
          <w:highlight w:val="none"/>
          <w:lang w:eastAsia="zh-CN"/>
        </w:rPr>
        <w:t>文件、供应商响应文件，或与本次采购活动方式相适应的文件，以及有关附件是本合同不可分割的组成部分，与本合同具有同等法律效力，这些文件包括但不限于：</w:t>
      </w:r>
    </w:p>
    <w:p w14:paraId="39ACC7B2">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1.乙方提供的响应文件和报价表；</w:t>
      </w:r>
    </w:p>
    <w:p w14:paraId="6A337881">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2.技术条款偏离表；</w:t>
      </w:r>
    </w:p>
    <w:p w14:paraId="5EAB0975">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3.服务承诺；</w:t>
      </w:r>
    </w:p>
    <w:p w14:paraId="5BC85224">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4.成交通知书；</w:t>
      </w:r>
    </w:p>
    <w:p w14:paraId="18409D3F">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5.甲乙双方商定的其他文件等。</w:t>
      </w:r>
    </w:p>
    <w:p w14:paraId="6EE5DF2D">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第四条 权利保证</w:t>
      </w:r>
    </w:p>
    <w:p w14:paraId="1A9559EA">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1.乙方应保证甲方在使用该服务或其任何一部分时不受第三方提出侵犯其专利权、版权、商标权或其他权利的起诉。一旦出现侵权，乙方应承担全部责任。</w:t>
      </w:r>
    </w:p>
    <w:p w14:paraId="6FDBA3A6">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2.乙方人员须持证上岗，具备相关资质，持有相关有效证件；且乙方须为上门鉴定人员缴纳社保和人身意外险，人身意外险保额应大于等于100万元，乙方须保证社保和人身意外险的真实性、有效性。</w:t>
      </w:r>
    </w:p>
    <w:p w14:paraId="0B04BFEA">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第五条 质量保证</w:t>
      </w:r>
    </w:p>
    <w:p w14:paraId="5E5FB7A2">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乙方所提供的服务的技术规格应与采购文件规定的技术规格及响应文件所附的“技术条款偏离表”相一致；若技术性能无特殊说明，则按国家有关部门最新颁布的标准及规范为准。</w:t>
      </w:r>
    </w:p>
    <w:p w14:paraId="4EB6217A">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第六条 交付和验收</w:t>
      </w:r>
    </w:p>
    <w:p w14:paraId="14654AC1">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eastAsia="宋体" w:cs="Times New Roman"/>
          <w:color w:val="auto"/>
          <w:sz w:val="21"/>
          <w:szCs w:val="21"/>
          <w:highlight w:val="none"/>
          <w:lang w:eastAsia="zh-CN"/>
        </w:rPr>
        <w:t>1.自</w:t>
      </w:r>
      <w:r>
        <w:rPr>
          <w:rFonts w:hint="default" w:ascii="Times New Roman" w:hAnsi="Times New Roman" w:eastAsia="宋体" w:cs="Times New Roman"/>
          <w:bCs/>
          <w:color w:val="auto"/>
          <w:sz w:val="21"/>
          <w:szCs w:val="21"/>
          <w:highlight w:val="none"/>
          <w:lang w:eastAsia="zh-CN"/>
        </w:rPr>
        <w:t>合同签订后</w:t>
      </w:r>
      <w:r>
        <w:rPr>
          <w:rFonts w:hint="default" w:ascii="Times New Roman" w:hAnsi="Times New Roman" w:eastAsia="宋体" w:cs="Times New Roman"/>
          <w:bCs/>
          <w:color w:val="auto"/>
          <w:sz w:val="21"/>
          <w:szCs w:val="21"/>
          <w:highlight w:val="none"/>
          <w:u w:val="single"/>
          <w:lang w:eastAsia="zh-CN"/>
        </w:rPr>
        <w:t xml:space="preserve">     </w:t>
      </w:r>
      <w:r>
        <w:rPr>
          <w:rFonts w:hint="default" w:ascii="Times New Roman" w:hAnsi="Times New Roman" w:eastAsia="宋体" w:cs="Times New Roman"/>
          <w:bCs/>
          <w:color w:val="auto"/>
          <w:sz w:val="21"/>
          <w:szCs w:val="21"/>
          <w:highlight w:val="none"/>
          <w:lang w:eastAsia="zh-CN"/>
        </w:rPr>
        <w:t>内</w:t>
      </w:r>
      <w:r>
        <w:rPr>
          <w:rFonts w:hint="default" w:ascii="Times New Roman" w:hAnsi="Times New Roman" w:eastAsia="宋体" w:cs="Times New Roman"/>
          <w:color w:val="auto"/>
          <w:sz w:val="21"/>
          <w:szCs w:val="21"/>
          <w:highlight w:val="none"/>
          <w:lang w:eastAsia="zh-CN"/>
        </w:rPr>
        <w:t>完成服务事项。</w:t>
      </w:r>
    </w:p>
    <w:p w14:paraId="05267BD9">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2.验收标准：</w:t>
      </w:r>
    </w:p>
    <w:p w14:paraId="0C42D543">
      <w:pPr>
        <w:autoSpaceDE w:val="0"/>
        <w:autoSpaceDN w:val="0"/>
        <w:adjustRightInd w:val="0"/>
        <w:spacing w:line="360" w:lineRule="auto"/>
        <w:ind w:firstLine="422" w:firstLineChars="200"/>
        <w:jc w:val="left"/>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一包：建筑消防设计安全评估：取得结论为合格的《建筑消防设计安全评估报告》，配合消防安全现状评估单位一起将“双评估”提交</w:t>
      </w:r>
      <w:r>
        <w:rPr>
          <w:rFonts w:hint="eastAsia" w:ascii="Times New Roman" w:hAnsi="Times New Roman" w:cs="Times New Roman"/>
          <w:b/>
          <w:bCs w:val="0"/>
          <w:color w:val="auto"/>
          <w:sz w:val="21"/>
          <w:szCs w:val="21"/>
          <w:highlight w:val="none"/>
          <w:lang w:val="en-US" w:eastAsia="zh-CN"/>
        </w:rPr>
        <w:t>政府相关部门</w:t>
      </w:r>
      <w:r>
        <w:rPr>
          <w:rFonts w:hint="default" w:ascii="Times New Roman" w:hAnsi="Times New Roman" w:eastAsia="宋体" w:cs="Times New Roman"/>
          <w:b/>
          <w:bCs w:val="0"/>
          <w:color w:val="auto"/>
          <w:sz w:val="21"/>
          <w:szCs w:val="21"/>
          <w:highlight w:val="none"/>
          <w:lang w:eastAsia="zh-CN"/>
        </w:rPr>
        <w:t>确认后在《南京市国有资产建设项目不动产历史遗留问题化解确认单》上加盖公章。</w:t>
      </w:r>
    </w:p>
    <w:p w14:paraId="42023266">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第七条 履约保证金</w:t>
      </w:r>
    </w:p>
    <w:p w14:paraId="7394DACE">
      <w:pPr>
        <w:adjustRightInd w:val="0"/>
        <w:snapToGri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无。</w:t>
      </w:r>
    </w:p>
    <w:p w14:paraId="294D42D2">
      <w:pPr>
        <w:autoSpaceDE w:val="0"/>
        <w:autoSpaceDN w:val="0"/>
        <w:adjustRightInd w:val="0"/>
        <w:spacing w:line="360" w:lineRule="auto"/>
        <w:ind w:firstLine="422" w:firstLineChars="200"/>
        <w:jc w:val="left"/>
        <w:rPr>
          <w:rFonts w:hint="default" w:ascii="Times New Roman" w:hAnsi="Times New Roman" w:eastAsia="宋体" w:cs="Times New Roman"/>
          <w:b/>
          <w:bCs/>
          <w:i/>
          <w:i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第八条 合同款支付</w:t>
      </w:r>
    </w:p>
    <w:p w14:paraId="13B169C9">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1.本合同项下所有款项均以人民币支付。</w:t>
      </w:r>
    </w:p>
    <w:p w14:paraId="4C358C4D">
      <w:pPr>
        <w:autoSpaceDE w:val="0"/>
        <w:autoSpaceDN w:val="0"/>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2.付款方式及付款节点</w:t>
      </w:r>
    </w:p>
    <w:p w14:paraId="168CEB46">
      <w:pPr>
        <w:spacing w:line="360" w:lineRule="auto"/>
        <w:ind w:firstLine="420" w:firstLineChars="200"/>
        <w:jc w:val="left"/>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本项目价款按以下节点分期支付，付款前供应商须按</w:t>
      </w:r>
      <w:r>
        <w:rPr>
          <w:rFonts w:hint="eastAsia" w:ascii="Times New Roman" w:hAnsi="Times New Roman" w:eastAsia="宋体" w:cs="Times New Roman"/>
          <w:bCs/>
          <w:color w:val="auto"/>
          <w:sz w:val="21"/>
          <w:szCs w:val="21"/>
          <w:highlight w:val="none"/>
          <w:lang w:val="en-US" w:eastAsia="zh-CN"/>
        </w:rPr>
        <w:t>甲方</w:t>
      </w:r>
      <w:r>
        <w:rPr>
          <w:rFonts w:hint="default" w:ascii="Times New Roman" w:hAnsi="Times New Roman" w:eastAsia="宋体" w:cs="Times New Roman"/>
          <w:bCs/>
          <w:color w:val="auto"/>
          <w:sz w:val="21"/>
          <w:szCs w:val="21"/>
          <w:highlight w:val="none"/>
          <w:lang w:eastAsia="zh-CN"/>
        </w:rPr>
        <w:t>要求提供合法、合规、有效的等额增值税发票，否则采购人有权顺延付款，且不承担违约责任：</w:t>
      </w:r>
    </w:p>
    <w:p w14:paraId="52AB21B6">
      <w:pPr>
        <w:spacing w:line="360" w:lineRule="auto"/>
        <w:ind w:firstLine="420" w:firstLineChars="200"/>
        <w:jc w:val="left"/>
        <w:rPr>
          <w:rFonts w:hint="default" w:ascii="Times New Roman" w:hAnsi="Times New Roman" w:eastAsia="宋体" w:cs="Times New Roman"/>
          <w:b/>
          <w:bCs w:val="0"/>
          <w:color w:val="auto"/>
          <w:sz w:val="21"/>
          <w:szCs w:val="21"/>
          <w:highlight w:val="none"/>
          <w:lang w:val="en-US" w:eastAsia="zh-CN"/>
        </w:rPr>
      </w:pPr>
      <w:r>
        <w:rPr>
          <w:rFonts w:hint="eastAsia" w:ascii="Times New Roman" w:hAnsi="Times New Roman" w:cs="Times New Roman"/>
          <w:bCs/>
          <w:color w:val="auto"/>
          <w:sz w:val="21"/>
          <w:szCs w:val="21"/>
          <w:highlight w:val="none"/>
          <w:lang w:eastAsia="zh-CN"/>
        </w:rPr>
        <w:t>（</w:t>
      </w:r>
      <w:r>
        <w:rPr>
          <w:rFonts w:hint="eastAsia" w:ascii="Times New Roman" w:hAnsi="Times New Roman" w:cs="Times New Roman"/>
          <w:bCs/>
          <w:color w:val="auto"/>
          <w:sz w:val="21"/>
          <w:szCs w:val="21"/>
          <w:highlight w:val="none"/>
          <w:lang w:val="en-US" w:eastAsia="zh-CN"/>
        </w:rPr>
        <w:t>1</w:t>
      </w:r>
      <w:r>
        <w:rPr>
          <w:rFonts w:hint="eastAsia" w:ascii="Times New Roman" w:hAnsi="Times New Roman" w:cs="Times New Roman"/>
          <w:bCs/>
          <w:color w:val="auto"/>
          <w:sz w:val="21"/>
          <w:szCs w:val="21"/>
          <w:highlight w:val="none"/>
          <w:lang w:eastAsia="zh-CN"/>
        </w:rPr>
        <w:t>）</w:t>
      </w:r>
      <w:r>
        <w:rPr>
          <w:rFonts w:hint="eastAsia" w:ascii="Times New Roman" w:hAnsi="Times New Roman" w:cs="Times New Roman"/>
          <w:bCs/>
          <w:color w:val="auto"/>
          <w:sz w:val="21"/>
          <w:szCs w:val="21"/>
          <w:highlight w:val="none"/>
          <w:lang w:val="en-US" w:eastAsia="zh-CN"/>
        </w:rPr>
        <w:t>合同签订后，甲方支付乙方合同</w:t>
      </w:r>
      <w:r>
        <w:rPr>
          <w:rFonts w:hint="default" w:ascii="Times New Roman" w:hAnsi="Times New Roman" w:eastAsia="宋体" w:cs="Times New Roman"/>
          <w:bCs/>
          <w:color w:val="auto"/>
          <w:sz w:val="21"/>
          <w:szCs w:val="21"/>
          <w:highlight w:val="none"/>
          <w:lang w:eastAsia="zh-CN"/>
        </w:rPr>
        <w:t>总金额</w:t>
      </w:r>
      <w:r>
        <w:rPr>
          <w:rFonts w:hint="eastAsia" w:ascii="Times New Roman" w:hAnsi="Times New Roman" w:cs="Times New Roman"/>
          <w:bCs/>
          <w:color w:val="auto"/>
          <w:sz w:val="21"/>
          <w:szCs w:val="21"/>
          <w:highlight w:val="none"/>
          <w:lang w:val="en-US" w:eastAsia="zh-CN"/>
        </w:rPr>
        <w:t>10</w:t>
      </w:r>
      <w:r>
        <w:rPr>
          <w:rFonts w:hint="default" w:ascii="Times New Roman" w:hAnsi="Times New Roman" w:eastAsia="宋体" w:cs="Times New Roman"/>
          <w:bCs/>
          <w:color w:val="auto"/>
          <w:sz w:val="21"/>
          <w:szCs w:val="21"/>
          <w:highlight w:val="none"/>
          <w:lang w:eastAsia="zh-CN"/>
        </w:rPr>
        <w:t>%</w:t>
      </w:r>
      <w:r>
        <w:rPr>
          <w:rFonts w:hint="eastAsia" w:ascii="Times New Roman" w:hAnsi="Times New Roman" w:cs="Times New Roman"/>
          <w:bCs/>
          <w:color w:val="auto"/>
          <w:sz w:val="21"/>
          <w:szCs w:val="21"/>
          <w:highlight w:val="none"/>
          <w:lang w:eastAsia="zh-CN"/>
        </w:rPr>
        <w:t>的</w:t>
      </w:r>
      <w:r>
        <w:rPr>
          <w:rFonts w:hint="eastAsia" w:ascii="Times New Roman" w:hAnsi="Times New Roman" w:cs="Times New Roman"/>
          <w:bCs/>
          <w:color w:val="auto"/>
          <w:sz w:val="21"/>
          <w:szCs w:val="21"/>
          <w:highlight w:val="none"/>
          <w:lang w:val="en-US" w:eastAsia="zh-CN"/>
        </w:rPr>
        <w:t>预付款</w:t>
      </w:r>
      <w:r>
        <w:rPr>
          <w:rFonts w:hint="default" w:ascii="Times New Roman" w:hAnsi="Times New Roman" w:eastAsia="宋体" w:cs="Times New Roman"/>
          <w:bCs/>
          <w:color w:val="auto"/>
          <w:sz w:val="21"/>
          <w:szCs w:val="21"/>
          <w:highlight w:val="none"/>
          <w:lang w:eastAsia="zh-CN"/>
        </w:rPr>
        <w:t>;</w:t>
      </w:r>
    </w:p>
    <w:p w14:paraId="7C401537">
      <w:pPr>
        <w:spacing w:line="360" w:lineRule="auto"/>
        <w:ind w:firstLine="420" w:firstLineChars="200"/>
        <w:jc w:val="left"/>
        <w:rPr>
          <w:rFonts w:hint="default" w:ascii="Times New Roman" w:hAnsi="Times New Roman"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eastAsia="zh-CN"/>
        </w:rPr>
        <w:t>（</w:t>
      </w:r>
      <w:r>
        <w:rPr>
          <w:rFonts w:hint="eastAsia" w:ascii="Times New Roman" w:hAnsi="Times New Roman" w:cs="Times New Roman"/>
          <w:b w:val="0"/>
          <w:bCs/>
          <w:color w:val="auto"/>
          <w:sz w:val="21"/>
          <w:szCs w:val="21"/>
          <w:highlight w:val="none"/>
          <w:lang w:val="en-US" w:eastAsia="zh-CN"/>
        </w:rPr>
        <w:t>2</w:t>
      </w:r>
      <w:r>
        <w:rPr>
          <w:rFonts w:hint="eastAsia" w:ascii="Times New Roman" w:hAnsi="Times New Roman" w:cs="Times New Roman"/>
          <w:b w:val="0"/>
          <w:bCs/>
          <w:color w:val="auto"/>
          <w:sz w:val="21"/>
          <w:szCs w:val="21"/>
          <w:highlight w:val="none"/>
          <w:lang w:eastAsia="zh-CN"/>
        </w:rPr>
        <w:t>）合同项下所有服务内容完成，且提交的项目</w:t>
      </w:r>
      <w:r>
        <w:rPr>
          <w:rFonts w:hint="eastAsia" w:ascii="Times New Roman" w:hAnsi="Times New Roman" w:cs="Times New Roman"/>
          <w:b w:val="0"/>
          <w:bCs/>
          <w:color w:val="auto"/>
          <w:sz w:val="21"/>
          <w:szCs w:val="21"/>
          <w:highlight w:val="none"/>
          <w:lang w:val="en-US" w:eastAsia="zh-CN"/>
        </w:rPr>
        <w:t>评估</w:t>
      </w:r>
      <w:r>
        <w:rPr>
          <w:rFonts w:hint="eastAsia" w:ascii="Times New Roman" w:hAnsi="Times New Roman" w:cs="Times New Roman"/>
          <w:b w:val="0"/>
          <w:bCs/>
          <w:color w:val="auto"/>
          <w:sz w:val="21"/>
          <w:szCs w:val="21"/>
          <w:highlight w:val="none"/>
          <w:lang w:eastAsia="zh-CN"/>
        </w:rPr>
        <w:t>报告经甲方</w:t>
      </w:r>
      <w:r>
        <w:rPr>
          <w:rFonts w:hint="eastAsia" w:ascii="Times New Roman" w:hAnsi="Times New Roman" w:cs="Times New Roman"/>
          <w:b w:val="0"/>
          <w:bCs/>
          <w:color w:val="auto"/>
          <w:sz w:val="21"/>
          <w:szCs w:val="21"/>
          <w:highlight w:val="none"/>
          <w:lang w:val="en-US" w:eastAsia="zh-CN"/>
        </w:rPr>
        <w:t>按照验收标准验收合格</w:t>
      </w:r>
      <w:r>
        <w:rPr>
          <w:rFonts w:hint="eastAsia" w:ascii="Times New Roman" w:hAnsi="Times New Roman" w:cs="Times New Roman"/>
          <w:b w:val="0"/>
          <w:bCs/>
          <w:color w:val="auto"/>
          <w:sz w:val="21"/>
          <w:szCs w:val="21"/>
          <w:highlight w:val="none"/>
          <w:lang w:eastAsia="zh-CN"/>
        </w:rPr>
        <w:t>后，甲方支付至合同总价</w:t>
      </w:r>
      <w:r>
        <w:rPr>
          <w:rFonts w:hint="eastAsia" w:ascii="Times New Roman" w:hAnsi="Times New Roman" w:cs="Times New Roman"/>
          <w:b w:val="0"/>
          <w:bCs/>
          <w:color w:val="auto"/>
          <w:sz w:val="21"/>
          <w:szCs w:val="21"/>
          <w:highlight w:val="none"/>
          <w:lang w:val="en-US" w:eastAsia="zh-CN"/>
        </w:rPr>
        <w:t>6</w:t>
      </w:r>
      <w:r>
        <w:rPr>
          <w:rFonts w:hint="eastAsia" w:ascii="Times New Roman" w:hAnsi="Times New Roman" w:cs="Times New Roman"/>
          <w:b w:val="0"/>
          <w:bCs/>
          <w:color w:val="auto"/>
          <w:sz w:val="21"/>
          <w:szCs w:val="21"/>
          <w:highlight w:val="none"/>
          <w:lang w:eastAsia="zh-CN"/>
        </w:rPr>
        <w:t>0%，</w:t>
      </w:r>
      <w:r>
        <w:rPr>
          <w:rFonts w:hint="eastAsia" w:ascii="Times New Roman" w:hAnsi="Times New Roman" w:cs="Times New Roman"/>
          <w:b w:val="0"/>
          <w:bCs/>
          <w:color w:val="auto"/>
          <w:sz w:val="21"/>
          <w:szCs w:val="21"/>
          <w:highlight w:val="none"/>
          <w:lang w:val="en-US" w:eastAsia="zh-CN"/>
        </w:rPr>
        <w:t>未能出具符合验收标准的报告不支付款项。甲方整改后，乙方二（多）次出具报告，甲方不重复支付款项，即直至乙方出具符合验收标准的报告，甲方才支付该部分款项。</w:t>
      </w:r>
    </w:p>
    <w:p w14:paraId="24D2D549">
      <w:pPr>
        <w:spacing w:line="360" w:lineRule="auto"/>
        <w:ind w:firstLine="420" w:firstLineChars="200"/>
        <w:jc w:val="left"/>
        <w:rPr>
          <w:rFonts w:hint="default" w:ascii="Times New Roman" w:hAnsi="Times New Roman" w:eastAsia="宋体" w:cs="Times New Roman"/>
          <w:b/>
          <w:bCs w:val="0"/>
          <w:color w:val="auto"/>
          <w:sz w:val="21"/>
          <w:szCs w:val="21"/>
          <w:highlight w:val="none"/>
          <w:lang w:eastAsia="zh-CN"/>
        </w:rPr>
      </w:pPr>
      <w:r>
        <w:rPr>
          <w:rFonts w:hint="eastAsia" w:ascii="Times New Roman" w:hAnsi="Times New Roman" w:cs="Times New Roman"/>
          <w:b w:val="0"/>
          <w:bCs/>
          <w:color w:val="auto"/>
          <w:sz w:val="21"/>
          <w:szCs w:val="21"/>
          <w:highlight w:val="none"/>
          <w:lang w:val="en-US" w:eastAsia="zh-CN"/>
        </w:rPr>
        <w:t>（3）政府相关部门</w:t>
      </w:r>
      <w:r>
        <w:rPr>
          <w:rFonts w:hint="default" w:ascii="Times New Roman" w:hAnsi="Times New Roman" w:cs="Times New Roman"/>
          <w:b w:val="0"/>
          <w:bCs/>
          <w:color w:val="auto"/>
          <w:sz w:val="21"/>
          <w:szCs w:val="21"/>
          <w:highlight w:val="none"/>
          <w:lang w:eastAsia="zh-CN"/>
        </w:rPr>
        <w:t>在《南京市国有资产建设项目不动产历史遗留问题化解确认单》上加盖公章</w:t>
      </w:r>
      <w:r>
        <w:rPr>
          <w:rFonts w:hint="eastAsia" w:ascii="Times New Roman" w:hAnsi="Times New Roman" w:cs="Times New Roman"/>
          <w:b w:val="0"/>
          <w:bCs/>
          <w:color w:val="auto"/>
          <w:sz w:val="21"/>
          <w:szCs w:val="21"/>
          <w:highlight w:val="none"/>
          <w:lang w:val="en-US" w:eastAsia="zh-CN"/>
        </w:rPr>
        <w:t>后支付至合同总价100%</w:t>
      </w:r>
      <w:r>
        <w:rPr>
          <w:rFonts w:hint="default" w:ascii="Times New Roman" w:hAnsi="Times New Roman" w:cs="Times New Roman"/>
          <w:b w:val="0"/>
          <w:bCs/>
          <w:color w:val="auto"/>
          <w:sz w:val="21"/>
          <w:szCs w:val="21"/>
          <w:highlight w:val="none"/>
          <w:lang w:eastAsia="zh-CN"/>
        </w:rPr>
        <w:t>。</w:t>
      </w:r>
    </w:p>
    <w:p w14:paraId="3901A1DB">
      <w:pPr>
        <w:autoSpaceDE w:val="0"/>
        <w:autoSpaceDN w:val="0"/>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第九条 违约责任</w:t>
      </w:r>
    </w:p>
    <w:p w14:paraId="13FF85C1">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1.甲方无正当理由拒收服务、拒付服务款的，甲方向乙方偿付合同总价的5%违约金。</w:t>
      </w:r>
    </w:p>
    <w:p w14:paraId="7BEB2C08">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2.甲方未按合同规定的期限向乙方支付货款的，每逾期1天甲方向乙方偿付欠款总额的5‰滞纳金，但累计滞纳金总额不超过欠款总额的5%。</w:t>
      </w:r>
    </w:p>
    <w:p w14:paraId="0AFCB6A6">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3.如乙方不能交付服务的，乙方应向甲方支付合同总价5%的违约金。</w:t>
      </w:r>
    </w:p>
    <w:p w14:paraId="760EE142">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4.乙方逾期交付的，每逾期1天，乙方向甲方偿付合同总额的5‰的滞纳金。如乙方逾期交付达10天，甲方有权解除合同，解除合同的通知自到达乙方时生效。</w:t>
      </w:r>
    </w:p>
    <w:p w14:paraId="2E89EA29">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5.乙方所交付的服务不符合合同规定的，甲方有权拒收。甲方拒收的，乙方应向甲方支付合同总款5%的违约金。甲方未拒收的，采购代理机构发现后将向有关部门反映，并责成乙方按照采购结果提供服务。</w:t>
      </w:r>
    </w:p>
    <w:p w14:paraId="4E5A35EA">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6.在乙方承诺的或国家规定的质量保证期内（取两者中最长的期限），如经乙方两次整改仍不能达到合同约定的质量标准，乙方应退回全部合同价款，并按第3款处理，同时，乙方还须赔偿甲方因此遭受的损失。</w:t>
      </w:r>
    </w:p>
    <w:p w14:paraId="0AE87C37">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7.乙方未按本合同的规定和“服务承诺”提供伴随服务/售后服务的，应按合同总价款的5%向甲方承担违约责任。</w:t>
      </w:r>
    </w:p>
    <w:p w14:paraId="3E733D80">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8.乙方在承担上述4-7款一项或多项违约责任后，仍应继续履行合同规定的义务（甲方解除合同的除外）。甲方未能及时追究乙方的任何一项违约责任并不表明甲方放弃追究乙方该项或其他违约责任。</w:t>
      </w:r>
    </w:p>
    <w:p w14:paraId="4577862F">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9.乙方响应属虚假承诺，或经权威部门监测提供的服务不能满足竞争性</w:t>
      </w:r>
      <w:r>
        <w:rPr>
          <w:rFonts w:hint="eastAsia" w:ascii="Times New Roman" w:hAnsi="Times New Roman" w:cs="Times New Roman"/>
          <w:color w:val="auto"/>
          <w:sz w:val="21"/>
          <w:szCs w:val="21"/>
          <w:highlight w:val="none"/>
          <w:lang w:eastAsia="zh-CN"/>
        </w:rPr>
        <w:t>谈判</w:t>
      </w:r>
      <w:r>
        <w:rPr>
          <w:rFonts w:hint="default" w:ascii="Times New Roman" w:hAnsi="Times New Roman" w:eastAsia="宋体" w:cs="Times New Roman"/>
          <w:color w:val="auto"/>
          <w:sz w:val="21"/>
          <w:szCs w:val="21"/>
          <w:highlight w:val="none"/>
          <w:lang w:eastAsia="zh-CN"/>
        </w:rPr>
        <w:t>文件要求，或是由于乙方的过错造成合同无法继续履行的，乙方应向甲方支付不少于合同总价30%赔偿金。</w:t>
      </w:r>
    </w:p>
    <w:p w14:paraId="6B16537A">
      <w:pPr>
        <w:widowControl/>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第十条 项目履约验收</w:t>
      </w:r>
    </w:p>
    <w:p w14:paraId="68D3AADE">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1.甲方有权对乙方项目实施执行过程及完成结果进行履约验收；</w:t>
      </w:r>
    </w:p>
    <w:p w14:paraId="5525FD14">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2.甲方可以邀请参加本项目的其他供应商或者第三方机构参与验收，乙方应积极配合并响应；</w:t>
      </w:r>
    </w:p>
    <w:p w14:paraId="43DAC1A2">
      <w:pPr>
        <w:widowControl/>
        <w:adjustRightInd w:val="0"/>
        <w:spacing w:line="360" w:lineRule="auto"/>
        <w:ind w:firstLine="420"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3.参与验收的供应商或者第三方机构的意见作为验收书的参考资料一并存档。</w:t>
      </w:r>
    </w:p>
    <w:p w14:paraId="24C6CDC7">
      <w:pPr>
        <w:widowControl/>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第十一条 合同的变更和终止</w:t>
      </w:r>
    </w:p>
    <w:p w14:paraId="11344C6B">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1.除《中华人民共和国政府采购法》第五十条第二款规定的情形外，本合同一经签订，甲乙双方不得擅自变更、中止或终止合同。</w:t>
      </w:r>
    </w:p>
    <w:p w14:paraId="756E1755">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2.除发生法律规定的不能预见、不能避免并不能克服的客观情况外，甲乙双方不得放弃或拒绝履行合同。</w:t>
      </w:r>
    </w:p>
    <w:p w14:paraId="754799EC">
      <w:pPr>
        <w:widowControl/>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第十二条 合同的转让</w:t>
      </w:r>
    </w:p>
    <w:p w14:paraId="5AA53C4A">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乙方不得擅自部分或全部转让其应履行的合同义务。</w:t>
      </w:r>
    </w:p>
    <w:p w14:paraId="394A4E11">
      <w:pPr>
        <w:widowControl/>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第十三条 争议的解决</w:t>
      </w:r>
    </w:p>
    <w:p w14:paraId="2398899F">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1.因服务的质量问题发生争议的，应当邀请国家认可的质量检测机构对服务质量进行鉴定。符合标准的，鉴定费由甲方承担；不符合质量标准的，鉴定费由乙方承担。</w:t>
      </w:r>
    </w:p>
    <w:p w14:paraId="06B9A5A3">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2.因履行本合同引起的或与本合同有关的争议，甲、乙双方应首先通过友好协商解决，如果协商不能解决争议，则采取以下第（ ）种方式解决争议：</w:t>
      </w:r>
    </w:p>
    <w:p w14:paraId="5ABD1C78">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（1）向甲方所在地有管辖权的人民法院提起诉讼；</w:t>
      </w:r>
    </w:p>
    <w:p w14:paraId="260F88C0">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（2）向南京仲裁委员会按其仲裁规则申请仲裁。</w:t>
      </w:r>
    </w:p>
    <w:p w14:paraId="5DCB1308">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如没有约定，默认采取第2种方式解决争议。</w:t>
      </w:r>
    </w:p>
    <w:p w14:paraId="004D0AC7">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3.在仲裁期间，本合同应继续履行。</w:t>
      </w:r>
    </w:p>
    <w:p w14:paraId="3091CED2">
      <w:pPr>
        <w:widowControl/>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第十四条 诚实信用 </w:t>
      </w:r>
    </w:p>
    <w:p w14:paraId="107C83C3">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乙方应诚实信用，严格按照采购文件要求和服务承诺履行合同，不向甲方进行商业贿赂或者提供不正当利益。</w:t>
      </w:r>
    </w:p>
    <w:p w14:paraId="1221D401">
      <w:pPr>
        <w:widowControl/>
        <w:adjustRightInd w:val="0"/>
        <w:spacing w:line="360" w:lineRule="auto"/>
        <w:ind w:firstLine="422" w:firstLineChars="200"/>
        <w:jc w:val="left"/>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第十五条 合同生效及其他</w:t>
      </w:r>
    </w:p>
    <w:p w14:paraId="221281E4">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1.本合同自签订之日起生效。</w:t>
      </w:r>
    </w:p>
    <w:p w14:paraId="4F6889D5">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2.本合同一式</w:t>
      </w:r>
      <w:r>
        <w:rPr>
          <w:rFonts w:hint="eastAsia" w:ascii="Times New Roman" w:hAnsi="Times New Roman" w:eastAsia="宋体" w:cs="Times New Roman"/>
          <w:color w:val="auto"/>
          <w:sz w:val="21"/>
          <w:szCs w:val="21"/>
          <w:highlight w:val="none"/>
          <w:lang w:val="en-US" w:eastAsia="zh-CN"/>
        </w:rPr>
        <w:t>陆</w:t>
      </w:r>
      <w:r>
        <w:rPr>
          <w:rFonts w:hint="default" w:ascii="Times New Roman" w:hAnsi="Times New Roman" w:eastAsia="宋体" w:cs="Times New Roman"/>
          <w:color w:val="auto"/>
          <w:sz w:val="21"/>
          <w:szCs w:val="21"/>
          <w:highlight w:val="none"/>
          <w:lang w:eastAsia="zh-CN"/>
        </w:rPr>
        <w:t>份，</w:t>
      </w:r>
      <w:r>
        <w:rPr>
          <w:rFonts w:hint="eastAsia" w:ascii="Times New Roman" w:hAnsi="Times New Roman" w:eastAsia="宋体" w:cs="Times New Roman"/>
          <w:color w:val="auto"/>
          <w:sz w:val="21"/>
          <w:szCs w:val="21"/>
          <w:highlight w:val="none"/>
          <w:lang w:val="en-US" w:eastAsia="zh-CN"/>
        </w:rPr>
        <w:t>甲方执肆份，乙方执贰份</w:t>
      </w:r>
      <w:r>
        <w:rPr>
          <w:rFonts w:hint="default" w:ascii="Times New Roman" w:hAnsi="Times New Roman" w:eastAsia="宋体" w:cs="Times New Roman"/>
          <w:color w:val="auto"/>
          <w:sz w:val="21"/>
          <w:szCs w:val="21"/>
          <w:highlight w:val="none"/>
          <w:lang w:eastAsia="zh-CN"/>
        </w:rPr>
        <w:t>。</w:t>
      </w:r>
    </w:p>
    <w:p w14:paraId="0B44A04E">
      <w:pPr>
        <w:widowControl/>
        <w:adjustRightInd w:val="0"/>
        <w:spacing w:line="360" w:lineRule="auto"/>
        <w:ind w:firstLine="420" w:firstLineChars="200"/>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3.本合同应按照中华人民共和国的现行法律进行解释。</w:t>
      </w:r>
    </w:p>
    <w:p w14:paraId="45AEB138">
      <w:pPr>
        <w:widowControl/>
        <w:adjustRightInd w:val="0"/>
        <w:spacing w:line="360" w:lineRule="auto"/>
        <w:jc w:val="left"/>
        <w:rPr>
          <w:rFonts w:hint="default" w:ascii="Times New Roman" w:hAnsi="Times New Roman" w:eastAsia="宋体" w:cs="Times New Roman"/>
          <w:color w:val="auto"/>
          <w:sz w:val="21"/>
          <w:szCs w:val="21"/>
          <w:highlight w:val="none"/>
          <w:lang w:eastAsia="zh-CN"/>
        </w:rPr>
      </w:pPr>
    </w:p>
    <w:tbl>
      <w:tblPr>
        <w:tblStyle w:val="50"/>
        <w:tblW w:w="0" w:type="auto"/>
        <w:tblInd w:w="-108" w:type="dxa"/>
        <w:tblLayout w:type="fixed"/>
        <w:tblCellMar>
          <w:top w:w="0" w:type="dxa"/>
          <w:left w:w="0" w:type="dxa"/>
          <w:bottom w:w="0" w:type="dxa"/>
          <w:right w:w="0" w:type="dxa"/>
        </w:tblCellMar>
      </w:tblPr>
      <w:tblGrid>
        <w:gridCol w:w="4643"/>
        <w:gridCol w:w="4643"/>
      </w:tblGrid>
      <w:tr w14:paraId="437D41F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49BB299B">
            <w:pPr>
              <w:widowControl/>
              <w:adjustRightInd w:val="0"/>
              <w:spacing w:line="360" w:lineRule="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甲方（采购人）：（盖章）</w:t>
            </w:r>
          </w:p>
        </w:tc>
        <w:tc>
          <w:tcPr>
            <w:tcW w:w="4643" w:type="dxa"/>
            <w:tcBorders>
              <w:top w:val="nil"/>
              <w:left w:val="nil"/>
              <w:bottom w:val="nil"/>
              <w:right w:val="nil"/>
            </w:tcBorders>
            <w:noWrap w:val="0"/>
            <w:vAlign w:val="top"/>
          </w:tcPr>
          <w:p w14:paraId="5AEB5775">
            <w:pPr>
              <w:widowControl/>
              <w:adjustRightInd w:val="0"/>
              <w:spacing w:line="360" w:lineRule="auto"/>
              <w:jc w:val="lef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乙方（供应商）：（盖章）</w:t>
            </w:r>
          </w:p>
        </w:tc>
      </w:tr>
      <w:tr w14:paraId="19DE6003">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46239F8">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代表人：</w:t>
            </w:r>
          </w:p>
        </w:tc>
        <w:tc>
          <w:tcPr>
            <w:tcW w:w="4643" w:type="dxa"/>
            <w:tcBorders>
              <w:top w:val="nil"/>
              <w:left w:val="nil"/>
              <w:bottom w:val="nil"/>
              <w:right w:val="nil"/>
            </w:tcBorders>
            <w:noWrap w:val="0"/>
            <w:vAlign w:val="top"/>
          </w:tcPr>
          <w:p w14:paraId="14D9AD4D">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代表人：</w:t>
            </w:r>
          </w:p>
        </w:tc>
      </w:tr>
      <w:tr w14:paraId="0D55DC8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52443193">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电    话：</w:t>
            </w:r>
          </w:p>
        </w:tc>
        <w:tc>
          <w:tcPr>
            <w:tcW w:w="4643" w:type="dxa"/>
            <w:tcBorders>
              <w:top w:val="nil"/>
              <w:left w:val="nil"/>
              <w:bottom w:val="nil"/>
              <w:right w:val="nil"/>
            </w:tcBorders>
            <w:noWrap w:val="0"/>
            <w:vAlign w:val="top"/>
          </w:tcPr>
          <w:p w14:paraId="448BEBAB">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电    话：</w:t>
            </w:r>
          </w:p>
        </w:tc>
      </w:tr>
      <w:tr w14:paraId="45C3B978">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318D2BE">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开户银行：</w:t>
            </w:r>
          </w:p>
        </w:tc>
        <w:tc>
          <w:tcPr>
            <w:tcW w:w="4643" w:type="dxa"/>
            <w:tcBorders>
              <w:top w:val="nil"/>
              <w:left w:val="nil"/>
              <w:bottom w:val="nil"/>
              <w:right w:val="nil"/>
            </w:tcBorders>
            <w:noWrap w:val="0"/>
            <w:vAlign w:val="top"/>
          </w:tcPr>
          <w:p w14:paraId="490A3AFD">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开户银行：</w:t>
            </w:r>
          </w:p>
        </w:tc>
      </w:tr>
      <w:tr w14:paraId="380786DF">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43732C5">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zh-CN"/>
              </w:rPr>
              <w:t>账</w:t>
            </w:r>
            <w:r>
              <w:rPr>
                <w:rFonts w:hint="default" w:ascii="Times New Roman" w:hAnsi="Times New Roman" w:eastAsia="宋体" w:cs="Times New Roman"/>
                <w:color w:val="auto"/>
                <w:sz w:val="21"/>
                <w:szCs w:val="21"/>
                <w:highlight w:val="none"/>
                <w:lang w:eastAsia="en-US"/>
              </w:rPr>
              <w:t xml:space="preserve">    号：</w:t>
            </w:r>
          </w:p>
        </w:tc>
        <w:tc>
          <w:tcPr>
            <w:tcW w:w="4643" w:type="dxa"/>
            <w:tcBorders>
              <w:top w:val="nil"/>
              <w:left w:val="nil"/>
              <w:bottom w:val="nil"/>
              <w:right w:val="nil"/>
            </w:tcBorders>
            <w:noWrap w:val="0"/>
            <w:vAlign w:val="top"/>
          </w:tcPr>
          <w:p w14:paraId="4E14A7F3">
            <w:pPr>
              <w:widowControl/>
              <w:adjustRightInd w:val="0"/>
              <w:spacing w:line="360" w:lineRule="auto"/>
              <w:jc w:val="left"/>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zh-CN"/>
              </w:rPr>
              <w:t>账</w:t>
            </w:r>
            <w:r>
              <w:rPr>
                <w:rFonts w:hint="default" w:ascii="Times New Roman" w:hAnsi="Times New Roman" w:eastAsia="宋体" w:cs="Times New Roman"/>
                <w:color w:val="auto"/>
                <w:sz w:val="21"/>
                <w:szCs w:val="21"/>
                <w:highlight w:val="none"/>
                <w:lang w:eastAsia="en-US"/>
              </w:rPr>
              <w:t xml:space="preserve">    号：</w:t>
            </w:r>
          </w:p>
        </w:tc>
      </w:tr>
    </w:tbl>
    <w:p w14:paraId="20A3EB86">
      <w:pPr>
        <w:autoSpaceDE w:val="0"/>
        <w:autoSpaceDN w:val="0"/>
        <w:adjustRightInd w:val="0"/>
        <w:spacing w:line="360" w:lineRule="auto"/>
        <w:jc w:val="center"/>
        <w:rPr>
          <w:rFonts w:hint="default" w:ascii="Times New Roman" w:hAnsi="Times New Roman" w:eastAsia="宋体" w:cs="Times New Roman"/>
          <w:color w:val="auto"/>
          <w:sz w:val="21"/>
          <w:szCs w:val="21"/>
          <w:highlight w:val="none"/>
          <w:lang w:eastAsia="en-US"/>
        </w:rPr>
      </w:pPr>
    </w:p>
    <w:p w14:paraId="259E849E">
      <w:pPr>
        <w:pStyle w:val="25"/>
        <w:keepNext w:val="0"/>
        <w:keepLines w:val="0"/>
        <w:pageBreakBefore w:val="0"/>
        <w:widowControl w:val="0"/>
        <w:spacing w:before="120" w:after="120" w:line="240" w:lineRule="auto"/>
        <w:ind w:firstLine="4800"/>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p>
    <w:p w14:paraId="2D0F82E9">
      <w:pPr>
        <w:keepNext w:val="0"/>
        <w:keepLines w:val="0"/>
        <w:pageBreakBefore w:val="0"/>
        <w:widowControl w:val="0"/>
        <w:spacing w:before="145" w:after="145" w:line="240" w:lineRule="auto"/>
        <w:jc w:val="center"/>
        <w:outlineLvl w:val="9"/>
        <w:rPr>
          <w:rFonts w:hint="eastAsia" w:ascii="宋体" w:hAnsi="宋体" w:eastAsia="宋体" w:cs="Times New Roman"/>
          <w:b/>
          <w:bCs w:val="0"/>
          <w:color w:val="auto"/>
          <w:sz w:val="30"/>
          <w:szCs w:val="21"/>
          <w:highlight w:val="none"/>
        </w:rPr>
      </w:pPr>
    </w:p>
    <w:p w14:paraId="6677A86C">
      <w:pPr>
        <w:keepNext w:val="0"/>
        <w:keepLines w:val="0"/>
        <w:pageBreakBefore w:val="0"/>
        <w:widowControl w:val="0"/>
        <w:spacing w:before="145" w:after="145" w:line="240" w:lineRule="auto"/>
        <w:jc w:val="center"/>
        <w:outlineLvl w:val="1"/>
        <w:rPr>
          <w:rFonts w:hint="eastAsia" w:ascii="方正小标宋简体" w:hAnsi="方正小标宋简体" w:eastAsia="方正小标宋简体" w:cs="方正小标宋简体"/>
          <w:b w:val="0"/>
          <w:bCs/>
          <w:color w:val="auto"/>
          <w:sz w:val="32"/>
          <w:szCs w:val="32"/>
          <w:highlight w:val="none"/>
        </w:rPr>
      </w:pPr>
      <w:r>
        <w:rPr>
          <w:rFonts w:hint="eastAsia" w:ascii="方正小标宋简体" w:hAnsi="方正小标宋简体" w:eastAsia="方正小标宋简体" w:cs="方正小标宋简体"/>
          <w:b w:val="0"/>
          <w:bCs/>
          <w:color w:val="auto"/>
          <w:sz w:val="32"/>
          <w:szCs w:val="32"/>
          <w:highlight w:val="none"/>
        </w:rPr>
        <w:t>《*******合同》补充协议（合同附件）</w:t>
      </w:r>
    </w:p>
    <w:p w14:paraId="493E58BC">
      <w:pPr>
        <w:pStyle w:val="25"/>
        <w:keepNext w:val="0"/>
        <w:keepLines w:val="0"/>
        <w:pageBreakBefore w:val="0"/>
        <w:widowControl w:val="0"/>
        <w:spacing w:before="120" w:after="120" w:line="240" w:lineRule="auto"/>
        <w:jc w:val="left"/>
        <w:rPr>
          <w:rFonts w:hAnsi="宋体"/>
          <w:color w:val="auto"/>
          <w:sz w:val="24"/>
          <w:szCs w:val="24"/>
          <w:highlight w:val="none"/>
        </w:rPr>
      </w:pPr>
      <w:r>
        <w:rPr>
          <w:rFonts w:hint="eastAsia" w:hAnsi="宋体"/>
          <w:color w:val="auto"/>
          <w:sz w:val="24"/>
          <w:szCs w:val="24"/>
          <w:highlight w:val="none"/>
        </w:rPr>
        <w:t>   </w:t>
      </w:r>
      <w:r>
        <w:rPr>
          <w:rFonts w:hint="eastAsia" w:hAnsi="宋体"/>
          <w:color w:val="auto"/>
          <w:sz w:val="24"/>
          <w:szCs w:val="24"/>
          <w:highlight w:val="none"/>
          <w:lang w:eastAsia="zh-CN"/>
        </w:rPr>
        <w:t>谈判</w:t>
      </w:r>
      <w:r>
        <w:rPr>
          <w:rFonts w:hint="eastAsia" w:hAnsi="宋体"/>
          <w:color w:val="auto"/>
          <w:sz w:val="24"/>
          <w:szCs w:val="24"/>
          <w:highlight w:val="none"/>
        </w:rPr>
        <w:t>文件及合同未约定事项</w:t>
      </w:r>
      <w:r>
        <w:rPr>
          <w:rFonts w:hint="eastAsia" w:hAnsi="宋体"/>
          <w:color w:val="auto"/>
          <w:sz w:val="24"/>
          <w:szCs w:val="24"/>
          <w:highlight w:val="none"/>
          <w:lang w:eastAsia="zh-CN"/>
        </w:rPr>
        <w:t>，</w:t>
      </w:r>
      <w:r>
        <w:rPr>
          <w:rFonts w:hint="eastAsia" w:hAnsi="宋体"/>
          <w:color w:val="auto"/>
          <w:sz w:val="24"/>
          <w:szCs w:val="24"/>
          <w:highlight w:val="none"/>
        </w:rPr>
        <w:t>双方可友好协商签订补充协议。</w:t>
      </w:r>
    </w:p>
    <w:p w14:paraId="0CDEA9AF">
      <w:pPr>
        <w:rPr>
          <w:rFonts w:hint="eastAsia" w:ascii="宋体" w:hAnsi="宋体" w:eastAsia="宋体" w:cs="宋体"/>
          <w:b/>
          <w:bCs/>
          <w:color w:val="auto"/>
          <w:kern w:val="2"/>
          <w:sz w:val="21"/>
          <w:szCs w:val="21"/>
          <w:highlight w:val="none"/>
          <w:lang w:val="zh-CN"/>
        </w:rPr>
      </w:pPr>
      <w:bookmarkStart w:id="163" w:name="_Toc1860"/>
      <w:r>
        <w:rPr>
          <w:rFonts w:hint="eastAsia" w:ascii="宋体" w:hAnsi="宋体" w:eastAsia="宋体" w:cs="宋体"/>
          <w:b/>
          <w:bCs/>
          <w:color w:val="auto"/>
          <w:kern w:val="2"/>
          <w:sz w:val="21"/>
          <w:szCs w:val="21"/>
          <w:highlight w:val="none"/>
          <w:lang w:val="zh-CN"/>
        </w:rPr>
        <w:br w:type="page"/>
      </w:r>
    </w:p>
    <w:p w14:paraId="37230621">
      <w:pPr>
        <w:keepNext w:val="0"/>
        <w:keepLines w:val="0"/>
        <w:pageBreakBefore w:val="0"/>
        <w:widowControl w:val="0"/>
        <w:kinsoku/>
        <w:wordWrap/>
        <w:overflowPunct/>
        <w:topLinePunct w:val="0"/>
        <w:bidi w:val="0"/>
        <w:adjustRightInd w:val="0"/>
        <w:snapToGrid w:val="0"/>
        <w:spacing w:line="360" w:lineRule="auto"/>
        <w:ind w:firstLine="562" w:firstLineChars="200"/>
        <w:jc w:val="center"/>
        <w:textAlignment w:val="auto"/>
        <w:outlineLvl w:val="0"/>
        <w:rPr>
          <w:rFonts w:hint="eastAsia" w:ascii="宋体" w:hAnsi="宋体" w:eastAsia="宋体" w:cs="宋体"/>
          <w:b w:val="0"/>
          <w:color w:val="auto"/>
          <w:kern w:val="2"/>
          <w:sz w:val="21"/>
          <w:szCs w:val="21"/>
          <w:highlight w:val="none"/>
        </w:rPr>
      </w:pPr>
      <w:r>
        <w:rPr>
          <w:rFonts w:hint="eastAsia" w:ascii="宋体" w:hAnsi="宋体" w:eastAsia="宋体" w:cs="宋体"/>
          <w:b/>
          <w:bCs/>
          <w:color w:val="auto"/>
          <w:kern w:val="2"/>
          <w:sz w:val="28"/>
          <w:szCs w:val="28"/>
          <w:highlight w:val="none"/>
          <w:lang w:val="zh-CN"/>
        </w:rPr>
        <w:t>廉洁合同</w:t>
      </w:r>
      <w:bookmarkEnd w:id="163"/>
    </w:p>
    <w:p w14:paraId="3A2D1585">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甲方：</w:t>
      </w:r>
      <w:r>
        <w:rPr>
          <w:rFonts w:hint="eastAsia" w:ascii="宋体" w:hAnsi="宋体" w:eastAsia="宋体" w:cs="宋体"/>
          <w:bCs/>
          <w:color w:val="auto"/>
          <w:kern w:val="2"/>
          <w:sz w:val="21"/>
          <w:szCs w:val="21"/>
          <w:highlight w:val="none"/>
          <w:u w:val="single"/>
        </w:rPr>
        <w:t xml:space="preserve">  江苏省江宁监狱       </w:t>
      </w:r>
    </w:p>
    <w:p w14:paraId="6B2696A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乙方：</w:t>
      </w:r>
      <w:r>
        <w:rPr>
          <w:rFonts w:hint="eastAsia" w:ascii="宋体" w:hAnsi="宋体" w:eastAsia="宋体" w:cs="宋体"/>
          <w:bCs/>
          <w:color w:val="auto"/>
          <w:kern w:val="2"/>
          <w:sz w:val="21"/>
          <w:szCs w:val="21"/>
          <w:highlight w:val="none"/>
          <w:u w:val="single"/>
        </w:rPr>
        <w:t xml:space="preserve">                       </w:t>
      </w:r>
    </w:p>
    <w:p w14:paraId="6B6D36F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为防止国有资源交易活动中各种不正当行为发生，确保项目交易公开、公正、 公平，根据廉政建设的相关规定，结合国有资源交易工作特点，特订立本合同如下：</w:t>
      </w:r>
    </w:p>
    <w:p w14:paraId="1720950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一、甲乙双方应当自觉遵守国家和所在地区关于招投标及政府采购的相关规定和廉政建设的各项规定。</w:t>
      </w:r>
    </w:p>
    <w:p w14:paraId="15E3E013">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二、甲方及相关工作人员不得以任何形式向乙方索要和收受回扣等好处费。</w:t>
      </w:r>
    </w:p>
    <w:p w14:paraId="3BF229F0">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三、甲方相关工作人员应当保持与乙方的正常业务交往，不得接受乙方的礼金、有价证券和贵重物品，不得在乙方报销任何应由个人支付的费用，不得参加可能对公正履约有影响的宴请和娱乐活动。</w:t>
      </w:r>
    </w:p>
    <w:p w14:paraId="4C6BD1E2">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四、甲方相关工作人员不得要求或者接受乙方为其住房装修、婚丧嫁娶、家属和子女的工作安排以及出国提供方便或服务。</w:t>
      </w:r>
    </w:p>
    <w:p w14:paraId="4A1D798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五、甲方相关工作人员不得向乙方介绍家属或者亲友从事与甲方招标（采购） 有关的服务、货物供应、工程分包等经济活动。</w:t>
      </w:r>
    </w:p>
    <w:p w14:paraId="61F713F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六、乙方应当通过正常途径开展相对业务工作，不得为获取某些不正当利益而向甲方相关工作人员赠送礼金、有价证券和贵重物品等。</w:t>
      </w:r>
    </w:p>
    <w:p w14:paraId="4E73748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七、乙方不得为谋取私利与甲方相关工作人员就中标（成交）甲方招标（采购）项目等进行私下商谈或者达成默契。</w:t>
      </w:r>
    </w:p>
    <w:p w14:paraId="4BE51F10">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八、乙方不得以洽谈业务、签订经济合同为借口，邀请甲方相关工作人员外出旅游和进入营业性高档娱乐场所。</w:t>
      </w:r>
    </w:p>
    <w:p w14:paraId="32359C8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九、乙方不得为甲方单位和个人购置或者提供通讯工具、交通工具、家电、 高档办公用品等物品。</w:t>
      </w:r>
    </w:p>
    <w:p w14:paraId="7957185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十、乙方发现甲方相关工作人员有违反上述协议者，应及时向甲方纪检监察部门或者甲方上级单位反映，有义务积极支持配合甲方纪检监察部门调查处理工作。</w:t>
      </w:r>
    </w:p>
    <w:p w14:paraId="14D26D68">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十一、甲方发现乙方有违反本协议或者采取不正当的手段行贿甲方相关工作人员，甲方可以根据具体情节和造成的后果采取以下措施：</w:t>
      </w:r>
    </w:p>
    <w:p w14:paraId="190B7DDF">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1.责令乙方限期整改；</w:t>
      </w:r>
    </w:p>
    <w:p w14:paraId="0BB8482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2.终止与乙方的合作；</w:t>
      </w:r>
    </w:p>
    <w:p w14:paraId="4511E17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3.终止合同，将乙方列入本单位招标“黑名单” 。</w:t>
      </w:r>
    </w:p>
    <w:p w14:paraId="32009C97">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十二、本廉洁合同作为项目成交合同的附件，与成交合同具有同等法律效力。经协议双方签署后立即生效。</w:t>
      </w:r>
    </w:p>
    <w:p w14:paraId="726F7B1C">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十三、本合同一式二份，甲、乙双方各持一份。</w:t>
      </w:r>
    </w:p>
    <w:p w14:paraId="7F631DD9">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甲方(公章)：                        乙方(公章)：</w:t>
      </w:r>
    </w:p>
    <w:p w14:paraId="49F457BF">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法定代表人或委                      法定代表人或委</w:t>
      </w:r>
    </w:p>
    <w:p w14:paraId="24DC24DB">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托代理人(签字)：                    托代理人(签字)：</w:t>
      </w:r>
    </w:p>
    <w:p w14:paraId="1E227416">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both"/>
        <w:textAlignment w:val="auto"/>
        <w:outlineLvl w:val="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签订日期:     年    月    日        签订日期:     年    月    日</w:t>
      </w:r>
    </w:p>
    <w:p w14:paraId="39F3DB43">
      <w:pPr>
        <w:spacing w:before="120" w:after="120" w:line="0" w:lineRule="atLeast"/>
        <w:jc w:val="center"/>
        <w:outlineLvl w:val="0"/>
        <w:rPr>
          <w:rFonts w:hint="eastAsia" w:ascii="黑体" w:hAnsi="Courier New" w:eastAsia="黑体" w:cs="Courier New"/>
          <w:bCs/>
          <w:color w:val="auto"/>
          <w:sz w:val="44"/>
          <w:szCs w:val="21"/>
          <w:highlight w:val="none"/>
        </w:rPr>
      </w:pPr>
      <w:r>
        <w:rPr>
          <w:rFonts w:hint="eastAsia" w:ascii="方正小标宋简体" w:hAnsi="方正小标宋简体" w:eastAsia="方正小标宋简体" w:cs="方正小标宋简体"/>
          <w:color w:val="auto"/>
          <w:sz w:val="36"/>
          <w:szCs w:val="36"/>
          <w:highlight w:val="none"/>
          <w:lang w:val="en-US"/>
        </w:rPr>
        <w:t>第</w:t>
      </w:r>
      <w:bookmarkEnd w:id="154"/>
      <w:r>
        <w:rPr>
          <w:rFonts w:hint="eastAsia" w:ascii="方正小标宋简体" w:hAnsi="方正小标宋简体" w:eastAsia="方正小标宋简体" w:cs="方正小标宋简体"/>
          <w:color w:val="auto"/>
          <w:sz w:val="36"/>
          <w:szCs w:val="36"/>
          <w:highlight w:val="none"/>
          <w:lang w:val="en-US"/>
        </w:rPr>
        <w:t>四章 采购需求</w:t>
      </w:r>
      <w:bookmarkEnd w:id="155"/>
      <w:bookmarkEnd w:id="156"/>
      <w:bookmarkEnd w:id="157"/>
      <w:bookmarkStart w:id="164" w:name="_Toc49090575"/>
      <w:bookmarkStart w:id="165" w:name="_Toc26554093"/>
    </w:p>
    <w:p w14:paraId="70E65899">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val="en-US" w:eastAsia="zh-CN"/>
        </w:rPr>
      </w:pPr>
      <w:r>
        <w:rPr>
          <w:rFonts w:hint="eastAsia" w:ascii="黑体" w:hAnsi="黑体" w:eastAsia="黑体" w:cs="黑体"/>
          <w:bCs w:val="0"/>
          <w:color w:val="auto"/>
          <w:sz w:val="24"/>
          <w:szCs w:val="24"/>
          <w:highlight w:val="none"/>
          <w:lang w:val="en-US" w:eastAsia="zh-CN"/>
        </w:rPr>
        <w:t>一、项目属性：</w:t>
      </w:r>
      <w:r>
        <w:rPr>
          <w:rFonts w:hint="eastAsia" w:ascii="宋体" w:hAnsi="宋体" w:cs="宋体"/>
          <w:b w:val="0"/>
          <w:bCs/>
          <w:color w:val="auto"/>
          <w:sz w:val="24"/>
          <w:szCs w:val="24"/>
          <w:highlight w:val="none"/>
          <w:lang w:val="en-US" w:eastAsia="zh-CN"/>
        </w:rPr>
        <w:t>服务</w:t>
      </w:r>
      <w:r>
        <w:rPr>
          <w:rFonts w:hint="eastAsia" w:ascii="宋体" w:hAnsi="宋体" w:eastAsia="宋体" w:cs="宋体"/>
          <w:b w:val="0"/>
          <w:bCs/>
          <w:color w:val="auto"/>
          <w:sz w:val="24"/>
          <w:szCs w:val="24"/>
          <w:highlight w:val="none"/>
          <w:lang w:val="en-US" w:eastAsia="zh-CN"/>
        </w:rPr>
        <w:t>类项目</w:t>
      </w:r>
    </w:p>
    <w:p w14:paraId="25F9DB70">
      <w:pPr>
        <w:keepNext w:val="0"/>
        <w:keepLines w:val="0"/>
        <w:pageBreakBefore w:val="0"/>
        <w:widowControl w:val="0"/>
        <w:spacing w:line="264" w:lineRule="auto"/>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二、实施背景与原因</w:t>
      </w:r>
    </w:p>
    <w:p w14:paraId="04E3C1F9">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（一）政策要求</w:t>
      </w:r>
    </w:p>
    <w:p w14:paraId="04E5F084">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根据省局统一部署要求，为确保监管区域房屋安全，未取得消防验收的房屋，各单位结合国资清查补办房产证工作，全面开展消防评估（设计图纸审查和消防现状评估）和房屋安全评估工作（房屋结构安全和抗震性安全鉴定）。我监监管区建筑均需进行"双评估"工作。</w:t>
      </w:r>
    </w:p>
    <w:p w14:paraId="455CB021">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（二）工作必要性</w:t>
      </w:r>
    </w:p>
    <w:p w14:paraId="430580F1">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开展</w:t>
      </w:r>
      <w:r>
        <w:rPr>
          <w:rFonts w:hint="eastAsia" w:ascii="宋体" w:hAnsi="宋体" w:cs="宋体"/>
          <w:bCs/>
          <w:color w:val="auto"/>
          <w:sz w:val="24"/>
          <w:szCs w:val="24"/>
          <w:highlight w:val="none"/>
          <w:lang w:eastAsia="zh-CN"/>
        </w:rPr>
        <w:t>江苏省江宁监狱监管区房屋安全消防安全双评估</w:t>
      </w:r>
      <w:r>
        <w:rPr>
          <w:rFonts w:hint="eastAsia" w:ascii="宋体" w:hAnsi="宋体" w:eastAsia="宋体" w:cs="宋体"/>
          <w:bCs/>
          <w:color w:val="auto"/>
          <w:sz w:val="24"/>
          <w:szCs w:val="24"/>
          <w:highlight w:val="none"/>
          <w:lang w:eastAsia="zh-CN"/>
        </w:rPr>
        <w:t>工作，是落实安全生产主体责任、保障监管场所安全稳定的重要举措。通过对房屋结构安全和消防安全的系统评估，能够全面排查安全隐患，及时落实整改措施，确保监狱建筑使用安全，为监管改造工作提供坚实的安全保障。</w:t>
      </w:r>
    </w:p>
    <w:p w14:paraId="6A4DE0D0">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（三）政策机遇</w:t>
      </w:r>
    </w:p>
    <w:p w14:paraId="2BE0A030">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根据国资办证三补充文件第五条规定："经当地人民政府同意，监狱提供自行组织验收的房屋安全和消防安全证明材料作为已竣工的材料，申请不动产登记。"这为我监推进不动产登记工作、解决历史遗留问题提供了政策依据和操作路径。</w:t>
      </w:r>
    </w:p>
    <w:p w14:paraId="5CE86AB0">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后勤部门已</w:t>
      </w:r>
      <w:r>
        <w:rPr>
          <w:rFonts w:hint="eastAsia" w:ascii="宋体" w:hAnsi="宋体" w:cs="宋体"/>
          <w:bCs/>
          <w:color w:val="auto"/>
          <w:sz w:val="24"/>
          <w:szCs w:val="24"/>
          <w:highlight w:val="none"/>
          <w:lang w:val="en-US" w:eastAsia="zh-CN"/>
        </w:rPr>
        <w:t>与</w:t>
      </w:r>
      <w:r>
        <w:rPr>
          <w:rFonts w:hint="eastAsia" w:ascii="宋体" w:hAnsi="宋体" w:eastAsia="宋体" w:cs="宋体"/>
          <w:bCs/>
          <w:color w:val="auto"/>
          <w:sz w:val="24"/>
          <w:szCs w:val="24"/>
          <w:highlight w:val="none"/>
          <w:lang w:eastAsia="zh-CN"/>
        </w:rPr>
        <w:t>区政府与办公室相关人员进行对接，并与区住建局质监、消防部门，区数据局不动产登记审批中心和自规局规划科进行沟通。上述部门均同意我监自行招标后根据结果报相关部门同意后即可推进办理相关手续。</w:t>
      </w:r>
    </w:p>
    <w:p w14:paraId="55EB5E94">
      <w:pPr>
        <w:keepNext w:val="0"/>
        <w:keepLines w:val="0"/>
        <w:pageBreakBefore w:val="0"/>
        <w:widowControl w:val="0"/>
        <w:numPr>
          <w:ilvl w:val="0"/>
          <w:numId w:val="6"/>
        </w:numPr>
        <w:spacing w:line="264" w:lineRule="auto"/>
        <w:ind w:firstLine="480"/>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工作目标</w:t>
      </w:r>
    </w:p>
    <w:p w14:paraId="6ADFA15C">
      <w:pPr>
        <w:keepNext w:val="0"/>
        <w:keepLines w:val="0"/>
        <w:pageBreakBefore w:val="0"/>
        <w:widowControl w:val="0"/>
        <w:spacing w:line="264" w:lineRule="auto"/>
        <w:ind w:firstLine="480"/>
        <w:rPr>
          <w:rFonts w:hint="default"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w:t>
      </w:r>
      <w:r>
        <w:rPr>
          <w:rFonts w:hint="default" w:ascii="宋体" w:hAnsi="宋体" w:eastAsia="宋体" w:cs="宋体"/>
          <w:bCs/>
          <w:color w:val="auto"/>
          <w:sz w:val="24"/>
          <w:szCs w:val="24"/>
          <w:highlight w:val="none"/>
          <w:lang w:eastAsia="zh-CN"/>
        </w:rPr>
        <w:t>全面完成监管区内既有建筑的消防安全评估</w:t>
      </w:r>
      <w:r>
        <w:rPr>
          <w:rFonts w:hint="eastAsia" w:ascii="宋体" w:hAnsi="宋体" w:cs="宋体"/>
          <w:bCs/>
          <w:color w:val="auto"/>
          <w:sz w:val="24"/>
          <w:szCs w:val="24"/>
          <w:highlight w:val="none"/>
          <w:lang w:eastAsia="zh-CN"/>
        </w:rPr>
        <w:t>（建筑消防设计安全评估、消防安全现状评估）</w:t>
      </w:r>
      <w:r>
        <w:rPr>
          <w:rFonts w:hint="default" w:ascii="宋体" w:hAnsi="宋体" w:eastAsia="宋体" w:cs="宋体"/>
          <w:bCs/>
          <w:color w:val="auto"/>
          <w:sz w:val="24"/>
          <w:szCs w:val="24"/>
          <w:highlight w:val="none"/>
          <w:lang w:eastAsia="zh-CN"/>
        </w:rPr>
        <w:t>和房屋结构安全鉴定工作，摸清建筑安全底数；</w:t>
      </w:r>
    </w:p>
    <w:p w14:paraId="3A405AF6">
      <w:pPr>
        <w:keepNext w:val="0"/>
        <w:keepLines w:val="0"/>
        <w:pageBreakBefore w:val="0"/>
        <w:widowControl w:val="0"/>
        <w:spacing w:line="264" w:lineRule="auto"/>
        <w:ind w:firstLine="480"/>
        <w:rPr>
          <w:rFonts w:hint="default"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w:t>
      </w:r>
      <w:r>
        <w:rPr>
          <w:rFonts w:hint="default" w:ascii="宋体" w:hAnsi="宋体" w:eastAsia="宋体" w:cs="宋体"/>
          <w:bCs/>
          <w:color w:val="auto"/>
          <w:sz w:val="24"/>
          <w:szCs w:val="24"/>
          <w:highlight w:val="none"/>
          <w:lang w:eastAsia="zh-CN"/>
        </w:rPr>
        <w:t>系统排查并整改房屋安全隐患和消防隐患，确保监管区建筑使用安全；</w:t>
      </w:r>
    </w:p>
    <w:p w14:paraId="2D55DA83">
      <w:pPr>
        <w:keepNext w:val="0"/>
        <w:keepLines w:val="0"/>
        <w:pageBreakBefore w:val="0"/>
        <w:widowControl w:val="0"/>
        <w:spacing w:line="264" w:lineRule="auto"/>
        <w:ind w:firstLine="480"/>
        <w:rPr>
          <w:rFonts w:hint="default"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w:t>
      </w:r>
      <w:r>
        <w:rPr>
          <w:rFonts w:hint="default" w:ascii="宋体" w:hAnsi="宋体" w:eastAsia="宋体" w:cs="宋体"/>
          <w:bCs/>
          <w:color w:val="auto"/>
          <w:sz w:val="24"/>
          <w:szCs w:val="24"/>
          <w:highlight w:val="none"/>
          <w:lang w:eastAsia="zh-CN"/>
        </w:rPr>
        <w:t>形成完整的双评估报告，为不动产登记提供必备材料，推进国资清查办证工作；</w:t>
      </w:r>
    </w:p>
    <w:p w14:paraId="3E1D7382">
      <w:pPr>
        <w:keepNext w:val="0"/>
        <w:keepLines w:val="0"/>
        <w:pageBreakBefore w:val="0"/>
        <w:widowControl w:val="0"/>
        <w:spacing w:line="264" w:lineRule="auto"/>
        <w:ind w:firstLine="480"/>
        <w:rPr>
          <w:rFonts w:hint="default" w:ascii="黑体" w:hAnsi="黑体" w:eastAsia="黑体" w:cs="黑体"/>
          <w:color w:val="auto"/>
          <w:sz w:val="24"/>
          <w:szCs w:val="24"/>
          <w:highlight w:val="none"/>
          <w:lang w:val="en-US" w:eastAsia="zh-CN"/>
        </w:rPr>
      </w:pPr>
      <w:r>
        <w:rPr>
          <w:rFonts w:hint="eastAsia" w:ascii="宋体" w:hAnsi="宋体" w:eastAsia="宋体" w:cs="宋体"/>
          <w:bCs/>
          <w:color w:val="auto"/>
          <w:sz w:val="24"/>
          <w:szCs w:val="24"/>
          <w:highlight w:val="none"/>
          <w:lang w:eastAsia="zh-CN"/>
        </w:rPr>
        <w:t>4、</w:t>
      </w:r>
      <w:r>
        <w:rPr>
          <w:rFonts w:hint="default" w:ascii="宋体" w:hAnsi="宋体" w:eastAsia="宋体" w:cs="宋体"/>
          <w:bCs/>
          <w:color w:val="auto"/>
          <w:sz w:val="24"/>
          <w:szCs w:val="24"/>
          <w:highlight w:val="none"/>
          <w:lang w:eastAsia="zh-CN"/>
        </w:rPr>
        <w:t>建立健全房屋安全管理长效机制，提升监狱建筑安全管理水平。</w:t>
      </w:r>
    </w:p>
    <w:p w14:paraId="4C5EBECA">
      <w:pPr>
        <w:keepNext w:val="0"/>
        <w:keepLines w:val="0"/>
        <w:pageBreakBefore w:val="0"/>
        <w:widowControl w:val="0"/>
        <w:spacing w:line="264" w:lineRule="auto"/>
        <w:ind w:firstLine="480"/>
        <w:outlineLvl w:val="1"/>
        <w:rPr>
          <w:rFonts w:hint="eastAsia" w:ascii="黑体" w:hAnsi="黑体" w:eastAsia="黑体" w:cs="黑体"/>
          <w:bCs w:val="0"/>
          <w:color w:val="auto"/>
          <w:sz w:val="24"/>
          <w:szCs w:val="24"/>
          <w:highlight w:val="none"/>
          <w:lang w:eastAsia="zh-CN"/>
        </w:rPr>
      </w:pPr>
      <w:r>
        <w:rPr>
          <w:rFonts w:hint="eastAsia" w:ascii="黑体" w:hAnsi="黑体" w:eastAsia="黑体" w:cs="黑体"/>
          <w:bCs w:val="0"/>
          <w:color w:val="auto"/>
          <w:sz w:val="24"/>
          <w:szCs w:val="24"/>
          <w:highlight w:val="none"/>
          <w:lang w:val="en-US" w:eastAsia="zh-CN"/>
        </w:rPr>
        <w:t>四</w:t>
      </w:r>
      <w:r>
        <w:rPr>
          <w:rFonts w:hint="eastAsia" w:ascii="黑体" w:hAnsi="黑体" w:eastAsia="黑体" w:cs="黑体"/>
          <w:bCs w:val="0"/>
          <w:color w:val="auto"/>
          <w:sz w:val="24"/>
          <w:szCs w:val="24"/>
          <w:highlight w:val="none"/>
          <w:lang w:eastAsia="zh-CN"/>
        </w:rPr>
        <w:t>、实施范围与基本情况</w:t>
      </w:r>
    </w:p>
    <w:p w14:paraId="318F7242">
      <w:pPr>
        <w:keepNext w:val="0"/>
        <w:keepLines w:val="0"/>
        <w:pageBreakBefore w:val="0"/>
        <w:widowControl w:val="0"/>
        <w:spacing w:line="264" w:lineRule="auto"/>
        <w:ind w:firstLine="480"/>
        <w:rPr>
          <w:rFonts w:hint="eastAsia" w:ascii="黑体" w:hAnsi="黑体" w:eastAsia="黑体" w:cs="黑体"/>
          <w:bCs w:val="0"/>
          <w:color w:val="auto"/>
          <w:sz w:val="24"/>
          <w:szCs w:val="24"/>
          <w:highlight w:val="none"/>
          <w:lang w:eastAsia="zh-CN"/>
        </w:rPr>
      </w:pPr>
      <w:r>
        <w:rPr>
          <w:rFonts w:hint="eastAsia" w:ascii="宋体" w:hAnsi="宋体" w:eastAsia="宋体" w:cs="宋体"/>
          <w:bCs/>
          <w:color w:val="auto"/>
          <w:sz w:val="24"/>
          <w:szCs w:val="24"/>
          <w:highlight w:val="none"/>
          <w:lang w:eastAsia="zh-CN"/>
        </w:rPr>
        <w:t>本次双评估共涉及监管区内16栋建筑（不含准备拆除的中心监区总仓），</w:t>
      </w:r>
      <w:r>
        <w:rPr>
          <w:rFonts w:hint="eastAsia" w:ascii="宋体" w:hAnsi="宋体" w:cs="宋体"/>
          <w:bCs/>
          <w:color w:val="auto"/>
          <w:sz w:val="24"/>
          <w:szCs w:val="24"/>
          <w:highlight w:val="none"/>
          <w:lang w:val="en-US" w:eastAsia="zh-CN"/>
        </w:rPr>
        <w:t>建筑面积如下：</w:t>
      </w:r>
    </w:p>
    <w:tbl>
      <w:tblPr>
        <w:tblStyle w:val="50"/>
        <w:tblW w:w="4995" w:type="pct"/>
        <w:tblInd w:w="0" w:type="dxa"/>
        <w:tblLayout w:type="autofit"/>
        <w:tblCellMar>
          <w:top w:w="15" w:type="dxa"/>
          <w:left w:w="15" w:type="dxa"/>
          <w:bottom w:w="15" w:type="dxa"/>
          <w:right w:w="15" w:type="dxa"/>
        </w:tblCellMar>
      </w:tblPr>
      <w:tblGrid>
        <w:gridCol w:w="854"/>
        <w:gridCol w:w="1671"/>
        <w:gridCol w:w="2757"/>
        <w:gridCol w:w="2444"/>
        <w:gridCol w:w="2250"/>
      </w:tblGrid>
      <w:tr w14:paraId="717EF2D4">
        <w:tblPrEx>
          <w:tblCellMar>
            <w:top w:w="15" w:type="dxa"/>
            <w:left w:w="15" w:type="dxa"/>
            <w:bottom w:w="15" w:type="dxa"/>
            <w:right w:w="15" w:type="dxa"/>
          </w:tblCellMar>
        </w:tblPrEx>
        <w:trPr>
          <w:trHeight w:val="373" w:hRule="atLeast"/>
          <w:tblHeader/>
        </w:trPr>
        <w:tc>
          <w:tcPr>
            <w:tcW w:w="428"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4BDEBAA8">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837"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1ED94415">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关押点</w:t>
            </w:r>
          </w:p>
        </w:tc>
        <w:tc>
          <w:tcPr>
            <w:tcW w:w="1381"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79987F2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建筑名称</w:t>
            </w:r>
          </w:p>
        </w:tc>
        <w:tc>
          <w:tcPr>
            <w:tcW w:w="1224"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4DC4566B">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建筑面积（m²）</w:t>
            </w:r>
          </w:p>
        </w:tc>
        <w:tc>
          <w:tcPr>
            <w:tcW w:w="1127" w:type="pct"/>
            <w:tcBorders>
              <w:top w:val="single" w:color="auto" w:sz="4" w:space="0"/>
              <w:left w:val="single" w:color="auto" w:sz="4" w:space="0"/>
              <w:bottom w:val="single" w:color="auto" w:sz="4" w:space="0"/>
              <w:right w:val="single" w:color="auto" w:sz="4" w:space="0"/>
            </w:tcBorders>
            <w:shd w:val="clear" w:color="auto" w:fill="F2F3F5"/>
            <w:tcMar>
              <w:top w:w="120" w:type="dxa"/>
              <w:left w:w="120" w:type="dxa"/>
              <w:bottom w:w="120" w:type="dxa"/>
              <w:right w:w="120" w:type="dxa"/>
            </w:tcMar>
          </w:tcPr>
          <w:p w14:paraId="64C926CC">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评估费用（万元）</w:t>
            </w:r>
          </w:p>
        </w:tc>
      </w:tr>
      <w:tr w14:paraId="37FED10A">
        <w:tblPrEx>
          <w:tblCellMar>
            <w:top w:w="15" w:type="dxa"/>
            <w:left w:w="15" w:type="dxa"/>
            <w:bottom w:w="15" w:type="dxa"/>
            <w:right w:w="15" w:type="dxa"/>
          </w:tblCellMar>
        </w:tblPrEx>
        <w:trPr>
          <w:trHeight w:val="468"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63E5CBB">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837" w:type="pct"/>
            <w:vMerge w:val="restart"/>
            <w:tcBorders>
              <w:top w:val="single" w:color="auto" w:sz="4" w:space="0"/>
              <w:left w:val="single" w:color="auto" w:sz="4" w:space="0"/>
              <w:bottom w:val="single" w:color="DEE0E3" w:sz="6" w:space="0"/>
              <w:right w:val="single" w:color="auto" w:sz="4" w:space="0"/>
            </w:tcBorders>
            <w:tcMar>
              <w:top w:w="120" w:type="dxa"/>
              <w:left w:w="120" w:type="dxa"/>
              <w:bottom w:w="120" w:type="dxa"/>
              <w:right w:w="120" w:type="dxa"/>
            </w:tcMar>
          </w:tcPr>
          <w:p w14:paraId="7C5957FB">
            <w:pPr>
              <w:widowControl/>
              <w:spacing w:line="320" w:lineRule="exact"/>
              <w:jc w:val="left"/>
              <w:rPr>
                <w:rFonts w:hint="eastAsia" w:ascii="宋体" w:hAnsi="宋体" w:eastAsia="宋体" w:cs="宋体"/>
                <w:color w:val="auto"/>
                <w:kern w:val="0"/>
                <w:sz w:val="24"/>
                <w:szCs w:val="24"/>
                <w:highlight w:val="none"/>
              </w:rPr>
            </w:pPr>
          </w:p>
          <w:p w14:paraId="559AD76F">
            <w:pPr>
              <w:widowControl/>
              <w:spacing w:line="320" w:lineRule="exact"/>
              <w:jc w:val="left"/>
              <w:rPr>
                <w:rFonts w:hint="eastAsia" w:ascii="宋体" w:hAnsi="宋体" w:eastAsia="宋体" w:cs="宋体"/>
                <w:color w:val="auto"/>
                <w:kern w:val="0"/>
                <w:sz w:val="24"/>
                <w:szCs w:val="24"/>
                <w:highlight w:val="none"/>
              </w:rPr>
            </w:pPr>
          </w:p>
          <w:p w14:paraId="6D2FE06E">
            <w:pPr>
              <w:widowControl/>
              <w:spacing w:line="320" w:lineRule="exact"/>
              <w:jc w:val="left"/>
              <w:rPr>
                <w:rFonts w:hint="eastAsia" w:ascii="宋体" w:hAnsi="宋体" w:eastAsia="宋体" w:cs="宋体"/>
                <w:color w:val="auto"/>
                <w:kern w:val="0"/>
                <w:sz w:val="24"/>
                <w:szCs w:val="24"/>
                <w:highlight w:val="none"/>
              </w:rPr>
            </w:pPr>
          </w:p>
          <w:p w14:paraId="04955452">
            <w:pPr>
              <w:widowControl/>
              <w:spacing w:line="320" w:lineRule="exact"/>
              <w:jc w:val="left"/>
              <w:rPr>
                <w:rFonts w:hint="eastAsia" w:ascii="宋体" w:hAnsi="宋体" w:eastAsia="宋体" w:cs="宋体"/>
                <w:color w:val="auto"/>
                <w:kern w:val="0"/>
                <w:sz w:val="24"/>
                <w:szCs w:val="24"/>
                <w:highlight w:val="none"/>
              </w:rPr>
            </w:pPr>
          </w:p>
          <w:p w14:paraId="128A0433">
            <w:pPr>
              <w:widowControl/>
              <w:spacing w:line="320" w:lineRule="exact"/>
              <w:jc w:val="left"/>
              <w:rPr>
                <w:rFonts w:hint="eastAsia" w:ascii="宋体" w:hAnsi="宋体" w:eastAsia="宋体" w:cs="宋体"/>
                <w:color w:val="auto"/>
                <w:kern w:val="0"/>
                <w:sz w:val="24"/>
                <w:szCs w:val="24"/>
                <w:highlight w:val="none"/>
              </w:rPr>
            </w:pPr>
          </w:p>
          <w:p w14:paraId="75F7BD40">
            <w:pPr>
              <w:widowControl/>
              <w:spacing w:line="320" w:lineRule="exact"/>
              <w:jc w:val="left"/>
              <w:rPr>
                <w:rFonts w:hint="eastAsia" w:ascii="宋体" w:hAnsi="宋体" w:eastAsia="宋体" w:cs="宋体"/>
                <w:color w:val="auto"/>
                <w:kern w:val="0"/>
                <w:sz w:val="24"/>
                <w:szCs w:val="24"/>
                <w:highlight w:val="none"/>
              </w:rPr>
            </w:pPr>
          </w:p>
          <w:p w14:paraId="50263658">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w:t>
            </w: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3407D35">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中心监区1号监房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9941BAA">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6,778</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FFCE65C">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681C6973">
        <w:tblPrEx>
          <w:tblCellMar>
            <w:top w:w="15" w:type="dxa"/>
            <w:left w:w="15" w:type="dxa"/>
            <w:bottom w:w="15" w:type="dxa"/>
            <w:right w:w="15" w:type="dxa"/>
          </w:tblCellMar>
        </w:tblPrEx>
        <w:trPr>
          <w:trHeight w:val="293"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C71B74C">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7D044D3D">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6B946B7">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中心监区1号厂房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8B74A5C">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6,942</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D5D5CFE">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14126AB0">
        <w:tblPrEx>
          <w:tblCellMar>
            <w:top w:w="15" w:type="dxa"/>
            <w:left w:w="15" w:type="dxa"/>
            <w:bottom w:w="15" w:type="dxa"/>
            <w:right w:w="15" w:type="dxa"/>
          </w:tblCellMar>
        </w:tblPrEx>
        <w:trPr>
          <w:trHeight w:val="429"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E762CF1">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7CBA022D">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3EC7977">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中心监区罪犯伙房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FB8CC6B">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2,112.7</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F7A8B09">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6F43805C">
        <w:tblPrEx>
          <w:tblCellMar>
            <w:top w:w="15" w:type="dxa"/>
            <w:left w:w="15" w:type="dxa"/>
            <w:bottom w:w="15" w:type="dxa"/>
            <w:right w:w="15" w:type="dxa"/>
          </w:tblCellMar>
        </w:tblPrEx>
        <w:trPr>
          <w:trHeight w:val="453"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619393A">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24B00773">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14188FB">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中心监区2号监房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A14F33F">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6,787</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B1BCA4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34AC27EF">
        <w:tblPrEx>
          <w:tblCellMar>
            <w:top w:w="15" w:type="dxa"/>
            <w:left w:w="15" w:type="dxa"/>
            <w:bottom w:w="15" w:type="dxa"/>
            <w:right w:w="15" w:type="dxa"/>
          </w:tblCellMar>
        </w:tblPrEx>
        <w:trPr>
          <w:trHeight w:val="463"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C7B0F68">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75F16DD7">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25B5C05">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中心监区2号厂房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959C24F">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6,881.6</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CF7AEE1">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65AF1306">
        <w:tblPrEx>
          <w:tblCellMar>
            <w:top w:w="15" w:type="dxa"/>
            <w:left w:w="15" w:type="dxa"/>
            <w:bottom w:w="15" w:type="dxa"/>
            <w:right w:w="15" w:type="dxa"/>
          </w:tblCellMar>
        </w:tblPrEx>
        <w:trPr>
          <w:trHeight w:val="445"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1F7856B">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47C3B3AD">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063487A">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中心监区3号监房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8E46414">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6,755</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4512A33">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41DD920B">
        <w:tblPrEx>
          <w:tblCellMar>
            <w:top w:w="15" w:type="dxa"/>
            <w:left w:w="15" w:type="dxa"/>
            <w:bottom w:w="15" w:type="dxa"/>
            <w:right w:w="15" w:type="dxa"/>
          </w:tblCellMar>
        </w:tblPrEx>
        <w:trPr>
          <w:trHeight w:val="327"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D1B6379">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0E9CF1EB">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A02C27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中心监区3号厂房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54A340F">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6,881.6</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6E234D9">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3A2268F7">
        <w:tblPrEx>
          <w:tblCellMar>
            <w:top w:w="15" w:type="dxa"/>
            <w:left w:w="15" w:type="dxa"/>
            <w:bottom w:w="15" w:type="dxa"/>
            <w:right w:w="15" w:type="dxa"/>
          </w:tblCellMar>
        </w:tblPrEx>
        <w:trPr>
          <w:trHeight w:val="449"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518DC02">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7EE4036E">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28A466F">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中心监区教学楼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19C5D38">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3,974</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57E2F4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1CB2733A">
        <w:tblPrEx>
          <w:tblCellMar>
            <w:top w:w="15" w:type="dxa"/>
            <w:left w:w="15" w:type="dxa"/>
            <w:bottom w:w="15" w:type="dxa"/>
            <w:right w:w="15" w:type="dxa"/>
          </w:tblCellMar>
        </w:tblPrEx>
        <w:trPr>
          <w:trHeight w:val="585"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35E9B42">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49C0C3FC">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36A1336">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中心监区严管禁闭楼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55033AB">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3,638</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BC8E3A9">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234549B6">
        <w:tblPrEx>
          <w:tblCellMar>
            <w:top w:w="15" w:type="dxa"/>
            <w:left w:w="15" w:type="dxa"/>
            <w:bottom w:w="15" w:type="dxa"/>
            <w:right w:w="15" w:type="dxa"/>
          </w:tblCellMar>
        </w:tblPrEx>
        <w:trPr>
          <w:trHeight w:val="373"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BDAD9BD">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7F5AC959">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EA653D0">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中心监区医院</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D769BC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4,680</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BA521BB">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21B1295E">
        <w:tblPrEx>
          <w:tblCellMar>
            <w:top w:w="15" w:type="dxa"/>
            <w:left w:w="15" w:type="dxa"/>
            <w:bottom w:w="15" w:type="dxa"/>
            <w:right w:w="15" w:type="dxa"/>
          </w:tblCellMar>
        </w:tblPrEx>
        <w:trPr>
          <w:trHeight w:val="515"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39F0B67">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837" w:type="pct"/>
            <w:vMerge w:val="continue"/>
            <w:tcBorders>
              <w:top w:val="single" w:color="DEE0E3" w:sz="6" w:space="0"/>
              <w:left w:val="single" w:color="auto" w:sz="4" w:space="0"/>
              <w:bottom w:val="single" w:color="auto" w:sz="4" w:space="0"/>
              <w:right w:val="single" w:color="auto" w:sz="4" w:space="0"/>
            </w:tcBorders>
            <w:vAlign w:val="center"/>
          </w:tcPr>
          <w:p w14:paraId="1138C13F">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8E69792">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中心监区大门</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55CCBF6">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1,876</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BADE026">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72808208">
        <w:tblPrEx>
          <w:tblCellMar>
            <w:top w:w="15" w:type="dxa"/>
            <w:left w:w="15" w:type="dxa"/>
            <w:bottom w:w="15" w:type="dxa"/>
            <w:right w:w="15" w:type="dxa"/>
          </w:tblCellMar>
        </w:tblPrEx>
        <w:trPr>
          <w:trHeight w:val="456"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7A7CEC7">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837" w:type="pct"/>
            <w:vMerge w:val="restart"/>
            <w:tcBorders>
              <w:top w:val="single" w:color="auto" w:sz="4" w:space="0"/>
              <w:left w:val="single" w:color="auto" w:sz="4" w:space="0"/>
              <w:bottom w:val="single" w:color="DEE0E3" w:sz="6" w:space="0"/>
              <w:right w:val="single" w:color="auto" w:sz="4" w:space="0"/>
            </w:tcBorders>
            <w:tcMar>
              <w:top w:w="120" w:type="dxa"/>
              <w:left w:w="120" w:type="dxa"/>
              <w:bottom w:w="120" w:type="dxa"/>
              <w:right w:w="120" w:type="dxa"/>
            </w:tcMar>
          </w:tcPr>
          <w:p w14:paraId="3250F45F">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小岛分监狱</w:t>
            </w: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2FEFF13">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低度戒备分监狱监房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594C1E7">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9,300</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1E5CA05">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56B20284">
        <w:tblPrEx>
          <w:tblCellMar>
            <w:top w:w="15" w:type="dxa"/>
            <w:left w:w="15" w:type="dxa"/>
            <w:bottom w:w="15" w:type="dxa"/>
            <w:right w:w="15" w:type="dxa"/>
          </w:tblCellMar>
        </w:tblPrEx>
        <w:trPr>
          <w:trHeight w:val="339"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48A18AF">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04652A9F">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19D6058">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分监狱厂房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A05E824">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7,200</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B90B523">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513D1C82">
        <w:tblPrEx>
          <w:tblCellMar>
            <w:top w:w="15" w:type="dxa"/>
            <w:left w:w="15" w:type="dxa"/>
            <w:bottom w:w="15" w:type="dxa"/>
            <w:right w:w="15" w:type="dxa"/>
          </w:tblCellMar>
        </w:tblPrEx>
        <w:trPr>
          <w:trHeight w:val="431"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1E93FD2F">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6BB0799A">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6CD4EAA">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分监狱罪犯伙房</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7B96149">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560</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22FC202">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19604912">
        <w:tblPrEx>
          <w:tblCellMar>
            <w:top w:w="15" w:type="dxa"/>
            <w:left w:w="15" w:type="dxa"/>
            <w:bottom w:w="15" w:type="dxa"/>
            <w:right w:w="15" w:type="dxa"/>
          </w:tblCellMar>
        </w:tblPrEx>
        <w:trPr>
          <w:trHeight w:val="440"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2D6641A">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w:t>
            </w:r>
          </w:p>
        </w:tc>
        <w:tc>
          <w:tcPr>
            <w:tcW w:w="837" w:type="pct"/>
            <w:vMerge w:val="continue"/>
            <w:tcBorders>
              <w:top w:val="single" w:color="DEE0E3" w:sz="6" w:space="0"/>
              <w:left w:val="single" w:color="auto" w:sz="4" w:space="0"/>
              <w:bottom w:val="single" w:color="DEE0E3" w:sz="6" w:space="0"/>
              <w:right w:val="single" w:color="auto" w:sz="4" w:space="0"/>
            </w:tcBorders>
            <w:vAlign w:val="center"/>
          </w:tcPr>
          <w:p w14:paraId="4F170342">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43C4FA2C">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分监狱教学楼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0AEBFCF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1,214.3</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5EAFF8AD">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r w14:paraId="5127630F">
        <w:tblPrEx>
          <w:tblCellMar>
            <w:top w:w="15" w:type="dxa"/>
            <w:left w:w="15" w:type="dxa"/>
            <w:bottom w:w="15" w:type="dxa"/>
            <w:right w:w="15" w:type="dxa"/>
          </w:tblCellMar>
        </w:tblPrEx>
        <w:trPr>
          <w:trHeight w:val="465" w:hRule="atLeast"/>
        </w:trPr>
        <w:tc>
          <w:tcPr>
            <w:tcW w:w="428"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2F40F9CE">
            <w:pPr>
              <w:widowControl/>
              <w:spacing w:line="32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p>
        </w:tc>
        <w:tc>
          <w:tcPr>
            <w:tcW w:w="837" w:type="pct"/>
            <w:vMerge w:val="continue"/>
            <w:tcBorders>
              <w:top w:val="single" w:color="DEE0E3" w:sz="6" w:space="0"/>
              <w:left w:val="single" w:color="auto" w:sz="4" w:space="0"/>
              <w:bottom w:val="single" w:color="auto" w:sz="4" w:space="0"/>
              <w:right w:val="single" w:color="auto" w:sz="4" w:space="0"/>
            </w:tcBorders>
            <w:vAlign w:val="center"/>
          </w:tcPr>
          <w:p w14:paraId="63C5A248">
            <w:pPr>
              <w:widowControl/>
              <w:spacing w:line="320" w:lineRule="exact"/>
              <w:jc w:val="left"/>
              <w:rPr>
                <w:rFonts w:hint="eastAsia" w:ascii="宋体" w:hAnsi="宋体" w:eastAsia="宋体" w:cs="宋体"/>
                <w:color w:val="auto"/>
                <w:kern w:val="0"/>
                <w:sz w:val="24"/>
                <w:szCs w:val="24"/>
                <w:highlight w:val="none"/>
              </w:rPr>
            </w:pPr>
          </w:p>
        </w:tc>
        <w:tc>
          <w:tcPr>
            <w:tcW w:w="1381"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6C1E93E0">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小岛分监狱门楼</w:t>
            </w:r>
          </w:p>
        </w:tc>
        <w:tc>
          <w:tcPr>
            <w:tcW w:w="1224"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3E38E38A">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1,315</w:t>
            </w:r>
          </w:p>
        </w:tc>
        <w:tc>
          <w:tcPr>
            <w:tcW w:w="1127" w:type="pct"/>
            <w:tcBorders>
              <w:top w:val="single" w:color="auto" w:sz="4" w:space="0"/>
              <w:left w:val="single" w:color="auto" w:sz="4" w:space="0"/>
              <w:bottom w:val="single" w:color="auto" w:sz="4" w:space="0"/>
              <w:right w:val="single" w:color="auto" w:sz="4" w:space="0"/>
            </w:tcBorders>
            <w:tcMar>
              <w:top w:w="120" w:type="dxa"/>
              <w:left w:w="120" w:type="dxa"/>
              <w:bottom w:w="120" w:type="dxa"/>
              <w:right w:w="120" w:type="dxa"/>
            </w:tcMar>
          </w:tcPr>
          <w:p w14:paraId="78C64FCF">
            <w:pPr>
              <w:widowControl/>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tc>
      </w:tr>
    </w:tbl>
    <w:p w14:paraId="2BB61FD1">
      <w:pPr>
        <w:keepNext w:val="0"/>
        <w:keepLines w:val="0"/>
        <w:pageBreakBefore w:val="0"/>
        <w:widowControl w:val="0"/>
        <w:spacing w:line="264" w:lineRule="auto"/>
        <w:ind w:firstLine="480"/>
        <w:outlineLvl w:val="1"/>
        <w:rPr>
          <w:rFonts w:hint="default" w:ascii="黑体" w:hAnsi="黑体" w:eastAsia="黑体" w:cs="黑体"/>
          <w:bCs w:val="0"/>
          <w:color w:val="auto"/>
          <w:sz w:val="24"/>
          <w:szCs w:val="24"/>
          <w:highlight w:val="none"/>
          <w:lang w:val="en-US" w:eastAsia="zh-CN"/>
        </w:rPr>
      </w:pPr>
      <w:r>
        <w:rPr>
          <w:rFonts w:hint="eastAsia" w:ascii="黑体" w:hAnsi="黑体" w:eastAsia="黑体" w:cs="黑体"/>
          <w:bCs w:val="0"/>
          <w:color w:val="auto"/>
          <w:sz w:val="24"/>
          <w:szCs w:val="24"/>
          <w:highlight w:val="none"/>
          <w:lang w:val="en-US" w:eastAsia="zh-CN"/>
        </w:rPr>
        <w:t>五、服务内容</w:t>
      </w:r>
    </w:p>
    <w:p w14:paraId="6160C3A6">
      <w:pPr>
        <w:spacing w:line="264" w:lineRule="auto"/>
        <w:ind w:firstLine="480"/>
        <w:outlineLvl w:val="2"/>
        <w:rPr>
          <w:rFonts w:hint="default" w:ascii="宋体" w:hAnsi="宋体" w:eastAsia="宋体" w:cs="宋体"/>
          <w:bCs/>
          <w:color w:val="auto"/>
          <w:sz w:val="24"/>
          <w:szCs w:val="24"/>
          <w:highlight w:val="none"/>
          <w:lang w:eastAsia="zh-Hans"/>
        </w:rPr>
      </w:pPr>
      <w:r>
        <w:rPr>
          <w:rFonts w:hint="eastAsia" w:ascii="宋体" w:hAnsi="宋体" w:eastAsia="宋体" w:cs="宋体"/>
          <w:bCs/>
          <w:color w:val="auto"/>
          <w:sz w:val="24"/>
          <w:szCs w:val="24"/>
          <w:highlight w:val="none"/>
          <w:lang w:eastAsia="zh-Hans"/>
        </w:rPr>
        <w:t>提供以下服务，并出具最终成果报告：</w:t>
      </w:r>
    </w:p>
    <w:p w14:paraId="5387FA5F">
      <w:pPr>
        <w:numPr>
          <w:ilvl w:val="0"/>
          <w:numId w:val="0"/>
        </w:numPr>
        <w:spacing w:line="264" w:lineRule="auto"/>
        <w:ind w:firstLine="480" w:firstLineChars="0"/>
        <w:outlineLvl w:val="2"/>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建筑消防设计安全评估</w:t>
      </w:r>
      <w:r>
        <w:rPr>
          <w:rFonts w:hint="eastAsia" w:ascii="宋体" w:hAnsi="宋体" w:eastAsia="宋体" w:cs="宋体"/>
          <w:b/>
          <w:bCs w:val="0"/>
          <w:color w:val="auto"/>
          <w:sz w:val="24"/>
          <w:szCs w:val="24"/>
          <w:highlight w:val="none"/>
          <w:lang w:val="en-US" w:eastAsia="zh-CN"/>
        </w:rPr>
        <w:t>；</w:t>
      </w:r>
    </w:p>
    <w:p w14:paraId="544CB69A">
      <w:pPr>
        <w:spacing w:line="264" w:lineRule="auto"/>
        <w:ind w:firstLine="480"/>
        <w:outlineLvl w:val="2"/>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default" w:ascii="宋体" w:hAnsi="宋体" w:eastAsia="宋体" w:cs="宋体"/>
          <w:bCs/>
          <w:color w:val="auto"/>
          <w:sz w:val="24"/>
          <w:szCs w:val="24"/>
          <w:highlight w:val="none"/>
          <w:lang w:val="en-US" w:eastAsia="zh-CN"/>
        </w:rPr>
        <w:t>消防设计安全评估：按建筑立项建设时期施行消防规范，复核原消防设计，取得结论为合格的《建筑消防设计安全评估报告》；配合消防安全现状评估单位一起将“双评估”提交</w:t>
      </w:r>
      <w:r>
        <w:rPr>
          <w:rFonts w:hint="eastAsia" w:ascii="宋体" w:hAnsi="宋体" w:cs="宋体"/>
          <w:bCs/>
          <w:color w:val="auto"/>
          <w:sz w:val="24"/>
          <w:szCs w:val="24"/>
          <w:highlight w:val="none"/>
          <w:lang w:val="en-US" w:eastAsia="zh-CN"/>
        </w:rPr>
        <w:t>政府相关部门</w:t>
      </w:r>
      <w:r>
        <w:rPr>
          <w:rFonts w:hint="default" w:ascii="宋体" w:hAnsi="宋体" w:eastAsia="宋体" w:cs="宋体"/>
          <w:bCs/>
          <w:color w:val="auto"/>
          <w:sz w:val="24"/>
          <w:szCs w:val="24"/>
          <w:highlight w:val="none"/>
          <w:lang w:val="en-US" w:eastAsia="zh-CN"/>
        </w:rPr>
        <w:t>确认后在《南京市国有资产建设项目不动产历史遗留问题化解确认单》上加盖公章。</w:t>
      </w:r>
    </w:p>
    <w:p w14:paraId="6DD76271">
      <w:pPr>
        <w:spacing w:line="264" w:lineRule="auto"/>
        <w:ind w:firstLine="480"/>
        <w:outlineLvl w:val="2"/>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2</w:t>
      </w:r>
      <w:r>
        <w:rPr>
          <w:rFonts w:hint="default" w:ascii="宋体" w:hAnsi="宋体" w:eastAsia="宋体" w:cs="宋体"/>
          <w:bCs/>
          <w:color w:val="auto"/>
          <w:sz w:val="24"/>
          <w:szCs w:val="24"/>
          <w:highlight w:val="none"/>
          <w:lang w:val="en-US" w:eastAsia="zh-CN"/>
        </w:rPr>
        <w:t>）配套服务：报告修改、主管部门答疑、资料报送、配合验收核查</w:t>
      </w:r>
      <w:r>
        <w:rPr>
          <w:rFonts w:hint="eastAsia" w:ascii="宋体" w:hAnsi="宋体" w:cs="宋体"/>
          <w:bCs/>
          <w:color w:val="auto"/>
          <w:sz w:val="24"/>
          <w:szCs w:val="24"/>
          <w:highlight w:val="none"/>
          <w:lang w:val="en-US" w:eastAsia="zh-CN"/>
        </w:rPr>
        <w:t>、评估现场恢复</w:t>
      </w:r>
      <w:r>
        <w:rPr>
          <w:rFonts w:hint="default" w:ascii="宋体" w:hAnsi="宋体" w:eastAsia="宋体" w:cs="宋体"/>
          <w:bCs/>
          <w:color w:val="auto"/>
          <w:sz w:val="24"/>
          <w:szCs w:val="24"/>
          <w:highlight w:val="none"/>
          <w:lang w:val="en-US" w:eastAsia="zh-CN"/>
        </w:rPr>
        <w:t>等全流程服务。</w:t>
      </w:r>
    </w:p>
    <w:p w14:paraId="1792A23D">
      <w:pPr>
        <w:keepNext w:val="0"/>
        <w:keepLines w:val="0"/>
        <w:pageBreakBefore w:val="0"/>
        <w:widowControl w:val="0"/>
        <w:numPr>
          <w:ilvl w:val="0"/>
          <w:numId w:val="0"/>
        </w:numPr>
        <w:spacing w:line="264" w:lineRule="auto"/>
        <w:ind w:left="480" w:leftChars="0"/>
        <w:outlineLvl w:val="1"/>
        <w:rPr>
          <w:rFonts w:hint="eastAsia" w:ascii="宋体" w:hAnsi="宋体" w:eastAsia="宋体" w:cs="宋体"/>
          <w:bCs/>
          <w:color w:val="auto"/>
          <w:sz w:val="24"/>
          <w:szCs w:val="24"/>
          <w:highlight w:val="none"/>
        </w:rPr>
      </w:pPr>
      <w:r>
        <w:rPr>
          <w:rFonts w:hint="eastAsia" w:ascii="黑体" w:hAnsi="黑体" w:eastAsia="黑体" w:cs="黑体"/>
          <w:bCs w:val="0"/>
          <w:color w:val="auto"/>
          <w:sz w:val="24"/>
          <w:szCs w:val="24"/>
          <w:highlight w:val="none"/>
          <w:lang w:val="en-US" w:eastAsia="zh-CN"/>
        </w:rPr>
        <w:t>六、</w:t>
      </w:r>
      <w:r>
        <w:rPr>
          <w:rFonts w:hint="eastAsia" w:ascii="黑体" w:hAnsi="黑体" w:eastAsia="黑体" w:cs="黑体"/>
          <w:bCs w:val="0"/>
          <w:color w:val="auto"/>
          <w:sz w:val="24"/>
          <w:szCs w:val="24"/>
          <w:highlight w:val="none"/>
          <w:lang w:eastAsia="zh-CN"/>
        </w:rPr>
        <w:t>商务要求</w:t>
      </w:r>
    </w:p>
    <w:p w14:paraId="41E646EE">
      <w:pPr>
        <w:keepNext w:val="0"/>
        <w:keepLines w:val="0"/>
        <w:pageBreakBefore w:val="0"/>
        <w:widowControl w:val="0"/>
        <w:spacing w:line="264"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default" w:ascii="宋体" w:hAnsi="宋体" w:eastAsia="宋体" w:cs="宋体"/>
          <w:color w:val="auto"/>
          <w:sz w:val="24"/>
          <w:szCs w:val="24"/>
          <w:highlight w:val="none"/>
          <w:lang w:val="en-US" w:eastAsia="zh-CN"/>
        </w:rPr>
        <w:t>报价要求</w:t>
      </w:r>
    </w:p>
    <w:p w14:paraId="2D3C07E3">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54330182">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（2）供应商的任何错漏、优惠、竞争性报价不得作为减轻责任、减少服务、增加收费、降低服务质量的理由。</w:t>
      </w:r>
    </w:p>
    <w:p w14:paraId="7DC50B98">
      <w:pPr>
        <w:keepNext w:val="0"/>
        <w:keepLines w:val="0"/>
        <w:pageBreakBefore w:val="0"/>
        <w:widowControl w:val="0"/>
        <w:spacing w:line="264" w:lineRule="auto"/>
        <w:ind w:firstLine="48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w:t>
      </w:r>
      <w:r>
        <w:rPr>
          <w:rFonts w:hint="default" w:ascii="宋体" w:hAnsi="宋体" w:eastAsia="宋体" w:cs="宋体"/>
          <w:bCs/>
          <w:color w:val="auto"/>
          <w:sz w:val="24"/>
          <w:szCs w:val="24"/>
          <w:highlight w:val="none"/>
          <w:lang w:val="en-US" w:eastAsia="zh-CN"/>
        </w:rPr>
        <w:t>付款条件</w:t>
      </w:r>
    </w:p>
    <w:p w14:paraId="341B5103">
      <w:pPr>
        <w:keepNext w:val="0"/>
        <w:keepLines w:val="0"/>
        <w:pageBreakBefore w:val="0"/>
        <w:widowControl w:val="0"/>
        <w:spacing w:line="264" w:lineRule="auto"/>
        <w:ind w:firstLine="48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以第三章合同文本</w:t>
      </w:r>
      <w:r>
        <w:rPr>
          <w:rFonts w:hint="eastAsia" w:ascii="宋体" w:hAnsi="宋体" w:eastAsia="宋体" w:cs="宋体"/>
          <w:color w:val="auto"/>
          <w:sz w:val="24"/>
          <w:szCs w:val="24"/>
          <w:highlight w:val="none"/>
          <w:lang w:val="en-US" w:eastAsia="zh-CN"/>
        </w:rPr>
        <w:t>内容</w:t>
      </w:r>
      <w:r>
        <w:rPr>
          <w:rFonts w:hint="default" w:ascii="宋体" w:hAnsi="宋体" w:eastAsia="宋体" w:cs="宋体"/>
          <w:color w:val="auto"/>
          <w:sz w:val="24"/>
          <w:szCs w:val="24"/>
          <w:highlight w:val="none"/>
          <w:lang w:val="en-US" w:eastAsia="zh-CN"/>
        </w:rPr>
        <w:t>为准。</w:t>
      </w:r>
    </w:p>
    <w:p w14:paraId="692BF6A6">
      <w:pPr>
        <w:keepNext w:val="0"/>
        <w:keepLines w:val="0"/>
        <w:pageBreakBefore w:val="0"/>
        <w:widowControl w:val="0"/>
        <w:spacing w:line="264"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服务期</w:t>
      </w:r>
    </w:p>
    <w:p w14:paraId="46D26160">
      <w:pPr>
        <w:keepNext w:val="0"/>
        <w:keepLines w:val="0"/>
        <w:pageBreakBefore w:val="0"/>
        <w:widowControl w:val="0"/>
        <w:spacing w:line="264" w:lineRule="auto"/>
        <w:ind w:firstLine="480"/>
        <w:rPr>
          <w:rFonts w:hint="eastAsia" w:ascii="宋体" w:hAnsi="宋体" w:eastAsia="宋体" w:cs="宋体"/>
          <w:b w:val="0"/>
          <w:bCs w:val="0"/>
          <w:color w:val="auto"/>
          <w:sz w:val="24"/>
          <w:szCs w:val="24"/>
          <w:highlight w:val="none"/>
          <w:lang w:eastAsia="zh-CN"/>
        </w:rPr>
      </w:pPr>
      <w:r>
        <w:rPr>
          <w:rFonts w:hint="default" w:ascii="宋体" w:hAnsi="宋体" w:eastAsia="宋体" w:cs="宋体"/>
          <w:color w:val="auto"/>
          <w:sz w:val="24"/>
          <w:szCs w:val="24"/>
          <w:highlight w:val="none"/>
        </w:rPr>
        <w:t>一包：建筑消防设计安全评估</w:t>
      </w:r>
      <w:r>
        <w:rPr>
          <w:rFonts w:hint="eastAsia" w:ascii="宋体" w:hAnsi="宋体" w:cs="宋体"/>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合同签订之日起</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日内</w:t>
      </w:r>
      <w:r>
        <w:rPr>
          <w:rFonts w:hint="eastAsia" w:ascii="宋体" w:hAnsi="宋体" w:eastAsia="宋体" w:cs="宋体"/>
          <w:b w:val="0"/>
          <w:bCs w:val="0"/>
          <w:color w:val="auto"/>
          <w:sz w:val="24"/>
          <w:szCs w:val="24"/>
          <w:highlight w:val="none"/>
          <w:lang w:eastAsia="zh-CN"/>
        </w:rPr>
        <w:t>完成工作并出具报告（若初次检测不合格，整改时间另算）</w:t>
      </w:r>
    </w:p>
    <w:p w14:paraId="35B5AA50">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.履约保证金</w:t>
      </w:r>
    </w:p>
    <w:p w14:paraId="0DDFEE02">
      <w:pPr>
        <w:keepNext w:val="0"/>
        <w:keepLines w:val="0"/>
        <w:pageBreakBefore w:val="0"/>
        <w:widowControl w:val="0"/>
        <w:spacing w:line="264"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无</w:t>
      </w:r>
      <w:r>
        <w:rPr>
          <w:rFonts w:hint="default" w:ascii="宋体" w:hAnsi="宋体" w:eastAsia="宋体" w:cs="宋体"/>
          <w:color w:val="auto"/>
          <w:sz w:val="24"/>
          <w:szCs w:val="24"/>
          <w:highlight w:val="none"/>
          <w:lang w:val="en-US" w:eastAsia="zh-CN"/>
        </w:rPr>
        <w:t>。</w:t>
      </w:r>
    </w:p>
    <w:p w14:paraId="6DC0EB10">
      <w:pPr>
        <w:keepNext w:val="0"/>
        <w:keepLines w:val="0"/>
        <w:pageBreakBefore w:val="0"/>
        <w:widowControl w:val="0"/>
        <w:spacing w:line="264" w:lineRule="auto"/>
        <w:ind w:firstLine="480"/>
        <w:rPr>
          <w:rFonts w:hint="eastAsia" w:ascii="宋体" w:hAnsi="宋体" w:eastAsia="宋体" w:cs="宋体"/>
          <w:color w:val="auto"/>
          <w:sz w:val="24"/>
          <w:szCs w:val="24"/>
          <w:highlight w:val="none"/>
          <w:lang w:val="en-US" w:eastAsia="zh-CN"/>
        </w:rPr>
      </w:pPr>
      <w:bookmarkStart w:id="166" w:name="OLE_LINK1"/>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.其他要求</w:t>
      </w:r>
    </w:p>
    <w:bookmarkEnd w:id="166"/>
    <w:p w14:paraId="73006918">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w:t>
      </w:r>
      <w:r>
        <w:rPr>
          <w:rFonts w:hint="eastAsia" w:ascii="宋体" w:hAnsi="宋体" w:cs="宋体"/>
          <w:bCs/>
          <w:color w:val="auto"/>
          <w:sz w:val="24"/>
          <w:szCs w:val="24"/>
          <w:highlight w:val="none"/>
          <w:lang w:val="en-US" w:eastAsia="zh-CN"/>
        </w:rPr>
        <w:t>。</w:t>
      </w:r>
    </w:p>
    <w:p w14:paraId="31B06CF4">
      <w:pPr>
        <w:keepNext w:val="0"/>
        <w:keepLines w:val="0"/>
        <w:pageBreakBefore w:val="0"/>
        <w:widowControl w:val="0"/>
        <w:spacing w:line="264" w:lineRule="auto"/>
        <w:ind w:firstLine="480"/>
        <w:rPr>
          <w:rFonts w:hint="eastAsia" w:ascii="宋体" w:hAnsi="宋体" w:eastAsia="宋体" w:cs="宋体"/>
          <w:bCs/>
          <w:color w:val="auto"/>
          <w:sz w:val="24"/>
          <w:szCs w:val="24"/>
          <w:highlight w:val="none"/>
          <w:lang w:val="en-US" w:eastAsia="zh-CN"/>
        </w:rPr>
      </w:pPr>
    </w:p>
    <w:p w14:paraId="1719C7BB">
      <w:pPr>
        <w:spacing w:line="0" w:lineRule="atLeast"/>
        <w:rPr>
          <w:rFonts w:hint="eastAsia" w:ascii="宋体" w:hAnsi="宋体"/>
          <w:color w:val="auto"/>
          <w:sz w:val="24"/>
          <w:szCs w:val="24"/>
          <w:highlight w:val="none"/>
        </w:rPr>
      </w:pPr>
    </w:p>
    <w:p w14:paraId="65137BE4">
      <w:pPr>
        <w:pStyle w:val="49"/>
        <w:rPr>
          <w:rFonts w:hint="eastAsia"/>
          <w:color w:val="auto"/>
          <w:highlight w:val="none"/>
        </w:rPr>
      </w:pPr>
    </w:p>
    <w:p w14:paraId="56A158BE">
      <w:pPr>
        <w:rPr>
          <w:rFonts w:hint="eastAsia" w:ascii="方正小标宋简体" w:hAnsi="方正小标宋简体" w:eastAsia="方正小标宋简体" w:cs="方正小标宋简体"/>
          <w:color w:val="auto"/>
          <w:sz w:val="36"/>
          <w:szCs w:val="36"/>
          <w:highlight w:val="none"/>
          <w:lang w:val="en-US"/>
        </w:rPr>
      </w:pPr>
      <w:bookmarkStart w:id="167" w:name="_Toc120614281"/>
      <w:r>
        <w:rPr>
          <w:rFonts w:hint="eastAsia" w:ascii="方正小标宋简体" w:hAnsi="方正小标宋简体" w:eastAsia="方正小标宋简体" w:cs="方正小标宋简体"/>
          <w:color w:val="auto"/>
          <w:sz w:val="36"/>
          <w:szCs w:val="36"/>
          <w:highlight w:val="none"/>
          <w:lang w:val="en-US"/>
        </w:rPr>
        <w:br w:type="page"/>
      </w:r>
    </w:p>
    <w:p w14:paraId="080E748A">
      <w:pPr>
        <w:spacing w:before="120" w:after="120" w:line="0" w:lineRule="atLeast"/>
        <w:jc w:val="center"/>
        <w:outlineLvl w:val="0"/>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t>第</w:t>
      </w:r>
      <w:r>
        <w:rPr>
          <w:rFonts w:hint="eastAsia" w:ascii="方正小标宋简体" w:hAnsi="方正小标宋简体" w:eastAsia="方正小标宋简体" w:cs="方正小标宋简体"/>
          <w:color w:val="auto"/>
          <w:sz w:val="36"/>
          <w:szCs w:val="36"/>
          <w:highlight w:val="none"/>
          <w:lang w:val="en-US" w:eastAsia="zh-CN"/>
        </w:rPr>
        <w:t>五</w:t>
      </w:r>
      <w:r>
        <w:rPr>
          <w:rFonts w:hint="eastAsia" w:ascii="方正小标宋简体" w:hAnsi="方正小标宋简体" w:eastAsia="方正小标宋简体" w:cs="方正小标宋简体"/>
          <w:color w:val="auto"/>
          <w:sz w:val="36"/>
          <w:szCs w:val="36"/>
          <w:highlight w:val="none"/>
          <w:lang w:val="en-US"/>
        </w:rPr>
        <w:t>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en-US"/>
        </w:rPr>
        <w:t>成交标准</w:t>
      </w:r>
    </w:p>
    <w:p w14:paraId="618940FF">
      <w:pPr>
        <w:keepNext w:val="0"/>
        <w:keepLines w:val="0"/>
        <w:pageBreakBefore w:val="0"/>
        <w:widowControl w:val="0"/>
        <w:spacing w:line="288" w:lineRule="auto"/>
        <w:ind w:firstLine="420"/>
        <w:rPr>
          <w:rFonts w:hint="eastAsia" w:ascii="Times New Roman" w:hAnsi="Times New Roman" w:eastAsia="宋体" w:cs="Times New Roman"/>
          <w:b w:val="0"/>
          <w:bCs w:val="0"/>
          <w:color w:val="auto"/>
          <w:sz w:val="21"/>
          <w:szCs w:val="21"/>
          <w:highlight w:val="none"/>
          <w:lang w:eastAsia="zh-CN"/>
        </w:rPr>
      </w:pPr>
    </w:p>
    <w:p w14:paraId="44D9AACA">
      <w:pPr>
        <w:keepNext w:val="0"/>
        <w:keepLines w:val="0"/>
        <w:pageBreakBefore w:val="0"/>
        <w:widowControl w:val="0"/>
        <w:spacing w:line="288" w:lineRule="auto"/>
        <w:ind w:firstLine="480"/>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一、成交标准</w:t>
      </w:r>
    </w:p>
    <w:p w14:paraId="673CD17F">
      <w:pPr>
        <w:keepNext w:val="0"/>
        <w:keepLines w:val="0"/>
        <w:pageBreakBefore w:val="0"/>
        <w:widowControl w:val="0"/>
        <w:spacing w:line="288" w:lineRule="auto"/>
        <w:ind w:firstLine="480"/>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谈判小组从质量和服务均能满足谈判文件实质性要求的供应商中，按照</w:t>
      </w:r>
      <w:r>
        <w:rPr>
          <w:rFonts w:hint="eastAsia" w:ascii="宋体" w:hAnsi="宋体" w:eastAsia="宋体" w:cs="宋体"/>
          <w:color w:val="auto"/>
          <w:sz w:val="24"/>
          <w:szCs w:val="24"/>
          <w:highlight w:val="none"/>
          <w:lang w:val="en-US" w:eastAsia="zh-CN"/>
        </w:rPr>
        <w:t>评审价格</w:t>
      </w:r>
      <w:r>
        <w:rPr>
          <w:rFonts w:hint="eastAsia" w:ascii="宋体" w:hAnsi="宋体" w:eastAsia="宋体" w:cs="宋体"/>
          <w:color w:val="auto"/>
          <w:sz w:val="24"/>
          <w:szCs w:val="24"/>
          <w:highlight w:val="none"/>
          <w:lang w:val="zh-CN" w:eastAsia="zh-CN"/>
        </w:rPr>
        <w:t>由低到高顺序推荐</w:t>
      </w:r>
      <w:r>
        <w:rPr>
          <w:rFonts w:hint="eastAsia" w:ascii="宋体" w:hAnsi="宋体" w:eastAsia="宋体" w:cs="Times New Roman"/>
          <w:b w:val="0"/>
          <w:bCs w:val="0"/>
          <w:color w:val="auto"/>
          <w:sz w:val="24"/>
          <w:szCs w:val="24"/>
          <w:highlight w:val="none"/>
          <w:u w:val="none"/>
          <w:lang w:val="en-US" w:eastAsia="zh-CN"/>
        </w:rPr>
        <w:t>3</w:t>
      </w:r>
      <w:r>
        <w:rPr>
          <w:rFonts w:hint="eastAsia" w:ascii="宋体" w:hAnsi="宋体" w:eastAsia="宋体" w:cs="Times New Roman"/>
          <w:b w:val="0"/>
          <w:bCs w:val="0"/>
          <w:color w:val="auto"/>
          <w:sz w:val="24"/>
          <w:szCs w:val="24"/>
          <w:highlight w:val="none"/>
          <w:u w:val="none"/>
          <w:lang w:val="zh-CN" w:eastAsia="zh-CN"/>
        </w:rPr>
        <w:t>名</w:t>
      </w:r>
      <w:r>
        <w:rPr>
          <w:rFonts w:hint="eastAsia" w:ascii="宋体" w:hAnsi="宋体" w:eastAsia="宋体" w:cs="宋体"/>
          <w:color w:val="auto"/>
          <w:sz w:val="24"/>
          <w:szCs w:val="24"/>
          <w:highlight w:val="none"/>
          <w:lang w:val="zh-CN" w:eastAsia="zh-CN"/>
        </w:rPr>
        <w:t>成交候选供应商。</w:t>
      </w:r>
    </w:p>
    <w:p w14:paraId="3EB8D12D">
      <w:pPr>
        <w:pStyle w:val="16"/>
        <w:spacing w:line="288"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2.</w:t>
      </w:r>
      <w:r>
        <w:rPr>
          <w:rFonts w:hint="eastAsia" w:ascii="宋体" w:hAnsi="宋体" w:eastAsia="宋体" w:cs="宋体"/>
          <w:color w:val="auto"/>
          <w:sz w:val="24"/>
          <w:szCs w:val="24"/>
          <w:highlight w:val="none"/>
          <w:lang w:val="en-US" w:eastAsia="zh-CN"/>
        </w:rPr>
        <w:t>供应商的评审价格如相同，按照供应商在“苏采云系统”最终递交响应文件的先后顺序进行排名。</w:t>
      </w:r>
    </w:p>
    <w:p w14:paraId="27E4C2D9">
      <w:pPr>
        <w:keepNext w:val="0"/>
        <w:keepLines w:val="0"/>
        <w:pageBreakBefore w:val="0"/>
        <w:widowControl w:val="0"/>
        <w:spacing w:line="288"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本项目原共划分为三个包，原招标文件约定一包与二包为互斥包：供应商可同时响应一包、二包，但不得同时成为一包和二包的成交人。若投标供应商在一包中已经被推荐为第一成交候选人，则在二包中继续参与评审但不被推荐为成交候选人。目前二包、三包已完成采购并确定成交供应商。现一包重新公告，二包的成交供应商</w:t>
      </w:r>
      <w:r>
        <w:rPr>
          <w:rFonts w:hint="eastAsia" w:ascii="宋体" w:hAnsi="宋体" w:cs="宋体"/>
          <w:color w:val="auto"/>
          <w:sz w:val="24"/>
          <w:szCs w:val="24"/>
          <w:highlight w:val="none"/>
          <w:lang w:val="en-US" w:eastAsia="zh-CN"/>
        </w:rPr>
        <w:t>若响应一包，</w:t>
      </w:r>
      <w:r>
        <w:rPr>
          <w:rFonts w:hint="eastAsia" w:ascii="宋体" w:hAnsi="宋体" w:eastAsia="宋体" w:cs="宋体"/>
          <w:color w:val="auto"/>
          <w:sz w:val="24"/>
          <w:szCs w:val="24"/>
          <w:highlight w:val="none"/>
          <w:lang w:val="en-US" w:eastAsia="zh-CN"/>
        </w:rPr>
        <w:t>不得推荐为成交候选人。</w:t>
      </w:r>
    </w:p>
    <w:p w14:paraId="53B1D40F">
      <w:pPr>
        <w:keepNext w:val="0"/>
        <w:keepLines w:val="0"/>
        <w:pageBreakBefore w:val="0"/>
        <w:widowControl w:val="0"/>
        <w:spacing w:line="288" w:lineRule="auto"/>
        <w:ind w:firstLine="420"/>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3</w:t>
      </w:r>
      <w:r>
        <w:rPr>
          <w:rFonts w:hint="eastAsia" w:ascii="宋体" w:hAnsi="宋体" w:eastAsia="宋体" w:cs="Times New Roman"/>
          <w:b w:val="0"/>
          <w:bCs w:val="0"/>
          <w:color w:val="auto"/>
          <w:sz w:val="24"/>
          <w:szCs w:val="24"/>
          <w:highlight w:val="none"/>
          <w:u w:val="none"/>
          <w:lang w:val="zh-CN" w:eastAsia="zh-CN"/>
        </w:rPr>
        <w:t>、</w:t>
      </w:r>
      <w:r>
        <w:rPr>
          <w:rFonts w:hint="eastAsia" w:ascii="宋体" w:hAnsi="宋体" w:eastAsia="宋体" w:cs="Times New Roman"/>
          <w:b w:val="0"/>
          <w:bCs w:val="0"/>
          <w:color w:val="auto"/>
          <w:sz w:val="24"/>
          <w:szCs w:val="24"/>
          <w:highlight w:val="none"/>
          <w:u w:val="none"/>
          <w:lang w:val="en-US" w:eastAsia="zh-CN"/>
        </w:rPr>
        <w:t>小微企业价格扣除</w:t>
      </w:r>
    </w:p>
    <w:p w14:paraId="235CA42F">
      <w:pPr>
        <w:keepNext w:val="0"/>
        <w:keepLines w:val="0"/>
        <w:pageBreakBefore w:val="0"/>
        <w:widowControl w:val="0"/>
        <w:spacing w:line="288" w:lineRule="auto"/>
        <w:ind w:firstLine="420"/>
        <w:rPr>
          <w:rFonts w:hint="eastAsia" w:ascii="宋体" w:hAnsi="宋体" w:eastAsia="宋体" w:cs="Times New Roman"/>
          <w:b w:val="0"/>
          <w:b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Times New Roman"/>
          <w:b w:val="0"/>
          <w:bCs w:val="0"/>
          <w:color w:val="auto"/>
          <w:sz w:val="24"/>
          <w:szCs w:val="24"/>
          <w:highlight w:val="none"/>
          <w:u w:val="none"/>
          <w:lang w:val="zh-CN" w:eastAsia="zh-CN"/>
        </w:rPr>
        <w:t>本项目服务的承接商为小微企业的，</w:t>
      </w:r>
      <w:r>
        <w:rPr>
          <w:rFonts w:hint="eastAsia" w:ascii="宋体" w:hAnsi="宋体" w:eastAsia="宋体" w:cs="Times New Roman"/>
          <w:b w:val="0"/>
          <w:bCs w:val="0"/>
          <w:color w:val="auto"/>
          <w:sz w:val="24"/>
          <w:szCs w:val="24"/>
          <w:highlight w:val="none"/>
          <w:u w:val="none"/>
          <w:lang w:val="en-US" w:eastAsia="zh-CN"/>
        </w:rPr>
        <w:t>对报价给予</w:t>
      </w:r>
      <w:r>
        <w:rPr>
          <w:rFonts w:hint="eastAsia" w:ascii="宋体" w:hAnsi="宋体" w:eastAsia="宋体" w:cs="Times New Roman"/>
          <w:b w:val="0"/>
          <w:bCs w:val="0"/>
          <w:color w:val="auto"/>
          <w:sz w:val="24"/>
          <w:szCs w:val="24"/>
          <w:highlight w:val="none"/>
          <w:u w:val="none"/>
          <w:lang w:val="zh-CN" w:eastAsia="zh-CN"/>
        </w:rPr>
        <w:t>10%</w:t>
      </w:r>
      <w:r>
        <w:rPr>
          <w:rFonts w:hint="eastAsia" w:ascii="宋体" w:hAnsi="宋体" w:eastAsia="宋体" w:cs="Times New Roman"/>
          <w:b w:val="0"/>
          <w:bCs w:val="0"/>
          <w:color w:val="auto"/>
          <w:sz w:val="24"/>
          <w:szCs w:val="24"/>
          <w:highlight w:val="none"/>
          <w:u w:val="none"/>
          <w:lang w:val="en-US" w:eastAsia="zh-CN"/>
        </w:rPr>
        <w:t>的扣除，用扣除后的价格参与评审。</w:t>
      </w:r>
    </w:p>
    <w:p w14:paraId="4D7CF79F">
      <w:pPr>
        <w:keepNext w:val="0"/>
        <w:keepLines w:val="0"/>
        <w:pageBreakBefore w:val="0"/>
        <w:widowControl w:val="0"/>
        <w:spacing w:line="288" w:lineRule="auto"/>
        <w:ind w:firstLine="420"/>
        <w:rPr>
          <w:rFonts w:hint="eastAsia" w:ascii="宋体" w:hAnsi="宋体" w:eastAsia="宋体" w:cs="Times New Roman"/>
          <w:b w:val="0"/>
          <w:bCs w:val="0"/>
          <w:color w:val="auto"/>
          <w:sz w:val="24"/>
          <w:szCs w:val="24"/>
          <w:highlight w:val="none"/>
          <w:u w:val="none"/>
          <w:lang w:val="en-US" w:eastAsia="zh-CN"/>
        </w:rPr>
      </w:pPr>
      <w:r>
        <w:rPr>
          <w:rFonts w:hint="eastAsia" w:ascii="宋体" w:hAnsi="宋体" w:cs="Times New Roman"/>
          <w:b w:val="0"/>
          <w:bCs w:val="0"/>
          <w:color w:val="auto"/>
          <w:sz w:val="24"/>
          <w:szCs w:val="24"/>
          <w:highlight w:val="none"/>
          <w:u w:val="none"/>
          <w:lang w:val="en-US" w:eastAsia="zh-CN"/>
        </w:rPr>
        <w:t>3.2</w:t>
      </w:r>
      <w:r>
        <w:rPr>
          <w:rFonts w:hint="eastAsia" w:ascii="宋体" w:hAnsi="宋体" w:eastAsia="宋体" w:cs="Times New Roman"/>
          <w:b w:val="0"/>
          <w:bCs w:val="0"/>
          <w:color w:val="auto"/>
          <w:sz w:val="24"/>
          <w:szCs w:val="24"/>
          <w:highlight w:val="none"/>
          <w:u w:val="none"/>
          <w:lang w:val="en-US" w:eastAsia="zh-CN"/>
        </w:rPr>
        <w:t>大中型企业和其他自然人、法人或者其他组织与小型、微型企业组成联合体共同参加</w:t>
      </w:r>
      <w:r>
        <w:rPr>
          <w:rFonts w:hint="eastAsia" w:ascii="宋体" w:hAnsi="宋体" w:cs="Times New Roman"/>
          <w:b w:val="0"/>
          <w:bCs w:val="0"/>
          <w:color w:val="auto"/>
          <w:sz w:val="24"/>
          <w:szCs w:val="24"/>
          <w:highlight w:val="none"/>
          <w:u w:val="none"/>
          <w:lang w:val="en-US" w:eastAsia="zh-CN"/>
        </w:rPr>
        <w:t>谈判</w:t>
      </w:r>
      <w:r>
        <w:rPr>
          <w:rFonts w:hint="eastAsia" w:ascii="宋体" w:hAnsi="宋体" w:eastAsia="宋体" w:cs="Times New Roman"/>
          <w:b w:val="0"/>
          <w:bCs w:val="0"/>
          <w:color w:val="auto"/>
          <w:sz w:val="24"/>
          <w:szCs w:val="24"/>
          <w:highlight w:val="none"/>
          <w:u w:val="none"/>
          <w:lang w:val="en-US" w:eastAsia="zh-CN"/>
        </w:rPr>
        <w:t>，如果联合协议中约定，小型、微型企业的协议合同金额占到联合体协议合同总金额30%以上的，给予联合体4%的价格扣除。联合体各方均为小型、微型企业的，联合体视同为小型、微型企业享受</w:t>
      </w:r>
      <w:r>
        <w:rPr>
          <w:rFonts w:hint="eastAsia" w:ascii="宋体" w:hAnsi="宋体" w:cs="Times New Roman"/>
          <w:b w:val="0"/>
          <w:bCs w:val="0"/>
          <w:color w:val="auto"/>
          <w:sz w:val="24"/>
          <w:szCs w:val="24"/>
          <w:highlight w:val="none"/>
          <w:u w:val="none"/>
          <w:lang w:val="en-US" w:eastAsia="zh-CN"/>
        </w:rPr>
        <w:t>10</w:t>
      </w:r>
      <w:r>
        <w:rPr>
          <w:rFonts w:hint="eastAsia" w:ascii="宋体" w:hAnsi="宋体" w:eastAsia="宋体" w:cs="Times New Roman"/>
          <w:b w:val="0"/>
          <w:bCs w:val="0"/>
          <w:color w:val="auto"/>
          <w:sz w:val="24"/>
          <w:szCs w:val="24"/>
          <w:highlight w:val="none"/>
          <w:u w:val="none"/>
          <w:lang w:val="en-US" w:eastAsia="zh-CN"/>
        </w:rPr>
        <w:t>%价格扣除，用扣除后的价格参与评审。小企业（含小型、微型企业）应当同时符合以下条件：</w:t>
      </w:r>
    </w:p>
    <w:p w14:paraId="75D07670">
      <w:pPr>
        <w:keepNext w:val="0"/>
        <w:keepLines w:val="0"/>
        <w:pageBreakBefore w:val="0"/>
        <w:widowControl w:val="0"/>
        <w:spacing w:line="288" w:lineRule="auto"/>
        <w:ind w:firstLine="420"/>
        <w:rPr>
          <w:rFonts w:hint="eastAsia" w:ascii="宋体" w:hAnsi="宋体" w:eastAsia="宋体" w:cs="Times New Roman"/>
          <w:b w:val="0"/>
          <w:bCs w:val="0"/>
          <w:color w:val="auto"/>
          <w:sz w:val="24"/>
          <w:szCs w:val="24"/>
          <w:highlight w:val="none"/>
          <w:u w:val="none"/>
          <w:lang w:val="en-US" w:eastAsia="zh-CN"/>
        </w:rPr>
      </w:pPr>
      <w:r>
        <w:rPr>
          <w:rFonts w:hint="eastAsia" w:ascii="宋体" w:hAnsi="宋体" w:cs="Times New Roman"/>
          <w:b w:val="0"/>
          <w:bCs w:val="0"/>
          <w:color w:val="auto"/>
          <w:sz w:val="24"/>
          <w:szCs w:val="24"/>
          <w:highlight w:val="none"/>
          <w:u w:val="none"/>
          <w:lang w:val="en-US" w:eastAsia="zh-CN"/>
        </w:rPr>
        <w:t>3</w:t>
      </w:r>
      <w:r>
        <w:rPr>
          <w:rFonts w:hint="eastAsia" w:ascii="宋体" w:hAnsi="宋体" w:eastAsia="宋体" w:cs="Times New Roman"/>
          <w:b w:val="0"/>
          <w:bCs w:val="0"/>
          <w:color w:val="auto"/>
          <w:sz w:val="24"/>
          <w:szCs w:val="24"/>
          <w:highlight w:val="none"/>
          <w:u w:val="none"/>
          <w:lang w:val="en-US" w:eastAsia="zh-CN"/>
        </w:rPr>
        <w:t>.3小企业（含小型、微型企业）应当同时符合以下条件：</w:t>
      </w:r>
    </w:p>
    <w:p w14:paraId="48A4759F">
      <w:pPr>
        <w:keepNext w:val="0"/>
        <w:keepLines w:val="0"/>
        <w:pageBreakBefore w:val="0"/>
        <w:widowControl w:val="0"/>
        <w:spacing w:line="288" w:lineRule="auto"/>
        <w:ind w:firstLine="420"/>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（1）供应商为小企业，且符合中小企业划分标准；</w:t>
      </w:r>
    </w:p>
    <w:p w14:paraId="40A7CD7E">
      <w:pPr>
        <w:keepNext w:val="0"/>
        <w:keepLines w:val="0"/>
        <w:pageBreakBefore w:val="0"/>
        <w:widowControl w:val="0"/>
        <w:spacing w:line="288" w:lineRule="auto"/>
        <w:ind w:firstLine="420"/>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（2）提供本企业制造的货物、承担的工程或者服务，或者提供其他小企业制造的货物。如果提供的货物为大中型企业注册商标的货物，视同大中型企业。</w:t>
      </w:r>
    </w:p>
    <w:p w14:paraId="653012F5">
      <w:pPr>
        <w:keepNext w:val="0"/>
        <w:keepLines w:val="0"/>
        <w:pageBreakBefore w:val="0"/>
        <w:widowControl w:val="0"/>
        <w:spacing w:line="288"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残疾人福利性单位视同小型、微型企业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给予</w:t>
      </w:r>
      <w:r>
        <w:rPr>
          <w:rFonts w:hint="eastAsia" w:ascii="宋体" w:hAnsi="宋体"/>
          <w:color w:val="auto"/>
          <w:sz w:val="24"/>
          <w:szCs w:val="24"/>
          <w:highlight w:val="none"/>
          <w:lang w:val="en-US" w:eastAsia="zh-CN"/>
        </w:rPr>
        <w:t>与小微企业</w:t>
      </w:r>
      <w:r>
        <w:rPr>
          <w:rFonts w:hint="eastAsia" w:ascii="宋体" w:hAnsi="宋体"/>
          <w:color w:val="auto"/>
          <w:sz w:val="24"/>
          <w:szCs w:val="24"/>
          <w:highlight w:val="none"/>
          <w:u w:val="none"/>
          <w:lang w:val="en-US" w:eastAsia="zh-CN"/>
        </w:rPr>
        <w:t>相同</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用扣除后的价格参与评审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监狱和戒毒企业视同小型、微型企业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给予</w:t>
      </w:r>
      <w:r>
        <w:rPr>
          <w:rFonts w:hint="eastAsia" w:ascii="宋体" w:hAnsi="宋体"/>
          <w:color w:val="auto"/>
          <w:sz w:val="24"/>
          <w:szCs w:val="24"/>
          <w:highlight w:val="none"/>
          <w:lang w:val="en-US" w:eastAsia="zh-CN"/>
        </w:rPr>
        <w:t>与小微企业</w:t>
      </w:r>
      <w:r>
        <w:rPr>
          <w:rFonts w:hint="eastAsia" w:ascii="宋体" w:hAnsi="宋体"/>
          <w:color w:val="auto"/>
          <w:sz w:val="24"/>
          <w:szCs w:val="24"/>
          <w:highlight w:val="none"/>
          <w:u w:val="none"/>
          <w:lang w:val="en-US" w:eastAsia="zh-CN"/>
        </w:rPr>
        <w:t>相同</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用扣除后的价格参与评审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残疾人福利单位、监狱企业属于小型、微型企业的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不重复享受</w:t>
      </w:r>
      <w:r>
        <w:rPr>
          <w:rFonts w:hint="eastAsia" w:ascii="宋体" w:hAnsi="宋体" w:eastAsia="宋体" w:cs="宋体"/>
          <w:color w:val="auto"/>
          <w:sz w:val="24"/>
          <w:szCs w:val="24"/>
          <w:highlight w:val="none"/>
          <w:lang w:val="en-US" w:eastAsia="zh-CN"/>
        </w:rPr>
        <w:t>价格扣除</w:t>
      </w:r>
      <w:r>
        <w:rPr>
          <w:rFonts w:hint="eastAsia" w:ascii="宋体" w:hAnsi="宋体" w:eastAsia="宋体" w:cs="宋体"/>
          <w:color w:val="auto"/>
          <w:sz w:val="24"/>
          <w:szCs w:val="24"/>
          <w:highlight w:val="none"/>
        </w:rPr>
        <w:t>。</w:t>
      </w:r>
    </w:p>
    <w:p w14:paraId="368A7E2A">
      <w:pPr>
        <w:keepNext w:val="0"/>
        <w:keepLines w:val="0"/>
        <w:pageBreakBefore w:val="0"/>
        <w:widowControl w:val="0"/>
        <w:spacing w:line="288"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5.采购标的对应的中小企业划分标准所属行业：其他未列明行业。</w:t>
      </w:r>
    </w:p>
    <w:p w14:paraId="6C082FB6">
      <w:pPr>
        <w:spacing w:before="120" w:after="120" w:line="0" w:lineRule="atLeast"/>
        <w:jc w:val="center"/>
        <w:outlineLvl w:val="0"/>
        <w:rPr>
          <w:rFonts w:hint="eastAsia" w:ascii="方正小标宋简体" w:hAnsi="方正小标宋简体" w:eastAsia="方正小标宋简体" w:cs="方正小标宋简体"/>
          <w:color w:val="auto"/>
          <w:sz w:val="36"/>
          <w:szCs w:val="36"/>
          <w:highlight w:val="none"/>
          <w:lang w:val="en-US"/>
        </w:rPr>
      </w:pPr>
      <w:r>
        <w:rPr>
          <w:rFonts w:hint="eastAsia" w:ascii="方正小标宋简体" w:hAnsi="方正小标宋简体" w:eastAsia="方正小标宋简体" w:cs="方正小标宋简体"/>
          <w:color w:val="auto"/>
          <w:sz w:val="36"/>
          <w:szCs w:val="36"/>
          <w:highlight w:val="none"/>
          <w:lang w:val="en-US"/>
        </w:rPr>
        <w:br w:type="page" w:clear="all"/>
      </w:r>
      <w:r>
        <w:rPr>
          <w:rFonts w:hint="eastAsia" w:ascii="方正小标宋简体" w:hAnsi="方正小标宋简体" w:eastAsia="方正小标宋简体" w:cs="方正小标宋简体"/>
          <w:color w:val="auto"/>
          <w:sz w:val="36"/>
          <w:szCs w:val="36"/>
          <w:highlight w:val="none"/>
          <w:lang w:val="en-US"/>
        </w:rPr>
        <w:t>第</w:t>
      </w:r>
      <w:r>
        <w:rPr>
          <w:rFonts w:hint="eastAsia" w:ascii="方正小标宋简体" w:hAnsi="方正小标宋简体" w:eastAsia="方正小标宋简体" w:cs="方正小标宋简体"/>
          <w:color w:val="auto"/>
          <w:sz w:val="36"/>
          <w:szCs w:val="36"/>
          <w:highlight w:val="none"/>
          <w:lang w:val="en-US" w:eastAsia="zh-CN"/>
        </w:rPr>
        <w:t>六</w:t>
      </w:r>
      <w:r>
        <w:rPr>
          <w:rFonts w:hint="eastAsia" w:ascii="方正小标宋简体" w:hAnsi="方正小标宋简体" w:eastAsia="方正小标宋简体" w:cs="方正小标宋简体"/>
          <w:color w:val="auto"/>
          <w:sz w:val="36"/>
          <w:szCs w:val="36"/>
          <w:highlight w:val="none"/>
          <w:lang w:val="en-US"/>
        </w:rPr>
        <w:t xml:space="preserve">章  </w:t>
      </w:r>
      <w:bookmarkEnd w:id="164"/>
      <w:bookmarkEnd w:id="165"/>
      <w:bookmarkEnd w:id="167"/>
      <w:r>
        <w:rPr>
          <w:rFonts w:hint="eastAsia" w:ascii="方正小标宋简体" w:hAnsi="方正小标宋简体" w:eastAsia="方正小标宋简体" w:cs="方正小标宋简体"/>
          <w:color w:val="auto"/>
          <w:sz w:val="36"/>
          <w:szCs w:val="36"/>
          <w:highlight w:val="none"/>
          <w:lang w:val="en-US"/>
        </w:rPr>
        <w:t xml:space="preserve">响应文件格式 </w:t>
      </w:r>
    </w:p>
    <w:p w14:paraId="4AF49F96">
      <w:pPr>
        <w:jc w:val="center"/>
        <w:rPr>
          <w:rFonts w:hint="eastAsia" w:ascii="宋体" w:hAnsi="宋体" w:eastAsia="宋体"/>
          <w:b/>
          <w:color w:val="auto"/>
          <w:sz w:val="72"/>
          <w:szCs w:val="21"/>
          <w:highlight w:val="none"/>
          <w:lang w:eastAsia="zh-CN"/>
        </w:rPr>
      </w:pPr>
      <w:bookmarkStart w:id="168" w:name="_Hlt26955039"/>
      <w:bookmarkEnd w:id="168"/>
      <w:bookmarkStart w:id="169" w:name="_Hlt26671244"/>
      <w:bookmarkEnd w:id="169"/>
      <w:bookmarkStart w:id="170" w:name="_Toc49090576"/>
      <w:bookmarkStart w:id="171" w:name="_Toc120614282"/>
      <w:bookmarkStart w:id="172" w:name="_Toc26554094"/>
      <w:r>
        <w:rPr>
          <w:rFonts w:hint="eastAsia" w:ascii="宋体" w:hAnsi="宋体"/>
          <w:b/>
          <w:i/>
          <w:iCs/>
          <w:color w:val="auto"/>
          <w:sz w:val="28"/>
          <w:szCs w:val="28"/>
          <w:highlight w:val="none"/>
          <w:lang w:eastAsia="zh-CN"/>
        </w:rPr>
        <w:t>（</w:t>
      </w:r>
      <w:r>
        <w:rPr>
          <w:rFonts w:hint="eastAsia" w:ascii="宋体" w:hAnsi="宋体"/>
          <w:b/>
          <w:i/>
          <w:iCs/>
          <w:color w:val="auto"/>
          <w:sz w:val="28"/>
          <w:szCs w:val="28"/>
          <w:highlight w:val="none"/>
          <w:lang w:val="en-US" w:eastAsia="zh-CN"/>
        </w:rPr>
        <w:t>格式参考如下</w:t>
      </w:r>
      <w:r>
        <w:rPr>
          <w:rFonts w:hint="eastAsia" w:ascii="宋体" w:hAnsi="宋体"/>
          <w:b/>
          <w:i/>
          <w:iCs/>
          <w:color w:val="auto"/>
          <w:sz w:val="28"/>
          <w:szCs w:val="28"/>
          <w:highlight w:val="none"/>
          <w:lang w:eastAsia="zh-CN"/>
        </w:rPr>
        <w:t>）</w:t>
      </w:r>
    </w:p>
    <w:bookmarkEnd w:id="158"/>
    <w:bookmarkEnd w:id="159"/>
    <w:bookmarkEnd w:id="170"/>
    <w:bookmarkEnd w:id="171"/>
    <w:bookmarkEnd w:id="172"/>
    <w:p w14:paraId="5A6E287C">
      <w:pPr>
        <w:jc w:val="center"/>
        <w:outlineLvl w:val="0"/>
        <w:rPr>
          <w:rFonts w:hint="eastAsia" w:ascii="黑体" w:hAnsi="黑体" w:eastAsia="黑体"/>
          <w:b/>
          <w:color w:val="auto"/>
          <w:kern w:val="2"/>
          <w:sz w:val="72"/>
          <w:szCs w:val="21"/>
          <w:highlight w:val="none"/>
        </w:rPr>
      </w:pPr>
      <w:r>
        <w:rPr>
          <w:rFonts w:hint="eastAsia" w:ascii="黑体" w:hAnsi="黑体" w:eastAsia="黑体"/>
          <w:b/>
          <w:color w:val="auto"/>
          <w:kern w:val="2"/>
          <w:sz w:val="72"/>
          <w:szCs w:val="21"/>
          <w:highlight w:val="none"/>
        </w:rPr>
        <w:t>竞争谈判响应文件</w:t>
      </w:r>
    </w:p>
    <w:p w14:paraId="39F413D1">
      <w:pPr>
        <w:widowControl w:val="0"/>
        <w:adjustRightInd w:val="0"/>
        <w:spacing w:before="120" w:after="120" w:line="360" w:lineRule="auto"/>
        <w:ind w:firstLine="0"/>
        <w:jc w:val="center"/>
        <w:textAlignment w:val="baseline"/>
        <w:rPr>
          <w:rFonts w:hint="eastAsia" w:ascii="黑体" w:hAnsi="黑体" w:eastAsia="黑体" w:cs="Times New Roman"/>
          <w:b/>
          <w:bCs/>
          <w:color w:val="auto"/>
          <w:kern w:val="0"/>
          <w:sz w:val="32"/>
          <w:szCs w:val="24"/>
          <w:highlight w:val="none"/>
          <w:lang w:val="en-US" w:eastAsia="zh-CN" w:bidi="ar-SA"/>
        </w:rPr>
      </w:pPr>
    </w:p>
    <w:p w14:paraId="36979D70">
      <w:pPr>
        <w:widowControl w:val="0"/>
        <w:adjustRightInd w:val="0"/>
        <w:spacing w:before="120" w:after="120" w:line="360" w:lineRule="auto"/>
        <w:ind w:firstLine="0"/>
        <w:jc w:val="center"/>
        <w:textAlignment w:val="baseline"/>
        <w:rPr>
          <w:rFonts w:hint="eastAsia" w:ascii="黑体" w:hAnsi="黑体" w:eastAsia="黑体" w:cs="Times New Roman"/>
          <w:b/>
          <w:bCs/>
          <w:color w:val="auto"/>
          <w:kern w:val="0"/>
          <w:sz w:val="32"/>
          <w:szCs w:val="24"/>
          <w:highlight w:val="none"/>
          <w:lang w:val="en-US" w:eastAsia="zh-CN" w:bidi="ar-SA"/>
        </w:rPr>
      </w:pPr>
    </w:p>
    <w:p w14:paraId="57873510">
      <w:pPr>
        <w:widowControl w:val="0"/>
        <w:adjustRightInd w:val="0"/>
        <w:spacing w:before="120" w:after="120" w:line="360" w:lineRule="auto"/>
        <w:ind w:firstLine="0"/>
        <w:jc w:val="center"/>
        <w:textAlignment w:val="baseline"/>
        <w:rPr>
          <w:rFonts w:hint="eastAsia" w:ascii="黑体" w:hAnsi="黑体" w:eastAsia="黑体" w:cs="Times New Roman"/>
          <w:b/>
          <w:bCs/>
          <w:color w:val="auto"/>
          <w:kern w:val="0"/>
          <w:sz w:val="32"/>
          <w:szCs w:val="24"/>
          <w:highlight w:val="none"/>
          <w:lang w:val="en-US" w:eastAsia="zh-CN" w:bidi="ar-SA"/>
        </w:rPr>
      </w:pPr>
    </w:p>
    <w:p w14:paraId="340EDCD1">
      <w:pPr>
        <w:widowControl w:val="0"/>
        <w:adjustRightInd w:val="0"/>
        <w:spacing w:before="120" w:after="120" w:line="360" w:lineRule="auto"/>
        <w:ind w:firstLine="0"/>
        <w:jc w:val="center"/>
        <w:textAlignment w:val="baseline"/>
        <w:rPr>
          <w:rFonts w:hint="eastAsia" w:ascii="黑体" w:hAnsi="黑体" w:eastAsia="黑体" w:cs="Times New Roman"/>
          <w:b/>
          <w:bCs/>
          <w:color w:val="auto"/>
          <w:kern w:val="0"/>
          <w:sz w:val="32"/>
          <w:szCs w:val="24"/>
          <w:highlight w:val="none"/>
          <w:lang w:val="en-US" w:eastAsia="zh-CN" w:bidi="ar-SA"/>
        </w:rPr>
      </w:pPr>
    </w:p>
    <w:p w14:paraId="1F8017A5">
      <w:pPr>
        <w:ind w:firstLine="1084" w:firstLineChars="300"/>
        <w:outlineLvl w:val="0"/>
        <w:rPr>
          <w:rFonts w:hint="eastAsia" w:ascii="黑体" w:hAnsi="黑体" w:eastAsia="黑体"/>
          <w:b/>
          <w:color w:val="auto"/>
          <w:kern w:val="2"/>
          <w:sz w:val="36"/>
          <w:szCs w:val="21"/>
          <w:highlight w:val="none"/>
        </w:rPr>
      </w:pPr>
      <w:r>
        <w:rPr>
          <w:rFonts w:hint="eastAsia" w:ascii="黑体" w:hAnsi="黑体" w:eastAsia="黑体"/>
          <w:b/>
          <w:color w:val="auto"/>
          <w:kern w:val="2"/>
          <w:sz w:val="36"/>
          <w:szCs w:val="21"/>
          <w:highlight w:val="none"/>
        </w:rPr>
        <w:t xml:space="preserve">       </w:t>
      </w:r>
    </w:p>
    <w:p w14:paraId="5AC02D3D">
      <w:pPr>
        <w:ind w:firstLine="1084" w:firstLineChars="300"/>
        <w:rPr>
          <w:rFonts w:hint="eastAsia" w:ascii="黑体" w:hAnsi="黑体" w:eastAsia="黑体"/>
          <w:b/>
          <w:color w:val="auto"/>
          <w:kern w:val="2"/>
          <w:sz w:val="36"/>
          <w:szCs w:val="21"/>
          <w:highlight w:val="none"/>
        </w:rPr>
      </w:pPr>
    </w:p>
    <w:p w14:paraId="3B1772A6">
      <w:pPr>
        <w:ind w:firstLine="1084" w:firstLineChars="300"/>
        <w:rPr>
          <w:rFonts w:hint="eastAsia" w:ascii="黑体" w:hAnsi="黑体" w:eastAsia="黑体"/>
          <w:b/>
          <w:color w:val="auto"/>
          <w:kern w:val="2"/>
          <w:sz w:val="36"/>
          <w:szCs w:val="21"/>
          <w:highlight w:val="none"/>
        </w:rPr>
      </w:pPr>
    </w:p>
    <w:p w14:paraId="09F76D4E">
      <w:pPr>
        <w:ind w:firstLine="1084" w:firstLineChars="300"/>
        <w:rPr>
          <w:rFonts w:hint="eastAsia" w:ascii="黑体" w:hAnsi="黑体" w:eastAsia="黑体"/>
          <w:b/>
          <w:color w:val="auto"/>
          <w:kern w:val="2"/>
          <w:sz w:val="36"/>
          <w:szCs w:val="21"/>
          <w:highlight w:val="none"/>
        </w:rPr>
      </w:pPr>
    </w:p>
    <w:p w14:paraId="29222E05">
      <w:pPr>
        <w:widowControl w:val="0"/>
        <w:jc w:val="both"/>
        <w:rPr>
          <w:rFonts w:hint="eastAsia" w:ascii="楷体_GB2312" w:hAnsi="Arial" w:eastAsia="楷体_GB2312" w:cs="Times New Roman"/>
          <w:color w:val="auto"/>
          <w:kern w:val="2"/>
          <w:sz w:val="28"/>
          <w:szCs w:val="20"/>
          <w:highlight w:val="none"/>
          <w:lang w:val="en-US" w:eastAsia="zh-CN" w:bidi="ar-SA"/>
        </w:rPr>
      </w:pPr>
    </w:p>
    <w:p w14:paraId="0F0BEA14">
      <w:pPr>
        <w:ind w:firstLine="1084" w:firstLineChars="300"/>
        <w:rPr>
          <w:rFonts w:hint="eastAsia" w:ascii="黑体" w:hAnsi="黑体" w:eastAsia="黑体"/>
          <w:b/>
          <w:color w:val="auto"/>
          <w:kern w:val="2"/>
          <w:sz w:val="36"/>
          <w:szCs w:val="21"/>
          <w:highlight w:val="none"/>
        </w:rPr>
      </w:pPr>
    </w:p>
    <w:p w14:paraId="23221E66">
      <w:pPr>
        <w:ind w:firstLine="1084" w:firstLineChars="300"/>
        <w:rPr>
          <w:rFonts w:hint="eastAsia" w:ascii="黑体" w:hAnsi="黑体" w:eastAsia="黑体"/>
          <w:b/>
          <w:color w:val="auto"/>
          <w:kern w:val="2"/>
          <w:sz w:val="36"/>
          <w:szCs w:val="21"/>
          <w:highlight w:val="none"/>
        </w:rPr>
      </w:pPr>
    </w:p>
    <w:p w14:paraId="17DDCB77">
      <w:pPr>
        <w:ind w:firstLine="1084" w:firstLineChars="300"/>
        <w:rPr>
          <w:rFonts w:hint="eastAsia" w:ascii="黑体" w:hAnsi="黑体" w:eastAsia="黑体"/>
          <w:b/>
          <w:color w:val="auto"/>
          <w:kern w:val="2"/>
          <w:sz w:val="36"/>
          <w:szCs w:val="21"/>
          <w:highlight w:val="none"/>
        </w:rPr>
      </w:pPr>
    </w:p>
    <w:p w14:paraId="6F2781DD">
      <w:pPr>
        <w:ind w:firstLine="1084" w:firstLineChars="300"/>
        <w:outlineLvl w:val="0"/>
        <w:rPr>
          <w:rFonts w:hint="eastAsia" w:ascii="黑体" w:hAnsi="黑体" w:eastAsia="黑体"/>
          <w:b/>
          <w:color w:val="auto"/>
          <w:kern w:val="2"/>
          <w:sz w:val="36"/>
          <w:szCs w:val="24"/>
          <w:highlight w:val="none"/>
        </w:rPr>
      </w:pPr>
      <w:bookmarkStart w:id="173" w:name="_Toc27999"/>
      <w:r>
        <w:rPr>
          <w:rFonts w:hint="eastAsia" w:ascii="黑体" w:hAnsi="黑体" w:eastAsia="黑体"/>
          <w:b/>
          <w:color w:val="auto"/>
          <w:kern w:val="2"/>
          <w:sz w:val="36"/>
          <w:szCs w:val="24"/>
          <w:highlight w:val="none"/>
        </w:rPr>
        <w:t>项 目 名 称：</w:t>
      </w:r>
      <w:bookmarkEnd w:id="173"/>
    </w:p>
    <w:p w14:paraId="092531BC">
      <w:pPr>
        <w:ind w:firstLine="1084" w:firstLineChars="300"/>
        <w:outlineLvl w:val="0"/>
        <w:rPr>
          <w:rFonts w:hint="eastAsia" w:ascii="黑体" w:hAnsi="黑体" w:eastAsia="黑体"/>
          <w:b/>
          <w:color w:val="auto"/>
          <w:kern w:val="2"/>
          <w:sz w:val="36"/>
          <w:szCs w:val="24"/>
          <w:highlight w:val="none"/>
        </w:rPr>
      </w:pPr>
      <w:bookmarkStart w:id="174" w:name="_Toc30388"/>
      <w:r>
        <w:rPr>
          <w:rFonts w:hint="eastAsia" w:ascii="黑体" w:hAnsi="黑体" w:eastAsia="黑体"/>
          <w:b/>
          <w:color w:val="auto"/>
          <w:kern w:val="2"/>
          <w:sz w:val="36"/>
          <w:szCs w:val="24"/>
          <w:highlight w:val="none"/>
        </w:rPr>
        <w:t>项 目 编 号：</w:t>
      </w:r>
      <w:bookmarkEnd w:id="174"/>
    </w:p>
    <w:p w14:paraId="2174FD0C">
      <w:pPr>
        <w:ind w:firstLine="1084" w:firstLineChars="300"/>
        <w:outlineLvl w:val="0"/>
        <w:rPr>
          <w:rFonts w:hint="eastAsia" w:ascii="黑体" w:hAnsi="黑体" w:eastAsia="黑体"/>
          <w:b/>
          <w:color w:val="auto"/>
          <w:kern w:val="2"/>
          <w:sz w:val="36"/>
          <w:szCs w:val="24"/>
          <w:highlight w:val="none"/>
          <w:lang w:val="en-US" w:eastAsia="zh-CN"/>
        </w:rPr>
      </w:pPr>
      <w:r>
        <w:rPr>
          <w:rFonts w:hint="eastAsia" w:ascii="黑体" w:hAnsi="黑体" w:eastAsia="黑体"/>
          <w:b/>
          <w:color w:val="auto"/>
          <w:kern w:val="2"/>
          <w:sz w:val="36"/>
          <w:szCs w:val="24"/>
          <w:highlight w:val="none"/>
          <w:lang w:val="en-US" w:eastAsia="zh-CN"/>
        </w:rPr>
        <w:t>分  包  号：</w:t>
      </w:r>
    </w:p>
    <w:p w14:paraId="54645FD5">
      <w:pPr>
        <w:ind w:firstLine="1084" w:firstLineChars="300"/>
        <w:outlineLvl w:val="0"/>
        <w:rPr>
          <w:rFonts w:hint="eastAsia" w:ascii="黑体" w:hAnsi="黑体" w:eastAsia="黑体"/>
          <w:b/>
          <w:color w:val="auto"/>
          <w:kern w:val="2"/>
          <w:sz w:val="36"/>
          <w:szCs w:val="24"/>
          <w:highlight w:val="none"/>
        </w:rPr>
      </w:pPr>
      <w:bookmarkStart w:id="175" w:name="_Toc27972"/>
      <w:r>
        <w:rPr>
          <w:rFonts w:hint="eastAsia" w:ascii="黑体" w:hAnsi="黑体" w:eastAsia="黑体"/>
          <w:b/>
          <w:color w:val="auto"/>
          <w:kern w:val="2"/>
          <w:sz w:val="36"/>
          <w:szCs w:val="24"/>
          <w:highlight w:val="none"/>
        </w:rPr>
        <w:t>供应商名称：</w:t>
      </w:r>
      <w:bookmarkEnd w:id="175"/>
      <w:r>
        <w:rPr>
          <w:rFonts w:hint="eastAsia" w:ascii="黑体" w:hAnsi="黑体" w:eastAsia="黑体"/>
          <w:b/>
          <w:color w:val="auto"/>
          <w:kern w:val="2"/>
          <w:sz w:val="36"/>
          <w:szCs w:val="24"/>
          <w:highlight w:val="none"/>
        </w:rPr>
        <w:t xml:space="preserve">               </w:t>
      </w:r>
    </w:p>
    <w:p w14:paraId="57B4ADE7">
      <w:pPr>
        <w:outlineLvl w:val="0"/>
        <w:rPr>
          <w:rFonts w:hint="eastAsia" w:ascii="黑体" w:hAnsi="黑体" w:eastAsia="黑体"/>
          <w:b/>
          <w:color w:val="auto"/>
          <w:kern w:val="2"/>
          <w:sz w:val="36"/>
          <w:szCs w:val="24"/>
          <w:highlight w:val="none"/>
        </w:rPr>
      </w:pPr>
      <w:r>
        <w:rPr>
          <w:rFonts w:hint="eastAsia" w:ascii="黑体" w:hAnsi="黑体" w:eastAsia="黑体"/>
          <w:b/>
          <w:color w:val="auto"/>
          <w:kern w:val="2"/>
          <w:sz w:val="36"/>
          <w:szCs w:val="24"/>
          <w:highlight w:val="none"/>
        </w:rPr>
        <w:t xml:space="preserve">      </w:t>
      </w:r>
      <w:bookmarkStart w:id="176" w:name="_Toc16599"/>
      <w:r>
        <w:rPr>
          <w:rFonts w:hint="eastAsia" w:ascii="黑体" w:hAnsi="黑体" w:eastAsia="黑体"/>
          <w:b/>
          <w:color w:val="auto"/>
          <w:kern w:val="2"/>
          <w:sz w:val="36"/>
          <w:szCs w:val="24"/>
          <w:highlight w:val="none"/>
        </w:rPr>
        <w:t>日       期：</w:t>
      </w:r>
      <w:bookmarkEnd w:id="176"/>
    </w:p>
    <w:p w14:paraId="73E5A497">
      <w:pPr>
        <w:widowControl w:val="0"/>
        <w:adjustRightInd w:val="0"/>
        <w:spacing w:before="120" w:after="120" w:line="360" w:lineRule="auto"/>
        <w:ind w:firstLine="2464" w:firstLineChars="770"/>
        <w:jc w:val="left"/>
        <w:textAlignment w:val="baseline"/>
        <w:rPr>
          <w:rFonts w:hint="eastAsia" w:ascii="宋体" w:hAnsi="宋体" w:eastAsia="宋体" w:cs="Times New Roman"/>
          <w:bCs/>
          <w:color w:val="auto"/>
          <w:kern w:val="2"/>
          <w:sz w:val="32"/>
          <w:szCs w:val="32"/>
          <w:highlight w:val="none"/>
          <w:lang w:val="en-US" w:eastAsia="zh-CN" w:bidi="ar-SA"/>
        </w:rPr>
      </w:pPr>
    </w:p>
    <w:p w14:paraId="62FBDF13">
      <w:pPr>
        <w:rPr>
          <w:rFonts w:hint="eastAsia" w:ascii="宋体" w:hAnsi="宋体"/>
          <w:b/>
          <w:bCs/>
          <w:color w:val="auto"/>
          <w:kern w:val="2"/>
          <w:sz w:val="24"/>
          <w:szCs w:val="24"/>
          <w:highlight w:val="none"/>
        </w:rPr>
      </w:pPr>
      <w:bookmarkStart w:id="177" w:name="_Toc4997"/>
      <w:r>
        <w:rPr>
          <w:rFonts w:hint="eastAsia" w:ascii="宋体" w:hAnsi="宋体"/>
          <w:b/>
          <w:bCs/>
          <w:color w:val="auto"/>
          <w:kern w:val="2"/>
          <w:sz w:val="24"/>
          <w:szCs w:val="24"/>
          <w:highlight w:val="none"/>
        </w:rPr>
        <w:br w:type="page"/>
      </w:r>
    </w:p>
    <w:p w14:paraId="0D3A7447">
      <w:pPr>
        <w:spacing w:line="440" w:lineRule="exact"/>
        <w:jc w:val="center"/>
        <w:outlineLvl w:val="0"/>
        <w:rPr>
          <w:rFonts w:hint="eastAsia" w:ascii="宋体" w:hAnsi="宋体"/>
          <w:b/>
          <w:bCs/>
          <w:color w:val="auto"/>
          <w:kern w:val="2"/>
          <w:sz w:val="24"/>
          <w:szCs w:val="24"/>
          <w:highlight w:val="none"/>
        </w:rPr>
      </w:pPr>
      <w:r>
        <w:rPr>
          <w:rFonts w:hint="eastAsia" w:ascii="宋体" w:hAnsi="宋体"/>
          <w:b/>
          <w:bCs/>
          <w:color w:val="auto"/>
          <w:kern w:val="2"/>
          <w:sz w:val="24"/>
          <w:szCs w:val="24"/>
          <w:highlight w:val="none"/>
        </w:rPr>
        <w:t>响应文件主要目录</w:t>
      </w:r>
      <w:bookmarkEnd w:id="177"/>
    </w:p>
    <w:p w14:paraId="4AE0808F">
      <w:pPr>
        <w:spacing w:line="560" w:lineRule="exact"/>
        <w:jc w:val="center"/>
        <w:rPr>
          <w:rFonts w:hint="eastAsia" w:ascii="宋体" w:hAnsi="宋体"/>
          <w:b/>
          <w:bCs/>
          <w:color w:val="auto"/>
          <w:kern w:val="2"/>
          <w:sz w:val="24"/>
          <w:szCs w:val="24"/>
          <w:highlight w:val="none"/>
        </w:rPr>
      </w:pPr>
    </w:p>
    <w:p w14:paraId="0C199500">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一、资格性和符合性检查响应对照表</w:t>
      </w:r>
    </w:p>
    <w:p w14:paraId="2295530C">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lang w:val="en-US" w:eastAsia="zh-CN"/>
        </w:rPr>
        <w:t>二</w:t>
      </w:r>
      <w:r>
        <w:rPr>
          <w:rFonts w:hint="eastAsia" w:ascii="宋体" w:hAnsi="宋体" w:eastAsia="宋体" w:cs="Times New Roman"/>
          <w:color w:val="auto"/>
          <w:kern w:val="2"/>
          <w:sz w:val="24"/>
          <w:szCs w:val="24"/>
          <w:highlight w:val="none"/>
        </w:rPr>
        <w:t>、资格、资信证明文件</w:t>
      </w:r>
    </w:p>
    <w:p w14:paraId="747283F9">
      <w:pPr>
        <w:spacing w:line="440" w:lineRule="exact"/>
        <w:ind w:firstLine="480" w:firstLineChars="200"/>
        <w:rPr>
          <w:rFonts w:hint="eastAsia" w:ascii="宋体" w:hAnsi="宋体" w:eastAsia="宋体" w:cs="Times New Roman"/>
          <w:color w:val="auto"/>
          <w:kern w:val="2"/>
          <w:sz w:val="24"/>
          <w:szCs w:val="24"/>
          <w:highlight w:val="none"/>
          <w:lang w:val="en-US" w:eastAsia="zh-CN"/>
        </w:rPr>
      </w:pPr>
      <w:r>
        <w:rPr>
          <w:rFonts w:hint="eastAsia" w:ascii="宋体" w:hAnsi="宋体" w:eastAsia="宋体" w:cs="Times New Roman"/>
          <w:color w:val="auto"/>
          <w:kern w:val="2"/>
          <w:sz w:val="24"/>
          <w:szCs w:val="24"/>
          <w:highlight w:val="none"/>
          <w:lang w:val="en-US" w:eastAsia="zh-CN"/>
        </w:rPr>
        <w:t>三、法定代表人（负责人）授权书</w:t>
      </w:r>
    </w:p>
    <w:p w14:paraId="68465A95">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lang w:val="en-US" w:eastAsia="zh-CN"/>
        </w:rPr>
        <w:t>四</w:t>
      </w:r>
      <w:r>
        <w:rPr>
          <w:rFonts w:hint="eastAsia" w:ascii="宋体" w:hAnsi="宋体" w:eastAsia="宋体" w:cs="Times New Roman"/>
          <w:color w:val="auto"/>
          <w:kern w:val="2"/>
          <w:sz w:val="24"/>
          <w:szCs w:val="24"/>
          <w:highlight w:val="none"/>
        </w:rPr>
        <w:t>、谈判响应函</w:t>
      </w:r>
    </w:p>
    <w:p w14:paraId="52028062">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lang w:val="en-US" w:eastAsia="zh-CN"/>
        </w:rPr>
        <w:t>五</w:t>
      </w:r>
      <w:r>
        <w:rPr>
          <w:rFonts w:hint="eastAsia" w:ascii="宋体" w:hAnsi="宋体" w:eastAsia="宋体" w:cs="Times New Roman"/>
          <w:color w:val="auto"/>
          <w:kern w:val="2"/>
          <w:sz w:val="24"/>
          <w:szCs w:val="24"/>
          <w:highlight w:val="none"/>
        </w:rPr>
        <w:t>、谈判响应报价表</w:t>
      </w:r>
    </w:p>
    <w:p w14:paraId="3E134BE6">
      <w:pPr>
        <w:spacing w:line="440" w:lineRule="exact"/>
        <w:ind w:firstLine="480" w:firstLineChars="200"/>
        <w:rPr>
          <w:rFonts w:hint="default" w:ascii="宋体" w:hAnsi="宋体" w:eastAsia="宋体" w:cs="Times New Roman"/>
          <w:color w:val="auto"/>
          <w:kern w:val="2"/>
          <w:sz w:val="24"/>
          <w:szCs w:val="24"/>
          <w:highlight w:val="none"/>
          <w:lang w:val="en-US" w:eastAsia="zh-CN"/>
        </w:rPr>
      </w:pPr>
      <w:r>
        <w:rPr>
          <w:rFonts w:hint="eastAsia" w:ascii="宋体" w:hAnsi="宋体" w:cs="Times New Roman"/>
          <w:color w:val="auto"/>
          <w:kern w:val="2"/>
          <w:sz w:val="24"/>
          <w:szCs w:val="24"/>
          <w:highlight w:val="none"/>
          <w:lang w:val="en-US" w:eastAsia="zh-CN"/>
        </w:rPr>
        <w:t>六、联合体协议（如有）</w:t>
      </w:r>
    </w:p>
    <w:p w14:paraId="1BBDE398">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七</w:t>
      </w:r>
      <w:r>
        <w:rPr>
          <w:rFonts w:hint="eastAsia" w:ascii="宋体" w:hAnsi="宋体" w:eastAsia="宋体" w:cs="Times New Roman"/>
          <w:color w:val="auto"/>
          <w:kern w:val="2"/>
          <w:sz w:val="24"/>
          <w:szCs w:val="24"/>
          <w:highlight w:val="none"/>
        </w:rPr>
        <w:t>、技术条款响应及偏离表</w:t>
      </w:r>
    </w:p>
    <w:p w14:paraId="54AD9AE5">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八</w:t>
      </w:r>
      <w:r>
        <w:rPr>
          <w:rFonts w:hint="eastAsia" w:ascii="宋体" w:hAnsi="宋体" w:eastAsia="宋体" w:cs="Times New Roman"/>
          <w:color w:val="auto"/>
          <w:kern w:val="2"/>
          <w:sz w:val="24"/>
          <w:szCs w:val="24"/>
          <w:highlight w:val="none"/>
        </w:rPr>
        <w:t>、商务条款响应及偏离表</w:t>
      </w:r>
    </w:p>
    <w:p w14:paraId="4F8A3D1E">
      <w:pPr>
        <w:spacing w:line="440" w:lineRule="exact"/>
        <w:ind w:firstLine="480" w:firstLineChars="200"/>
        <w:rPr>
          <w:rFonts w:hint="eastAsia" w:ascii="宋体" w:hAnsi="宋体" w:eastAsia="宋体" w:cs="Times New Roman"/>
          <w:color w:val="auto"/>
          <w:kern w:val="2"/>
          <w:sz w:val="24"/>
          <w:szCs w:val="24"/>
          <w:highlight w:val="none"/>
        </w:rPr>
      </w:pPr>
      <w:r>
        <w:rPr>
          <w:rFonts w:hint="eastAsia" w:ascii="宋体" w:hAnsi="宋体" w:cs="Times New Roman"/>
          <w:color w:val="auto"/>
          <w:kern w:val="2"/>
          <w:sz w:val="24"/>
          <w:szCs w:val="24"/>
          <w:highlight w:val="none"/>
          <w:lang w:val="en-US" w:eastAsia="zh-CN"/>
        </w:rPr>
        <w:t>九</w:t>
      </w:r>
      <w:r>
        <w:rPr>
          <w:rFonts w:hint="eastAsia" w:ascii="宋体" w:hAnsi="宋体" w:eastAsia="宋体" w:cs="Times New Roman"/>
          <w:color w:val="auto"/>
          <w:kern w:val="2"/>
          <w:sz w:val="24"/>
          <w:szCs w:val="24"/>
          <w:highlight w:val="none"/>
        </w:rPr>
        <w:t>、服务方案</w:t>
      </w:r>
    </w:p>
    <w:p w14:paraId="05F6D98D">
      <w:pPr>
        <w:spacing w:line="560" w:lineRule="exact"/>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rPr>
        <w:t>……</w:t>
      </w:r>
    </w:p>
    <w:p w14:paraId="200A5205">
      <w:pPr>
        <w:spacing w:line="440" w:lineRule="exact"/>
        <w:ind w:firstLine="480" w:firstLineChars="200"/>
        <w:rPr>
          <w:rFonts w:hint="default" w:ascii="宋体" w:hAnsi="宋体"/>
          <w:color w:val="auto"/>
          <w:kern w:val="2"/>
          <w:sz w:val="24"/>
          <w:szCs w:val="24"/>
          <w:highlight w:val="none"/>
        </w:rPr>
      </w:pPr>
    </w:p>
    <w:p w14:paraId="1EDB729B">
      <w:pPr>
        <w:rPr>
          <w:rFonts w:hint="default" w:ascii="宋体" w:hAnsi="宋体"/>
          <w:b/>
          <w:color w:val="auto"/>
          <w:kern w:val="2"/>
          <w:sz w:val="24"/>
          <w:szCs w:val="24"/>
          <w:highlight w:val="none"/>
        </w:rPr>
      </w:pPr>
    </w:p>
    <w:p w14:paraId="52FCAB90">
      <w:pPr>
        <w:rPr>
          <w:rFonts w:hint="default" w:ascii="宋体" w:hAnsi="宋体"/>
          <w:b/>
          <w:color w:val="auto"/>
          <w:kern w:val="2"/>
          <w:sz w:val="24"/>
          <w:szCs w:val="24"/>
          <w:highlight w:val="none"/>
        </w:rPr>
      </w:pPr>
    </w:p>
    <w:p w14:paraId="56254886">
      <w:pPr>
        <w:rPr>
          <w:rFonts w:hint="default" w:ascii="宋体" w:hAnsi="宋体"/>
          <w:b/>
          <w:color w:val="auto"/>
          <w:kern w:val="2"/>
          <w:sz w:val="24"/>
          <w:szCs w:val="24"/>
          <w:highlight w:val="none"/>
        </w:rPr>
      </w:pPr>
    </w:p>
    <w:p w14:paraId="06543AC1">
      <w:pPr>
        <w:rPr>
          <w:rFonts w:hint="default" w:ascii="宋体" w:hAnsi="宋体"/>
          <w:b/>
          <w:color w:val="auto"/>
          <w:kern w:val="2"/>
          <w:sz w:val="24"/>
          <w:szCs w:val="24"/>
          <w:highlight w:val="none"/>
        </w:rPr>
      </w:pPr>
    </w:p>
    <w:p w14:paraId="2337A0E7">
      <w:pPr>
        <w:rPr>
          <w:rFonts w:hint="default" w:ascii="宋体" w:hAnsi="宋体"/>
          <w:b/>
          <w:color w:val="auto"/>
          <w:kern w:val="2"/>
          <w:sz w:val="24"/>
          <w:szCs w:val="24"/>
          <w:highlight w:val="none"/>
        </w:rPr>
      </w:pPr>
    </w:p>
    <w:p w14:paraId="18F7FC19">
      <w:pPr>
        <w:rPr>
          <w:rFonts w:hint="default" w:ascii="宋体" w:hAnsi="宋体"/>
          <w:b/>
          <w:color w:val="auto"/>
          <w:kern w:val="2"/>
          <w:sz w:val="24"/>
          <w:szCs w:val="24"/>
          <w:highlight w:val="none"/>
        </w:rPr>
      </w:pPr>
    </w:p>
    <w:p w14:paraId="5F57B2D5">
      <w:pPr>
        <w:rPr>
          <w:rFonts w:hint="default" w:ascii="宋体" w:hAnsi="宋体"/>
          <w:b/>
          <w:color w:val="auto"/>
          <w:kern w:val="2"/>
          <w:sz w:val="24"/>
          <w:szCs w:val="24"/>
          <w:highlight w:val="none"/>
        </w:rPr>
      </w:pPr>
    </w:p>
    <w:p w14:paraId="08A2A1EF">
      <w:pPr>
        <w:rPr>
          <w:rFonts w:hint="default" w:ascii="宋体" w:hAnsi="宋体"/>
          <w:b/>
          <w:color w:val="auto"/>
          <w:kern w:val="2"/>
          <w:sz w:val="24"/>
          <w:szCs w:val="24"/>
          <w:highlight w:val="none"/>
        </w:rPr>
      </w:pPr>
    </w:p>
    <w:p w14:paraId="1D054EBD">
      <w:pPr>
        <w:rPr>
          <w:rFonts w:hint="default" w:ascii="宋体" w:hAnsi="宋体"/>
          <w:b/>
          <w:color w:val="auto"/>
          <w:kern w:val="2"/>
          <w:sz w:val="24"/>
          <w:szCs w:val="24"/>
          <w:highlight w:val="none"/>
        </w:rPr>
      </w:pPr>
    </w:p>
    <w:p w14:paraId="3BEE8F28">
      <w:pPr>
        <w:rPr>
          <w:rFonts w:hint="default" w:ascii="宋体" w:hAnsi="宋体"/>
          <w:b/>
          <w:color w:val="auto"/>
          <w:kern w:val="2"/>
          <w:sz w:val="24"/>
          <w:szCs w:val="24"/>
          <w:highlight w:val="none"/>
        </w:rPr>
      </w:pPr>
    </w:p>
    <w:p w14:paraId="070E6F95">
      <w:pPr>
        <w:rPr>
          <w:rFonts w:hint="default" w:ascii="宋体" w:hAnsi="宋体"/>
          <w:b/>
          <w:color w:val="auto"/>
          <w:kern w:val="2"/>
          <w:sz w:val="24"/>
          <w:szCs w:val="24"/>
          <w:highlight w:val="none"/>
        </w:rPr>
      </w:pPr>
    </w:p>
    <w:p w14:paraId="2C7A7ECF">
      <w:pPr>
        <w:rPr>
          <w:rFonts w:hint="default" w:ascii="宋体" w:hAnsi="宋体"/>
          <w:b/>
          <w:color w:val="auto"/>
          <w:kern w:val="2"/>
          <w:sz w:val="24"/>
          <w:szCs w:val="24"/>
          <w:highlight w:val="none"/>
        </w:rPr>
      </w:pPr>
    </w:p>
    <w:p w14:paraId="22024A93">
      <w:pPr>
        <w:rPr>
          <w:rFonts w:hint="default" w:ascii="宋体" w:hAnsi="宋体"/>
          <w:b/>
          <w:color w:val="auto"/>
          <w:kern w:val="2"/>
          <w:sz w:val="24"/>
          <w:szCs w:val="24"/>
          <w:highlight w:val="none"/>
        </w:rPr>
      </w:pPr>
    </w:p>
    <w:p w14:paraId="79DF33C2">
      <w:pPr>
        <w:rPr>
          <w:rFonts w:hint="default" w:ascii="宋体" w:hAnsi="宋体"/>
          <w:b/>
          <w:color w:val="auto"/>
          <w:kern w:val="2"/>
          <w:sz w:val="24"/>
          <w:szCs w:val="24"/>
          <w:highlight w:val="none"/>
        </w:rPr>
      </w:pPr>
    </w:p>
    <w:p w14:paraId="2D09DF39">
      <w:pPr>
        <w:rPr>
          <w:rFonts w:hint="default" w:ascii="宋体" w:hAnsi="宋体"/>
          <w:b/>
          <w:color w:val="auto"/>
          <w:kern w:val="2"/>
          <w:sz w:val="24"/>
          <w:szCs w:val="24"/>
          <w:highlight w:val="none"/>
        </w:rPr>
      </w:pPr>
    </w:p>
    <w:p w14:paraId="6AE9EDEE">
      <w:pPr>
        <w:rPr>
          <w:rFonts w:hint="eastAsia" w:ascii="宋体" w:hAnsi="宋体" w:eastAsia="宋体" w:cs="宋体"/>
          <w:b/>
          <w:bCs/>
          <w:color w:val="auto"/>
          <w:kern w:val="2"/>
          <w:sz w:val="32"/>
          <w:szCs w:val="32"/>
          <w:highlight w:val="none"/>
          <w:lang w:val="zh-CN" w:eastAsia="zh-CN" w:bidi="ar-SA"/>
        </w:rPr>
      </w:pPr>
      <w:bookmarkStart w:id="178" w:name="_Toc6584"/>
      <w:r>
        <w:rPr>
          <w:rFonts w:hint="eastAsia" w:ascii="宋体" w:hAnsi="宋体" w:eastAsia="宋体" w:cs="宋体"/>
          <w:b/>
          <w:bCs/>
          <w:color w:val="auto"/>
          <w:kern w:val="2"/>
          <w:sz w:val="32"/>
          <w:szCs w:val="32"/>
          <w:highlight w:val="none"/>
          <w:lang w:val="zh-CN" w:eastAsia="zh-CN" w:bidi="ar-SA"/>
        </w:rPr>
        <w:br w:type="page"/>
      </w:r>
    </w:p>
    <w:p w14:paraId="66BD2310">
      <w:pPr>
        <w:keepNext/>
        <w:keepLines/>
        <w:widowControl w:val="0"/>
        <w:kinsoku w:val="0"/>
        <w:overflowPunct w:val="0"/>
        <w:spacing w:before="26" w:after="64" w:line="400" w:lineRule="exact"/>
        <w:ind w:left="535" w:right="187" w:rightChars="89" w:firstLine="2239"/>
        <w:jc w:val="left"/>
        <w:outlineLvl w:val="6"/>
        <w:rPr>
          <w:rFonts w:ascii="宋体" w:hAnsi="宋体" w:eastAsia="宋体" w:cs="Times New Roman"/>
          <w:b/>
          <w:bCs w:val="0"/>
          <w:color w:val="auto"/>
          <w:kern w:val="2"/>
          <w:sz w:val="24"/>
          <w:szCs w:val="24"/>
          <w:highlight w:val="none"/>
          <w:lang w:val="zh-CN" w:eastAsia="zh-CN" w:bidi="ar-SA"/>
        </w:rPr>
      </w:pPr>
      <w:r>
        <w:rPr>
          <w:rFonts w:hint="eastAsia" w:ascii="宋体" w:hAnsi="宋体" w:eastAsia="宋体" w:cs="宋体"/>
          <w:b/>
          <w:bCs/>
          <w:color w:val="auto"/>
          <w:kern w:val="2"/>
          <w:sz w:val="32"/>
          <w:szCs w:val="32"/>
          <w:highlight w:val="none"/>
          <w:lang w:val="zh-CN" w:eastAsia="zh-CN" w:bidi="ar-SA"/>
        </w:rPr>
        <w:t>一、</w:t>
      </w:r>
      <w:bookmarkEnd w:id="178"/>
      <w:r>
        <w:rPr>
          <w:rFonts w:hint="eastAsia" w:ascii="宋体" w:hAnsi="宋体" w:eastAsia="宋体" w:cs="Times New Roman"/>
          <w:b/>
          <w:bCs w:val="0"/>
          <w:color w:val="auto"/>
          <w:kern w:val="2"/>
          <w:sz w:val="28"/>
          <w:szCs w:val="28"/>
          <w:highlight w:val="none"/>
          <w:lang w:val="en-US" w:eastAsia="zh-CN" w:bidi="ar-SA"/>
        </w:rPr>
        <w:t>资格性和符合性检查响应对照表</w:t>
      </w:r>
    </w:p>
    <w:p w14:paraId="4C3FA9E9">
      <w:pPr>
        <w:widowControl w:val="0"/>
        <w:kinsoku w:val="0"/>
        <w:overflowPunct w:val="0"/>
        <w:spacing w:before="162" w:line="400" w:lineRule="exact"/>
        <w:ind w:left="535" w:right="187" w:rightChars="89"/>
        <w:jc w:val="both"/>
        <w:rPr>
          <w:rFonts w:ascii="楷体_GB2312" w:hAnsi="Arial" w:eastAsia="楷体_GB2312" w:cs="Times New Roman"/>
          <w:color w:val="auto"/>
          <w:spacing w:val="-10"/>
          <w:kern w:val="2"/>
          <w:sz w:val="28"/>
          <w:szCs w:val="21"/>
          <w:highlight w:val="none"/>
          <w:lang w:val="en-US" w:eastAsia="zh-CN" w:bidi="ar-SA"/>
        </w:rPr>
      </w:pPr>
    </w:p>
    <w:tbl>
      <w:tblPr>
        <w:tblStyle w:val="50"/>
        <w:tblW w:w="9197" w:type="dxa"/>
        <w:jc w:val="center"/>
        <w:tblLayout w:type="fixed"/>
        <w:tblCellMar>
          <w:top w:w="0" w:type="dxa"/>
          <w:left w:w="0" w:type="dxa"/>
          <w:bottom w:w="0" w:type="dxa"/>
          <w:right w:w="0" w:type="dxa"/>
        </w:tblCellMar>
      </w:tblPr>
      <w:tblGrid>
        <w:gridCol w:w="908"/>
        <w:gridCol w:w="3931"/>
        <w:gridCol w:w="2523"/>
        <w:gridCol w:w="1835"/>
      </w:tblGrid>
      <w:tr w14:paraId="7D12E6EA">
        <w:tblPrEx>
          <w:tblCellMar>
            <w:top w:w="0" w:type="dxa"/>
            <w:left w:w="0" w:type="dxa"/>
            <w:bottom w:w="0" w:type="dxa"/>
            <w:right w:w="0" w:type="dxa"/>
          </w:tblCellMar>
        </w:tblPrEx>
        <w:trPr>
          <w:trHeight w:val="1026"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77C42952">
            <w:pPr>
              <w:pStyle w:val="276"/>
              <w:kinsoku w:val="0"/>
              <w:overflowPunct w:val="0"/>
              <w:adjustRightInd w:val="0"/>
              <w:snapToGrid w:val="0"/>
              <w:spacing w:before="12" w:line="360" w:lineRule="auto"/>
              <w:ind w:right="187" w:rightChars="89"/>
              <w:jc w:val="center"/>
              <w:rPr>
                <w:rFonts w:hint="default"/>
                <w:color w:val="auto"/>
                <w:sz w:val="24"/>
                <w:szCs w:val="24"/>
                <w:highlight w:val="none"/>
              </w:rPr>
            </w:pPr>
            <w:r>
              <w:rPr>
                <w:rFonts w:hint="eastAsia"/>
                <w:b/>
                <w:bCs/>
                <w:color w:val="auto"/>
                <w:sz w:val="24"/>
                <w:szCs w:val="24"/>
                <w:highlight w:val="none"/>
              </w:rPr>
              <w:t>序号</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5E210E5D">
            <w:pPr>
              <w:pStyle w:val="276"/>
              <w:kinsoku w:val="0"/>
              <w:overflowPunct w:val="0"/>
              <w:adjustRightInd w:val="0"/>
              <w:snapToGrid w:val="0"/>
              <w:spacing w:before="12" w:line="360" w:lineRule="auto"/>
              <w:ind w:right="187" w:rightChars="89"/>
              <w:jc w:val="center"/>
              <w:rPr>
                <w:rFonts w:hint="default"/>
                <w:color w:val="auto"/>
                <w:sz w:val="24"/>
                <w:szCs w:val="24"/>
                <w:highlight w:val="none"/>
              </w:rPr>
            </w:pPr>
            <w:r>
              <w:rPr>
                <w:rFonts w:hint="eastAsia"/>
                <w:b/>
                <w:bCs/>
                <w:color w:val="auto"/>
                <w:sz w:val="24"/>
                <w:szCs w:val="24"/>
                <w:highlight w:val="none"/>
              </w:rPr>
              <w:t>资格性和符合性检查响应内容</w:t>
            </w: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0A0C2B28">
            <w:pPr>
              <w:pStyle w:val="276"/>
              <w:kinsoku w:val="0"/>
              <w:overflowPunct w:val="0"/>
              <w:adjustRightInd w:val="0"/>
              <w:snapToGrid w:val="0"/>
              <w:spacing w:before="91" w:line="360" w:lineRule="auto"/>
              <w:jc w:val="center"/>
              <w:rPr>
                <w:rFonts w:hint="default"/>
                <w:b/>
                <w:bCs/>
                <w:color w:val="auto"/>
                <w:sz w:val="24"/>
                <w:szCs w:val="24"/>
                <w:highlight w:val="none"/>
              </w:rPr>
            </w:pPr>
            <w:r>
              <w:rPr>
                <w:rFonts w:hint="eastAsia"/>
                <w:b/>
                <w:bCs/>
                <w:color w:val="auto"/>
                <w:sz w:val="24"/>
                <w:szCs w:val="24"/>
                <w:highlight w:val="none"/>
              </w:rPr>
              <w:t>是否响应</w:t>
            </w:r>
          </w:p>
          <w:p w14:paraId="5BC51F71">
            <w:pPr>
              <w:pStyle w:val="276"/>
              <w:kinsoku w:val="0"/>
              <w:overflowPunct w:val="0"/>
              <w:adjustRightInd w:val="0"/>
              <w:snapToGrid w:val="0"/>
              <w:spacing w:before="91" w:line="360" w:lineRule="auto"/>
              <w:jc w:val="center"/>
              <w:rPr>
                <w:rFonts w:hint="default"/>
                <w:color w:val="auto"/>
                <w:sz w:val="24"/>
                <w:szCs w:val="24"/>
                <w:highlight w:val="none"/>
              </w:rPr>
            </w:pPr>
            <w:r>
              <w:rPr>
                <w:rFonts w:hint="eastAsia"/>
                <w:b/>
                <w:bCs/>
                <w:color w:val="auto"/>
                <w:sz w:val="24"/>
                <w:szCs w:val="24"/>
                <w:highlight w:val="none"/>
              </w:rPr>
              <w:t>（填是或者否）</w:t>
            </w: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3CE35931">
            <w:pPr>
              <w:pStyle w:val="276"/>
              <w:kinsoku w:val="0"/>
              <w:overflowPunct w:val="0"/>
              <w:adjustRightInd w:val="0"/>
              <w:snapToGrid w:val="0"/>
              <w:spacing w:before="124" w:line="360" w:lineRule="auto"/>
              <w:ind w:right="36" w:rightChars="17"/>
              <w:jc w:val="center"/>
              <w:rPr>
                <w:rFonts w:hint="default"/>
                <w:color w:val="auto"/>
                <w:sz w:val="24"/>
                <w:szCs w:val="24"/>
                <w:highlight w:val="none"/>
              </w:rPr>
            </w:pPr>
            <w:r>
              <w:rPr>
                <w:rFonts w:hint="eastAsia"/>
                <w:b/>
                <w:bCs/>
                <w:color w:val="auto"/>
                <w:sz w:val="24"/>
                <w:szCs w:val="24"/>
                <w:highlight w:val="none"/>
                <w:lang w:eastAsia="zh-CN"/>
              </w:rPr>
              <w:t>响应文件</w:t>
            </w:r>
            <w:r>
              <w:rPr>
                <w:rFonts w:hint="eastAsia"/>
                <w:b/>
                <w:bCs/>
                <w:color w:val="auto"/>
                <w:sz w:val="24"/>
                <w:szCs w:val="24"/>
                <w:highlight w:val="none"/>
              </w:rPr>
              <w:t>中的页码位置</w:t>
            </w:r>
          </w:p>
        </w:tc>
      </w:tr>
      <w:tr w14:paraId="17551E7E">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4D88C622">
            <w:pPr>
              <w:pStyle w:val="276"/>
              <w:kinsoku w:val="0"/>
              <w:overflowPunct w:val="0"/>
              <w:adjustRightInd w:val="0"/>
              <w:snapToGrid w:val="0"/>
              <w:spacing w:before="87" w:line="360" w:lineRule="auto"/>
              <w:ind w:right="187" w:rightChars="89"/>
              <w:jc w:val="center"/>
              <w:rPr>
                <w:rFonts w:hint="default"/>
                <w:color w:val="auto"/>
                <w:sz w:val="24"/>
                <w:szCs w:val="24"/>
                <w:highlight w:val="none"/>
              </w:rPr>
            </w:pPr>
            <w:r>
              <w:rPr>
                <w:rFonts w:hint="default"/>
                <w:iCs/>
                <w:color w:val="auto"/>
                <w:w w:val="96"/>
                <w:sz w:val="24"/>
                <w:szCs w:val="24"/>
                <w:highlight w:val="none"/>
              </w:rPr>
              <w:t>1</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5D11F417">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4DC965D5">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577DD1EA">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47E33D3C">
        <w:tblPrEx>
          <w:tblCellMar>
            <w:top w:w="0" w:type="dxa"/>
            <w:left w:w="0" w:type="dxa"/>
            <w:bottom w:w="0" w:type="dxa"/>
            <w:right w:w="0" w:type="dxa"/>
          </w:tblCellMar>
        </w:tblPrEx>
        <w:trPr>
          <w:trHeight w:val="554"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50232371">
            <w:pPr>
              <w:pStyle w:val="276"/>
              <w:kinsoku w:val="0"/>
              <w:overflowPunct w:val="0"/>
              <w:adjustRightInd w:val="0"/>
              <w:snapToGrid w:val="0"/>
              <w:spacing w:before="87" w:line="360" w:lineRule="auto"/>
              <w:ind w:right="187" w:rightChars="89"/>
              <w:jc w:val="center"/>
              <w:rPr>
                <w:rFonts w:hint="default"/>
                <w:color w:val="auto"/>
                <w:sz w:val="24"/>
                <w:szCs w:val="24"/>
                <w:highlight w:val="none"/>
              </w:rPr>
            </w:pPr>
            <w:r>
              <w:rPr>
                <w:rFonts w:hint="default"/>
                <w:iCs/>
                <w:color w:val="auto"/>
                <w:w w:val="96"/>
                <w:sz w:val="24"/>
                <w:szCs w:val="24"/>
                <w:highlight w:val="none"/>
              </w:rPr>
              <w:t>2</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33668121">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67E8D1EA">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4A39F1CE">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458A5267">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728D4E36">
            <w:pPr>
              <w:pStyle w:val="276"/>
              <w:kinsoku w:val="0"/>
              <w:overflowPunct w:val="0"/>
              <w:adjustRightInd w:val="0"/>
              <w:snapToGrid w:val="0"/>
              <w:spacing w:before="87" w:line="360" w:lineRule="auto"/>
              <w:ind w:right="187" w:rightChars="89"/>
              <w:jc w:val="center"/>
              <w:rPr>
                <w:rFonts w:hint="default"/>
                <w:color w:val="auto"/>
                <w:sz w:val="24"/>
                <w:szCs w:val="24"/>
                <w:highlight w:val="none"/>
              </w:rPr>
            </w:pPr>
            <w:r>
              <w:rPr>
                <w:rFonts w:hint="default"/>
                <w:iCs/>
                <w:color w:val="auto"/>
                <w:w w:val="95"/>
                <w:sz w:val="24"/>
                <w:szCs w:val="24"/>
                <w:highlight w:val="none"/>
              </w:rPr>
              <w:t>3</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3BD93CB4">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498606E9">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363EDE7E">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0E3581EF">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364D194D">
            <w:pPr>
              <w:pStyle w:val="276"/>
              <w:kinsoku w:val="0"/>
              <w:overflowPunct w:val="0"/>
              <w:adjustRightInd w:val="0"/>
              <w:snapToGrid w:val="0"/>
              <w:spacing w:before="87" w:line="360" w:lineRule="auto"/>
              <w:ind w:right="187" w:rightChars="89"/>
              <w:jc w:val="center"/>
              <w:rPr>
                <w:rFonts w:hint="default"/>
                <w:color w:val="auto"/>
                <w:sz w:val="24"/>
                <w:szCs w:val="24"/>
                <w:highlight w:val="none"/>
              </w:rPr>
            </w:pPr>
            <w:r>
              <w:rPr>
                <w:rFonts w:hint="default"/>
                <w:iCs/>
                <w:color w:val="auto"/>
                <w:w w:val="95"/>
                <w:sz w:val="24"/>
                <w:szCs w:val="24"/>
                <w:highlight w:val="none"/>
              </w:rPr>
              <w:t>4</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3A34F3E1">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4E964592">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3B246C28">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4EE6D09C">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7C40F229">
            <w:pPr>
              <w:pStyle w:val="276"/>
              <w:kinsoku w:val="0"/>
              <w:overflowPunct w:val="0"/>
              <w:adjustRightInd w:val="0"/>
              <w:snapToGrid w:val="0"/>
              <w:spacing w:before="87" w:line="360" w:lineRule="auto"/>
              <w:ind w:right="187" w:rightChars="89"/>
              <w:jc w:val="center"/>
              <w:rPr>
                <w:rFonts w:hint="default"/>
                <w:color w:val="auto"/>
                <w:sz w:val="24"/>
                <w:szCs w:val="24"/>
                <w:highlight w:val="none"/>
              </w:rPr>
            </w:pPr>
            <w:r>
              <w:rPr>
                <w:rFonts w:hint="default"/>
                <w:iCs/>
                <w:color w:val="auto"/>
                <w:w w:val="95"/>
                <w:sz w:val="24"/>
                <w:szCs w:val="24"/>
                <w:highlight w:val="none"/>
              </w:rPr>
              <w:t>5</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753CF1EC">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000A6039">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4D02D8C4">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68BA0E61">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713C8FD5">
            <w:pPr>
              <w:pStyle w:val="276"/>
              <w:kinsoku w:val="0"/>
              <w:overflowPunct w:val="0"/>
              <w:adjustRightInd w:val="0"/>
              <w:snapToGrid w:val="0"/>
              <w:spacing w:before="87" w:line="360" w:lineRule="auto"/>
              <w:ind w:right="187" w:rightChars="89"/>
              <w:jc w:val="center"/>
              <w:rPr>
                <w:rFonts w:hint="default"/>
                <w:color w:val="auto"/>
                <w:sz w:val="24"/>
                <w:szCs w:val="24"/>
                <w:highlight w:val="none"/>
              </w:rPr>
            </w:pPr>
            <w:r>
              <w:rPr>
                <w:rFonts w:hint="default"/>
                <w:iCs/>
                <w:color w:val="auto"/>
                <w:w w:val="95"/>
                <w:sz w:val="24"/>
                <w:szCs w:val="24"/>
                <w:highlight w:val="none"/>
              </w:rPr>
              <w:t>6</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3BB74FD2">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2B142A1D">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4C00D2AC">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2A3FB28F">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21B0981F">
            <w:pPr>
              <w:pStyle w:val="276"/>
              <w:kinsoku w:val="0"/>
              <w:overflowPunct w:val="0"/>
              <w:adjustRightInd w:val="0"/>
              <w:snapToGrid w:val="0"/>
              <w:spacing w:before="87" w:line="360" w:lineRule="auto"/>
              <w:ind w:right="187" w:rightChars="89"/>
              <w:jc w:val="center"/>
              <w:rPr>
                <w:rFonts w:hint="default"/>
                <w:iCs/>
                <w:color w:val="auto"/>
                <w:w w:val="95"/>
                <w:sz w:val="24"/>
                <w:szCs w:val="24"/>
                <w:highlight w:val="none"/>
              </w:rPr>
            </w:pPr>
            <w:r>
              <w:rPr>
                <w:rFonts w:hint="default"/>
                <w:iCs/>
                <w:color w:val="auto"/>
                <w:w w:val="95"/>
                <w:sz w:val="24"/>
                <w:szCs w:val="24"/>
                <w:highlight w:val="none"/>
              </w:rPr>
              <w:t>7</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05E8CC86">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062CD5E5">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781C619B">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2D2539DE">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29B817FA">
            <w:pPr>
              <w:pStyle w:val="276"/>
              <w:kinsoku w:val="0"/>
              <w:overflowPunct w:val="0"/>
              <w:adjustRightInd w:val="0"/>
              <w:snapToGrid w:val="0"/>
              <w:spacing w:before="87" w:line="360" w:lineRule="auto"/>
              <w:ind w:right="187" w:rightChars="89"/>
              <w:jc w:val="center"/>
              <w:rPr>
                <w:rFonts w:hint="default"/>
                <w:iCs/>
                <w:color w:val="auto"/>
                <w:w w:val="95"/>
                <w:sz w:val="24"/>
                <w:szCs w:val="24"/>
                <w:highlight w:val="none"/>
              </w:rPr>
            </w:pPr>
            <w:r>
              <w:rPr>
                <w:rFonts w:hint="default"/>
                <w:iCs/>
                <w:color w:val="auto"/>
                <w:w w:val="95"/>
                <w:sz w:val="24"/>
                <w:szCs w:val="24"/>
                <w:highlight w:val="none"/>
              </w:rPr>
              <w:t>8</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6CC07D3B">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40ADA0E3">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6F5C8532">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39AFB8C3">
        <w:tblPrEx>
          <w:tblCellMar>
            <w:top w:w="0" w:type="dxa"/>
            <w:left w:w="0" w:type="dxa"/>
            <w:bottom w:w="0" w:type="dxa"/>
            <w:right w:w="0" w:type="dxa"/>
          </w:tblCellMar>
        </w:tblPrEx>
        <w:trPr>
          <w:trHeight w:val="55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69636C01">
            <w:pPr>
              <w:pStyle w:val="276"/>
              <w:kinsoku w:val="0"/>
              <w:overflowPunct w:val="0"/>
              <w:adjustRightInd w:val="0"/>
              <w:snapToGrid w:val="0"/>
              <w:spacing w:before="87" w:line="360" w:lineRule="auto"/>
              <w:ind w:right="187" w:rightChars="89"/>
              <w:jc w:val="center"/>
              <w:rPr>
                <w:rFonts w:hint="default"/>
                <w:iCs/>
                <w:color w:val="auto"/>
                <w:w w:val="95"/>
                <w:sz w:val="24"/>
                <w:szCs w:val="24"/>
                <w:highlight w:val="none"/>
              </w:rPr>
            </w:pPr>
            <w:r>
              <w:rPr>
                <w:rFonts w:hint="default"/>
                <w:iCs/>
                <w:color w:val="auto"/>
                <w:w w:val="95"/>
                <w:sz w:val="24"/>
                <w:szCs w:val="24"/>
                <w:highlight w:val="none"/>
              </w:rPr>
              <w:t>9</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0B489226">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0EB16556">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7B3A3EB8">
            <w:pPr>
              <w:adjustRightInd w:val="0"/>
              <w:snapToGrid w:val="0"/>
              <w:spacing w:line="360" w:lineRule="auto"/>
              <w:ind w:right="187" w:rightChars="89"/>
              <w:jc w:val="center"/>
              <w:rPr>
                <w:rFonts w:hint="default" w:ascii="宋体" w:hAnsi="宋体"/>
                <w:color w:val="auto"/>
                <w:kern w:val="2"/>
                <w:sz w:val="24"/>
                <w:szCs w:val="24"/>
                <w:highlight w:val="none"/>
              </w:rPr>
            </w:pPr>
          </w:p>
        </w:tc>
      </w:tr>
      <w:tr w14:paraId="25C2A4F3">
        <w:tblPrEx>
          <w:tblCellMar>
            <w:top w:w="0" w:type="dxa"/>
            <w:left w:w="0" w:type="dxa"/>
            <w:bottom w:w="0" w:type="dxa"/>
            <w:right w:w="0" w:type="dxa"/>
          </w:tblCellMar>
        </w:tblPrEx>
        <w:trPr>
          <w:trHeight w:val="563" w:hRule="exact"/>
          <w:jc w:val="center"/>
        </w:trPr>
        <w:tc>
          <w:tcPr>
            <w:tcW w:w="908" w:type="dxa"/>
            <w:tcBorders>
              <w:top w:val="single" w:color="000000" w:sz="4" w:space="0"/>
              <w:left w:val="single" w:color="000000" w:sz="4" w:space="0"/>
              <w:bottom w:val="single" w:color="000000" w:sz="4" w:space="0"/>
              <w:right w:val="single" w:color="000000" w:sz="4" w:space="0"/>
            </w:tcBorders>
            <w:noWrap w:val="0"/>
            <w:vAlign w:val="center"/>
          </w:tcPr>
          <w:p w14:paraId="0F401232">
            <w:pPr>
              <w:pStyle w:val="276"/>
              <w:kinsoku w:val="0"/>
              <w:overflowPunct w:val="0"/>
              <w:adjustRightInd w:val="0"/>
              <w:snapToGrid w:val="0"/>
              <w:spacing w:before="87" w:line="360" w:lineRule="auto"/>
              <w:ind w:right="187" w:rightChars="89"/>
              <w:jc w:val="center"/>
              <w:rPr>
                <w:rFonts w:hint="default"/>
                <w:iCs/>
                <w:color w:val="auto"/>
                <w:w w:val="95"/>
                <w:sz w:val="24"/>
                <w:szCs w:val="24"/>
                <w:highlight w:val="none"/>
              </w:rPr>
            </w:pPr>
            <w:r>
              <w:rPr>
                <w:rFonts w:hint="default"/>
                <w:iCs/>
                <w:color w:val="auto"/>
                <w:w w:val="95"/>
                <w:sz w:val="24"/>
                <w:szCs w:val="24"/>
                <w:highlight w:val="none"/>
              </w:rPr>
              <w:t>10</w:t>
            </w:r>
          </w:p>
        </w:tc>
        <w:tc>
          <w:tcPr>
            <w:tcW w:w="3931" w:type="dxa"/>
            <w:tcBorders>
              <w:top w:val="single" w:color="000000" w:sz="4" w:space="0"/>
              <w:left w:val="single" w:color="000000" w:sz="4" w:space="0"/>
              <w:bottom w:val="single" w:color="000000" w:sz="4" w:space="0"/>
              <w:right w:val="single" w:color="000000" w:sz="4" w:space="0"/>
            </w:tcBorders>
            <w:noWrap w:val="0"/>
            <w:vAlign w:val="center"/>
          </w:tcPr>
          <w:p w14:paraId="7C0C9664">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2523" w:type="dxa"/>
            <w:tcBorders>
              <w:top w:val="single" w:color="000000" w:sz="4" w:space="0"/>
              <w:left w:val="single" w:color="000000" w:sz="4" w:space="0"/>
              <w:bottom w:val="single" w:color="000000" w:sz="4" w:space="0"/>
              <w:right w:val="single" w:color="000000" w:sz="4" w:space="0"/>
            </w:tcBorders>
            <w:noWrap w:val="0"/>
            <w:vAlign w:val="center"/>
          </w:tcPr>
          <w:p w14:paraId="6CCA4EEB">
            <w:pPr>
              <w:adjustRightInd w:val="0"/>
              <w:snapToGrid w:val="0"/>
              <w:spacing w:line="360" w:lineRule="auto"/>
              <w:ind w:right="187" w:rightChars="89"/>
              <w:jc w:val="center"/>
              <w:rPr>
                <w:rFonts w:hint="default" w:ascii="宋体" w:hAnsi="宋体"/>
                <w:color w:val="auto"/>
                <w:kern w:val="2"/>
                <w:sz w:val="24"/>
                <w:szCs w:val="24"/>
                <w:highlight w:val="none"/>
              </w:rPr>
            </w:pPr>
          </w:p>
        </w:tc>
        <w:tc>
          <w:tcPr>
            <w:tcW w:w="1835" w:type="dxa"/>
            <w:tcBorders>
              <w:top w:val="single" w:color="000000" w:sz="4" w:space="0"/>
              <w:left w:val="single" w:color="000000" w:sz="4" w:space="0"/>
              <w:bottom w:val="single" w:color="000000" w:sz="4" w:space="0"/>
              <w:right w:val="single" w:color="000000" w:sz="4" w:space="0"/>
            </w:tcBorders>
            <w:noWrap w:val="0"/>
            <w:vAlign w:val="center"/>
          </w:tcPr>
          <w:p w14:paraId="58D3FFBB">
            <w:pPr>
              <w:adjustRightInd w:val="0"/>
              <w:snapToGrid w:val="0"/>
              <w:spacing w:line="360" w:lineRule="auto"/>
              <w:ind w:right="187" w:rightChars="89"/>
              <w:jc w:val="center"/>
              <w:rPr>
                <w:rFonts w:hint="default" w:ascii="宋体" w:hAnsi="宋体"/>
                <w:color w:val="auto"/>
                <w:kern w:val="2"/>
                <w:sz w:val="24"/>
                <w:szCs w:val="24"/>
                <w:highlight w:val="none"/>
              </w:rPr>
            </w:pPr>
          </w:p>
        </w:tc>
      </w:tr>
    </w:tbl>
    <w:p w14:paraId="130E99FE">
      <w:pPr>
        <w:spacing w:line="440" w:lineRule="exact"/>
        <w:ind w:firstLine="480" w:firstLineChars="200"/>
        <w:rPr>
          <w:rFonts w:hint="eastAsia" w:ascii="宋体" w:hAnsi="宋体"/>
          <w:color w:val="auto"/>
          <w:kern w:val="2"/>
          <w:sz w:val="24"/>
          <w:szCs w:val="24"/>
          <w:highlight w:val="none"/>
        </w:rPr>
      </w:pPr>
      <w:r>
        <w:rPr>
          <w:rFonts w:hint="eastAsia" w:ascii="宋体" w:hAnsi="宋体"/>
          <w:color w:val="auto"/>
          <w:kern w:val="2"/>
          <w:sz w:val="24"/>
          <w:szCs w:val="24"/>
          <w:highlight w:val="none"/>
        </w:rPr>
        <w:t>备注：内容、行数不够请根据谈判文件自行添加</w:t>
      </w:r>
    </w:p>
    <w:p w14:paraId="6DD6DE10">
      <w:pPr>
        <w:snapToGrid w:val="0"/>
        <w:spacing w:before="50" w:after="50"/>
        <w:rPr>
          <w:rFonts w:hint="eastAsia" w:ascii="黑体" w:hAnsi="Times New Roman" w:eastAsia="黑体"/>
          <w:color w:val="auto"/>
          <w:kern w:val="2"/>
          <w:sz w:val="44"/>
          <w:szCs w:val="24"/>
          <w:highlight w:val="none"/>
        </w:rPr>
      </w:pPr>
      <w:r>
        <w:rPr>
          <w:rFonts w:hint="eastAsia" w:ascii="黑体" w:hAnsi="Times New Roman" w:eastAsia="黑体"/>
          <w:color w:val="auto"/>
          <w:kern w:val="2"/>
          <w:sz w:val="44"/>
          <w:szCs w:val="24"/>
          <w:highlight w:val="none"/>
        </w:rPr>
        <w:t xml:space="preserve"> </w:t>
      </w:r>
    </w:p>
    <w:p w14:paraId="75246493">
      <w:pPr>
        <w:widowControl w:val="0"/>
        <w:jc w:val="both"/>
        <w:rPr>
          <w:rFonts w:hint="eastAsia" w:ascii="黑体" w:hAnsi="Arial" w:eastAsia="黑体" w:cs="Times New Roman"/>
          <w:color w:val="auto"/>
          <w:kern w:val="2"/>
          <w:sz w:val="44"/>
          <w:szCs w:val="20"/>
          <w:highlight w:val="none"/>
          <w:lang w:val="en-US" w:eastAsia="zh-CN" w:bidi="ar-SA"/>
        </w:rPr>
      </w:pPr>
    </w:p>
    <w:p w14:paraId="0C8198F9">
      <w:pPr>
        <w:rPr>
          <w:rFonts w:hint="eastAsia" w:ascii="黑体" w:hAnsi="Times New Roman" w:eastAsia="黑体"/>
          <w:color w:val="auto"/>
          <w:kern w:val="2"/>
          <w:sz w:val="44"/>
          <w:szCs w:val="24"/>
          <w:highlight w:val="none"/>
        </w:rPr>
      </w:pPr>
    </w:p>
    <w:p w14:paraId="31310F98">
      <w:pPr>
        <w:widowControl w:val="0"/>
        <w:jc w:val="both"/>
        <w:rPr>
          <w:rFonts w:hint="eastAsia" w:ascii="黑体" w:hAnsi="Arial" w:eastAsia="黑体" w:cs="Times New Roman"/>
          <w:color w:val="auto"/>
          <w:kern w:val="2"/>
          <w:sz w:val="44"/>
          <w:szCs w:val="20"/>
          <w:highlight w:val="none"/>
          <w:lang w:val="en-US" w:eastAsia="zh-CN" w:bidi="ar-SA"/>
        </w:rPr>
      </w:pPr>
    </w:p>
    <w:p w14:paraId="0A88B13F">
      <w:pPr>
        <w:rPr>
          <w:rFonts w:hint="eastAsia" w:ascii="宋体" w:hAnsi="宋体" w:eastAsia="宋体" w:cs="宋体"/>
          <w:b/>
          <w:color w:val="auto"/>
          <w:kern w:val="0"/>
          <w:sz w:val="32"/>
          <w:szCs w:val="32"/>
          <w:highlight w:val="none"/>
          <w:lang w:val="en-US" w:eastAsia="zh-CN" w:bidi="ar-SA"/>
        </w:rPr>
      </w:pPr>
      <w:bookmarkStart w:id="179" w:name="_Toc5088"/>
      <w:r>
        <w:rPr>
          <w:rFonts w:hint="eastAsia" w:ascii="宋体" w:hAnsi="宋体" w:eastAsia="宋体" w:cs="宋体"/>
          <w:b/>
          <w:color w:val="auto"/>
          <w:kern w:val="0"/>
          <w:sz w:val="32"/>
          <w:szCs w:val="32"/>
          <w:highlight w:val="none"/>
          <w:lang w:val="en-US" w:eastAsia="zh-CN" w:bidi="ar-SA"/>
        </w:rPr>
        <w:br w:type="page"/>
      </w:r>
    </w:p>
    <w:p w14:paraId="0F686A7D">
      <w:pPr>
        <w:keepNext/>
        <w:keepLines/>
        <w:widowControl w:val="0"/>
        <w:spacing w:before="260" w:after="260" w:line="416" w:lineRule="auto"/>
        <w:jc w:val="center"/>
        <w:outlineLvl w:val="1"/>
        <w:rPr>
          <w:rFonts w:hint="eastAsia"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32"/>
          <w:szCs w:val="32"/>
          <w:highlight w:val="none"/>
          <w:lang w:val="en-US" w:eastAsia="zh-CN" w:bidi="ar-SA"/>
        </w:rPr>
        <w:t>二、资格、资信证明文件</w:t>
      </w:r>
      <w:bookmarkEnd w:id="179"/>
    </w:p>
    <w:p w14:paraId="55AADA2A">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1.满足《中华人民共和国政府采购法》第二十二条规定（</w:t>
      </w:r>
      <w:r>
        <w:rPr>
          <w:rFonts w:hint="eastAsia" w:ascii="宋体" w:hAnsi="宋体" w:cs="Times New Roman"/>
          <w:b w:val="0"/>
          <w:bCs w:val="0"/>
          <w:color w:val="auto"/>
          <w:sz w:val="24"/>
          <w:szCs w:val="24"/>
          <w:highlight w:val="none"/>
          <w:lang w:val="en-US" w:eastAsia="zh-CN"/>
        </w:rPr>
        <w:t>如为联合投标，</w:t>
      </w:r>
      <w:r>
        <w:rPr>
          <w:rFonts w:hint="default" w:ascii="宋体" w:hAnsi="宋体" w:eastAsia="宋体" w:cs="Times New Roman"/>
          <w:b w:val="0"/>
          <w:bCs w:val="0"/>
          <w:color w:val="auto"/>
          <w:sz w:val="24"/>
          <w:szCs w:val="24"/>
          <w:highlight w:val="none"/>
          <w:lang w:val="en-US"/>
        </w:rPr>
        <w:t>以下（1）-（6）项均须提供相应的证明材料）：</w:t>
      </w:r>
    </w:p>
    <w:p w14:paraId="480B3B66">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（1）具有独立承担民事责任的能力（提供法人或者其他组织的营业执照，自然人的身份证明复印件加盖公章）；</w:t>
      </w:r>
    </w:p>
    <w:p w14:paraId="224FEAFA">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（2）具有良好的商业信誉和健全的财务会计制度（提供经审计</w:t>
      </w:r>
      <w:r>
        <w:rPr>
          <w:rFonts w:hint="eastAsia" w:ascii="宋体" w:hAnsi="宋体" w:cs="Times New Roman"/>
          <w:b w:val="0"/>
          <w:bCs w:val="0"/>
          <w:color w:val="auto"/>
          <w:sz w:val="24"/>
          <w:szCs w:val="24"/>
          <w:highlight w:val="none"/>
          <w:lang w:val="en-US" w:eastAsia="zh-CN"/>
        </w:rPr>
        <w:t>的</w:t>
      </w:r>
      <w:r>
        <w:rPr>
          <w:rFonts w:hint="default" w:ascii="宋体" w:hAnsi="宋体" w:eastAsia="宋体" w:cs="Times New Roman"/>
          <w:b w:val="0"/>
          <w:bCs w:val="0"/>
          <w:color w:val="auto"/>
          <w:sz w:val="24"/>
          <w:szCs w:val="24"/>
          <w:highlight w:val="none"/>
          <w:lang w:val="en-US"/>
        </w:rPr>
        <w:t>2025年度财务报告复印件加盖公章，或提供本次采购活动前6个月内</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即</w:t>
      </w:r>
      <w:r>
        <w:rPr>
          <w:rFonts w:hint="eastAsia" w:ascii="宋体" w:hAnsi="宋体" w:cs="Times New Roman"/>
          <w:b w:val="0"/>
          <w:bCs w:val="0"/>
          <w:color w:val="auto"/>
          <w:sz w:val="24"/>
          <w:szCs w:val="24"/>
          <w:highlight w:val="none"/>
          <w:lang w:val="en-US" w:eastAsia="zh-CN"/>
        </w:rPr>
        <w:t>2026年5月（含）</w:t>
      </w:r>
      <w:r>
        <w:rPr>
          <w:rFonts w:hint="default" w:ascii="宋体" w:hAnsi="宋体" w:eastAsia="宋体" w:cs="Times New Roman"/>
          <w:b w:val="0"/>
          <w:bCs w:val="0"/>
          <w:color w:val="auto"/>
          <w:sz w:val="24"/>
          <w:szCs w:val="24"/>
          <w:highlight w:val="none"/>
          <w:lang w:val="en-US"/>
        </w:rPr>
        <w:t>以来</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任意一个月的财务报表复印件加盖公章，或银行出具的本次采购活动前6个月</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即</w:t>
      </w:r>
      <w:r>
        <w:rPr>
          <w:rFonts w:hint="eastAsia" w:ascii="宋体" w:hAnsi="宋体" w:cs="Times New Roman"/>
          <w:b w:val="0"/>
          <w:bCs w:val="0"/>
          <w:color w:val="auto"/>
          <w:sz w:val="24"/>
          <w:szCs w:val="24"/>
          <w:highlight w:val="none"/>
          <w:lang w:val="en-US" w:eastAsia="zh-CN"/>
        </w:rPr>
        <w:t>2026年5月（含）</w:t>
      </w:r>
      <w:r>
        <w:rPr>
          <w:rFonts w:hint="default" w:ascii="宋体" w:hAnsi="宋体" w:eastAsia="宋体" w:cs="Times New Roman"/>
          <w:b w:val="0"/>
          <w:bCs w:val="0"/>
          <w:color w:val="auto"/>
          <w:sz w:val="24"/>
          <w:szCs w:val="24"/>
          <w:highlight w:val="none"/>
          <w:lang w:val="en-US"/>
        </w:rPr>
        <w:t>以来</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内资信证书复印件加盖公章或财政部门认可的政府采购专业担保机构出具的投标担保函）；</w:t>
      </w:r>
    </w:p>
    <w:p w14:paraId="1C21A274">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（3）具有履行合同所必需的设备和专业技术能力（根据项目需求提供履行合同所必需的设备和专业技术能力的证明材料的承诺书原件）；</w:t>
      </w:r>
    </w:p>
    <w:p w14:paraId="7E233340">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（4）有依法缴纳税收和社会保障资金的良好记录（提供参加本次政府采购活动前半年内</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即</w:t>
      </w:r>
      <w:r>
        <w:rPr>
          <w:rFonts w:hint="eastAsia" w:ascii="宋体" w:hAnsi="宋体" w:cs="Times New Roman"/>
          <w:b w:val="0"/>
          <w:bCs w:val="0"/>
          <w:color w:val="auto"/>
          <w:sz w:val="24"/>
          <w:szCs w:val="24"/>
          <w:highlight w:val="none"/>
          <w:lang w:val="en-US" w:eastAsia="zh-CN"/>
        </w:rPr>
        <w:t>2026年5月（含）</w:t>
      </w:r>
      <w:r>
        <w:rPr>
          <w:rFonts w:hint="default" w:ascii="宋体" w:hAnsi="宋体" w:eastAsia="宋体" w:cs="Times New Roman"/>
          <w:b w:val="0"/>
          <w:bCs w:val="0"/>
          <w:color w:val="auto"/>
          <w:sz w:val="24"/>
          <w:szCs w:val="24"/>
          <w:highlight w:val="none"/>
          <w:lang w:val="en-US"/>
        </w:rPr>
        <w:t>以来</w:t>
      </w:r>
      <w:r>
        <w:rPr>
          <w:rFonts w:hint="eastAsia" w:ascii="宋体" w:hAnsi="宋体" w:cs="Times New Roman"/>
          <w:b w:val="0"/>
          <w:bCs w:val="0"/>
          <w:color w:val="auto"/>
          <w:sz w:val="24"/>
          <w:szCs w:val="24"/>
          <w:highlight w:val="none"/>
          <w:lang w:val="en-US" w:eastAsia="zh-CN"/>
        </w:rPr>
        <w:t>】</w:t>
      </w:r>
      <w:r>
        <w:rPr>
          <w:rFonts w:hint="default" w:ascii="宋体" w:hAnsi="宋体" w:eastAsia="宋体" w:cs="Times New Roman"/>
          <w:b w:val="0"/>
          <w:bCs w:val="0"/>
          <w:color w:val="auto"/>
          <w:sz w:val="24"/>
          <w:szCs w:val="24"/>
          <w:highlight w:val="none"/>
          <w:lang w:val="en-US"/>
        </w:rPr>
        <w:t>，至少1个月缴纳税收和社会保险的凭证复印件，依法享受免缴、缓缴的，提供证明材料复印件）；</w:t>
      </w:r>
    </w:p>
    <w:p w14:paraId="15469F51">
      <w:pPr>
        <w:pageBreakBefore w:val="0"/>
        <w:widowControl w:val="0"/>
        <w:spacing w:line="240" w:lineRule="auto"/>
        <w:ind w:firstLine="480"/>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（5）参加政府采购活动前三年内，在经营活动中没有重大违法记录（提供参加本次政府采购活动前3年内在经营活动中没有重大违法记录的书面声明）（格式见后附件）；</w:t>
      </w:r>
    </w:p>
    <w:p w14:paraId="59CE5041">
      <w:pPr>
        <w:pageBreakBefore w:val="0"/>
        <w:widowControl w:val="0"/>
        <w:spacing w:line="240" w:lineRule="auto"/>
        <w:ind w:firstLine="480"/>
        <w:rPr>
          <w:rFonts w:hint="eastAsia"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rPr>
        <w:t>（6）法律、行政法规规定的其他条件。（提供承诺书，格式自拟）</w:t>
      </w:r>
      <w:r>
        <w:rPr>
          <w:rFonts w:hint="eastAsia" w:ascii="宋体" w:hAnsi="宋体" w:cs="Times New Roman"/>
          <w:b w:val="0"/>
          <w:bCs w:val="0"/>
          <w:color w:val="auto"/>
          <w:sz w:val="24"/>
          <w:szCs w:val="24"/>
          <w:highlight w:val="none"/>
          <w:lang w:val="en-US" w:eastAsia="zh-CN"/>
        </w:rPr>
        <w:t>；</w:t>
      </w:r>
    </w:p>
    <w:p w14:paraId="52D0E0B1">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2.落实政府采购政策需满足的资格要求：本项目非专门面向中小企业采购，采用以下第（4）种方式落实政府采购促进中小企业发展的要求：</w:t>
      </w:r>
    </w:p>
    <w:p w14:paraId="3FFC7FBD">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（1）本项目整体专门面向中小企业采购；</w:t>
      </w:r>
    </w:p>
    <w:p w14:paraId="13D24559">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（2）本项目整体专门面向小微企业采购；</w:t>
      </w:r>
    </w:p>
    <w:p w14:paraId="14694C69">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（3）本项目通过以下第 / 种方式预留部分采购份额采购中小企业。</w:t>
      </w:r>
    </w:p>
    <w:p w14:paraId="1279BBA1">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①本项目要求供应商以联合体形式参加，企业合同金额应当达到的比例为 / %。</w:t>
      </w:r>
    </w:p>
    <w:p w14:paraId="5DEF8969">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②本项目要求供应商进行合同分包，企业合同金额应当达到的比例为 / %。</w:t>
      </w:r>
    </w:p>
    <w:p w14:paraId="5644C697">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（4）本项目为非预留份额的采购项目或采购包，执行价格扣除优惠政策，具体详见招标文件“第</w:t>
      </w:r>
      <w:r>
        <w:rPr>
          <w:rFonts w:hint="eastAsia" w:ascii="宋体" w:hAnsi="宋体" w:cs="Times New Roman"/>
          <w:color w:val="auto"/>
          <w:sz w:val="24"/>
          <w:szCs w:val="24"/>
          <w:highlight w:val="none"/>
          <w:lang w:val="en-US" w:eastAsia="zh-CN"/>
        </w:rPr>
        <w:t>五章</w:t>
      </w:r>
      <w:r>
        <w:rPr>
          <w:rFonts w:hint="eastAsia" w:ascii="宋体" w:hAnsi="宋体" w:eastAsia="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成交标准</w:t>
      </w:r>
      <w:r>
        <w:rPr>
          <w:rFonts w:hint="eastAsia" w:ascii="宋体" w:hAnsi="宋体" w:eastAsia="宋体" w:cs="Times New Roman"/>
          <w:color w:val="auto"/>
          <w:sz w:val="24"/>
          <w:szCs w:val="24"/>
          <w:highlight w:val="none"/>
          <w:lang w:val="en-US" w:eastAsia="zh-CN"/>
        </w:rPr>
        <w:t>”。</w:t>
      </w:r>
    </w:p>
    <w:p w14:paraId="6824A429">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3.本项目的特定资格要求：</w:t>
      </w:r>
    </w:p>
    <w:p w14:paraId="3DB0ECED">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一包：建筑消防设计安全评估</w:t>
      </w:r>
    </w:p>
    <w:p w14:paraId="47E6845B">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ind w:firstLine="482" w:firstLineChars="0"/>
        <w:textAlignment w:val="auto"/>
        <w:rPr>
          <w:rFonts w:hint="eastAsia"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（1）</w:t>
      </w:r>
      <w:r>
        <w:rPr>
          <w:rFonts w:hint="eastAsia" w:ascii="宋体" w:hAnsi="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lang w:val="en-US" w:eastAsia="zh-CN"/>
        </w:rPr>
        <w:t>在社会消防技术服务信息系统（https://shhxf.119.gov.cn/templet/index_7.jsp）完成消防安全评估备案（提供网站备案公示截图加盖供应商</w:t>
      </w:r>
      <w:r>
        <w:rPr>
          <w:rFonts w:hint="eastAsia" w:ascii="宋体" w:hAnsi="宋体" w:cs="Times New Roman"/>
          <w:color w:val="auto"/>
          <w:sz w:val="24"/>
          <w:szCs w:val="24"/>
          <w:highlight w:val="none"/>
          <w:lang w:val="en-US" w:eastAsia="zh-CN"/>
        </w:rPr>
        <w:t>电子</w:t>
      </w:r>
      <w:r>
        <w:rPr>
          <w:rFonts w:hint="eastAsia" w:ascii="宋体" w:hAnsi="宋体" w:eastAsia="宋体" w:cs="Times New Roman"/>
          <w:color w:val="auto"/>
          <w:sz w:val="24"/>
          <w:szCs w:val="24"/>
          <w:highlight w:val="none"/>
          <w:lang w:val="en-US" w:eastAsia="zh-CN"/>
        </w:rPr>
        <w:t>公章）</w:t>
      </w:r>
      <w:r>
        <w:rPr>
          <w:rFonts w:hint="eastAsia" w:ascii="宋体" w:hAnsi="宋体" w:cs="Times New Roman"/>
          <w:color w:val="auto"/>
          <w:sz w:val="24"/>
          <w:szCs w:val="24"/>
          <w:highlight w:val="none"/>
          <w:lang w:val="en-US" w:eastAsia="zh-CN"/>
        </w:rPr>
        <w:t>；</w:t>
      </w:r>
    </w:p>
    <w:p w14:paraId="2C9B6839">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ind w:firstLine="482" w:firstLineChars="0"/>
        <w:textAlignment w:val="auto"/>
        <w:rPr>
          <w:rFonts w:hint="eastAsia"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rPr>
        <w:t>供应商具有工程设计综合甲级资质或建筑行业甲级资质或建筑行业（建筑工程）甲级资质（提供有效的资质证书原件扫描件加盖供应商电子公章）。</w:t>
      </w:r>
    </w:p>
    <w:p w14:paraId="259CDBCF">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4.拒绝下述供应商参加本次采购活动：</w:t>
      </w:r>
    </w:p>
    <w:p w14:paraId="5E3BD1CF">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（1）供应商单位负责人为同一人或者存在直接控股、管理关系的不同供应商，不得参加同一合同项下的采购活动；</w:t>
      </w:r>
    </w:p>
    <w:p w14:paraId="736CDA23">
      <w:pPr>
        <w:pageBreakBefore w:val="0"/>
        <w:widowControl w:val="0"/>
        <w:spacing w:line="24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（2）凡为采购项目提供整体设计、规范编制或者项目管理、监理、检测等服务的供应商，不得再参加本项目的采购活动；</w:t>
      </w:r>
    </w:p>
    <w:p w14:paraId="5314412D">
      <w:pPr>
        <w:tabs>
          <w:tab w:val="left" w:pos="5250"/>
        </w:tabs>
        <w:autoSpaceDE w:val="0"/>
        <w:autoSpaceDN w:val="0"/>
        <w:adjustRightInd w:val="0"/>
        <w:spacing w:line="360" w:lineRule="auto"/>
        <w:ind w:firstLine="480" w:firstLineChars="200"/>
        <w:rPr>
          <w:rFonts w:hint="default" w:ascii="宋体" w:hAnsi="宋体" w:cs="Arial"/>
          <w:color w:val="auto"/>
          <w:kern w:val="2"/>
          <w:sz w:val="22"/>
          <w:szCs w:val="22"/>
          <w:highlight w:val="none"/>
        </w:rPr>
      </w:pPr>
      <w:r>
        <w:rPr>
          <w:rFonts w:hint="eastAsia" w:ascii="宋体" w:hAnsi="宋体" w:eastAsia="宋体" w:cs="Times New Roman"/>
          <w:color w:val="auto"/>
          <w:sz w:val="24"/>
          <w:szCs w:val="24"/>
          <w:highlight w:val="none"/>
          <w:lang w:val="en-US" w:eastAsia="zh-CN"/>
        </w:rPr>
        <w:t>（3）拒绝列入失信被执行人、重大税收违法案件当事人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信用记录。</w:t>
      </w:r>
    </w:p>
    <w:p w14:paraId="2235A981">
      <w:pPr>
        <w:jc w:val="center"/>
        <w:rPr>
          <w:rFonts w:hint="eastAsia" w:ascii="黑体" w:hAnsi="黑体" w:eastAsia="黑体" w:cs="黑体"/>
          <w:color w:val="auto"/>
          <w:kern w:val="2"/>
          <w:sz w:val="28"/>
          <w:szCs w:val="28"/>
          <w:highlight w:val="none"/>
        </w:rPr>
      </w:pPr>
      <w:bookmarkStart w:id="180" w:name="_Toc26554103"/>
      <w:bookmarkStart w:id="181" w:name="_Toc513029281"/>
      <w:bookmarkStart w:id="182" w:name="_Toc23828483"/>
      <w:bookmarkStart w:id="183" w:name="_Toc22356583"/>
      <w:bookmarkStart w:id="184" w:name="_Toc120614291"/>
      <w:bookmarkStart w:id="185" w:name="_Toc120614284"/>
      <w:bookmarkStart w:id="186" w:name="_Toc49090582"/>
      <w:bookmarkStart w:id="187" w:name="_Toc24878535"/>
    </w:p>
    <w:p w14:paraId="1EA3D15B">
      <w:pPr>
        <w:rPr>
          <w:rFonts w:hint="eastAsia" w:ascii="黑体" w:hAnsi="黑体" w:eastAsia="黑体" w:cs="黑体"/>
          <w:color w:val="auto"/>
          <w:kern w:val="2"/>
          <w:sz w:val="28"/>
          <w:szCs w:val="28"/>
          <w:highlight w:val="none"/>
        </w:rPr>
      </w:pPr>
      <w:r>
        <w:rPr>
          <w:rFonts w:hint="eastAsia" w:ascii="黑体" w:hAnsi="黑体" w:eastAsia="黑体" w:cs="黑体"/>
          <w:color w:val="auto"/>
          <w:kern w:val="2"/>
          <w:sz w:val="28"/>
          <w:szCs w:val="28"/>
          <w:highlight w:val="none"/>
        </w:rPr>
        <w:br w:type="page"/>
      </w:r>
    </w:p>
    <w:p w14:paraId="627A8E00">
      <w:pPr>
        <w:jc w:val="center"/>
        <w:rPr>
          <w:rFonts w:hint="eastAsia" w:ascii="黑体" w:hAnsi="黑体" w:eastAsia="黑体" w:cs="黑体"/>
          <w:color w:val="auto"/>
          <w:kern w:val="2"/>
          <w:sz w:val="28"/>
          <w:szCs w:val="28"/>
          <w:highlight w:val="none"/>
        </w:rPr>
      </w:pPr>
      <w:r>
        <w:rPr>
          <w:rFonts w:hint="eastAsia" w:ascii="黑体" w:hAnsi="黑体" w:eastAsia="黑体" w:cs="黑体"/>
          <w:color w:val="auto"/>
          <w:kern w:val="2"/>
          <w:sz w:val="28"/>
          <w:szCs w:val="28"/>
          <w:highlight w:val="none"/>
        </w:rPr>
        <w:t>具备履行合同所必需的设备和专业技术能力的书面声明</w:t>
      </w:r>
    </w:p>
    <w:p w14:paraId="49EFE1F6">
      <w:pPr>
        <w:spacing w:line="460" w:lineRule="exact"/>
        <w:ind w:firstLine="492"/>
        <w:rPr>
          <w:rFonts w:hint="eastAsia" w:ascii="宋体" w:hAnsi="宋体" w:eastAsia="宋体"/>
          <w:bCs/>
          <w:color w:val="auto"/>
          <w:kern w:val="2"/>
          <w:sz w:val="24"/>
          <w:szCs w:val="24"/>
          <w:highlight w:val="none"/>
          <w:lang w:eastAsia="zh-CN"/>
        </w:rPr>
      </w:pPr>
      <w:r>
        <w:rPr>
          <w:rFonts w:hint="eastAsia" w:ascii="宋体" w:hAnsi="宋体"/>
          <w:bCs/>
          <w:color w:val="auto"/>
          <w:kern w:val="2"/>
          <w:sz w:val="24"/>
          <w:szCs w:val="24"/>
          <w:highlight w:val="none"/>
        </w:rPr>
        <w:t>致：</w:t>
      </w:r>
      <w:r>
        <w:rPr>
          <w:rFonts w:hint="eastAsia" w:ascii="宋体" w:hAnsi="宋体"/>
          <w:bCs/>
          <w:color w:val="auto"/>
          <w:kern w:val="2"/>
          <w:sz w:val="24"/>
          <w:szCs w:val="24"/>
          <w:highlight w:val="none"/>
          <w:lang w:eastAsia="zh-CN"/>
        </w:rPr>
        <w:t>江苏省江宁监狱</w:t>
      </w:r>
    </w:p>
    <w:p w14:paraId="1A666636">
      <w:pPr>
        <w:spacing w:line="460" w:lineRule="exact"/>
        <w:ind w:firstLine="492"/>
        <w:rPr>
          <w:rFonts w:hint="eastAsia" w:ascii="宋体" w:hAnsi="宋体"/>
          <w:bCs/>
          <w:color w:val="auto"/>
          <w:kern w:val="2"/>
          <w:sz w:val="24"/>
          <w:szCs w:val="21"/>
          <w:highlight w:val="none"/>
        </w:rPr>
      </w:pPr>
      <w:r>
        <w:rPr>
          <w:rFonts w:hint="eastAsia" w:ascii="宋体" w:hAnsi="宋体"/>
          <w:bCs/>
          <w:color w:val="auto"/>
          <w:kern w:val="2"/>
          <w:sz w:val="24"/>
          <w:szCs w:val="24"/>
          <w:highlight w:val="none"/>
        </w:rPr>
        <w:t>我公司郑重声明：我公司</w:t>
      </w:r>
      <w:r>
        <w:rPr>
          <w:rFonts w:hint="eastAsia" w:ascii="宋体" w:hAnsi="宋体"/>
          <w:bCs/>
          <w:color w:val="auto"/>
          <w:kern w:val="2"/>
          <w:sz w:val="24"/>
          <w:szCs w:val="21"/>
          <w:highlight w:val="none"/>
        </w:rPr>
        <w:t>具备履行本项采购合同所必需的设备和专业技术能力，为履行本项采购合同我公司</w:t>
      </w:r>
      <w:r>
        <w:rPr>
          <w:rFonts w:hint="eastAsia" w:ascii="宋体" w:hAnsi="宋体"/>
          <w:bCs/>
          <w:color w:val="auto"/>
          <w:kern w:val="2"/>
          <w:sz w:val="24"/>
          <w:szCs w:val="24"/>
          <w:highlight w:val="none"/>
        </w:rPr>
        <w:t>具备</w:t>
      </w:r>
      <w:r>
        <w:rPr>
          <w:rFonts w:hint="eastAsia" w:ascii="宋体" w:hAnsi="宋体"/>
          <w:bCs/>
          <w:color w:val="auto"/>
          <w:kern w:val="2"/>
          <w:sz w:val="24"/>
          <w:szCs w:val="21"/>
          <w:highlight w:val="none"/>
        </w:rPr>
        <w:t>如下主要设备和主要专业技术能力：</w:t>
      </w:r>
    </w:p>
    <w:p w14:paraId="3D0AAF2E">
      <w:pPr>
        <w:spacing w:line="460" w:lineRule="exact"/>
        <w:ind w:firstLine="492"/>
        <w:rPr>
          <w:rFonts w:hint="eastAsia" w:ascii="宋体" w:hAnsi="宋体"/>
          <w:bCs/>
          <w:color w:val="auto"/>
          <w:kern w:val="2"/>
          <w:sz w:val="24"/>
          <w:szCs w:val="24"/>
          <w:highlight w:val="none"/>
        </w:rPr>
      </w:pPr>
      <w:r>
        <w:rPr>
          <w:rFonts w:hint="eastAsia" w:ascii="宋体" w:hAnsi="宋体"/>
          <w:bCs/>
          <w:color w:val="auto"/>
          <w:kern w:val="2"/>
          <w:sz w:val="24"/>
          <w:szCs w:val="21"/>
          <w:highlight w:val="none"/>
        </w:rPr>
        <w:t>主要设备有：</w:t>
      </w:r>
      <w:r>
        <w:rPr>
          <w:rFonts w:hint="eastAsia" w:ascii="宋体" w:hAnsi="宋体"/>
          <w:bCs/>
          <w:color w:val="auto"/>
          <w:kern w:val="2"/>
          <w:sz w:val="24"/>
          <w:szCs w:val="21"/>
          <w:highlight w:val="none"/>
          <w:u w:val="single"/>
        </w:rPr>
        <w:t xml:space="preserve">  </w:t>
      </w:r>
      <w:r>
        <w:rPr>
          <w:rFonts w:hint="eastAsia" w:ascii="宋体" w:hAnsi="宋体"/>
          <w:bCs/>
          <w:color w:val="auto"/>
          <w:kern w:val="2"/>
          <w:sz w:val="24"/>
          <w:szCs w:val="24"/>
          <w:highlight w:val="none"/>
        </w:rPr>
        <w:t>。</w:t>
      </w:r>
    </w:p>
    <w:p w14:paraId="57B1CE6E">
      <w:pPr>
        <w:spacing w:line="460" w:lineRule="exact"/>
        <w:ind w:firstLine="492"/>
        <w:rPr>
          <w:rFonts w:hint="eastAsia" w:ascii="宋体" w:hAnsi="宋体"/>
          <w:color w:val="auto"/>
          <w:kern w:val="2"/>
          <w:sz w:val="24"/>
          <w:szCs w:val="21"/>
          <w:highlight w:val="none"/>
        </w:rPr>
      </w:pPr>
      <w:r>
        <w:rPr>
          <w:rFonts w:hint="eastAsia" w:ascii="宋体" w:hAnsi="宋体"/>
          <w:bCs/>
          <w:color w:val="auto"/>
          <w:kern w:val="2"/>
          <w:sz w:val="24"/>
          <w:szCs w:val="21"/>
          <w:highlight w:val="none"/>
        </w:rPr>
        <w:t>主要专业技术能力有：</w:t>
      </w:r>
      <w:r>
        <w:rPr>
          <w:rFonts w:hint="eastAsia" w:ascii="宋体" w:hAnsi="宋体"/>
          <w:bCs/>
          <w:color w:val="auto"/>
          <w:kern w:val="2"/>
          <w:sz w:val="24"/>
          <w:szCs w:val="21"/>
          <w:highlight w:val="none"/>
          <w:u w:val="single"/>
        </w:rPr>
        <w:t xml:space="preserve">   </w:t>
      </w:r>
      <w:r>
        <w:rPr>
          <w:rFonts w:hint="eastAsia" w:ascii="宋体" w:hAnsi="宋体"/>
          <w:bCs/>
          <w:color w:val="auto"/>
          <w:kern w:val="2"/>
          <w:sz w:val="24"/>
          <w:szCs w:val="21"/>
          <w:highlight w:val="none"/>
        </w:rPr>
        <w:t>。</w:t>
      </w:r>
    </w:p>
    <w:p w14:paraId="7F12AAB1">
      <w:pPr>
        <w:tabs>
          <w:tab w:val="left" w:pos="4860"/>
        </w:tabs>
        <w:spacing w:line="588" w:lineRule="exact"/>
        <w:ind w:right="1560" w:firstLine="480" w:firstLineChars="200"/>
        <w:jc w:val="right"/>
        <w:rPr>
          <w:rFonts w:hint="default" w:ascii="宋体" w:hAnsi="宋体"/>
          <w:color w:val="auto"/>
          <w:kern w:val="2"/>
          <w:sz w:val="24"/>
          <w:szCs w:val="21"/>
          <w:highlight w:val="none"/>
        </w:rPr>
      </w:pPr>
      <w:r>
        <w:rPr>
          <w:rFonts w:hint="eastAsia" w:ascii="宋体" w:hAnsi="宋体"/>
          <w:color w:val="auto"/>
          <w:kern w:val="2"/>
          <w:sz w:val="24"/>
          <w:szCs w:val="21"/>
          <w:highlight w:val="none"/>
        </w:rPr>
        <w:t>供应商全称（盖章）：</w:t>
      </w:r>
    </w:p>
    <w:p w14:paraId="164CD972">
      <w:pPr>
        <w:tabs>
          <w:tab w:val="left" w:pos="4860"/>
        </w:tabs>
        <w:spacing w:line="588" w:lineRule="exact"/>
        <w:ind w:right="1560" w:firstLine="480" w:firstLineChars="200"/>
        <w:jc w:val="right"/>
        <w:rPr>
          <w:rFonts w:hint="eastAsia" w:ascii="宋体" w:hAnsi="宋体"/>
          <w:color w:val="auto"/>
          <w:kern w:val="2"/>
          <w:sz w:val="24"/>
          <w:szCs w:val="21"/>
          <w:highlight w:val="none"/>
        </w:rPr>
      </w:pPr>
      <w:r>
        <w:rPr>
          <w:rFonts w:hint="eastAsia" w:ascii="宋体" w:hAnsi="宋体"/>
          <w:color w:val="auto"/>
          <w:kern w:val="2"/>
          <w:sz w:val="24"/>
          <w:szCs w:val="21"/>
          <w:highlight w:val="none"/>
        </w:rPr>
        <w:t xml:space="preserve">                              日  期：</w:t>
      </w:r>
    </w:p>
    <w:p w14:paraId="1BA4E289">
      <w:pPr>
        <w:spacing w:before="143" w:beforeLines="50" w:after="143" w:afterLines="50"/>
        <w:jc w:val="center"/>
        <w:rPr>
          <w:rFonts w:hint="eastAsia" w:ascii="黑体" w:hAnsi="黑体" w:eastAsia="黑体" w:cs="黑体"/>
          <w:color w:val="auto"/>
          <w:kern w:val="2"/>
          <w:sz w:val="28"/>
          <w:szCs w:val="28"/>
          <w:highlight w:val="none"/>
        </w:rPr>
      </w:pPr>
      <w:r>
        <w:rPr>
          <w:rFonts w:hint="eastAsia" w:ascii="黑体" w:hAnsi="黑体" w:eastAsia="黑体" w:cs="黑体"/>
          <w:color w:val="auto"/>
          <w:kern w:val="2"/>
          <w:sz w:val="28"/>
          <w:szCs w:val="28"/>
          <w:highlight w:val="none"/>
        </w:rPr>
        <w:t>参加采购活动前 3 年内在经营活动中没有重大违法记录的书面声明</w:t>
      </w:r>
    </w:p>
    <w:p w14:paraId="10FF44DD">
      <w:pPr>
        <w:spacing w:line="560" w:lineRule="exact"/>
        <w:rPr>
          <w:rFonts w:hint="eastAsia" w:ascii="宋体" w:hAnsi="宋体"/>
          <w:b/>
          <w:bCs/>
          <w:color w:val="auto"/>
          <w:kern w:val="2"/>
          <w:sz w:val="24"/>
          <w:szCs w:val="24"/>
          <w:highlight w:val="none"/>
        </w:rPr>
      </w:pPr>
      <w:r>
        <w:rPr>
          <w:rFonts w:hint="eastAsia" w:ascii="宋体" w:hAnsi="宋体"/>
          <w:b/>
          <w:bCs/>
          <w:color w:val="auto"/>
          <w:kern w:val="2"/>
          <w:sz w:val="44"/>
          <w:szCs w:val="44"/>
          <w:highlight w:val="none"/>
        </w:rPr>
        <w:t xml:space="preserve">        </w:t>
      </w:r>
      <w:r>
        <w:rPr>
          <w:rFonts w:hint="eastAsia" w:ascii="宋体" w:hAnsi="宋体"/>
          <w:b/>
          <w:bCs/>
          <w:color w:val="auto"/>
          <w:kern w:val="2"/>
          <w:sz w:val="24"/>
          <w:szCs w:val="24"/>
          <w:highlight w:val="none"/>
        </w:rPr>
        <w:t xml:space="preserve">                      声  明   </w:t>
      </w:r>
    </w:p>
    <w:p w14:paraId="242AC1F9">
      <w:pPr>
        <w:spacing w:line="460" w:lineRule="exact"/>
        <w:ind w:firstLine="492"/>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致：</w:t>
      </w:r>
      <w:r>
        <w:rPr>
          <w:rFonts w:hint="eastAsia" w:ascii="宋体" w:hAnsi="宋体"/>
          <w:bCs/>
          <w:color w:val="auto"/>
          <w:kern w:val="2"/>
          <w:sz w:val="24"/>
          <w:szCs w:val="24"/>
          <w:highlight w:val="none"/>
          <w:lang w:eastAsia="zh-CN"/>
        </w:rPr>
        <w:t>江苏省江宁监狱</w:t>
      </w:r>
      <w:r>
        <w:rPr>
          <w:rFonts w:hint="eastAsia" w:ascii="宋体" w:hAnsi="宋体"/>
          <w:b/>
          <w:bCs/>
          <w:color w:val="auto"/>
          <w:kern w:val="2"/>
          <w:sz w:val="24"/>
          <w:szCs w:val="24"/>
          <w:highlight w:val="none"/>
        </w:rPr>
        <w:t xml:space="preserve">  </w:t>
      </w:r>
    </w:p>
    <w:p w14:paraId="365397E5">
      <w:pPr>
        <w:spacing w:line="560" w:lineRule="exact"/>
        <w:ind w:firstLine="480" w:firstLineChars="200"/>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我单位郑重声明：参加本次采购活动前 3 年内，我单位在经营活动中没有因违法经营受到刑事处罚或者责令停产停业、吊销许可证或者执照、较大数额罚款等行政处罚。</w:t>
      </w:r>
    </w:p>
    <w:p w14:paraId="71F4196E">
      <w:pPr>
        <w:spacing w:line="560" w:lineRule="exact"/>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 xml:space="preserve">                                    </w:t>
      </w:r>
    </w:p>
    <w:p w14:paraId="173E4602">
      <w:pPr>
        <w:rPr>
          <w:rFonts w:hint="eastAsia" w:ascii="Times New Roman" w:hAnsi="Times New Roman"/>
          <w:color w:val="auto"/>
          <w:kern w:val="2"/>
          <w:szCs w:val="24"/>
          <w:highlight w:val="none"/>
        </w:rPr>
      </w:pPr>
    </w:p>
    <w:p w14:paraId="3F41C904">
      <w:pPr>
        <w:tabs>
          <w:tab w:val="left" w:pos="4860"/>
        </w:tabs>
        <w:spacing w:line="588" w:lineRule="exact"/>
        <w:ind w:right="1560" w:firstLine="480" w:firstLineChars="200"/>
        <w:jc w:val="right"/>
        <w:rPr>
          <w:rFonts w:hint="default" w:ascii="宋体" w:hAnsi="宋体"/>
          <w:color w:val="auto"/>
          <w:kern w:val="2"/>
          <w:sz w:val="24"/>
          <w:szCs w:val="21"/>
          <w:highlight w:val="none"/>
        </w:rPr>
      </w:pPr>
      <w:r>
        <w:rPr>
          <w:rFonts w:hint="eastAsia" w:ascii="宋体" w:hAnsi="宋体"/>
          <w:color w:val="auto"/>
          <w:kern w:val="2"/>
          <w:sz w:val="24"/>
          <w:szCs w:val="21"/>
          <w:highlight w:val="none"/>
        </w:rPr>
        <w:t>供应商全称（盖章）：</w:t>
      </w:r>
    </w:p>
    <w:p w14:paraId="6E673E69">
      <w:pPr>
        <w:tabs>
          <w:tab w:val="left" w:pos="4860"/>
        </w:tabs>
        <w:spacing w:line="588" w:lineRule="exact"/>
        <w:ind w:right="1560" w:firstLine="480" w:firstLineChars="200"/>
        <w:jc w:val="right"/>
        <w:rPr>
          <w:rFonts w:hint="eastAsia" w:ascii="宋体" w:hAnsi="宋体"/>
          <w:color w:val="auto"/>
          <w:kern w:val="2"/>
          <w:sz w:val="24"/>
          <w:szCs w:val="21"/>
          <w:highlight w:val="none"/>
        </w:rPr>
      </w:pPr>
      <w:r>
        <w:rPr>
          <w:rFonts w:hint="eastAsia" w:ascii="宋体" w:hAnsi="宋体"/>
          <w:color w:val="auto"/>
          <w:kern w:val="2"/>
          <w:sz w:val="24"/>
          <w:szCs w:val="21"/>
          <w:highlight w:val="none"/>
        </w:rPr>
        <w:t xml:space="preserve">                              日  期：</w:t>
      </w:r>
    </w:p>
    <w:p w14:paraId="0F73C1F4">
      <w:pPr>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br w:type="page"/>
      </w:r>
    </w:p>
    <w:p w14:paraId="5F585E45">
      <w:pPr>
        <w:spacing w:before="143" w:beforeLines="50" w:after="143" w:afterLines="50"/>
        <w:jc w:val="center"/>
        <w:rPr>
          <w:rFonts w:hint="eastAsia" w:ascii="宋体" w:hAnsi="宋体" w:eastAsia="宋体" w:cs="宋体"/>
          <w:b/>
          <w:bCs/>
          <w:color w:val="auto"/>
          <w:kern w:val="2"/>
          <w:sz w:val="32"/>
          <w:szCs w:val="32"/>
          <w:highlight w:val="none"/>
          <w:lang w:val="en-US" w:eastAsia="zh-CN"/>
        </w:rPr>
      </w:pPr>
      <w:r>
        <w:rPr>
          <w:rFonts w:hint="eastAsia" w:ascii="宋体" w:hAnsi="宋体" w:eastAsia="宋体" w:cs="宋体"/>
          <w:b/>
          <w:bCs/>
          <w:color w:val="auto"/>
          <w:kern w:val="2"/>
          <w:sz w:val="32"/>
          <w:szCs w:val="32"/>
          <w:highlight w:val="none"/>
          <w:lang w:val="en-US" w:eastAsia="zh-CN"/>
        </w:rPr>
        <w:t>三、法定代表人（负责人）授权书</w:t>
      </w:r>
    </w:p>
    <w:p w14:paraId="5DBF9690">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本授权书声明：____________（供应商名称）的法定代表人（负责人）</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 xml:space="preserve"> （姓名）授权________________（被授权人的姓名）为我方就</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 xml:space="preserve"> 号 </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项目采购活动的合法代理人，以本公司名义全权处理一切与该项目采购有关的事务。</w:t>
      </w:r>
    </w:p>
    <w:p w14:paraId="5A0A6141">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本授权书于______年____月____日起生效，特此声明。</w:t>
      </w:r>
    </w:p>
    <w:p w14:paraId="1462B5A3">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法定代表人（负责人）签字：_______________________</w:t>
      </w:r>
    </w:p>
    <w:p w14:paraId="5FB168F1">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身份证号码：</w:t>
      </w:r>
      <w:r>
        <w:rPr>
          <w:rFonts w:hint="eastAsia" w:ascii="Times New Roman" w:hAnsi="Times New Roman" w:eastAsia="宋体" w:cs="Times New Roman"/>
          <w:color w:val="auto"/>
          <w:kern w:val="2"/>
          <w:sz w:val="24"/>
          <w:szCs w:val="24"/>
          <w:highlight w:val="none"/>
          <w:u w:val="single"/>
          <w:lang w:val="en-US" w:eastAsia="zh-CN" w:bidi="ar-SA"/>
        </w:rPr>
        <w:t xml:space="preserve">                             </w:t>
      </w:r>
    </w:p>
    <w:p w14:paraId="75F150B8">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代理人（被授权人）签字：_______________________</w:t>
      </w:r>
    </w:p>
    <w:p w14:paraId="0B892C8B">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身份证号码：</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 xml:space="preserve"> </w:t>
      </w:r>
    </w:p>
    <w:p w14:paraId="589B7EB1">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 联系电话：（手机）</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 xml:space="preserve"> </w:t>
      </w:r>
    </w:p>
    <w:p w14:paraId="424F4BA6">
      <w:pPr>
        <w:widowControl w:val="0"/>
        <w:ind w:firstLine="720" w:firstLineChars="300"/>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单位名称：_____________________________________</w:t>
      </w:r>
    </w:p>
    <w:p w14:paraId="2459A759">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 授权单位（公章）：_________________________________</w:t>
      </w:r>
    </w:p>
    <w:p w14:paraId="6B4F585F">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地址：</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 xml:space="preserve">                                 </w:t>
      </w:r>
    </w:p>
    <w:p w14:paraId="4F28B3EA">
      <w:pPr>
        <w:widowControl w:val="0"/>
        <w:ind w:firstLine="561"/>
        <w:jc w:val="righ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日期：</w:t>
      </w:r>
      <w:bookmarkStart w:id="188" w:name="_Hlt26955070"/>
      <w:bookmarkEnd w:id="188"/>
      <w:bookmarkStart w:id="189" w:name="_格式3__银行出具的资信证明"/>
      <w:bookmarkEnd w:id="189"/>
      <w:bookmarkStart w:id="190" w:name="_Hlt26671380"/>
      <w:bookmarkEnd w:id="190"/>
      <w:r>
        <w:rPr>
          <w:rFonts w:hint="eastAsia" w:ascii="Times New Roman" w:hAnsi="Times New Roman" w:eastAsia="宋体" w:cs="Times New Roman"/>
          <w:color w:val="auto"/>
          <w:kern w:val="2"/>
          <w:sz w:val="24"/>
          <w:szCs w:val="24"/>
          <w:highlight w:val="none"/>
          <w:lang w:val="en-US" w:eastAsia="zh-CN" w:bidi="ar-SA"/>
        </w:rPr>
        <w:t xml:space="preserve">   年   月   日</w:t>
      </w:r>
    </w:p>
    <w:p w14:paraId="609A687A">
      <w:pPr>
        <w:widowControl w:val="0"/>
        <w:ind w:firstLine="420"/>
        <w:jc w:val="both"/>
        <w:rPr>
          <w:rFonts w:hint="eastAsia" w:ascii="Times New Roman" w:hAnsi="Times New Roman" w:eastAsia="宋体" w:cs="Times New Roman"/>
          <w:color w:val="auto"/>
          <w:kern w:val="2"/>
          <w:sz w:val="21"/>
          <w:szCs w:val="20"/>
          <w:highlight w:val="none"/>
          <w:lang w:val="en-US" w:eastAsia="zh-CN" w:bidi="ar-SA"/>
        </w:rPr>
      </w:pPr>
    </w:p>
    <w:p w14:paraId="46980111">
      <w:pPr>
        <w:ind w:firstLine="420"/>
        <w:rPr>
          <w:rFonts w:hint="eastAsia" w:ascii="Times New Roman" w:hAnsi="Times New Roman"/>
          <w:color w:val="auto"/>
          <w:kern w:val="2"/>
          <w:szCs w:val="21"/>
          <w:highlight w:val="none"/>
        </w:rPr>
      </w:pPr>
    </w:p>
    <w:p w14:paraId="1FD269DA">
      <w:pPr>
        <w:widowControl w:val="0"/>
        <w:ind w:firstLine="420"/>
        <w:jc w:val="both"/>
        <w:rPr>
          <w:rFonts w:hint="eastAsia" w:ascii="Times New Roman" w:hAnsi="Times New Roman" w:eastAsia="宋体" w:cs="Times New Roman"/>
          <w:b/>
          <w:color w:val="auto"/>
          <w:kern w:val="2"/>
          <w:sz w:val="24"/>
          <w:szCs w:val="24"/>
          <w:highlight w:val="none"/>
          <w:lang w:val="en-US" w:eastAsia="zh-CN" w:bidi="ar-SA"/>
        </w:rPr>
      </w:pPr>
      <w:r>
        <w:rPr>
          <w:rFonts w:hint="eastAsia" w:ascii="Times New Roman" w:hAnsi="Times New Roman" w:eastAsia="宋体" w:cs="Times New Roman"/>
          <w:b/>
          <w:color w:val="auto"/>
          <w:kern w:val="2"/>
          <w:sz w:val="24"/>
          <w:szCs w:val="24"/>
          <w:highlight w:val="none"/>
          <w:lang w:val="en-US" w:eastAsia="zh-CN" w:bidi="ar-SA"/>
        </w:rPr>
        <w:t>委托代理人的身份证明文件的复印件：</w:t>
      </w:r>
    </w:p>
    <w:p w14:paraId="72F12BAC">
      <w:pPr>
        <w:rPr>
          <w:rFonts w:hint="eastAsia" w:ascii="宋体" w:hAnsi="宋体" w:cs="宋体"/>
          <w:b/>
          <w:bCs/>
          <w:color w:val="auto"/>
          <w:kern w:val="2"/>
          <w:sz w:val="32"/>
          <w:szCs w:val="32"/>
          <w:highlight w:val="none"/>
          <w:lang w:val="en-US" w:eastAsia="zh-CN"/>
        </w:rPr>
      </w:pPr>
      <w:bookmarkStart w:id="191" w:name="_Toc27507"/>
      <w:r>
        <w:rPr>
          <w:rFonts w:hint="eastAsia" w:ascii="宋体" w:hAnsi="宋体" w:cs="宋体"/>
          <w:b/>
          <w:bCs/>
          <w:color w:val="auto"/>
          <w:kern w:val="2"/>
          <w:sz w:val="32"/>
          <w:szCs w:val="32"/>
          <w:highlight w:val="none"/>
          <w:lang w:val="en-US" w:eastAsia="zh-CN"/>
        </w:rPr>
        <w:br w:type="page"/>
      </w:r>
    </w:p>
    <w:p w14:paraId="5A47840F">
      <w:pPr>
        <w:spacing w:before="143" w:beforeLines="50" w:after="143" w:afterLines="50"/>
        <w:jc w:val="center"/>
        <w:rPr>
          <w:rFonts w:hint="eastAsia" w:ascii="宋体" w:hAnsi="宋体" w:cs="宋体"/>
          <w:b/>
          <w:bCs/>
          <w:color w:val="auto"/>
          <w:kern w:val="2"/>
          <w:sz w:val="32"/>
          <w:szCs w:val="32"/>
          <w:highlight w:val="none"/>
        </w:rPr>
      </w:pPr>
      <w:r>
        <w:rPr>
          <w:rFonts w:hint="eastAsia" w:ascii="宋体" w:hAnsi="宋体" w:cs="宋体"/>
          <w:b/>
          <w:bCs/>
          <w:color w:val="auto"/>
          <w:kern w:val="2"/>
          <w:sz w:val="32"/>
          <w:szCs w:val="32"/>
          <w:highlight w:val="none"/>
          <w:lang w:val="en-US" w:eastAsia="zh-CN"/>
        </w:rPr>
        <w:t>四</w:t>
      </w:r>
      <w:r>
        <w:rPr>
          <w:rFonts w:hint="eastAsia" w:ascii="宋体" w:hAnsi="宋体" w:cs="宋体"/>
          <w:b/>
          <w:bCs/>
          <w:color w:val="auto"/>
          <w:kern w:val="2"/>
          <w:sz w:val="32"/>
          <w:szCs w:val="32"/>
          <w:highlight w:val="none"/>
        </w:rPr>
        <w:t>、谈判响应函</w:t>
      </w:r>
      <w:bookmarkEnd w:id="191"/>
    </w:p>
    <w:p w14:paraId="4F7B8123">
      <w:pPr>
        <w:widowControl w:val="0"/>
        <w:spacing w:line="440" w:lineRule="exact"/>
        <w:ind w:firstLine="561"/>
        <w:jc w:val="left"/>
        <w:rPr>
          <w:rFonts w:hint="eastAsia" w:ascii="宋体" w:hAnsi="宋体" w:eastAsia="宋体" w:cs="Times New Roman"/>
          <w:bCs/>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致：</w:t>
      </w:r>
      <w:r>
        <w:rPr>
          <w:rFonts w:hint="eastAsia" w:ascii="宋体" w:hAnsi="宋体" w:eastAsia="宋体" w:cs="Times New Roman"/>
          <w:bCs/>
          <w:color w:val="auto"/>
          <w:kern w:val="2"/>
          <w:sz w:val="24"/>
          <w:szCs w:val="24"/>
          <w:highlight w:val="none"/>
          <w:lang w:val="en-US" w:eastAsia="zh-CN" w:bidi="ar-SA"/>
        </w:rPr>
        <w:t>江苏省江宁监狱</w:t>
      </w:r>
    </w:p>
    <w:p w14:paraId="67662F62">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根据贵方的</w:t>
      </w:r>
      <w:r>
        <w:rPr>
          <w:rFonts w:hint="eastAsia" w:ascii="Times New Roman" w:hAnsi="Times New Roman" w:eastAsia="宋体" w:cs="Times New Roman"/>
          <w:color w:val="auto"/>
          <w:kern w:val="2"/>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号谈判文件，正式授权下述签字人_________ (姓名和职务)代表我方______________（供应商的名称），全权处理本次项目谈判采购的有关事宜。</w:t>
      </w:r>
    </w:p>
    <w:p w14:paraId="78008D4A">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据此函，__________（签字人）兹宣布同意如下：</w:t>
      </w:r>
    </w:p>
    <w:p w14:paraId="2475D948">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1.按谈判文件规定的各项要求，向贵方提供所需服务。</w:t>
      </w:r>
    </w:p>
    <w:p w14:paraId="5D937D43">
      <w:pPr>
        <w:widowControl w:val="0"/>
        <w:spacing w:line="440" w:lineRule="exact"/>
        <w:ind w:firstLine="561"/>
        <w:jc w:val="left"/>
        <w:rPr>
          <w:rFonts w:hint="eastAsia" w:ascii="Times New Roman" w:hAnsi="Times New Roman" w:eastAsia="宋体" w:cs="Times New Roman"/>
          <w:b/>
          <w:bCs/>
          <w:color w:val="auto"/>
          <w:kern w:val="0"/>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w:t>
      </w:r>
      <w:r>
        <w:rPr>
          <w:rFonts w:ascii="Times New Roman" w:hAnsi="Times New Roman" w:eastAsia="宋体" w:cs="Times New Roman"/>
          <w:color w:val="auto"/>
          <w:kern w:val="0"/>
          <w:sz w:val="24"/>
          <w:szCs w:val="24"/>
          <w:highlight w:val="none"/>
          <w:lang w:val="en-US" w:eastAsia="zh-CN" w:bidi="ar-SA"/>
        </w:rPr>
        <w:t xml:space="preserve"> 我们的首次报价</w:t>
      </w:r>
      <w:r>
        <w:rPr>
          <w:rFonts w:hint="eastAsia" w:ascii="Times New Roman" w:hAnsi="Times New Roman" w:eastAsia="宋体" w:cs="Times New Roman"/>
          <w:b/>
          <w:bCs/>
          <w:color w:val="auto"/>
          <w:kern w:val="0"/>
          <w:sz w:val="24"/>
          <w:szCs w:val="24"/>
          <w:highlight w:val="none"/>
          <w:lang w:val="en-US" w:eastAsia="zh-CN" w:bidi="ar-SA"/>
        </w:rPr>
        <w:t>：</w:t>
      </w:r>
    </w:p>
    <w:p w14:paraId="2FC3EED9">
      <w:pPr>
        <w:widowControl w:val="0"/>
        <w:spacing w:line="440" w:lineRule="exact"/>
        <w:ind w:firstLine="561"/>
        <w:jc w:val="left"/>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cs="Times New Roman"/>
          <w:b/>
          <w:bCs/>
          <w:color w:val="auto"/>
          <w:kern w:val="0"/>
          <w:sz w:val="24"/>
          <w:szCs w:val="24"/>
          <w:highlight w:val="none"/>
          <w:lang w:val="en-US" w:eastAsia="zh-CN" w:bidi="ar-SA"/>
        </w:rPr>
        <w:t>一包建筑消防设计安全评估：</w:t>
      </w:r>
      <w:r>
        <w:rPr>
          <w:rFonts w:hint="eastAsia" w:ascii="Times New Roman" w:hAnsi="Times New Roman" w:eastAsia="宋体" w:cs="Times New Roman"/>
          <w:b/>
          <w:bCs/>
          <w:color w:val="auto"/>
          <w:kern w:val="0"/>
          <w:sz w:val="24"/>
          <w:szCs w:val="24"/>
          <w:highlight w:val="none"/>
          <w:u w:val="single"/>
          <w:lang w:val="en-US" w:eastAsia="zh-CN" w:bidi="ar-SA"/>
        </w:rPr>
        <w:t xml:space="preserve">         </w:t>
      </w:r>
      <w:r>
        <w:rPr>
          <w:rFonts w:hint="eastAsia" w:ascii="Times New Roman" w:hAnsi="Times New Roman" w:eastAsia="宋体" w:cs="Times New Roman"/>
          <w:color w:val="auto"/>
          <w:kern w:val="2"/>
          <w:sz w:val="24"/>
          <w:szCs w:val="24"/>
          <w:highlight w:val="none"/>
          <w:lang w:val="en-US" w:eastAsia="zh-CN" w:bidi="ar-SA"/>
        </w:rPr>
        <w:t>元</w:t>
      </w:r>
      <w:r>
        <w:rPr>
          <w:rFonts w:hint="eastAsia" w:ascii="Times New Roman" w:hAnsi="Times New Roman" w:eastAsia="宋体" w:cs="Times New Roman"/>
          <w:color w:val="auto"/>
          <w:kern w:val="0"/>
          <w:sz w:val="24"/>
          <w:szCs w:val="24"/>
          <w:highlight w:val="none"/>
          <w:lang w:val="en-US" w:eastAsia="zh-CN" w:bidi="ar-SA"/>
        </w:rPr>
        <w:t>。</w:t>
      </w:r>
    </w:p>
    <w:p w14:paraId="3A675F36">
      <w:pPr>
        <w:widowControl w:val="0"/>
        <w:spacing w:line="440" w:lineRule="exact"/>
        <w:ind w:firstLine="561"/>
        <w:jc w:val="left"/>
        <w:rPr>
          <w:rFonts w:hint="eastAsia" w:ascii="宋体" w:hAnsi="宋体" w:eastAsia="宋体" w:cs="Times New Roman"/>
          <w:b/>
          <w:bCs/>
          <w:color w:val="auto"/>
          <w:spacing w:val="-1"/>
          <w:kern w:val="0"/>
          <w:sz w:val="24"/>
          <w:szCs w:val="21"/>
          <w:highlight w:val="none"/>
          <w:u w:val="single"/>
          <w:lang w:val="en-US" w:eastAsia="zh-CN" w:bidi="ar-SA"/>
        </w:rPr>
      </w:pPr>
      <w:r>
        <w:rPr>
          <w:rFonts w:hint="eastAsia" w:ascii="Times New Roman" w:hAnsi="Times New Roman" w:eastAsia="宋体" w:cs="Times New Roman"/>
          <w:color w:val="auto"/>
          <w:kern w:val="2"/>
          <w:sz w:val="24"/>
          <w:szCs w:val="24"/>
          <w:highlight w:val="none"/>
          <w:lang w:val="en-US" w:eastAsia="zh-CN" w:bidi="ar-SA"/>
        </w:rPr>
        <w:t>3.合同履行期：</w:t>
      </w:r>
      <w:r>
        <w:rPr>
          <w:rFonts w:hint="eastAsia" w:ascii="宋体" w:hAnsi="宋体" w:eastAsia="宋体" w:cs="Times New Roman"/>
          <w:b/>
          <w:bCs/>
          <w:color w:val="auto"/>
          <w:spacing w:val="-1"/>
          <w:kern w:val="0"/>
          <w:sz w:val="24"/>
          <w:szCs w:val="21"/>
          <w:highlight w:val="none"/>
          <w:u w:val="single"/>
          <w:lang w:val="en-US" w:eastAsia="zh-CN" w:bidi="ar-SA"/>
        </w:rPr>
        <w:t xml:space="preserve">            </w:t>
      </w:r>
    </w:p>
    <w:p w14:paraId="4FF859C3">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eastAsia="宋体" w:cs="Times New Roman"/>
          <w:bCs/>
          <w:color w:val="auto"/>
          <w:spacing w:val="-1"/>
          <w:kern w:val="0"/>
          <w:sz w:val="24"/>
          <w:szCs w:val="21"/>
          <w:highlight w:val="none"/>
          <w:lang w:val="en-US" w:eastAsia="zh-CN" w:bidi="ar-SA"/>
        </w:rPr>
        <w:t>4.</w:t>
      </w:r>
      <w:r>
        <w:rPr>
          <w:rFonts w:hint="eastAsia" w:ascii="Times New Roman" w:hAnsi="Times New Roman" w:eastAsia="宋体" w:cs="Times New Roman"/>
          <w:color w:val="auto"/>
          <w:kern w:val="2"/>
          <w:sz w:val="24"/>
          <w:szCs w:val="24"/>
          <w:highlight w:val="none"/>
          <w:lang w:val="en-US" w:eastAsia="zh-CN" w:bidi="ar-SA"/>
        </w:rPr>
        <w:t>我们已详细审核全部谈判文件及其有效补充文件，我们知道必须放弃提出含糊不清或误解问题的权利。提交响应文件后，不对谈判文件本身提出质疑。否则，属于不诚信和故意扰乱政府采购活动行为，我们将无条件接受处罚。</w:t>
      </w:r>
    </w:p>
    <w:p w14:paraId="56437B8C">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5.我们同意从规定的</w:t>
      </w:r>
      <w:r>
        <w:rPr>
          <w:rFonts w:hint="eastAsia" w:ascii="宋体" w:hAnsi="宋体" w:eastAsia="宋体" w:cs="Times New Roman"/>
          <w:color w:val="auto"/>
          <w:kern w:val="2"/>
          <w:sz w:val="24"/>
          <w:szCs w:val="24"/>
          <w:highlight w:val="none"/>
          <w:lang w:val="en-US" w:eastAsia="zh-CN" w:bidi="ar-SA"/>
        </w:rPr>
        <w:t>响应文件接收截止时间</w:t>
      </w:r>
      <w:r>
        <w:rPr>
          <w:rFonts w:hint="eastAsia" w:ascii="Times New Roman" w:hAnsi="Times New Roman" w:eastAsia="宋体" w:cs="Times New Roman"/>
          <w:color w:val="auto"/>
          <w:kern w:val="2"/>
          <w:sz w:val="24"/>
          <w:szCs w:val="24"/>
          <w:highlight w:val="none"/>
          <w:lang w:val="en-US" w:eastAsia="zh-CN" w:bidi="ar-SA"/>
        </w:rPr>
        <w:t>起遵循本响应文件，并在规定的谈判有效期期满之前均具有约束力。</w:t>
      </w:r>
    </w:p>
    <w:p w14:paraId="7719CE9A">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6.同意向贵方提供贵方可能另外要求的与谈判采购有关的任何证据或资料，并保证我方已提供和将要提供的文件是真实的、准确的。</w:t>
      </w:r>
    </w:p>
    <w:p w14:paraId="42916E4C">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7.一旦我方成交，我方将根据谈判文件的规定，严格履行合同的责任和义务，并保证在谈判文件规定的时间完成项目，交付买方验收、使用。</w:t>
      </w:r>
    </w:p>
    <w:p w14:paraId="759A159D">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8.遵守谈判文件中要求的收费项目和标准。</w:t>
      </w:r>
    </w:p>
    <w:p w14:paraId="7351CF7C">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9. 我方决不提供虚假材料谋取成交、决不采取不正当手段诋毁、排挤其他供应商、 决不与采购人、其它供应商或者采购代理机构恶意串通、绝不向采购人、采购代理机构 工作人员和谈判小组进行商业贿赂、决不拒绝有关部门监督检查或提供虚假情况，如有违反，无条件接受贵方及相关管理部门的处罚。</w:t>
      </w:r>
    </w:p>
    <w:p w14:paraId="2A1E578E">
      <w:pPr>
        <w:widowControl w:val="0"/>
        <w:spacing w:line="440" w:lineRule="exact"/>
        <w:ind w:firstLine="480" w:firstLineChars="200"/>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10.与本谈判采购有关的正式通讯地址为：</w:t>
      </w:r>
    </w:p>
    <w:p w14:paraId="3F1FA45C">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地 址：                         邮 编：</w:t>
      </w:r>
    </w:p>
    <w:p w14:paraId="3DBA2631">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电 话：                         传 真：</w:t>
      </w:r>
    </w:p>
    <w:p w14:paraId="690D01CA">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供应商开户行：                  账 户： </w:t>
      </w:r>
    </w:p>
    <w:p w14:paraId="70477D0A">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供应商名称（公章）：            </w:t>
      </w:r>
    </w:p>
    <w:p w14:paraId="08A53073">
      <w:pPr>
        <w:widowControl w:val="0"/>
        <w:spacing w:line="440" w:lineRule="exact"/>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日 期：________年____月____日</w:t>
      </w:r>
    </w:p>
    <w:p w14:paraId="0993FC0B">
      <w:pPr>
        <w:keepNext/>
        <w:keepLines/>
        <w:widowControl w:val="0"/>
        <w:spacing w:before="260" w:after="260" w:line="440" w:lineRule="exact"/>
        <w:jc w:val="center"/>
        <w:outlineLvl w:val="1"/>
        <w:rPr>
          <w:rFonts w:hint="eastAsia" w:ascii="宋体" w:hAnsi="宋体" w:eastAsia="宋体" w:cs="宋体"/>
          <w:b/>
          <w:color w:val="auto"/>
          <w:kern w:val="2"/>
          <w:sz w:val="32"/>
          <w:szCs w:val="32"/>
          <w:highlight w:val="none"/>
          <w:lang w:val="en-US" w:eastAsia="zh-CN" w:bidi="ar-SA"/>
        </w:rPr>
      </w:pPr>
      <w:r>
        <w:rPr>
          <w:rFonts w:ascii="宋体" w:hAnsi="宋体" w:eastAsia="幼圆" w:cs="Times New Roman"/>
          <w:b w:val="0"/>
          <w:color w:val="auto"/>
          <w:kern w:val="0"/>
          <w:sz w:val="44"/>
          <w:szCs w:val="20"/>
          <w:highlight w:val="none"/>
          <w:lang w:val="en-US" w:eastAsia="zh-CN" w:bidi="ar-SA"/>
        </w:rPr>
        <w:br w:type="page"/>
      </w:r>
      <w:bookmarkStart w:id="192" w:name="_Toc9411"/>
      <w:r>
        <w:rPr>
          <w:rFonts w:hint="eastAsia" w:ascii="宋体" w:hAnsi="宋体" w:eastAsia="宋体" w:cs="宋体"/>
          <w:b/>
          <w:color w:val="auto"/>
          <w:kern w:val="2"/>
          <w:sz w:val="32"/>
          <w:szCs w:val="32"/>
          <w:highlight w:val="none"/>
          <w:lang w:val="en-US" w:eastAsia="zh-CN" w:bidi="ar-SA"/>
        </w:rPr>
        <w:t>五、谈判响应报价表</w:t>
      </w:r>
      <w:bookmarkEnd w:id="192"/>
    </w:p>
    <w:p w14:paraId="2CB15EFD">
      <w:pPr>
        <w:jc w:val="center"/>
        <w:outlineLvl w:val="1"/>
        <w:rPr>
          <w:rFonts w:hint="eastAsia" w:ascii="黑体" w:hAnsi="黑体" w:eastAsia="黑体" w:cs="黑体"/>
          <w:b/>
          <w:bCs/>
          <w:color w:val="auto"/>
          <w:kern w:val="2"/>
          <w:sz w:val="24"/>
          <w:szCs w:val="32"/>
          <w:highlight w:val="none"/>
        </w:rPr>
      </w:pPr>
      <w:bookmarkStart w:id="193" w:name="_Toc28075"/>
      <w:r>
        <w:rPr>
          <w:rFonts w:hint="eastAsia" w:ascii="黑体" w:hAnsi="黑体" w:eastAsia="黑体" w:cs="黑体"/>
          <w:b/>
          <w:bCs/>
          <w:color w:val="auto"/>
          <w:kern w:val="2"/>
          <w:sz w:val="24"/>
          <w:szCs w:val="32"/>
          <w:highlight w:val="none"/>
        </w:rPr>
        <w:t>报价表格式（首次报价）</w:t>
      </w:r>
      <w:bookmarkEnd w:id="193"/>
    </w:p>
    <w:p w14:paraId="2E8731CF">
      <w:pPr>
        <w:jc w:val="center"/>
        <w:outlineLvl w:val="1"/>
        <w:rPr>
          <w:rFonts w:hint="eastAsia" w:ascii="黑体" w:hAnsi="黑体" w:eastAsia="黑体" w:cs="黑体"/>
          <w:b/>
          <w:bCs/>
          <w:color w:val="auto"/>
          <w:kern w:val="2"/>
          <w:sz w:val="24"/>
          <w:szCs w:val="32"/>
          <w:highlight w:val="none"/>
          <w:lang w:val="en-US" w:eastAsia="zh-CN"/>
        </w:rPr>
      </w:pPr>
      <w:r>
        <w:rPr>
          <w:rFonts w:hint="eastAsia" w:ascii="黑体" w:hAnsi="黑体" w:eastAsia="黑体" w:cs="黑体"/>
          <w:b/>
          <w:bCs/>
          <w:color w:val="auto"/>
          <w:kern w:val="2"/>
          <w:sz w:val="24"/>
          <w:szCs w:val="32"/>
          <w:highlight w:val="none"/>
          <w:lang w:val="en-US" w:eastAsia="zh-CN"/>
        </w:rPr>
        <w:t>（根据所投分包填写，未投分包无需填写或以/表示）</w:t>
      </w:r>
    </w:p>
    <w:p w14:paraId="29E9A78E">
      <w:pPr>
        <w:jc w:val="center"/>
        <w:outlineLvl w:val="1"/>
        <w:rPr>
          <w:rFonts w:hint="eastAsia" w:ascii="黑体" w:hAnsi="黑体" w:eastAsia="黑体" w:cs="黑体"/>
          <w:b/>
          <w:bCs/>
          <w:color w:val="auto"/>
          <w:kern w:val="2"/>
          <w:sz w:val="24"/>
          <w:szCs w:val="32"/>
          <w:highlight w:val="none"/>
        </w:rPr>
      </w:pPr>
    </w:p>
    <w:p w14:paraId="6A68E79A">
      <w:pPr>
        <w:tabs>
          <w:tab w:val="left" w:pos="6637"/>
        </w:tabs>
        <w:spacing w:before="154"/>
        <w:ind w:left="224"/>
        <w:jc w:val="left"/>
        <w:rPr>
          <w:rFonts w:hint="default" w:ascii="宋体" w:hAnsi="宋体"/>
          <w:color w:val="auto"/>
          <w:kern w:val="2"/>
          <w:sz w:val="24"/>
          <w:szCs w:val="24"/>
          <w:highlight w:val="none"/>
        </w:rPr>
      </w:pPr>
      <w:r>
        <w:rPr>
          <w:rFonts w:hint="default" w:ascii="宋体" w:hAnsi="宋体"/>
          <w:color w:val="auto"/>
          <w:kern w:val="2"/>
          <w:sz w:val="24"/>
          <w:szCs w:val="24"/>
          <w:highlight w:val="none"/>
        </w:rPr>
        <w:t>项目名称：</w:t>
      </w:r>
      <w:r>
        <w:rPr>
          <w:rFonts w:hint="default" w:ascii="宋体" w:hAnsi="宋体"/>
          <w:color w:val="auto"/>
          <w:kern w:val="2"/>
          <w:sz w:val="24"/>
          <w:szCs w:val="24"/>
          <w:highlight w:val="none"/>
        </w:rPr>
        <w:tab/>
      </w:r>
      <w:r>
        <w:rPr>
          <w:rFonts w:hint="eastAsia" w:ascii="宋体" w:hAnsi="宋体"/>
          <w:color w:val="auto"/>
          <w:kern w:val="2"/>
          <w:sz w:val="24"/>
          <w:szCs w:val="24"/>
          <w:highlight w:val="none"/>
        </w:rPr>
        <w:t>项目编号</w:t>
      </w:r>
      <w:r>
        <w:rPr>
          <w:rFonts w:hint="default" w:ascii="宋体" w:hAnsi="宋体"/>
          <w:color w:val="auto"/>
          <w:kern w:val="2"/>
          <w:sz w:val="24"/>
          <w:szCs w:val="24"/>
          <w:highlight w:val="none"/>
        </w:rPr>
        <w:t>:</w:t>
      </w:r>
    </w:p>
    <w:tbl>
      <w:tblPr>
        <w:tblStyle w:val="50"/>
        <w:tblW w:w="9726"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23"/>
        <w:gridCol w:w="3889"/>
        <w:gridCol w:w="2850"/>
        <w:gridCol w:w="2064"/>
      </w:tblGrid>
      <w:tr w14:paraId="3F3FD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270" w:hRule="atLeast"/>
        </w:trPr>
        <w:tc>
          <w:tcPr>
            <w:tcW w:w="923" w:type="dxa"/>
            <w:noWrap w:val="0"/>
            <w:vAlign w:val="center"/>
          </w:tcPr>
          <w:p w14:paraId="6170A234">
            <w:pPr>
              <w:shd w:val="clear" w:color="auto" w:fill="FFFFFF"/>
              <w:spacing w:line="360" w:lineRule="auto"/>
              <w:jc w:val="center"/>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序号</w:t>
            </w:r>
          </w:p>
        </w:tc>
        <w:tc>
          <w:tcPr>
            <w:tcW w:w="3889" w:type="dxa"/>
            <w:noWrap w:val="0"/>
            <w:vAlign w:val="center"/>
          </w:tcPr>
          <w:p w14:paraId="545902D4">
            <w:pPr>
              <w:shd w:val="clear" w:color="auto" w:fill="FFFFFF"/>
              <w:spacing w:line="360" w:lineRule="auto"/>
              <w:jc w:val="center"/>
              <w:rPr>
                <w:rFonts w:hint="default" w:ascii="宋体" w:hAnsi="宋体"/>
                <w:color w:val="auto"/>
                <w:kern w:val="2"/>
                <w:sz w:val="24"/>
                <w:szCs w:val="24"/>
                <w:highlight w:val="none"/>
                <w:lang w:val="zh-CN"/>
              </w:rPr>
            </w:pPr>
            <w:r>
              <w:rPr>
                <w:rFonts w:hint="eastAsia" w:ascii="宋体" w:hAnsi="宋体"/>
                <w:color w:val="auto"/>
                <w:kern w:val="2"/>
                <w:sz w:val="24"/>
                <w:szCs w:val="24"/>
                <w:highlight w:val="none"/>
                <w:lang w:val="zh-CN"/>
              </w:rPr>
              <w:t>名    称</w:t>
            </w:r>
          </w:p>
        </w:tc>
        <w:tc>
          <w:tcPr>
            <w:tcW w:w="2850" w:type="dxa"/>
            <w:noWrap w:val="0"/>
            <w:vAlign w:val="center"/>
          </w:tcPr>
          <w:p w14:paraId="5D293A37">
            <w:pPr>
              <w:shd w:val="clear" w:color="auto" w:fill="FFFFFF"/>
              <w:spacing w:line="360" w:lineRule="auto"/>
              <w:jc w:val="center"/>
              <w:rPr>
                <w:rFonts w:hint="eastAsia" w:ascii="宋体" w:hAnsi="宋体" w:eastAsia="宋体"/>
                <w:color w:val="auto"/>
                <w:kern w:val="2"/>
                <w:sz w:val="24"/>
                <w:szCs w:val="24"/>
                <w:highlight w:val="none"/>
                <w:lang w:val="zh-CN" w:eastAsia="zh-CN"/>
              </w:rPr>
            </w:pPr>
            <w:r>
              <w:rPr>
                <w:rFonts w:hint="eastAsia" w:ascii="宋体" w:hAnsi="宋体"/>
                <w:color w:val="auto"/>
                <w:kern w:val="2"/>
                <w:sz w:val="24"/>
                <w:szCs w:val="24"/>
                <w:highlight w:val="none"/>
                <w:lang w:val="en-US" w:eastAsia="zh-CN"/>
              </w:rPr>
              <w:t>报价</w:t>
            </w:r>
          </w:p>
        </w:tc>
        <w:tc>
          <w:tcPr>
            <w:tcW w:w="2064" w:type="dxa"/>
            <w:noWrap w:val="0"/>
            <w:vAlign w:val="center"/>
          </w:tcPr>
          <w:p w14:paraId="04BC1F3F">
            <w:pPr>
              <w:shd w:val="clear" w:color="auto" w:fill="FFFFFF"/>
              <w:spacing w:line="360" w:lineRule="auto"/>
              <w:ind w:firstLine="480" w:firstLineChars="200"/>
              <w:rPr>
                <w:rFonts w:hint="default" w:ascii="宋体" w:hAnsi="宋体"/>
                <w:color w:val="auto"/>
                <w:kern w:val="2"/>
                <w:sz w:val="24"/>
                <w:szCs w:val="24"/>
                <w:highlight w:val="none"/>
              </w:rPr>
            </w:pPr>
            <w:r>
              <w:rPr>
                <w:rFonts w:hint="eastAsia" w:ascii="宋体" w:hAnsi="宋体"/>
                <w:color w:val="auto"/>
                <w:kern w:val="2"/>
                <w:sz w:val="24"/>
                <w:szCs w:val="24"/>
                <w:highlight w:val="none"/>
              </w:rPr>
              <w:t>备注</w:t>
            </w:r>
          </w:p>
        </w:tc>
      </w:tr>
      <w:tr w14:paraId="4847D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07" w:hRule="atLeast"/>
        </w:trPr>
        <w:tc>
          <w:tcPr>
            <w:tcW w:w="923" w:type="dxa"/>
            <w:noWrap w:val="0"/>
            <w:vAlign w:val="center"/>
          </w:tcPr>
          <w:p w14:paraId="4BFB9CEA">
            <w:pPr>
              <w:shd w:val="clear" w:color="auto" w:fill="FFFFFF"/>
              <w:spacing w:line="360" w:lineRule="auto"/>
              <w:jc w:val="center"/>
              <w:rPr>
                <w:rFonts w:hint="default" w:ascii="宋体" w:hAnsi="宋体"/>
                <w:color w:val="auto"/>
                <w:kern w:val="2"/>
                <w:sz w:val="24"/>
                <w:szCs w:val="24"/>
                <w:highlight w:val="none"/>
              </w:rPr>
            </w:pPr>
            <w:r>
              <w:rPr>
                <w:rFonts w:hint="eastAsia" w:ascii="宋体" w:hAnsi="宋体"/>
                <w:color w:val="auto"/>
                <w:kern w:val="2"/>
                <w:sz w:val="24"/>
                <w:szCs w:val="24"/>
                <w:highlight w:val="none"/>
              </w:rPr>
              <w:t>1</w:t>
            </w:r>
          </w:p>
        </w:tc>
        <w:tc>
          <w:tcPr>
            <w:tcW w:w="3889" w:type="dxa"/>
            <w:shd w:val="clear" w:color="auto" w:fill="auto"/>
            <w:noWrap w:val="0"/>
            <w:vAlign w:val="center"/>
          </w:tcPr>
          <w:p w14:paraId="449FE7BC">
            <w:pPr>
              <w:widowControl w:val="0"/>
              <w:autoSpaceDE w:val="0"/>
              <w:autoSpaceDN w:val="0"/>
              <w:ind w:right="687"/>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4"/>
                <w:szCs w:val="22"/>
                <w:highlight w:val="none"/>
                <w:lang w:val="en-US" w:eastAsia="zh-CN" w:bidi="it-IT"/>
              </w:rPr>
              <w:t>一包：建筑消防设计安全评估</w:t>
            </w:r>
          </w:p>
        </w:tc>
        <w:tc>
          <w:tcPr>
            <w:tcW w:w="2850" w:type="dxa"/>
            <w:noWrap w:val="0"/>
            <w:vAlign w:val="center"/>
          </w:tcPr>
          <w:p w14:paraId="33B91449">
            <w:pPr>
              <w:pStyle w:val="276"/>
              <w:tabs>
                <w:tab w:val="left" w:pos="2062"/>
                <w:tab w:val="left" w:pos="3262"/>
              </w:tabs>
              <w:jc w:val="center"/>
              <w:rPr>
                <w:rFonts w:hint="default"/>
                <w:color w:val="auto"/>
                <w:sz w:val="24"/>
                <w:highlight w:val="none"/>
                <w:lang w:val="en-US" w:eastAsia="zh-CN"/>
              </w:rPr>
            </w:pPr>
            <w:r>
              <w:rPr>
                <w:rFonts w:hint="eastAsia"/>
                <w:color w:val="auto"/>
                <w:sz w:val="24"/>
                <w:highlight w:val="none"/>
                <w:u w:val="single"/>
                <w:lang w:val="en-US" w:eastAsia="zh-CN"/>
              </w:rPr>
              <w:t xml:space="preserve">     </w:t>
            </w:r>
            <w:r>
              <w:rPr>
                <w:rFonts w:hint="eastAsia"/>
                <w:color w:val="auto"/>
                <w:sz w:val="24"/>
                <w:highlight w:val="none"/>
                <w:lang w:val="en-US" w:eastAsia="zh-CN"/>
              </w:rPr>
              <w:t>元</w:t>
            </w:r>
          </w:p>
        </w:tc>
        <w:tc>
          <w:tcPr>
            <w:tcW w:w="2064" w:type="dxa"/>
            <w:noWrap w:val="0"/>
            <w:vAlign w:val="top"/>
          </w:tcPr>
          <w:p w14:paraId="04A94B09">
            <w:pPr>
              <w:jc w:val="center"/>
              <w:rPr>
                <w:rFonts w:hint="default" w:ascii="Times New Roman" w:hAnsi="Times New Roman"/>
                <w:color w:val="auto"/>
                <w:kern w:val="2"/>
                <w:sz w:val="24"/>
                <w:szCs w:val="24"/>
                <w:highlight w:val="none"/>
                <w:lang w:val="zh-CN"/>
              </w:rPr>
            </w:pPr>
          </w:p>
        </w:tc>
      </w:tr>
      <w:tr w14:paraId="786691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70" w:hRule="atLeast"/>
        </w:trPr>
        <w:tc>
          <w:tcPr>
            <w:tcW w:w="4812" w:type="dxa"/>
            <w:gridSpan w:val="2"/>
            <w:noWrap w:val="0"/>
            <w:vAlign w:val="center"/>
          </w:tcPr>
          <w:p w14:paraId="7866DE17">
            <w:pPr>
              <w:shd w:val="clear" w:color="auto" w:fill="FFFFFF"/>
              <w:spacing w:line="360" w:lineRule="auto"/>
              <w:jc w:val="center"/>
              <w:rPr>
                <w:rFonts w:hint="default" w:ascii="宋体" w:hAnsi="Times New Roman" w:cs="宋体"/>
                <w:color w:val="auto"/>
                <w:kern w:val="2"/>
                <w:sz w:val="24"/>
                <w:szCs w:val="24"/>
                <w:highlight w:val="none"/>
              </w:rPr>
            </w:pPr>
            <w:r>
              <w:rPr>
                <w:rFonts w:hint="eastAsia" w:ascii="宋体" w:hAnsi="Times New Roman" w:cs="宋体"/>
                <w:color w:val="auto"/>
                <w:kern w:val="2"/>
                <w:sz w:val="24"/>
                <w:szCs w:val="24"/>
                <w:highlight w:val="none"/>
              </w:rPr>
              <w:t>服务期限</w:t>
            </w:r>
          </w:p>
        </w:tc>
        <w:tc>
          <w:tcPr>
            <w:tcW w:w="2850" w:type="dxa"/>
            <w:shd w:val="clear" w:color="auto" w:fill="auto"/>
            <w:noWrap w:val="0"/>
            <w:vAlign w:val="center"/>
          </w:tcPr>
          <w:p w14:paraId="4E939BF4">
            <w:pPr>
              <w:widowControl w:val="0"/>
              <w:spacing w:line="360" w:lineRule="auto"/>
              <w:jc w:val="center"/>
              <w:textAlignment w:val="auto"/>
              <w:rPr>
                <w:rFonts w:hint="default" w:ascii="宋体" w:hAnsi="宋体" w:eastAsia="宋体" w:cs="宋体"/>
                <w:color w:val="auto"/>
                <w:kern w:val="2"/>
                <w:sz w:val="21"/>
                <w:szCs w:val="21"/>
                <w:highlight w:val="none"/>
                <w:lang w:val="zh-TW" w:eastAsia="zh-TW" w:bidi="ar-SA"/>
              </w:rPr>
            </w:pPr>
          </w:p>
        </w:tc>
        <w:tc>
          <w:tcPr>
            <w:tcW w:w="2064" w:type="dxa"/>
            <w:noWrap w:val="0"/>
            <w:vAlign w:val="top"/>
          </w:tcPr>
          <w:p w14:paraId="13CA2DBB">
            <w:pPr>
              <w:shd w:val="clear" w:color="auto" w:fill="FFFFFF"/>
              <w:spacing w:line="360" w:lineRule="auto"/>
              <w:rPr>
                <w:rFonts w:hint="default" w:ascii="宋体" w:hAnsi="宋体"/>
                <w:color w:val="auto"/>
                <w:kern w:val="2"/>
                <w:sz w:val="24"/>
                <w:szCs w:val="24"/>
                <w:highlight w:val="none"/>
              </w:rPr>
            </w:pPr>
          </w:p>
        </w:tc>
      </w:tr>
    </w:tbl>
    <w:p w14:paraId="5E13A2CB">
      <w:pPr>
        <w:shd w:val="clear" w:color="auto" w:fill="FFFFFF"/>
        <w:spacing w:line="360" w:lineRule="auto"/>
        <w:rPr>
          <w:rFonts w:hint="default" w:ascii="宋体" w:hAnsi="宋体"/>
          <w:b/>
          <w:bCs/>
          <w:color w:val="auto"/>
          <w:kern w:val="2"/>
          <w:szCs w:val="21"/>
          <w:highlight w:val="none"/>
        </w:rPr>
      </w:pPr>
    </w:p>
    <w:p w14:paraId="46F14AD9">
      <w:pPr>
        <w:shd w:val="clear" w:color="auto" w:fill="FFFFFF"/>
        <w:spacing w:line="360" w:lineRule="auto"/>
        <w:rPr>
          <w:rFonts w:hint="default" w:ascii="宋体" w:hAnsi="宋体"/>
          <w:color w:val="auto"/>
          <w:kern w:val="2"/>
          <w:szCs w:val="21"/>
          <w:highlight w:val="none"/>
        </w:rPr>
      </w:pPr>
      <w:r>
        <w:rPr>
          <w:rFonts w:hint="eastAsia" w:ascii="宋体" w:hAnsi="宋体"/>
          <w:color w:val="auto"/>
          <w:kern w:val="2"/>
          <w:szCs w:val="21"/>
          <w:highlight w:val="none"/>
        </w:rPr>
        <w:t> </w:t>
      </w:r>
      <w:r>
        <w:rPr>
          <w:rFonts w:hint="eastAsia" w:ascii="宋体" w:hAnsi="宋体"/>
          <w:b/>
          <w:bCs/>
          <w:color w:val="auto"/>
          <w:kern w:val="2"/>
          <w:szCs w:val="21"/>
          <w:highlight w:val="none"/>
          <w:lang w:val="zh-CN"/>
        </w:rPr>
        <w:t>说明：</w:t>
      </w:r>
    </w:p>
    <w:p w14:paraId="477F0567">
      <w:pPr>
        <w:shd w:val="clear" w:color="auto" w:fill="FFFFFF"/>
        <w:spacing w:line="360" w:lineRule="auto"/>
        <w:ind w:firstLine="420" w:firstLineChars="200"/>
        <w:rPr>
          <w:rFonts w:hint="eastAsia" w:ascii="宋体" w:hAnsi="宋体"/>
          <w:color w:val="auto"/>
          <w:kern w:val="2"/>
          <w:szCs w:val="21"/>
          <w:highlight w:val="none"/>
          <w:lang w:val="zh-CN"/>
        </w:rPr>
      </w:pPr>
      <w:r>
        <w:rPr>
          <w:rFonts w:hint="eastAsia" w:ascii="宋体" w:hAnsi="宋体"/>
          <w:color w:val="auto"/>
          <w:kern w:val="2"/>
          <w:szCs w:val="21"/>
          <w:highlight w:val="none"/>
        </w:rPr>
        <w:t>1</w:t>
      </w:r>
      <w:r>
        <w:rPr>
          <w:rFonts w:hint="eastAsia" w:ascii="宋体" w:hAnsi="宋体"/>
          <w:color w:val="auto"/>
          <w:kern w:val="2"/>
          <w:szCs w:val="21"/>
          <w:highlight w:val="none"/>
          <w:lang w:val="zh-CN"/>
        </w:rPr>
        <w:t>、本项目仅接受一个价格，不接受有选择性报价方案。</w:t>
      </w:r>
    </w:p>
    <w:p w14:paraId="17F4BA84">
      <w:pPr>
        <w:pStyle w:val="22"/>
        <w:ind w:left="1260"/>
        <w:rPr>
          <w:rFonts w:hint="eastAsia" w:ascii="宋体" w:hAnsi="宋体"/>
          <w:color w:val="auto"/>
          <w:szCs w:val="21"/>
          <w:highlight w:val="none"/>
          <w:lang w:val="zh-CN"/>
        </w:rPr>
      </w:pPr>
    </w:p>
    <w:p w14:paraId="44560794">
      <w:pPr>
        <w:rPr>
          <w:rFonts w:hint="default" w:ascii="Times New Roman" w:hAnsi="Times New Roman"/>
          <w:color w:val="auto"/>
          <w:kern w:val="2"/>
          <w:szCs w:val="24"/>
          <w:highlight w:val="none"/>
          <w:lang w:val="zh-CN"/>
        </w:rPr>
      </w:pPr>
    </w:p>
    <w:p w14:paraId="75112F89">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供应商名称（公章）：            </w:t>
      </w:r>
    </w:p>
    <w:p w14:paraId="4C81A5AD">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日 期：________年____月____日</w:t>
      </w:r>
    </w:p>
    <w:p w14:paraId="77990074">
      <w:pPr>
        <w:spacing w:line="275" w:lineRule="exact"/>
        <w:ind w:left="558"/>
        <w:jc w:val="left"/>
        <w:rPr>
          <w:rFonts w:hint="eastAsia" w:ascii="宋体" w:hAnsi="宋体"/>
          <w:color w:val="auto"/>
          <w:kern w:val="2"/>
          <w:sz w:val="24"/>
          <w:szCs w:val="24"/>
          <w:highlight w:val="none"/>
        </w:rPr>
      </w:pPr>
    </w:p>
    <w:p w14:paraId="1DF162B7">
      <w:pPr>
        <w:jc w:val="center"/>
        <w:outlineLvl w:val="1"/>
        <w:rPr>
          <w:rFonts w:hint="eastAsia" w:ascii="黑体" w:hAnsi="黑体" w:eastAsia="黑体" w:cs="黑体"/>
          <w:b/>
          <w:bCs/>
          <w:color w:val="auto"/>
          <w:kern w:val="2"/>
          <w:sz w:val="24"/>
          <w:szCs w:val="32"/>
          <w:highlight w:val="none"/>
        </w:rPr>
      </w:pPr>
    </w:p>
    <w:p w14:paraId="7911D89E">
      <w:pPr>
        <w:jc w:val="center"/>
        <w:outlineLvl w:val="1"/>
        <w:rPr>
          <w:rFonts w:hint="eastAsia" w:ascii="黑体" w:hAnsi="黑体" w:eastAsia="黑体" w:cs="黑体"/>
          <w:b/>
          <w:bCs/>
          <w:color w:val="auto"/>
          <w:kern w:val="2"/>
          <w:sz w:val="24"/>
          <w:szCs w:val="32"/>
          <w:highlight w:val="none"/>
        </w:rPr>
      </w:pPr>
    </w:p>
    <w:p w14:paraId="3CA4BD27">
      <w:pPr>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br w:type="page"/>
      </w:r>
    </w:p>
    <w:p w14:paraId="2B589811">
      <w:pPr>
        <w:keepNext/>
        <w:keepLines/>
        <w:widowControl w:val="0"/>
        <w:spacing w:before="260" w:after="260" w:line="440" w:lineRule="exact"/>
        <w:jc w:val="center"/>
        <w:outlineLvl w:val="1"/>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六、联合体协议（如有）</w:t>
      </w:r>
    </w:p>
    <w:p w14:paraId="7D7F59FA">
      <w:pPr>
        <w:jc w:val="center"/>
        <w:outlineLvl w:val="1"/>
        <w:rPr>
          <w:rFonts w:hint="eastAsia" w:ascii="黑体" w:hAnsi="黑体" w:eastAsia="黑体" w:cs="黑体"/>
          <w:b/>
          <w:bCs/>
          <w:color w:val="auto"/>
          <w:kern w:val="2"/>
          <w:sz w:val="24"/>
          <w:szCs w:val="32"/>
          <w:highlight w:val="none"/>
          <w:lang w:val="en-US" w:eastAsia="en-US"/>
        </w:rPr>
      </w:pPr>
      <w:r>
        <w:rPr>
          <w:rFonts w:hint="eastAsia" w:ascii="黑体" w:hAnsi="黑体" w:eastAsia="黑体" w:cs="黑体"/>
          <w:b/>
          <w:bCs/>
          <w:color w:val="auto"/>
          <w:kern w:val="2"/>
          <w:sz w:val="24"/>
          <w:szCs w:val="32"/>
          <w:highlight w:val="none"/>
          <w:lang w:val="zh-CN" w:eastAsia="en-US"/>
        </w:rPr>
        <w:t>联合体协议</w:t>
      </w:r>
    </w:p>
    <w:p w14:paraId="5772150A">
      <w:pPr>
        <w:widowControl/>
        <w:shd w:val="clear" w:color="auto" w:fill="FFFFFF"/>
        <w:spacing w:line="360" w:lineRule="auto"/>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致：</w:t>
      </w:r>
      <w:r>
        <w:rPr>
          <w:rFonts w:hint="eastAsia" w:ascii="宋体" w:hAnsi="宋体" w:eastAsia="宋体" w:cs="Times New Roman"/>
          <w:color w:val="auto"/>
          <w:kern w:val="0"/>
          <w:sz w:val="22"/>
          <w:szCs w:val="21"/>
          <w:highlight w:val="none"/>
          <w:lang w:eastAsia="zh-CN"/>
        </w:rPr>
        <w:t>江苏省江宁监狱</w:t>
      </w:r>
    </w:p>
    <w:p w14:paraId="5F98D989">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u w:val="single"/>
          <w:lang w:eastAsia="en-US"/>
        </w:rPr>
        <w:t>（联合体所有成员名称）</w:t>
      </w:r>
      <w:r>
        <w:rPr>
          <w:rFonts w:hint="eastAsia" w:ascii="宋体" w:hAnsi="宋体" w:eastAsia="宋体" w:cs="Times New Roman"/>
          <w:color w:val="auto"/>
          <w:kern w:val="0"/>
          <w:sz w:val="22"/>
          <w:szCs w:val="21"/>
          <w:highlight w:val="none"/>
          <w:lang w:eastAsia="en-US"/>
        </w:rPr>
        <w:t>自愿组成联合体，以一个供应商的身份参加</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（项目名称）</w:t>
      </w:r>
      <w:r>
        <w:rPr>
          <w:rFonts w:hint="eastAsia" w:ascii="宋体" w:hAnsi="宋体" w:cs="Times New Roman"/>
          <w:color w:val="auto"/>
          <w:kern w:val="0"/>
          <w:sz w:val="22"/>
          <w:szCs w:val="21"/>
          <w:highlight w:val="none"/>
          <w:lang w:eastAsia="zh-CN"/>
        </w:rPr>
        <w:t>谈判</w:t>
      </w:r>
      <w:r>
        <w:rPr>
          <w:rFonts w:hint="eastAsia" w:ascii="宋体" w:hAnsi="宋体" w:eastAsia="宋体" w:cs="Times New Roman"/>
          <w:color w:val="auto"/>
          <w:kern w:val="0"/>
          <w:sz w:val="22"/>
          <w:szCs w:val="21"/>
          <w:highlight w:val="none"/>
          <w:lang w:eastAsia="en-US"/>
        </w:rPr>
        <w:t>。现就组成联合体参加</w:t>
      </w:r>
      <w:r>
        <w:rPr>
          <w:rFonts w:hint="eastAsia" w:ascii="宋体" w:hAnsi="宋体" w:cs="Times New Roman"/>
          <w:color w:val="auto"/>
          <w:kern w:val="0"/>
          <w:sz w:val="22"/>
          <w:szCs w:val="21"/>
          <w:highlight w:val="none"/>
          <w:lang w:eastAsia="zh-CN"/>
        </w:rPr>
        <w:t>谈判</w:t>
      </w:r>
      <w:r>
        <w:rPr>
          <w:rFonts w:hint="eastAsia" w:ascii="宋体" w:hAnsi="宋体" w:eastAsia="宋体" w:cs="Times New Roman"/>
          <w:color w:val="auto"/>
          <w:kern w:val="0"/>
          <w:sz w:val="22"/>
          <w:szCs w:val="21"/>
          <w:highlight w:val="none"/>
          <w:lang w:eastAsia="en-US"/>
        </w:rPr>
        <w:t>事宜订立如下协议：</w:t>
      </w:r>
    </w:p>
    <w:p w14:paraId="289BA4D7">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1.</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（某联合体成员名称）为</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联合体牵头人。</w:t>
      </w:r>
    </w:p>
    <w:p w14:paraId="61087BF6">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2.联合体各成员授权牵头人代表联合体参加投标活动，签署文件，提交和接收相关的资料、信息及指示，进行合同谈判活动，负责合同实施阶段的组织和协调工作，以及处理与本采购项目有关的一切事宜。</w:t>
      </w:r>
    </w:p>
    <w:p w14:paraId="061A8321">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3.联合体牵头人在本项目中签署的一切文件和处理的一切事宜，联合体各成员均予以承认。联合体各成员将严格按照采购文件、响应文件和合同的要求全面履行义务，并向采购人承担连带责任。</w:t>
      </w:r>
    </w:p>
    <w:p w14:paraId="4619D4BE">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4. 联合体各成员单位内部的职责分工如下：</w:t>
      </w:r>
    </w:p>
    <w:p w14:paraId="0147DA2C">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u w:val="single"/>
          <w:lang w:eastAsia="en-US"/>
        </w:rPr>
        <w:t>（牵头人名称）</w:t>
      </w:r>
      <w:r>
        <w:rPr>
          <w:rFonts w:hint="eastAsia" w:ascii="宋体" w:hAnsi="宋体" w:eastAsia="宋体" w:cs="Times New Roman"/>
          <w:color w:val="auto"/>
          <w:kern w:val="0"/>
          <w:sz w:val="22"/>
          <w:szCs w:val="21"/>
          <w:highlight w:val="none"/>
          <w:lang w:eastAsia="en-US"/>
        </w:rPr>
        <w:t>承担的工作和义务为：</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w:t>
      </w:r>
    </w:p>
    <w:p w14:paraId="5AAA5884">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u w:val="single"/>
          <w:lang w:eastAsia="en-US"/>
        </w:rPr>
        <w:t>（成员名称）</w:t>
      </w:r>
      <w:r>
        <w:rPr>
          <w:rFonts w:hint="eastAsia" w:ascii="宋体" w:hAnsi="宋体" w:eastAsia="宋体" w:cs="Times New Roman"/>
          <w:color w:val="auto"/>
          <w:kern w:val="0"/>
          <w:sz w:val="22"/>
          <w:szCs w:val="21"/>
          <w:highlight w:val="none"/>
          <w:lang w:eastAsia="en-US"/>
        </w:rPr>
        <w:t>承担的工作和义务为：</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w:t>
      </w:r>
    </w:p>
    <w:p w14:paraId="6B31DE20">
      <w:pPr>
        <w:spacing w:line="360" w:lineRule="auto"/>
        <w:ind w:firstLine="440" w:firstLineChars="200"/>
        <w:jc w:val="left"/>
        <w:rPr>
          <w:rFonts w:hint="eastAsia" w:ascii="宋体" w:hAnsi="宋体" w:eastAsia="宋体" w:cs="Times New Roman"/>
          <w:color w:val="auto"/>
          <w:kern w:val="0"/>
          <w:sz w:val="22"/>
          <w:szCs w:val="22"/>
          <w:highlight w:val="none"/>
          <w:lang w:eastAsia="en-US"/>
        </w:rPr>
      </w:pPr>
      <w:r>
        <w:rPr>
          <w:rFonts w:hint="eastAsia" w:ascii="宋体" w:hAnsi="宋体" w:eastAsia="宋体" w:cs="Times New Roman"/>
          <w:color w:val="auto"/>
          <w:kern w:val="0"/>
          <w:sz w:val="22"/>
          <w:szCs w:val="21"/>
          <w:highlight w:val="none"/>
          <w:lang w:eastAsia="en-US"/>
        </w:rPr>
        <w:t>5.</w:t>
      </w:r>
      <w:r>
        <w:rPr>
          <w:rFonts w:hint="eastAsia" w:ascii="宋体" w:hAnsi="宋体" w:eastAsia="宋体" w:cs="Times New Roman"/>
          <w:color w:val="auto"/>
          <w:kern w:val="0"/>
          <w:sz w:val="22"/>
          <w:szCs w:val="22"/>
          <w:highlight w:val="none"/>
          <w:lang w:eastAsia="en-US"/>
        </w:rPr>
        <w:t xml:space="preserve"> 联合体投标中，中小企业合同金额为</w:t>
      </w:r>
      <w:r>
        <w:rPr>
          <w:rFonts w:hint="default" w:ascii="宋体" w:hAnsi="宋体" w:eastAsia="宋体" w:cs="Times New Roman"/>
          <w:color w:val="auto"/>
          <w:kern w:val="0"/>
          <w:sz w:val="22"/>
          <w:szCs w:val="22"/>
          <w:highlight w:val="none"/>
          <w:u w:val="single"/>
          <w:lang w:eastAsia="en-US"/>
        </w:rPr>
        <w:t xml:space="preserve">       </w:t>
      </w:r>
      <w:r>
        <w:rPr>
          <w:rFonts w:hint="default" w:ascii="宋体" w:hAnsi="宋体" w:eastAsia="宋体" w:cs="Times New Roman"/>
          <w:color w:val="auto"/>
          <w:kern w:val="0"/>
          <w:sz w:val="22"/>
          <w:szCs w:val="22"/>
          <w:highlight w:val="none"/>
          <w:lang w:eastAsia="en-US"/>
        </w:rPr>
        <w:t xml:space="preserve"> </w:t>
      </w:r>
      <w:r>
        <w:rPr>
          <w:rFonts w:hint="eastAsia" w:ascii="宋体" w:hAnsi="宋体" w:eastAsia="宋体" w:cs="Times New Roman"/>
          <w:color w:val="auto"/>
          <w:kern w:val="0"/>
          <w:sz w:val="22"/>
          <w:szCs w:val="22"/>
          <w:highlight w:val="none"/>
          <w:lang w:eastAsia="en-US"/>
        </w:rPr>
        <w:t>元，所占合同总金额比例为</w:t>
      </w:r>
      <w:r>
        <w:rPr>
          <w:rFonts w:hint="default" w:ascii="宋体" w:hAnsi="宋体" w:eastAsia="宋体" w:cs="Times New Roman"/>
          <w:color w:val="auto"/>
          <w:kern w:val="0"/>
          <w:sz w:val="22"/>
          <w:szCs w:val="22"/>
          <w:highlight w:val="none"/>
          <w:u w:val="single"/>
          <w:lang w:eastAsia="en-US"/>
        </w:rPr>
        <w:t xml:space="preserve">     </w:t>
      </w:r>
      <w:r>
        <w:rPr>
          <w:rFonts w:hint="default" w:ascii="宋体" w:hAnsi="宋体" w:eastAsia="宋体" w:cs="Times New Roman"/>
          <w:color w:val="auto"/>
          <w:kern w:val="0"/>
          <w:sz w:val="22"/>
          <w:szCs w:val="22"/>
          <w:highlight w:val="none"/>
          <w:lang w:eastAsia="en-US"/>
        </w:rPr>
        <w:t>%</w:t>
      </w:r>
      <w:r>
        <w:rPr>
          <w:rFonts w:hint="eastAsia" w:ascii="宋体" w:hAnsi="宋体" w:eastAsia="宋体" w:cs="Times New Roman"/>
          <w:color w:val="auto"/>
          <w:kern w:val="0"/>
          <w:sz w:val="22"/>
          <w:szCs w:val="22"/>
          <w:highlight w:val="none"/>
          <w:lang w:eastAsia="en-US"/>
        </w:rPr>
        <w:t>；其中小微企业合同金额为</w:t>
      </w:r>
      <w:r>
        <w:rPr>
          <w:rFonts w:hint="default" w:ascii="宋体" w:hAnsi="宋体" w:eastAsia="宋体" w:cs="Times New Roman"/>
          <w:color w:val="auto"/>
          <w:kern w:val="0"/>
          <w:sz w:val="22"/>
          <w:szCs w:val="22"/>
          <w:highlight w:val="none"/>
          <w:u w:val="single"/>
          <w:lang w:eastAsia="en-US"/>
        </w:rPr>
        <w:t xml:space="preserve">      </w:t>
      </w:r>
      <w:r>
        <w:rPr>
          <w:rFonts w:hint="default" w:ascii="宋体" w:hAnsi="宋体" w:eastAsia="宋体" w:cs="Times New Roman"/>
          <w:color w:val="auto"/>
          <w:kern w:val="0"/>
          <w:sz w:val="22"/>
          <w:szCs w:val="22"/>
          <w:highlight w:val="none"/>
          <w:lang w:eastAsia="en-US"/>
        </w:rPr>
        <w:t xml:space="preserve"> </w:t>
      </w:r>
      <w:r>
        <w:rPr>
          <w:rFonts w:hint="eastAsia" w:ascii="宋体" w:hAnsi="宋体" w:eastAsia="宋体" w:cs="Times New Roman"/>
          <w:color w:val="auto"/>
          <w:kern w:val="0"/>
          <w:sz w:val="22"/>
          <w:szCs w:val="22"/>
          <w:highlight w:val="none"/>
          <w:lang w:eastAsia="en-US"/>
        </w:rPr>
        <w:t>元，所占合同总金额比例为</w:t>
      </w:r>
      <w:r>
        <w:rPr>
          <w:rFonts w:hint="default" w:ascii="宋体" w:hAnsi="宋体" w:eastAsia="宋体" w:cs="Times New Roman"/>
          <w:color w:val="auto"/>
          <w:kern w:val="0"/>
          <w:sz w:val="22"/>
          <w:szCs w:val="22"/>
          <w:highlight w:val="none"/>
          <w:u w:val="single"/>
          <w:lang w:eastAsia="en-US"/>
        </w:rPr>
        <w:t xml:space="preserve">      </w:t>
      </w:r>
      <w:r>
        <w:rPr>
          <w:rFonts w:hint="default" w:ascii="宋体" w:hAnsi="宋体" w:eastAsia="宋体" w:cs="Times New Roman"/>
          <w:color w:val="auto"/>
          <w:kern w:val="0"/>
          <w:sz w:val="22"/>
          <w:szCs w:val="22"/>
          <w:highlight w:val="none"/>
          <w:lang w:eastAsia="en-US"/>
        </w:rPr>
        <w:t>%</w:t>
      </w:r>
      <w:r>
        <w:rPr>
          <w:rFonts w:hint="eastAsia" w:ascii="宋体" w:hAnsi="宋体" w:eastAsia="宋体" w:cs="Times New Roman"/>
          <w:color w:val="auto"/>
          <w:kern w:val="0"/>
          <w:sz w:val="22"/>
          <w:szCs w:val="22"/>
          <w:highlight w:val="none"/>
          <w:lang w:eastAsia="en-US"/>
        </w:rPr>
        <w:t>。</w:t>
      </w:r>
    </w:p>
    <w:p w14:paraId="7590A2CD">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6.以联合体形式参加政府采购活动的，联合体各方不得再单独参加或者与其他供应商另外组成联合体参加同一合同项下的政府采购活动。</w:t>
      </w:r>
    </w:p>
    <w:p w14:paraId="6E3F3378">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7.其他约定（如有）：</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w:t>
      </w:r>
    </w:p>
    <w:p w14:paraId="17A78E50">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8.本协议自各方盖章后生效，采购合同履行完毕后自动失效。如未成交，本协议自动终止。</w:t>
      </w:r>
    </w:p>
    <w:p w14:paraId="7E73B2F3">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联合体牵头人名称：</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（加盖公章）</w:t>
      </w:r>
    </w:p>
    <w:p w14:paraId="77A3E216">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法定代表人：</w:t>
      </w:r>
      <w:r>
        <w:rPr>
          <w:rFonts w:hint="eastAsia" w:ascii="宋体" w:hAnsi="宋体" w:eastAsia="宋体" w:cs="Times New Roman"/>
          <w:color w:val="auto"/>
          <w:kern w:val="0"/>
          <w:sz w:val="22"/>
          <w:szCs w:val="21"/>
          <w:highlight w:val="none"/>
          <w:u w:val="single"/>
          <w:lang w:eastAsia="en-US"/>
        </w:rPr>
        <w:t xml:space="preserve">                   </w:t>
      </w:r>
      <w:r>
        <w:rPr>
          <w:rFonts w:hint="default"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（签字或盖章）</w:t>
      </w:r>
    </w:p>
    <w:p w14:paraId="0811BBEA">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联合体成员名称：</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（加盖公章）</w:t>
      </w:r>
    </w:p>
    <w:p w14:paraId="1110C137">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法定代表人：</w:t>
      </w:r>
      <w:r>
        <w:rPr>
          <w:rFonts w:hint="eastAsia" w:ascii="宋体" w:hAnsi="宋体" w:eastAsia="宋体" w:cs="Times New Roman"/>
          <w:color w:val="auto"/>
          <w:kern w:val="0"/>
          <w:sz w:val="22"/>
          <w:szCs w:val="21"/>
          <w:highlight w:val="none"/>
          <w:u w:val="single"/>
          <w:lang w:eastAsia="en-US"/>
        </w:rPr>
        <w:t xml:space="preserve">                    </w:t>
      </w:r>
      <w:r>
        <w:rPr>
          <w:rFonts w:hint="default"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（签字或盖章）</w:t>
      </w:r>
    </w:p>
    <w:p w14:paraId="14039778">
      <w:pPr>
        <w:autoSpaceDE w:val="0"/>
        <w:autoSpaceDN w:val="0"/>
        <w:adjustRightInd w:val="0"/>
        <w:spacing w:line="360" w:lineRule="auto"/>
        <w:ind w:firstLine="440" w:firstLineChars="200"/>
        <w:jc w:val="left"/>
        <w:rPr>
          <w:rFonts w:hint="eastAsia" w:ascii="宋体" w:hAnsi="宋体" w:eastAsia="宋体" w:cs="Times New Roman"/>
          <w:color w:val="auto"/>
          <w:kern w:val="0"/>
          <w:sz w:val="22"/>
          <w:szCs w:val="21"/>
          <w:highlight w:val="none"/>
          <w:lang w:eastAsia="en-US"/>
        </w:rPr>
      </w:pPr>
      <w:r>
        <w:rPr>
          <w:rFonts w:hint="eastAsia" w:ascii="宋体" w:hAnsi="宋体" w:eastAsia="宋体" w:cs="Times New Roman"/>
          <w:color w:val="auto"/>
          <w:kern w:val="0"/>
          <w:sz w:val="22"/>
          <w:szCs w:val="21"/>
          <w:highlight w:val="none"/>
          <w:lang w:eastAsia="en-US"/>
        </w:rPr>
        <w:t>日 期：</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年</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月</w:t>
      </w:r>
      <w:r>
        <w:rPr>
          <w:rFonts w:hint="eastAsia" w:ascii="宋体" w:hAnsi="宋体" w:eastAsia="宋体" w:cs="Times New Roman"/>
          <w:color w:val="auto"/>
          <w:kern w:val="0"/>
          <w:sz w:val="22"/>
          <w:szCs w:val="21"/>
          <w:highlight w:val="none"/>
          <w:u w:val="single"/>
          <w:lang w:eastAsia="en-US"/>
        </w:rPr>
        <w:t xml:space="preserve">    </w:t>
      </w:r>
      <w:r>
        <w:rPr>
          <w:rFonts w:hint="eastAsia" w:ascii="宋体" w:hAnsi="宋体" w:eastAsia="宋体" w:cs="Times New Roman"/>
          <w:color w:val="auto"/>
          <w:kern w:val="0"/>
          <w:sz w:val="22"/>
          <w:szCs w:val="21"/>
          <w:highlight w:val="none"/>
          <w:lang w:eastAsia="en-US"/>
        </w:rPr>
        <w:t>日</w:t>
      </w:r>
    </w:p>
    <w:p w14:paraId="60898A94">
      <w:pPr>
        <w:widowControl w:val="0"/>
        <w:spacing w:line="360" w:lineRule="auto"/>
        <w:ind w:firstLine="0" w:firstLineChars="0"/>
        <w:rPr>
          <w:rFonts w:hint="default" w:ascii="Times New Roman" w:hAnsi="Times New Roman"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4"/>
          <w:szCs w:val="21"/>
          <w:highlight w:val="none"/>
          <w:lang w:val="en-US" w:eastAsia="en-US" w:bidi="ar-SA"/>
        </w:rPr>
        <w:t>注：联合体各方成员应在本协议上共同盖章，不得分别签署协议书。</w:t>
      </w:r>
    </w:p>
    <w:p w14:paraId="121FE2FC">
      <w:pPr>
        <w:widowControl w:val="0"/>
        <w:spacing w:line="360" w:lineRule="auto"/>
        <w:jc w:val="both"/>
        <w:rPr>
          <w:rFonts w:hint="eastAsia" w:ascii="宋体" w:hAnsi="宋体" w:eastAsia="宋体" w:cs="Times New Roman"/>
          <w:color w:val="auto"/>
          <w:kern w:val="2"/>
          <w:sz w:val="24"/>
          <w:szCs w:val="24"/>
          <w:highlight w:val="none"/>
          <w:lang w:val="en-US" w:eastAsia="zh-CN" w:bidi="ar-SA"/>
        </w:rPr>
      </w:pPr>
    </w:p>
    <w:bookmarkEnd w:id="180"/>
    <w:bookmarkEnd w:id="181"/>
    <w:bookmarkEnd w:id="182"/>
    <w:bookmarkEnd w:id="183"/>
    <w:bookmarkEnd w:id="184"/>
    <w:bookmarkEnd w:id="185"/>
    <w:bookmarkEnd w:id="186"/>
    <w:bookmarkEnd w:id="187"/>
    <w:p w14:paraId="1252BDA5">
      <w:pPr>
        <w:rPr>
          <w:rFonts w:hint="eastAsia" w:ascii="宋体" w:hAnsi="宋体" w:eastAsia="宋体" w:cs="宋体"/>
          <w:b/>
          <w:color w:val="auto"/>
          <w:kern w:val="2"/>
          <w:sz w:val="32"/>
          <w:szCs w:val="32"/>
          <w:highlight w:val="none"/>
          <w:lang w:val="en-US" w:eastAsia="zh-CN" w:bidi="ar-SA"/>
        </w:rPr>
      </w:pPr>
      <w:bookmarkStart w:id="194" w:name="_Toc31340"/>
      <w:r>
        <w:rPr>
          <w:rFonts w:hint="eastAsia" w:ascii="宋体" w:hAnsi="宋体" w:eastAsia="宋体" w:cs="宋体"/>
          <w:b/>
          <w:color w:val="auto"/>
          <w:kern w:val="2"/>
          <w:sz w:val="32"/>
          <w:szCs w:val="32"/>
          <w:highlight w:val="none"/>
          <w:lang w:val="en-US" w:eastAsia="zh-CN" w:bidi="ar-SA"/>
        </w:rPr>
        <w:br w:type="page"/>
      </w:r>
    </w:p>
    <w:p w14:paraId="373BD35B">
      <w:pPr>
        <w:keepNext/>
        <w:keepLines/>
        <w:widowControl w:val="0"/>
        <w:spacing w:before="260" w:after="260" w:line="416" w:lineRule="auto"/>
        <w:jc w:val="center"/>
        <w:outlineLvl w:val="1"/>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七、技术条款响应及偏离表</w:t>
      </w:r>
      <w:bookmarkEnd w:id="194"/>
    </w:p>
    <w:p w14:paraId="20A3E8D5">
      <w:pPr>
        <w:spacing w:line="360" w:lineRule="auto"/>
        <w:rPr>
          <w:rFonts w:hint="eastAsia" w:ascii="宋体" w:hAnsi="宋体"/>
          <w:b/>
          <w:color w:val="auto"/>
          <w:kern w:val="2"/>
          <w:sz w:val="28"/>
          <w:szCs w:val="28"/>
          <w:highlight w:val="none"/>
        </w:rPr>
      </w:pPr>
      <w:r>
        <w:rPr>
          <w:rFonts w:hint="eastAsia" w:ascii="宋体" w:hAnsi="宋体"/>
          <w:color w:val="auto"/>
          <w:kern w:val="2"/>
          <w:sz w:val="24"/>
          <w:szCs w:val="24"/>
          <w:highlight w:val="none"/>
        </w:rPr>
        <w:t>项目名称：</w:t>
      </w:r>
      <w:r>
        <w:rPr>
          <w:rFonts w:hint="eastAsia" w:ascii="宋体" w:hAnsi="宋体"/>
          <w:color w:val="auto"/>
          <w:kern w:val="2"/>
          <w:szCs w:val="24"/>
          <w:highlight w:val="none"/>
        </w:rPr>
        <w:t xml:space="preserve">                                            </w:t>
      </w:r>
      <w:r>
        <w:rPr>
          <w:rFonts w:hint="eastAsia" w:ascii="宋体" w:hAnsi="宋体"/>
          <w:color w:val="auto"/>
          <w:kern w:val="2"/>
          <w:sz w:val="24"/>
          <w:szCs w:val="24"/>
          <w:highlight w:val="none"/>
        </w:rPr>
        <w:t xml:space="preserve">项目编号：    </w:t>
      </w:r>
    </w:p>
    <w:tbl>
      <w:tblPr>
        <w:tblStyle w:val="50"/>
        <w:tblW w:w="9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2"/>
        <w:gridCol w:w="2665"/>
        <w:gridCol w:w="1620"/>
        <w:gridCol w:w="4041"/>
      </w:tblGrid>
      <w:tr w14:paraId="67947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532" w:type="dxa"/>
            <w:noWrap w:val="0"/>
            <w:vAlign w:val="top"/>
          </w:tcPr>
          <w:p w14:paraId="7F8B26E7">
            <w:pPr>
              <w:snapToGrid w:val="0"/>
              <w:spacing w:before="143" w:beforeLines="50"/>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项目</w:t>
            </w:r>
          </w:p>
        </w:tc>
        <w:tc>
          <w:tcPr>
            <w:tcW w:w="2665" w:type="dxa"/>
            <w:noWrap w:val="0"/>
            <w:vAlign w:val="top"/>
          </w:tcPr>
          <w:p w14:paraId="56792EF1">
            <w:pPr>
              <w:snapToGrid w:val="0"/>
              <w:spacing w:before="143" w:beforeLines="50"/>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竞争谈判文件要求</w:t>
            </w:r>
          </w:p>
        </w:tc>
        <w:tc>
          <w:tcPr>
            <w:tcW w:w="1620" w:type="dxa"/>
            <w:noWrap w:val="0"/>
            <w:vAlign w:val="top"/>
          </w:tcPr>
          <w:p w14:paraId="500F6DE1">
            <w:pPr>
              <w:snapToGrid w:val="0"/>
              <w:spacing w:before="143" w:beforeLines="50"/>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是否响应</w:t>
            </w:r>
          </w:p>
        </w:tc>
        <w:tc>
          <w:tcPr>
            <w:tcW w:w="4041" w:type="dxa"/>
            <w:noWrap w:val="0"/>
            <w:vAlign w:val="top"/>
          </w:tcPr>
          <w:p w14:paraId="684EDE1B">
            <w:pPr>
              <w:snapToGrid w:val="0"/>
              <w:spacing w:before="143" w:beforeLines="50"/>
              <w:jc w:val="center"/>
              <w:rPr>
                <w:rFonts w:hint="eastAsia" w:ascii="宋体" w:hAnsi="宋体"/>
                <w:color w:val="auto"/>
                <w:kern w:val="2"/>
                <w:sz w:val="24"/>
                <w:szCs w:val="24"/>
                <w:highlight w:val="none"/>
              </w:rPr>
            </w:pPr>
            <w:r>
              <w:rPr>
                <w:rFonts w:hint="eastAsia" w:ascii="宋体" w:hAnsi="宋体"/>
                <w:color w:val="auto"/>
                <w:kern w:val="2"/>
                <w:sz w:val="24"/>
                <w:szCs w:val="24"/>
                <w:highlight w:val="none"/>
              </w:rPr>
              <w:t>供应商的承诺或说明</w:t>
            </w:r>
          </w:p>
        </w:tc>
      </w:tr>
      <w:tr w14:paraId="101A4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32" w:type="dxa"/>
            <w:noWrap w:val="0"/>
            <w:vAlign w:val="top"/>
          </w:tcPr>
          <w:p w14:paraId="58989246">
            <w:pPr>
              <w:spacing w:line="360" w:lineRule="auto"/>
              <w:rPr>
                <w:rFonts w:hint="eastAsia" w:ascii="宋体" w:hAnsi="宋体"/>
                <w:b/>
                <w:color w:val="auto"/>
                <w:kern w:val="2"/>
                <w:sz w:val="24"/>
                <w:szCs w:val="24"/>
                <w:highlight w:val="none"/>
              </w:rPr>
            </w:pPr>
          </w:p>
        </w:tc>
        <w:tc>
          <w:tcPr>
            <w:tcW w:w="2665" w:type="dxa"/>
            <w:noWrap w:val="0"/>
            <w:vAlign w:val="top"/>
          </w:tcPr>
          <w:p w14:paraId="65DC987A">
            <w:pPr>
              <w:spacing w:line="360" w:lineRule="auto"/>
              <w:rPr>
                <w:rFonts w:hint="eastAsia" w:ascii="宋体" w:hAnsi="宋体"/>
                <w:b/>
                <w:color w:val="auto"/>
                <w:kern w:val="2"/>
                <w:sz w:val="24"/>
                <w:szCs w:val="24"/>
                <w:highlight w:val="none"/>
              </w:rPr>
            </w:pPr>
          </w:p>
        </w:tc>
        <w:tc>
          <w:tcPr>
            <w:tcW w:w="1620" w:type="dxa"/>
            <w:noWrap w:val="0"/>
            <w:vAlign w:val="top"/>
          </w:tcPr>
          <w:p w14:paraId="3D2168C3">
            <w:pPr>
              <w:spacing w:line="360" w:lineRule="auto"/>
              <w:rPr>
                <w:rFonts w:hint="eastAsia" w:ascii="宋体" w:hAnsi="宋体"/>
                <w:b/>
                <w:color w:val="auto"/>
                <w:kern w:val="2"/>
                <w:sz w:val="24"/>
                <w:szCs w:val="24"/>
                <w:highlight w:val="none"/>
              </w:rPr>
            </w:pPr>
          </w:p>
        </w:tc>
        <w:tc>
          <w:tcPr>
            <w:tcW w:w="4041" w:type="dxa"/>
            <w:noWrap w:val="0"/>
            <w:vAlign w:val="top"/>
          </w:tcPr>
          <w:p w14:paraId="6DC9E40E">
            <w:pPr>
              <w:spacing w:line="360" w:lineRule="auto"/>
              <w:rPr>
                <w:rFonts w:hint="eastAsia" w:ascii="宋体" w:hAnsi="宋体"/>
                <w:b/>
                <w:color w:val="auto"/>
                <w:kern w:val="2"/>
                <w:sz w:val="24"/>
                <w:szCs w:val="24"/>
                <w:highlight w:val="none"/>
              </w:rPr>
            </w:pPr>
          </w:p>
        </w:tc>
      </w:tr>
      <w:tr w14:paraId="05E1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32" w:type="dxa"/>
            <w:noWrap w:val="0"/>
            <w:vAlign w:val="top"/>
          </w:tcPr>
          <w:p w14:paraId="3E76B070">
            <w:pPr>
              <w:spacing w:line="360" w:lineRule="auto"/>
              <w:rPr>
                <w:rFonts w:hint="eastAsia" w:ascii="宋体" w:hAnsi="宋体"/>
                <w:b/>
                <w:color w:val="auto"/>
                <w:kern w:val="2"/>
                <w:sz w:val="24"/>
                <w:szCs w:val="24"/>
                <w:highlight w:val="none"/>
              </w:rPr>
            </w:pPr>
          </w:p>
        </w:tc>
        <w:tc>
          <w:tcPr>
            <w:tcW w:w="2665" w:type="dxa"/>
            <w:noWrap w:val="0"/>
            <w:vAlign w:val="top"/>
          </w:tcPr>
          <w:p w14:paraId="694EE0D0">
            <w:pPr>
              <w:spacing w:line="360" w:lineRule="auto"/>
              <w:rPr>
                <w:rFonts w:hint="eastAsia" w:ascii="宋体" w:hAnsi="宋体"/>
                <w:b/>
                <w:color w:val="auto"/>
                <w:kern w:val="2"/>
                <w:sz w:val="24"/>
                <w:szCs w:val="24"/>
                <w:highlight w:val="none"/>
              </w:rPr>
            </w:pPr>
          </w:p>
        </w:tc>
        <w:tc>
          <w:tcPr>
            <w:tcW w:w="1620" w:type="dxa"/>
            <w:noWrap w:val="0"/>
            <w:vAlign w:val="top"/>
          </w:tcPr>
          <w:p w14:paraId="43312E5C">
            <w:pPr>
              <w:spacing w:line="360" w:lineRule="auto"/>
              <w:rPr>
                <w:rFonts w:hint="eastAsia" w:ascii="宋体" w:hAnsi="宋体"/>
                <w:b/>
                <w:color w:val="auto"/>
                <w:kern w:val="2"/>
                <w:sz w:val="24"/>
                <w:szCs w:val="24"/>
                <w:highlight w:val="none"/>
              </w:rPr>
            </w:pPr>
          </w:p>
        </w:tc>
        <w:tc>
          <w:tcPr>
            <w:tcW w:w="4041" w:type="dxa"/>
            <w:noWrap w:val="0"/>
            <w:vAlign w:val="top"/>
          </w:tcPr>
          <w:p w14:paraId="434042BA">
            <w:pPr>
              <w:spacing w:line="360" w:lineRule="auto"/>
              <w:rPr>
                <w:rFonts w:hint="eastAsia" w:ascii="宋体" w:hAnsi="宋体"/>
                <w:b/>
                <w:color w:val="auto"/>
                <w:kern w:val="2"/>
                <w:sz w:val="24"/>
                <w:szCs w:val="24"/>
                <w:highlight w:val="none"/>
              </w:rPr>
            </w:pPr>
          </w:p>
        </w:tc>
      </w:tr>
      <w:tr w14:paraId="7F75F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32" w:type="dxa"/>
            <w:noWrap w:val="0"/>
            <w:vAlign w:val="top"/>
          </w:tcPr>
          <w:p w14:paraId="54DCE102">
            <w:pPr>
              <w:spacing w:line="360" w:lineRule="auto"/>
              <w:rPr>
                <w:rFonts w:hint="eastAsia" w:ascii="宋体" w:hAnsi="宋体"/>
                <w:b/>
                <w:color w:val="auto"/>
                <w:kern w:val="2"/>
                <w:sz w:val="24"/>
                <w:szCs w:val="24"/>
                <w:highlight w:val="none"/>
              </w:rPr>
            </w:pPr>
          </w:p>
        </w:tc>
        <w:tc>
          <w:tcPr>
            <w:tcW w:w="2665" w:type="dxa"/>
            <w:noWrap w:val="0"/>
            <w:vAlign w:val="top"/>
          </w:tcPr>
          <w:p w14:paraId="4C0657BD">
            <w:pPr>
              <w:spacing w:line="360" w:lineRule="auto"/>
              <w:rPr>
                <w:rFonts w:hint="eastAsia" w:ascii="宋体" w:hAnsi="宋体"/>
                <w:b/>
                <w:color w:val="auto"/>
                <w:kern w:val="2"/>
                <w:sz w:val="24"/>
                <w:szCs w:val="24"/>
                <w:highlight w:val="none"/>
              </w:rPr>
            </w:pPr>
          </w:p>
        </w:tc>
        <w:tc>
          <w:tcPr>
            <w:tcW w:w="1620" w:type="dxa"/>
            <w:noWrap w:val="0"/>
            <w:vAlign w:val="top"/>
          </w:tcPr>
          <w:p w14:paraId="1FB45A75">
            <w:pPr>
              <w:spacing w:line="360" w:lineRule="auto"/>
              <w:rPr>
                <w:rFonts w:hint="eastAsia" w:ascii="宋体" w:hAnsi="宋体"/>
                <w:b/>
                <w:color w:val="auto"/>
                <w:kern w:val="2"/>
                <w:sz w:val="24"/>
                <w:szCs w:val="24"/>
                <w:highlight w:val="none"/>
              </w:rPr>
            </w:pPr>
          </w:p>
        </w:tc>
        <w:tc>
          <w:tcPr>
            <w:tcW w:w="4041" w:type="dxa"/>
            <w:noWrap w:val="0"/>
            <w:vAlign w:val="top"/>
          </w:tcPr>
          <w:p w14:paraId="5E73807A">
            <w:pPr>
              <w:spacing w:line="360" w:lineRule="auto"/>
              <w:rPr>
                <w:rFonts w:hint="eastAsia" w:ascii="宋体" w:hAnsi="宋体"/>
                <w:b/>
                <w:color w:val="auto"/>
                <w:kern w:val="2"/>
                <w:sz w:val="24"/>
                <w:szCs w:val="24"/>
                <w:highlight w:val="none"/>
              </w:rPr>
            </w:pPr>
          </w:p>
        </w:tc>
      </w:tr>
      <w:tr w14:paraId="5B3B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32" w:type="dxa"/>
            <w:noWrap w:val="0"/>
            <w:vAlign w:val="top"/>
          </w:tcPr>
          <w:p w14:paraId="3E342D54">
            <w:pPr>
              <w:spacing w:line="360" w:lineRule="auto"/>
              <w:rPr>
                <w:rFonts w:hint="eastAsia" w:ascii="宋体" w:hAnsi="宋体"/>
                <w:b/>
                <w:color w:val="auto"/>
                <w:kern w:val="2"/>
                <w:sz w:val="24"/>
                <w:szCs w:val="24"/>
                <w:highlight w:val="none"/>
              </w:rPr>
            </w:pPr>
          </w:p>
        </w:tc>
        <w:tc>
          <w:tcPr>
            <w:tcW w:w="2665" w:type="dxa"/>
            <w:noWrap w:val="0"/>
            <w:vAlign w:val="top"/>
          </w:tcPr>
          <w:p w14:paraId="777876F3">
            <w:pPr>
              <w:spacing w:line="360" w:lineRule="auto"/>
              <w:rPr>
                <w:rFonts w:hint="eastAsia" w:ascii="宋体" w:hAnsi="宋体"/>
                <w:b/>
                <w:color w:val="auto"/>
                <w:kern w:val="2"/>
                <w:sz w:val="24"/>
                <w:szCs w:val="24"/>
                <w:highlight w:val="none"/>
              </w:rPr>
            </w:pPr>
          </w:p>
        </w:tc>
        <w:tc>
          <w:tcPr>
            <w:tcW w:w="1620" w:type="dxa"/>
            <w:noWrap w:val="0"/>
            <w:vAlign w:val="top"/>
          </w:tcPr>
          <w:p w14:paraId="7F3C11EA">
            <w:pPr>
              <w:spacing w:line="360" w:lineRule="auto"/>
              <w:rPr>
                <w:rFonts w:hint="eastAsia" w:ascii="宋体" w:hAnsi="宋体"/>
                <w:b/>
                <w:color w:val="auto"/>
                <w:kern w:val="2"/>
                <w:sz w:val="24"/>
                <w:szCs w:val="24"/>
                <w:highlight w:val="none"/>
              </w:rPr>
            </w:pPr>
          </w:p>
        </w:tc>
        <w:tc>
          <w:tcPr>
            <w:tcW w:w="4041" w:type="dxa"/>
            <w:noWrap w:val="0"/>
            <w:vAlign w:val="top"/>
          </w:tcPr>
          <w:p w14:paraId="117A25FF">
            <w:pPr>
              <w:spacing w:line="360" w:lineRule="auto"/>
              <w:rPr>
                <w:rFonts w:hint="eastAsia" w:ascii="宋体" w:hAnsi="宋体"/>
                <w:b/>
                <w:color w:val="auto"/>
                <w:kern w:val="2"/>
                <w:sz w:val="24"/>
                <w:szCs w:val="24"/>
                <w:highlight w:val="none"/>
              </w:rPr>
            </w:pPr>
          </w:p>
        </w:tc>
      </w:tr>
      <w:tr w14:paraId="4ECD1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32" w:type="dxa"/>
            <w:noWrap w:val="0"/>
            <w:vAlign w:val="top"/>
          </w:tcPr>
          <w:p w14:paraId="13DB10A5">
            <w:pPr>
              <w:spacing w:line="360" w:lineRule="auto"/>
              <w:rPr>
                <w:rFonts w:hint="eastAsia" w:ascii="宋体" w:hAnsi="宋体"/>
                <w:b/>
                <w:color w:val="auto"/>
                <w:kern w:val="2"/>
                <w:sz w:val="24"/>
                <w:szCs w:val="24"/>
                <w:highlight w:val="none"/>
              </w:rPr>
            </w:pPr>
          </w:p>
        </w:tc>
        <w:tc>
          <w:tcPr>
            <w:tcW w:w="2665" w:type="dxa"/>
            <w:noWrap w:val="0"/>
            <w:vAlign w:val="top"/>
          </w:tcPr>
          <w:p w14:paraId="672BB1DE">
            <w:pPr>
              <w:spacing w:line="360" w:lineRule="auto"/>
              <w:rPr>
                <w:rFonts w:hint="eastAsia" w:ascii="宋体" w:hAnsi="宋体"/>
                <w:b/>
                <w:color w:val="auto"/>
                <w:kern w:val="2"/>
                <w:sz w:val="24"/>
                <w:szCs w:val="24"/>
                <w:highlight w:val="none"/>
              </w:rPr>
            </w:pPr>
          </w:p>
        </w:tc>
        <w:tc>
          <w:tcPr>
            <w:tcW w:w="1620" w:type="dxa"/>
            <w:noWrap w:val="0"/>
            <w:vAlign w:val="center"/>
          </w:tcPr>
          <w:p w14:paraId="640BE652">
            <w:pPr>
              <w:spacing w:line="360" w:lineRule="auto"/>
              <w:jc w:val="center"/>
              <w:rPr>
                <w:rFonts w:hint="eastAsia" w:ascii="宋体" w:hAnsi="宋体"/>
                <w:b/>
                <w:color w:val="auto"/>
                <w:kern w:val="2"/>
                <w:sz w:val="24"/>
                <w:szCs w:val="24"/>
                <w:highlight w:val="none"/>
              </w:rPr>
            </w:pPr>
          </w:p>
        </w:tc>
        <w:tc>
          <w:tcPr>
            <w:tcW w:w="4041" w:type="dxa"/>
            <w:noWrap w:val="0"/>
            <w:vAlign w:val="top"/>
          </w:tcPr>
          <w:p w14:paraId="3270D2D2">
            <w:pPr>
              <w:spacing w:line="360" w:lineRule="auto"/>
              <w:rPr>
                <w:rFonts w:hint="eastAsia" w:ascii="宋体" w:hAnsi="宋体"/>
                <w:b/>
                <w:color w:val="auto"/>
                <w:kern w:val="2"/>
                <w:sz w:val="24"/>
                <w:szCs w:val="24"/>
                <w:highlight w:val="none"/>
              </w:rPr>
            </w:pPr>
          </w:p>
        </w:tc>
      </w:tr>
      <w:tr w14:paraId="199B4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32" w:type="dxa"/>
            <w:noWrap w:val="0"/>
            <w:vAlign w:val="top"/>
          </w:tcPr>
          <w:p w14:paraId="1768C944">
            <w:pPr>
              <w:spacing w:line="360" w:lineRule="auto"/>
              <w:rPr>
                <w:rFonts w:hint="eastAsia" w:ascii="宋体" w:hAnsi="宋体"/>
                <w:b/>
                <w:color w:val="auto"/>
                <w:kern w:val="2"/>
                <w:sz w:val="24"/>
                <w:szCs w:val="24"/>
                <w:highlight w:val="none"/>
              </w:rPr>
            </w:pPr>
          </w:p>
        </w:tc>
        <w:tc>
          <w:tcPr>
            <w:tcW w:w="2665" w:type="dxa"/>
            <w:noWrap w:val="0"/>
            <w:vAlign w:val="top"/>
          </w:tcPr>
          <w:p w14:paraId="50AE800B">
            <w:pPr>
              <w:spacing w:line="360" w:lineRule="auto"/>
              <w:rPr>
                <w:rFonts w:hint="eastAsia" w:ascii="宋体" w:hAnsi="宋体"/>
                <w:b/>
                <w:color w:val="auto"/>
                <w:kern w:val="2"/>
                <w:sz w:val="24"/>
                <w:szCs w:val="24"/>
                <w:highlight w:val="none"/>
              </w:rPr>
            </w:pPr>
          </w:p>
        </w:tc>
        <w:tc>
          <w:tcPr>
            <w:tcW w:w="1620" w:type="dxa"/>
            <w:noWrap w:val="0"/>
            <w:vAlign w:val="center"/>
          </w:tcPr>
          <w:p w14:paraId="2DD35544">
            <w:pPr>
              <w:spacing w:line="360" w:lineRule="auto"/>
              <w:jc w:val="center"/>
              <w:rPr>
                <w:rFonts w:hint="eastAsia" w:ascii="宋体" w:hAnsi="宋体"/>
                <w:b/>
                <w:color w:val="auto"/>
                <w:kern w:val="2"/>
                <w:sz w:val="24"/>
                <w:szCs w:val="24"/>
                <w:highlight w:val="none"/>
              </w:rPr>
            </w:pPr>
          </w:p>
        </w:tc>
        <w:tc>
          <w:tcPr>
            <w:tcW w:w="4041" w:type="dxa"/>
            <w:noWrap w:val="0"/>
            <w:vAlign w:val="top"/>
          </w:tcPr>
          <w:p w14:paraId="0763D02F">
            <w:pPr>
              <w:spacing w:line="360" w:lineRule="auto"/>
              <w:rPr>
                <w:rFonts w:hint="eastAsia" w:ascii="宋体" w:hAnsi="宋体"/>
                <w:b/>
                <w:color w:val="auto"/>
                <w:kern w:val="2"/>
                <w:sz w:val="24"/>
                <w:szCs w:val="24"/>
                <w:highlight w:val="none"/>
              </w:rPr>
            </w:pPr>
          </w:p>
        </w:tc>
      </w:tr>
      <w:tr w14:paraId="2AE6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532" w:type="dxa"/>
            <w:noWrap w:val="0"/>
            <w:vAlign w:val="top"/>
          </w:tcPr>
          <w:p w14:paraId="2D6B1AFF">
            <w:pPr>
              <w:spacing w:line="360" w:lineRule="auto"/>
              <w:rPr>
                <w:rFonts w:hint="eastAsia" w:ascii="宋体" w:hAnsi="宋体"/>
                <w:b/>
                <w:color w:val="auto"/>
                <w:kern w:val="2"/>
                <w:sz w:val="24"/>
                <w:szCs w:val="24"/>
                <w:highlight w:val="none"/>
              </w:rPr>
            </w:pPr>
          </w:p>
        </w:tc>
        <w:tc>
          <w:tcPr>
            <w:tcW w:w="2665" w:type="dxa"/>
            <w:noWrap w:val="0"/>
            <w:vAlign w:val="top"/>
          </w:tcPr>
          <w:p w14:paraId="0B6FAD0D">
            <w:pPr>
              <w:spacing w:line="360" w:lineRule="auto"/>
              <w:rPr>
                <w:rFonts w:hint="eastAsia" w:ascii="宋体" w:hAnsi="宋体"/>
                <w:b/>
                <w:color w:val="auto"/>
                <w:kern w:val="2"/>
                <w:sz w:val="24"/>
                <w:szCs w:val="24"/>
                <w:highlight w:val="none"/>
              </w:rPr>
            </w:pPr>
          </w:p>
        </w:tc>
        <w:tc>
          <w:tcPr>
            <w:tcW w:w="1620" w:type="dxa"/>
            <w:noWrap w:val="0"/>
            <w:vAlign w:val="top"/>
          </w:tcPr>
          <w:p w14:paraId="15E33916">
            <w:pPr>
              <w:spacing w:line="360" w:lineRule="auto"/>
              <w:rPr>
                <w:rFonts w:hint="eastAsia" w:ascii="宋体" w:hAnsi="宋体"/>
                <w:b/>
                <w:color w:val="auto"/>
                <w:kern w:val="2"/>
                <w:sz w:val="24"/>
                <w:szCs w:val="24"/>
                <w:highlight w:val="none"/>
              </w:rPr>
            </w:pPr>
          </w:p>
        </w:tc>
        <w:tc>
          <w:tcPr>
            <w:tcW w:w="4041" w:type="dxa"/>
            <w:noWrap w:val="0"/>
            <w:vAlign w:val="top"/>
          </w:tcPr>
          <w:p w14:paraId="355B43C7">
            <w:pPr>
              <w:spacing w:line="360" w:lineRule="auto"/>
              <w:rPr>
                <w:rFonts w:hint="eastAsia" w:ascii="宋体" w:hAnsi="宋体"/>
                <w:b/>
                <w:color w:val="auto"/>
                <w:kern w:val="2"/>
                <w:sz w:val="24"/>
                <w:szCs w:val="24"/>
                <w:highlight w:val="none"/>
              </w:rPr>
            </w:pPr>
          </w:p>
        </w:tc>
      </w:tr>
    </w:tbl>
    <w:p w14:paraId="47E55E9E">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供应商名称（公章）：            </w:t>
      </w:r>
    </w:p>
    <w:p w14:paraId="3BABC26F">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日 期：________年____月____日</w:t>
      </w:r>
    </w:p>
    <w:p w14:paraId="3002940D">
      <w:pPr>
        <w:spacing w:line="360" w:lineRule="auto"/>
        <w:rPr>
          <w:rFonts w:hint="eastAsia" w:ascii="宋体" w:hAnsi="宋体"/>
          <w:b/>
          <w:color w:val="auto"/>
          <w:kern w:val="2"/>
          <w:sz w:val="24"/>
          <w:szCs w:val="24"/>
          <w:highlight w:val="none"/>
        </w:rPr>
      </w:pPr>
    </w:p>
    <w:p w14:paraId="7A66AF46">
      <w:pPr>
        <w:spacing w:line="360" w:lineRule="auto"/>
        <w:rPr>
          <w:rFonts w:hint="eastAsia" w:ascii="宋体" w:hAnsi="宋体"/>
          <w:bCs/>
          <w:color w:val="auto"/>
          <w:kern w:val="2"/>
          <w:sz w:val="24"/>
          <w:szCs w:val="24"/>
          <w:highlight w:val="none"/>
        </w:rPr>
      </w:pPr>
      <w:r>
        <w:rPr>
          <w:rFonts w:hint="eastAsia" w:ascii="宋体" w:hAnsi="宋体"/>
          <w:b/>
          <w:color w:val="auto"/>
          <w:kern w:val="2"/>
          <w:sz w:val="24"/>
          <w:szCs w:val="24"/>
          <w:highlight w:val="none"/>
        </w:rPr>
        <w:t>说明：</w:t>
      </w:r>
      <w:r>
        <w:rPr>
          <w:rFonts w:hint="eastAsia" w:ascii="宋体" w:hAnsi="宋体"/>
          <w:bCs/>
          <w:color w:val="auto"/>
          <w:kern w:val="2"/>
          <w:sz w:val="24"/>
          <w:szCs w:val="24"/>
          <w:highlight w:val="none"/>
        </w:rPr>
        <w:t>1、按照基本技术要求详细填列；</w:t>
      </w:r>
    </w:p>
    <w:p w14:paraId="4563F961">
      <w:pPr>
        <w:spacing w:line="360" w:lineRule="auto"/>
        <w:ind w:firstLine="480"/>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2、行数不够，可自行添加。</w:t>
      </w:r>
    </w:p>
    <w:p w14:paraId="64CA845A">
      <w:pPr>
        <w:spacing w:line="360" w:lineRule="auto"/>
        <w:ind w:firstLine="480"/>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3、供应商应在上表中明确响应文件与采购文件要求的技术或服务要求偏离情况， 未在上表中说明的，如在响应文件其他内容中已有文字说明或相关证明材料的，则以已有文字说明或相关证明材料为准，但该表不作为供应商对所投项目关于技术或服务要求等详细描述和说明的替代。</w:t>
      </w:r>
    </w:p>
    <w:p w14:paraId="2F739378">
      <w:pPr>
        <w:jc w:val="center"/>
        <w:rPr>
          <w:rFonts w:hint="eastAsia" w:ascii="宋体" w:hAnsi="宋体"/>
          <w:color w:val="auto"/>
          <w:kern w:val="2"/>
          <w:sz w:val="24"/>
          <w:szCs w:val="24"/>
          <w:highlight w:val="none"/>
        </w:rPr>
      </w:pPr>
    </w:p>
    <w:p w14:paraId="32511EB0">
      <w:pPr>
        <w:jc w:val="center"/>
        <w:rPr>
          <w:rFonts w:hint="eastAsia" w:ascii="宋体" w:hAnsi="宋体"/>
          <w:color w:val="auto"/>
          <w:kern w:val="2"/>
          <w:sz w:val="24"/>
          <w:szCs w:val="24"/>
          <w:highlight w:val="none"/>
        </w:rPr>
      </w:pPr>
    </w:p>
    <w:p w14:paraId="55954CBC">
      <w:pPr>
        <w:jc w:val="center"/>
        <w:rPr>
          <w:rFonts w:hint="eastAsia" w:ascii="宋体" w:hAnsi="宋体"/>
          <w:color w:val="auto"/>
          <w:kern w:val="2"/>
          <w:sz w:val="24"/>
          <w:szCs w:val="24"/>
          <w:highlight w:val="none"/>
        </w:rPr>
      </w:pPr>
    </w:p>
    <w:p w14:paraId="4418A027">
      <w:pPr>
        <w:rPr>
          <w:rFonts w:hint="eastAsia" w:ascii="宋体" w:hAnsi="宋体" w:eastAsia="宋体" w:cs="宋体"/>
          <w:b/>
          <w:color w:val="auto"/>
          <w:kern w:val="2"/>
          <w:sz w:val="32"/>
          <w:szCs w:val="32"/>
          <w:highlight w:val="none"/>
          <w:lang w:val="en-US" w:eastAsia="zh-CN" w:bidi="ar-SA"/>
        </w:rPr>
      </w:pPr>
      <w:bookmarkStart w:id="195" w:name="_Toc16930"/>
      <w:r>
        <w:rPr>
          <w:rFonts w:hint="eastAsia" w:ascii="宋体" w:hAnsi="宋体" w:eastAsia="宋体" w:cs="宋体"/>
          <w:b/>
          <w:color w:val="auto"/>
          <w:kern w:val="2"/>
          <w:sz w:val="32"/>
          <w:szCs w:val="32"/>
          <w:highlight w:val="none"/>
          <w:lang w:val="en-US" w:eastAsia="zh-CN" w:bidi="ar-SA"/>
        </w:rPr>
        <w:br w:type="page"/>
      </w:r>
    </w:p>
    <w:p w14:paraId="78F344CE">
      <w:pPr>
        <w:keepNext/>
        <w:keepLines/>
        <w:widowControl w:val="0"/>
        <w:spacing w:before="260" w:after="260" w:line="416" w:lineRule="auto"/>
        <w:jc w:val="center"/>
        <w:outlineLvl w:val="1"/>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八、商务条款响应及偏离表</w:t>
      </w:r>
      <w:bookmarkEnd w:id="195"/>
    </w:p>
    <w:p w14:paraId="149669BF">
      <w:pPr>
        <w:spacing w:line="360" w:lineRule="auto"/>
        <w:rPr>
          <w:rFonts w:hint="eastAsia" w:ascii="宋体" w:hAnsi="宋体"/>
          <w:b/>
          <w:color w:val="auto"/>
          <w:kern w:val="2"/>
          <w:sz w:val="28"/>
          <w:szCs w:val="28"/>
          <w:highlight w:val="none"/>
        </w:rPr>
      </w:pPr>
      <w:r>
        <w:rPr>
          <w:rFonts w:hint="eastAsia" w:ascii="宋体" w:hAnsi="宋体"/>
          <w:color w:val="auto"/>
          <w:kern w:val="2"/>
          <w:sz w:val="24"/>
          <w:szCs w:val="24"/>
          <w:highlight w:val="none"/>
        </w:rPr>
        <w:t xml:space="preserve">项目名称：    </w:t>
      </w:r>
      <w:r>
        <w:rPr>
          <w:rFonts w:hint="eastAsia" w:ascii="宋体" w:hAnsi="宋体"/>
          <w:color w:val="auto"/>
          <w:kern w:val="2"/>
          <w:szCs w:val="24"/>
          <w:highlight w:val="none"/>
        </w:rPr>
        <w:t xml:space="preserve">                                        </w:t>
      </w:r>
      <w:r>
        <w:rPr>
          <w:rFonts w:hint="eastAsia" w:ascii="宋体" w:hAnsi="宋体"/>
          <w:color w:val="auto"/>
          <w:kern w:val="2"/>
          <w:sz w:val="24"/>
          <w:szCs w:val="24"/>
          <w:highlight w:val="none"/>
        </w:rPr>
        <w:t xml:space="preserve">项目编号：    </w:t>
      </w:r>
    </w:p>
    <w:tbl>
      <w:tblPr>
        <w:tblStyle w:val="50"/>
        <w:tblW w:w="974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548"/>
        <w:gridCol w:w="2700"/>
        <w:gridCol w:w="1260"/>
        <w:gridCol w:w="4239"/>
      </w:tblGrid>
      <w:tr w14:paraId="5F683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0CED229E">
            <w:pPr>
              <w:snapToGrid w:val="0"/>
              <w:spacing w:before="143" w:beforeLines="50"/>
              <w:jc w:val="center"/>
              <w:rPr>
                <w:rFonts w:hint="default" w:ascii="宋体" w:hAnsi="宋体"/>
                <w:color w:val="auto"/>
                <w:kern w:val="2"/>
                <w:sz w:val="24"/>
                <w:szCs w:val="20"/>
                <w:highlight w:val="none"/>
              </w:rPr>
            </w:pPr>
            <w:r>
              <w:rPr>
                <w:rFonts w:hint="eastAsia" w:ascii="宋体" w:hAnsi="宋体"/>
                <w:color w:val="auto"/>
                <w:kern w:val="2"/>
                <w:sz w:val="24"/>
                <w:szCs w:val="24"/>
                <w:highlight w:val="none"/>
              </w:rPr>
              <w:t>项目</w:t>
            </w:r>
          </w:p>
        </w:tc>
        <w:tc>
          <w:tcPr>
            <w:tcW w:w="2700" w:type="dxa"/>
            <w:tcBorders>
              <w:top w:val="single" w:color="auto" w:sz="4" w:space="0"/>
              <w:left w:val="single" w:color="auto" w:sz="4" w:space="0"/>
              <w:bottom w:val="single" w:color="auto" w:sz="4" w:space="0"/>
              <w:right w:val="single" w:color="auto" w:sz="4" w:space="0"/>
            </w:tcBorders>
            <w:noWrap w:val="0"/>
            <w:vAlign w:val="top"/>
          </w:tcPr>
          <w:p w14:paraId="53DA8C51">
            <w:pPr>
              <w:snapToGrid w:val="0"/>
              <w:spacing w:before="143" w:beforeLines="50"/>
              <w:jc w:val="center"/>
              <w:rPr>
                <w:rFonts w:hint="default" w:ascii="宋体" w:hAnsi="宋体"/>
                <w:color w:val="auto"/>
                <w:kern w:val="2"/>
                <w:sz w:val="24"/>
                <w:szCs w:val="20"/>
                <w:highlight w:val="none"/>
              </w:rPr>
            </w:pPr>
            <w:r>
              <w:rPr>
                <w:rFonts w:hint="eastAsia" w:ascii="宋体" w:hAnsi="宋体"/>
                <w:color w:val="auto"/>
                <w:kern w:val="2"/>
                <w:sz w:val="24"/>
                <w:szCs w:val="24"/>
                <w:highlight w:val="none"/>
              </w:rPr>
              <w:t>竞争谈判文件要求</w:t>
            </w:r>
          </w:p>
        </w:tc>
        <w:tc>
          <w:tcPr>
            <w:tcW w:w="1260" w:type="dxa"/>
            <w:tcBorders>
              <w:top w:val="single" w:color="auto" w:sz="4" w:space="0"/>
              <w:left w:val="single" w:color="auto" w:sz="4" w:space="0"/>
              <w:bottom w:val="single" w:color="auto" w:sz="4" w:space="0"/>
              <w:right w:val="single" w:color="auto" w:sz="4" w:space="0"/>
            </w:tcBorders>
            <w:noWrap w:val="0"/>
            <w:vAlign w:val="top"/>
          </w:tcPr>
          <w:p w14:paraId="3CAE9DBC">
            <w:pPr>
              <w:snapToGrid w:val="0"/>
              <w:spacing w:before="143" w:beforeLines="50"/>
              <w:jc w:val="center"/>
              <w:rPr>
                <w:rFonts w:hint="default" w:ascii="宋体" w:hAnsi="宋体"/>
                <w:color w:val="auto"/>
                <w:kern w:val="2"/>
                <w:sz w:val="24"/>
                <w:szCs w:val="20"/>
                <w:highlight w:val="none"/>
              </w:rPr>
            </w:pPr>
            <w:r>
              <w:rPr>
                <w:rFonts w:hint="eastAsia" w:ascii="宋体" w:hAnsi="宋体"/>
                <w:color w:val="auto"/>
                <w:kern w:val="2"/>
                <w:sz w:val="24"/>
                <w:szCs w:val="24"/>
                <w:highlight w:val="none"/>
              </w:rPr>
              <w:t>是否响应</w:t>
            </w:r>
          </w:p>
        </w:tc>
        <w:tc>
          <w:tcPr>
            <w:tcW w:w="4239" w:type="dxa"/>
            <w:tcBorders>
              <w:top w:val="single" w:color="auto" w:sz="4" w:space="0"/>
              <w:left w:val="single" w:color="auto" w:sz="4" w:space="0"/>
              <w:bottom w:val="single" w:color="auto" w:sz="4" w:space="0"/>
              <w:right w:val="single" w:color="auto" w:sz="4" w:space="0"/>
            </w:tcBorders>
            <w:noWrap w:val="0"/>
            <w:vAlign w:val="top"/>
          </w:tcPr>
          <w:p w14:paraId="46C65791">
            <w:pPr>
              <w:snapToGrid w:val="0"/>
              <w:spacing w:before="143" w:beforeLines="50"/>
              <w:jc w:val="center"/>
              <w:rPr>
                <w:rFonts w:hint="default" w:ascii="宋体" w:hAnsi="宋体"/>
                <w:color w:val="auto"/>
                <w:kern w:val="2"/>
                <w:sz w:val="24"/>
                <w:szCs w:val="20"/>
                <w:highlight w:val="none"/>
              </w:rPr>
            </w:pPr>
            <w:r>
              <w:rPr>
                <w:rFonts w:hint="eastAsia" w:ascii="宋体" w:hAnsi="宋体"/>
                <w:color w:val="auto"/>
                <w:kern w:val="2"/>
                <w:sz w:val="24"/>
                <w:szCs w:val="24"/>
                <w:highlight w:val="none"/>
              </w:rPr>
              <w:t>供应商的承诺或说明</w:t>
            </w:r>
          </w:p>
        </w:tc>
      </w:tr>
      <w:tr w14:paraId="138231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1C29D862">
            <w:pPr>
              <w:snapToGrid w:val="0"/>
              <w:spacing w:before="143" w:beforeLines="50"/>
              <w:rPr>
                <w:rFonts w:hint="default" w:ascii="宋体" w:hAnsi="宋体"/>
                <w:color w:val="auto"/>
                <w:kern w:val="2"/>
                <w:sz w:val="24"/>
                <w:szCs w:val="20"/>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77453D27">
            <w:pPr>
              <w:snapToGrid w:val="0"/>
              <w:spacing w:before="143" w:beforeLines="50"/>
              <w:rPr>
                <w:rFonts w:hint="default" w:ascii="宋体" w:hAnsi="宋体"/>
                <w:color w:val="auto"/>
                <w:kern w:val="2"/>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3473336C">
            <w:pPr>
              <w:snapToGrid w:val="0"/>
              <w:spacing w:before="143" w:beforeLines="50"/>
              <w:rPr>
                <w:rFonts w:hint="default" w:ascii="宋体" w:hAnsi="宋体"/>
                <w:color w:val="auto"/>
                <w:kern w:val="2"/>
                <w:sz w:val="24"/>
                <w:szCs w:val="20"/>
                <w:highlight w:val="none"/>
              </w:rPr>
            </w:pPr>
          </w:p>
        </w:tc>
        <w:tc>
          <w:tcPr>
            <w:tcW w:w="4239" w:type="dxa"/>
            <w:tcBorders>
              <w:top w:val="single" w:color="auto" w:sz="4" w:space="0"/>
              <w:left w:val="single" w:color="auto" w:sz="4" w:space="0"/>
              <w:bottom w:val="single" w:color="auto" w:sz="4" w:space="0"/>
              <w:right w:val="single" w:color="auto" w:sz="4" w:space="0"/>
            </w:tcBorders>
            <w:noWrap w:val="0"/>
            <w:vAlign w:val="top"/>
          </w:tcPr>
          <w:p w14:paraId="16948515">
            <w:pPr>
              <w:snapToGrid w:val="0"/>
              <w:spacing w:before="143" w:beforeLines="50"/>
              <w:rPr>
                <w:rFonts w:hint="default" w:ascii="宋体" w:hAnsi="宋体"/>
                <w:color w:val="auto"/>
                <w:kern w:val="2"/>
                <w:sz w:val="24"/>
                <w:szCs w:val="20"/>
                <w:highlight w:val="none"/>
              </w:rPr>
            </w:pPr>
          </w:p>
        </w:tc>
      </w:tr>
      <w:tr w14:paraId="25959E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00F633A4">
            <w:pPr>
              <w:snapToGrid w:val="0"/>
              <w:spacing w:before="143" w:beforeLines="50"/>
              <w:rPr>
                <w:rFonts w:hint="default" w:ascii="宋体" w:hAnsi="宋体"/>
                <w:color w:val="auto"/>
                <w:kern w:val="2"/>
                <w:sz w:val="24"/>
                <w:szCs w:val="20"/>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4A9FA82B">
            <w:pPr>
              <w:snapToGrid w:val="0"/>
              <w:spacing w:before="143" w:beforeLines="50"/>
              <w:rPr>
                <w:rFonts w:hint="default" w:ascii="宋体" w:hAnsi="宋体"/>
                <w:color w:val="auto"/>
                <w:kern w:val="2"/>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4A8DE9B4">
            <w:pPr>
              <w:snapToGrid w:val="0"/>
              <w:spacing w:before="143" w:beforeLines="50"/>
              <w:rPr>
                <w:rFonts w:hint="default" w:ascii="宋体" w:hAnsi="宋体"/>
                <w:color w:val="auto"/>
                <w:kern w:val="2"/>
                <w:sz w:val="24"/>
                <w:szCs w:val="20"/>
                <w:highlight w:val="none"/>
              </w:rPr>
            </w:pPr>
          </w:p>
        </w:tc>
        <w:tc>
          <w:tcPr>
            <w:tcW w:w="4239" w:type="dxa"/>
            <w:tcBorders>
              <w:top w:val="single" w:color="auto" w:sz="4" w:space="0"/>
              <w:left w:val="single" w:color="auto" w:sz="4" w:space="0"/>
              <w:bottom w:val="single" w:color="auto" w:sz="4" w:space="0"/>
              <w:right w:val="single" w:color="auto" w:sz="4" w:space="0"/>
            </w:tcBorders>
            <w:noWrap w:val="0"/>
            <w:vAlign w:val="top"/>
          </w:tcPr>
          <w:p w14:paraId="569C0AE2">
            <w:pPr>
              <w:snapToGrid w:val="0"/>
              <w:spacing w:before="143" w:beforeLines="50"/>
              <w:rPr>
                <w:rFonts w:hint="default" w:ascii="宋体" w:hAnsi="宋体"/>
                <w:color w:val="auto"/>
                <w:kern w:val="2"/>
                <w:sz w:val="24"/>
                <w:szCs w:val="20"/>
                <w:highlight w:val="none"/>
              </w:rPr>
            </w:pPr>
          </w:p>
        </w:tc>
      </w:tr>
      <w:tr w14:paraId="0643CF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661CC21B">
            <w:pPr>
              <w:snapToGrid w:val="0"/>
              <w:spacing w:before="143" w:beforeLines="50"/>
              <w:rPr>
                <w:rFonts w:hint="default" w:ascii="宋体" w:hAnsi="宋体"/>
                <w:color w:val="auto"/>
                <w:kern w:val="2"/>
                <w:sz w:val="24"/>
                <w:szCs w:val="20"/>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70B4E568">
            <w:pPr>
              <w:snapToGrid w:val="0"/>
              <w:spacing w:before="143" w:beforeLines="50"/>
              <w:rPr>
                <w:rFonts w:hint="default" w:ascii="宋体" w:hAnsi="宋体"/>
                <w:color w:val="auto"/>
                <w:kern w:val="2"/>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4A0F5401">
            <w:pPr>
              <w:snapToGrid w:val="0"/>
              <w:spacing w:before="143" w:beforeLines="50"/>
              <w:ind w:left="43"/>
              <w:rPr>
                <w:rFonts w:hint="default" w:ascii="宋体" w:hAnsi="宋体"/>
                <w:color w:val="auto"/>
                <w:kern w:val="2"/>
                <w:sz w:val="24"/>
                <w:szCs w:val="20"/>
                <w:highlight w:val="none"/>
              </w:rPr>
            </w:pPr>
          </w:p>
        </w:tc>
        <w:tc>
          <w:tcPr>
            <w:tcW w:w="4239" w:type="dxa"/>
            <w:tcBorders>
              <w:top w:val="single" w:color="auto" w:sz="4" w:space="0"/>
              <w:left w:val="single" w:color="auto" w:sz="4" w:space="0"/>
              <w:bottom w:val="single" w:color="auto" w:sz="4" w:space="0"/>
              <w:right w:val="single" w:color="auto" w:sz="4" w:space="0"/>
            </w:tcBorders>
            <w:noWrap w:val="0"/>
            <w:vAlign w:val="top"/>
          </w:tcPr>
          <w:p w14:paraId="48720DD4">
            <w:pPr>
              <w:snapToGrid w:val="0"/>
              <w:spacing w:before="143" w:beforeLines="50"/>
              <w:ind w:left="43"/>
              <w:rPr>
                <w:rFonts w:hint="default" w:ascii="宋体" w:hAnsi="宋体"/>
                <w:color w:val="auto"/>
                <w:kern w:val="2"/>
                <w:sz w:val="24"/>
                <w:szCs w:val="20"/>
                <w:highlight w:val="none"/>
              </w:rPr>
            </w:pPr>
          </w:p>
        </w:tc>
      </w:tr>
      <w:tr w14:paraId="7C2232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548" w:type="dxa"/>
            <w:tcBorders>
              <w:top w:val="single" w:color="auto" w:sz="4" w:space="0"/>
              <w:left w:val="single" w:color="auto" w:sz="4" w:space="0"/>
              <w:bottom w:val="single" w:color="auto" w:sz="4" w:space="0"/>
              <w:right w:val="single" w:color="auto" w:sz="4" w:space="0"/>
            </w:tcBorders>
            <w:noWrap w:val="0"/>
            <w:vAlign w:val="top"/>
          </w:tcPr>
          <w:p w14:paraId="71F7D06F">
            <w:pPr>
              <w:snapToGrid w:val="0"/>
              <w:spacing w:before="143" w:beforeLines="50"/>
              <w:rPr>
                <w:rFonts w:hint="default" w:ascii="宋体" w:hAnsi="宋体"/>
                <w:color w:val="auto"/>
                <w:kern w:val="2"/>
                <w:sz w:val="24"/>
                <w:szCs w:val="20"/>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6CF1C66D">
            <w:pPr>
              <w:snapToGrid w:val="0"/>
              <w:spacing w:before="143" w:beforeLines="50"/>
              <w:rPr>
                <w:rFonts w:hint="default" w:ascii="宋体" w:hAnsi="宋体"/>
                <w:color w:val="auto"/>
                <w:kern w:val="2"/>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15F1804F">
            <w:pPr>
              <w:snapToGrid w:val="0"/>
              <w:spacing w:before="143" w:beforeLines="50"/>
              <w:rPr>
                <w:rFonts w:hint="default" w:ascii="宋体" w:hAnsi="宋体"/>
                <w:color w:val="auto"/>
                <w:kern w:val="2"/>
                <w:sz w:val="24"/>
                <w:szCs w:val="20"/>
                <w:highlight w:val="none"/>
              </w:rPr>
            </w:pPr>
          </w:p>
        </w:tc>
        <w:tc>
          <w:tcPr>
            <w:tcW w:w="4239" w:type="dxa"/>
            <w:tcBorders>
              <w:top w:val="single" w:color="auto" w:sz="4" w:space="0"/>
              <w:left w:val="single" w:color="auto" w:sz="4" w:space="0"/>
              <w:bottom w:val="single" w:color="auto" w:sz="4" w:space="0"/>
              <w:right w:val="single" w:color="auto" w:sz="4" w:space="0"/>
            </w:tcBorders>
            <w:noWrap w:val="0"/>
            <w:vAlign w:val="top"/>
          </w:tcPr>
          <w:p w14:paraId="17688B24">
            <w:pPr>
              <w:snapToGrid w:val="0"/>
              <w:spacing w:before="143" w:beforeLines="50"/>
              <w:rPr>
                <w:rFonts w:hint="default" w:ascii="宋体" w:hAnsi="宋体"/>
                <w:color w:val="auto"/>
                <w:kern w:val="2"/>
                <w:sz w:val="24"/>
                <w:szCs w:val="20"/>
                <w:highlight w:val="none"/>
              </w:rPr>
            </w:pPr>
          </w:p>
        </w:tc>
      </w:tr>
      <w:tr w14:paraId="34A3EC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48" w:type="dxa"/>
            <w:tcBorders>
              <w:top w:val="single" w:color="auto" w:sz="4" w:space="0"/>
              <w:left w:val="single" w:color="auto" w:sz="4" w:space="0"/>
              <w:bottom w:val="single" w:color="auto" w:sz="4" w:space="0"/>
              <w:right w:val="single" w:color="auto" w:sz="4" w:space="0"/>
            </w:tcBorders>
            <w:noWrap w:val="0"/>
            <w:vAlign w:val="top"/>
          </w:tcPr>
          <w:p w14:paraId="32DFFA76">
            <w:pPr>
              <w:snapToGrid w:val="0"/>
              <w:spacing w:before="143" w:beforeLines="50"/>
              <w:rPr>
                <w:rFonts w:hint="default" w:ascii="宋体" w:hAnsi="宋体"/>
                <w:color w:val="auto"/>
                <w:kern w:val="2"/>
                <w:sz w:val="24"/>
                <w:szCs w:val="20"/>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0DBC8863">
            <w:pPr>
              <w:snapToGrid w:val="0"/>
              <w:spacing w:before="143" w:beforeLines="50"/>
              <w:rPr>
                <w:rFonts w:hint="default" w:ascii="宋体" w:hAnsi="宋体"/>
                <w:color w:val="auto"/>
                <w:kern w:val="2"/>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71772646">
            <w:pPr>
              <w:snapToGrid w:val="0"/>
              <w:spacing w:before="143" w:beforeLines="50"/>
              <w:rPr>
                <w:rFonts w:hint="default" w:ascii="宋体" w:hAnsi="宋体"/>
                <w:color w:val="auto"/>
                <w:kern w:val="2"/>
                <w:sz w:val="24"/>
                <w:szCs w:val="20"/>
                <w:highlight w:val="none"/>
              </w:rPr>
            </w:pPr>
          </w:p>
        </w:tc>
        <w:tc>
          <w:tcPr>
            <w:tcW w:w="4239" w:type="dxa"/>
            <w:tcBorders>
              <w:top w:val="single" w:color="auto" w:sz="4" w:space="0"/>
              <w:left w:val="single" w:color="auto" w:sz="4" w:space="0"/>
              <w:bottom w:val="single" w:color="auto" w:sz="4" w:space="0"/>
              <w:right w:val="single" w:color="auto" w:sz="4" w:space="0"/>
            </w:tcBorders>
            <w:noWrap w:val="0"/>
            <w:vAlign w:val="top"/>
          </w:tcPr>
          <w:p w14:paraId="50D83D1A">
            <w:pPr>
              <w:snapToGrid w:val="0"/>
              <w:spacing w:before="143" w:beforeLines="50"/>
              <w:rPr>
                <w:rFonts w:hint="default" w:ascii="宋体" w:hAnsi="宋体"/>
                <w:color w:val="auto"/>
                <w:kern w:val="2"/>
                <w:sz w:val="24"/>
                <w:szCs w:val="20"/>
                <w:highlight w:val="none"/>
              </w:rPr>
            </w:pPr>
          </w:p>
        </w:tc>
      </w:tr>
      <w:tr w14:paraId="6190D2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548" w:type="dxa"/>
            <w:tcBorders>
              <w:top w:val="single" w:color="auto" w:sz="4" w:space="0"/>
              <w:left w:val="single" w:color="auto" w:sz="4" w:space="0"/>
              <w:bottom w:val="single" w:color="auto" w:sz="4" w:space="0"/>
              <w:right w:val="single" w:color="auto" w:sz="4" w:space="0"/>
            </w:tcBorders>
            <w:noWrap w:val="0"/>
            <w:vAlign w:val="top"/>
          </w:tcPr>
          <w:p w14:paraId="0097D4B2">
            <w:pPr>
              <w:snapToGrid w:val="0"/>
              <w:spacing w:before="143" w:beforeLines="50"/>
              <w:rPr>
                <w:rFonts w:hint="default" w:ascii="宋体" w:hAnsi="宋体"/>
                <w:color w:val="auto"/>
                <w:kern w:val="2"/>
                <w:sz w:val="24"/>
                <w:szCs w:val="20"/>
                <w:highlight w:val="none"/>
              </w:rPr>
            </w:pPr>
          </w:p>
        </w:tc>
        <w:tc>
          <w:tcPr>
            <w:tcW w:w="2700" w:type="dxa"/>
            <w:tcBorders>
              <w:top w:val="single" w:color="auto" w:sz="4" w:space="0"/>
              <w:left w:val="single" w:color="auto" w:sz="4" w:space="0"/>
              <w:bottom w:val="single" w:color="auto" w:sz="4" w:space="0"/>
              <w:right w:val="single" w:color="auto" w:sz="4" w:space="0"/>
            </w:tcBorders>
            <w:noWrap w:val="0"/>
            <w:vAlign w:val="top"/>
          </w:tcPr>
          <w:p w14:paraId="4BFE3FF3">
            <w:pPr>
              <w:snapToGrid w:val="0"/>
              <w:spacing w:before="143" w:beforeLines="50"/>
              <w:rPr>
                <w:rFonts w:hint="default" w:ascii="宋体" w:hAnsi="宋体"/>
                <w:color w:val="auto"/>
                <w:kern w:val="2"/>
                <w:sz w:val="24"/>
                <w:szCs w:val="20"/>
                <w:highlight w:val="none"/>
              </w:rPr>
            </w:pPr>
          </w:p>
        </w:tc>
        <w:tc>
          <w:tcPr>
            <w:tcW w:w="1260" w:type="dxa"/>
            <w:tcBorders>
              <w:top w:val="single" w:color="auto" w:sz="4" w:space="0"/>
              <w:left w:val="single" w:color="auto" w:sz="4" w:space="0"/>
              <w:bottom w:val="single" w:color="auto" w:sz="4" w:space="0"/>
              <w:right w:val="single" w:color="auto" w:sz="4" w:space="0"/>
            </w:tcBorders>
            <w:noWrap w:val="0"/>
            <w:vAlign w:val="top"/>
          </w:tcPr>
          <w:p w14:paraId="75E107AF">
            <w:pPr>
              <w:snapToGrid w:val="0"/>
              <w:spacing w:before="143" w:beforeLines="50"/>
              <w:rPr>
                <w:rFonts w:hint="default" w:ascii="宋体" w:hAnsi="宋体"/>
                <w:color w:val="auto"/>
                <w:kern w:val="2"/>
                <w:sz w:val="24"/>
                <w:szCs w:val="20"/>
                <w:highlight w:val="none"/>
              </w:rPr>
            </w:pPr>
          </w:p>
        </w:tc>
        <w:tc>
          <w:tcPr>
            <w:tcW w:w="4239" w:type="dxa"/>
            <w:tcBorders>
              <w:top w:val="single" w:color="auto" w:sz="4" w:space="0"/>
              <w:left w:val="single" w:color="auto" w:sz="4" w:space="0"/>
              <w:bottom w:val="single" w:color="auto" w:sz="4" w:space="0"/>
              <w:right w:val="single" w:color="auto" w:sz="4" w:space="0"/>
            </w:tcBorders>
            <w:noWrap w:val="0"/>
            <w:vAlign w:val="top"/>
          </w:tcPr>
          <w:p w14:paraId="5850617C">
            <w:pPr>
              <w:snapToGrid w:val="0"/>
              <w:spacing w:before="143" w:beforeLines="50"/>
              <w:rPr>
                <w:rFonts w:hint="default" w:ascii="宋体" w:hAnsi="宋体"/>
                <w:color w:val="auto"/>
                <w:kern w:val="2"/>
                <w:sz w:val="24"/>
                <w:szCs w:val="20"/>
                <w:highlight w:val="none"/>
              </w:rPr>
            </w:pPr>
          </w:p>
        </w:tc>
      </w:tr>
    </w:tbl>
    <w:p w14:paraId="13F76D54">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 </w:t>
      </w:r>
    </w:p>
    <w:p w14:paraId="109835EA">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 xml:space="preserve">供应商名称（公章）：            </w:t>
      </w:r>
    </w:p>
    <w:p w14:paraId="173F19F5">
      <w:pPr>
        <w:widowControl w:val="0"/>
        <w:ind w:firstLine="561"/>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日 期：________年____月____日</w:t>
      </w:r>
    </w:p>
    <w:p w14:paraId="62519FDA">
      <w:pPr>
        <w:spacing w:line="360" w:lineRule="auto"/>
        <w:rPr>
          <w:rFonts w:hint="eastAsia" w:ascii="宋体" w:hAnsi="宋体"/>
          <w:bCs/>
          <w:color w:val="auto"/>
          <w:kern w:val="2"/>
          <w:sz w:val="24"/>
          <w:szCs w:val="24"/>
          <w:highlight w:val="none"/>
        </w:rPr>
      </w:pPr>
      <w:r>
        <w:rPr>
          <w:rFonts w:hint="eastAsia" w:ascii="宋体" w:hAnsi="宋体"/>
          <w:b/>
          <w:color w:val="auto"/>
          <w:kern w:val="2"/>
          <w:sz w:val="24"/>
          <w:szCs w:val="24"/>
          <w:highlight w:val="none"/>
        </w:rPr>
        <w:t>说明：</w:t>
      </w:r>
      <w:r>
        <w:rPr>
          <w:rFonts w:hint="eastAsia" w:ascii="宋体" w:hAnsi="宋体"/>
          <w:bCs/>
          <w:color w:val="auto"/>
          <w:kern w:val="2"/>
          <w:sz w:val="24"/>
          <w:szCs w:val="24"/>
          <w:highlight w:val="none"/>
        </w:rPr>
        <w:t>1、按照基本技术要求详细填列；</w:t>
      </w:r>
    </w:p>
    <w:p w14:paraId="5B085233">
      <w:pPr>
        <w:spacing w:line="360" w:lineRule="auto"/>
        <w:ind w:firstLine="720" w:firstLineChars="300"/>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2、行数不够，可自行添加。</w:t>
      </w:r>
    </w:p>
    <w:p w14:paraId="516166CA">
      <w:pPr>
        <w:ind w:firstLine="720" w:firstLineChars="300"/>
        <w:rPr>
          <w:rFonts w:hint="eastAsia" w:ascii="宋体" w:hAnsi="宋体"/>
          <w:color w:val="auto"/>
          <w:kern w:val="2"/>
          <w:sz w:val="24"/>
          <w:szCs w:val="24"/>
          <w:highlight w:val="none"/>
        </w:rPr>
      </w:pPr>
      <w:r>
        <w:rPr>
          <w:rFonts w:hint="eastAsia" w:ascii="宋体" w:hAnsi="宋体"/>
          <w:color w:val="auto"/>
          <w:kern w:val="2"/>
          <w:sz w:val="24"/>
          <w:szCs w:val="24"/>
          <w:highlight w:val="none"/>
        </w:rPr>
        <w:t>3、供应商应在上表中明确响应文件商务部分与采购文件要求的商务条款偏离情况， 未在上表中说明的，如在响应文件其他内容中已有文字说明或相关证明材料的，则以已 有文字说明或相关证明材料为准，但该表不作为供应商对所投项目关于商务条款等详细 描述和说明的替代。</w:t>
      </w:r>
    </w:p>
    <w:p w14:paraId="2AD43D98">
      <w:pPr>
        <w:spacing w:line="360" w:lineRule="auto"/>
        <w:jc w:val="center"/>
        <w:rPr>
          <w:rFonts w:hint="eastAsia" w:ascii="宋体" w:hAnsi="宋体"/>
          <w:b/>
          <w:color w:val="auto"/>
          <w:kern w:val="2"/>
          <w:sz w:val="32"/>
          <w:szCs w:val="32"/>
          <w:highlight w:val="none"/>
        </w:rPr>
      </w:pPr>
    </w:p>
    <w:p w14:paraId="7ABBD1AE">
      <w:pPr>
        <w:spacing w:line="360" w:lineRule="auto"/>
        <w:jc w:val="center"/>
        <w:rPr>
          <w:rFonts w:hint="eastAsia" w:ascii="宋体" w:hAnsi="宋体"/>
          <w:b/>
          <w:color w:val="auto"/>
          <w:kern w:val="2"/>
          <w:sz w:val="32"/>
          <w:szCs w:val="32"/>
          <w:highlight w:val="none"/>
        </w:rPr>
      </w:pPr>
    </w:p>
    <w:p w14:paraId="012B8B0F">
      <w:pPr>
        <w:spacing w:line="360" w:lineRule="auto"/>
        <w:jc w:val="center"/>
        <w:rPr>
          <w:rFonts w:hint="eastAsia" w:ascii="宋体" w:hAnsi="宋体"/>
          <w:b/>
          <w:color w:val="auto"/>
          <w:kern w:val="2"/>
          <w:sz w:val="32"/>
          <w:szCs w:val="32"/>
          <w:highlight w:val="none"/>
        </w:rPr>
      </w:pPr>
    </w:p>
    <w:p w14:paraId="6B356D59">
      <w:pPr>
        <w:spacing w:line="360" w:lineRule="auto"/>
        <w:jc w:val="center"/>
        <w:rPr>
          <w:rFonts w:hint="eastAsia" w:ascii="宋体" w:hAnsi="宋体"/>
          <w:b/>
          <w:color w:val="auto"/>
          <w:kern w:val="2"/>
          <w:sz w:val="32"/>
          <w:szCs w:val="32"/>
          <w:highlight w:val="none"/>
        </w:rPr>
      </w:pPr>
    </w:p>
    <w:p w14:paraId="0011FE62">
      <w:pPr>
        <w:spacing w:line="360" w:lineRule="auto"/>
        <w:jc w:val="center"/>
        <w:rPr>
          <w:rFonts w:hint="eastAsia" w:ascii="宋体" w:hAnsi="宋体"/>
          <w:b/>
          <w:color w:val="auto"/>
          <w:kern w:val="2"/>
          <w:sz w:val="32"/>
          <w:szCs w:val="32"/>
          <w:highlight w:val="none"/>
        </w:rPr>
      </w:pPr>
    </w:p>
    <w:p w14:paraId="631AD509">
      <w:pPr>
        <w:spacing w:line="360" w:lineRule="auto"/>
        <w:jc w:val="center"/>
        <w:rPr>
          <w:rFonts w:hint="eastAsia" w:ascii="宋体" w:hAnsi="宋体"/>
          <w:b/>
          <w:color w:val="auto"/>
          <w:kern w:val="2"/>
          <w:sz w:val="32"/>
          <w:szCs w:val="32"/>
          <w:highlight w:val="none"/>
        </w:rPr>
      </w:pPr>
    </w:p>
    <w:p w14:paraId="068C656F">
      <w:pPr>
        <w:spacing w:line="360" w:lineRule="auto"/>
        <w:jc w:val="center"/>
        <w:rPr>
          <w:rFonts w:hint="eastAsia" w:ascii="宋体" w:hAnsi="宋体"/>
          <w:b/>
          <w:color w:val="auto"/>
          <w:kern w:val="2"/>
          <w:sz w:val="32"/>
          <w:szCs w:val="32"/>
          <w:highlight w:val="none"/>
        </w:rPr>
      </w:pPr>
    </w:p>
    <w:p w14:paraId="4B9F38F0">
      <w:pPr>
        <w:pStyle w:val="277"/>
        <w:rPr>
          <w:rFonts w:hint="default"/>
          <w:color w:val="auto"/>
          <w:highlight w:val="none"/>
          <w:lang w:val="zh-CN"/>
        </w:rPr>
      </w:pPr>
    </w:p>
    <w:p w14:paraId="5087CED4">
      <w:pPr>
        <w:keepNext/>
        <w:keepLines/>
        <w:widowControl w:val="0"/>
        <w:spacing w:before="260" w:after="260" w:line="416" w:lineRule="auto"/>
        <w:jc w:val="center"/>
        <w:outlineLvl w:val="1"/>
        <w:rPr>
          <w:rFonts w:ascii="宋体" w:hAnsi="宋体" w:eastAsia="宋体" w:cs="宋体"/>
          <w:b/>
          <w:color w:val="auto"/>
          <w:kern w:val="2"/>
          <w:sz w:val="32"/>
          <w:szCs w:val="32"/>
          <w:highlight w:val="none"/>
          <w:lang w:val="en-US" w:eastAsia="zh-CN" w:bidi="ar-SA"/>
        </w:rPr>
      </w:pPr>
      <w:bookmarkStart w:id="196" w:name="_Toc12339"/>
      <w:r>
        <w:rPr>
          <w:rFonts w:hint="eastAsia" w:ascii="宋体" w:hAnsi="宋体" w:eastAsia="宋体" w:cs="宋体"/>
          <w:b/>
          <w:color w:val="auto"/>
          <w:kern w:val="2"/>
          <w:sz w:val="32"/>
          <w:szCs w:val="32"/>
          <w:highlight w:val="none"/>
          <w:lang w:val="en-US" w:eastAsia="zh-CN" w:bidi="ar-SA"/>
        </w:rPr>
        <w:t>九、</w:t>
      </w:r>
      <w:bookmarkEnd w:id="196"/>
      <w:r>
        <w:rPr>
          <w:rFonts w:hint="eastAsia" w:ascii="宋体" w:hAnsi="宋体" w:eastAsia="宋体" w:cs="宋体"/>
          <w:b/>
          <w:color w:val="auto"/>
          <w:kern w:val="2"/>
          <w:sz w:val="32"/>
          <w:szCs w:val="32"/>
          <w:highlight w:val="none"/>
          <w:lang w:val="en-US" w:eastAsia="zh-CN" w:bidi="ar-SA"/>
        </w:rPr>
        <w:t>服务方案</w:t>
      </w:r>
    </w:p>
    <w:p w14:paraId="425402E4">
      <w:pPr>
        <w:ind w:firstLine="3150" w:firstLineChars="1500"/>
        <w:outlineLvl w:val="0"/>
        <w:rPr>
          <w:rFonts w:hint="eastAsia" w:ascii="宋体" w:hAnsi="宋体"/>
          <w:color w:val="auto"/>
          <w:kern w:val="2"/>
          <w:sz w:val="24"/>
          <w:szCs w:val="24"/>
          <w:highlight w:val="none"/>
        </w:rPr>
      </w:pPr>
      <w:bookmarkStart w:id="197" w:name="_Toc365"/>
      <w:r>
        <w:rPr>
          <w:rFonts w:hint="eastAsia" w:ascii="宋体" w:hAnsi="宋体"/>
          <w:color w:val="auto"/>
          <w:kern w:val="2"/>
          <w:szCs w:val="24"/>
          <w:highlight w:val="none"/>
        </w:rPr>
        <w:t>（如有，</w:t>
      </w:r>
      <w:r>
        <w:rPr>
          <w:rFonts w:hint="eastAsia" w:ascii="宋体" w:hAnsi="宋体"/>
          <w:color w:val="auto"/>
          <w:kern w:val="2"/>
          <w:sz w:val="24"/>
          <w:szCs w:val="24"/>
          <w:highlight w:val="none"/>
        </w:rPr>
        <w:t>内容格式自定）</w:t>
      </w:r>
      <w:bookmarkEnd w:id="197"/>
    </w:p>
    <w:p w14:paraId="3C32894D">
      <w:pPr>
        <w:widowControl w:val="0"/>
        <w:ind w:firstLine="420"/>
        <w:jc w:val="both"/>
        <w:rPr>
          <w:rFonts w:hint="eastAsia" w:ascii="宋体" w:hAnsi="宋体" w:eastAsia="宋体" w:cs="Times New Roman"/>
          <w:color w:val="auto"/>
          <w:kern w:val="2"/>
          <w:sz w:val="21"/>
          <w:szCs w:val="20"/>
          <w:highlight w:val="none"/>
          <w:lang w:val="en-US" w:eastAsia="zh-CN" w:bidi="ar-SA"/>
        </w:rPr>
      </w:pPr>
    </w:p>
    <w:p w14:paraId="4B6A9CD8">
      <w:pPr>
        <w:widowControl w:val="0"/>
        <w:adjustRightInd w:val="0"/>
        <w:spacing w:before="0" w:after="0" w:line="500" w:lineRule="exact"/>
        <w:ind w:firstLine="0"/>
        <w:jc w:val="left"/>
        <w:textAlignment w:val="baseline"/>
        <w:rPr>
          <w:rFonts w:hint="eastAsia" w:ascii="宋体" w:hAnsi="宋体" w:eastAsia="宋体" w:cs="Times New Roman"/>
          <w:color w:val="auto"/>
          <w:kern w:val="2"/>
          <w:sz w:val="24"/>
          <w:szCs w:val="21"/>
          <w:highlight w:val="none"/>
          <w:lang w:val="en-US" w:eastAsia="zh-CN" w:bidi="ar-SA"/>
        </w:rPr>
      </w:pPr>
    </w:p>
    <w:p w14:paraId="6BADE40E">
      <w:pPr>
        <w:spacing w:line="480" w:lineRule="auto"/>
        <w:outlineLvl w:val="0"/>
        <w:rPr>
          <w:rFonts w:hint="eastAsia" w:ascii="宋体" w:hAnsi="宋体"/>
          <w:color w:val="auto"/>
          <w:kern w:val="2"/>
          <w:sz w:val="30"/>
          <w:szCs w:val="24"/>
          <w:highlight w:val="none"/>
        </w:rPr>
      </w:pPr>
      <w:bookmarkStart w:id="198" w:name="_Hlt26671372"/>
      <w:bookmarkEnd w:id="198"/>
      <w:bookmarkStart w:id="199" w:name="_Hlt24879081"/>
      <w:bookmarkEnd w:id="199"/>
      <w:bookmarkStart w:id="200" w:name="_Hlt26955056"/>
      <w:bookmarkEnd w:id="200"/>
      <w:bookmarkStart w:id="201" w:name="_Hlt26782999"/>
      <w:bookmarkEnd w:id="201"/>
      <w:bookmarkStart w:id="202" w:name="_Hlt26580838"/>
      <w:bookmarkEnd w:id="202"/>
      <w:bookmarkStart w:id="203" w:name="_Hlt26955064"/>
      <w:bookmarkEnd w:id="203"/>
      <w:bookmarkStart w:id="204" w:name="_Hlt26671343"/>
      <w:bookmarkEnd w:id="204"/>
      <w:bookmarkStart w:id="205" w:name="_Hlt26609391"/>
      <w:bookmarkEnd w:id="205"/>
      <w:r>
        <w:rPr>
          <w:rFonts w:hint="eastAsia" w:ascii="宋体" w:hAnsi="宋体"/>
          <w:color w:val="auto"/>
          <w:kern w:val="2"/>
          <w:sz w:val="30"/>
          <w:szCs w:val="24"/>
          <w:highlight w:val="none"/>
        </w:rPr>
        <w:t xml:space="preserve">   </w:t>
      </w:r>
    </w:p>
    <w:p w14:paraId="7DC2AF3A">
      <w:pPr>
        <w:spacing w:line="480" w:lineRule="auto"/>
        <w:outlineLvl w:val="0"/>
        <w:rPr>
          <w:rFonts w:hint="eastAsia" w:ascii="宋体" w:hAnsi="宋体"/>
          <w:color w:val="auto"/>
          <w:kern w:val="2"/>
          <w:sz w:val="30"/>
          <w:szCs w:val="24"/>
          <w:highlight w:val="none"/>
        </w:rPr>
      </w:pPr>
    </w:p>
    <w:p w14:paraId="02BBB425">
      <w:pPr>
        <w:spacing w:line="480" w:lineRule="auto"/>
        <w:outlineLvl w:val="0"/>
        <w:rPr>
          <w:rFonts w:hint="eastAsia" w:ascii="宋体" w:hAnsi="宋体"/>
          <w:color w:val="auto"/>
          <w:kern w:val="2"/>
          <w:sz w:val="30"/>
          <w:szCs w:val="24"/>
          <w:highlight w:val="none"/>
        </w:rPr>
      </w:pPr>
    </w:p>
    <w:p w14:paraId="4B1DDD6D">
      <w:pPr>
        <w:spacing w:line="480" w:lineRule="auto"/>
        <w:outlineLvl w:val="0"/>
        <w:rPr>
          <w:rFonts w:hint="eastAsia" w:ascii="宋体" w:hAnsi="宋体"/>
          <w:color w:val="auto"/>
          <w:kern w:val="2"/>
          <w:sz w:val="30"/>
          <w:szCs w:val="24"/>
          <w:highlight w:val="none"/>
        </w:rPr>
      </w:pPr>
    </w:p>
    <w:p w14:paraId="2C5B47C2">
      <w:pPr>
        <w:spacing w:line="480" w:lineRule="auto"/>
        <w:outlineLvl w:val="0"/>
        <w:rPr>
          <w:rFonts w:hint="eastAsia" w:ascii="宋体" w:hAnsi="宋体"/>
          <w:color w:val="auto"/>
          <w:kern w:val="2"/>
          <w:sz w:val="30"/>
          <w:szCs w:val="24"/>
          <w:highlight w:val="none"/>
        </w:rPr>
      </w:pPr>
    </w:p>
    <w:p w14:paraId="40CC0C8A">
      <w:pPr>
        <w:spacing w:line="480" w:lineRule="auto"/>
        <w:outlineLvl w:val="0"/>
        <w:rPr>
          <w:rFonts w:hint="eastAsia" w:ascii="宋体" w:hAnsi="宋体"/>
          <w:color w:val="auto"/>
          <w:kern w:val="2"/>
          <w:sz w:val="30"/>
          <w:szCs w:val="24"/>
          <w:highlight w:val="none"/>
        </w:rPr>
      </w:pPr>
    </w:p>
    <w:p w14:paraId="743112FB">
      <w:pPr>
        <w:spacing w:line="480" w:lineRule="auto"/>
        <w:outlineLvl w:val="0"/>
        <w:rPr>
          <w:rFonts w:hint="eastAsia" w:ascii="宋体" w:hAnsi="宋体"/>
          <w:color w:val="auto"/>
          <w:kern w:val="2"/>
          <w:sz w:val="30"/>
          <w:szCs w:val="24"/>
          <w:highlight w:val="none"/>
        </w:rPr>
      </w:pPr>
    </w:p>
    <w:p w14:paraId="7783E3CE">
      <w:pPr>
        <w:spacing w:line="480" w:lineRule="auto"/>
        <w:outlineLvl w:val="0"/>
        <w:rPr>
          <w:rFonts w:hint="eastAsia" w:ascii="宋体" w:hAnsi="宋体"/>
          <w:color w:val="auto"/>
          <w:kern w:val="2"/>
          <w:sz w:val="30"/>
          <w:szCs w:val="24"/>
          <w:highlight w:val="none"/>
        </w:rPr>
      </w:pPr>
    </w:p>
    <w:p w14:paraId="426EB1E1">
      <w:pPr>
        <w:spacing w:line="480" w:lineRule="auto"/>
        <w:outlineLvl w:val="0"/>
        <w:rPr>
          <w:rFonts w:hint="eastAsia" w:ascii="宋体" w:hAnsi="宋体"/>
          <w:color w:val="auto"/>
          <w:kern w:val="2"/>
          <w:sz w:val="30"/>
          <w:szCs w:val="24"/>
          <w:highlight w:val="none"/>
        </w:rPr>
      </w:pPr>
    </w:p>
    <w:p w14:paraId="771A112F">
      <w:pPr>
        <w:spacing w:line="480" w:lineRule="auto"/>
        <w:outlineLvl w:val="0"/>
        <w:rPr>
          <w:rFonts w:hint="eastAsia" w:ascii="宋体" w:hAnsi="宋体"/>
          <w:color w:val="auto"/>
          <w:kern w:val="2"/>
          <w:sz w:val="30"/>
          <w:szCs w:val="24"/>
          <w:highlight w:val="none"/>
        </w:rPr>
      </w:pPr>
    </w:p>
    <w:p w14:paraId="09595E99">
      <w:pPr>
        <w:spacing w:line="480" w:lineRule="auto"/>
        <w:outlineLvl w:val="0"/>
        <w:rPr>
          <w:rFonts w:hint="eastAsia" w:ascii="宋体" w:hAnsi="宋体"/>
          <w:color w:val="auto"/>
          <w:kern w:val="2"/>
          <w:sz w:val="30"/>
          <w:szCs w:val="24"/>
          <w:highlight w:val="none"/>
        </w:rPr>
      </w:pPr>
    </w:p>
    <w:p w14:paraId="39AC9F6F">
      <w:pPr>
        <w:spacing w:line="480" w:lineRule="auto"/>
        <w:outlineLvl w:val="0"/>
        <w:rPr>
          <w:rFonts w:hint="eastAsia" w:ascii="宋体" w:hAnsi="宋体"/>
          <w:color w:val="auto"/>
          <w:kern w:val="2"/>
          <w:sz w:val="30"/>
          <w:szCs w:val="24"/>
          <w:highlight w:val="none"/>
        </w:rPr>
      </w:pPr>
    </w:p>
    <w:p w14:paraId="739E849D">
      <w:pPr>
        <w:spacing w:line="480" w:lineRule="auto"/>
        <w:outlineLvl w:val="0"/>
        <w:rPr>
          <w:rFonts w:hint="eastAsia" w:ascii="宋体" w:hAnsi="宋体"/>
          <w:color w:val="auto"/>
          <w:kern w:val="2"/>
          <w:sz w:val="30"/>
          <w:szCs w:val="24"/>
          <w:highlight w:val="none"/>
        </w:rPr>
      </w:pPr>
    </w:p>
    <w:p w14:paraId="15E252C6">
      <w:pPr>
        <w:spacing w:line="480" w:lineRule="auto"/>
        <w:outlineLvl w:val="0"/>
        <w:rPr>
          <w:rFonts w:hint="eastAsia" w:ascii="宋体" w:hAnsi="宋体"/>
          <w:color w:val="auto"/>
          <w:kern w:val="2"/>
          <w:sz w:val="30"/>
          <w:szCs w:val="24"/>
          <w:highlight w:val="none"/>
        </w:rPr>
      </w:pPr>
    </w:p>
    <w:p w14:paraId="151661F8">
      <w:pPr>
        <w:spacing w:line="480" w:lineRule="auto"/>
        <w:outlineLvl w:val="0"/>
        <w:rPr>
          <w:rFonts w:hint="eastAsia" w:ascii="宋体" w:hAnsi="宋体"/>
          <w:color w:val="auto"/>
          <w:kern w:val="2"/>
          <w:sz w:val="30"/>
          <w:szCs w:val="24"/>
          <w:highlight w:val="none"/>
        </w:rPr>
      </w:pPr>
    </w:p>
    <w:p w14:paraId="223BAEBE">
      <w:pPr>
        <w:keepNext/>
        <w:keepLines/>
        <w:widowControl w:val="0"/>
        <w:spacing w:before="260" w:after="260" w:line="416" w:lineRule="auto"/>
        <w:jc w:val="center"/>
        <w:outlineLvl w:val="1"/>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十、中小企业声明函（服务）</w:t>
      </w:r>
    </w:p>
    <w:p w14:paraId="7B256BCA">
      <w:pPr>
        <w:widowControl w:val="0"/>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本公司（联合体）郑重声明，根据《政府采购促进中小企业发展管理办法》（财库﹝2020﹞46 号）的规定，本公司（联合体）参加</w:t>
      </w:r>
      <w:r>
        <w:rPr>
          <w:rFonts w:hint="eastAsia" w:ascii="宋体" w:hAnsi="宋体" w:eastAsia="宋体" w:cs="宋体"/>
          <w:color w:val="auto"/>
          <w:kern w:val="2"/>
          <w:sz w:val="24"/>
          <w:szCs w:val="18"/>
          <w:highlight w:val="none"/>
          <w:u w:val="single"/>
          <w:lang w:val="en-US" w:eastAsia="zh-CN" w:bidi="ar-SA"/>
        </w:rPr>
        <w:t>（单位名称）</w:t>
      </w:r>
      <w:r>
        <w:rPr>
          <w:rFonts w:hint="eastAsia" w:ascii="宋体" w:hAnsi="宋体" w:eastAsia="宋体" w:cs="宋体"/>
          <w:color w:val="auto"/>
          <w:kern w:val="2"/>
          <w:sz w:val="24"/>
          <w:szCs w:val="18"/>
          <w:highlight w:val="none"/>
          <w:lang w:val="en-US" w:eastAsia="zh-CN" w:bidi="ar-SA"/>
        </w:rPr>
        <w:t>的</w:t>
      </w:r>
      <w:r>
        <w:rPr>
          <w:rFonts w:hint="eastAsia" w:ascii="宋体" w:hAnsi="宋体" w:eastAsia="宋体" w:cs="宋体"/>
          <w:color w:val="auto"/>
          <w:kern w:val="2"/>
          <w:sz w:val="24"/>
          <w:szCs w:val="18"/>
          <w:highlight w:val="none"/>
          <w:u w:val="single"/>
          <w:lang w:val="en-US" w:eastAsia="zh-CN" w:bidi="ar-SA"/>
        </w:rPr>
        <w:t>（项目名称）</w:t>
      </w:r>
      <w:r>
        <w:rPr>
          <w:rFonts w:hint="eastAsia" w:ascii="宋体" w:hAnsi="宋体" w:eastAsia="宋体" w:cs="宋体"/>
          <w:color w:val="auto"/>
          <w:kern w:val="2"/>
          <w:sz w:val="24"/>
          <w:szCs w:val="18"/>
          <w:highlight w:val="none"/>
          <w:lang w:val="en-US" w:eastAsia="zh-CN" w:bidi="ar-SA"/>
        </w:rPr>
        <w:t>采购活动，服务全部由符合政策要求的中小企业承接。相关企业（含联合体中的中小企业、签订分包意向协议的中小企业）的具体情况如下：</w:t>
      </w:r>
    </w:p>
    <w:p w14:paraId="219862BA">
      <w:pPr>
        <w:widowControl w:val="0"/>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 xml:space="preserve">1. </w:t>
      </w:r>
      <w:r>
        <w:rPr>
          <w:rFonts w:hint="eastAsia" w:ascii="宋体" w:hAnsi="宋体" w:eastAsia="宋体" w:cs="宋体"/>
          <w:color w:val="auto"/>
          <w:kern w:val="2"/>
          <w:sz w:val="24"/>
          <w:szCs w:val="18"/>
          <w:highlight w:val="none"/>
          <w:u w:val="single"/>
          <w:lang w:val="en-US" w:eastAsia="zh-CN" w:bidi="ar-SA"/>
        </w:rPr>
        <w:t>（标的名称）</w:t>
      </w:r>
      <w:r>
        <w:rPr>
          <w:rFonts w:hint="eastAsia" w:ascii="宋体" w:hAnsi="宋体" w:eastAsia="宋体" w:cs="宋体"/>
          <w:color w:val="auto"/>
          <w:kern w:val="2"/>
          <w:sz w:val="24"/>
          <w:szCs w:val="18"/>
          <w:highlight w:val="none"/>
          <w:lang w:val="en-US" w:eastAsia="zh-CN" w:bidi="ar-SA"/>
        </w:rPr>
        <w:t>，属于</w:t>
      </w:r>
      <w:r>
        <w:rPr>
          <w:rFonts w:hint="eastAsia" w:ascii="宋体" w:hAnsi="宋体" w:eastAsia="宋体" w:cs="宋体"/>
          <w:color w:val="auto"/>
          <w:kern w:val="2"/>
          <w:sz w:val="24"/>
          <w:szCs w:val="18"/>
          <w:highlight w:val="none"/>
          <w:u w:val="single"/>
          <w:lang w:val="en-US" w:eastAsia="zh-CN" w:bidi="ar-SA"/>
        </w:rPr>
        <w:t xml:space="preserve">  （采购文件中明确的所属行业） </w:t>
      </w:r>
      <w:r>
        <w:rPr>
          <w:rFonts w:hint="eastAsia" w:ascii="宋体" w:hAnsi="宋体" w:eastAsia="宋体" w:cs="宋体"/>
          <w:color w:val="auto"/>
          <w:kern w:val="2"/>
          <w:sz w:val="24"/>
          <w:szCs w:val="18"/>
          <w:highlight w:val="none"/>
          <w:lang w:val="en-US" w:eastAsia="zh-CN" w:bidi="ar-SA"/>
        </w:rPr>
        <w:t>； 承建（承接）企业为</w:t>
      </w:r>
      <w:r>
        <w:rPr>
          <w:rFonts w:hint="eastAsia" w:ascii="宋体" w:hAnsi="宋体" w:eastAsia="宋体" w:cs="宋体"/>
          <w:color w:val="auto"/>
          <w:kern w:val="2"/>
          <w:sz w:val="24"/>
          <w:szCs w:val="18"/>
          <w:highlight w:val="none"/>
          <w:u w:val="single"/>
          <w:lang w:val="en-US" w:eastAsia="zh-CN" w:bidi="ar-SA"/>
        </w:rPr>
        <w:t>（企业名称）</w:t>
      </w:r>
      <w:r>
        <w:rPr>
          <w:rFonts w:hint="eastAsia" w:ascii="宋体" w:hAnsi="宋体" w:eastAsia="宋体" w:cs="宋体"/>
          <w:color w:val="auto"/>
          <w:kern w:val="2"/>
          <w:sz w:val="24"/>
          <w:szCs w:val="18"/>
          <w:highlight w:val="none"/>
          <w:lang w:val="en-US" w:eastAsia="zh-CN" w:bidi="ar-SA"/>
        </w:rPr>
        <w:t xml:space="preserve">，从业人员 </w:t>
      </w:r>
      <w:r>
        <w:rPr>
          <w:rFonts w:hint="eastAsia" w:ascii="宋体" w:hAnsi="宋体" w:eastAsia="宋体" w:cs="宋体"/>
          <w:color w:val="auto"/>
          <w:kern w:val="2"/>
          <w:sz w:val="24"/>
          <w:szCs w:val="18"/>
          <w:highlight w:val="none"/>
          <w:u w:val="single"/>
          <w:lang w:val="en-US" w:eastAsia="zh-CN" w:bidi="ar-SA"/>
        </w:rPr>
        <w:t xml:space="preserve">    </w:t>
      </w:r>
      <w:r>
        <w:rPr>
          <w:rFonts w:hint="eastAsia" w:ascii="宋体" w:hAnsi="宋体" w:eastAsia="宋体" w:cs="宋体"/>
          <w:color w:val="auto"/>
          <w:kern w:val="2"/>
          <w:sz w:val="24"/>
          <w:szCs w:val="18"/>
          <w:highlight w:val="none"/>
          <w:lang w:val="en-US" w:eastAsia="zh-CN" w:bidi="ar-SA"/>
        </w:rPr>
        <w:t>人，营业收入为</w:t>
      </w:r>
      <w:r>
        <w:rPr>
          <w:rFonts w:hint="eastAsia" w:ascii="宋体" w:hAnsi="宋体" w:eastAsia="宋体" w:cs="宋体"/>
          <w:color w:val="auto"/>
          <w:kern w:val="2"/>
          <w:sz w:val="24"/>
          <w:szCs w:val="18"/>
          <w:highlight w:val="none"/>
          <w:u w:val="single"/>
          <w:lang w:val="en-US" w:eastAsia="zh-CN" w:bidi="ar-SA"/>
        </w:rPr>
        <w:t xml:space="preserve">      </w:t>
      </w:r>
      <w:r>
        <w:rPr>
          <w:rFonts w:hint="eastAsia" w:ascii="宋体" w:hAnsi="宋体" w:eastAsia="宋体" w:cs="宋体"/>
          <w:color w:val="auto"/>
          <w:kern w:val="2"/>
          <w:sz w:val="24"/>
          <w:szCs w:val="18"/>
          <w:highlight w:val="none"/>
          <w:lang w:val="en-US" w:eastAsia="zh-CN" w:bidi="ar-SA"/>
        </w:rPr>
        <w:t>万元，资产总额为</w:t>
      </w:r>
      <w:r>
        <w:rPr>
          <w:rFonts w:hint="eastAsia" w:ascii="宋体" w:hAnsi="宋体" w:eastAsia="宋体" w:cs="宋体"/>
          <w:color w:val="auto"/>
          <w:kern w:val="2"/>
          <w:sz w:val="24"/>
          <w:szCs w:val="18"/>
          <w:highlight w:val="none"/>
          <w:u w:val="single"/>
          <w:lang w:val="en-US" w:eastAsia="zh-CN" w:bidi="ar-SA"/>
        </w:rPr>
        <w:t xml:space="preserve">        </w:t>
      </w:r>
      <w:r>
        <w:rPr>
          <w:rFonts w:hint="eastAsia" w:ascii="宋体" w:hAnsi="宋体" w:eastAsia="宋体" w:cs="宋体"/>
          <w:color w:val="auto"/>
          <w:kern w:val="2"/>
          <w:sz w:val="24"/>
          <w:szCs w:val="18"/>
          <w:highlight w:val="none"/>
          <w:lang w:val="en-US" w:eastAsia="zh-CN" w:bidi="ar-SA"/>
        </w:rPr>
        <w:t>万元</w:t>
      </w:r>
      <w:r>
        <w:rPr>
          <w:rFonts w:hint="eastAsia" w:ascii="宋体" w:hAnsi="宋体" w:eastAsia="宋体" w:cs="宋体"/>
          <w:color w:val="auto"/>
          <w:kern w:val="2"/>
          <w:sz w:val="24"/>
          <w:szCs w:val="18"/>
          <w:highlight w:val="none"/>
          <w:vertAlign w:val="superscript"/>
          <w:lang w:val="en-US" w:eastAsia="zh-CN" w:bidi="ar-SA"/>
        </w:rPr>
        <w:t>【1】</w:t>
      </w:r>
      <w:r>
        <w:rPr>
          <w:rFonts w:hint="eastAsia" w:ascii="宋体" w:hAnsi="宋体" w:eastAsia="宋体" w:cs="宋体"/>
          <w:color w:val="auto"/>
          <w:kern w:val="2"/>
          <w:sz w:val="24"/>
          <w:szCs w:val="18"/>
          <w:highlight w:val="none"/>
          <w:lang w:val="en-US" w:eastAsia="zh-CN" w:bidi="ar-SA"/>
        </w:rPr>
        <w:t>，属于</w:t>
      </w:r>
      <w:r>
        <w:rPr>
          <w:rFonts w:hint="eastAsia" w:ascii="宋体" w:hAnsi="宋体" w:eastAsia="宋体" w:cs="宋体"/>
          <w:color w:val="auto"/>
          <w:kern w:val="2"/>
          <w:sz w:val="24"/>
          <w:szCs w:val="18"/>
          <w:highlight w:val="none"/>
          <w:u w:val="single"/>
          <w:lang w:val="en-US" w:eastAsia="zh-CN" w:bidi="ar-SA"/>
        </w:rPr>
        <w:t>（中型企业、 小型企业、微型企业）</w:t>
      </w:r>
      <w:r>
        <w:rPr>
          <w:rFonts w:hint="eastAsia" w:ascii="宋体" w:hAnsi="宋体" w:eastAsia="宋体" w:cs="宋体"/>
          <w:color w:val="auto"/>
          <w:kern w:val="2"/>
          <w:sz w:val="24"/>
          <w:szCs w:val="18"/>
          <w:highlight w:val="none"/>
          <w:lang w:val="en-US" w:eastAsia="zh-CN" w:bidi="ar-SA"/>
        </w:rPr>
        <w:t>；</w:t>
      </w:r>
    </w:p>
    <w:p w14:paraId="79F16005">
      <w:pPr>
        <w:widowControl w:val="0"/>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w:t>
      </w:r>
    </w:p>
    <w:p w14:paraId="58871231">
      <w:pPr>
        <w:widowControl w:val="0"/>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以上企业，不属于大企业的分支机构，不存在控股股东为大企业的情形，也不存在与大企业的负责人为同一人的情 形。</w:t>
      </w:r>
    </w:p>
    <w:p w14:paraId="0B7988A9">
      <w:pPr>
        <w:widowControl w:val="0"/>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本企业对上述声明内容的真实性负责。如有虚假，将依法承担相应责任。</w:t>
      </w:r>
    </w:p>
    <w:p w14:paraId="1B091C83">
      <w:pPr>
        <w:keepNext/>
        <w:keepLines/>
        <w:spacing w:before="280" w:after="290" w:line="376" w:lineRule="auto"/>
        <w:rPr>
          <w:rFonts w:hint="eastAsia" w:ascii="宋体" w:hAnsi="宋体" w:eastAsia="宋体" w:cs="宋体"/>
          <w:b/>
          <w:bCs/>
          <w:color w:val="auto"/>
          <w:kern w:val="2"/>
          <w:sz w:val="22"/>
          <w:szCs w:val="22"/>
          <w:highlight w:val="none"/>
        </w:rPr>
      </w:pPr>
    </w:p>
    <w:p w14:paraId="36097241">
      <w:pPr>
        <w:autoSpaceDE w:val="0"/>
        <w:autoSpaceDN w:val="0"/>
        <w:adjustRightInd w:val="0"/>
        <w:ind w:right="420"/>
        <w:jc w:val="right"/>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企业名称（盖章）：</w:t>
      </w:r>
    </w:p>
    <w:p w14:paraId="7C6CEEF3">
      <w:pPr>
        <w:autoSpaceDE w:val="0"/>
        <w:autoSpaceDN w:val="0"/>
        <w:adjustRightInd w:val="0"/>
        <w:ind w:right="840" w:firstLine="6820" w:firstLineChars="3100"/>
        <w:rPr>
          <w:rFonts w:hint="eastAsia"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日 期：</w:t>
      </w:r>
    </w:p>
    <w:p w14:paraId="728E1644">
      <w:pPr>
        <w:spacing w:line="360" w:lineRule="auto"/>
        <w:ind w:firstLine="440" w:firstLineChars="200"/>
        <w:rPr>
          <w:rFonts w:hint="eastAsia" w:ascii="宋体" w:hAnsi="宋体" w:eastAsia="宋体" w:cs="宋体"/>
          <w:color w:val="auto"/>
          <w:kern w:val="2"/>
          <w:sz w:val="22"/>
          <w:szCs w:val="22"/>
          <w:highlight w:val="none"/>
          <w:u w:val="single"/>
        </w:rPr>
      </w:pPr>
    </w:p>
    <w:p w14:paraId="5EA94A92">
      <w:pPr>
        <w:widowControl w:val="0"/>
        <w:ind w:left="900" w:leftChars="200" w:hanging="480" w:hangingChars="20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注：【1】 从业人员、营业收入、资产总额填报上一年度数据，无上一年度数据的新成立企业可不填报。</w:t>
      </w:r>
    </w:p>
    <w:p w14:paraId="5E6470F9">
      <w:pPr>
        <w:keepNext/>
        <w:keepLines/>
        <w:spacing w:before="280" w:after="290" w:line="376" w:lineRule="auto"/>
        <w:ind w:firstLine="720" w:firstLineChars="300"/>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【2】本项目所属行业类别：其他未列明行业</w:t>
      </w:r>
    </w:p>
    <w:p w14:paraId="37342E5C">
      <w:pPr>
        <w:rPr>
          <w:rFonts w:hint="eastAsia" w:ascii="宋体" w:hAnsi="宋体" w:eastAsia="宋体" w:cs="宋体"/>
          <w:color w:val="auto"/>
          <w:kern w:val="2"/>
          <w:sz w:val="24"/>
          <w:szCs w:val="24"/>
          <w:highlight w:val="none"/>
        </w:rPr>
      </w:pPr>
    </w:p>
    <w:p w14:paraId="54948B82">
      <w:pPr>
        <w:pStyle w:val="22"/>
        <w:ind w:left="1260"/>
        <w:rPr>
          <w:rFonts w:hint="eastAsia" w:ascii="宋体" w:hAnsi="宋体" w:eastAsia="宋体" w:cs="宋体"/>
          <w:color w:val="auto"/>
          <w:highlight w:val="none"/>
        </w:rPr>
      </w:pPr>
    </w:p>
    <w:p w14:paraId="01C9C47E">
      <w:pPr>
        <w:rPr>
          <w:rFonts w:hint="eastAsia" w:ascii="宋体" w:hAnsi="宋体" w:cs="宋体"/>
          <w:color w:val="auto"/>
          <w:kern w:val="2"/>
          <w:sz w:val="22"/>
          <w:szCs w:val="20"/>
          <w:highlight w:val="none"/>
          <w:lang w:eastAsia="zh-CN" w:bidi="ar"/>
        </w:rPr>
      </w:pPr>
    </w:p>
    <w:p w14:paraId="32F3019D">
      <w:pPr>
        <w:keepNext w:val="0"/>
        <w:keepLines w:val="0"/>
        <w:pageBreakBefore w:val="0"/>
        <w:widowControl w:val="0"/>
        <w:kinsoku/>
        <w:wordWrap w:val="0"/>
        <w:overflowPunct/>
        <w:topLinePunct w:val="0"/>
        <w:autoSpaceDE/>
        <w:autoSpaceDN/>
        <w:bidi w:val="0"/>
        <w:adjustRightInd w:val="0"/>
        <w:snapToGrid w:val="0"/>
        <w:spacing w:line="324" w:lineRule="auto"/>
        <w:jc w:val="left"/>
        <w:textAlignment w:val="auto"/>
        <w:rPr>
          <w:rStyle w:val="278"/>
          <w:rFonts w:hint="eastAsia" w:ascii="Times New Roman" w:hAnsi="Times New Roman" w:eastAsia="宋体"/>
          <w:color w:val="auto"/>
          <w:kern w:val="2"/>
          <w:sz w:val="24"/>
          <w:szCs w:val="24"/>
          <w:highlight w:val="none"/>
          <w:lang w:eastAsia="zh-CN"/>
        </w:rPr>
      </w:pPr>
      <w:r>
        <w:rPr>
          <w:rFonts w:hint="eastAsia" w:ascii="宋体" w:hAnsi="宋体" w:cs="宋体"/>
          <w:color w:val="auto"/>
          <w:kern w:val="2"/>
          <w:sz w:val="24"/>
          <w:szCs w:val="21"/>
          <w:highlight w:val="none"/>
          <w:lang w:eastAsia="zh-CN" w:bidi="ar"/>
        </w:rPr>
        <w:t>各行业划型标准为：</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auto"/>
          <w:kern w:val="2"/>
          <w:sz w:val="24"/>
          <w:szCs w:val="21"/>
          <w:highlight w:val="none"/>
          <w:lang w:eastAsia="zh-CN" w:bidi="ar"/>
        </w:rPr>
        <w:br w:type="textWrapping"/>
      </w:r>
      <w:r>
        <w:rPr>
          <w:rFonts w:hint="eastAsia" w:ascii="宋体" w:hAnsi="宋体" w:cs="宋体"/>
          <w:color w:val="auto"/>
          <w:kern w:val="2"/>
          <w:sz w:val="24"/>
          <w:szCs w:val="21"/>
          <w:highlight w:val="none"/>
          <w:lang w:eastAsia="zh-CN" w:bidi="ar"/>
        </w:rPr>
        <w:t xml:space="preserve">  （十六）其他未列明行业。从业人员300人以下的为中小微型企业。其中，从业人员100人及以上的为中型企业；从业人员10人及以上的为小型企业；从业人员10人以下的为微型企业。</w:t>
      </w:r>
    </w:p>
    <w:p w14:paraId="3D1CB00A">
      <w:pPr>
        <w:rPr>
          <w:rFonts w:hint="eastAsia" w:ascii="宋体" w:hAnsi="宋体" w:eastAsia="宋体" w:cs="宋体"/>
          <w:color w:val="auto"/>
          <w:kern w:val="2"/>
          <w:sz w:val="24"/>
          <w:szCs w:val="24"/>
          <w:highlight w:val="none"/>
        </w:rPr>
      </w:pPr>
    </w:p>
    <w:p w14:paraId="167219C0">
      <w:pPr>
        <w:pStyle w:val="22"/>
        <w:ind w:left="1260"/>
        <w:rPr>
          <w:rFonts w:hint="eastAsia" w:ascii="宋体" w:hAnsi="宋体" w:eastAsia="宋体" w:cs="宋体"/>
          <w:color w:val="auto"/>
          <w:highlight w:val="none"/>
        </w:rPr>
      </w:pPr>
    </w:p>
    <w:p w14:paraId="260927DE">
      <w:pPr>
        <w:rPr>
          <w:rFonts w:hint="eastAsia" w:ascii="宋体" w:hAnsi="宋体" w:eastAsia="宋体" w:cs="宋体"/>
          <w:color w:val="auto"/>
          <w:kern w:val="2"/>
          <w:szCs w:val="24"/>
          <w:highlight w:val="none"/>
        </w:rPr>
      </w:pPr>
    </w:p>
    <w:p w14:paraId="525F4F98">
      <w:pPr>
        <w:rPr>
          <w:rFonts w:hint="eastAsia" w:ascii="宋体" w:hAnsi="宋体" w:eastAsia="宋体" w:cs="宋体"/>
          <w:color w:val="auto"/>
          <w:kern w:val="2"/>
          <w:szCs w:val="24"/>
          <w:highlight w:val="none"/>
        </w:rPr>
      </w:pPr>
    </w:p>
    <w:p w14:paraId="0942FA49">
      <w:pPr>
        <w:rPr>
          <w:rFonts w:hint="eastAsia" w:ascii="宋体" w:hAnsi="宋体" w:eastAsia="宋体" w:cs="宋体"/>
          <w:color w:val="auto"/>
          <w:kern w:val="2"/>
          <w:szCs w:val="24"/>
          <w:highlight w:val="none"/>
        </w:rPr>
      </w:pPr>
    </w:p>
    <w:p w14:paraId="46DA0109">
      <w:pPr>
        <w:rPr>
          <w:rFonts w:hint="eastAsia" w:ascii="宋体" w:hAnsi="宋体" w:eastAsia="宋体" w:cs="宋体"/>
          <w:color w:val="auto"/>
          <w:kern w:val="2"/>
          <w:szCs w:val="24"/>
          <w:highlight w:val="none"/>
        </w:rPr>
      </w:pPr>
    </w:p>
    <w:p w14:paraId="3ACA1303">
      <w:pPr>
        <w:rPr>
          <w:rFonts w:hint="eastAsia" w:ascii="宋体" w:hAnsi="宋体" w:eastAsia="宋体" w:cs="宋体"/>
          <w:color w:val="auto"/>
          <w:kern w:val="2"/>
          <w:szCs w:val="24"/>
          <w:highlight w:val="none"/>
        </w:rPr>
      </w:pPr>
    </w:p>
    <w:p w14:paraId="1D2043E5">
      <w:pPr>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br w:type="page"/>
      </w:r>
    </w:p>
    <w:p w14:paraId="2F87E69F">
      <w:pPr>
        <w:keepNext/>
        <w:keepLines/>
        <w:widowControl w:val="0"/>
        <w:spacing w:before="260" w:after="260" w:line="416" w:lineRule="auto"/>
        <w:jc w:val="center"/>
        <w:outlineLvl w:val="1"/>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十、残疾人福利性单位声明函格式（如为残疾人福利性单位须提供）</w:t>
      </w:r>
    </w:p>
    <w:p w14:paraId="2B0E2A7D">
      <w:pPr>
        <w:widowControl w:val="0"/>
        <w:ind w:firstLine="482"/>
        <w:jc w:val="center"/>
        <w:rPr>
          <w:rFonts w:hint="eastAsia" w:ascii="宋体" w:hAnsi="宋体" w:eastAsia="宋体" w:cs="宋体"/>
          <w:b/>
          <w:color w:val="auto"/>
          <w:kern w:val="2"/>
          <w:sz w:val="28"/>
          <w:szCs w:val="20"/>
          <w:highlight w:val="none"/>
          <w:lang w:val="en-US" w:eastAsia="zh-CN" w:bidi="ar-SA"/>
        </w:rPr>
      </w:pPr>
      <w:r>
        <w:rPr>
          <w:rFonts w:hint="eastAsia" w:ascii="宋体" w:hAnsi="宋体" w:eastAsia="宋体" w:cs="宋体"/>
          <w:b/>
          <w:color w:val="auto"/>
          <w:kern w:val="2"/>
          <w:sz w:val="28"/>
          <w:szCs w:val="20"/>
          <w:highlight w:val="none"/>
          <w:lang w:val="en-US" w:eastAsia="zh-CN" w:bidi="ar-SA"/>
        </w:rPr>
        <w:t>残疾人福利性单位声明函</w:t>
      </w:r>
    </w:p>
    <w:p w14:paraId="59CDD6E2">
      <w:pPr>
        <w:keepNext w:val="0"/>
        <w:keepLines w:val="0"/>
        <w:pageBreakBefore w:val="0"/>
        <w:widowControl w:val="0"/>
        <w:kinsoku/>
        <w:wordWrap/>
        <w:overflowPunct/>
        <w:topLinePunct w:val="0"/>
        <w:autoSpaceDE/>
        <w:autoSpaceDN/>
        <w:bidi w:val="0"/>
        <w:adjustRightInd w:val="0"/>
        <w:snapToGrid w:val="0"/>
        <w:spacing w:line="324" w:lineRule="auto"/>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p>
    <w:p w14:paraId="3818D22C">
      <w:pPr>
        <w:keepNext w:val="0"/>
        <w:keepLines w:val="0"/>
        <w:pageBreakBefore w:val="0"/>
        <w:widowControl w:val="0"/>
        <w:kinsoku/>
        <w:wordWrap/>
        <w:overflowPunct/>
        <w:topLinePunct w:val="0"/>
        <w:autoSpaceDE/>
        <w:autoSpaceDN/>
        <w:bidi w:val="0"/>
        <w:adjustRightInd w:val="0"/>
        <w:snapToGrid w:val="0"/>
        <w:spacing w:line="324" w:lineRule="auto"/>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本单位对上述声明的真实性负责。如有虚假，将依法承担相应责任。</w:t>
      </w:r>
    </w:p>
    <w:p w14:paraId="3ABB25F2">
      <w:pPr>
        <w:keepNext w:val="0"/>
        <w:keepLines w:val="0"/>
        <w:pageBreakBefore w:val="0"/>
        <w:widowControl w:val="0"/>
        <w:kinsoku/>
        <w:wordWrap/>
        <w:overflowPunct/>
        <w:topLinePunct w:val="0"/>
        <w:autoSpaceDE/>
        <w:autoSpaceDN/>
        <w:bidi w:val="0"/>
        <w:adjustRightInd w:val="0"/>
        <w:snapToGrid w:val="0"/>
        <w:spacing w:line="324" w:lineRule="auto"/>
        <w:textAlignment w:val="baseline"/>
        <w:rPr>
          <w:rFonts w:hint="eastAsia" w:ascii="宋体" w:hAnsi="宋体" w:eastAsia="宋体" w:cs="宋体"/>
          <w:color w:val="auto"/>
          <w:kern w:val="2"/>
          <w:sz w:val="22"/>
          <w:szCs w:val="22"/>
          <w:highlight w:val="none"/>
          <w:u w:val="single"/>
        </w:rPr>
      </w:pPr>
      <w:r>
        <w:rPr>
          <w:rFonts w:hint="eastAsia" w:ascii="宋体" w:hAnsi="宋体" w:eastAsia="宋体" w:cs="宋体"/>
          <w:color w:val="auto"/>
          <w:kern w:val="2"/>
          <w:sz w:val="22"/>
          <w:szCs w:val="22"/>
          <w:highlight w:val="none"/>
        </w:rPr>
        <w:t>供应商名称（盖章）：</w:t>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p>
    <w:p w14:paraId="07448455">
      <w:pPr>
        <w:keepNext w:val="0"/>
        <w:keepLines w:val="0"/>
        <w:pageBreakBefore w:val="0"/>
        <w:widowControl w:val="0"/>
        <w:kinsoku/>
        <w:wordWrap/>
        <w:overflowPunct/>
        <w:topLinePunct w:val="0"/>
        <w:autoSpaceDE/>
        <w:autoSpaceDN/>
        <w:bidi w:val="0"/>
        <w:adjustRightInd w:val="0"/>
        <w:snapToGrid w:val="0"/>
        <w:spacing w:line="324" w:lineRule="auto"/>
        <w:textAlignment w:val="baseline"/>
        <w:rPr>
          <w:rFonts w:hint="eastAsia" w:ascii="宋体" w:hAnsi="宋体" w:eastAsia="宋体" w:cs="宋体"/>
          <w:color w:val="auto"/>
          <w:kern w:val="2"/>
          <w:sz w:val="22"/>
          <w:szCs w:val="22"/>
          <w:highlight w:val="none"/>
          <w:u w:val="single"/>
        </w:rPr>
      </w:pPr>
      <w:r>
        <w:rPr>
          <w:rFonts w:hint="eastAsia" w:ascii="宋体" w:hAnsi="宋体" w:eastAsia="宋体" w:cs="宋体"/>
          <w:color w:val="auto"/>
          <w:kern w:val="2"/>
          <w:sz w:val="22"/>
          <w:szCs w:val="22"/>
          <w:highlight w:val="none"/>
        </w:rPr>
        <w:t>日 期：</w:t>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r>
        <w:rPr>
          <w:rFonts w:hint="eastAsia" w:ascii="宋体" w:hAnsi="宋体" w:eastAsia="宋体" w:cs="宋体"/>
          <w:color w:val="auto"/>
          <w:kern w:val="2"/>
          <w:sz w:val="22"/>
          <w:szCs w:val="22"/>
          <w:highlight w:val="none"/>
          <w:u w:val="single"/>
        </w:rPr>
        <w:tab/>
      </w:r>
    </w:p>
    <w:p w14:paraId="7903D9D8">
      <w:pPr>
        <w:keepNext w:val="0"/>
        <w:keepLines w:val="0"/>
        <w:pageBreakBefore w:val="0"/>
        <w:widowControl w:val="0"/>
        <w:kinsoku/>
        <w:wordWrap/>
        <w:overflowPunct/>
        <w:topLinePunct w:val="0"/>
        <w:autoSpaceDE/>
        <w:autoSpaceDN/>
        <w:bidi w:val="0"/>
        <w:adjustRightInd w:val="0"/>
        <w:snapToGrid w:val="0"/>
        <w:spacing w:line="324" w:lineRule="auto"/>
        <w:rPr>
          <w:rFonts w:hint="eastAsia" w:ascii="宋体" w:hAnsi="宋体" w:eastAsia="宋体" w:cs="宋体"/>
          <w:color w:val="auto"/>
          <w:kern w:val="2"/>
          <w:sz w:val="22"/>
          <w:szCs w:val="22"/>
          <w:highlight w:val="none"/>
        </w:rPr>
      </w:pPr>
    </w:p>
    <w:p w14:paraId="1468065F">
      <w:pPr>
        <w:keepNext w:val="0"/>
        <w:keepLines w:val="0"/>
        <w:pageBreakBefore w:val="0"/>
        <w:widowControl w:val="0"/>
        <w:kinsoku/>
        <w:wordWrap/>
        <w:overflowPunct/>
        <w:topLinePunct w:val="0"/>
        <w:autoSpaceDE/>
        <w:autoSpaceDN/>
        <w:bidi w:val="0"/>
        <w:adjustRightInd w:val="0"/>
        <w:snapToGrid w:val="0"/>
        <w:spacing w:line="324" w:lineRule="auto"/>
        <w:ind w:firstLine="480"/>
        <w:jc w:val="both"/>
        <w:rPr>
          <w:rFonts w:hint="eastAsia" w:ascii="宋体" w:hAnsi="宋体" w:eastAsia="宋体" w:cs="宋体"/>
          <w:color w:val="auto"/>
          <w:kern w:val="2"/>
          <w:sz w:val="24"/>
          <w:szCs w:val="18"/>
          <w:highlight w:val="none"/>
          <w:lang w:val="en-US" w:eastAsia="zh-CN" w:bidi="ar-SA"/>
        </w:rPr>
      </w:pPr>
      <w:r>
        <w:rPr>
          <w:rFonts w:hint="eastAsia" w:ascii="宋体" w:hAnsi="宋体" w:eastAsia="宋体" w:cs="宋体"/>
          <w:color w:val="auto"/>
          <w:kern w:val="2"/>
          <w:sz w:val="24"/>
          <w:szCs w:val="18"/>
          <w:highlight w:val="none"/>
          <w:lang w:val="en-US" w:eastAsia="zh-CN" w:bidi="ar-SA"/>
        </w:rPr>
        <w:t>注：具体以《关于促进残疾人就业政府采购政策的通知》（财库〔2017〕141号）的规定为准。</w:t>
      </w:r>
    </w:p>
    <w:p w14:paraId="55537743">
      <w:pPr>
        <w:rPr>
          <w:rFonts w:hint="eastAsia" w:ascii="宋体" w:hAnsi="宋体" w:eastAsia="宋体" w:cs="宋体"/>
          <w:color w:val="auto"/>
          <w:kern w:val="2"/>
          <w:sz w:val="24"/>
          <w:szCs w:val="18"/>
          <w:highlight w:val="none"/>
        </w:rPr>
      </w:pPr>
    </w:p>
    <w:p w14:paraId="31C0D5E3">
      <w:pPr>
        <w:rPr>
          <w:rFonts w:hint="eastAsia" w:ascii="宋体" w:hAnsi="宋体" w:eastAsia="宋体" w:cs="宋体"/>
          <w:color w:val="auto"/>
          <w:kern w:val="2"/>
          <w:sz w:val="24"/>
          <w:szCs w:val="18"/>
          <w:highlight w:val="none"/>
        </w:rPr>
      </w:pPr>
    </w:p>
    <w:p w14:paraId="39BAAC0A">
      <w:pPr>
        <w:rPr>
          <w:rFonts w:hint="eastAsia" w:ascii="宋体" w:hAnsi="宋体" w:eastAsia="宋体" w:cs="宋体"/>
          <w:color w:val="auto"/>
          <w:kern w:val="2"/>
          <w:sz w:val="24"/>
          <w:szCs w:val="18"/>
          <w:highlight w:val="none"/>
        </w:rPr>
      </w:pPr>
    </w:p>
    <w:p w14:paraId="29530489">
      <w:pPr>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br w:type="page"/>
      </w:r>
    </w:p>
    <w:p w14:paraId="79AAAB24">
      <w:pPr>
        <w:keepNext/>
        <w:keepLines/>
        <w:widowControl w:val="0"/>
        <w:spacing w:before="260" w:after="260" w:line="416" w:lineRule="auto"/>
        <w:jc w:val="center"/>
        <w:outlineLvl w:val="1"/>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十一、属于监狱企业的证明文件（如为监狱企业须提供）</w:t>
      </w:r>
    </w:p>
    <w:p w14:paraId="55ACF9A4">
      <w:pPr>
        <w:widowControl w:val="0"/>
        <w:ind w:firstLine="480"/>
        <w:jc w:val="center"/>
        <w:rPr>
          <w:rFonts w:hint="eastAsia" w:ascii="宋体" w:hAnsi="宋体" w:eastAsia="宋体" w:cs="宋体"/>
          <w:b/>
          <w:bCs/>
          <w:color w:val="auto"/>
          <w:kern w:val="2"/>
          <w:sz w:val="28"/>
          <w:szCs w:val="20"/>
          <w:highlight w:val="none"/>
          <w:lang w:val="en-US" w:eastAsia="zh-CN" w:bidi="ar-SA"/>
        </w:rPr>
      </w:pPr>
      <w:r>
        <w:rPr>
          <w:rFonts w:hint="eastAsia" w:ascii="宋体" w:hAnsi="宋体" w:eastAsia="宋体" w:cs="宋体"/>
          <w:b/>
          <w:bCs/>
          <w:color w:val="auto"/>
          <w:kern w:val="2"/>
          <w:sz w:val="28"/>
          <w:szCs w:val="20"/>
          <w:highlight w:val="none"/>
          <w:lang w:val="en-US" w:eastAsia="zh-CN" w:bidi="ar-SA"/>
        </w:rPr>
        <w:t>提供由省级以上监狱管理局、戒毒管理局(含新疆生产建设兵团)出具的属于监狱企 业的证明文件</w:t>
      </w:r>
    </w:p>
    <w:p w14:paraId="6E25FEF8">
      <w:pPr>
        <w:keepNext w:val="0"/>
        <w:keepLines w:val="0"/>
        <w:pageBreakBefore w:val="0"/>
        <w:widowControl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项目采购活动由本单位提供服务。</w:t>
      </w:r>
    </w:p>
    <w:p w14:paraId="6D62BB44">
      <w:pPr>
        <w:keepNext w:val="0"/>
        <w:keepLines w:val="0"/>
        <w:pageBreakBefore w:val="0"/>
        <w:widowControl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本单位对上述声明的真实性负责。如有虚假，将依法承担相应责任。</w:t>
      </w:r>
    </w:p>
    <w:p w14:paraId="2849FEE3">
      <w:pPr>
        <w:keepNext w:val="0"/>
        <w:keepLines w:val="0"/>
        <w:pageBreakBefore w:val="0"/>
        <w:widowControl w:val="0"/>
        <w:kinsoku/>
        <w:wordWrap/>
        <w:overflowPunct/>
        <w:topLinePunct w:val="0"/>
        <w:autoSpaceDE/>
        <w:autoSpaceDN/>
        <w:bidi w:val="0"/>
        <w:adjustRightInd w:val="0"/>
        <w:snapToGrid w:val="0"/>
        <w:spacing w:line="324"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（备注：1、供应商如不提供此声明函，价格将不做相应扣除。2、</w:t>
      </w:r>
      <w:r>
        <w:rPr>
          <w:rFonts w:hint="eastAsia" w:ascii="宋体" w:hAnsi="宋体" w:eastAsia="宋体" w:cs="宋体"/>
          <w:color w:val="auto"/>
          <w:kern w:val="2"/>
          <w:sz w:val="24"/>
          <w:szCs w:val="24"/>
          <w:highlight w:val="none"/>
          <w:lang w:eastAsia="zh-CN"/>
        </w:rPr>
        <w:t>成交供应商</w:t>
      </w:r>
      <w:r>
        <w:rPr>
          <w:rFonts w:hint="eastAsia" w:ascii="宋体" w:hAnsi="宋体" w:eastAsia="宋体" w:cs="宋体"/>
          <w:color w:val="auto"/>
          <w:kern w:val="2"/>
          <w:sz w:val="24"/>
          <w:szCs w:val="24"/>
          <w:highlight w:val="none"/>
        </w:rPr>
        <w:t>为残疾人福利单位的，此声明函将随</w:t>
      </w:r>
      <w:r>
        <w:rPr>
          <w:rFonts w:hint="eastAsia" w:ascii="宋体" w:hAnsi="宋体" w:eastAsia="宋体" w:cs="宋体"/>
          <w:color w:val="auto"/>
          <w:kern w:val="2"/>
          <w:sz w:val="24"/>
          <w:szCs w:val="24"/>
          <w:highlight w:val="none"/>
          <w:lang w:val="en-US" w:eastAsia="zh-CN"/>
        </w:rPr>
        <w:t>成交</w:t>
      </w:r>
      <w:r>
        <w:rPr>
          <w:rFonts w:hint="eastAsia" w:ascii="宋体" w:hAnsi="宋体" w:eastAsia="宋体" w:cs="宋体"/>
          <w:color w:val="auto"/>
          <w:kern w:val="2"/>
          <w:sz w:val="24"/>
          <w:szCs w:val="24"/>
          <w:highlight w:val="none"/>
        </w:rPr>
        <w:t>结果同时公告，接受社会监督）</w:t>
      </w:r>
    </w:p>
    <w:p w14:paraId="3A6A7B74">
      <w:pPr>
        <w:keepNext w:val="0"/>
        <w:keepLines w:val="0"/>
        <w:pageBreakBefore w:val="0"/>
        <w:widowControl w:val="0"/>
        <w:kinsoku/>
        <w:wordWrap/>
        <w:overflowPunct/>
        <w:topLinePunct w:val="0"/>
        <w:autoSpaceDE/>
        <w:autoSpaceDN/>
        <w:bidi w:val="0"/>
        <w:adjustRightInd w:val="0"/>
        <w:snapToGrid w:val="0"/>
        <w:spacing w:line="324" w:lineRule="auto"/>
        <w:ind w:firstLine="4560" w:firstLineChars="19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供应商名称（公章）：            </w:t>
      </w:r>
    </w:p>
    <w:p w14:paraId="1A35ADBB">
      <w:pPr>
        <w:keepNext w:val="0"/>
        <w:keepLines w:val="0"/>
        <w:pageBreakBefore w:val="0"/>
        <w:widowControl w:val="0"/>
        <w:tabs>
          <w:tab w:val="left" w:pos="4860"/>
        </w:tabs>
        <w:kinsoku/>
        <w:wordWrap/>
        <w:overflowPunct/>
        <w:topLinePunct w:val="0"/>
        <w:autoSpaceDE/>
        <w:autoSpaceDN/>
        <w:bidi w:val="0"/>
        <w:adjustRightInd w:val="0"/>
        <w:snapToGrid w:val="0"/>
        <w:spacing w:line="324" w:lineRule="auto"/>
        <w:ind w:right="1560" w:firstLine="480" w:firstLineChars="200"/>
        <w:jc w:val="center"/>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 xml:space="preserve">                 日  期：</w:t>
      </w:r>
    </w:p>
    <w:p w14:paraId="4A171267">
      <w:pPr>
        <w:rPr>
          <w:color w:val="auto"/>
          <w:highlight w:val="none"/>
        </w:rPr>
      </w:pPr>
    </w:p>
    <w:sectPr>
      <w:headerReference r:id="rId3" w:type="default"/>
      <w:footerReference r:id="rId4" w:type="default"/>
      <w:footerReference r:id="rId5" w:type="even"/>
      <w:pgSz w:w="11906" w:h="16838"/>
      <w:pgMar w:top="1440" w:right="1080" w:bottom="1440" w:left="1080"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C8D435E-367C-4FAA-8AE2-EF8C66A53A75}"/>
  </w:font>
  <w:font w:name="黑体">
    <w:panose1 w:val="02010609060101010101"/>
    <w:charset w:val="86"/>
    <w:family w:val="auto"/>
    <w:pitch w:val="default"/>
    <w:sig w:usb0="800002BF" w:usb1="38CF7CFA" w:usb2="00000016" w:usb3="00000000" w:csb0="00040001" w:csb1="00000000"/>
    <w:embedRegular r:id="rId2" w:fontKey="{08F96D2B-3A2D-4A2E-9D51-0ECD44679A57}"/>
  </w:font>
  <w:font w:name="Courier New">
    <w:panose1 w:val="02070309020205020404"/>
    <w:charset w:val="01"/>
    <w:family w:val="modern"/>
    <w:pitch w:val="default"/>
    <w:sig w:usb0="E0002EFF" w:usb1="C0007843" w:usb2="00000009" w:usb3="00000000" w:csb0="400001FF" w:csb1="FFFF0000"/>
    <w:embedRegular r:id="rId3" w:fontKey="{342E4EFB-D496-4259-8661-7AB716E43D4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7CE85D94-5183-4D22-8CA4-E2B24B73CAC0}"/>
  </w:font>
  <w:font w:name="楷体_GB2312">
    <w:altName w:val="楷体"/>
    <w:panose1 w:val="02010609060101010101"/>
    <w:charset w:val="00"/>
    <w:family w:val="auto"/>
    <w:pitch w:val="default"/>
    <w:sig w:usb0="00000000" w:usb1="00000000" w:usb2="00000000" w:usb3="00000000" w:csb0="00000000" w:csb1="00000000"/>
    <w:embedRegular r:id="rId5" w:fontKey="{D5BFBD2C-C2E1-46F8-B616-CAA61CA353AC}"/>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embedRegular r:id="rId6" w:fontKey="{6E585259-6BBC-4596-87D7-2F754901EFAF}"/>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8C52454C-0EB7-416E-B864-A518D4052AED}"/>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embedRegular r:id="rId8" w:fontKey="{908BFC1E-F628-4BA2-B6FC-507699A286DB}"/>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9" w:fontKey="{31D0BE09-8292-4223-86E0-FFFED93FACA0}"/>
  </w:font>
  <w:font w:name="方正楷体_GBK">
    <w:altName w:val="微软雅黑"/>
    <w:panose1 w:val="020B0503020202020204"/>
    <w:charset w:val="00"/>
    <w:family w:val="auto"/>
    <w:pitch w:val="default"/>
    <w:sig w:usb0="00000000" w:usb1="00000000" w:usb2="00000000" w:usb3="00000000" w:csb0="00000000" w:csb1="00000000"/>
    <w:embedRegular r:id="rId10" w:fontKey="{C7D8119E-1FC6-4FA7-8535-B1C7EB2D3132}"/>
  </w:font>
  <w:font w:name="KSOFF9CBECC6">
    <w:panose1 w:val="02010609060101010101"/>
    <w:charset w:val="86"/>
    <w:family w:val="auto"/>
    <w:pitch w:val="default"/>
    <w:sig w:usb0="00000001" w:usb1="00000000" w:usb2="00000000" w:usb3="00000000" w:csb0="00040001" w:csb1="00000000"/>
  </w:font>
  <w:font w:name="KSOFF3CEDE7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A876F">
    <w:pPr>
      <w:pStyle w:val="31"/>
      <w:framePr w:wrap="around" w:vAnchor="text" w:hAnchor="margin" w:xAlign="center" w:y="1"/>
      <w:rPr>
        <w:rStyle w:val="55"/>
        <w:rFonts w:ascii="宋体" w:hAnsi="宋体"/>
      </w:rPr>
    </w:pPr>
    <w:r>
      <w:rPr>
        <w:rFonts w:ascii="宋体" w:hAnsi="宋体"/>
      </w:rPr>
      <w:fldChar w:fldCharType="begin"/>
    </w:r>
    <w:r>
      <w:rPr>
        <w:rStyle w:val="55"/>
        <w:rFonts w:ascii="宋体" w:hAnsi="宋体"/>
      </w:rPr>
      <w:instrText xml:space="preserve">PAGE  </w:instrText>
    </w:r>
    <w:r>
      <w:rPr>
        <w:rFonts w:ascii="宋体" w:hAnsi="宋体"/>
      </w:rPr>
      <w:fldChar w:fldCharType="separate"/>
    </w:r>
    <w:r>
      <w:rPr>
        <w:rStyle w:val="55"/>
        <w:rFonts w:ascii="宋体" w:hAnsi="宋体"/>
      </w:rPr>
      <w:t>２８</w:t>
    </w:r>
    <w:r>
      <w:rPr>
        <w:rFonts w:ascii="宋体" w:hAnsi="宋体"/>
      </w:rPr>
      <w:fldChar w:fldCharType="end"/>
    </w:r>
  </w:p>
  <w:p w14:paraId="2CE92D16">
    <w:pPr>
      <w:pStyle w:val="31"/>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DA592">
    <w:pPr>
      <w:pStyle w:val="31"/>
      <w:framePr w:wrap="around" w:vAnchor="text" w:hAnchor="margin" w:xAlign="center" w:y="1"/>
      <w:rPr>
        <w:rStyle w:val="55"/>
      </w:rPr>
    </w:pPr>
    <w:r>
      <w:fldChar w:fldCharType="begin"/>
    </w:r>
    <w:r>
      <w:rPr>
        <w:rStyle w:val="55"/>
      </w:rPr>
      <w:instrText xml:space="preserve">PAGE  </w:instrText>
    </w:r>
    <w:r>
      <w:fldChar w:fldCharType="separate"/>
    </w:r>
    <w:r>
      <w:rPr>
        <w:rStyle w:val="55"/>
      </w:rPr>
      <w:t>1</w:t>
    </w:r>
    <w:r>
      <w:fldChar w:fldCharType="end"/>
    </w:r>
  </w:p>
  <w:p w14:paraId="326EC514">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08CCF">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3">
    <w:nsid w:val="2151651D"/>
    <w:multiLevelType w:val="singleLevel"/>
    <w:tmpl w:val="2151651D"/>
    <w:lvl w:ilvl="0" w:tentative="0">
      <w:start w:val="5"/>
      <w:numFmt w:val="chineseCounting"/>
      <w:suff w:val="nothing"/>
      <w:lvlText w:val="%1、"/>
      <w:lvlJc w:val="left"/>
      <w:rPr>
        <w:rFonts w:hint="eastAsia"/>
      </w:rPr>
    </w:lvl>
  </w:abstractNum>
  <w:abstractNum w:abstractNumId="4">
    <w:nsid w:val="59ADCABA"/>
    <w:multiLevelType w:val="multilevel"/>
    <w:tmpl w:val="59ADCABA"/>
    <w:lvl w:ilvl="0" w:tentative="0">
      <w:start w:val="1"/>
      <w:numFmt w:val="decimal"/>
      <w:pStyle w:val="2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683A4427"/>
    <w:multiLevelType w:val="singleLevel"/>
    <w:tmpl w:val="683A4427"/>
    <w:lvl w:ilvl="0" w:tentative="0">
      <w:start w:val="3"/>
      <w:numFmt w:val="chineseCounting"/>
      <w:suff w:val="nothing"/>
      <w:lvlText w:val="%1、"/>
      <w:lvlJc w:val="left"/>
      <w:rPr>
        <w:rFonts w:hint="eastAsia"/>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46E41"/>
    <w:rsid w:val="01DB7ED5"/>
    <w:rsid w:val="088231C2"/>
    <w:rsid w:val="0AF838A6"/>
    <w:rsid w:val="0D727575"/>
    <w:rsid w:val="0EA05995"/>
    <w:rsid w:val="10836DCA"/>
    <w:rsid w:val="1274400D"/>
    <w:rsid w:val="156A53A0"/>
    <w:rsid w:val="16462832"/>
    <w:rsid w:val="180E295A"/>
    <w:rsid w:val="18DA440D"/>
    <w:rsid w:val="1AA36E38"/>
    <w:rsid w:val="1AB173B9"/>
    <w:rsid w:val="1E186F17"/>
    <w:rsid w:val="1E6C5493"/>
    <w:rsid w:val="20262DBA"/>
    <w:rsid w:val="20D44015"/>
    <w:rsid w:val="22377D87"/>
    <w:rsid w:val="245462C0"/>
    <w:rsid w:val="24BE0E04"/>
    <w:rsid w:val="28F34EBB"/>
    <w:rsid w:val="2D084D17"/>
    <w:rsid w:val="2D0A75A0"/>
    <w:rsid w:val="2E5541E6"/>
    <w:rsid w:val="320F0B66"/>
    <w:rsid w:val="338C7F0F"/>
    <w:rsid w:val="34574458"/>
    <w:rsid w:val="368E001E"/>
    <w:rsid w:val="374B3D0A"/>
    <w:rsid w:val="386A62A5"/>
    <w:rsid w:val="389D12D7"/>
    <w:rsid w:val="3D956BAE"/>
    <w:rsid w:val="3E833AB1"/>
    <w:rsid w:val="3EF40857"/>
    <w:rsid w:val="3FC217B1"/>
    <w:rsid w:val="41A13939"/>
    <w:rsid w:val="41E52D89"/>
    <w:rsid w:val="42876CE2"/>
    <w:rsid w:val="435B7ACE"/>
    <w:rsid w:val="44CD245C"/>
    <w:rsid w:val="46C2197A"/>
    <w:rsid w:val="48111527"/>
    <w:rsid w:val="48637135"/>
    <w:rsid w:val="4AD54756"/>
    <w:rsid w:val="4B041580"/>
    <w:rsid w:val="551F03C0"/>
    <w:rsid w:val="55F73A99"/>
    <w:rsid w:val="56021E2A"/>
    <w:rsid w:val="56A81490"/>
    <w:rsid w:val="5FBD7CD4"/>
    <w:rsid w:val="6182378E"/>
    <w:rsid w:val="653F54CE"/>
    <w:rsid w:val="6A717961"/>
    <w:rsid w:val="6C003240"/>
    <w:rsid w:val="6DA109B9"/>
    <w:rsid w:val="71A74271"/>
    <w:rsid w:val="721B4BCD"/>
    <w:rsid w:val="751033AD"/>
    <w:rsid w:val="756C44BF"/>
    <w:rsid w:val="797177C8"/>
    <w:rsid w:val="7B7610C6"/>
    <w:rsid w:val="7B793711"/>
    <w:rsid w:val="7C921F30"/>
    <w:rsid w:val="7DE62027"/>
    <w:rsid w:val="7FDF1B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209"/>
    <w:qFormat/>
    <w:uiPriority w:val="0"/>
    <w:pPr>
      <w:keepNext/>
      <w:jc w:val="center"/>
      <w:outlineLvl w:val="0"/>
    </w:pPr>
    <w:rPr>
      <w:rFonts w:ascii="楷体_GB2312" w:hAnsi="Times New Roman" w:eastAsia="楷体_GB2312" w:cs="Times New Roman"/>
      <w:sz w:val="28"/>
      <w:szCs w:val="28"/>
    </w:rPr>
  </w:style>
  <w:style w:type="paragraph" w:styleId="3">
    <w:name w:val="heading 2"/>
    <w:basedOn w:val="1"/>
    <w:next w:val="1"/>
    <w:link w:val="278"/>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21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6"/>
    <w:link w:val="213"/>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6"/>
    <w:link w:val="214"/>
    <w:qFormat/>
    <w:uiPriority w:val="0"/>
    <w:pPr>
      <w:keepNext/>
      <w:outlineLvl w:val="4"/>
    </w:pPr>
    <w:rPr>
      <w:rFonts w:ascii="宋体" w:hAnsi="Times New Roman" w:eastAsia="宋体" w:cs="Times New Roman"/>
      <w:color w:val="000000"/>
      <w:sz w:val="28"/>
      <w:szCs w:val="28"/>
    </w:rPr>
  </w:style>
  <w:style w:type="paragraph" w:styleId="8">
    <w:name w:val="heading 6"/>
    <w:basedOn w:val="1"/>
    <w:next w:val="1"/>
    <w:link w:val="215"/>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9">
    <w:name w:val="heading 7"/>
    <w:basedOn w:val="1"/>
    <w:next w:val="1"/>
    <w:link w:val="216"/>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0">
    <w:name w:val="heading 8"/>
    <w:basedOn w:val="1"/>
    <w:next w:val="1"/>
    <w:link w:val="217"/>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1">
    <w:name w:val="heading 9"/>
    <w:basedOn w:val="1"/>
    <w:next w:val="1"/>
    <w:link w:val="218"/>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52">
    <w:name w:val="Default Paragraph Font"/>
    <w:unhideWhenUsed/>
    <w:qFormat/>
    <w:uiPriority w:val="1"/>
  </w:style>
  <w:style w:type="table" w:default="1" w:styleId="50">
    <w:name w:val="Normal Table"/>
    <w:unhideWhenUsed/>
    <w:qFormat/>
    <w:uiPriority w:val="99"/>
    <w:tblPr>
      <w:tblCellMar>
        <w:top w:w="0" w:type="dxa"/>
        <w:left w:w="108" w:type="dxa"/>
        <w:bottom w:w="0" w:type="dxa"/>
        <w:right w:w="108" w:type="dxa"/>
      </w:tblCellMar>
    </w:tblPr>
  </w:style>
  <w:style w:type="paragraph" w:styleId="6">
    <w:name w:val="Normal Indent"/>
    <w:basedOn w:val="1"/>
    <w:link w:val="212"/>
    <w:qFormat/>
    <w:uiPriority w:val="0"/>
    <w:pPr>
      <w:ind w:firstLine="420"/>
    </w:pPr>
    <w:rPr>
      <w:szCs w:val="21"/>
    </w:rPr>
  </w:style>
  <w:style w:type="paragraph" w:styleId="12">
    <w:name w:val="List 3"/>
    <w:basedOn w:val="1"/>
    <w:qFormat/>
    <w:uiPriority w:val="0"/>
    <w:pPr>
      <w:ind w:left="100" w:hanging="200"/>
    </w:pPr>
    <w:rPr>
      <w:rFonts w:ascii="Times New Roman" w:hAnsi="Times New Roman" w:eastAsia="宋体" w:cs="Times New Roman"/>
      <w:szCs w:val="21"/>
    </w:rPr>
  </w:style>
  <w:style w:type="paragraph" w:styleId="13">
    <w:name w:val="toc 7"/>
    <w:basedOn w:val="1"/>
    <w:next w:val="1"/>
    <w:semiHidden/>
    <w:qFormat/>
    <w:uiPriority w:val="0"/>
    <w:pPr>
      <w:ind w:left="1260"/>
      <w:jc w:val="left"/>
    </w:pPr>
    <w:rPr>
      <w:rFonts w:ascii="Times New Roman" w:hAnsi="Times New Roman" w:eastAsia="宋体" w:cs="Times New Roman"/>
      <w:szCs w:val="21"/>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9"/>
    <w:semiHidden/>
    <w:qFormat/>
    <w:uiPriority w:val="0"/>
    <w:pPr>
      <w:shd w:val="clear" w:color="auto" w:fill="000080"/>
    </w:pPr>
    <w:rPr>
      <w:rFonts w:ascii="Times New Roman" w:hAnsi="Times New Roman" w:eastAsia="宋体" w:cs="Times New Roman"/>
      <w:szCs w:val="21"/>
    </w:rPr>
  </w:style>
  <w:style w:type="paragraph" w:styleId="16">
    <w:name w:val="annotation text"/>
    <w:basedOn w:val="1"/>
    <w:link w:val="220"/>
    <w:unhideWhenUsed/>
    <w:qFormat/>
    <w:uiPriority w:val="0"/>
    <w:pPr>
      <w:jc w:val="left"/>
    </w:pPr>
  </w:style>
  <w:style w:type="paragraph" w:styleId="17">
    <w:name w:val="Body Text 3"/>
    <w:basedOn w:val="1"/>
    <w:link w:val="221"/>
    <w:qFormat/>
    <w:uiPriority w:val="0"/>
    <w:rPr>
      <w:rFonts w:ascii="仿宋_GB2312" w:hAnsi="Arial" w:eastAsia="仿宋_GB2312" w:cs="Times New Roman"/>
      <w:sz w:val="32"/>
      <w:szCs w:val="32"/>
    </w:rPr>
  </w:style>
  <w:style w:type="paragraph" w:styleId="18">
    <w:name w:val="Body Text"/>
    <w:basedOn w:val="1"/>
    <w:next w:val="1"/>
    <w:link w:val="222"/>
    <w:qFormat/>
    <w:uiPriority w:val="0"/>
    <w:rPr>
      <w:rFonts w:ascii="楷体_GB2312" w:hAnsi="Arial" w:eastAsia="楷体_GB2312" w:cs="Times New Roman"/>
      <w:sz w:val="28"/>
      <w:szCs w:val="28"/>
    </w:rPr>
  </w:style>
  <w:style w:type="paragraph" w:styleId="19">
    <w:name w:val="Body Text Indent"/>
    <w:basedOn w:val="1"/>
    <w:next w:val="20"/>
    <w:link w:val="207"/>
    <w:unhideWhenUsed/>
    <w:qFormat/>
    <w:uiPriority w:val="0"/>
    <w:pPr>
      <w:spacing w:after="120"/>
      <w:ind w:left="420"/>
    </w:pPr>
  </w:style>
  <w:style w:type="paragraph" w:styleId="20">
    <w:name w:val="envelope return"/>
    <w:basedOn w:val="1"/>
    <w:qFormat/>
    <w:uiPriority w:val="0"/>
    <w:rPr>
      <w:rFonts w:ascii="Arial" w:hAnsi="Arial" w:eastAsia="宋体" w:cs="宋体"/>
    </w:rPr>
  </w:style>
  <w:style w:type="paragraph" w:styleId="21">
    <w:name w:val="List 2"/>
    <w:basedOn w:val="1"/>
    <w:qFormat/>
    <w:uiPriority w:val="0"/>
    <w:pPr>
      <w:ind w:left="100" w:hanging="200"/>
    </w:pPr>
    <w:rPr>
      <w:rFonts w:ascii="Times New Roman" w:hAnsi="Times New Roman" w:eastAsia="宋体" w:cs="Times New Roman"/>
      <w:szCs w:val="21"/>
    </w:rPr>
  </w:style>
  <w:style w:type="paragraph" w:styleId="22">
    <w:name w:val="index 4"/>
    <w:next w:val="1"/>
    <w:unhideWhenUsed/>
    <w:qFormat/>
    <w:uiPriority w:val="99"/>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23">
    <w:name w:val="toc 5"/>
    <w:basedOn w:val="1"/>
    <w:next w:val="1"/>
    <w:semiHidden/>
    <w:qFormat/>
    <w:uiPriority w:val="0"/>
    <w:pPr>
      <w:ind w:left="840"/>
      <w:jc w:val="left"/>
    </w:pPr>
    <w:rPr>
      <w:rFonts w:ascii="Times New Roman" w:hAnsi="Times New Roman" w:eastAsia="宋体" w:cs="Times New Roman"/>
      <w:szCs w:val="21"/>
    </w:rPr>
  </w:style>
  <w:style w:type="paragraph" w:styleId="24">
    <w:name w:val="toc 3"/>
    <w:basedOn w:val="1"/>
    <w:next w:val="1"/>
    <w:semiHidden/>
    <w:qFormat/>
    <w:uiPriority w:val="0"/>
    <w:pPr>
      <w:ind w:left="420"/>
      <w:jc w:val="left"/>
    </w:pPr>
    <w:rPr>
      <w:rFonts w:ascii="Times New Roman" w:hAnsi="Times New Roman" w:eastAsia="宋体" w:cs="Times New Roman"/>
      <w:i/>
      <w:iCs/>
      <w:szCs w:val="24"/>
    </w:rPr>
  </w:style>
  <w:style w:type="paragraph" w:styleId="25">
    <w:name w:val="Plain Text"/>
    <w:basedOn w:val="1"/>
    <w:link w:val="223"/>
    <w:qFormat/>
    <w:uiPriority w:val="0"/>
    <w:rPr>
      <w:rFonts w:ascii="宋体" w:hAnsi="Courier New" w:eastAsia="宋体" w:cs="Courier New"/>
      <w:szCs w:val="21"/>
    </w:rPr>
  </w:style>
  <w:style w:type="paragraph" w:styleId="26">
    <w:name w:val="toc 8"/>
    <w:basedOn w:val="1"/>
    <w:next w:val="1"/>
    <w:semiHidden/>
    <w:qFormat/>
    <w:uiPriority w:val="0"/>
    <w:pPr>
      <w:ind w:left="1470"/>
      <w:jc w:val="left"/>
    </w:pPr>
    <w:rPr>
      <w:rFonts w:ascii="Times New Roman" w:hAnsi="Times New Roman" w:eastAsia="宋体" w:cs="Times New Roman"/>
      <w:szCs w:val="21"/>
    </w:rPr>
  </w:style>
  <w:style w:type="paragraph" w:styleId="27">
    <w:name w:val="Date"/>
    <w:basedOn w:val="1"/>
    <w:next w:val="1"/>
    <w:link w:val="224"/>
    <w:qFormat/>
    <w:uiPriority w:val="0"/>
    <w:rPr>
      <w:rFonts w:ascii="Times New Roman" w:hAnsi="Times New Roman" w:eastAsia="宋体" w:cs="Times New Roman"/>
      <w:sz w:val="24"/>
      <w:szCs w:val="24"/>
    </w:rPr>
  </w:style>
  <w:style w:type="paragraph" w:styleId="28">
    <w:name w:val="Body Text Indent 2"/>
    <w:basedOn w:val="1"/>
    <w:link w:val="225"/>
    <w:qFormat/>
    <w:uiPriority w:val="0"/>
    <w:pPr>
      <w:ind w:left="630" w:firstLine="645"/>
    </w:pPr>
    <w:rPr>
      <w:rFonts w:ascii="Arial" w:hAnsi="Arial" w:eastAsia="仿宋_GB2312" w:cs="Arial"/>
      <w:sz w:val="32"/>
      <w:szCs w:val="32"/>
    </w:rPr>
  </w:style>
  <w:style w:type="paragraph" w:styleId="29">
    <w:name w:val="endnote text"/>
    <w:basedOn w:val="1"/>
    <w:link w:val="205"/>
    <w:semiHidden/>
    <w:unhideWhenUsed/>
    <w:qFormat/>
    <w:uiPriority w:val="99"/>
    <w:pPr>
      <w:spacing w:after="0" w:line="240" w:lineRule="auto"/>
    </w:pPr>
    <w:rPr>
      <w:sz w:val="20"/>
    </w:rPr>
  </w:style>
  <w:style w:type="paragraph" w:styleId="30">
    <w:name w:val="Balloon Text"/>
    <w:basedOn w:val="1"/>
    <w:link w:val="226"/>
    <w:semiHidden/>
    <w:qFormat/>
    <w:uiPriority w:val="0"/>
    <w:rPr>
      <w:rFonts w:ascii="Times New Roman" w:hAnsi="Times New Roman" w:eastAsia="宋体" w:cs="Times New Roman"/>
      <w:sz w:val="18"/>
      <w:szCs w:val="18"/>
    </w:rPr>
  </w:style>
  <w:style w:type="paragraph" w:styleId="31">
    <w:name w:val="footer"/>
    <w:basedOn w:val="1"/>
    <w:link w:val="227"/>
    <w:qFormat/>
    <w:uiPriority w:val="0"/>
    <w:pPr>
      <w:tabs>
        <w:tab w:val="center" w:pos="4153"/>
        <w:tab w:val="right" w:pos="8306"/>
      </w:tabs>
      <w:jc w:val="left"/>
    </w:pPr>
    <w:rPr>
      <w:rFonts w:ascii="Times New Roman" w:hAnsi="Times New Roman" w:eastAsia="宋体" w:cs="Times New Roman"/>
      <w:sz w:val="18"/>
      <w:szCs w:val="18"/>
    </w:rPr>
  </w:style>
  <w:style w:type="paragraph" w:styleId="32">
    <w:name w:val="header"/>
    <w:basedOn w:val="1"/>
    <w:link w:val="228"/>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4">
    <w:name w:val="toc 4"/>
    <w:basedOn w:val="1"/>
    <w:next w:val="1"/>
    <w:semiHidden/>
    <w:qFormat/>
    <w:uiPriority w:val="0"/>
    <w:pPr>
      <w:ind w:left="630"/>
      <w:jc w:val="left"/>
    </w:pPr>
    <w:rPr>
      <w:rFonts w:ascii="Times New Roman" w:hAnsi="Times New Roman" w:eastAsia="宋体" w:cs="Times New Roman"/>
      <w:szCs w:val="21"/>
    </w:rPr>
  </w:style>
  <w:style w:type="paragraph" w:styleId="35">
    <w:name w:val="Subtitle"/>
    <w:basedOn w:val="1"/>
    <w:next w:val="1"/>
    <w:link w:val="71"/>
    <w:qFormat/>
    <w:uiPriority w:val="11"/>
    <w:pPr>
      <w:spacing w:before="200" w:after="200"/>
    </w:pPr>
    <w:rPr>
      <w:sz w:val="24"/>
      <w:szCs w:val="24"/>
    </w:rPr>
  </w:style>
  <w:style w:type="paragraph" w:styleId="36">
    <w:name w:val="List"/>
    <w:basedOn w:val="1"/>
    <w:qFormat/>
    <w:uiPriority w:val="0"/>
    <w:pPr>
      <w:ind w:left="200" w:hanging="200"/>
    </w:pPr>
    <w:rPr>
      <w:rFonts w:ascii="Times New Roman" w:hAnsi="Times New Roman" w:eastAsia="宋体" w:cs="Times New Roman"/>
      <w:szCs w:val="21"/>
    </w:rPr>
  </w:style>
  <w:style w:type="paragraph" w:styleId="37">
    <w:name w:val="footnote text"/>
    <w:basedOn w:val="1"/>
    <w:link w:val="204"/>
    <w:semiHidden/>
    <w:unhideWhenUsed/>
    <w:qFormat/>
    <w:uiPriority w:val="99"/>
    <w:pPr>
      <w:spacing w:after="40" w:line="240" w:lineRule="auto"/>
    </w:pPr>
    <w:rPr>
      <w:sz w:val="18"/>
    </w:rPr>
  </w:style>
  <w:style w:type="paragraph" w:styleId="38">
    <w:name w:val="toc 6"/>
    <w:basedOn w:val="1"/>
    <w:next w:val="1"/>
    <w:semiHidden/>
    <w:qFormat/>
    <w:uiPriority w:val="0"/>
    <w:pPr>
      <w:ind w:left="1050"/>
      <w:jc w:val="left"/>
    </w:pPr>
    <w:rPr>
      <w:rFonts w:ascii="Times New Roman" w:hAnsi="Times New Roman" w:eastAsia="宋体" w:cs="Times New Roman"/>
      <w:szCs w:val="21"/>
    </w:rPr>
  </w:style>
  <w:style w:type="paragraph" w:styleId="39">
    <w:name w:val="Body Text Indent 3"/>
    <w:basedOn w:val="1"/>
    <w:link w:val="229"/>
    <w:qFormat/>
    <w:uiPriority w:val="0"/>
    <w:pPr>
      <w:ind w:left="645" w:firstLine="645"/>
    </w:pPr>
    <w:rPr>
      <w:rFonts w:ascii="Arial" w:hAnsi="Arial" w:eastAsia="仿宋_GB2312" w:cs="Arial"/>
      <w:color w:val="FFFF00"/>
      <w:sz w:val="32"/>
      <w:szCs w:val="32"/>
    </w:rPr>
  </w:style>
  <w:style w:type="paragraph" w:styleId="40">
    <w:name w:val="table of figures"/>
    <w:basedOn w:val="1"/>
    <w:next w:val="1"/>
    <w:semiHidden/>
    <w:qFormat/>
    <w:uiPriority w:val="0"/>
    <w:pPr>
      <w:ind w:left="840" w:hanging="420"/>
    </w:pPr>
    <w:rPr>
      <w:rFonts w:ascii="Times New Roman" w:hAnsi="Times New Roman" w:eastAsia="宋体" w:cs="Times New Roman"/>
      <w:szCs w:val="21"/>
    </w:rPr>
  </w:style>
  <w:style w:type="paragraph" w:styleId="41">
    <w:name w:val="toc 2"/>
    <w:basedOn w:val="1"/>
    <w:next w:val="1"/>
    <w:semiHidden/>
    <w:qFormat/>
    <w:uiPriority w:val="0"/>
    <w:pPr>
      <w:ind w:left="210"/>
      <w:jc w:val="left"/>
    </w:pPr>
    <w:rPr>
      <w:rFonts w:ascii="Times New Roman" w:hAnsi="Times New Roman" w:eastAsia="宋体" w:cs="Times New Roman"/>
      <w:smallCaps/>
      <w:szCs w:val="24"/>
    </w:rPr>
  </w:style>
  <w:style w:type="paragraph" w:styleId="42">
    <w:name w:val="toc 9"/>
    <w:basedOn w:val="1"/>
    <w:next w:val="1"/>
    <w:semiHidden/>
    <w:qFormat/>
    <w:uiPriority w:val="0"/>
    <w:pPr>
      <w:ind w:left="1680"/>
      <w:jc w:val="left"/>
    </w:pPr>
    <w:rPr>
      <w:rFonts w:ascii="Times New Roman" w:hAnsi="Times New Roman" w:eastAsia="宋体" w:cs="Times New Roman"/>
      <w:szCs w:val="21"/>
    </w:rPr>
  </w:style>
  <w:style w:type="paragraph" w:styleId="43">
    <w:name w:val="Body Text 2"/>
    <w:basedOn w:val="1"/>
    <w:link w:val="230"/>
    <w:qFormat/>
    <w:uiPriority w:val="0"/>
    <w:pPr>
      <w:widowControl/>
      <w:jc w:val="center"/>
    </w:pPr>
    <w:rPr>
      <w:rFonts w:ascii="楷体_GB2312" w:hAnsi="Times New Roman" w:eastAsia="楷体_GB2312" w:cs="Times New Roman"/>
      <w:sz w:val="28"/>
      <w:szCs w:val="28"/>
    </w:rPr>
  </w:style>
  <w:style w:type="paragraph" w:styleId="44">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45">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6">
    <w:name w:val="Title"/>
    <w:basedOn w:val="1"/>
    <w:next w:val="1"/>
    <w:link w:val="70"/>
    <w:qFormat/>
    <w:uiPriority w:val="10"/>
    <w:pPr>
      <w:spacing w:before="300" w:after="200"/>
      <w:contextualSpacing/>
    </w:pPr>
    <w:rPr>
      <w:sz w:val="48"/>
      <w:szCs w:val="48"/>
    </w:rPr>
  </w:style>
  <w:style w:type="paragraph" w:styleId="47">
    <w:name w:val="annotation subject"/>
    <w:basedOn w:val="16"/>
    <w:next w:val="16"/>
    <w:link w:val="231"/>
    <w:semiHidden/>
    <w:qFormat/>
    <w:uiPriority w:val="0"/>
    <w:rPr>
      <w:rFonts w:ascii="Times New Roman" w:hAnsi="Times New Roman" w:eastAsia="宋体" w:cs="Times New Roman"/>
      <w:b/>
      <w:bCs/>
      <w:szCs w:val="21"/>
    </w:rPr>
  </w:style>
  <w:style w:type="paragraph" w:styleId="48">
    <w:name w:val="Body Text First Indent"/>
    <w:basedOn w:val="1"/>
    <w:link w:val="232"/>
    <w:qFormat/>
    <w:uiPriority w:val="0"/>
    <w:pPr>
      <w:spacing w:line="360" w:lineRule="auto"/>
      <w:ind w:firstLine="200"/>
    </w:pPr>
    <w:rPr>
      <w:rFonts w:ascii="仿宋_GB2312" w:hAnsi="Times New Roman" w:eastAsia="仿宋_GB2312" w:cs="Times New Roman"/>
      <w:sz w:val="30"/>
      <w:szCs w:val="30"/>
    </w:rPr>
  </w:style>
  <w:style w:type="paragraph" w:styleId="49">
    <w:name w:val="Body Text First Indent 2"/>
    <w:basedOn w:val="19"/>
    <w:next w:val="1"/>
    <w:link w:val="208"/>
    <w:qFormat/>
    <w:uiPriority w:val="0"/>
    <w:pPr>
      <w:spacing w:after="0" w:line="360" w:lineRule="auto"/>
      <w:ind w:left="0" w:firstLine="420"/>
    </w:pPr>
    <w:rPr>
      <w:rFonts w:ascii="宋体" w:hAnsi="宋体" w:eastAsia="宋体" w:cs="Times New Roman"/>
      <w:szCs w:val="20"/>
    </w:rPr>
  </w:style>
  <w:style w:type="table" w:styleId="51">
    <w:name w:val="Table Grid"/>
    <w:basedOn w:val="50"/>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semiHidden/>
    <w:qFormat/>
    <w:uiPriority w:val="0"/>
    <w:rPr>
      <w:sz w:val="21"/>
      <w:szCs w:val="21"/>
    </w:rPr>
  </w:style>
  <w:style w:type="character" w:styleId="60">
    <w:name w:val="footnote reference"/>
    <w:basedOn w:val="52"/>
    <w:unhideWhenUsed/>
    <w:qFormat/>
    <w:uiPriority w:val="99"/>
    <w:rPr>
      <w:vertAlign w:val="superscript"/>
    </w:rPr>
  </w:style>
  <w:style w:type="character" w:customStyle="1" w:styleId="61">
    <w:name w:val="Heading 1 Char"/>
    <w:basedOn w:val="52"/>
    <w:qFormat/>
    <w:uiPriority w:val="9"/>
    <w:rPr>
      <w:rFonts w:ascii="Arial" w:hAnsi="Arial" w:eastAsia="Arial" w:cs="Arial"/>
      <w:sz w:val="40"/>
      <w:szCs w:val="40"/>
    </w:rPr>
  </w:style>
  <w:style w:type="character" w:customStyle="1" w:styleId="62">
    <w:name w:val="Heading 2 Char"/>
    <w:basedOn w:val="52"/>
    <w:qFormat/>
    <w:uiPriority w:val="9"/>
    <w:rPr>
      <w:rFonts w:ascii="Arial" w:hAnsi="Arial" w:eastAsia="Arial" w:cs="Arial"/>
      <w:sz w:val="34"/>
    </w:rPr>
  </w:style>
  <w:style w:type="character" w:customStyle="1" w:styleId="63">
    <w:name w:val="Heading 3 Char"/>
    <w:basedOn w:val="52"/>
    <w:qFormat/>
    <w:uiPriority w:val="9"/>
    <w:rPr>
      <w:rFonts w:ascii="Arial" w:hAnsi="Arial" w:eastAsia="Arial" w:cs="Arial"/>
      <w:sz w:val="30"/>
      <w:szCs w:val="30"/>
    </w:rPr>
  </w:style>
  <w:style w:type="character" w:customStyle="1" w:styleId="64">
    <w:name w:val="Heading 4 Char"/>
    <w:basedOn w:val="52"/>
    <w:qFormat/>
    <w:uiPriority w:val="9"/>
    <w:rPr>
      <w:rFonts w:ascii="Arial" w:hAnsi="Arial" w:eastAsia="Arial" w:cs="Arial"/>
      <w:b/>
      <w:bCs/>
      <w:sz w:val="26"/>
      <w:szCs w:val="26"/>
    </w:rPr>
  </w:style>
  <w:style w:type="character" w:customStyle="1" w:styleId="65">
    <w:name w:val="Heading 5 Char"/>
    <w:basedOn w:val="52"/>
    <w:qFormat/>
    <w:uiPriority w:val="9"/>
    <w:rPr>
      <w:rFonts w:ascii="Arial" w:hAnsi="Arial" w:eastAsia="Arial" w:cs="Arial"/>
      <w:b/>
      <w:bCs/>
      <w:sz w:val="24"/>
      <w:szCs w:val="24"/>
    </w:rPr>
  </w:style>
  <w:style w:type="character" w:customStyle="1" w:styleId="66">
    <w:name w:val="Heading 6 Char"/>
    <w:basedOn w:val="52"/>
    <w:qFormat/>
    <w:uiPriority w:val="9"/>
    <w:rPr>
      <w:rFonts w:ascii="Arial" w:hAnsi="Arial" w:eastAsia="Arial" w:cs="Arial"/>
      <w:b/>
      <w:bCs/>
      <w:sz w:val="22"/>
      <w:szCs w:val="22"/>
    </w:rPr>
  </w:style>
  <w:style w:type="character" w:customStyle="1" w:styleId="67">
    <w:name w:val="Heading 7 Char"/>
    <w:basedOn w:val="52"/>
    <w:qFormat/>
    <w:uiPriority w:val="9"/>
    <w:rPr>
      <w:rFonts w:ascii="Arial" w:hAnsi="Arial" w:eastAsia="Arial" w:cs="Arial"/>
      <w:b/>
      <w:bCs/>
      <w:i/>
      <w:iCs/>
      <w:sz w:val="22"/>
      <w:szCs w:val="22"/>
    </w:rPr>
  </w:style>
  <w:style w:type="character" w:customStyle="1" w:styleId="68">
    <w:name w:val="Heading 8 Char"/>
    <w:basedOn w:val="52"/>
    <w:qFormat/>
    <w:uiPriority w:val="9"/>
    <w:rPr>
      <w:rFonts w:ascii="Arial" w:hAnsi="Arial" w:eastAsia="Arial" w:cs="Arial"/>
      <w:i/>
      <w:iCs/>
      <w:sz w:val="22"/>
      <w:szCs w:val="22"/>
    </w:rPr>
  </w:style>
  <w:style w:type="character" w:customStyle="1" w:styleId="69">
    <w:name w:val="Heading 9 Char"/>
    <w:basedOn w:val="52"/>
    <w:qFormat/>
    <w:uiPriority w:val="9"/>
    <w:rPr>
      <w:rFonts w:ascii="Arial" w:hAnsi="Arial" w:eastAsia="Arial" w:cs="Arial"/>
      <w:i/>
      <w:iCs/>
      <w:sz w:val="21"/>
      <w:szCs w:val="21"/>
    </w:rPr>
  </w:style>
  <w:style w:type="character" w:customStyle="1" w:styleId="70">
    <w:name w:val="Title Char"/>
    <w:basedOn w:val="52"/>
    <w:link w:val="46"/>
    <w:qFormat/>
    <w:uiPriority w:val="10"/>
    <w:rPr>
      <w:sz w:val="48"/>
      <w:szCs w:val="48"/>
    </w:rPr>
  </w:style>
  <w:style w:type="character" w:customStyle="1" w:styleId="71">
    <w:name w:val="Subtitle Char"/>
    <w:basedOn w:val="52"/>
    <w:link w:val="35"/>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Quote Char"/>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5">
    <w:name w:val="Intense Quote Char"/>
    <w:link w:val="74"/>
    <w:qFormat/>
    <w:uiPriority w:val="30"/>
    <w:rPr>
      <w:i/>
    </w:rPr>
  </w:style>
  <w:style w:type="character" w:customStyle="1" w:styleId="76">
    <w:name w:val="Header Char"/>
    <w:basedOn w:val="52"/>
    <w:qFormat/>
    <w:uiPriority w:val="99"/>
  </w:style>
  <w:style w:type="character" w:customStyle="1" w:styleId="77">
    <w:name w:val="Footer Char"/>
    <w:basedOn w:val="52"/>
    <w:qFormat/>
    <w:uiPriority w:val="99"/>
  </w:style>
  <w:style w:type="character" w:customStyle="1" w:styleId="78">
    <w:name w:val="Caption Char"/>
    <w:qFormat/>
    <w:uiPriority w:val="99"/>
  </w:style>
  <w:style w:type="table" w:customStyle="1" w:styleId="79">
    <w:name w:val="Table Grid Light"/>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basedOn w:val="5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basedOn w:val="5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basedOn w:val="5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basedOn w:val="5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basedOn w:val="5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5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5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5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5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5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5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basedOn w:val="5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5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5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5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5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5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5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5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basedOn w:val="5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5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5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6 Colorful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5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5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Grid Table 7 Colorful"/>
    <w:basedOn w:val="5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5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5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5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1">
    <w:name w:val="Grid Table 7 Colorful - Accent 4"/>
    <w:basedOn w:val="5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5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5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List Table 1 Light"/>
    <w:basedOn w:val="5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5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5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5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5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5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5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basedOn w:val="5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5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5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5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5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5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5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5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5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5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5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50"/>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5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basedOn w:val="5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5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5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5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5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5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5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basedOn w:val="5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5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5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5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5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5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5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basedOn w:val="5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5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5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5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5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5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5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st Table 7 Colorful"/>
    <w:basedOn w:val="5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5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5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5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5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5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5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5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5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5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5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5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5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5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5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5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5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5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5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5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5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5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5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5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5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5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5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5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Footnote Text Char"/>
    <w:link w:val="37"/>
    <w:qFormat/>
    <w:uiPriority w:val="99"/>
    <w:rPr>
      <w:sz w:val="18"/>
    </w:rPr>
  </w:style>
  <w:style w:type="character" w:customStyle="1" w:styleId="205">
    <w:name w:val="Endnote Text Char"/>
    <w:link w:val="29"/>
    <w:qFormat/>
    <w:uiPriority w:val="99"/>
    <w:rPr>
      <w:sz w:val="20"/>
    </w:rPr>
  </w:style>
  <w:style w:type="paragraph" w:customStyle="1" w:styleId="206">
    <w:name w:val="TOC Heading"/>
    <w:unhideWhenUsed/>
    <w:qFormat/>
    <w:uiPriority w:val="39"/>
    <w:rPr>
      <w:rFonts w:hint="default" w:ascii="Calibri" w:hAnsi="Calibri" w:eastAsia="宋体" w:cs="Times New Roman"/>
    </w:rPr>
  </w:style>
  <w:style w:type="character" w:customStyle="1" w:styleId="207">
    <w:name w:val="正文文本缩进 Char"/>
    <w:basedOn w:val="52"/>
    <w:link w:val="19"/>
    <w:semiHidden/>
    <w:qFormat/>
    <w:uiPriority w:val="99"/>
  </w:style>
  <w:style w:type="character" w:customStyle="1" w:styleId="208">
    <w:name w:val="正文首行缩进 2 Char"/>
    <w:link w:val="49"/>
    <w:qFormat/>
    <w:uiPriority w:val="0"/>
    <w:rPr>
      <w:rFonts w:ascii="宋体" w:hAnsi="宋体" w:eastAsia="宋体" w:cs="Times New Roman"/>
      <w:szCs w:val="20"/>
    </w:rPr>
  </w:style>
  <w:style w:type="character" w:customStyle="1" w:styleId="209">
    <w:name w:val="标题 1 Char"/>
    <w:link w:val="2"/>
    <w:qFormat/>
    <w:uiPriority w:val="0"/>
    <w:rPr>
      <w:rFonts w:ascii="楷体_GB2312" w:hAnsi="Times New Roman" w:eastAsia="楷体_GB2312" w:cs="Times New Roman"/>
      <w:sz w:val="28"/>
      <w:szCs w:val="28"/>
    </w:rPr>
  </w:style>
  <w:style w:type="character" w:customStyle="1" w:styleId="210">
    <w:name w:val="标题 2 Char"/>
    <w:link w:val="3"/>
    <w:qFormat/>
    <w:uiPriority w:val="0"/>
    <w:rPr>
      <w:rFonts w:ascii="Arial" w:hAnsi="Arial" w:eastAsia="幼圆" w:cs="Arial"/>
      <w:b/>
      <w:bCs/>
      <w:sz w:val="44"/>
      <w:szCs w:val="44"/>
    </w:rPr>
  </w:style>
  <w:style w:type="character" w:customStyle="1" w:styleId="211">
    <w:name w:val="标题 3 Char"/>
    <w:link w:val="4"/>
    <w:qFormat/>
    <w:uiPriority w:val="0"/>
    <w:rPr>
      <w:rFonts w:ascii="Times New Roman" w:hAnsi="Times New Roman" w:eastAsia="宋体" w:cs="Times New Roman"/>
      <w:b/>
      <w:bCs/>
      <w:sz w:val="32"/>
      <w:szCs w:val="32"/>
    </w:rPr>
  </w:style>
  <w:style w:type="character" w:customStyle="1" w:styleId="212">
    <w:name w:val="正文缩进 Char"/>
    <w:link w:val="6"/>
    <w:qFormat/>
    <w:uiPriority w:val="0"/>
    <w:rPr>
      <w:szCs w:val="21"/>
    </w:rPr>
  </w:style>
  <w:style w:type="character" w:customStyle="1" w:styleId="213">
    <w:name w:val="标题 4 Char"/>
    <w:link w:val="5"/>
    <w:qFormat/>
    <w:uiPriority w:val="0"/>
    <w:rPr>
      <w:rFonts w:ascii="Arial" w:hAnsi="Arial" w:eastAsia="黑体" w:cs="Arial"/>
      <w:b/>
      <w:bCs/>
      <w:sz w:val="28"/>
      <w:szCs w:val="28"/>
    </w:rPr>
  </w:style>
  <w:style w:type="character" w:customStyle="1" w:styleId="214">
    <w:name w:val="标题 5 Char"/>
    <w:link w:val="7"/>
    <w:qFormat/>
    <w:uiPriority w:val="0"/>
    <w:rPr>
      <w:rFonts w:ascii="宋体" w:hAnsi="Times New Roman" w:eastAsia="宋体" w:cs="Times New Roman"/>
      <w:color w:val="000000"/>
      <w:sz w:val="28"/>
      <w:szCs w:val="28"/>
    </w:rPr>
  </w:style>
  <w:style w:type="character" w:customStyle="1" w:styleId="215">
    <w:name w:val="标题 6 Char"/>
    <w:link w:val="8"/>
    <w:qFormat/>
    <w:uiPriority w:val="0"/>
    <w:rPr>
      <w:rFonts w:ascii="Arial" w:hAnsi="Arial" w:eastAsia="黑体" w:cs="Times New Roman"/>
      <w:b/>
      <w:bCs/>
      <w:sz w:val="24"/>
      <w:szCs w:val="24"/>
    </w:rPr>
  </w:style>
  <w:style w:type="character" w:customStyle="1" w:styleId="216">
    <w:name w:val="标题 7 Char"/>
    <w:link w:val="9"/>
    <w:qFormat/>
    <w:uiPriority w:val="0"/>
    <w:rPr>
      <w:rFonts w:ascii="Times New Roman" w:hAnsi="Times New Roman" w:eastAsia="宋体" w:cs="Times New Roman"/>
      <w:b/>
      <w:bCs/>
      <w:sz w:val="24"/>
      <w:szCs w:val="24"/>
    </w:rPr>
  </w:style>
  <w:style w:type="character" w:customStyle="1" w:styleId="217">
    <w:name w:val="标题 8 Char"/>
    <w:link w:val="10"/>
    <w:qFormat/>
    <w:uiPriority w:val="0"/>
    <w:rPr>
      <w:rFonts w:ascii="Arial" w:hAnsi="Arial" w:eastAsia="黑体" w:cs="Times New Roman"/>
      <w:sz w:val="24"/>
      <w:szCs w:val="24"/>
    </w:rPr>
  </w:style>
  <w:style w:type="character" w:customStyle="1" w:styleId="218">
    <w:name w:val="标题 9 Char"/>
    <w:link w:val="11"/>
    <w:qFormat/>
    <w:uiPriority w:val="0"/>
    <w:rPr>
      <w:rFonts w:ascii="Arial" w:hAnsi="Arial" w:eastAsia="黑体" w:cs="Times New Roman"/>
      <w:szCs w:val="21"/>
    </w:rPr>
  </w:style>
  <w:style w:type="character" w:customStyle="1" w:styleId="219">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20">
    <w:name w:val="批注文字 Char"/>
    <w:basedOn w:val="52"/>
    <w:link w:val="16"/>
    <w:semiHidden/>
    <w:qFormat/>
    <w:uiPriority w:val="99"/>
  </w:style>
  <w:style w:type="character" w:customStyle="1" w:styleId="221">
    <w:name w:val="正文文本 3 Char"/>
    <w:link w:val="17"/>
    <w:qFormat/>
    <w:uiPriority w:val="0"/>
    <w:rPr>
      <w:rFonts w:ascii="仿宋_GB2312" w:hAnsi="Arial" w:eastAsia="仿宋_GB2312" w:cs="Times New Roman"/>
      <w:sz w:val="32"/>
      <w:szCs w:val="32"/>
    </w:rPr>
  </w:style>
  <w:style w:type="character" w:customStyle="1" w:styleId="222">
    <w:name w:val="正文文本 Char"/>
    <w:link w:val="18"/>
    <w:qFormat/>
    <w:uiPriority w:val="0"/>
    <w:rPr>
      <w:rFonts w:ascii="楷体_GB2312" w:hAnsi="Arial" w:eastAsia="楷体_GB2312" w:cs="Times New Roman"/>
      <w:sz w:val="28"/>
      <w:szCs w:val="28"/>
    </w:rPr>
  </w:style>
  <w:style w:type="character" w:customStyle="1" w:styleId="223">
    <w:name w:val="纯文本 Char"/>
    <w:link w:val="25"/>
    <w:qFormat/>
    <w:uiPriority w:val="0"/>
    <w:rPr>
      <w:rFonts w:ascii="宋体" w:hAnsi="Courier New" w:eastAsia="宋体" w:cs="Courier New"/>
      <w:szCs w:val="21"/>
    </w:rPr>
  </w:style>
  <w:style w:type="character" w:customStyle="1" w:styleId="224">
    <w:name w:val="日期 Char"/>
    <w:link w:val="27"/>
    <w:qFormat/>
    <w:uiPriority w:val="0"/>
    <w:rPr>
      <w:rFonts w:ascii="Times New Roman" w:hAnsi="Times New Roman" w:eastAsia="宋体" w:cs="Times New Roman"/>
      <w:sz w:val="24"/>
      <w:szCs w:val="24"/>
    </w:rPr>
  </w:style>
  <w:style w:type="character" w:customStyle="1" w:styleId="225">
    <w:name w:val="正文文本缩进 2 Char"/>
    <w:link w:val="28"/>
    <w:qFormat/>
    <w:uiPriority w:val="0"/>
    <w:rPr>
      <w:rFonts w:ascii="Arial" w:hAnsi="Arial" w:eastAsia="仿宋_GB2312" w:cs="Arial"/>
      <w:sz w:val="32"/>
      <w:szCs w:val="32"/>
    </w:rPr>
  </w:style>
  <w:style w:type="character" w:customStyle="1" w:styleId="226">
    <w:name w:val="批注框文本 Char"/>
    <w:link w:val="30"/>
    <w:semiHidden/>
    <w:qFormat/>
    <w:uiPriority w:val="0"/>
    <w:rPr>
      <w:rFonts w:ascii="Times New Roman" w:hAnsi="Times New Roman" w:eastAsia="宋体" w:cs="Times New Roman"/>
      <w:sz w:val="18"/>
      <w:szCs w:val="18"/>
    </w:rPr>
  </w:style>
  <w:style w:type="character" w:customStyle="1" w:styleId="227">
    <w:name w:val="页脚 Char"/>
    <w:link w:val="31"/>
    <w:qFormat/>
    <w:uiPriority w:val="0"/>
    <w:rPr>
      <w:rFonts w:ascii="Times New Roman" w:hAnsi="Times New Roman" w:eastAsia="宋体" w:cs="Times New Roman"/>
      <w:sz w:val="18"/>
      <w:szCs w:val="18"/>
    </w:rPr>
  </w:style>
  <w:style w:type="character" w:customStyle="1" w:styleId="228">
    <w:name w:val="页眉 Char"/>
    <w:link w:val="32"/>
    <w:qFormat/>
    <w:uiPriority w:val="0"/>
    <w:rPr>
      <w:rFonts w:ascii="Times New Roman" w:hAnsi="Times New Roman" w:eastAsia="宋体" w:cs="Times New Roman"/>
      <w:sz w:val="18"/>
      <w:szCs w:val="18"/>
    </w:rPr>
  </w:style>
  <w:style w:type="character" w:customStyle="1" w:styleId="229">
    <w:name w:val="正文文本缩进 3 Char"/>
    <w:link w:val="39"/>
    <w:qFormat/>
    <w:uiPriority w:val="0"/>
    <w:rPr>
      <w:rFonts w:ascii="Arial" w:hAnsi="Arial" w:eastAsia="仿宋_GB2312" w:cs="Arial"/>
      <w:color w:val="FFFF00"/>
      <w:sz w:val="32"/>
      <w:szCs w:val="32"/>
    </w:rPr>
  </w:style>
  <w:style w:type="character" w:customStyle="1" w:styleId="230">
    <w:name w:val="正文文本 2 Char"/>
    <w:link w:val="43"/>
    <w:qFormat/>
    <w:uiPriority w:val="0"/>
    <w:rPr>
      <w:rFonts w:ascii="楷体_GB2312" w:hAnsi="Times New Roman" w:eastAsia="楷体_GB2312" w:cs="Times New Roman"/>
      <w:sz w:val="28"/>
      <w:szCs w:val="28"/>
    </w:rPr>
  </w:style>
  <w:style w:type="character" w:customStyle="1" w:styleId="231">
    <w:name w:val="批注主题 Char"/>
    <w:link w:val="47"/>
    <w:semiHidden/>
    <w:qFormat/>
    <w:uiPriority w:val="0"/>
    <w:rPr>
      <w:rFonts w:ascii="Times New Roman" w:hAnsi="Times New Roman" w:eastAsia="宋体" w:cs="Times New Roman"/>
      <w:b/>
      <w:bCs/>
      <w:szCs w:val="21"/>
    </w:rPr>
  </w:style>
  <w:style w:type="character" w:customStyle="1" w:styleId="232">
    <w:name w:val="正文首行缩进 Char"/>
    <w:link w:val="48"/>
    <w:qFormat/>
    <w:uiPriority w:val="0"/>
    <w:rPr>
      <w:rFonts w:ascii="仿宋_GB2312" w:hAnsi="Times New Roman" w:eastAsia="仿宋_GB2312" w:cs="Times New Roman"/>
      <w:sz w:val="30"/>
      <w:szCs w:val="30"/>
    </w:rPr>
  </w:style>
  <w:style w:type="paragraph" w:customStyle="1" w:styleId="233">
    <w:name w:val="索引 41"/>
    <w:basedOn w:val="1"/>
    <w:next w:val="1"/>
    <w:semiHidden/>
    <w:qFormat/>
    <w:uiPriority w:val="0"/>
    <w:pPr>
      <w:ind w:left="1260"/>
    </w:pPr>
    <w:rPr>
      <w:rFonts w:ascii="Calibri" w:hAnsi="Calibri" w:eastAsia="Calibri" w:cs="宋体"/>
      <w:sz w:val="20"/>
      <w:lang w:val="zh-CN"/>
    </w:rPr>
  </w:style>
  <w:style w:type="character" w:customStyle="1" w:styleId="234">
    <w:name w:val="font5 Char"/>
    <w:qFormat/>
    <w:uiPriority w:val="0"/>
    <w:rPr>
      <w:rFonts w:ascii="宋体" w:hAnsi="宋体" w:eastAsia="宋体"/>
      <w:sz w:val="28"/>
      <w:szCs w:val="28"/>
      <w:lang w:val="en-US" w:eastAsia="zh-CN" w:bidi="ar-SA"/>
    </w:rPr>
  </w:style>
  <w:style w:type="character" w:customStyle="1" w:styleId="235">
    <w:name w:val="二级目录 Char"/>
    <w:link w:val="236"/>
    <w:qFormat/>
    <w:uiPriority w:val="0"/>
    <w:rPr>
      <w:b/>
      <w:sz w:val="30"/>
      <w:szCs w:val="28"/>
    </w:rPr>
  </w:style>
  <w:style w:type="paragraph" w:customStyle="1" w:styleId="236">
    <w:name w:val="二级目录"/>
    <w:next w:val="1"/>
    <w:link w:val="235"/>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37">
    <w:name w:val="列出段落 Char"/>
    <w:link w:val="238"/>
    <w:qFormat/>
    <w:uiPriority w:val="0"/>
    <w:rPr>
      <w:rFonts w:ascii="Calibri" w:hAnsi="Calibri"/>
      <w:sz w:val="24"/>
      <w:szCs w:val="24"/>
      <w:lang w:eastAsia="en-US" w:bidi="en-US"/>
    </w:rPr>
  </w:style>
  <w:style w:type="paragraph" w:customStyle="1" w:styleId="238">
    <w:name w:val="列出段落1"/>
    <w:basedOn w:val="1"/>
    <w:link w:val="237"/>
    <w:qFormat/>
    <w:uiPriority w:val="0"/>
    <w:pPr>
      <w:widowControl/>
      <w:ind w:left="720"/>
      <w:contextualSpacing/>
      <w:jc w:val="left"/>
    </w:pPr>
    <w:rPr>
      <w:rFonts w:ascii="Calibri" w:hAnsi="Calibri"/>
      <w:sz w:val="24"/>
      <w:szCs w:val="24"/>
      <w:lang w:eastAsia="en-US" w:bidi="en-US"/>
    </w:rPr>
  </w:style>
  <w:style w:type="paragraph" w:customStyle="1" w:styleId="239">
    <w:name w:val="Body Text(ch)"/>
    <w:basedOn w:val="1"/>
    <w:next w:val="18"/>
    <w:qFormat/>
    <w:uiPriority w:val="0"/>
    <w:pPr>
      <w:spacing w:after="120"/>
    </w:pPr>
    <w:rPr>
      <w:rFonts w:ascii="宋体" w:hAnsi="Arial" w:eastAsia="宋体" w:cs="Times New Roman"/>
      <w:bCs/>
      <w:iCs/>
      <w:szCs w:val="24"/>
    </w:rPr>
  </w:style>
  <w:style w:type="paragraph" w:customStyle="1" w:styleId="24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4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43">
    <w:name w:val=" Char"/>
    <w:basedOn w:val="15"/>
    <w:qFormat/>
    <w:uiPriority w:val="0"/>
    <w:rPr>
      <w:rFonts w:ascii="Tahoma" w:hAnsi="Tahoma"/>
      <w:sz w:val="24"/>
      <w:szCs w:val="24"/>
    </w:rPr>
  </w:style>
  <w:style w:type="paragraph" w:customStyle="1" w:styleId="244">
    <w:name w:val="普通正文"/>
    <w:basedOn w:val="245"/>
    <w:qFormat/>
    <w:uiPriority w:val="0"/>
    <w:pPr>
      <w:spacing w:before="120" w:after="120" w:line="360" w:lineRule="auto"/>
      <w:ind w:firstLine="480"/>
      <w:jc w:val="left"/>
    </w:pPr>
    <w:rPr>
      <w:rFonts w:ascii="Arial" w:hAnsi="Arial" w:eastAsia="宋体" w:cs="Times New Roman"/>
      <w:sz w:val="24"/>
      <w:szCs w:val="24"/>
    </w:rPr>
  </w:style>
  <w:style w:type="paragraph" w:customStyle="1" w:styleId="245">
    <w:name w:val="正文1"/>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246">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47">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48">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49">
    <w:name w:val=" Char Char Char Char"/>
    <w:basedOn w:val="15"/>
    <w:qFormat/>
    <w:uiPriority w:val="0"/>
    <w:pPr>
      <w:spacing w:line="360" w:lineRule="auto"/>
    </w:pPr>
    <w:rPr>
      <w:rFonts w:ascii="Tahoma" w:hAnsi="Tahoma"/>
      <w:sz w:val="24"/>
      <w:szCs w:val="24"/>
    </w:rPr>
  </w:style>
  <w:style w:type="paragraph" w:styleId="250">
    <w:name w:val="List Paragraph"/>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51">
    <w:name w:val="4"/>
    <w:basedOn w:val="1"/>
    <w:next w:val="39"/>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52">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53">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54">
    <w:name w:val="样式1"/>
    <w:basedOn w:val="1"/>
    <w:qFormat/>
    <w:uiPriority w:val="0"/>
    <w:pPr>
      <w:numPr>
        <w:ilvl w:val="0"/>
        <w:numId w:val="3"/>
      </w:numPr>
    </w:pPr>
    <w:rPr>
      <w:rFonts w:ascii="宋体" w:hAnsi="宋体" w:eastAsia="宋体" w:cs="Times New Roman"/>
      <w:szCs w:val="21"/>
    </w:rPr>
  </w:style>
  <w:style w:type="paragraph" w:customStyle="1" w:styleId="255">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5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7">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58">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5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sz w:val="24"/>
      <w:szCs w:val="24"/>
    </w:rPr>
  </w:style>
  <w:style w:type="paragraph" w:customStyle="1" w:styleId="260">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61">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6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sz w:val="24"/>
      <w:szCs w:val="24"/>
    </w:rPr>
  </w:style>
  <w:style w:type="paragraph" w:customStyle="1" w:styleId="263">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64">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65">
    <w:name w:val="Char Char Char Char"/>
    <w:basedOn w:val="15"/>
    <w:qFormat/>
    <w:uiPriority w:val="0"/>
    <w:pPr>
      <w:spacing w:line="360" w:lineRule="auto"/>
    </w:pPr>
    <w:rPr>
      <w:rFonts w:ascii="Tahoma" w:hAnsi="Tahoma"/>
      <w:sz w:val="24"/>
      <w:szCs w:val="24"/>
    </w:rPr>
  </w:style>
  <w:style w:type="paragraph" w:customStyle="1" w:styleId="266">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67">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68">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69">
    <w:name w:val="_Style 114"/>
    <w:semiHidden/>
    <w:qFormat/>
    <w:uiPriority w:val="99"/>
    <w:rPr>
      <w:rFonts w:hint="default" w:ascii="Times New Roman" w:hAnsi="Times New Roman" w:eastAsia="宋体" w:cs="Times New Roman"/>
      <w:sz w:val="21"/>
      <w:szCs w:val="21"/>
      <w:lang w:val="en-US" w:eastAsia="zh-CN" w:bidi="ar-SA"/>
    </w:rPr>
  </w:style>
  <w:style w:type="paragraph" w:styleId="270">
    <w:name w:val="No Spacing"/>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271">
    <w:name w:val="Table Normal"/>
    <w:qFormat/>
    <w:uiPriority w:val="0"/>
    <w:tblPr>
      <w:tblCellMar>
        <w:top w:w="0" w:type="dxa"/>
        <w:left w:w="0" w:type="dxa"/>
        <w:bottom w:w="0" w:type="dxa"/>
        <w:right w:w="0" w:type="dxa"/>
      </w:tblCellMar>
    </w:tblPr>
  </w:style>
  <w:style w:type="paragraph" w:customStyle="1" w:styleId="272">
    <w:name w:val="正文文本 211"/>
    <w:basedOn w:val="1"/>
    <w:qFormat/>
    <w:uiPriority w:val="99"/>
    <w:pPr>
      <w:jc w:val="center"/>
    </w:pPr>
    <w:rPr>
      <w:b/>
      <w:bCs/>
      <w:sz w:val="20"/>
      <w:szCs w:val="20"/>
    </w:rPr>
  </w:style>
  <w:style w:type="paragraph" w:customStyle="1" w:styleId="273">
    <w:name w:val="正文文本12"/>
    <w:basedOn w:val="1"/>
    <w:qFormat/>
    <w:uiPriority w:val="1"/>
    <w:pPr>
      <w:ind w:left="120"/>
    </w:pPr>
    <w:rPr>
      <w:rFonts w:ascii="宋体" w:hAnsi="宋体" w:eastAsia="宋体" w:cs="宋体"/>
      <w:sz w:val="21"/>
      <w:szCs w:val="21"/>
      <w:lang w:val="zh-CN" w:eastAsia="zh-CN" w:bidi="zh-CN"/>
    </w:rPr>
  </w:style>
  <w:style w:type="table" w:customStyle="1" w:styleId="274">
    <w:name w:val="网格型1"/>
    <w:basedOn w:val="275"/>
    <w:qFormat/>
    <w:uiPriority w:val="0"/>
    <w:pPr>
      <w:widowControl w:val="0"/>
      <w:jc w:val="both"/>
    </w:pPr>
  </w:style>
  <w:style w:type="table" w:customStyle="1" w:styleId="275">
    <w:name w:val="普通表格1"/>
    <w:unhideWhenUsed/>
    <w:qFormat/>
    <w:uiPriority w:val="99"/>
  </w:style>
  <w:style w:type="paragraph" w:customStyle="1" w:styleId="276">
    <w:name w:val="Table Paragraph"/>
    <w:qFormat/>
    <w:uiPriority w:val="1"/>
    <w:pPr>
      <w:widowControl w:val="0"/>
      <w:autoSpaceDE w:val="0"/>
      <w:autoSpaceDN w:val="0"/>
      <w:jc w:val="left"/>
      <w:textAlignment w:val="auto"/>
    </w:pPr>
    <w:rPr>
      <w:rFonts w:ascii="宋体" w:hAnsi="宋体" w:eastAsia="宋体" w:cs="宋体"/>
      <w:kern w:val="0"/>
      <w:sz w:val="22"/>
      <w:szCs w:val="22"/>
      <w:lang w:val="it-IT" w:eastAsia="it-IT" w:bidi="it-IT"/>
    </w:rPr>
  </w:style>
  <w:style w:type="paragraph" w:customStyle="1" w:styleId="277">
    <w:name w:val="首行缩进"/>
    <w:qFormat/>
    <w:uiPriority w:val="0"/>
    <w:pPr>
      <w:widowControl w:val="0"/>
      <w:spacing w:line="360" w:lineRule="auto"/>
      <w:ind w:firstLine="480" w:firstLineChars="200"/>
      <w:jc w:val="left"/>
    </w:pPr>
    <w:rPr>
      <w:rFonts w:ascii="宋体" w:hAnsi="宋体" w:eastAsia="宋体" w:cs="Times New Roman"/>
      <w:kern w:val="2"/>
      <w:sz w:val="24"/>
      <w:szCs w:val="24"/>
      <w:lang w:val="en-US" w:eastAsia="zh-CN" w:bidi="ar-SA"/>
    </w:rPr>
  </w:style>
  <w:style w:type="character" w:customStyle="1" w:styleId="278">
    <w:name w:val="标题 2 Char1"/>
    <w:link w:val="3"/>
    <w:qFormat/>
    <w:uiPriority w:val="0"/>
    <w:rPr>
      <w:rFonts w:ascii="黑体" w:hAnsi="黑体" w:eastAsia="黑体"/>
      <w:b/>
      <w:bCs/>
      <w:sz w:val="36"/>
      <w:szCs w:val="3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44</Pages>
  <Words>210</Words>
  <Characters>244</Characters>
  <TotalTime>280</TotalTime>
  <ScaleCrop>false</ScaleCrop>
  <LinksUpToDate>false</LinksUpToDate>
  <CharactersWithSpaces>272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shuiuu</cp:lastModifiedBy>
  <dcterms:modified xsi:type="dcterms:W3CDTF">2026-10-27T08:27:03Z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AF0F582F2C804364B086ECEAE9FEE50B_13</vt:lpwstr>
  </property>
  <property fmtid="{D5CDD505-2E9C-101B-9397-08002B2CF9AE}" pid="4" name="KSOTemplateDocerSaveRecord">
    <vt:lpwstr>eyJoZGlkIjoiM2YwMGI0ODRhNDRiYmU0NDlkZWRiZWVmOWRjNmZlZWUiLCJ1c2VySWQiOiIxMzQxMTY0NTg2In0=</vt:lpwstr>
  </property>
</Properties>
</file>