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B0F395">
      <w:pPr>
        <w:jc w:val="center"/>
        <w:rPr>
          <w:rFonts w:hint="eastAsia" w:ascii="宋体" w:hAnsi="宋体" w:cs="宋体"/>
          <w:b/>
          <w:bCs/>
          <w:color w:val="auto"/>
          <w:sz w:val="44"/>
          <w:szCs w:val="44"/>
          <w:highlight w:val="none"/>
          <w:lang w:eastAsia="zh-CN"/>
        </w:rPr>
      </w:pPr>
    </w:p>
    <w:p w14:paraId="640BCC10">
      <w:pPr>
        <w:jc w:val="center"/>
        <w:rPr>
          <w:rFonts w:hint="eastAsia" w:ascii="宋体" w:hAnsi="宋体" w:cs="宋体"/>
          <w:b/>
          <w:bCs/>
          <w:color w:val="auto"/>
          <w:sz w:val="44"/>
          <w:szCs w:val="44"/>
          <w:highlight w:val="none"/>
          <w:lang w:eastAsia="zh-CN"/>
        </w:rPr>
      </w:pPr>
    </w:p>
    <w:p w14:paraId="58291B0F">
      <w:pPr>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t>南京市红十字医院分院病房改造</w:t>
      </w:r>
    </w:p>
    <w:p w14:paraId="3CE593A3">
      <w:pPr>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t>及医疗能力提升项目（朝天宫院区）</w:t>
      </w:r>
    </w:p>
    <w:p w14:paraId="35484F25">
      <w:pPr>
        <w:jc w:val="center"/>
        <w:rPr>
          <w:rFonts w:hint="eastAsia" w:ascii="宋体" w:hAnsi="宋体" w:eastAsia="宋体" w:cs="宋体"/>
          <w:b/>
          <w:bCs/>
          <w:color w:val="auto"/>
          <w:sz w:val="44"/>
          <w:szCs w:val="44"/>
          <w:highlight w:val="none"/>
          <w:lang w:eastAsia="zh-CN"/>
        </w:rPr>
      </w:pPr>
      <w:r>
        <w:rPr>
          <w:rFonts w:hint="eastAsia" w:ascii="宋体" w:hAnsi="宋体" w:cs="宋体"/>
          <w:b/>
          <w:bCs/>
          <w:color w:val="auto"/>
          <w:sz w:val="44"/>
          <w:szCs w:val="44"/>
          <w:highlight w:val="none"/>
          <w:lang w:eastAsia="zh-CN"/>
        </w:rPr>
        <w:t>慢病筛防中心（CSP）设备采购项目</w:t>
      </w:r>
      <w:bookmarkStart w:id="249" w:name="_GoBack"/>
      <w:bookmarkEnd w:id="249"/>
    </w:p>
    <w:p w14:paraId="32110733">
      <w:pPr>
        <w:pStyle w:val="79"/>
        <w:rPr>
          <w:color w:val="auto"/>
          <w:highlight w:val="none"/>
        </w:rPr>
      </w:pPr>
    </w:p>
    <w:p w14:paraId="3367EBD1">
      <w:pPr>
        <w:spacing w:line="360" w:lineRule="auto"/>
        <w:ind w:firstLine="2168"/>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rPr>
        <w:t>项目编号：JSZC-320104-JSHY-G2026-0253</w:t>
      </w:r>
      <w:r>
        <w:rPr>
          <w:rFonts w:hint="eastAsia" w:ascii="宋体" w:hAnsi="宋体" w:cs="宋体"/>
          <w:b/>
          <w:bCs/>
          <w:color w:val="auto"/>
          <w:sz w:val="32"/>
          <w:szCs w:val="32"/>
          <w:highlight w:val="none"/>
          <w:lang w:val="en-US" w:eastAsia="zh-CN"/>
        </w:rPr>
        <w:t xml:space="preserve"> </w:t>
      </w:r>
    </w:p>
    <w:p w14:paraId="132F7656">
      <w:pPr>
        <w:spacing w:line="360" w:lineRule="auto"/>
        <w:ind w:firstLine="2168"/>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代理机构项目编号：</w:t>
      </w:r>
      <w:r>
        <w:rPr>
          <w:rFonts w:hint="eastAsia" w:ascii="宋体" w:hAnsi="宋体" w:cs="宋体"/>
          <w:b/>
          <w:bCs/>
          <w:color w:val="auto"/>
          <w:sz w:val="32"/>
          <w:szCs w:val="32"/>
          <w:highlight w:val="none"/>
          <w:lang w:val="en-US" w:eastAsia="zh-CN"/>
        </w:rPr>
        <w:t>1</w:t>
      </w:r>
      <w:r>
        <w:rPr>
          <w:rFonts w:hint="eastAsia" w:ascii="宋体" w:hAnsi="宋体" w:cs="宋体"/>
          <w:b/>
          <w:bCs/>
          <w:color w:val="auto"/>
          <w:sz w:val="32"/>
          <w:szCs w:val="32"/>
          <w:highlight w:val="none"/>
        </w:rPr>
        <w:t>009-2641HOLLY</w:t>
      </w:r>
      <w:r>
        <w:rPr>
          <w:rFonts w:hint="eastAsia" w:ascii="宋体" w:hAnsi="宋体" w:cs="宋体"/>
          <w:b/>
          <w:bCs/>
          <w:color w:val="auto"/>
          <w:sz w:val="32"/>
          <w:szCs w:val="32"/>
          <w:highlight w:val="none"/>
          <w:lang w:eastAsia="zh-CN"/>
        </w:rPr>
        <w:t>18K</w:t>
      </w:r>
      <w:r>
        <w:rPr>
          <w:rFonts w:hint="eastAsia" w:ascii="宋体" w:hAnsi="宋体" w:cs="宋体"/>
          <w:b/>
          <w:bCs/>
          <w:color w:val="auto"/>
          <w:sz w:val="32"/>
          <w:szCs w:val="32"/>
          <w:highlight w:val="none"/>
          <w:lang w:val="en-US" w:eastAsia="zh-CN"/>
        </w:rPr>
        <w:t xml:space="preserve"> </w:t>
      </w:r>
    </w:p>
    <w:p w14:paraId="1EDB86C7">
      <w:pPr>
        <w:pStyle w:val="79"/>
        <w:rPr>
          <w:rFonts w:hint="eastAsia" w:ascii="宋体" w:hAnsi="宋体" w:eastAsia="宋体" w:cs="宋体"/>
          <w:color w:val="auto"/>
          <w:highlight w:val="none"/>
        </w:rPr>
      </w:pPr>
    </w:p>
    <w:p w14:paraId="66CE4959">
      <w:pPr>
        <w:pStyle w:val="79"/>
        <w:rPr>
          <w:rFonts w:hint="eastAsia" w:ascii="宋体" w:hAnsi="宋体" w:eastAsia="宋体" w:cs="宋体"/>
          <w:color w:val="auto"/>
          <w:highlight w:val="none"/>
        </w:rPr>
      </w:pPr>
    </w:p>
    <w:p w14:paraId="4D931FCD">
      <w:pPr>
        <w:jc w:val="center"/>
        <w:rPr>
          <w:rFonts w:hint="eastAsia" w:ascii="宋体" w:hAnsi="宋体" w:cs="宋体"/>
          <w:b/>
          <w:color w:val="auto"/>
          <w:sz w:val="18"/>
          <w:szCs w:val="18"/>
          <w:highlight w:val="none"/>
        </w:rPr>
      </w:pPr>
    </w:p>
    <w:p w14:paraId="2037D371">
      <w:pPr>
        <w:jc w:val="center"/>
        <w:rPr>
          <w:rFonts w:hint="eastAsia" w:ascii="宋体" w:hAnsi="宋体" w:cs="宋体"/>
          <w:b/>
          <w:color w:val="auto"/>
          <w:sz w:val="18"/>
          <w:szCs w:val="18"/>
          <w:highlight w:val="none"/>
        </w:rPr>
      </w:pPr>
    </w:p>
    <w:p w14:paraId="18B752F8">
      <w:pPr>
        <w:jc w:val="center"/>
        <w:rPr>
          <w:rFonts w:hint="eastAsia" w:ascii="宋体" w:hAnsi="宋体" w:cs="宋体"/>
          <w:b/>
          <w:color w:val="auto"/>
          <w:sz w:val="18"/>
          <w:szCs w:val="18"/>
          <w:highlight w:val="none"/>
        </w:rPr>
      </w:pPr>
    </w:p>
    <w:p w14:paraId="4BF6C16B">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招  标  文  件</w:t>
      </w:r>
    </w:p>
    <w:p w14:paraId="54671118">
      <w:pPr>
        <w:spacing w:line="500" w:lineRule="exact"/>
        <w:ind w:firstLine="1980"/>
        <w:jc w:val="left"/>
        <w:rPr>
          <w:rFonts w:hint="eastAsia" w:ascii="宋体" w:hAnsi="宋体" w:cs="宋体"/>
          <w:color w:val="auto"/>
          <w:sz w:val="36"/>
          <w:szCs w:val="36"/>
          <w:highlight w:val="none"/>
        </w:rPr>
      </w:pPr>
    </w:p>
    <w:p w14:paraId="11079CCA">
      <w:pPr>
        <w:spacing w:line="500" w:lineRule="exact"/>
        <w:ind w:firstLine="1980"/>
        <w:jc w:val="left"/>
        <w:rPr>
          <w:rFonts w:hint="eastAsia" w:ascii="宋体" w:hAnsi="宋体" w:cs="宋体"/>
          <w:color w:val="auto"/>
          <w:sz w:val="36"/>
          <w:szCs w:val="36"/>
          <w:highlight w:val="none"/>
        </w:rPr>
      </w:pPr>
    </w:p>
    <w:p w14:paraId="6C16A767">
      <w:pPr>
        <w:spacing w:line="500" w:lineRule="exact"/>
        <w:jc w:val="left"/>
        <w:rPr>
          <w:rFonts w:hint="eastAsia" w:ascii="宋体" w:hAnsi="宋体" w:cs="宋体"/>
          <w:color w:val="auto"/>
          <w:sz w:val="36"/>
          <w:szCs w:val="36"/>
          <w:highlight w:val="none"/>
        </w:rPr>
      </w:pPr>
    </w:p>
    <w:p w14:paraId="3C211932">
      <w:pPr>
        <w:rPr>
          <w:rFonts w:hint="eastAsia" w:ascii="宋体" w:hAnsi="宋体" w:cs="宋体"/>
          <w:color w:val="auto"/>
          <w:highlight w:val="none"/>
        </w:rPr>
      </w:pPr>
    </w:p>
    <w:p w14:paraId="5CD079E4">
      <w:pPr>
        <w:rPr>
          <w:rFonts w:hint="eastAsia" w:ascii="宋体" w:hAnsi="宋体" w:cs="宋体"/>
          <w:color w:val="auto"/>
          <w:highlight w:val="none"/>
        </w:rPr>
      </w:pPr>
    </w:p>
    <w:p w14:paraId="44E0FACB">
      <w:pPr>
        <w:rPr>
          <w:rFonts w:hint="eastAsia" w:ascii="宋体" w:hAnsi="宋体" w:cs="宋体"/>
          <w:color w:val="auto"/>
          <w:highlight w:val="none"/>
        </w:rPr>
      </w:pPr>
    </w:p>
    <w:p w14:paraId="060204DB">
      <w:pPr>
        <w:rPr>
          <w:rFonts w:hint="eastAsia" w:ascii="宋体" w:hAnsi="宋体" w:cs="宋体"/>
          <w:color w:val="auto"/>
          <w:highlight w:val="none"/>
        </w:rPr>
      </w:pPr>
    </w:p>
    <w:p w14:paraId="16810780">
      <w:pPr>
        <w:rPr>
          <w:rFonts w:hint="eastAsia" w:ascii="宋体" w:hAnsi="宋体" w:cs="宋体"/>
          <w:color w:val="auto"/>
          <w:highlight w:val="none"/>
        </w:rPr>
      </w:pPr>
    </w:p>
    <w:p w14:paraId="6F0966FB">
      <w:pPr>
        <w:rPr>
          <w:rFonts w:hint="eastAsia" w:ascii="宋体" w:hAnsi="宋体" w:cs="宋体"/>
          <w:color w:val="auto"/>
          <w:highlight w:val="none"/>
        </w:rPr>
      </w:pPr>
    </w:p>
    <w:tbl>
      <w:tblPr>
        <w:tblStyle w:val="34"/>
        <w:tblW w:w="0" w:type="auto"/>
        <w:jc w:val="center"/>
        <w:tblLayout w:type="fixed"/>
        <w:tblCellMar>
          <w:top w:w="0" w:type="dxa"/>
          <w:left w:w="108" w:type="dxa"/>
          <w:bottom w:w="0" w:type="dxa"/>
          <w:right w:w="108" w:type="dxa"/>
        </w:tblCellMar>
      </w:tblPr>
      <w:tblGrid>
        <w:gridCol w:w="2796"/>
        <w:gridCol w:w="5003"/>
      </w:tblGrid>
      <w:tr w14:paraId="60BA5C00">
        <w:tblPrEx>
          <w:tblCellMar>
            <w:top w:w="0" w:type="dxa"/>
            <w:left w:w="108" w:type="dxa"/>
            <w:bottom w:w="0" w:type="dxa"/>
            <w:right w:w="108" w:type="dxa"/>
          </w:tblCellMar>
        </w:tblPrEx>
        <w:trPr>
          <w:trHeight w:val="685" w:hRule="atLeast"/>
          <w:jc w:val="center"/>
        </w:trPr>
        <w:tc>
          <w:tcPr>
            <w:tcW w:w="2796" w:type="dxa"/>
            <w:tcBorders>
              <w:top w:val="nil"/>
              <w:left w:val="nil"/>
              <w:bottom w:val="nil"/>
              <w:right w:val="nil"/>
            </w:tcBorders>
          </w:tcPr>
          <w:p w14:paraId="56C08ED6">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采购人：</w:t>
            </w:r>
          </w:p>
        </w:tc>
        <w:tc>
          <w:tcPr>
            <w:tcW w:w="5003" w:type="dxa"/>
            <w:tcBorders>
              <w:top w:val="nil"/>
              <w:left w:val="nil"/>
              <w:bottom w:val="nil"/>
              <w:right w:val="nil"/>
            </w:tcBorders>
          </w:tcPr>
          <w:p w14:paraId="34349810">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eastAsia="zh-CN"/>
              </w:rPr>
              <w:t>南京市秦淮区朝天宫社区卫生服务中心</w:t>
            </w:r>
          </w:p>
        </w:tc>
      </w:tr>
      <w:tr w14:paraId="18F16F0B">
        <w:tblPrEx>
          <w:tblCellMar>
            <w:top w:w="0" w:type="dxa"/>
            <w:left w:w="108" w:type="dxa"/>
            <w:bottom w:w="0" w:type="dxa"/>
            <w:right w:w="108" w:type="dxa"/>
          </w:tblCellMar>
        </w:tblPrEx>
        <w:trPr>
          <w:trHeight w:val="593" w:hRule="atLeast"/>
          <w:jc w:val="center"/>
        </w:trPr>
        <w:tc>
          <w:tcPr>
            <w:tcW w:w="2796" w:type="dxa"/>
            <w:tcBorders>
              <w:top w:val="nil"/>
              <w:left w:val="nil"/>
              <w:bottom w:val="nil"/>
              <w:right w:val="nil"/>
            </w:tcBorders>
          </w:tcPr>
          <w:p w14:paraId="6868630F">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采购代理机构：</w:t>
            </w:r>
          </w:p>
        </w:tc>
        <w:tc>
          <w:tcPr>
            <w:tcW w:w="5003" w:type="dxa"/>
            <w:tcBorders>
              <w:top w:val="nil"/>
              <w:left w:val="nil"/>
              <w:bottom w:val="nil"/>
              <w:right w:val="nil"/>
            </w:tcBorders>
          </w:tcPr>
          <w:p w14:paraId="07AD2858">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江苏弘业国际技术工程有限公司</w:t>
            </w:r>
          </w:p>
        </w:tc>
      </w:tr>
      <w:tr w14:paraId="741A6E8F">
        <w:tblPrEx>
          <w:tblCellMar>
            <w:top w:w="0" w:type="dxa"/>
            <w:left w:w="108" w:type="dxa"/>
            <w:bottom w:w="0" w:type="dxa"/>
            <w:right w:w="108" w:type="dxa"/>
          </w:tblCellMar>
        </w:tblPrEx>
        <w:trPr>
          <w:trHeight w:val="573" w:hRule="atLeast"/>
          <w:jc w:val="center"/>
        </w:trPr>
        <w:tc>
          <w:tcPr>
            <w:tcW w:w="2796" w:type="dxa"/>
            <w:tcBorders>
              <w:top w:val="nil"/>
              <w:left w:val="nil"/>
              <w:bottom w:val="nil"/>
              <w:right w:val="nil"/>
            </w:tcBorders>
          </w:tcPr>
          <w:p w14:paraId="013DBFE2">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日  期：</w:t>
            </w:r>
          </w:p>
        </w:tc>
        <w:tc>
          <w:tcPr>
            <w:tcW w:w="5003" w:type="dxa"/>
            <w:tcBorders>
              <w:top w:val="nil"/>
              <w:left w:val="nil"/>
              <w:bottom w:val="nil"/>
              <w:right w:val="nil"/>
            </w:tcBorders>
          </w:tcPr>
          <w:p w14:paraId="38F6EE22">
            <w:pPr>
              <w:rPr>
                <w:rFonts w:hint="eastAsia" w:ascii="宋体" w:hAnsi="宋体" w:cs="宋体"/>
                <w:b/>
                <w:bCs/>
                <w:color w:val="auto"/>
                <w:sz w:val="32"/>
                <w:szCs w:val="32"/>
                <w:highlight w:val="none"/>
              </w:rPr>
            </w:pPr>
            <w:bookmarkStart w:id="0" w:name="EB011e21966a4746ceac4488705cfdd813"/>
            <w:r>
              <w:rPr>
                <w:rFonts w:hint="eastAsia" w:ascii="宋体" w:hAnsi="宋体" w:cs="宋体"/>
                <w:b/>
                <w:bCs/>
                <w:color w:val="auto"/>
                <w:sz w:val="32"/>
                <w:szCs w:val="32"/>
                <w:highlight w:val="none"/>
              </w:rPr>
              <w:t>202</w:t>
            </w:r>
            <w:r>
              <w:rPr>
                <w:rFonts w:hint="eastAsia" w:ascii="宋体" w:hAnsi="宋体" w:cs="宋体"/>
                <w:b/>
                <w:bCs/>
                <w:color w:val="auto"/>
                <w:sz w:val="32"/>
                <w:szCs w:val="32"/>
                <w:highlight w:val="none"/>
                <w:lang w:val="en-US" w:eastAsia="zh-CN"/>
              </w:rPr>
              <w:t>6</w:t>
            </w:r>
            <w:r>
              <w:rPr>
                <w:rFonts w:hint="eastAsia" w:ascii="宋体" w:hAnsi="宋体" w:cs="宋体"/>
                <w:b/>
                <w:bCs/>
                <w:color w:val="auto"/>
                <w:sz w:val="32"/>
                <w:szCs w:val="32"/>
                <w:highlight w:val="none"/>
              </w:rPr>
              <w:t>年</w:t>
            </w:r>
            <w:r>
              <w:rPr>
                <w:rFonts w:hint="eastAsia" w:ascii="宋体" w:hAnsi="宋体" w:cs="宋体"/>
                <w:b/>
                <w:bCs/>
                <w:color w:val="auto"/>
                <w:sz w:val="32"/>
                <w:szCs w:val="32"/>
                <w:highlight w:val="none"/>
                <w:lang w:val="en-US" w:eastAsia="zh-CN"/>
              </w:rPr>
              <w:t>10</w:t>
            </w:r>
            <w:r>
              <w:rPr>
                <w:rFonts w:hint="eastAsia" w:ascii="宋体" w:hAnsi="宋体" w:cs="宋体"/>
                <w:b/>
                <w:bCs/>
                <w:color w:val="auto"/>
                <w:sz w:val="32"/>
                <w:szCs w:val="32"/>
                <w:highlight w:val="none"/>
              </w:rPr>
              <w:t>月</w:t>
            </w:r>
            <w:bookmarkEnd w:id="0"/>
          </w:p>
        </w:tc>
      </w:tr>
    </w:tbl>
    <w:p w14:paraId="351051F2">
      <w:pPr>
        <w:rPr>
          <w:rFonts w:hint="eastAsia" w:ascii="宋体" w:hAnsi="宋体" w:cs="宋体"/>
          <w:color w:val="auto"/>
          <w:highlight w:val="none"/>
        </w:rPr>
      </w:pPr>
    </w:p>
    <w:p w14:paraId="4E247D44">
      <w:pPr>
        <w:rPr>
          <w:rFonts w:hint="eastAsia" w:ascii="宋体" w:hAnsi="宋体" w:cs="宋体"/>
          <w:color w:val="auto"/>
          <w:highlight w:val="none"/>
        </w:rPr>
      </w:pPr>
    </w:p>
    <w:p w14:paraId="68E67710">
      <w:pPr>
        <w:rPr>
          <w:rFonts w:hint="eastAsia" w:ascii="宋体" w:hAnsi="宋体" w:cs="宋体"/>
          <w:color w:val="auto"/>
          <w:highlight w:val="none"/>
        </w:rPr>
      </w:pPr>
    </w:p>
    <w:p w14:paraId="6C728716">
      <w:pPr>
        <w:rPr>
          <w:rFonts w:hint="eastAsia" w:ascii="宋体" w:hAnsi="宋体" w:cs="宋体"/>
          <w:color w:val="auto"/>
          <w:highlight w:val="none"/>
        </w:rPr>
      </w:pPr>
      <w:r>
        <w:rPr>
          <w:rFonts w:hint="eastAsia" w:ascii="宋体" w:hAnsi="宋体" w:cs="宋体"/>
          <w:color w:val="auto"/>
          <w:highlight w:val="none"/>
        </w:rPr>
        <w:br w:type="page" w:clear="all"/>
      </w:r>
    </w:p>
    <w:p w14:paraId="00B554E0">
      <w:pPr>
        <w:pStyle w:val="79"/>
        <w:rPr>
          <w:rFonts w:hint="eastAsia" w:ascii="宋体" w:hAnsi="宋体" w:eastAsia="宋体" w:cs="宋体"/>
          <w:color w:val="auto"/>
          <w:highlight w:val="none"/>
        </w:rPr>
      </w:pPr>
    </w:p>
    <w:p w14:paraId="4785CED8">
      <w:pPr>
        <w:rPr>
          <w:rFonts w:hint="eastAsia" w:ascii="宋体" w:hAnsi="宋体" w:cs="宋体"/>
          <w:color w:val="auto"/>
          <w:highlight w:val="none"/>
        </w:rPr>
      </w:pPr>
    </w:p>
    <w:p w14:paraId="735D1A85">
      <w:pPr>
        <w:pStyle w:val="79"/>
        <w:tabs>
          <w:tab w:val="left" w:pos="6527"/>
        </w:tabs>
        <w:rPr>
          <w:rFonts w:hint="eastAsia" w:ascii="宋体" w:hAnsi="宋体" w:eastAsia="宋体" w:cs="宋体"/>
          <w:color w:val="auto"/>
          <w:highlight w:val="none"/>
        </w:rPr>
      </w:pPr>
      <w:bookmarkStart w:id="1" w:name="EB06f4f849a067447382c5c19bd1747a07"/>
      <w:r>
        <w:rPr>
          <w:rFonts w:hint="eastAsia" w:ascii="宋体" w:hAnsi="宋体" w:eastAsia="宋体" w:cs="宋体"/>
          <w:color w:val="auto"/>
          <w:sz w:val="20"/>
          <w:highlight w:val="none"/>
        </w:rPr>
        <w:t xml:space="preserve"> </w:t>
      </w:r>
      <w:bookmarkEnd w:id="1"/>
      <w:r>
        <w:rPr>
          <w:rFonts w:hint="eastAsia" w:ascii="宋体" w:hAnsi="宋体" w:eastAsia="宋体" w:cs="宋体"/>
          <w:color w:val="auto"/>
          <w:highlight w:val="none"/>
        </w:rPr>
        <w:tab/>
      </w:r>
    </w:p>
    <w:p w14:paraId="2FE20CA1">
      <w:pPr>
        <w:jc w:val="center"/>
        <w:rPr>
          <w:color w:val="auto"/>
          <w:highlight w:val="none"/>
        </w:rPr>
      </w:pPr>
      <w:r>
        <w:rPr>
          <w:rFonts w:hint="eastAsia" w:ascii="宋体" w:hAnsi="宋体" w:cs="宋体"/>
          <w:b/>
          <w:bCs/>
          <w:color w:val="auto"/>
          <w:sz w:val="24"/>
          <w:szCs w:val="28"/>
          <w:highlight w:val="none"/>
        </w:rPr>
        <w:t>目  录</w:t>
      </w:r>
      <w:r>
        <w:rPr>
          <w:rFonts w:hint="eastAsia" w:ascii="宋体" w:hAnsi="宋体" w:cs="宋体"/>
          <w:b/>
          <w:color w:val="auto"/>
          <w:sz w:val="24"/>
          <w:szCs w:val="24"/>
          <w:highlight w:val="none"/>
          <w:shd w:val="clear" w:color="auto" w:fill="auto"/>
        </w:rPr>
        <w:fldChar w:fldCharType="begin"/>
      </w:r>
      <w:r>
        <w:rPr>
          <w:rFonts w:hint="eastAsia" w:ascii="宋体" w:hAnsi="宋体" w:cs="宋体"/>
          <w:b/>
          <w:color w:val="auto"/>
          <w:sz w:val="24"/>
          <w:szCs w:val="24"/>
          <w:highlight w:val="none"/>
          <w:shd w:val="clear" w:color="auto" w:fill="auto"/>
        </w:rPr>
        <w:instrText xml:space="preserve">TOC \o "1-2" \h \u </w:instrText>
      </w:r>
      <w:r>
        <w:rPr>
          <w:rFonts w:hint="eastAsia" w:ascii="宋体" w:hAnsi="宋体" w:cs="宋体"/>
          <w:b/>
          <w:color w:val="auto"/>
          <w:sz w:val="24"/>
          <w:szCs w:val="24"/>
          <w:highlight w:val="none"/>
          <w:shd w:val="clear" w:color="auto" w:fill="auto"/>
        </w:rPr>
        <w:fldChar w:fldCharType="separate"/>
      </w:r>
    </w:p>
    <w:sdt>
      <w:sdtPr>
        <w:rPr>
          <w:rFonts w:ascii="宋体" w:hAnsi="宋体" w:eastAsia="宋体" w:cs="Times New Roman"/>
          <w:color w:val="auto"/>
          <w:sz w:val="21"/>
          <w:szCs w:val="22"/>
          <w:highlight w:val="none"/>
          <w:lang w:val="en-US" w:eastAsia="zh-CN" w:bidi="ar-SA"/>
        </w:rPr>
        <w:id w:val="147478784"/>
        <w15:color w:val="DBDBDB"/>
        <w:docPartObj>
          <w:docPartGallery w:val="Table of Contents"/>
          <w:docPartUnique/>
        </w:docPartObj>
      </w:sdtPr>
      <w:sdtEndPr>
        <w:rPr>
          <w:rFonts w:ascii="Times New Roman" w:hAnsi="Times New Roman" w:eastAsia="宋体" w:cs="Times New Roman"/>
          <w:color w:val="auto"/>
          <w:sz w:val="21"/>
          <w:szCs w:val="22"/>
          <w:highlight w:val="none"/>
          <w:lang w:val="en-US" w:eastAsia="zh-CN" w:bidi="ar-SA"/>
        </w:rPr>
      </w:sdtEndPr>
      <w:sdtContent>
        <w:p w14:paraId="6227A386">
          <w:pPr>
            <w:pStyle w:val="24"/>
            <w:tabs>
              <w:tab w:val="right" w:leader="dot" w:pos="9740"/>
            </w:tabs>
            <w:rPr>
              <w:color w:val="auto"/>
              <w:highlight w:val="none"/>
            </w:rPr>
          </w:pPr>
        </w:p>
        <w:p w14:paraId="299A09AB">
          <w:pPr>
            <w:pStyle w:val="24"/>
            <w:tabs>
              <w:tab w:val="right" w:leader="dot" w:pos="9740"/>
            </w:tabs>
            <w:rPr>
              <w:color w:val="auto"/>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highlight w:val="none"/>
            </w:rPr>
            <w:fldChar w:fldCharType="begin"/>
          </w:r>
          <w:r>
            <w:rPr>
              <w:color w:val="auto"/>
              <w:highlight w:val="none"/>
            </w:rPr>
            <w:instrText xml:space="preserve"> HYPERLINK \l _Toc5638 </w:instrText>
          </w:r>
          <w:r>
            <w:rPr>
              <w:color w:val="auto"/>
              <w:highlight w:val="none"/>
            </w:rPr>
            <w:fldChar w:fldCharType="separate"/>
          </w:r>
          <w:r>
            <w:rPr>
              <w:rFonts w:hint="eastAsia" w:ascii="宋体" w:hAnsi="宋体" w:cs="宋体"/>
              <w:color w:val="auto"/>
              <w:szCs w:val="44"/>
              <w:highlight w:val="none"/>
              <w:shd w:val="clear" w:color="auto" w:fill="auto"/>
            </w:rPr>
            <w:t>第一部分  招标公告</w:t>
          </w:r>
          <w:r>
            <w:rPr>
              <w:color w:val="auto"/>
              <w:highlight w:val="none"/>
            </w:rPr>
            <w:tab/>
          </w:r>
          <w:r>
            <w:rPr>
              <w:color w:val="auto"/>
              <w:highlight w:val="none"/>
            </w:rPr>
            <w:fldChar w:fldCharType="begin"/>
          </w:r>
          <w:r>
            <w:rPr>
              <w:color w:val="auto"/>
              <w:highlight w:val="none"/>
            </w:rPr>
            <w:instrText xml:space="preserve"> PAGEREF _Toc5638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14:paraId="4FAA7168">
          <w:pPr>
            <w:pStyle w:val="24"/>
            <w:tabs>
              <w:tab w:val="right" w:leader="dot" w:pos="9740"/>
            </w:tabs>
            <w:rPr>
              <w:color w:val="auto"/>
              <w:highlight w:val="none"/>
            </w:rPr>
          </w:pPr>
          <w:r>
            <w:rPr>
              <w:color w:val="auto"/>
              <w:highlight w:val="none"/>
            </w:rPr>
            <w:fldChar w:fldCharType="begin"/>
          </w:r>
          <w:r>
            <w:rPr>
              <w:color w:val="auto"/>
              <w:highlight w:val="none"/>
            </w:rPr>
            <w:instrText xml:space="preserve"> HYPERLINK \l _Toc29584 </w:instrText>
          </w:r>
          <w:r>
            <w:rPr>
              <w:color w:val="auto"/>
              <w:highlight w:val="none"/>
            </w:rPr>
            <w:fldChar w:fldCharType="separate"/>
          </w:r>
          <w:r>
            <w:rPr>
              <w:rFonts w:hint="eastAsia" w:ascii="宋体" w:hAnsi="宋体" w:cs="宋体"/>
              <w:color w:val="auto"/>
              <w:szCs w:val="44"/>
              <w:highlight w:val="none"/>
            </w:rPr>
            <w:t>第二部分  投标人须知</w:t>
          </w:r>
          <w:r>
            <w:rPr>
              <w:color w:val="auto"/>
              <w:highlight w:val="none"/>
            </w:rPr>
            <w:tab/>
          </w:r>
          <w:r>
            <w:rPr>
              <w:color w:val="auto"/>
              <w:highlight w:val="none"/>
            </w:rPr>
            <w:fldChar w:fldCharType="begin"/>
          </w:r>
          <w:r>
            <w:rPr>
              <w:color w:val="auto"/>
              <w:highlight w:val="none"/>
            </w:rPr>
            <w:instrText xml:space="preserve"> PAGEREF _Toc29584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14:paraId="5F13095E">
          <w:pPr>
            <w:pStyle w:val="24"/>
            <w:tabs>
              <w:tab w:val="right" w:leader="dot" w:pos="9740"/>
            </w:tabs>
            <w:rPr>
              <w:color w:val="auto"/>
              <w:highlight w:val="none"/>
            </w:rPr>
          </w:pPr>
          <w:r>
            <w:rPr>
              <w:color w:val="auto"/>
              <w:highlight w:val="none"/>
            </w:rPr>
            <w:fldChar w:fldCharType="begin"/>
          </w:r>
          <w:r>
            <w:rPr>
              <w:color w:val="auto"/>
              <w:highlight w:val="none"/>
            </w:rPr>
            <w:instrText xml:space="preserve"> HYPERLINK \l _Toc29089 </w:instrText>
          </w:r>
          <w:r>
            <w:rPr>
              <w:color w:val="auto"/>
              <w:highlight w:val="none"/>
            </w:rPr>
            <w:fldChar w:fldCharType="separate"/>
          </w:r>
          <w:r>
            <w:rPr>
              <w:rFonts w:hint="eastAsia" w:ascii="宋体" w:hAnsi="宋体" w:cs="宋体"/>
              <w:color w:val="auto"/>
              <w:szCs w:val="44"/>
              <w:highlight w:val="none"/>
            </w:rPr>
            <w:t>第三部分  评标方法和标准</w:t>
          </w:r>
          <w:r>
            <w:rPr>
              <w:color w:val="auto"/>
              <w:highlight w:val="none"/>
            </w:rPr>
            <w:tab/>
          </w:r>
          <w:r>
            <w:rPr>
              <w:color w:val="auto"/>
              <w:highlight w:val="none"/>
            </w:rPr>
            <w:fldChar w:fldCharType="begin"/>
          </w:r>
          <w:r>
            <w:rPr>
              <w:color w:val="auto"/>
              <w:highlight w:val="none"/>
            </w:rPr>
            <w:instrText xml:space="preserve"> PAGEREF _Toc29089 \h </w:instrText>
          </w:r>
          <w:r>
            <w:rPr>
              <w:color w:val="auto"/>
              <w:highlight w:val="none"/>
            </w:rPr>
            <w:fldChar w:fldCharType="separate"/>
          </w:r>
          <w:r>
            <w:rPr>
              <w:color w:val="auto"/>
              <w:highlight w:val="none"/>
            </w:rPr>
            <w:t>24</w:t>
          </w:r>
          <w:r>
            <w:rPr>
              <w:color w:val="auto"/>
              <w:highlight w:val="none"/>
            </w:rPr>
            <w:fldChar w:fldCharType="end"/>
          </w:r>
          <w:r>
            <w:rPr>
              <w:color w:val="auto"/>
              <w:highlight w:val="none"/>
            </w:rPr>
            <w:fldChar w:fldCharType="end"/>
          </w:r>
        </w:p>
        <w:p w14:paraId="67C0E988">
          <w:pPr>
            <w:pStyle w:val="24"/>
            <w:tabs>
              <w:tab w:val="right" w:leader="dot" w:pos="9740"/>
            </w:tabs>
            <w:rPr>
              <w:color w:val="auto"/>
              <w:highlight w:val="none"/>
            </w:rPr>
          </w:pPr>
          <w:r>
            <w:rPr>
              <w:color w:val="auto"/>
              <w:highlight w:val="none"/>
            </w:rPr>
            <w:fldChar w:fldCharType="begin"/>
          </w:r>
          <w:r>
            <w:rPr>
              <w:color w:val="auto"/>
              <w:highlight w:val="none"/>
            </w:rPr>
            <w:instrText xml:space="preserve"> HYPERLINK \l _Toc9427 </w:instrText>
          </w:r>
          <w:r>
            <w:rPr>
              <w:color w:val="auto"/>
              <w:highlight w:val="none"/>
            </w:rPr>
            <w:fldChar w:fldCharType="separate"/>
          </w:r>
          <w:r>
            <w:rPr>
              <w:rFonts w:hint="eastAsia"/>
              <w:bCs w:val="0"/>
              <w:color w:val="auto"/>
              <w:highlight w:val="none"/>
            </w:rPr>
            <w:t>第四部分 采购需求</w:t>
          </w:r>
          <w:r>
            <w:rPr>
              <w:color w:val="auto"/>
              <w:highlight w:val="none"/>
            </w:rPr>
            <w:tab/>
          </w:r>
          <w:r>
            <w:rPr>
              <w:color w:val="auto"/>
              <w:highlight w:val="none"/>
            </w:rPr>
            <w:fldChar w:fldCharType="begin"/>
          </w:r>
          <w:r>
            <w:rPr>
              <w:color w:val="auto"/>
              <w:highlight w:val="none"/>
            </w:rPr>
            <w:instrText xml:space="preserve"> PAGEREF _Toc9427 \h </w:instrText>
          </w:r>
          <w:r>
            <w:rPr>
              <w:color w:val="auto"/>
              <w:highlight w:val="none"/>
            </w:rPr>
            <w:fldChar w:fldCharType="separate"/>
          </w:r>
          <w:r>
            <w:rPr>
              <w:color w:val="auto"/>
              <w:highlight w:val="none"/>
            </w:rPr>
            <w:t>30</w:t>
          </w:r>
          <w:r>
            <w:rPr>
              <w:color w:val="auto"/>
              <w:highlight w:val="none"/>
            </w:rPr>
            <w:fldChar w:fldCharType="end"/>
          </w:r>
          <w:r>
            <w:rPr>
              <w:color w:val="auto"/>
              <w:highlight w:val="none"/>
            </w:rPr>
            <w:fldChar w:fldCharType="end"/>
          </w:r>
        </w:p>
        <w:p w14:paraId="73FA65E3">
          <w:pPr>
            <w:pStyle w:val="24"/>
            <w:tabs>
              <w:tab w:val="right" w:leader="dot" w:pos="9740"/>
            </w:tabs>
            <w:rPr>
              <w:color w:val="auto"/>
              <w:highlight w:val="none"/>
            </w:rPr>
          </w:pPr>
          <w:r>
            <w:rPr>
              <w:color w:val="auto"/>
              <w:highlight w:val="none"/>
            </w:rPr>
            <w:fldChar w:fldCharType="begin"/>
          </w:r>
          <w:r>
            <w:rPr>
              <w:color w:val="auto"/>
              <w:highlight w:val="none"/>
            </w:rPr>
            <w:instrText xml:space="preserve"> HYPERLINK \l _Toc28345 </w:instrText>
          </w:r>
          <w:r>
            <w:rPr>
              <w:color w:val="auto"/>
              <w:highlight w:val="none"/>
            </w:rPr>
            <w:fldChar w:fldCharType="separate"/>
          </w:r>
          <w:r>
            <w:rPr>
              <w:rFonts w:hint="eastAsia" w:ascii="宋体" w:hAnsi="宋体" w:cs="宋体"/>
              <w:color w:val="auto"/>
              <w:szCs w:val="44"/>
              <w:highlight w:val="none"/>
            </w:rPr>
            <w:t>第五部分 合同格式及条款</w:t>
          </w:r>
          <w:r>
            <w:rPr>
              <w:color w:val="auto"/>
              <w:highlight w:val="none"/>
            </w:rPr>
            <w:tab/>
          </w:r>
          <w:r>
            <w:rPr>
              <w:color w:val="auto"/>
              <w:highlight w:val="none"/>
            </w:rPr>
            <w:fldChar w:fldCharType="begin"/>
          </w:r>
          <w:r>
            <w:rPr>
              <w:color w:val="auto"/>
              <w:highlight w:val="none"/>
            </w:rPr>
            <w:instrText xml:space="preserve"> PAGEREF _Toc28345 \h </w:instrText>
          </w:r>
          <w:r>
            <w:rPr>
              <w:color w:val="auto"/>
              <w:highlight w:val="none"/>
            </w:rPr>
            <w:fldChar w:fldCharType="separate"/>
          </w:r>
          <w:r>
            <w:rPr>
              <w:color w:val="auto"/>
              <w:highlight w:val="none"/>
            </w:rPr>
            <w:t>38</w:t>
          </w:r>
          <w:r>
            <w:rPr>
              <w:color w:val="auto"/>
              <w:highlight w:val="none"/>
            </w:rPr>
            <w:fldChar w:fldCharType="end"/>
          </w:r>
          <w:r>
            <w:rPr>
              <w:color w:val="auto"/>
              <w:highlight w:val="none"/>
            </w:rPr>
            <w:fldChar w:fldCharType="end"/>
          </w:r>
        </w:p>
        <w:p w14:paraId="5C38B546">
          <w:pPr>
            <w:pStyle w:val="24"/>
            <w:tabs>
              <w:tab w:val="right" w:leader="dot" w:pos="9740"/>
            </w:tabs>
            <w:rPr>
              <w:color w:val="auto"/>
              <w:highlight w:val="none"/>
            </w:rPr>
          </w:pPr>
          <w:r>
            <w:rPr>
              <w:color w:val="auto"/>
              <w:highlight w:val="none"/>
            </w:rPr>
            <w:fldChar w:fldCharType="begin"/>
          </w:r>
          <w:r>
            <w:rPr>
              <w:color w:val="auto"/>
              <w:highlight w:val="none"/>
            </w:rPr>
            <w:instrText xml:space="preserve"> HYPERLINK \l _Toc25478 </w:instrText>
          </w:r>
          <w:r>
            <w:rPr>
              <w:color w:val="auto"/>
              <w:highlight w:val="none"/>
            </w:rPr>
            <w:fldChar w:fldCharType="separate"/>
          </w:r>
          <w:r>
            <w:rPr>
              <w:rFonts w:hint="eastAsia" w:ascii="宋体" w:hAnsi="宋体" w:cs="宋体"/>
              <w:color w:val="auto"/>
              <w:szCs w:val="44"/>
              <w:highlight w:val="none"/>
            </w:rPr>
            <w:t>第六部分  投标文件格式</w:t>
          </w:r>
          <w:r>
            <w:rPr>
              <w:color w:val="auto"/>
              <w:highlight w:val="none"/>
            </w:rPr>
            <w:tab/>
          </w:r>
          <w:r>
            <w:rPr>
              <w:color w:val="auto"/>
              <w:highlight w:val="none"/>
            </w:rPr>
            <w:fldChar w:fldCharType="begin"/>
          </w:r>
          <w:r>
            <w:rPr>
              <w:color w:val="auto"/>
              <w:highlight w:val="none"/>
            </w:rPr>
            <w:instrText xml:space="preserve"> PAGEREF _Toc25478 \h </w:instrText>
          </w:r>
          <w:r>
            <w:rPr>
              <w:color w:val="auto"/>
              <w:highlight w:val="none"/>
            </w:rPr>
            <w:fldChar w:fldCharType="separate"/>
          </w:r>
          <w:r>
            <w:rPr>
              <w:color w:val="auto"/>
              <w:highlight w:val="none"/>
            </w:rPr>
            <w:t>41</w:t>
          </w:r>
          <w:r>
            <w:rPr>
              <w:color w:val="auto"/>
              <w:highlight w:val="none"/>
            </w:rPr>
            <w:fldChar w:fldCharType="end"/>
          </w:r>
          <w:r>
            <w:rPr>
              <w:color w:val="auto"/>
              <w:highlight w:val="none"/>
            </w:rPr>
            <w:fldChar w:fldCharType="end"/>
          </w:r>
        </w:p>
        <w:p w14:paraId="2BB3EE0B">
          <w:pPr>
            <w:pStyle w:val="24"/>
            <w:tabs>
              <w:tab w:val="right" w:leader="dot" w:pos="9740"/>
            </w:tabs>
            <w:rPr>
              <w:color w:val="auto"/>
              <w:highlight w:val="none"/>
            </w:rPr>
          </w:pPr>
          <w:r>
            <w:rPr>
              <w:color w:val="auto"/>
              <w:highlight w:val="none"/>
            </w:rPr>
            <w:fldChar w:fldCharType="begin"/>
          </w:r>
          <w:r>
            <w:rPr>
              <w:color w:val="auto"/>
              <w:highlight w:val="none"/>
            </w:rPr>
            <w:instrText xml:space="preserve"> HYPERLINK \l _Toc27737 </w:instrText>
          </w:r>
          <w:r>
            <w:rPr>
              <w:color w:val="auto"/>
              <w:highlight w:val="none"/>
            </w:rPr>
            <w:fldChar w:fldCharType="separate"/>
          </w:r>
          <w:r>
            <w:rPr>
              <w:rFonts w:hint="eastAsia" w:hAnsi="宋体" w:cs="宋体"/>
              <w:bCs/>
              <w:color w:val="auto"/>
              <w:kern w:val="2"/>
              <w:szCs w:val="44"/>
              <w:highlight w:val="none"/>
            </w:rPr>
            <w:t>第七</w:t>
          </w:r>
          <w:r>
            <w:rPr>
              <w:rFonts w:hint="eastAsia" w:hAnsi="宋体" w:cs="宋体"/>
              <w:bCs/>
              <w:color w:val="auto"/>
              <w:kern w:val="2"/>
              <w:szCs w:val="44"/>
              <w:highlight w:val="none"/>
              <w:lang w:val="en-US" w:eastAsia="zh-CN"/>
            </w:rPr>
            <w:t>部分</w:t>
          </w:r>
          <w:r>
            <w:rPr>
              <w:rFonts w:hint="eastAsia" w:hAnsi="宋体" w:cs="宋体"/>
              <w:bCs/>
              <w:color w:val="auto"/>
              <w:kern w:val="2"/>
              <w:szCs w:val="44"/>
              <w:highlight w:val="none"/>
            </w:rPr>
            <w:t>：特别提醒</w:t>
          </w:r>
          <w:r>
            <w:rPr>
              <w:color w:val="auto"/>
              <w:highlight w:val="none"/>
            </w:rPr>
            <w:tab/>
          </w:r>
          <w:r>
            <w:rPr>
              <w:color w:val="auto"/>
              <w:highlight w:val="none"/>
            </w:rPr>
            <w:fldChar w:fldCharType="begin"/>
          </w:r>
          <w:r>
            <w:rPr>
              <w:color w:val="auto"/>
              <w:highlight w:val="none"/>
            </w:rPr>
            <w:instrText xml:space="preserve"> PAGEREF _Toc27737 \h </w:instrText>
          </w:r>
          <w:r>
            <w:rPr>
              <w:color w:val="auto"/>
              <w:highlight w:val="none"/>
            </w:rPr>
            <w:fldChar w:fldCharType="separate"/>
          </w:r>
          <w:r>
            <w:rPr>
              <w:color w:val="auto"/>
              <w:highlight w:val="none"/>
            </w:rPr>
            <w:t>65</w:t>
          </w:r>
          <w:r>
            <w:rPr>
              <w:color w:val="auto"/>
              <w:highlight w:val="none"/>
            </w:rPr>
            <w:fldChar w:fldCharType="end"/>
          </w:r>
          <w:r>
            <w:rPr>
              <w:color w:val="auto"/>
              <w:highlight w:val="none"/>
            </w:rPr>
            <w:fldChar w:fldCharType="end"/>
          </w:r>
        </w:p>
        <w:p w14:paraId="1F3A7D99">
          <w:pPr>
            <w:rPr>
              <w:rFonts w:ascii="Times New Roman" w:hAnsi="Times New Roman" w:eastAsia="宋体" w:cs="Times New Roman"/>
              <w:color w:val="auto"/>
              <w:sz w:val="21"/>
              <w:szCs w:val="22"/>
              <w:highlight w:val="none"/>
              <w:lang w:val="en-US" w:eastAsia="zh-CN" w:bidi="ar-SA"/>
            </w:rPr>
            <w:sectPr>
              <w:footerReference r:id="rId3" w:type="default"/>
              <w:pgSz w:w="11906" w:h="16838"/>
              <w:pgMar w:top="1440" w:right="1083" w:bottom="1440" w:left="1083" w:header="851" w:footer="992" w:gutter="0"/>
              <w:cols w:space="1701" w:num="1"/>
              <w:docGrid w:linePitch="360" w:charSpace="0"/>
            </w:sectPr>
          </w:pPr>
          <w:r>
            <w:rPr>
              <w:color w:val="auto"/>
              <w:highlight w:val="none"/>
            </w:rPr>
            <w:fldChar w:fldCharType="end"/>
          </w:r>
        </w:p>
      </w:sdtContent>
    </w:sdt>
    <w:p w14:paraId="2D4A1BA8">
      <w:pPr>
        <w:keepNext/>
        <w:keepLines/>
        <w:pageBreakBefore/>
        <w:jc w:val="center"/>
        <w:outlineLvl w:val="0"/>
        <w:rPr>
          <w:rFonts w:hint="eastAsia" w:ascii="宋体" w:hAnsi="宋体" w:cs="宋体"/>
          <w:b/>
          <w:color w:val="auto"/>
          <w:sz w:val="32"/>
          <w:highlight w:val="none"/>
          <w:shd w:val="clear" w:color="auto" w:fill="auto"/>
        </w:rPr>
      </w:pPr>
      <w:r>
        <w:rPr>
          <w:rFonts w:hint="eastAsia" w:ascii="宋体" w:hAnsi="宋体" w:cs="宋体"/>
          <w:color w:val="auto"/>
          <w:szCs w:val="24"/>
          <w:highlight w:val="none"/>
          <w:shd w:val="clear" w:color="auto" w:fill="auto"/>
        </w:rPr>
        <w:fldChar w:fldCharType="end"/>
      </w:r>
      <w:bookmarkStart w:id="2" w:name="_Toc5638"/>
      <w:bookmarkStart w:id="3" w:name="_Toc27317"/>
      <w:bookmarkStart w:id="4" w:name="_Toc514054470"/>
      <w:r>
        <w:rPr>
          <w:rFonts w:hint="eastAsia" w:ascii="宋体" w:hAnsi="宋体" w:cs="宋体"/>
          <w:b/>
          <w:color w:val="auto"/>
          <w:sz w:val="44"/>
          <w:szCs w:val="44"/>
          <w:highlight w:val="none"/>
          <w:shd w:val="clear" w:color="auto" w:fill="auto"/>
        </w:rPr>
        <w:t>第一部分  招标公告</w:t>
      </w:r>
      <w:bookmarkEnd w:id="2"/>
      <w:bookmarkEnd w:id="3"/>
      <w:bookmarkEnd w:id="4"/>
    </w:p>
    <w:tbl>
      <w:tblPr>
        <w:tblStyle w:val="34"/>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41"/>
      </w:tblGrid>
      <w:tr w14:paraId="4993E8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7" w:hRule="atLeast"/>
        </w:trPr>
        <w:tc>
          <w:tcPr>
            <w:tcW w:w="9241" w:type="dxa"/>
          </w:tcPr>
          <w:p w14:paraId="0F13D294">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项目概况</w:t>
            </w:r>
          </w:p>
          <w:p w14:paraId="06822361">
            <w:pPr>
              <w:spacing w:line="360" w:lineRule="auto"/>
              <w:ind w:firstLine="24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南京市红十字医院分院病房改造及医疗能力提升项目（朝天宫院区）慢病筛防中心（CSP）设备采购项目</w:t>
            </w:r>
            <w:r>
              <w:rPr>
                <w:rFonts w:hint="eastAsia" w:ascii="宋体" w:hAnsi="宋体" w:cs="宋体"/>
                <w:color w:val="auto"/>
                <w:sz w:val="24"/>
                <w:szCs w:val="24"/>
                <w:highlight w:val="none"/>
              </w:rPr>
              <w:t>的潜在投标人应在</w:t>
            </w:r>
            <w:r>
              <w:rPr>
                <w:rFonts w:hint="eastAsia" w:ascii="宋体" w:hAnsi="宋体" w:cs="宋体"/>
                <w:color w:val="auto"/>
                <w:sz w:val="24"/>
                <w:highlight w:val="none"/>
                <w:u w:val="single"/>
              </w:rPr>
              <w:t>“江苏政府采购网苏采云系统”</w:t>
            </w:r>
            <w:r>
              <w:rPr>
                <w:rFonts w:hint="eastAsia" w:ascii="宋体" w:hAnsi="宋体" w:cs="宋体"/>
                <w:color w:val="auto"/>
                <w:sz w:val="24"/>
                <w:szCs w:val="24"/>
                <w:highlight w:val="none"/>
              </w:rPr>
              <w:t>获取招标文件，并于</w:t>
            </w:r>
            <w:r>
              <w:rPr>
                <w:rFonts w:hint="eastAsia" w:ascii="宋体" w:hAnsi="宋体" w:cs="宋体"/>
                <w:color w:val="auto"/>
                <w:sz w:val="24"/>
                <w:szCs w:val="24"/>
                <w:highlight w:val="none"/>
                <w:lang w:eastAsia="zh-CN"/>
              </w:rPr>
              <w:t>20</w:t>
            </w:r>
            <w:r>
              <w:rPr>
                <w:rFonts w:hint="eastAsia" w:ascii="宋体" w:hAnsi="宋体" w:cs="宋体"/>
                <w:color w:val="auto"/>
                <w:sz w:val="24"/>
                <w:szCs w:val="24"/>
                <w:highlight w:val="none"/>
                <w:lang w:val="en-US" w:eastAsia="zh-CN"/>
              </w:rPr>
              <w:t>26</w:t>
            </w:r>
            <w:r>
              <w:rPr>
                <w:rFonts w:hint="eastAsia" w:ascii="宋体" w:hAnsi="宋体" w:cs="宋体"/>
                <w:color w:val="auto"/>
                <w:sz w:val="24"/>
                <w:szCs w:val="24"/>
                <w:highlight w:val="none"/>
                <w:lang w:eastAsia="zh-CN"/>
              </w:rPr>
              <w:t>年</w:t>
            </w:r>
            <w:r>
              <w:rPr>
                <w:rFonts w:hint="eastAsia" w:ascii="宋体" w:hAnsi="宋体" w:cs="宋体"/>
                <w:color w:val="auto"/>
                <w:sz w:val="24"/>
                <w:szCs w:val="24"/>
                <w:highlight w:val="none"/>
                <w:lang w:val="en-US" w:eastAsia="zh-CN"/>
              </w:rPr>
              <w:t>11</w:t>
            </w:r>
            <w:r>
              <w:rPr>
                <w:rFonts w:hint="eastAsia" w:ascii="宋体" w:hAnsi="宋体" w:cs="宋体"/>
                <w:color w:val="auto"/>
                <w:sz w:val="24"/>
                <w:szCs w:val="24"/>
                <w:highlight w:val="none"/>
                <w:lang w:eastAsia="zh-CN"/>
              </w:rPr>
              <w:t>月</w:t>
            </w:r>
            <w:r>
              <w:rPr>
                <w:rFonts w:hint="eastAsia" w:ascii="宋体" w:hAnsi="宋体" w:cs="宋体"/>
                <w:color w:val="auto"/>
                <w:sz w:val="24"/>
                <w:szCs w:val="24"/>
                <w:highlight w:val="none"/>
                <w:lang w:val="en-US" w:eastAsia="zh-CN"/>
              </w:rPr>
              <w:t>12</w:t>
            </w:r>
            <w:r>
              <w:rPr>
                <w:rFonts w:hint="eastAsia" w:ascii="宋体" w:hAnsi="宋体" w:cs="宋体"/>
                <w:color w:val="auto"/>
                <w:sz w:val="24"/>
                <w:szCs w:val="24"/>
                <w:highlight w:val="none"/>
                <w:lang w:eastAsia="zh-CN"/>
              </w:rPr>
              <w:t>日</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lang w:eastAsia="zh-CN"/>
              </w:rPr>
              <w:t>点</w:t>
            </w:r>
            <w:r>
              <w:rPr>
                <w:rFonts w:hint="eastAsia" w:ascii="宋体" w:hAnsi="宋体" w:cs="宋体"/>
                <w:color w:val="auto"/>
                <w:sz w:val="24"/>
                <w:szCs w:val="24"/>
                <w:highlight w:val="none"/>
                <w:lang w:val="en-US" w:eastAsia="zh-CN"/>
              </w:rPr>
              <w:t>30</w:t>
            </w:r>
            <w:r>
              <w:rPr>
                <w:rFonts w:hint="eastAsia" w:ascii="宋体" w:hAnsi="宋体" w:cs="宋体"/>
                <w:color w:val="auto"/>
                <w:sz w:val="24"/>
                <w:szCs w:val="24"/>
                <w:highlight w:val="none"/>
                <w:lang w:eastAsia="zh-CN"/>
              </w:rPr>
              <w:t>分</w:t>
            </w:r>
            <w:r>
              <w:rPr>
                <w:rFonts w:hint="eastAsia" w:ascii="宋体" w:hAnsi="宋体" w:cs="宋体"/>
                <w:color w:val="auto"/>
                <w:sz w:val="24"/>
                <w:szCs w:val="24"/>
                <w:highlight w:val="none"/>
              </w:rPr>
              <w:t>（北京时间）前递交投标文件。</w:t>
            </w:r>
          </w:p>
        </w:tc>
      </w:tr>
    </w:tbl>
    <w:p w14:paraId="4A55D809">
      <w:pPr>
        <w:pStyle w:val="451"/>
        <w:tabs>
          <w:tab w:val="left" w:pos="1134"/>
          <w:tab w:val="left" w:pos="5612"/>
        </w:tabs>
        <w:spacing w:line="312" w:lineRule="auto"/>
        <w:ind w:firstLine="480"/>
        <w:outlineLvl w:val="1"/>
        <w:rPr>
          <w:rFonts w:hint="eastAsia" w:ascii="宋体" w:hAnsi="宋体" w:cs="宋体"/>
          <w:color w:val="auto"/>
          <w:sz w:val="24"/>
          <w:szCs w:val="24"/>
          <w:highlight w:val="none"/>
        </w:rPr>
      </w:pPr>
      <w:bookmarkStart w:id="5" w:name="_Toc7588"/>
      <w:bookmarkStart w:id="6" w:name="_Toc2298"/>
      <w:bookmarkStart w:id="7" w:name="_Toc29050"/>
      <w:r>
        <w:rPr>
          <w:rFonts w:hint="eastAsia" w:ascii="宋体" w:hAnsi="宋体" w:cs="宋体"/>
          <w:b/>
          <w:bCs/>
          <w:color w:val="auto"/>
          <w:sz w:val="24"/>
          <w:szCs w:val="24"/>
          <w:highlight w:val="none"/>
        </w:rPr>
        <w:t>一、项目基本情况</w:t>
      </w:r>
      <w:bookmarkEnd w:id="5"/>
      <w:bookmarkEnd w:id="6"/>
      <w:bookmarkEnd w:id="7"/>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p>
    <w:p w14:paraId="5C87A300">
      <w:pPr>
        <w:pStyle w:val="451"/>
        <w:tabs>
          <w:tab w:val="left" w:pos="1134"/>
        </w:tabs>
        <w:spacing w:line="312" w:lineRule="auto"/>
        <w:ind w:firstLine="96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项目编号：JSZC-320104-JSHY-G2026-0253</w:t>
      </w:r>
    </w:p>
    <w:p w14:paraId="6EC73891">
      <w:pPr>
        <w:pStyle w:val="451"/>
        <w:tabs>
          <w:tab w:val="left" w:pos="1134"/>
        </w:tabs>
        <w:spacing w:line="312" w:lineRule="auto"/>
        <w:ind w:firstLine="9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南京市红十字医院分院病房改造及医疗能力提升项目（朝天宫院区）</w:t>
      </w:r>
      <w:r>
        <w:rPr>
          <w:rFonts w:hint="eastAsia" w:ascii="宋体" w:hAnsi="宋体" w:cs="宋体"/>
          <w:color w:val="auto"/>
          <w:sz w:val="24"/>
          <w:szCs w:val="24"/>
          <w:highlight w:val="none"/>
          <w:lang w:eastAsia="zh-CN"/>
        </w:rPr>
        <w:t>慢病筛防中心（CSP）设备采购项目</w:t>
      </w:r>
      <w:r>
        <w:rPr>
          <w:rFonts w:hint="eastAsia" w:ascii="宋体" w:hAnsi="宋体" w:eastAsia="宋体" w:cs="宋体"/>
          <w:color w:val="auto"/>
          <w:sz w:val="24"/>
          <w:szCs w:val="24"/>
          <w:highlight w:val="none"/>
          <w:lang w:eastAsia="zh-CN"/>
        </w:rPr>
        <w:t xml:space="preserve"> </w:t>
      </w:r>
    </w:p>
    <w:p w14:paraId="2AC954A1">
      <w:pPr>
        <w:pStyle w:val="451"/>
        <w:tabs>
          <w:tab w:val="left" w:pos="1134"/>
        </w:tabs>
        <w:spacing w:line="312" w:lineRule="auto"/>
        <w:ind w:firstLine="9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预算金额：</w:t>
      </w:r>
      <w:r>
        <w:rPr>
          <w:rFonts w:hint="eastAsia" w:ascii="宋体" w:hAnsi="宋体" w:cs="宋体"/>
          <w:color w:val="auto"/>
          <w:sz w:val="24"/>
          <w:szCs w:val="24"/>
          <w:highlight w:val="none"/>
          <w:lang w:val="en-US" w:eastAsia="zh-CN"/>
        </w:rPr>
        <w:t>102.000000</w:t>
      </w:r>
      <w:r>
        <w:rPr>
          <w:rFonts w:hint="eastAsia" w:ascii="宋体" w:hAnsi="宋体" w:eastAsia="宋体" w:cs="宋体"/>
          <w:color w:val="auto"/>
          <w:sz w:val="24"/>
          <w:szCs w:val="24"/>
          <w:highlight w:val="none"/>
          <w:lang w:eastAsia="zh-CN"/>
        </w:rPr>
        <w:t>万元</w:t>
      </w:r>
    </w:p>
    <w:p w14:paraId="08DEE601">
      <w:pPr>
        <w:pStyle w:val="451"/>
        <w:tabs>
          <w:tab w:val="left" w:pos="1134"/>
        </w:tabs>
        <w:spacing w:line="312" w:lineRule="auto"/>
        <w:ind w:firstLine="9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最高限价（如有）：</w:t>
      </w:r>
      <w:r>
        <w:rPr>
          <w:rFonts w:hint="eastAsia" w:ascii="宋体" w:hAnsi="宋体" w:cs="宋体"/>
          <w:color w:val="auto"/>
          <w:sz w:val="24"/>
          <w:szCs w:val="24"/>
          <w:highlight w:val="none"/>
          <w:lang w:val="en-US" w:eastAsia="zh-CN"/>
        </w:rPr>
        <w:t>102.000000</w:t>
      </w:r>
      <w:r>
        <w:rPr>
          <w:rFonts w:hint="eastAsia" w:ascii="宋体" w:hAnsi="宋体" w:eastAsia="宋体" w:cs="宋体"/>
          <w:color w:val="auto"/>
          <w:sz w:val="24"/>
          <w:szCs w:val="24"/>
          <w:highlight w:val="none"/>
          <w:lang w:eastAsia="zh-CN"/>
        </w:rPr>
        <w:t xml:space="preserve">万元 </w:t>
      </w:r>
    </w:p>
    <w:tbl>
      <w:tblPr>
        <w:tblStyle w:val="34"/>
        <w:tblpPr w:leftFromText="180" w:rightFromText="180" w:vertAnchor="text" w:horzAnchor="page" w:tblpX="798" w:tblpY="178"/>
        <w:tblOverlap w:val="never"/>
        <w:tblW w:w="4510" w:type="pct"/>
        <w:tblInd w:w="0" w:type="dxa"/>
        <w:tblLayout w:type="autofit"/>
        <w:tblCellMar>
          <w:top w:w="0" w:type="dxa"/>
          <w:left w:w="108" w:type="dxa"/>
          <w:bottom w:w="0" w:type="dxa"/>
          <w:right w:w="108" w:type="dxa"/>
        </w:tblCellMar>
      </w:tblPr>
      <w:tblGrid>
        <w:gridCol w:w="767"/>
        <w:gridCol w:w="3299"/>
        <w:gridCol w:w="1114"/>
        <w:gridCol w:w="1086"/>
        <w:gridCol w:w="1531"/>
        <w:gridCol w:w="988"/>
      </w:tblGrid>
      <w:tr w14:paraId="79E27C9B">
        <w:tblPrEx>
          <w:tblCellMar>
            <w:top w:w="0" w:type="dxa"/>
            <w:left w:w="108" w:type="dxa"/>
            <w:bottom w:w="0" w:type="dxa"/>
            <w:right w:w="108" w:type="dxa"/>
          </w:tblCellMar>
        </w:tblPrEx>
        <w:trPr>
          <w:trHeight w:val="583" w:hRule="atLeast"/>
        </w:trPr>
        <w:tc>
          <w:tcPr>
            <w:tcW w:w="437" w:type="pct"/>
            <w:tcBorders>
              <w:top w:val="single" w:color="auto" w:sz="4" w:space="0"/>
              <w:left w:val="single" w:color="auto" w:sz="4" w:space="0"/>
              <w:bottom w:val="single" w:color="auto" w:sz="4" w:space="0"/>
              <w:right w:val="single" w:color="auto" w:sz="4" w:space="0"/>
            </w:tcBorders>
            <w:vAlign w:val="center"/>
          </w:tcPr>
          <w:p w14:paraId="1B1B4275">
            <w:pPr>
              <w:jc w:val="center"/>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品目</w:t>
            </w:r>
          </w:p>
        </w:tc>
        <w:tc>
          <w:tcPr>
            <w:tcW w:w="1877" w:type="pct"/>
            <w:tcBorders>
              <w:top w:val="single" w:color="auto" w:sz="4" w:space="0"/>
              <w:left w:val="single" w:color="auto" w:sz="4" w:space="0"/>
              <w:bottom w:val="single" w:color="auto" w:sz="4" w:space="0"/>
              <w:right w:val="single" w:color="auto" w:sz="4" w:space="0"/>
            </w:tcBorders>
            <w:vAlign w:val="center"/>
          </w:tcPr>
          <w:p w14:paraId="1623BD3D">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名称</w:t>
            </w:r>
          </w:p>
        </w:tc>
        <w:tc>
          <w:tcPr>
            <w:tcW w:w="634" w:type="pct"/>
            <w:tcBorders>
              <w:top w:val="single" w:color="auto" w:sz="4" w:space="0"/>
              <w:left w:val="single" w:color="auto" w:sz="4" w:space="0"/>
              <w:bottom w:val="single" w:color="auto" w:sz="4" w:space="0"/>
              <w:right w:val="single" w:color="auto" w:sz="4" w:space="0"/>
            </w:tcBorders>
            <w:vAlign w:val="center"/>
          </w:tcPr>
          <w:p w14:paraId="777A8410">
            <w:pPr>
              <w:jc w:val="center"/>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单位</w:t>
            </w:r>
          </w:p>
        </w:tc>
        <w:tc>
          <w:tcPr>
            <w:tcW w:w="617" w:type="pct"/>
            <w:tcBorders>
              <w:top w:val="single" w:color="auto" w:sz="4" w:space="0"/>
              <w:left w:val="single" w:color="auto" w:sz="4" w:space="0"/>
              <w:bottom w:val="single" w:color="auto" w:sz="4" w:space="0"/>
              <w:right w:val="single" w:color="auto" w:sz="4" w:space="0"/>
            </w:tcBorders>
            <w:vAlign w:val="center"/>
          </w:tcPr>
          <w:p w14:paraId="03B11F5B">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数量</w:t>
            </w:r>
          </w:p>
        </w:tc>
        <w:tc>
          <w:tcPr>
            <w:tcW w:w="871" w:type="pct"/>
            <w:tcBorders>
              <w:top w:val="single" w:color="auto" w:sz="4" w:space="0"/>
              <w:left w:val="single" w:color="auto" w:sz="4" w:space="0"/>
              <w:bottom w:val="single" w:color="auto" w:sz="4" w:space="0"/>
              <w:right w:val="single" w:color="auto" w:sz="4" w:space="0"/>
            </w:tcBorders>
            <w:vAlign w:val="center"/>
          </w:tcPr>
          <w:p w14:paraId="621C614F">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预算 </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元</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 xml:space="preserve">    </w:t>
            </w:r>
          </w:p>
        </w:tc>
        <w:tc>
          <w:tcPr>
            <w:tcW w:w="562" w:type="pct"/>
            <w:tcBorders>
              <w:top w:val="single" w:color="auto" w:sz="4" w:space="0"/>
              <w:left w:val="single" w:color="auto" w:sz="4" w:space="0"/>
              <w:bottom w:val="single" w:color="auto" w:sz="4" w:space="0"/>
              <w:right w:val="single" w:color="auto" w:sz="4" w:space="0"/>
            </w:tcBorders>
            <w:vAlign w:val="center"/>
          </w:tcPr>
          <w:p w14:paraId="3A8A6CA1">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是否接受进口产品投标</w:t>
            </w:r>
          </w:p>
        </w:tc>
      </w:tr>
      <w:tr w14:paraId="51D2DFEF">
        <w:tblPrEx>
          <w:tblCellMar>
            <w:top w:w="0" w:type="dxa"/>
            <w:left w:w="108" w:type="dxa"/>
            <w:bottom w:w="0" w:type="dxa"/>
            <w:right w:w="108" w:type="dxa"/>
          </w:tblCellMar>
        </w:tblPrEx>
        <w:trPr>
          <w:trHeight w:val="535" w:hRule="atLeast"/>
        </w:trPr>
        <w:tc>
          <w:tcPr>
            <w:tcW w:w="437" w:type="pct"/>
            <w:tcBorders>
              <w:top w:val="single" w:color="auto" w:sz="4" w:space="0"/>
              <w:left w:val="single" w:color="auto" w:sz="4" w:space="0"/>
              <w:bottom w:val="single" w:color="auto" w:sz="4" w:space="0"/>
              <w:right w:val="single" w:color="auto" w:sz="4" w:space="0"/>
            </w:tcBorders>
            <w:shd w:val="clear" w:color="auto" w:fill="auto"/>
            <w:vAlign w:val="center"/>
          </w:tcPr>
          <w:p w14:paraId="50150A97">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1877" w:type="pct"/>
            <w:tcBorders>
              <w:top w:val="single" w:color="auto" w:sz="4" w:space="0"/>
              <w:left w:val="single" w:color="auto" w:sz="4" w:space="0"/>
              <w:bottom w:val="single" w:color="auto" w:sz="4" w:space="0"/>
              <w:right w:val="single" w:color="auto" w:sz="4" w:space="0"/>
            </w:tcBorders>
            <w:shd w:val="clear" w:color="auto" w:fill="auto"/>
            <w:vAlign w:val="center"/>
          </w:tcPr>
          <w:p w14:paraId="1BB55D40">
            <w:pPr>
              <w:keepNext w:val="0"/>
              <w:keepLines w:val="0"/>
              <w:pageBreakBefore w:val="0"/>
              <w:widowControl w:val="0"/>
              <w:kinsoku/>
              <w:wordWrap/>
              <w:overflowPunct/>
              <w:topLinePunct w:val="0"/>
              <w:autoSpaceDE/>
              <w:autoSpaceDN/>
              <w:bidi w:val="0"/>
              <w:adjustRightInd/>
              <w:snapToGrid/>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基层慢病两筛三防智能管理系统</w:t>
            </w:r>
          </w:p>
        </w:tc>
        <w:tc>
          <w:tcPr>
            <w:tcW w:w="634" w:type="pct"/>
            <w:tcBorders>
              <w:top w:val="single" w:color="auto" w:sz="4" w:space="0"/>
              <w:left w:val="single" w:color="auto" w:sz="4" w:space="0"/>
              <w:bottom w:val="single" w:color="auto" w:sz="4" w:space="0"/>
              <w:right w:val="single" w:color="auto" w:sz="4" w:space="0"/>
            </w:tcBorders>
            <w:shd w:val="clear" w:color="auto" w:fill="auto"/>
            <w:vAlign w:val="center"/>
          </w:tcPr>
          <w:p w14:paraId="7BF259E3">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套</w:t>
            </w:r>
          </w:p>
        </w:tc>
        <w:tc>
          <w:tcPr>
            <w:tcW w:w="617" w:type="pct"/>
            <w:tcBorders>
              <w:top w:val="single" w:color="auto" w:sz="4" w:space="0"/>
              <w:left w:val="single" w:color="auto" w:sz="4" w:space="0"/>
              <w:bottom w:val="single" w:color="auto" w:sz="4" w:space="0"/>
              <w:right w:val="single" w:color="auto" w:sz="4" w:space="0"/>
            </w:tcBorders>
            <w:shd w:val="clear" w:color="auto" w:fill="auto"/>
            <w:vAlign w:val="center"/>
          </w:tcPr>
          <w:p w14:paraId="54E7EA7F">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1(3年)</w:t>
            </w:r>
          </w:p>
        </w:tc>
        <w:tc>
          <w:tcPr>
            <w:tcW w:w="871" w:type="pct"/>
            <w:tcBorders>
              <w:top w:val="single" w:color="auto" w:sz="4" w:space="0"/>
              <w:left w:val="single" w:color="auto" w:sz="4" w:space="0"/>
              <w:bottom w:val="single" w:color="auto" w:sz="4" w:space="0"/>
              <w:right w:val="single" w:color="auto" w:sz="4" w:space="0"/>
            </w:tcBorders>
            <w:shd w:val="clear" w:color="auto" w:fill="auto"/>
            <w:vAlign w:val="center"/>
          </w:tcPr>
          <w:p w14:paraId="10674161">
            <w:pPr>
              <w:jc w:val="righ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60</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000</w:t>
            </w:r>
            <w:r>
              <w:rPr>
                <w:rFonts w:hint="eastAsia" w:ascii="宋体" w:hAnsi="宋体" w:cs="宋体"/>
                <w:color w:val="auto"/>
                <w:sz w:val="24"/>
                <w:szCs w:val="24"/>
                <w:highlight w:val="none"/>
                <w:lang w:val="en-US" w:eastAsia="zh-CN"/>
              </w:rPr>
              <w:t>.00</w:t>
            </w:r>
          </w:p>
        </w:tc>
        <w:tc>
          <w:tcPr>
            <w:tcW w:w="562" w:type="pct"/>
            <w:tcBorders>
              <w:top w:val="single" w:color="auto" w:sz="4" w:space="0"/>
              <w:left w:val="single" w:color="auto" w:sz="4" w:space="0"/>
              <w:bottom w:val="single" w:color="auto" w:sz="4" w:space="0"/>
              <w:right w:val="single" w:color="auto" w:sz="4" w:space="0"/>
            </w:tcBorders>
            <w:vAlign w:val="center"/>
          </w:tcPr>
          <w:p w14:paraId="6248AD88">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否</w:t>
            </w:r>
          </w:p>
        </w:tc>
      </w:tr>
      <w:tr w14:paraId="4FD2A02C">
        <w:tblPrEx>
          <w:tblCellMar>
            <w:top w:w="0" w:type="dxa"/>
            <w:left w:w="108" w:type="dxa"/>
            <w:bottom w:w="0" w:type="dxa"/>
            <w:right w:w="108" w:type="dxa"/>
          </w:tblCellMar>
        </w:tblPrEx>
        <w:trPr>
          <w:trHeight w:val="90" w:hRule="atLeast"/>
        </w:trPr>
        <w:tc>
          <w:tcPr>
            <w:tcW w:w="437" w:type="pct"/>
            <w:tcBorders>
              <w:top w:val="single" w:color="auto" w:sz="4" w:space="0"/>
              <w:left w:val="single" w:color="auto" w:sz="4" w:space="0"/>
              <w:bottom w:val="single" w:color="auto" w:sz="4" w:space="0"/>
              <w:right w:val="single" w:color="auto" w:sz="4" w:space="0"/>
            </w:tcBorders>
            <w:shd w:val="clear" w:color="auto" w:fill="auto"/>
            <w:vAlign w:val="center"/>
          </w:tcPr>
          <w:p w14:paraId="1BF625F4">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877" w:type="pct"/>
            <w:tcBorders>
              <w:top w:val="single" w:color="auto" w:sz="4" w:space="0"/>
              <w:left w:val="single" w:color="auto" w:sz="4" w:space="0"/>
              <w:bottom w:val="single" w:color="auto" w:sz="4" w:space="0"/>
              <w:right w:val="single" w:color="auto" w:sz="4" w:space="0"/>
            </w:tcBorders>
            <w:shd w:val="clear" w:color="auto" w:fill="auto"/>
            <w:vAlign w:val="center"/>
          </w:tcPr>
          <w:p w14:paraId="1DE13B9A">
            <w:pPr>
              <w:keepNext w:val="0"/>
              <w:keepLines w:val="0"/>
              <w:pageBreakBefore w:val="0"/>
              <w:widowControl w:val="0"/>
              <w:kinsoku/>
              <w:wordWrap/>
              <w:overflowPunct/>
              <w:topLinePunct w:val="0"/>
              <w:autoSpaceDE/>
              <w:autoSpaceDN/>
              <w:bidi w:val="0"/>
              <w:adjustRightInd/>
              <w:snapToGrid/>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超声多普勒血流检测仪</w:t>
            </w:r>
            <w:r>
              <w:rPr>
                <w:rFonts w:hint="eastAsia" w:ascii="宋体" w:hAnsi="宋体" w:cs="宋体"/>
                <w:color w:val="auto"/>
                <w:sz w:val="24"/>
                <w:szCs w:val="24"/>
                <w:highlight w:val="none"/>
                <w:lang w:val="en-US" w:eastAsia="zh-CN"/>
              </w:rPr>
              <w:t>（核心产品）</w:t>
            </w:r>
            <w:r>
              <w:rPr>
                <w:rFonts w:hint="eastAsia" w:ascii="宋体" w:hAnsi="宋体" w:eastAsia="宋体" w:cs="宋体"/>
                <w:color w:val="auto"/>
                <w:sz w:val="24"/>
                <w:szCs w:val="24"/>
                <w:highlight w:val="none"/>
                <w:lang w:val="en-US" w:eastAsia="zh-CN"/>
              </w:rPr>
              <w:t xml:space="preserve"> </w:t>
            </w:r>
          </w:p>
        </w:tc>
        <w:tc>
          <w:tcPr>
            <w:tcW w:w="634" w:type="pct"/>
            <w:tcBorders>
              <w:top w:val="single" w:color="auto" w:sz="4" w:space="0"/>
              <w:left w:val="single" w:color="auto" w:sz="4" w:space="0"/>
              <w:bottom w:val="single" w:color="auto" w:sz="4" w:space="0"/>
              <w:right w:val="single" w:color="auto" w:sz="4" w:space="0"/>
            </w:tcBorders>
            <w:shd w:val="clear" w:color="auto" w:fill="auto"/>
            <w:vAlign w:val="center"/>
          </w:tcPr>
          <w:p w14:paraId="32FEA28A">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套</w:t>
            </w:r>
          </w:p>
        </w:tc>
        <w:tc>
          <w:tcPr>
            <w:tcW w:w="617" w:type="pct"/>
            <w:tcBorders>
              <w:top w:val="single" w:color="auto" w:sz="4" w:space="0"/>
              <w:left w:val="single" w:color="auto" w:sz="4" w:space="0"/>
              <w:bottom w:val="single" w:color="auto" w:sz="4" w:space="0"/>
              <w:right w:val="single" w:color="auto" w:sz="4" w:space="0"/>
            </w:tcBorders>
            <w:shd w:val="clear" w:color="auto" w:fill="auto"/>
            <w:vAlign w:val="center"/>
          </w:tcPr>
          <w:p w14:paraId="509662CD">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871" w:type="pct"/>
            <w:tcBorders>
              <w:top w:val="single" w:color="auto" w:sz="4" w:space="0"/>
              <w:left w:val="single" w:color="auto" w:sz="4" w:space="0"/>
              <w:bottom w:val="single" w:color="auto" w:sz="4" w:space="0"/>
              <w:right w:val="single" w:color="auto" w:sz="4" w:space="0"/>
            </w:tcBorders>
            <w:shd w:val="clear" w:color="auto" w:fill="auto"/>
            <w:vAlign w:val="center"/>
          </w:tcPr>
          <w:p w14:paraId="7E746A51">
            <w:pPr>
              <w:jc w:val="righ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120</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000</w:t>
            </w:r>
            <w:r>
              <w:rPr>
                <w:rFonts w:hint="eastAsia" w:ascii="宋体" w:hAnsi="宋体" w:cs="宋体"/>
                <w:color w:val="auto"/>
                <w:sz w:val="24"/>
                <w:szCs w:val="24"/>
                <w:highlight w:val="none"/>
                <w:lang w:val="en-US" w:eastAsia="zh-CN"/>
              </w:rPr>
              <w:t>.00</w:t>
            </w:r>
          </w:p>
        </w:tc>
        <w:tc>
          <w:tcPr>
            <w:tcW w:w="562" w:type="pct"/>
            <w:tcBorders>
              <w:top w:val="single" w:color="auto" w:sz="4" w:space="0"/>
              <w:left w:val="single" w:color="auto" w:sz="4" w:space="0"/>
              <w:bottom w:val="single" w:color="auto" w:sz="4" w:space="0"/>
              <w:right w:val="single" w:color="auto" w:sz="4" w:space="0"/>
            </w:tcBorders>
            <w:vAlign w:val="center"/>
          </w:tcPr>
          <w:p w14:paraId="37482359">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否</w:t>
            </w:r>
          </w:p>
        </w:tc>
      </w:tr>
      <w:tr w14:paraId="3ABB5CC9">
        <w:tblPrEx>
          <w:tblCellMar>
            <w:top w:w="0" w:type="dxa"/>
            <w:left w:w="108" w:type="dxa"/>
            <w:bottom w:w="0" w:type="dxa"/>
            <w:right w:w="108" w:type="dxa"/>
          </w:tblCellMar>
        </w:tblPrEx>
        <w:trPr>
          <w:trHeight w:val="535" w:hRule="atLeast"/>
        </w:trPr>
        <w:tc>
          <w:tcPr>
            <w:tcW w:w="437" w:type="pct"/>
            <w:tcBorders>
              <w:top w:val="single" w:color="auto" w:sz="4" w:space="0"/>
              <w:left w:val="single" w:color="auto" w:sz="4" w:space="0"/>
              <w:bottom w:val="single" w:color="auto" w:sz="4" w:space="0"/>
              <w:right w:val="single" w:color="auto" w:sz="4" w:space="0"/>
            </w:tcBorders>
            <w:shd w:val="clear" w:color="auto" w:fill="auto"/>
            <w:vAlign w:val="center"/>
          </w:tcPr>
          <w:p w14:paraId="19F5CEF3">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877" w:type="pct"/>
            <w:tcBorders>
              <w:top w:val="single" w:color="auto" w:sz="4" w:space="0"/>
              <w:left w:val="single" w:color="auto" w:sz="4" w:space="0"/>
              <w:bottom w:val="single" w:color="auto" w:sz="4" w:space="0"/>
              <w:right w:val="single" w:color="auto" w:sz="4" w:space="0"/>
            </w:tcBorders>
            <w:shd w:val="clear" w:color="auto" w:fill="auto"/>
            <w:vAlign w:val="center"/>
          </w:tcPr>
          <w:p w14:paraId="6CE61875">
            <w:pPr>
              <w:keepNext w:val="0"/>
              <w:keepLines w:val="0"/>
              <w:pageBreakBefore w:val="0"/>
              <w:widowControl w:val="0"/>
              <w:kinsoku/>
              <w:wordWrap/>
              <w:overflowPunct/>
              <w:topLinePunct w:val="0"/>
              <w:autoSpaceDE/>
              <w:autoSpaceDN/>
              <w:bidi w:val="0"/>
              <w:adjustRightInd/>
              <w:snapToGrid/>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震动感觉阈值检测仪</w:t>
            </w:r>
          </w:p>
        </w:tc>
        <w:tc>
          <w:tcPr>
            <w:tcW w:w="634" w:type="pct"/>
            <w:tcBorders>
              <w:top w:val="single" w:color="auto" w:sz="4" w:space="0"/>
              <w:left w:val="single" w:color="auto" w:sz="4" w:space="0"/>
              <w:bottom w:val="single" w:color="auto" w:sz="4" w:space="0"/>
              <w:right w:val="single" w:color="auto" w:sz="4" w:space="0"/>
            </w:tcBorders>
            <w:shd w:val="clear" w:color="auto" w:fill="auto"/>
            <w:vAlign w:val="center"/>
          </w:tcPr>
          <w:p w14:paraId="181509E5">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套</w:t>
            </w:r>
          </w:p>
        </w:tc>
        <w:tc>
          <w:tcPr>
            <w:tcW w:w="617" w:type="pct"/>
            <w:tcBorders>
              <w:top w:val="single" w:color="auto" w:sz="4" w:space="0"/>
              <w:left w:val="single" w:color="auto" w:sz="4" w:space="0"/>
              <w:bottom w:val="single" w:color="auto" w:sz="4" w:space="0"/>
              <w:right w:val="single" w:color="auto" w:sz="4" w:space="0"/>
            </w:tcBorders>
            <w:shd w:val="clear" w:color="auto" w:fill="auto"/>
            <w:vAlign w:val="center"/>
          </w:tcPr>
          <w:p w14:paraId="54739EB7">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871" w:type="pct"/>
            <w:tcBorders>
              <w:top w:val="single" w:color="auto" w:sz="4" w:space="0"/>
              <w:left w:val="single" w:color="auto" w:sz="4" w:space="0"/>
              <w:bottom w:val="single" w:color="auto" w:sz="4" w:space="0"/>
              <w:right w:val="single" w:color="auto" w:sz="4" w:space="0"/>
            </w:tcBorders>
            <w:shd w:val="clear" w:color="auto" w:fill="auto"/>
            <w:vAlign w:val="center"/>
          </w:tcPr>
          <w:p w14:paraId="0EB465A3">
            <w:pPr>
              <w:jc w:val="righ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100</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000</w:t>
            </w:r>
            <w:r>
              <w:rPr>
                <w:rFonts w:hint="eastAsia" w:ascii="宋体" w:hAnsi="宋体" w:cs="宋体"/>
                <w:color w:val="auto"/>
                <w:sz w:val="24"/>
                <w:szCs w:val="24"/>
                <w:highlight w:val="none"/>
                <w:lang w:val="en-US" w:eastAsia="zh-CN"/>
              </w:rPr>
              <w:t>.00</w:t>
            </w:r>
          </w:p>
        </w:tc>
        <w:tc>
          <w:tcPr>
            <w:tcW w:w="562" w:type="pct"/>
            <w:tcBorders>
              <w:top w:val="single" w:color="auto" w:sz="4" w:space="0"/>
              <w:left w:val="single" w:color="auto" w:sz="4" w:space="0"/>
              <w:bottom w:val="single" w:color="auto" w:sz="4" w:space="0"/>
              <w:right w:val="single" w:color="auto" w:sz="4" w:space="0"/>
            </w:tcBorders>
            <w:vAlign w:val="center"/>
          </w:tcPr>
          <w:p w14:paraId="4A7D2961">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否</w:t>
            </w:r>
          </w:p>
        </w:tc>
      </w:tr>
      <w:tr w14:paraId="648FD49F">
        <w:tblPrEx>
          <w:tblCellMar>
            <w:top w:w="0" w:type="dxa"/>
            <w:left w:w="108" w:type="dxa"/>
            <w:bottom w:w="0" w:type="dxa"/>
            <w:right w:w="108" w:type="dxa"/>
          </w:tblCellMar>
        </w:tblPrEx>
        <w:trPr>
          <w:trHeight w:val="535" w:hRule="atLeast"/>
        </w:trPr>
        <w:tc>
          <w:tcPr>
            <w:tcW w:w="437" w:type="pct"/>
            <w:tcBorders>
              <w:top w:val="single" w:color="auto" w:sz="4" w:space="0"/>
              <w:left w:val="single" w:color="auto" w:sz="4" w:space="0"/>
              <w:bottom w:val="single" w:color="auto" w:sz="4" w:space="0"/>
              <w:right w:val="single" w:color="auto" w:sz="4" w:space="0"/>
            </w:tcBorders>
            <w:shd w:val="clear" w:color="auto" w:fill="auto"/>
            <w:vAlign w:val="center"/>
          </w:tcPr>
          <w:p w14:paraId="57E3CA22">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877" w:type="pct"/>
            <w:tcBorders>
              <w:top w:val="single" w:color="auto" w:sz="4" w:space="0"/>
              <w:left w:val="single" w:color="auto" w:sz="4" w:space="0"/>
              <w:bottom w:val="single" w:color="auto" w:sz="4" w:space="0"/>
              <w:right w:val="single" w:color="auto" w:sz="4" w:space="0"/>
            </w:tcBorders>
            <w:shd w:val="clear" w:color="auto" w:fill="auto"/>
            <w:vAlign w:val="center"/>
          </w:tcPr>
          <w:p w14:paraId="1493ED28">
            <w:pPr>
              <w:keepNext w:val="0"/>
              <w:keepLines w:val="0"/>
              <w:pageBreakBefore w:val="0"/>
              <w:widowControl w:val="0"/>
              <w:kinsoku/>
              <w:wordWrap/>
              <w:overflowPunct/>
              <w:topLinePunct w:val="0"/>
              <w:autoSpaceDE/>
              <w:autoSpaceDN/>
              <w:bidi w:val="0"/>
              <w:adjustRightInd/>
              <w:snapToGrid/>
              <w:jc w:val="both"/>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动脉硬化检测仪（核心产品） </w:t>
            </w:r>
          </w:p>
        </w:tc>
        <w:tc>
          <w:tcPr>
            <w:tcW w:w="634" w:type="pct"/>
            <w:tcBorders>
              <w:top w:val="single" w:color="auto" w:sz="4" w:space="0"/>
              <w:left w:val="single" w:color="auto" w:sz="4" w:space="0"/>
              <w:bottom w:val="single" w:color="auto" w:sz="4" w:space="0"/>
              <w:right w:val="single" w:color="auto" w:sz="4" w:space="0"/>
            </w:tcBorders>
            <w:shd w:val="clear" w:color="auto" w:fill="auto"/>
            <w:vAlign w:val="center"/>
          </w:tcPr>
          <w:p w14:paraId="76801B38">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台</w:t>
            </w:r>
          </w:p>
        </w:tc>
        <w:tc>
          <w:tcPr>
            <w:tcW w:w="617" w:type="pct"/>
            <w:tcBorders>
              <w:top w:val="single" w:color="auto" w:sz="4" w:space="0"/>
              <w:left w:val="single" w:color="auto" w:sz="4" w:space="0"/>
              <w:bottom w:val="single" w:color="auto" w:sz="4" w:space="0"/>
              <w:right w:val="single" w:color="auto" w:sz="4" w:space="0"/>
            </w:tcBorders>
            <w:shd w:val="clear" w:color="auto" w:fill="auto"/>
            <w:vAlign w:val="center"/>
          </w:tcPr>
          <w:p w14:paraId="70F2DDE0">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871" w:type="pct"/>
            <w:tcBorders>
              <w:top w:val="single" w:color="auto" w:sz="4" w:space="0"/>
              <w:left w:val="single" w:color="auto" w:sz="4" w:space="0"/>
              <w:bottom w:val="single" w:color="auto" w:sz="4" w:space="0"/>
              <w:right w:val="single" w:color="auto" w:sz="4" w:space="0"/>
            </w:tcBorders>
            <w:shd w:val="clear" w:color="auto" w:fill="auto"/>
            <w:vAlign w:val="center"/>
          </w:tcPr>
          <w:p w14:paraId="0C898A0B">
            <w:pPr>
              <w:jc w:val="righ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120</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000</w:t>
            </w:r>
            <w:r>
              <w:rPr>
                <w:rFonts w:hint="eastAsia" w:ascii="宋体" w:hAnsi="宋体" w:cs="宋体"/>
                <w:color w:val="auto"/>
                <w:sz w:val="24"/>
                <w:szCs w:val="24"/>
                <w:highlight w:val="none"/>
                <w:lang w:val="en-US" w:eastAsia="zh-CN"/>
              </w:rPr>
              <w:t>.00</w:t>
            </w:r>
          </w:p>
        </w:tc>
        <w:tc>
          <w:tcPr>
            <w:tcW w:w="562" w:type="pct"/>
            <w:tcBorders>
              <w:top w:val="single" w:color="auto" w:sz="4" w:space="0"/>
              <w:left w:val="single" w:color="auto" w:sz="4" w:space="0"/>
              <w:bottom w:val="single" w:color="auto" w:sz="4" w:space="0"/>
              <w:right w:val="single" w:color="auto" w:sz="4" w:space="0"/>
            </w:tcBorders>
            <w:vAlign w:val="center"/>
          </w:tcPr>
          <w:p w14:paraId="3B4DFB99">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否</w:t>
            </w:r>
          </w:p>
        </w:tc>
      </w:tr>
      <w:tr w14:paraId="51E9ADBD">
        <w:tblPrEx>
          <w:tblCellMar>
            <w:top w:w="0" w:type="dxa"/>
            <w:left w:w="108" w:type="dxa"/>
            <w:bottom w:w="0" w:type="dxa"/>
            <w:right w:w="108" w:type="dxa"/>
          </w:tblCellMar>
        </w:tblPrEx>
        <w:trPr>
          <w:trHeight w:val="535" w:hRule="atLeast"/>
        </w:trPr>
        <w:tc>
          <w:tcPr>
            <w:tcW w:w="437" w:type="pct"/>
            <w:tcBorders>
              <w:top w:val="single" w:color="auto" w:sz="4" w:space="0"/>
              <w:left w:val="single" w:color="auto" w:sz="4" w:space="0"/>
              <w:bottom w:val="single" w:color="auto" w:sz="4" w:space="0"/>
              <w:right w:val="single" w:color="auto" w:sz="4" w:space="0"/>
            </w:tcBorders>
            <w:shd w:val="clear" w:color="auto" w:fill="auto"/>
            <w:vAlign w:val="center"/>
          </w:tcPr>
          <w:p w14:paraId="308496B8">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1877" w:type="pct"/>
            <w:tcBorders>
              <w:top w:val="single" w:color="auto" w:sz="4" w:space="0"/>
              <w:left w:val="single" w:color="auto" w:sz="4" w:space="0"/>
              <w:bottom w:val="single" w:color="auto" w:sz="4" w:space="0"/>
              <w:right w:val="single" w:color="auto" w:sz="4" w:space="0"/>
            </w:tcBorders>
            <w:shd w:val="clear" w:color="auto" w:fill="auto"/>
            <w:vAlign w:val="center"/>
          </w:tcPr>
          <w:p w14:paraId="012C4626">
            <w:pPr>
              <w:keepNext w:val="0"/>
              <w:keepLines w:val="0"/>
              <w:pageBreakBefore w:val="0"/>
              <w:widowControl w:val="0"/>
              <w:kinsoku/>
              <w:wordWrap/>
              <w:overflowPunct/>
              <w:topLinePunct w:val="0"/>
              <w:autoSpaceDE/>
              <w:autoSpaceDN/>
              <w:bidi w:val="0"/>
              <w:adjustRightInd/>
              <w:snapToGrid/>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上下肢康复运动康复运动训练器（智能物联网立式功率车）</w:t>
            </w:r>
          </w:p>
        </w:tc>
        <w:tc>
          <w:tcPr>
            <w:tcW w:w="634" w:type="pct"/>
            <w:tcBorders>
              <w:top w:val="single" w:color="auto" w:sz="4" w:space="0"/>
              <w:left w:val="single" w:color="auto" w:sz="4" w:space="0"/>
              <w:bottom w:val="single" w:color="auto" w:sz="4" w:space="0"/>
              <w:right w:val="single" w:color="auto" w:sz="4" w:space="0"/>
            </w:tcBorders>
            <w:shd w:val="clear" w:color="auto" w:fill="auto"/>
            <w:vAlign w:val="center"/>
          </w:tcPr>
          <w:p w14:paraId="24915BFF">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台</w:t>
            </w:r>
          </w:p>
        </w:tc>
        <w:tc>
          <w:tcPr>
            <w:tcW w:w="617" w:type="pct"/>
            <w:tcBorders>
              <w:top w:val="single" w:color="auto" w:sz="4" w:space="0"/>
              <w:left w:val="single" w:color="auto" w:sz="4" w:space="0"/>
              <w:bottom w:val="single" w:color="auto" w:sz="4" w:space="0"/>
              <w:right w:val="single" w:color="auto" w:sz="4" w:space="0"/>
            </w:tcBorders>
            <w:shd w:val="clear" w:color="auto" w:fill="auto"/>
            <w:vAlign w:val="center"/>
          </w:tcPr>
          <w:p w14:paraId="2D7395D3">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871" w:type="pct"/>
            <w:tcBorders>
              <w:top w:val="single" w:color="auto" w:sz="4" w:space="0"/>
              <w:left w:val="single" w:color="auto" w:sz="4" w:space="0"/>
              <w:bottom w:val="single" w:color="auto" w:sz="4" w:space="0"/>
              <w:right w:val="single" w:color="auto" w:sz="4" w:space="0"/>
            </w:tcBorders>
            <w:shd w:val="clear" w:color="auto" w:fill="auto"/>
            <w:vAlign w:val="center"/>
          </w:tcPr>
          <w:p w14:paraId="1F31E3AB">
            <w:pPr>
              <w:jc w:val="righ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100</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000</w:t>
            </w:r>
            <w:r>
              <w:rPr>
                <w:rFonts w:hint="eastAsia" w:ascii="宋体" w:hAnsi="宋体" w:cs="宋体"/>
                <w:color w:val="auto"/>
                <w:sz w:val="24"/>
                <w:szCs w:val="24"/>
                <w:highlight w:val="none"/>
                <w:lang w:val="en-US" w:eastAsia="zh-CN"/>
              </w:rPr>
              <w:t>.00</w:t>
            </w:r>
          </w:p>
        </w:tc>
        <w:tc>
          <w:tcPr>
            <w:tcW w:w="562" w:type="pct"/>
            <w:tcBorders>
              <w:top w:val="single" w:color="auto" w:sz="4" w:space="0"/>
              <w:left w:val="single" w:color="auto" w:sz="4" w:space="0"/>
              <w:bottom w:val="single" w:color="auto" w:sz="4" w:space="0"/>
              <w:right w:val="single" w:color="auto" w:sz="4" w:space="0"/>
            </w:tcBorders>
            <w:vAlign w:val="center"/>
          </w:tcPr>
          <w:p w14:paraId="61ADF8AF">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否</w:t>
            </w:r>
          </w:p>
        </w:tc>
      </w:tr>
      <w:tr w14:paraId="25FD4115">
        <w:tblPrEx>
          <w:tblCellMar>
            <w:top w:w="0" w:type="dxa"/>
            <w:left w:w="108" w:type="dxa"/>
            <w:bottom w:w="0" w:type="dxa"/>
            <w:right w:w="108" w:type="dxa"/>
          </w:tblCellMar>
        </w:tblPrEx>
        <w:trPr>
          <w:trHeight w:val="535" w:hRule="atLeast"/>
        </w:trPr>
        <w:tc>
          <w:tcPr>
            <w:tcW w:w="437" w:type="pct"/>
            <w:tcBorders>
              <w:top w:val="single" w:color="auto" w:sz="4" w:space="0"/>
              <w:left w:val="single" w:color="auto" w:sz="4" w:space="0"/>
              <w:bottom w:val="single" w:color="auto" w:sz="4" w:space="0"/>
              <w:right w:val="single" w:color="auto" w:sz="4" w:space="0"/>
            </w:tcBorders>
            <w:shd w:val="clear" w:color="auto" w:fill="auto"/>
            <w:vAlign w:val="center"/>
          </w:tcPr>
          <w:p w14:paraId="3391D155">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1877" w:type="pct"/>
            <w:tcBorders>
              <w:top w:val="single" w:color="auto" w:sz="4" w:space="0"/>
              <w:left w:val="single" w:color="auto" w:sz="4" w:space="0"/>
              <w:bottom w:val="single" w:color="auto" w:sz="4" w:space="0"/>
              <w:right w:val="single" w:color="auto" w:sz="4" w:space="0"/>
            </w:tcBorders>
            <w:shd w:val="clear" w:color="auto" w:fill="auto"/>
            <w:vAlign w:val="center"/>
          </w:tcPr>
          <w:p w14:paraId="2A99C5D9">
            <w:pPr>
              <w:keepNext w:val="0"/>
              <w:keepLines w:val="0"/>
              <w:pageBreakBefore w:val="0"/>
              <w:widowControl w:val="0"/>
              <w:kinsoku/>
              <w:wordWrap/>
              <w:overflowPunct/>
              <w:topLinePunct w:val="0"/>
              <w:autoSpaceDE/>
              <w:autoSpaceDN/>
              <w:bidi w:val="0"/>
              <w:adjustRightInd/>
              <w:snapToGrid/>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康复数据处理软件（智能康复路径管理系统）</w:t>
            </w:r>
          </w:p>
        </w:tc>
        <w:tc>
          <w:tcPr>
            <w:tcW w:w="634" w:type="pct"/>
            <w:tcBorders>
              <w:top w:val="single" w:color="auto" w:sz="4" w:space="0"/>
              <w:left w:val="single" w:color="auto" w:sz="4" w:space="0"/>
              <w:bottom w:val="single" w:color="auto" w:sz="4" w:space="0"/>
              <w:right w:val="single" w:color="auto" w:sz="4" w:space="0"/>
            </w:tcBorders>
            <w:shd w:val="clear" w:color="auto" w:fill="auto"/>
            <w:vAlign w:val="center"/>
          </w:tcPr>
          <w:p w14:paraId="07904C12">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套</w:t>
            </w:r>
          </w:p>
        </w:tc>
        <w:tc>
          <w:tcPr>
            <w:tcW w:w="617" w:type="pct"/>
            <w:tcBorders>
              <w:top w:val="single" w:color="auto" w:sz="4" w:space="0"/>
              <w:left w:val="single" w:color="auto" w:sz="4" w:space="0"/>
              <w:bottom w:val="single" w:color="auto" w:sz="4" w:space="0"/>
              <w:right w:val="single" w:color="auto" w:sz="4" w:space="0"/>
            </w:tcBorders>
            <w:shd w:val="clear" w:color="auto" w:fill="auto"/>
            <w:vAlign w:val="center"/>
          </w:tcPr>
          <w:p w14:paraId="05AAA83D">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871" w:type="pct"/>
            <w:tcBorders>
              <w:top w:val="single" w:color="auto" w:sz="4" w:space="0"/>
              <w:left w:val="single" w:color="auto" w:sz="4" w:space="0"/>
              <w:bottom w:val="single" w:color="auto" w:sz="4" w:space="0"/>
              <w:right w:val="single" w:color="auto" w:sz="4" w:space="0"/>
            </w:tcBorders>
            <w:shd w:val="clear" w:color="auto" w:fill="auto"/>
            <w:vAlign w:val="center"/>
          </w:tcPr>
          <w:p w14:paraId="1D6A1079">
            <w:pPr>
              <w:jc w:val="righ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100</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000</w:t>
            </w:r>
            <w:r>
              <w:rPr>
                <w:rFonts w:hint="eastAsia" w:ascii="宋体" w:hAnsi="宋体" w:cs="宋体"/>
                <w:color w:val="auto"/>
                <w:sz w:val="24"/>
                <w:szCs w:val="24"/>
                <w:highlight w:val="none"/>
                <w:lang w:val="en-US" w:eastAsia="zh-CN"/>
              </w:rPr>
              <w:t>.00</w:t>
            </w:r>
          </w:p>
        </w:tc>
        <w:tc>
          <w:tcPr>
            <w:tcW w:w="562" w:type="pct"/>
            <w:tcBorders>
              <w:top w:val="single" w:color="auto" w:sz="4" w:space="0"/>
              <w:left w:val="single" w:color="auto" w:sz="4" w:space="0"/>
              <w:bottom w:val="single" w:color="auto" w:sz="4" w:space="0"/>
              <w:right w:val="single" w:color="auto" w:sz="4" w:space="0"/>
            </w:tcBorders>
            <w:vAlign w:val="center"/>
          </w:tcPr>
          <w:p w14:paraId="5967421C">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否</w:t>
            </w:r>
          </w:p>
        </w:tc>
      </w:tr>
      <w:tr w14:paraId="64CAE8F3">
        <w:tblPrEx>
          <w:tblCellMar>
            <w:top w:w="0" w:type="dxa"/>
            <w:left w:w="108" w:type="dxa"/>
            <w:bottom w:w="0" w:type="dxa"/>
            <w:right w:w="108" w:type="dxa"/>
          </w:tblCellMar>
        </w:tblPrEx>
        <w:trPr>
          <w:trHeight w:val="535" w:hRule="atLeast"/>
        </w:trPr>
        <w:tc>
          <w:tcPr>
            <w:tcW w:w="437" w:type="pct"/>
            <w:tcBorders>
              <w:top w:val="single" w:color="auto" w:sz="4" w:space="0"/>
              <w:left w:val="single" w:color="auto" w:sz="4" w:space="0"/>
              <w:bottom w:val="single" w:color="auto" w:sz="4" w:space="0"/>
              <w:right w:val="single" w:color="auto" w:sz="4" w:space="0"/>
            </w:tcBorders>
            <w:shd w:val="clear" w:color="auto" w:fill="auto"/>
            <w:vAlign w:val="center"/>
          </w:tcPr>
          <w:p w14:paraId="6139DE12">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1877" w:type="pct"/>
            <w:tcBorders>
              <w:top w:val="single" w:color="auto" w:sz="4" w:space="0"/>
              <w:left w:val="single" w:color="auto" w:sz="4" w:space="0"/>
              <w:bottom w:val="single" w:color="auto" w:sz="4" w:space="0"/>
              <w:right w:val="single" w:color="auto" w:sz="4" w:space="0"/>
            </w:tcBorders>
            <w:shd w:val="clear" w:color="auto" w:fill="auto"/>
            <w:vAlign w:val="center"/>
          </w:tcPr>
          <w:p w14:paraId="4333ED78">
            <w:pPr>
              <w:keepNext w:val="0"/>
              <w:keepLines w:val="0"/>
              <w:pageBreakBefore w:val="0"/>
              <w:widowControl w:val="0"/>
              <w:kinsoku/>
              <w:wordWrap/>
              <w:overflowPunct/>
              <w:topLinePunct w:val="0"/>
              <w:autoSpaceDE/>
              <w:autoSpaceDN/>
              <w:bidi w:val="0"/>
              <w:adjustRightInd/>
              <w:snapToGrid/>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动态心肺功能数据分析软件（智能6分钟步行监测分析系统便携版）</w:t>
            </w:r>
          </w:p>
        </w:tc>
        <w:tc>
          <w:tcPr>
            <w:tcW w:w="634" w:type="pct"/>
            <w:tcBorders>
              <w:top w:val="single" w:color="auto" w:sz="4" w:space="0"/>
              <w:left w:val="single" w:color="auto" w:sz="4" w:space="0"/>
              <w:bottom w:val="single" w:color="auto" w:sz="4" w:space="0"/>
              <w:right w:val="single" w:color="auto" w:sz="4" w:space="0"/>
            </w:tcBorders>
            <w:shd w:val="clear" w:color="auto" w:fill="auto"/>
            <w:vAlign w:val="center"/>
          </w:tcPr>
          <w:p w14:paraId="08E393EC">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套</w:t>
            </w:r>
          </w:p>
        </w:tc>
        <w:tc>
          <w:tcPr>
            <w:tcW w:w="617" w:type="pct"/>
            <w:tcBorders>
              <w:top w:val="single" w:color="auto" w:sz="4" w:space="0"/>
              <w:left w:val="single" w:color="auto" w:sz="4" w:space="0"/>
              <w:bottom w:val="single" w:color="auto" w:sz="4" w:space="0"/>
              <w:right w:val="single" w:color="auto" w:sz="4" w:space="0"/>
            </w:tcBorders>
            <w:shd w:val="clear" w:color="auto" w:fill="auto"/>
            <w:vAlign w:val="center"/>
          </w:tcPr>
          <w:p w14:paraId="5ABCB66E">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871" w:type="pct"/>
            <w:tcBorders>
              <w:top w:val="single" w:color="auto" w:sz="4" w:space="0"/>
              <w:left w:val="single" w:color="auto" w:sz="4" w:space="0"/>
              <w:bottom w:val="single" w:color="auto" w:sz="4" w:space="0"/>
              <w:right w:val="single" w:color="auto" w:sz="4" w:space="0"/>
            </w:tcBorders>
            <w:shd w:val="clear" w:color="auto" w:fill="auto"/>
            <w:vAlign w:val="center"/>
          </w:tcPr>
          <w:p w14:paraId="17FA74EA">
            <w:pPr>
              <w:jc w:val="righ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60</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000</w:t>
            </w:r>
            <w:r>
              <w:rPr>
                <w:rFonts w:hint="eastAsia" w:ascii="宋体" w:hAnsi="宋体" w:cs="宋体"/>
                <w:color w:val="auto"/>
                <w:sz w:val="24"/>
                <w:szCs w:val="24"/>
                <w:highlight w:val="none"/>
                <w:lang w:val="en-US" w:eastAsia="zh-CN"/>
              </w:rPr>
              <w:t>.00</w:t>
            </w:r>
          </w:p>
        </w:tc>
        <w:tc>
          <w:tcPr>
            <w:tcW w:w="562" w:type="pct"/>
            <w:tcBorders>
              <w:top w:val="single" w:color="auto" w:sz="4" w:space="0"/>
              <w:left w:val="single" w:color="auto" w:sz="4" w:space="0"/>
              <w:bottom w:val="single" w:color="auto" w:sz="4" w:space="0"/>
              <w:right w:val="single" w:color="auto" w:sz="4" w:space="0"/>
            </w:tcBorders>
            <w:vAlign w:val="center"/>
          </w:tcPr>
          <w:p w14:paraId="20A9AE7B">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否</w:t>
            </w:r>
          </w:p>
        </w:tc>
      </w:tr>
      <w:tr w14:paraId="3E8D2BE1">
        <w:tblPrEx>
          <w:tblCellMar>
            <w:top w:w="0" w:type="dxa"/>
            <w:left w:w="108" w:type="dxa"/>
            <w:bottom w:w="0" w:type="dxa"/>
            <w:right w:w="108" w:type="dxa"/>
          </w:tblCellMar>
        </w:tblPrEx>
        <w:trPr>
          <w:trHeight w:val="535" w:hRule="atLeast"/>
        </w:trPr>
        <w:tc>
          <w:tcPr>
            <w:tcW w:w="437" w:type="pct"/>
            <w:tcBorders>
              <w:top w:val="single" w:color="auto" w:sz="4" w:space="0"/>
              <w:left w:val="single" w:color="auto" w:sz="4" w:space="0"/>
              <w:bottom w:val="single" w:color="auto" w:sz="4" w:space="0"/>
              <w:right w:val="single" w:color="auto" w:sz="4" w:space="0"/>
            </w:tcBorders>
            <w:shd w:val="clear" w:color="auto" w:fill="auto"/>
            <w:vAlign w:val="center"/>
          </w:tcPr>
          <w:p w14:paraId="53FDDC6F">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1877" w:type="pct"/>
            <w:tcBorders>
              <w:top w:val="single" w:color="auto" w:sz="4" w:space="0"/>
              <w:left w:val="single" w:color="auto" w:sz="4" w:space="0"/>
              <w:bottom w:val="single" w:color="auto" w:sz="4" w:space="0"/>
              <w:right w:val="single" w:color="auto" w:sz="4" w:space="0"/>
            </w:tcBorders>
            <w:shd w:val="clear" w:color="auto" w:fill="auto"/>
            <w:vAlign w:val="center"/>
          </w:tcPr>
          <w:p w14:paraId="4624C91F">
            <w:pPr>
              <w:keepNext w:val="0"/>
              <w:keepLines w:val="0"/>
              <w:pageBreakBefore w:val="0"/>
              <w:widowControl w:val="0"/>
              <w:kinsoku/>
              <w:wordWrap/>
              <w:overflowPunct/>
              <w:topLinePunct w:val="0"/>
              <w:autoSpaceDE/>
              <w:autoSpaceDN/>
              <w:bidi w:val="0"/>
              <w:adjustRightInd/>
              <w:snapToGrid/>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便携式多参数健康检测仪</w:t>
            </w:r>
          </w:p>
        </w:tc>
        <w:tc>
          <w:tcPr>
            <w:tcW w:w="634" w:type="pct"/>
            <w:tcBorders>
              <w:top w:val="single" w:color="auto" w:sz="4" w:space="0"/>
              <w:left w:val="single" w:color="auto" w:sz="4" w:space="0"/>
              <w:bottom w:val="single" w:color="auto" w:sz="4" w:space="0"/>
              <w:right w:val="single" w:color="auto" w:sz="4" w:space="0"/>
            </w:tcBorders>
            <w:shd w:val="clear" w:color="auto" w:fill="auto"/>
            <w:vAlign w:val="center"/>
          </w:tcPr>
          <w:p w14:paraId="260F53F7">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套</w:t>
            </w:r>
          </w:p>
        </w:tc>
        <w:tc>
          <w:tcPr>
            <w:tcW w:w="617" w:type="pct"/>
            <w:tcBorders>
              <w:top w:val="single" w:color="auto" w:sz="4" w:space="0"/>
              <w:left w:val="single" w:color="auto" w:sz="4" w:space="0"/>
              <w:bottom w:val="single" w:color="auto" w:sz="4" w:space="0"/>
              <w:right w:val="single" w:color="auto" w:sz="4" w:space="0"/>
            </w:tcBorders>
            <w:shd w:val="clear" w:color="auto" w:fill="auto"/>
            <w:vAlign w:val="center"/>
          </w:tcPr>
          <w:p w14:paraId="6B23747D">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871" w:type="pct"/>
            <w:tcBorders>
              <w:top w:val="single" w:color="auto" w:sz="4" w:space="0"/>
              <w:left w:val="single" w:color="auto" w:sz="4" w:space="0"/>
              <w:bottom w:val="single" w:color="auto" w:sz="4" w:space="0"/>
              <w:right w:val="single" w:color="auto" w:sz="4" w:space="0"/>
            </w:tcBorders>
            <w:shd w:val="clear" w:color="auto" w:fill="auto"/>
            <w:vAlign w:val="center"/>
          </w:tcPr>
          <w:p w14:paraId="2E6F225E">
            <w:pPr>
              <w:jc w:val="righ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000</w:t>
            </w:r>
            <w:r>
              <w:rPr>
                <w:rFonts w:hint="eastAsia" w:ascii="宋体" w:hAnsi="宋体" w:cs="宋体"/>
                <w:color w:val="auto"/>
                <w:sz w:val="24"/>
                <w:szCs w:val="24"/>
                <w:highlight w:val="none"/>
                <w:lang w:val="en-US" w:eastAsia="zh-CN"/>
              </w:rPr>
              <w:t>.00</w:t>
            </w:r>
          </w:p>
        </w:tc>
        <w:tc>
          <w:tcPr>
            <w:tcW w:w="562" w:type="pct"/>
            <w:tcBorders>
              <w:top w:val="single" w:color="auto" w:sz="4" w:space="0"/>
              <w:left w:val="single" w:color="auto" w:sz="4" w:space="0"/>
              <w:bottom w:val="single" w:color="auto" w:sz="4" w:space="0"/>
              <w:right w:val="single" w:color="auto" w:sz="4" w:space="0"/>
            </w:tcBorders>
            <w:vAlign w:val="center"/>
          </w:tcPr>
          <w:p w14:paraId="42FB6F01">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否</w:t>
            </w:r>
          </w:p>
        </w:tc>
      </w:tr>
      <w:tr w14:paraId="5385D263">
        <w:tblPrEx>
          <w:tblCellMar>
            <w:top w:w="0" w:type="dxa"/>
            <w:left w:w="108" w:type="dxa"/>
            <w:bottom w:w="0" w:type="dxa"/>
            <w:right w:w="108" w:type="dxa"/>
          </w:tblCellMar>
        </w:tblPrEx>
        <w:trPr>
          <w:trHeight w:val="535" w:hRule="atLeast"/>
        </w:trPr>
        <w:tc>
          <w:tcPr>
            <w:tcW w:w="437" w:type="pct"/>
            <w:tcBorders>
              <w:top w:val="single" w:color="auto" w:sz="4" w:space="0"/>
              <w:left w:val="single" w:color="auto" w:sz="4" w:space="0"/>
              <w:bottom w:val="single" w:color="auto" w:sz="4" w:space="0"/>
              <w:right w:val="single" w:color="auto" w:sz="4" w:space="0"/>
            </w:tcBorders>
            <w:shd w:val="clear" w:color="auto" w:fill="auto"/>
            <w:vAlign w:val="center"/>
          </w:tcPr>
          <w:p w14:paraId="48F59107">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1877" w:type="pct"/>
            <w:tcBorders>
              <w:top w:val="single" w:color="auto" w:sz="4" w:space="0"/>
              <w:left w:val="single" w:color="auto" w:sz="4" w:space="0"/>
              <w:bottom w:val="single" w:color="auto" w:sz="4" w:space="0"/>
              <w:right w:val="single" w:color="auto" w:sz="4" w:space="0"/>
            </w:tcBorders>
            <w:shd w:val="clear" w:color="auto" w:fill="auto"/>
            <w:vAlign w:val="center"/>
          </w:tcPr>
          <w:p w14:paraId="1A577F7C">
            <w:pPr>
              <w:keepNext w:val="0"/>
              <w:keepLines w:val="0"/>
              <w:pageBreakBefore w:val="0"/>
              <w:widowControl w:val="0"/>
              <w:kinsoku/>
              <w:wordWrap/>
              <w:overflowPunct/>
              <w:topLinePunct w:val="0"/>
              <w:autoSpaceDE/>
              <w:autoSpaceDN/>
              <w:bidi w:val="0"/>
              <w:adjustRightInd/>
              <w:snapToGrid/>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人体成分分析仪</w:t>
            </w:r>
          </w:p>
        </w:tc>
        <w:tc>
          <w:tcPr>
            <w:tcW w:w="634" w:type="pct"/>
            <w:tcBorders>
              <w:top w:val="single" w:color="auto" w:sz="4" w:space="0"/>
              <w:left w:val="single" w:color="auto" w:sz="4" w:space="0"/>
              <w:bottom w:val="single" w:color="auto" w:sz="4" w:space="0"/>
              <w:right w:val="single" w:color="auto" w:sz="4" w:space="0"/>
            </w:tcBorders>
            <w:shd w:val="clear" w:color="auto" w:fill="auto"/>
            <w:vAlign w:val="center"/>
          </w:tcPr>
          <w:p w14:paraId="585B90CF">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台</w:t>
            </w:r>
          </w:p>
        </w:tc>
        <w:tc>
          <w:tcPr>
            <w:tcW w:w="617" w:type="pct"/>
            <w:tcBorders>
              <w:top w:val="single" w:color="auto" w:sz="4" w:space="0"/>
              <w:left w:val="single" w:color="auto" w:sz="4" w:space="0"/>
              <w:bottom w:val="single" w:color="auto" w:sz="4" w:space="0"/>
              <w:right w:val="single" w:color="auto" w:sz="4" w:space="0"/>
            </w:tcBorders>
            <w:shd w:val="clear" w:color="auto" w:fill="auto"/>
            <w:vAlign w:val="center"/>
          </w:tcPr>
          <w:p w14:paraId="5314C2A3">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871" w:type="pct"/>
            <w:tcBorders>
              <w:top w:val="single" w:color="auto" w:sz="4" w:space="0"/>
              <w:left w:val="single" w:color="auto" w:sz="4" w:space="0"/>
              <w:bottom w:val="single" w:color="auto" w:sz="4" w:space="0"/>
              <w:right w:val="single" w:color="auto" w:sz="4" w:space="0"/>
            </w:tcBorders>
            <w:shd w:val="clear" w:color="auto" w:fill="auto"/>
            <w:vAlign w:val="center"/>
          </w:tcPr>
          <w:p w14:paraId="72E2D1D2">
            <w:pPr>
              <w:jc w:val="righ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000</w:t>
            </w:r>
            <w:r>
              <w:rPr>
                <w:rFonts w:hint="eastAsia" w:ascii="宋体" w:hAnsi="宋体" w:cs="宋体"/>
                <w:color w:val="auto"/>
                <w:sz w:val="24"/>
                <w:szCs w:val="24"/>
                <w:highlight w:val="none"/>
                <w:lang w:val="en-US" w:eastAsia="zh-CN"/>
              </w:rPr>
              <w:t>.00</w:t>
            </w:r>
          </w:p>
        </w:tc>
        <w:tc>
          <w:tcPr>
            <w:tcW w:w="562" w:type="pct"/>
            <w:tcBorders>
              <w:top w:val="single" w:color="auto" w:sz="4" w:space="0"/>
              <w:left w:val="single" w:color="auto" w:sz="4" w:space="0"/>
              <w:bottom w:val="single" w:color="auto" w:sz="4" w:space="0"/>
              <w:right w:val="single" w:color="auto" w:sz="4" w:space="0"/>
            </w:tcBorders>
            <w:vAlign w:val="center"/>
          </w:tcPr>
          <w:p w14:paraId="6142C253">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否</w:t>
            </w:r>
          </w:p>
        </w:tc>
      </w:tr>
      <w:tr w14:paraId="0FC4130E">
        <w:tblPrEx>
          <w:tblCellMar>
            <w:top w:w="0" w:type="dxa"/>
            <w:left w:w="108" w:type="dxa"/>
            <w:bottom w:w="0" w:type="dxa"/>
            <w:right w:w="108" w:type="dxa"/>
          </w:tblCellMar>
        </w:tblPrEx>
        <w:trPr>
          <w:trHeight w:val="535" w:hRule="atLeast"/>
        </w:trPr>
        <w:tc>
          <w:tcPr>
            <w:tcW w:w="437" w:type="pct"/>
            <w:tcBorders>
              <w:top w:val="single" w:color="auto" w:sz="4" w:space="0"/>
              <w:left w:val="single" w:color="auto" w:sz="4" w:space="0"/>
              <w:bottom w:val="single" w:color="auto" w:sz="4" w:space="0"/>
              <w:right w:val="single" w:color="auto" w:sz="4" w:space="0"/>
            </w:tcBorders>
            <w:shd w:val="clear" w:color="auto" w:fill="auto"/>
            <w:vAlign w:val="center"/>
          </w:tcPr>
          <w:p w14:paraId="7B1D0077">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1877" w:type="pct"/>
            <w:tcBorders>
              <w:top w:val="single" w:color="auto" w:sz="4" w:space="0"/>
              <w:left w:val="single" w:color="auto" w:sz="4" w:space="0"/>
              <w:bottom w:val="single" w:color="auto" w:sz="4" w:space="0"/>
              <w:right w:val="single" w:color="auto" w:sz="4" w:space="0"/>
            </w:tcBorders>
            <w:shd w:val="clear" w:color="auto" w:fill="auto"/>
            <w:vAlign w:val="center"/>
          </w:tcPr>
          <w:p w14:paraId="5234CEBD">
            <w:pPr>
              <w:keepNext w:val="0"/>
              <w:keepLines w:val="0"/>
              <w:pageBreakBefore w:val="0"/>
              <w:widowControl w:val="0"/>
              <w:kinsoku/>
              <w:wordWrap/>
              <w:overflowPunct/>
              <w:topLinePunct w:val="0"/>
              <w:autoSpaceDE/>
              <w:autoSpaceDN/>
              <w:bidi w:val="0"/>
              <w:adjustRightInd/>
              <w:snapToGrid/>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跑步机 </w:t>
            </w:r>
          </w:p>
        </w:tc>
        <w:tc>
          <w:tcPr>
            <w:tcW w:w="634" w:type="pct"/>
            <w:tcBorders>
              <w:top w:val="single" w:color="auto" w:sz="4" w:space="0"/>
              <w:left w:val="single" w:color="auto" w:sz="4" w:space="0"/>
              <w:bottom w:val="single" w:color="auto" w:sz="4" w:space="0"/>
              <w:right w:val="single" w:color="auto" w:sz="4" w:space="0"/>
            </w:tcBorders>
            <w:shd w:val="clear" w:color="auto" w:fill="auto"/>
            <w:vAlign w:val="center"/>
          </w:tcPr>
          <w:p w14:paraId="1B8F6FA9">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台</w:t>
            </w:r>
          </w:p>
        </w:tc>
        <w:tc>
          <w:tcPr>
            <w:tcW w:w="617" w:type="pct"/>
            <w:tcBorders>
              <w:top w:val="single" w:color="auto" w:sz="4" w:space="0"/>
              <w:left w:val="single" w:color="auto" w:sz="4" w:space="0"/>
              <w:bottom w:val="single" w:color="auto" w:sz="4" w:space="0"/>
              <w:right w:val="single" w:color="auto" w:sz="4" w:space="0"/>
            </w:tcBorders>
            <w:shd w:val="clear" w:color="auto" w:fill="auto"/>
            <w:vAlign w:val="center"/>
          </w:tcPr>
          <w:p w14:paraId="200CEFD3">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871" w:type="pct"/>
            <w:tcBorders>
              <w:top w:val="single" w:color="auto" w:sz="4" w:space="0"/>
              <w:left w:val="single" w:color="auto" w:sz="4" w:space="0"/>
              <w:bottom w:val="single" w:color="auto" w:sz="4" w:space="0"/>
              <w:right w:val="single" w:color="auto" w:sz="4" w:space="0"/>
            </w:tcBorders>
            <w:shd w:val="clear" w:color="auto" w:fill="auto"/>
            <w:vAlign w:val="center"/>
          </w:tcPr>
          <w:p w14:paraId="6E21E097">
            <w:pPr>
              <w:jc w:val="righ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30</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000</w:t>
            </w:r>
            <w:r>
              <w:rPr>
                <w:rFonts w:hint="eastAsia" w:ascii="宋体" w:hAnsi="宋体" w:cs="宋体"/>
                <w:color w:val="auto"/>
                <w:sz w:val="24"/>
                <w:szCs w:val="24"/>
                <w:highlight w:val="none"/>
                <w:lang w:val="en-US" w:eastAsia="zh-CN"/>
              </w:rPr>
              <w:t>.00</w:t>
            </w:r>
          </w:p>
        </w:tc>
        <w:tc>
          <w:tcPr>
            <w:tcW w:w="562" w:type="pct"/>
            <w:tcBorders>
              <w:top w:val="single" w:color="auto" w:sz="4" w:space="0"/>
              <w:left w:val="single" w:color="auto" w:sz="4" w:space="0"/>
              <w:bottom w:val="single" w:color="auto" w:sz="4" w:space="0"/>
              <w:right w:val="single" w:color="auto" w:sz="4" w:space="0"/>
            </w:tcBorders>
            <w:vAlign w:val="center"/>
          </w:tcPr>
          <w:p w14:paraId="45EAABFB">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否</w:t>
            </w:r>
          </w:p>
        </w:tc>
      </w:tr>
      <w:tr w14:paraId="2BA251F6">
        <w:tblPrEx>
          <w:tblCellMar>
            <w:top w:w="0" w:type="dxa"/>
            <w:left w:w="108" w:type="dxa"/>
            <w:bottom w:w="0" w:type="dxa"/>
            <w:right w:w="108" w:type="dxa"/>
          </w:tblCellMar>
        </w:tblPrEx>
        <w:trPr>
          <w:trHeight w:val="535" w:hRule="atLeast"/>
        </w:trPr>
        <w:tc>
          <w:tcPr>
            <w:tcW w:w="437" w:type="pct"/>
            <w:tcBorders>
              <w:top w:val="single" w:color="auto" w:sz="4" w:space="0"/>
              <w:left w:val="single" w:color="auto" w:sz="4" w:space="0"/>
              <w:bottom w:val="single" w:color="auto" w:sz="4" w:space="0"/>
              <w:right w:val="single" w:color="auto" w:sz="4" w:space="0"/>
            </w:tcBorders>
            <w:shd w:val="clear" w:color="auto" w:fill="auto"/>
            <w:vAlign w:val="center"/>
          </w:tcPr>
          <w:p w14:paraId="10D2948B">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p>
        </w:tc>
        <w:tc>
          <w:tcPr>
            <w:tcW w:w="1877" w:type="pct"/>
            <w:tcBorders>
              <w:top w:val="single" w:color="auto" w:sz="4" w:space="0"/>
              <w:left w:val="single" w:color="auto" w:sz="4" w:space="0"/>
              <w:bottom w:val="single" w:color="auto" w:sz="4" w:space="0"/>
              <w:right w:val="single" w:color="auto" w:sz="4" w:space="0"/>
            </w:tcBorders>
            <w:shd w:val="clear" w:color="auto" w:fill="auto"/>
            <w:vAlign w:val="center"/>
          </w:tcPr>
          <w:p w14:paraId="53B3B2C8">
            <w:pPr>
              <w:keepNext w:val="0"/>
              <w:keepLines w:val="0"/>
              <w:pageBreakBefore w:val="0"/>
              <w:widowControl w:val="0"/>
              <w:kinsoku/>
              <w:wordWrap/>
              <w:overflowPunct/>
              <w:topLinePunct w:val="0"/>
              <w:autoSpaceDE/>
              <w:autoSpaceDN/>
              <w:bidi w:val="0"/>
              <w:adjustRightInd/>
              <w:snapToGrid/>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胸背部抗阻训练器</w:t>
            </w:r>
          </w:p>
        </w:tc>
        <w:tc>
          <w:tcPr>
            <w:tcW w:w="634" w:type="pct"/>
            <w:tcBorders>
              <w:top w:val="single" w:color="auto" w:sz="4" w:space="0"/>
              <w:left w:val="single" w:color="auto" w:sz="4" w:space="0"/>
              <w:bottom w:val="single" w:color="auto" w:sz="4" w:space="0"/>
              <w:right w:val="single" w:color="auto" w:sz="4" w:space="0"/>
            </w:tcBorders>
            <w:shd w:val="clear" w:color="auto" w:fill="auto"/>
            <w:vAlign w:val="center"/>
          </w:tcPr>
          <w:p w14:paraId="383A9B36">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台</w:t>
            </w:r>
          </w:p>
        </w:tc>
        <w:tc>
          <w:tcPr>
            <w:tcW w:w="617" w:type="pct"/>
            <w:tcBorders>
              <w:top w:val="single" w:color="auto" w:sz="4" w:space="0"/>
              <w:left w:val="single" w:color="auto" w:sz="4" w:space="0"/>
              <w:bottom w:val="single" w:color="auto" w:sz="4" w:space="0"/>
              <w:right w:val="single" w:color="auto" w:sz="4" w:space="0"/>
            </w:tcBorders>
            <w:shd w:val="clear" w:color="auto" w:fill="auto"/>
            <w:vAlign w:val="center"/>
          </w:tcPr>
          <w:p w14:paraId="7D7128F2">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871" w:type="pct"/>
            <w:tcBorders>
              <w:top w:val="single" w:color="auto" w:sz="4" w:space="0"/>
              <w:left w:val="single" w:color="auto" w:sz="4" w:space="0"/>
              <w:bottom w:val="single" w:color="auto" w:sz="4" w:space="0"/>
              <w:right w:val="single" w:color="auto" w:sz="4" w:space="0"/>
            </w:tcBorders>
            <w:shd w:val="clear" w:color="auto" w:fill="auto"/>
            <w:vAlign w:val="center"/>
          </w:tcPr>
          <w:p w14:paraId="680E8235">
            <w:pPr>
              <w:jc w:val="righ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000</w:t>
            </w:r>
            <w:r>
              <w:rPr>
                <w:rFonts w:hint="eastAsia" w:ascii="宋体" w:hAnsi="宋体" w:cs="宋体"/>
                <w:color w:val="auto"/>
                <w:sz w:val="24"/>
                <w:szCs w:val="24"/>
                <w:highlight w:val="none"/>
                <w:lang w:val="en-US" w:eastAsia="zh-CN"/>
              </w:rPr>
              <w:t>.00</w:t>
            </w:r>
          </w:p>
        </w:tc>
        <w:tc>
          <w:tcPr>
            <w:tcW w:w="562" w:type="pct"/>
            <w:tcBorders>
              <w:top w:val="single" w:color="auto" w:sz="4" w:space="0"/>
              <w:left w:val="single" w:color="auto" w:sz="4" w:space="0"/>
              <w:bottom w:val="single" w:color="auto" w:sz="4" w:space="0"/>
              <w:right w:val="single" w:color="auto" w:sz="4" w:space="0"/>
            </w:tcBorders>
            <w:vAlign w:val="center"/>
          </w:tcPr>
          <w:p w14:paraId="0671EF26">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否</w:t>
            </w:r>
          </w:p>
        </w:tc>
      </w:tr>
      <w:tr w14:paraId="4F4715AA">
        <w:tblPrEx>
          <w:tblCellMar>
            <w:top w:w="0" w:type="dxa"/>
            <w:left w:w="108" w:type="dxa"/>
            <w:bottom w:w="0" w:type="dxa"/>
            <w:right w:w="108" w:type="dxa"/>
          </w:tblCellMar>
        </w:tblPrEx>
        <w:trPr>
          <w:trHeight w:val="535" w:hRule="atLeast"/>
        </w:trPr>
        <w:tc>
          <w:tcPr>
            <w:tcW w:w="437" w:type="pct"/>
            <w:tcBorders>
              <w:top w:val="single" w:color="auto" w:sz="4" w:space="0"/>
              <w:left w:val="single" w:color="auto" w:sz="4" w:space="0"/>
              <w:bottom w:val="single" w:color="auto" w:sz="4" w:space="0"/>
              <w:right w:val="single" w:color="auto" w:sz="4" w:space="0"/>
            </w:tcBorders>
            <w:shd w:val="clear" w:color="auto" w:fill="auto"/>
            <w:vAlign w:val="center"/>
          </w:tcPr>
          <w:p w14:paraId="48CBE522">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w:t>
            </w:r>
          </w:p>
        </w:tc>
        <w:tc>
          <w:tcPr>
            <w:tcW w:w="1877" w:type="pct"/>
            <w:tcBorders>
              <w:top w:val="single" w:color="auto" w:sz="4" w:space="0"/>
              <w:left w:val="single" w:color="auto" w:sz="4" w:space="0"/>
              <w:bottom w:val="single" w:color="auto" w:sz="4" w:space="0"/>
              <w:right w:val="single" w:color="auto" w:sz="4" w:space="0"/>
            </w:tcBorders>
            <w:shd w:val="clear" w:color="auto" w:fill="auto"/>
            <w:vAlign w:val="center"/>
          </w:tcPr>
          <w:p w14:paraId="7939E332">
            <w:pPr>
              <w:keepNext w:val="0"/>
              <w:keepLines w:val="0"/>
              <w:pageBreakBefore w:val="0"/>
              <w:widowControl w:val="0"/>
              <w:kinsoku/>
              <w:wordWrap/>
              <w:overflowPunct/>
              <w:topLinePunct w:val="0"/>
              <w:autoSpaceDE/>
              <w:autoSpaceDN/>
              <w:bidi w:val="0"/>
              <w:adjustRightInd/>
              <w:snapToGrid/>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下肢内收外展抗阻训练器 </w:t>
            </w:r>
          </w:p>
        </w:tc>
        <w:tc>
          <w:tcPr>
            <w:tcW w:w="634" w:type="pct"/>
            <w:tcBorders>
              <w:top w:val="single" w:color="auto" w:sz="4" w:space="0"/>
              <w:left w:val="single" w:color="auto" w:sz="4" w:space="0"/>
              <w:bottom w:val="single" w:color="auto" w:sz="4" w:space="0"/>
              <w:right w:val="single" w:color="auto" w:sz="4" w:space="0"/>
            </w:tcBorders>
            <w:shd w:val="clear" w:color="auto" w:fill="auto"/>
            <w:vAlign w:val="center"/>
          </w:tcPr>
          <w:p w14:paraId="1A2836AB">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台</w:t>
            </w:r>
          </w:p>
        </w:tc>
        <w:tc>
          <w:tcPr>
            <w:tcW w:w="617" w:type="pct"/>
            <w:tcBorders>
              <w:top w:val="single" w:color="auto" w:sz="4" w:space="0"/>
              <w:left w:val="single" w:color="auto" w:sz="4" w:space="0"/>
              <w:bottom w:val="single" w:color="auto" w:sz="4" w:space="0"/>
              <w:right w:val="single" w:color="auto" w:sz="4" w:space="0"/>
            </w:tcBorders>
            <w:shd w:val="clear" w:color="auto" w:fill="auto"/>
            <w:vAlign w:val="center"/>
          </w:tcPr>
          <w:p w14:paraId="3405B33A">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871" w:type="pct"/>
            <w:tcBorders>
              <w:top w:val="single" w:color="auto" w:sz="4" w:space="0"/>
              <w:left w:val="single" w:color="auto" w:sz="4" w:space="0"/>
              <w:bottom w:val="single" w:color="auto" w:sz="4" w:space="0"/>
              <w:right w:val="single" w:color="auto" w:sz="4" w:space="0"/>
            </w:tcBorders>
            <w:shd w:val="clear" w:color="auto" w:fill="auto"/>
            <w:vAlign w:val="center"/>
          </w:tcPr>
          <w:p w14:paraId="17DA7631">
            <w:pPr>
              <w:jc w:val="righ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000</w:t>
            </w:r>
            <w:r>
              <w:rPr>
                <w:rFonts w:hint="eastAsia" w:ascii="宋体" w:hAnsi="宋体" w:cs="宋体"/>
                <w:color w:val="auto"/>
                <w:sz w:val="24"/>
                <w:szCs w:val="24"/>
                <w:highlight w:val="none"/>
                <w:lang w:val="en-US" w:eastAsia="zh-CN"/>
              </w:rPr>
              <w:t>.00</w:t>
            </w:r>
          </w:p>
        </w:tc>
        <w:tc>
          <w:tcPr>
            <w:tcW w:w="562" w:type="pct"/>
            <w:tcBorders>
              <w:top w:val="single" w:color="auto" w:sz="4" w:space="0"/>
              <w:left w:val="single" w:color="auto" w:sz="4" w:space="0"/>
              <w:bottom w:val="single" w:color="auto" w:sz="4" w:space="0"/>
              <w:right w:val="single" w:color="auto" w:sz="4" w:space="0"/>
            </w:tcBorders>
            <w:vAlign w:val="center"/>
          </w:tcPr>
          <w:p w14:paraId="1023B7A0">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否</w:t>
            </w:r>
          </w:p>
        </w:tc>
      </w:tr>
      <w:tr w14:paraId="7812F637">
        <w:tblPrEx>
          <w:tblCellMar>
            <w:top w:w="0" w:type="dxa"/>
            <w:left w:w="108" w:type="dxa"/>
            <w:bottom w:w="0" w:type="dxa"/>
            <w:right w:w="108" w:type="dxa"/>
          </w:tblCellMar>
        </w:tblPrEx>
        <w:trPr>
          <w:trHeight w:val="535" w:hRule="atLeast"/>
        </w:trPr>
        <w:tc>
          <w:tcPr>
            <w:tcW w:w="437" w:type="pct"/>
            <w:tcBorders>
              <w:top w:val="single" w:color="auto" w:sz="4" w:space="0"/>
              <w:left w:val="single" w:color="auto" w:sz="4" w:space="0"/>
              <w:bottom w:val="single" w:color="auto" w:sz="4" w:space="0"/>
              <w:right w:val="single" w:color="auto" w:sz="4" w:space="0"/>
            </w:tcBorders>
            <w:shd w:val="clear" w:color="auto" w:fill="auto"/>
            <w:vAlign w:val="center"/>
          </w:tcPr>
          <w:p w14:paraId="792CA609">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3</w:t>
            </w:r>
          </w:p>
        </w:tc>
        <w:tc>
          <w:tcPr>
            <w:tcW w:w="1877" w:type="pct"/>
            <w:tcBorders>
              <w:top w:val="single" w:color="auto" w:sz="4" w:space="0"/>
              <w:left w:val="single" w:color="auto" w:sz="4" w:space="0"/>
              <w:bottom w:val="single" w:color="auto" w:sz="4" w:space="0"/>
              <w:right w:val="single" w:color="auto" w:sz="4" w:space="0"/>
            </w:tcBorders>
            <w:shd w:val="clear" w:color="auto" w:fill="auto"/>
            <w:vAlign w:val="center"/>
          </w:tcPr>
          <w:p w14:paraId="1E02E1E6">
            <w:pPr>
              <w:keepNext w:val="0"/>
              <w:keepLines w:val="0"/>
              <w:pageBreakBefore w:val="0"/>
              <w:widowControl w:val="0"/>
              <w:kinsoku/>
              <w:wordWrap/>
              <w:overflowPunct/>
              <w:topLinePunct w:val="0"/>
              <w:autoSpaceDE/>
              <w:autoSpaceDN/>
              <w:bidi w:val="0"/>
              <w:adjustRightInd/>
              <w:snapToGrid/>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呼吸康复管理系统</w:t>
            </w:r>
          </w:p>
          <w:p w14:paraId="0DC3E21F">
            <w:pPr>
              <w:keepNext w:val="0"/>
              <w:keepLines w:val="0"/>
              <w:pageBreakBefore w:val="0"/>
              <w:widowControl w:val="0"/>
              <w:kinsoku/>
              <w:wordWrap/>
              <w:overflowPunct/>
              <w:topLinePunct w:val="0"/>
              <w:autoSpaceDE/>
              <w:autoSpaceDN/>
              <w:bidi w:val="0"/>
              <w:adjustRightInd/>
              <w:snapToGrid/>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（含台车、</w:t>
            </w:r>
            <w:r>
              <w:rPr>
                <w:rFonts w:hint="eastAsia" w:ascii="宋体" w:hAnsi="宋体" w:cs="宋体"/>
                <w:color w:val="auto"/>
                <w:sz w:val="24"/>
                <w:szCs w:val="24"/>
                <w:highlight w:val="none"/>
                <w:lang w:val="en-US" w:eastAsia="zh-CN"/>
              </w:rPr>
              <w:t>工作站</w:t>
            </w:r>
            <w:r>
              <w:rPr>
                <w:rFonts w:hint="eastAsia" w:ascii="宋体" w:hAnsi="宋体" w:eastAsia="宋体" w:cs="宋体"/>
                <w:color w:val="auto"/>
                <w:sz w:val="24"/>
                <w:szCs w:val="24"/>
                <w:highlight w:val="none"/>
                <w:lang w:val="en-US" w:eastAsia="zh-CN"/>
              </w:rPr>
              <w:t xml:space="preserve">、打印机）（核心产品） </w:t>
            </w:r>
          </w:p>
        </w:tc>
        <w:tc>
          <w:tcPr>
            <w:tcW w:w="634" w:type="pct"/>
            <w:tcBorders>
              <w:top w:val="single" w:color="auto" w:sz="4" w:space="0"/>
              <w:left w:val="single" w:color="auto" w:sz="4" w:space="0"/>
              <w:bottom w:val="single" w:color="auto" w:sz="4" w:space="0"/>
              <w:right w:val="single" w:color="auto" w:sz="4" w:space="0"/>
            </w:tcBorders>
            <w:shd w:val="clear" w:color="auto" w:fill="auto"/>
            <w:vAlign w:val="center"/>
          </w:tcPr>
          <w:p w14:paraId="4F4FCD58">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台</w:t>
            </w:r>
          </w:p>
        </w:tc>
        <w:tc>
          <w:tcPr>
            <w:tcW w:w="617" w:type="pct"/>
            <w:tcBorders>
              <w:top w:val="single" w:color="auto" w:sz="4" w:space="0"/>
              <w:left w:val="single" w:color="auto" w:sz="4" w:space="0"/>
              <w:bottom w:val="single" w:color="auto" w:sz="4" w:space="0"/>
              <w:right w:val="single" w:color="auto" w:sz="4" w:space="0"/>
            </w:tcBorders>
            <w:shd w:val="clear" w:color="auto" w:fill="auto"/>
            <w:vAlign w:val="center"/>
          </w:tcPr>
          <w:p w14:paraId="3076BB10">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1</w:t>
            </w:r>
          </w:p>
        </w:tc>
        <w:tc>
          <w:tcPr>
            <w:tcW w:w="871" w:type="pct"/>
            <w:tcBorders>
              <w:top w:val="single" w:color="auto" w:sz="4" w:space="0"/>
              <w:left w:val="single" w:color="auto" w:sz="4" w:space="0"/>
              <w:bottom w:val="single" w:color="auto" w:sz="4" w:space="0"/>
              <w:right w:val="single" w:color="auto" w:sz="4" w:space="0"/>
            </w:tcBorders>
            <w:shd w:val="clear" w:color="auto" w:fill="auto"/>
            <w:vAlign w:val="center"/>
          </w:tcPr>
          <w:p w14:paraId="78C014C9">
            <w:pPr>
              <w:jc w:val="righ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120</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000</w:t>
            </w:r>
            <w:r>
              <w:rPr>
                <w:rFonts w:hint="eastAsia" w:ascii="宋体" w:hAnsi="宋体" w:cs="宋体"/>
                <w:color w:val="auto"/>
                <w:sz w:val="24"/>
                <w:szCs w:val="24"/>
                <w:highlight w:val="none"/>
                <w:lang w:val="en-US" w:eastAsia="zh-CN"/>
              </w:rPr>
              <w:t>.00</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3871348D">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否</w:t>
            </w:r>
          </w:p>
        </w:tc>
      </w:tr>
      <w:tr w14:paraId="4A482016">
        <w:tblPrEx>
          <w:tblCellMar>
            <w:top w:w="0" w:type="dxa"/>
            <w:left w:w="108" w:type="dxa"/>
            <w:bottom w:w="0" w:type="dxa"/>
            <w:right w:w="108" w:type="dxa"/>
          </w:tblCellMar>
        </w:tblPrEx>
        <w:trPr>
          <w:trHeight w:val="535" w:hRule="atLeast"/>
        </w:trPr>
        <w:tc>
          <w:tcPr>
            <w:tcW w:w="437" w:type="pct"/>
            <w:tcBorders>
              <w:top w:val="single" w:color="auto" w:sz="4" w:space="0"/>
              <w:left w:val="single" w:color="auto" w:sz="4" w:space="0"/>
              <w:bottom w:val="single" w:color="auto" w:sz="4" w:space="0"/>
              <w:right w:val="single" w:color="auto" w:sz="4" w:space="0"/>
            </w:tcBorders>
            <w:shd w:val="clear" w:color="auto" w:fill="auto"/>
            <w:vAlign w:val="center"/>
          </w:tcPr>
          <w:p w14:paraId="1E31BDE5">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4</w:t>
            </w:r>
          </w:p>
        </w:tc>
        <w:tc>
          <w:tcPr>
            <w:tcW w:w="1877" w:type="pct"/>
            <w:tcBorders>
              <w:top w:val="single" w:color="auto" w:sz="4" w:space="0"/>
              <w:left w:val="single" w:color="auto" w:sz="4" w:space="0"/>
              <w:bottom w:val="single" w:color="auto" w:sz="4" w:space="0"/>
              <w:right w:val="single" w:color="auto" w:sz="4" w:space="0"/>
            </w:tcBorders>
            <w:shd w:val="clear" w:color="auto" w:fill="auto"/>
            <w:vAlign w:val="center"/>
          </w:tcPr>
          <w:p w14:paraId="7C84D53C">
            <w:pPr>
              <w:keepNext w:val="0"/>
              <w:keepLines w:val="0"/>
              <w:pageBreakBefore w:val="0"/>
              <w:widowControl w:val="0"/>
              <w:kinsoku/>
              <w:wordWrap/>
              <w:overflowPunct/>
              <w:topLinePunct w:val="0"/>
              <w:autoSpaceDE/>
              <w:autoSpaceDN/>
              <w:bidi w:val="0"/>
              <w:adjustRightInd/>
              <w:snapToGrid/>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肺功能测试仪（肺功能仪）</w:t>
            </w:r>
          </w:p>
        </w:tc>
        <w:tc>
          <w:tcPr>
            <w:tcW w:w="634" w:type="pct"/>
            <w:tcBorders>
              <w:top w:val="single" w:color="auto" w:sz="4" w:space="0"/>
              <w:left w:val="single" w:color="auto" w:sz="4" w:space="0"/>
              <w:bottom w:val="single" w:color="auto" w:sz="4" w:space="0"/>
              <w:right w:val="single" w:color="auto" w:sz="4" w:space="0"/>
            </w:tcBorders>
            <w:shd w:val="clear" w:color="auto" w:fill="auto"/>
            <w:vAlign w:val="center"/>
          </w:tcPr>
          <w:p w14:paraId="70EC1AEE">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台</w:t>
            </w:r>
          </w:p>
        </w:tc>
        <w:tc>
          <w:tcPr>
            <w:tcW w:w="617" w:type="pct"/>
            <w:tcBorders>
              <w:top w:val="single" w:color="auto" w:sz="4" w:space="0"/>
              <w:left w:val="single" w:color="auto" w:sz="4" w:space="0"/>
              <w:bottom w:val="single" w:color="auto" w:sz="4" w:space="0"/>
              <w:right w:val="single" w:color="auto" w:sz="4" w:space="0"/>
            </w:tcBorders>
            <w:shd w:val="clear" w:color="auto" w:fill="auto"/>
            <w:vAlign w:val="center"/>
          </w:tcPr>
          <w:p w14:paraId="61C2770C">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1</w:t>
            </w:r>
          </w:p>
        </w:tc>
        <w:tc>
          <w:tcPr>
            <w:tcW w:w="871" w:type="pct"/>
            <w:tcBorders>
              <w:top w:val="single" w:color="auto" w:sz="4" w:space="0"/>
              <w:left w:val="single" w:color="auto" w:sz="4" w:space="0"/>
              <w:bottom w:val="single" w:color="auto" w:sz="4" w:space="0"/>
              <w:right w:val="single" w:color="auto" w:sz="4" w:space="0"/>
            </w:tcBorders>
            <w:shd w:val="clear" w:color="auto" w:fill="auto"/>
            <w:vAlign w:val="center"/>
          </w:tcPr>
          <w:p w14:paraId="51E93F52">
            <w:pPr>
              <w:jc w:val="righ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20</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000</w:t>
            </w:r>
            <w:r>
              <w:rPr>
                <w:rFonts w:hint="eastAsia" w:ascii="宋体" w:hAnsi="宋体" w:cs="宋体"/>
                <w:color w:val="auto"/>
                <w:sz w:val="24"/>
                <w:szCs w:val="24"/>
                <w:highlight w:val="none"/>
                <w:lang w:val="en-US" w:eastAsia="zh-CN"/>
              </w:rPr>
              <w:t>.00</w:t>
            </w:r>
          </w:p>
        </w:tc>
        <w:tc>
          <w:tcPr>
            <w:tcW w:w="562" w:type="pct"/>
            <w:tcBorders>
              <w:top w:val="single" w:color="auto" w:sz="4" w:space="0"/>
              <w:left w:val="single" w:color="auto" w:sz="4" w:space="0"/>
              <w:bottom w:val="single" w:color="auto" w:sz="4" w:space="0"/>
              <w:right w:val="single" w:color="auto" w:sz="4" w:space="0"/>
            </w:tcBorders>
            <w:shd w:val="clear" w:color="auto" w:fill="auto"/>
            <w:vAlign w:val="center"/>
          </w:tcPr>
          <w:p w14:paraId="5804CDA9">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否</w:t>
            </w:r>
          </w:p>
        </w:tc>
      </w:tr>
      <w:tr w14:paraId="4353B7E7">
        <w:tblPrEx>
          <w:tblCellMar>
            <w:top w:w="0" w:type="dxa"/>
            <w:left w:w="108" w:type="dxa"/>
            <w:bottom w:w="0" w:type="dxa"/>
            <w:right w:w="108" w:type="dxa"/>
          </w:tblCellMar>
        </w:tblPrEx>
        <w:trPr>
          <w:trHeight w:val="535" w:hRule="atLeast"/>
        </w:trPr>
        <w:tc>
          <w:tcPr>
            <w:tcW w:w="437" w:type="pct"/>
            <w:tcBorders>
              <w:top w:val="single" w:color="auto" w:sz="4" w:space="0"/>
              <w:left w:val="single" w:color="auto" w:sz="4" w:space="0"/>
              <w:bottom w:val="single" w:color="auto" w:sz="4" w:space="0"/>
              <w:right w:val="single" w:color="auto" w:sz="4" w:space="0"/>
            </w:tcBorders>
            <w:shd w:val="clear" w:color="auto" w:fill="auto"/>
            <w:vAlign w:val="center"/>
          </w:tcPr>
          <w:p w14:paraId="4B3074B0">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15</w:t>
            </w:r>
          </w:p>
        </w:tc>
        <w:tc>
          <w:tcPr>
            <w:tcW w:w="1877" w:type="pct"/>
            <w:tcBorders>
              <w:top w:val="single" w:color="auto" w:sz="4" w:space="0"/>
              <w:left w:val="single" w:color="auto" w:sz="4" w:space="0"/>
              <w:bottom w:val="single" w:color="auto" w:sz="4" w:space="0"/>
              <w:right w:val="single" w:color="auto" w:sz="4" w:space="0"/>
            </w:tcBorders>
            <w:shd w:val="clear" w:color="auto" w:fill="auto"/>
            <w:vAlign w:val="center"/>
          </w:tcPr>
          <w:p w14:paraId="3D8C4927">
            <w:pPr>
              <w:keepNext w:val="0"/>
              <w:keepLines w:val="0"/>
              <w:pageBreakBefore w:val="0"/>
              <w:widowControl w:val="0"/>
              <w:kinsoku/>
              <w:wordWrap/>
              <w:overflowPunct/>
              <w:topLinePunct w:val="0"/>
              <w:autoSpaceDE/>
              <w:autoSpaceDN/>
              <w:bidi w:val="0"/>
              <w:adjustRightInd/>
              <w:snapToGrid/>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呼吸肌功能测定仪（呼吸压力计）</w:t>
            </w:r>
          </w:p>
        </w:tc>
        <w:tc>
          <w:tcPr>
            <w:tcW w:w="634" w:type="pct"/>
            <w:tcBorders>
              <w:top w:val="single" w:color="auto" w:sz="4" w:space="0"/>
              <w:left w:val="single" w:color="auto" w:sz="4" w:space="0"/>
              <w:bottom w:val="single" w:color="auto" w:sz="4" w:space="0"/>
              <w:right w:val="single" w:color="auto" w:sz="4" w:space="0"/>
            </w:tcBorders>
            <w:shd w:val="clear" w:color="auto" w:fill="auto"/>
            <w:vAlign w:val="center"/>
          </w:tcPr>
          <w:p w14:paraId="51A137E4">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台</w:t>
            </w:r>
          </w:p>
        </w:tc>
        <w:tc>
          <w:tcPr>
            <w:tcW w:w="617" w:type="pct"/>
            <w:tcBorders>
              <w:top w:val="single" w:color="auto" w:sz="4" w:space="0"/>
              <w:left w:val="single" w:color="auto" w:sz="4" w:space="0"/>
              <w:bottom w:val="single" w:color="auto" w:sz="4" w:space="0"/>
              <w:right w:val="single" w:color="auto" w:sz="4" w:space="0"/>
            </w:tcBorders>
            <w:shd w:val="clear" w:color="auto" w:fill="auto"/>
            <w:vAlign w:val="center"/>
          </w:tcPr>
          <w:p w14:paraId="48F6DC39">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871" w:type="pct"/>
            <w:tcBorders>
              <w:top w:val="single" w:color="auto" w:sz="4" w:space="0"/>
              <w:left w:val="single" w:color="auto" w:sz="4" w:space="0"/>
              <w:bottom w:val="single" w:color="auto" w:sz="4" w:space="0"/>
              <w:right w:val="single" w:color="auto" w:sz="4" w:space="0"/>
            </w:tcBorders>
            <w:shd w:val="clear" w:color="auto" w:fill="auto"/>
            <w:vAlign w:val="center"/>
          </w:tcPr>
          <w:p w14:paraId="39EA29E4">
            <w:pPr>
              <w:jc w:val="righ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000</w:t>
            </w:r>
            <w:r>
              <w:rPr>
                <w:rFonts w:hint="eastAsia" w:ascii="宋体" w:hAnsi="宋体" w:cs="宋体"/>
                <w:color w:val="auto"/>
                <w:sz w:val="24"/>
                <w:szCs w:val="24"/>
                <w:highlight w:val="none"/>
                <w:lang w:val="en-US" w:eastAsia="zh-CN"/>
              </w:rPr>
              <w:t>.00</w:t>
            </w:r>
          </w:p>
        </w:tc>
        <w:tc>
          <w:tcPr>
            <w:tcW w:w="562" w:type="pct"/>
            <w:tcBorders>
              <w:top w:val="single" w:color="auto" w:sz="4" w:space="0"/>
              <w:left w:val="single" w:color="auto" w:sz="4" w:space="0"/>
              <w:bottom w:val="single" w:color="auto" w:sz="4" w:space="0"/>
              <w:right w:val="single" w:color="auto" w:sz="4" w:space="0"/>
            </w:tcBorders>
            <w:vAlign w:val="center"/>
          </w:tcPr>
          <w:p w14:paraId="61B3358D">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否</w:t>
            </w:r>
          </w:p>
        </w:tc>
      </w:tr>
      <w:tr w14:paraId="17482AE4">
        <w:tblPrEx>
          <w:tblCellMar>
            <w:top w:w="0" w:type="dxa"/>
            <w:left w:w="108" w:type="dxa"/>
            <w:bottom w:w="0" w:type="dxa"/>
            <w:right w:w="108" w:type="dxa"/>
          </w:tblCellMar>
        </w:tblPrEx>
        <w:trPr>
          <w:trHeight w:val="535" w:hRule="atLeast"/>
        </w:trPr>
        <w:tc>
          <w:tcPr>
            <w:tcW w:w="437" w:type="pct"/>
            <w:tcBorders>
              <w:top w:val="single" w:color="auto" w:sz="4" w:space="0"/>
              <w:left w:val="single" w:color="auto" w:sz="4" w:space="0"/>
              <w:bottom w:val="single" w:color="auto" w:sz="4" w:space="0"/>
              <w:right w:val="single" w:color="auto" w:sz="4" w:space="0"/>
            </w:tcBorders>
            <w:shd w:val="clear" w:color="auto" w:fill="auto"/>
            <w:vAlign w:val="center"/>
          </w:tcPr>
          <w:p w14:paraId="2FD9317B">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16</w:t>
            </w:r>
          </w:p>
        </w:tc>
        <w:tc>
          <w:tcPr>
            <w:tcW w:w="1877" w:type="pct"/>
            <w:tcBorders>
              <w:top w:val="single" w:color="auto" w:sz="4" w:space="0"/>
              <w:left w:val="single" w:color="auto" w:sz="4" w:space="0"/>
              <w:bottom w:val="single" w:color="auto" w:sz="4" w:space="0"/>
              <w:right w:val="single" w:color="auto" w:sz="4" w:space="0"/>
            </w:tcBorders>
            <w:shd w:val="clear" w:color="auto" w:fill="auto"/>
            <w:vAlign w:val="center"/>
          </w:tcPr>
          <w:p w14:paraId="500D6C30">
            <w:pPr>
              <w:keepNext w:val="0"/>
              <w:keepLines w:val="0"/>
              <w:pageBreakBefore w:val="0"/>
              <w:widowControl w:val="0"/>
              <w:kinsoku/>
              <w:wordWrap/>
              <w:overflowPunct/>
              <w:topLinePunct w:val="0"/>
              <w:autoSpaceDE/>
              <w:autoSpaceDN/>
              <w:bidi w:val="0"/>
              <w:adjustRightInd/>
              <w:snapToGrid/>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智能呼吸训练器</w:t>
            </w:r>
          </w:p>
        </w:tc>
        <w:tc>
          <w:tcPr>
            <w:tcW w:w="634" w:type="pct"/>
            <w:tcBorders>
              <w:top w:val="single" w:color="auto" w:sz="4" w:space="0"/>
              <w:left w:val="single" w:color="auto" w:sz="4" w:space="0"/>
              <w:bottom w:val="single" w:color="auto" w:sz="4" w:space="0"/>
              <w:right w:val="single" w:color="auto" w:sz="4" w:space="0"/>
            </w:tcBorders>
            <w:shd w:val="clear" w:color="auto" w:fill="auto"/>
            <w:vAlign w:val="center"/>
          </w:tcPr>
          <w:p w14:paraId="5B199868">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台</w:t>
            </w:r>
          </w:p>
        </w:tc>
        <w:tc>
          <w:tcPr>
            <w:tcW w:w="617" w:type="pct"/>
            <w:tcBorders>
              <w:top w:val="single" w:color="auto" w:sz="4" w:space="0"/>
              <w:left w:val="single" w:color="auto" w:sz="4" w:space="0"/>
              <w:bottom w:val="single" w:color="auto" w:sz="4" w:space="0"/>
              <w:right w:val="single" w:color="auto" w:sz="4" w:space="0"/>
            </w:tcBorders>
            <w:shd w:val="clear" w:color="auto" w:fill="auto"/>
            <w:vAlign w:val="center"/>
          </w:tcPr>
          <w:p w14:paraId="43EB1662">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871" w:type="pct"/>
            <w:tcBorders>
              <w:top w:val="single" w:color="auto" w:sz="4" w:space="0"/>
              <w:left w:val="single" w:color="auto" w:sz="4" w:space="0"/>
              <w:bottom w:val="single" w:color="auto" w:sz="4" w:space="0"/>
              <w:right w:val="single" w:color="auto" w:sz="4" w:space="0"/>
            </w:tcBorders>
            <w:shd w:val="clear" w:color="auto" w:fill="auto"/>
            <w:vAlign w:val="center"/>
          </w:tcPr>
          <w:p w14:paraId="6EEE946D">
            <w:pPr>
              <w:jc w:val="righ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000</w:t>
            </w:r>
            <w:r>
              <w:rPr>
                <w:rFonts w:hint="eastAsia" w:ascii="宋体" w:hAnsi="宋体" w:cs="宋体"/>
                <w:color w:val="auto"/>
                <w:sz w:val="24"/>
                <w:szCs w:val="24"/>
                <w:highlight w:val="none"/>
                <w:lang w:val="en-US" w:eastAsia="zh-CN"/>
              </w:rPr>
              <w:t>.00</w:t>
            </w:r>
          </w:p>
        </w:tc>
        <w:tc>
          <w:tcPr>
            <w:tcW w:w="562" w:type="pct"/>
            <w:tcBorders>
              <w:top w:val="single" w:color="auto" w:sz="4" w:space="0"/>
              <w:left w:val="single" w:color="auto" w:sz="4" w:space="0"/>
              <w:bottom w:val="single" w:color="auto" w:sz="4" w:space="0"/>
              <w:right w:val="single" w:color="auto" w:sz="4" w:space="0"/>
            </w:tcBorders>
            <w:vAlign w:val="center"/>
          </w:tcPr>
          <w:p w14:paraId="2C9BA349">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否</w:t>
            </w:r>
          </w:p>
        </w:tc>
      </w:tr>
      <w:tr w14:paraId="0BF047D2">
        <w:tblPrEx>
          <w:tblCellMar>
            <w:top w:w="0" w:type="dxa"/>
            <w:left w:w="108" w:type="dxa"/>
            <w:bottom w:w="0" w:type="dxa"/>
            <w:right w:w="108" w:type="dxa"/>
          </w:tblCellMar>
        </w:tblPrEx>
        <w:trPr>
          <w:trHeight w:val="535" w:hRule="atLeast"/>
        </w:trPr>
        <w:tc>
          <w:tcPr>
            <w:tcW w:w="3566"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568DECE0">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总计</w:t>
            </w:r>
          </w:p>
        </w:tc>
        <w:tc>
          <w:tcPr>
            <w:tcW w:w="143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4ED5318">
            <w:pPr>
              <w:jc w:val="righ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,02</w:t>
            </w:r>
            <w:r>
              <w:rPr>
                <w:rFonts w:hint="eastAsia" w:ascii="宋体" w:hAnsi="宋体" w:eastAsia="宋体" w:cs="宋体"/>
                <w:color w:val="auto"/>
                <w:sz w:val="24"/>
                <w:szCs w:val="24"/>
                <w:highlight w:val="none"/>
                <w:lang w:val="en-US" w:eastAsia="zh-CN"/>
              </w:rPr>
              <w:t>0</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000</w:t>
            </w:r>
            <w:r>
              <w:rPr>
                <w:rFonts w:hint="eastAsia" w:ascii="宋体" w:hAnsi="宋体" w:cs="宋体"/>
                <w:color w:val="auto"/>
                <w:sz w:val="24"/>
                <w:szCs w:val="24"/>
                <w:highlight w:val="none"/>
                <w:lang w:val="en-US" w:eastAsia="zh-CN"/>
              </w:rPr>
              <w:t>.00</w:t>
            </w:r>
          </w:p>
        </w:tc>
      </w:tr>
    </w:tbl>
    <w:p w14:paraId="7927A00B">
      <w:pPr>
        <w:jc w:val="center"/>
        <w:rPr>
          <w:rFonts w:hint="eastAsia" w:ascii="宋体" w:hAnsi="宋体" w:eastAsia="宋体" w:cs="宋体"/>
          <w:color w:val="auto"/>
          <w:sz w:val="24"/>
          <w:szCs w:val="24"/>
          <w:highlight w:val="none"/>
          <w:lang w:val="en-US" w:eastAsia="zh-CN"/>
        </w:rPr>
      </w:pPr>
    </w:p>
    <w:p w14:paraId="328ABBBF">
      <w:pPr>
        <w:pStyle w:val="451"/>
        <w:tabs>
          <w:tab w:val="left" w:pos="1134"/>
        </w:tabs>
        <w:spacing w:line="312" w:lineRule="auto"/>
        <w:ind w:firstLine="960"/>
        <w:rPr>
          <w:rFonts w:hint="eastAsia" w:ascii="宋体" w:hAnsi="宋体" w:cs="宋体"/>
          <w:color w:val="auto"/>
          <w:sz w:val="24"/>
          <w:szCs w:val="24"/>
          <w:highlight w:val="none"/>
        </w:rPr>
      </w:pPr>
      <w:r>
        <w:rPr>
          <w:rFonts w:hint="eastAsia" w:ascii="宋体" w:hAnsi="宋体" w:cs="宋体"/>
          <w:color w:val="auto"/>
          <w:sz w:val="24"/>
          <w:szCs w:val="24"/>
          <w:highlight w:val="none"/>
        </w:rPr>
        <w:t>采购需求:</w:t>
      </w:r>
      <w:r>
        <w:rPr>
          <w:rFonts w:hint="eastAsia"/>
          <w:color w:val="auto"/>
          <w:highlight w:val="none"/>
        </w:rPr>
        <w:t xml:space="preserve"> </w:t>
      </w:r>
      <w:r>
        <w:rPr>
          <w:rFonts w:hint="eastAsia" w:ascii="宋体" w:hAnsi="宋体" w:cs="宋体"/>
          <w:color w:val="auto"/>
          <w:sz w:val="24"/>
          <w:szCs w:val="24"/>
          <w:highlight w:val="none"/>
        </w:rPr>
        <w:t>详见招标文件。</w:t>
      </w:r>
    </w:p>
    <w:p w14:paraId="7E0095A5">
      <w:pPr>
        <w:pStyle w:val="451"/>
        <w:tabs>
          <w:tab w:val="left" w:pos="1134"/>
        </w:tabs>
        <w:spacing w:line="312" w:lineRule="auto"/>
        <w:ind w:firstLine="960"/>
        <w:rPr>
          <w:rFonts w:hint="eastAsia" w:ascii="宋体" w:hAnsi="宋体" w:cs="宋体"/>
          <w:color w:val="auto"/>
          <w:sz w:val="24"/>
          <w:szCs w:val="24"/>
          <w:highlight w:val="none"/>
        </w:rPr>
      </w:pPr>
      <w:r>
        <w:rPr>
          <w:rFonts w:hint="eastAsia" w:ascii="宋体" w:hAnsi="宋体" w:cs="宋体"/>
          <w:color w:val="auto"/>
          <w:sz w:val="24"/>
          <w:szCs w:val="24"/>
          <w:highlight w:val="none"/>
        </w:rPr>
        <w:t>合同履行期限：合同签订后</w:t>
      </w:r>
      <w:r>
        <w:rPr>
          <w:rFonts w:hint="eastAsia" w:ascii="宋体" w:hAnsi="宋体" w:cs="宋体"/>
          <w:color w:val="auto"/>
          <w:sz w:val="24"/>
          <w:szCs w:val="24"/>
          <w:highlight w:val="none"/>
          <w:lang w:val="en-US" w:eastAsia="zh-CN"/>
        </w:rPr>
        <w:t>30日</w:t>
      </w:r>
      <w:r>
        <w:rPr>
          <w:rFonts w:hint="eastAsia" w:ascii="宋体" w:hAnsi="宋体" w:cs="宋体"/>
          <w:color w:val="auto"/>
          <w:sz w:val="24"/>
          <w:szCs w:val="24"/>
          <w:highlight w:val="none"/>
        </w:rPr>
        <w:t>内</w:t>
      </w:r>
      <w:r>
        <w:rPr>
          <w:rFonts w:hint="eastAsia" w:ascii="宋体" w:hAnsi="宋体" w:cs="宋体"/>
          <w:color w:val="auto"/>
          <w:sz w:val="24"/>
          <w:szCs w:val="24"/>
          <w:highlight w:val="none"/>
        </w:rPr>
        <w:t>交货。</w:t>
      </w:r>
    </w:p>
    <w:p w14:paraId="00D93204">
      <w:pPr>
        <w:pStyle w:val="451"/>
        <w:tabs>
          <w:tab w:val="left" w:pos="1134"/>
        </w:tabs>
        <w:spacing w:line="312" w:lineRule="auto"/>
        <w:ind w:firstLine="960"/>
        <w:rPr>
          <w:rFonts w:hint="default" w:ascii="宋体" w:hAnsi="宋体" w:eastAsia="宋体" w:cs="宋体"/>
          <w:color w:val="auto"/>
          <w:sz w:val="24"/>
          <w:szCs w:val="24"/>
          <w:highlight w:val="none"/>
          <w:lang w:val="en-US" w:eastAsia="zh-CN"/>
        </w:rPr>
      </w:pPr>
      <w:bookmarkStart w:id="8" w:name="_Toc3038"/>
      <w:r>
        <w:rPr>
          <w:rFonts w:hint="eastAsia" w:ascii="宋体" w:hAnsi="宋体" w:cs="宋体"/>
          <w:color w:val="auto"/>
          <w:sz w:val="24"/>
          <w:szCs w:val="24"/>
          <w:highlight w:val="none"/>
          <w:lang w:val="en-US" w:eastAsia="zh-CN"/>
        </w:rPr>
        <w:t>本项目是否允许进口：不允许</w:t>
      </w:r>
    </w:p>
    <w:p w14:paraId="5F643483">
      <w:pPr>
        <w:pStyle w:val="451"/>
        <w:tabs>
          <w:tab w:val="left" w:pos="1134"/>
        </w:tabs>
        <w:spacing w:line="312" w:lineRule="auto"/>
        <w:ind w:firstLine="960"/>
        <w:rPr>
          <w:rFonts w:hint="eastAsia" w:ascii="宋体" w:hAnsi="宋体" w:cs="宋体"/>
          <w:color w:val="auto"/>
          <w:sz w:val="24"/>
          <w:szCs w:val="24"/>
          <w:highlight w:val="none"/>
        </w:rPr>
      </w:pPr>
      <w:r>
        <w:rPr>
          <w:rFonts w:hint="eastAsia" w:ascii="宋体" w:hAnsi="宋体" w:cs="宋体"/>
          <w:color w:val="auto"/>
          <w:sz w:val="24"/>
          <w:szCs w:val="24"/>
          <w:highlight w:val="none"/>
        </w:rPr>
        <w:t>本项目（是/否）接受联合体投标：不接受联合体</w:t>
      </w:r>
    </w:p>
    <w:p w14:paraId="223F7430">
      <w:pPr>
        <w:pStyle w:val="451"/>
        <w:tabs>
          <w:tab w:val="left" w:pos="1134"/>
        </w:tabs>
        <w:spacing w:line="312" w:lineRule="auto"/>
        <w:ind w:left="567" w:firstLine="0"/>
        <w:outlineLvl w:val="1"/>
        <w:rPr>
          <w:rFonts w:hint="eastAsia" w:ascii="宋体" w:hAnsi="宋体" w:cs="宋体"/>
          <w:b/>
          <w:bCs/>
          <w:color w:val="auto"/>
          <w:sz w:val="24"/>
          <w:szCs w:val="24"/>
          <w:highlight w:val="none"/>
        </w:rPr>
      </w:pPr>
      <w:bookmarkStart w:id="9" w:name="_Toc8033"/>
      <w:bookmarkStart w:id="10" w:name="_Toc16192"/>
      <w:r>
        <w:rPr>
          <w:rFonts w:hint="eastAsia" w:ascii="宋体" w:hAnsi="宋体" w:cs="宋体"/>
          <w:b/>
          <w:bCs/>
          <w:color w:val="auto"/>
          <w:sz w:val="24"/>
          <w:szCs w:val="24"/>
          <w:highlight w:val="none"/>
        </w:rPr>
        <w:t>二、申请人的资格要求：</w:t>
      </w:r>
      <w:bookmarkEnd w:id="8"/>
      <w:bookmarkEnd w:id="9"/>
      <w:bookmarkEnd w:id="10"/>
    </w:p>
    <w:p w14:paraId="7222C64A">
      <w:pPr>
        <w:spacing w:line="360" w:lineRule="auto"/>
        <w:ind w:firstLine="480" w:firstLineChars="200"/>
        <w:outlineLvl w:val="2"/>
        <w:rPr>
          <w:rFonts w:hAnsi="宋体" w:cs="Arial"/>
          <w:color w:val="auto"/>
          <w:kern w:val="2"/>
          <w:sz w:val="24"/>
          <w:szCs w:val="24"/>
          <w:highlight w:val="none"/>
        </w:rPr>
      </w:pPr>
      <w:r>
        <w:rPr>
          <w:rFonts w:hint="eastAsia" w:hAnsi="宋体" w:cs="Arial"/>
          <w:color w:val="auto"/>
          <w:kern w:val="2"/>
          <w:sz w:val="24"/>
          <w:szCs w:val="24"/>
          <w:highlight w:val="none"/>
        </w:rPr>
        <w:t>（一）满足《中华人民共和国政府采购法》第二十二条规定；</w:t>
      </w:r>
    </w:p>
    <w:p w14:paraId="16656B14">
      <w:pPr>
        <w:spacing w:line="329" w:lineRule="auto"/>
        <w:ind w:left="1134"/>
        <w:rPr>
          <w:rFonts w:ascii="宋体" w:hAnsi="宋体"/>
          <w:color w:val="auto"/>
          <w:sz w:val="24"/>
          <w:szCs w:val="24"/>
          <w:highlight w:val="none"/>
        </w:rPr>
      </w:pPr>
      <w:r>
        <w:rPr>
          <w:rFonts w:hint="eastAsia" w:ascii="宋体" w:hAnsi="宋体"/>
          <w:color w:val="auto"/>
          <w:sz w:val="24"/>
          <w:szCs w:val="24"/>
          <w:highlight w:val="none"/>
        </w:rPr>
        <w:t>1.</w:t>
      </w:r>
      <w:bookmarkStart w:id="11" w:name="OLE_LINK17"/>
      <w:r>
        <w:rPr>
          <w:rFonts w:hint="eastAsia" w:ascii="宋体" w:hAnsi="宋体"/>
          <w:color w:val="auto"/>
          <w:sz w:val="24"/>
          <w:szCs w:val="24"/>
          <w:highlight w:val="none"/>
        </w:rPr>
        <w:t>具有独立承担民事责任的能力（法人或者其他组织的营业执照等证明文件，自然人的身份证明）。</w:t>
      </w:r>
      <w:bookmarkEnd w:id="11"/>
    </w:p>
    <w:p w14:paraId="3EA56288">
      <w:pPr>
        <w:spacing w:line="329" w:lineRule="auto"/>
        <w:ind w:left="1134"/>
        <w:rPr>
          <w:rFonts w:ascii="宋体" w:hAnsi="宋体"/>
          <w:color w:val="auto"/>
          <w:sz w:val="24"/>
          <w:szCs w:val="24"/>
          <w:highlight w:val="none"/>
        </w:rPr>
      </w:pPr>
      <w:r>
        <w:rPr>
          <w:rFonts w:hint="eastAsia" w:ascii="宋体" w:hAnsi="宋体"/>
          <w:color w:val="auto"/>
          <w:sz w:val="24"/>
          <w:szCs w:val="24"/>
          <w:highlight w:val="none"/>
        </w:rPr>
        <w:t>2.</w:t>
      </w:r>
      <w:bookmarkStart w:id="12" w:name="OLE_LINK6"/>
      <w:bookmarkStart w:id="13" w:name="OLE_LINK18"/>
      <w:r>
        <w:rPr>
          <w:rFonts w:hint="eastAsia" w:ascii="宋体" w:hAnsi="宋体"/>
          <w:color w:val="auto"/>
          <w:sz w:val="24"/>
          <w:szCs w:val="24"/>
          <w:highlight w:val="none"/>
        </w:rPr>
        <w:t>具有良好的商业信誉和健全的财务会计制度（提供</w:t>
      </w:r>
      <w:r>
        <w:rPr>
          <w:rFonts w:hint="eastAsia" w:ascii="宋体" w:hAnsi="宋体"/>
          <w:color w:val="auto"/>
          <w:sz w:val="24"/>
          <w:szCs w:val="24"/>
          <w:highlight w:val="none"/>
          <w:lang w:eastAsia="zh-CN"/>
        </w:rPr>
        <w:t>2025年度</w:t>
      </w:r>
      <w:r>
        <w:rPr>
          <w:rFonts w:hint="eastAsia" w:ascii="宋体" w:hAnsi="宋体"/>
          <w:color w:val="auto"/>
          <w:sz w:val="24"/>
          <w:szCs w:val="24"/>
          <w:highlight w:val="none"/>
        </w:rPr>
        <w:t>财务报告，至少包含资产负债表、利润表；或投标截止时间前六个月内银行出具的资信证明；成立不满一年无须提供）</w:t>
      </w:r>
      <w:bookmarkEnd w:id="12"/>
      <w:r>
        <w:rPr>
          <w:rFonts w:hint="eastAsia" w:ascii="宋体" w:hAnsi="宋体"/>
          <w:color w:val="auto"/>
          <w:sz w:val="24"/>
          <w:szCs w:val="24"/>
          <w:highlight w:val="none"/>
        </w:rPr>
        <w:t>。</w:t>
      </w:r>
      <w:bookmarkEnd w:id="13"/>
    </w:p>
    <w:p w14:paraId="03C94164">
      <w:pPr>
        <w:spacing w:line="329" w:lineRule="auto"/>
        <w:ind w:left="1134"/>
        <w:rPr>
          <w:rFonts w:ascii="宋体" w:hAnsi="宋体"/>
          <w:color w:val="auto"/>
          <w:sz w:val="24"/>
          <w:szCs w:val="24"/>
          <w:highlight w:val="none"/>
        </w:rPr>
      </w:pPr>
      <w:r>
        <w:rPr>
          <w:rFonts w:hint="eastAsia" w:ascii="宋体" w:hAnsi="宋体"/>
          <w:color w:val="auto"/>
          <w:sz w:val="24"/>
          <w:szCs w:val="24"/>
          <w:highlight w:val="none"/>
        </w:rPr>
        <w:t>3.</w:t>
      </w:r>
      <w:bookmarkStart w:id="14" w:name="OLE_LINK7"/>
      <w:bookmarkStart w:id="15" w:name="OLE_LINK19"/>
      <w:r>
        <w:rPr>
          <w:rFonts w:hint="eastAsia" w:ascii="宋体" w:hAnsi="宋体"/>
          <w:color w:val="auto"/>
          <w:sz w:val="24"/>
          <w:szCs w:val="24"/>
          <w:highlight w:val="none"/>
        </w:rPr>
        <w:t>具有履行合同所必需的设备和专业技术能力（提供书面声明）</w:t>
      </w:r>
      <w:bookmarkEnd w:id="14"/>
      <w:r>
        <w:rPr>
          <w:rFonts w:hint="eastAsia" w:ascii="宋体" w:hAnsi="宋体"/>
          <w:color w:val="auto"/>
          <w:sz w:val="24"/>
          <w:szCs w:val="24"/>
          <w:highlight w:val="none"/>
        </w:rPr>
        <w:t>。</w:t>
      </w:r>
      <w:bookmarkEnd w:id="15"/>
    </w:p>
    <w:p w14:paraId="3ED5C4CA">
      <w:pPr>
        <w:spacing w:line="329" w:lineRule="auto"/>
        <w:ind w:left="1134"/>
        <w:rPr>
          <w:rFonts w:ascii="宋体" w:hAnsi="宋体"/>
          <w:color w:val="auto"/>
          <w:sz w:val="24"/>
          <w:szCs w:val="24"/>
          <w:highlight w:val="none"/>
        </w:rPr>
      </w:pPr>
      <w:r>
        <w:rPr>
          <w:rFonts w:hint="eastAsia" w:ascii="宋体" w:hAnsi="宋体"/>
          <w:color w:val="auto"/>
          <w:sz w:val="24"/>
          <w:szCs w:val="24"/>
          <w:highlight w:val="none"/>
        </w:rPr>
        <w:t>4.</w:t>
      </w:r>
      <w:bookmarkStart w:id="16" w:name="OLE_LINK8"/>
      <w:bookmarkStart w:id="17" w:name="OLE_LINK20"/>
      <w:r>
        <w:rPr>
          <w:rFonts w:hint="eastAsia" w:ascii="宋体" w:hAnsi="宋体"/>
          <w:color w:val="auto"/>
          <w:sz w:val="24"/>
          <w:szCs w:val="24"/>
          <w:highlight w:val="none"/>
        </w:rPr>
        <w:t>有依法缴纳税收和社会保障资金的良好记录（参加本次政府采购活动前6个月内至少一个月缴纳税收及缴纳社会保障资金的证明材料，投标人依法享受缓缴、免缴税收、社会保障资金的，需提供证明材料）</w:t>
      </w:r>
      <w:bookmarkEnd w:id="16"/>
      <w:r>
        <w:rPr>
          <w:rFonts w:hint="eastAsia" w:ascii="宋体" w:hAnsi="宋体"/>
          <w:color w:val="auto"/>
          <w:sz w:val="24"/>
          <w:szCs w:val="24"/>
          <w:highlight w:val="none"/>
        </w:rPr>
        <w:t>。</w:t>
      </w:r>
      <w:bookmarkEnd w:id="17"/>
    </w:p>
    <w:p w14:paraId="578B7D47">
      <w:pPr>
        <w:spacing w:line="329" w:lineRule="auto"/>
        <w:ind w:left="1134"/>
        <w:rPr>
          <w:rFonts w:ascii="宋体" w:hAnsi="宋体"/>
          <w:color w:val="auto"/>
          <w:sz w:val="24"/>
          <w:szCs w:val="24"/>
          <w:highlight w:val="none"/>
        </w:rPr>
      </w:pPr>
      <w:r>
        <w:rPr>
          <w:rFonts w:hint="eastAsia" w:ascii="宋体" w:hAnsi="宋体"/>
          <w:color w:val="auto"/>
          <w:sz w:val="24"/>
          <w:szCs w:val="24"/>
          <w:highlight w:val="none"/>
        </w:rPr>
        <w:t>5.</w:t>
      </w:r>
      <w:bookmarkStart w:id="18" w:name="OLE_LINK11"/>
      <w:bookmarkStart w:id="19" w:name="OLE_LINK21"/>
      <w:r>
        <w:rPr>
          <w:rFonts w:hint="eastAsia" w:ascii="宋体" w:hAnsi="宋体"/>
          <w:color w:val="auto"/>
          <w:sz w:val="24"/>
          <w:szCs w:val="24"/>
          <w:highlight w:val="none"/>
        </w:rPr>
        <w:t>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8"/>
      <w:r>
        <w:rPr>
          <w:rFonts w:hint="eastAsia" w:ascii="宋体" w:hAnsi="宋体"/>
          <w:color w:val="auto"/>
          <w:sz w:val="24"/>
          <w:szCs w:val="24"/>
          <w:highlight w:val="none"/>
        </w:rPr>
        <w:t>。</w:t>
      </w:r>
      <w:bookmarkEnd w:id="19"/>
    </w:p>
    <w:p w14:paraId="516641EC">
      <w:pPr>
        <w:spacing w:line="329" w:lineRule="auto"/>
        <w:ind w:left="1134"/>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6.</w:t>
      </w:r>
      <w:bookmarkStart w:id="20" w:name="OLE_LINK22"/>
      <w:r>
        <w:rPr>
          <w:rFonts w:hint="eastAsia" w:ascii="宋体" w:hAnsi="宋体" w:cs="Times New Roman"/>
          <w:color w:val="auto"/>
          <w:sz w:val="24"/>
          <w:szCs w:val="24"/>
          <w:highlight w:val="none"/>
        </w:rPr>
        <w:t>法律、行政法规规定的其他条件。</w:t>
      </w:r>
      <w:bookmarkEnd w:id="20"/>
    </w:p>
    <w:p w14:paraId="5FAF908C">
      <w:pPr>
        <w:spacing w:line="329" w:lineRule="auto"/>
        <w:ind w:left="1134"/>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7.南京市政府采购供应商信用承诺书</w:t>
      </w:r>
      <w:r>
        <w:rPr>
          <w:rFonts w:hint="eastAsia" w:ascii="宋体" w:hAnsi="宋体" w:eastAsia="宋体" w:cs="Times New Roman"/>
          <w:color w:val="auto"/>
          <w:sz w:val="24"/>
          <w:szCs w:val="24"/>
          <w:highlight w:val="none"/>
          <w:lang w:eastAsia="zh-CN"/>
        </w:rPr>
        <w:t>。</w:t>
      </w:r>
    </w:p>
    <w:p w14:paraId="1EAAF01B">
      <w:pPr>
        <w:pStyle w:val="79"/>
        <w:spacing w:before="1" w:line="406" w:lineRule="auto"/>
        <w:ind w:right="476" w:firstLine="72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落实政府采购政策满足的资格要求：</w:t>
      </w:r>
    </w:p>
    <w:p w14:paraId="1ECA0D09">
      <w:pPr>
        <w:pStyle w:val="488"/>
        <w:spacing w:line="329" w:lineRule="auto"/>
        <w:ind w:left="709" w:firstLine="480"/>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p>
    <w:p w14:paraId="4862C1D9">
      <w:pPr>
        <w:pStyle w:val="488"/>
        <w:spacing w:line="329" w:lineRule="auto"/>
        <w:ind w:left="709" w:firstLine="0"/>
        <w:outlineLvl w:val="2"/>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三）</w:t>
      </w:r>
      <w:r>
        <w:rPr>
          <w:rFonts w:hint="eastAsia" w:ascii="宋体" w:hAnsi="宋体" w:cs="宋体"/>
          <w:color w:val="auto"/>
          <w:sz w:val="24"/>
          <w:szCs w:val="24"/>
          <w:highlight w:val="none"/>
        </w:rPr>
        <w:t>本项目的特定资格要求：</w:t>
      </w:r>
    </w:p>
    <w:p w14:paraId="5D9410B9">
      <w:pPr>
        <w:spacing w:line="329" w:lineRule="auto"/>
        <w:ind w:left="1134"/>
        <w:rPr>
          <w:rFonts w:hint="eastAsia" w:ascii="宋体" w:hAnsi="宋体" w:cs="Times New Roman"/>
          <w:color w:val="auto"/>
          <w:sz w:val="24"/>
          <w:szCs w:val="24"/>
          <w:highlight w:val="none"/>
        </w:rPr>
      </w:pPr>
      <w:bookmarkStart w:id="21" w:name="OLE_LINK28"/>
      <w:r>
        <w:rPr>
          <w:rFonts w:hint="eastAsia" w:ascii="宋体" w:hAnsi="宋体" w:cs="Times New Roman"/>
          <w:color w:val="auto"/>
          <w:sz w:val="24"/>
          <w:szCs w:val="24"/>
          <w:highlight w:val="none"/>
          <w:lang w:val="en-US" w:eastAsia="zh-CN"/>
        </w:rPr>
        <w:t>1</w:t>
      </w:r>
      <w:r>
        <w:rPr>
          <w:rFonts w:hint="eastAsia" w:ascii="宋体" w:hAnsi="宋体" w:cs="Times New Roman"/>
          <w:color w:val="auto"/>
          <w:sz w:val="24"/>
          <w:szCs w:val="24"/>
          <w:highlight w:val="none"/>
        </w:rPr>
        <w:t>.如投标产品为医疗器械：</w:t>
      </w:r>
    </w:p>
    <w:p w14:paraId="2846680A">
      <w:pPr>
        <w:spacing w:line="329" w:lineRule="auto"/>
        <w:ind w:left="1134"/>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1</w:t>
      </w:r>
      <w:r>
        <w:rPr>
          <w:rFonts w:hint="eastAsia" w:ascii="宋体" w:hAnsi="宋体" w:cs="Times New Roman"/>
          <w:color w:val="auto"/>
          <w:sz w:val="24"/>
          <w:szCs w:val="24"/>
          <w:highlight w:val="none"/>
        </w:rPr>
        <w:t>.1.</w:t>
      </w:r>
      <w:r>
        <w:rPr>
          <w:rFonts w:hint="eastAsia" w:ascii="宋体" w:hAnsi="宋体" w:cs="Times New Roman"/>
          <w:color w:val="auto"/>
          <w:sz w:val="24"/>
          <w:szCs w:val="24"/>
          <w:highlight w:val="none"/>
          <w:lang w:val="en-US" w:eastAsia="zh-CN"/>
        </w:rPr>
        <w:t>根据投标产品类别，</w:t>
      </w:r>
      <w:r>
        <w:rPr>
          <w:rFonts w:hint="eastAsia" w:ascii="宋体" w:hAnsi="宋体" w:cs="Times New Roman"/>
          <w:color w:val="auto"/>
          <w:sz w:val="24"/>
          <w:szCs w:val="24"/>
          <w:highlight w:val="none"/>
        </w:rPr>
        <w:t>投标人须提供有效的医疗器械产品注册证或产品备案凭证，投标时需提供复印件加盖公章。</w:t>
      </w:r>
    </w:p>
    <w:p w14:paraId="7BC3F6EB">
      <w:pPr>
        <w:spacing w:line="329" w:lineRule="auto"/>
        <w:ind w:left="1134"/>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1</w:t>
      </w:r>
      <w:r>
        <w:rPr>
          <w:rFonts w:hint="eastAsia" w:ascii="宋体" w:hAnsi="宋体" w:cs="Times New Roman"/>
          <w:color w:val="auto"/>
          <w:sz w:val="24"/>
          <w:szCs w:val="24"/>
          <w:highlight w:val="none"/>
        </w:rPr>
        <w:t>.2若投标人为代理商，须具有有效的《医疗器械经营许可证》或医疗器械经营备案凭证，投标时需提供复印件加盖公章。医疗器械生产企业投标本企业产品的，须提供《医疗器械生产许可证》（复印件加盖公章）</w:t>
      </w:r>
    </w:p>
    <w:p w14:paraId="24FFA5AE">
      <w:pPr>
        <w:spacing w:line="329" w:lineRule="auto"/>
        <w:ind w:left="1134"/>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2</w:t>
      </w:r>
      <w:r>
        <w:rPr>
          <w:rFonts w:hint="eastAsia" w:ascii="宋体" w:hAnsi="宋体" w:cs="Times New Roman"/>
          <w:color w:val="auto"/>
          <w:sz w:val="24"/>
          <w:szCs w:val="24"/>
          <w:highlight w:val="none"/>
        </w:rPr>
        <w:t>.拒绝下述供应商参加本次采购活动的情形：</w:t>
      </w:r>
    </w:p>
    <w:p w14:paraId="1522817C">
      <w:pPr>
        <w:spacing w:line="329" w:lineRule="auto"/>
        <w:ind w:left="1134"/>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2</w:t>
      </w:r>
      <w:r>
        <w:rPr>
          <w:rFonts w:hint="eastAsia" w:ascii="宋体" w:hAnsi="宋体" w:cs="Times New Roman"/>
          <w:color w:val="auto"/>
          <w:sz w:val="24"/>
          <w:szCs w:val="24"/>
          <w:highlight w:val="none"/>
        </w:rPr>
        <w:t>.1.供应商单位负责人为同一人或者存在直接控股、管理关系的不同供应商，不得参加同一合同项下的政府采购活动。</w:t>
      </w:r>
    </w:p>
    <w:p w14:paraId="4BBB8505">
      <w:pPr>
        <w:spacing w:line="329" w:lineRule="auto"/>
        <w:ind w:left="1134"/>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2</w:t>
      </w:r>
      <w:r>
        <w:rPr>
          <w:rFonts w:hint="eastAsia" w:ascii="宋体" w:hAnsi="宋体" w:cs="Times New Roman"/>
          <w:color w:val="auto"/>
          <w:sz w:val="24"/>
          <w:szCs w:val="24"/>
          <w:highlight w:val="none"/>
        </w:rPr>
        <w:t>.2.凡为采购项目提供整体设计、规范编制或者项目管理、监理、检测等服务的供应商，不得再参加本项目的采购活动。</w:t>
      </w:r>
    </w:p>
    <w:p w14:paraId="243957D6">
      <w:pPr>
        <w:spacing w:line="329" w:lineRule="auto"/>
        <w:ind w:left="1134"/>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2</w:t>
      </w:r>
      <w:r>
        <w:rPr>
          <w:rFonts w:hint="eastAsia" w:ascii="宋体" w:hAnsi="宋体" w:cs="Times New Roman"/>
          <w:color w:val="auto"/>
          <w:sz w:val="24"/>
          <w:szCs w:val="24"/>
          <w:highlight w:val="none"/>
        </w:rPr>
        <w:t>.3.拒绝列入失信被执行人、重大税收违法案件当事人名单、政府采购严重违法失信行为记录名单的供应商参与政府采购活动。</w:t>
      </w:r>
    </w:p>
    <w:bookmarkEnd w:id="21"/>
    <w:p w14:paraId="63395DEF">
      <w:pPr>
        <w:pStyle w:val="488"/>
        <w:spacing w:line="360" w:lineRule="auto"/>
        <w:outlineLvl w:val="1"/>
        <w:rPr>
          <w:rFonts w:hint="eastAsia" w:ascii="宋体" w:hAnsi="宋体" w:cs="宋体"/>
          <w:b/>
          <w:bCs/>
          <w:color w:val="auto"/>
          <w:sz w:val="24"/>
          <w:szCs w:val="24"/>
          <w:highlight w:val="none"/>
        </w:rPr>
      </w:pPr>
      <w:bookmarkStart w:id="22" w:name="_Toc13339"/>
      <w:bookmarkStart w:id="23" w:name="_Toc26697"/>
      <w:bookmarkStart w:id="24" w:name="_Toc1979"/>
      <w:r>
        <w:rPr>
          <w:rFonts w:hint="eastAsia" w:ascii="宋体" w:hAnsi="宋体" w:cs="宋体"/>
          <w:b/>
          <w:bCs/>
          <w:color w:val="auto"/>
          <w:sz w:val="24"/>
          <w:szCs w:val="24"/>
          <w:highlight w:val="none"/>
        </w:rPr>
        <w:t>三、获取招标文件</w:t>
      </w:r>
      <w:bookmarkEnd w:id="22"/>
      <w:bookmarkEnd w:id="23"/>
      <w:bookmarkEnd w:id="24"/>
    </w:p>
    <w:p w14:paraId="2AD57F5B">
      <w:pPr>
        <w:pStyle w:val="488"/>
        <w:spacing w:line="360" w:lineRule="auto"/>
        <w:ind w:left="84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1、时间：自公告发布之日起5个工作日。</w:t>
      </w:r>
    </w:p>
    <w:p w14:paraId="5B837E41">
      <w:pPr>
        <w:spacing w:line="360" w:lineRule="auto"/>
        <w:ind w:firstLine="1262"/>
        <w:rPr>
          <w:rFonts w:hint="eastAsia" w:ascii="宋体" w:hAnsi="宋体" w:cs="宋体"/>
          <w:color w:val="auto"/>
          <w:sz w:val="24"/>
          <w:highlight w:val="none"/>
        </w:rPr>
      </w:pPr>
      <w:r>
        <w:rPr>
          <w:rFonts w:hint="eastAsia" w:ascii="宋体" w:hAnsi="宋体" w:cs="宋体"/>
          <w:color w:val="auto"/>
          <w:sz w:val="24"/>
          <w:szCs w:val="24"/>
          <w:highlight w:val="none"/>
        </w:rPr>
        <w:t>2、地点：</w:t>
      </w:r>
      <w:r>
        <w:rPr>
          <w:rFonts w:hint="eastAsia" w:ascii="宋体" w:hAnsi="宋体" w:cs="宋体"/>
          <w:color w:val="auto"/>
          <w:sz w:val="24"/>
          <w:highlight w:val="none"/>
        </w:rPr>
        <w:t>“江苏省政府采购网”</w:t>
      </w:r>
    </w:p>
    <w:p w14:paraId="5E8F664B">
      <w:pPr>
        <w:spacing w:line="360" w:lineRule="auto"/>
        <w:ind w:firstLine="1262"/>
        <w:rPr>
          <w:rFonts w:hint="eastAsia" w:ascii="宋体" w:hAnsi="宋体" w:cs="宋体"/>
          <w:color w:val="auto"/>
          <w:sz w:val="24"/>
          <w:szCs w:val="24"/>
          <w:highlight w:val="none"/>
        </w:rPr>
      </w:pPr>
      <w:r>
        <w:rPr>
          <w:rFonts w:hint="eastAsia" w:ascii="宋体" w:hAnsi="宋体" w:cs="宋体"/>
          <w:color w:val="auto"/>
          <w:sz w:val="24"/>
          <w:szCs w:val="24"/>
          <w:highlight w:val="none"/>
        </w:rPr>
        <w:t>3、方式：本项目采用网上注册登记方式免费获取。</w:t>
      </w:r>
    </w:p>
    <w:p w14:paraId="3E542D8D">
      <w:pPr>
        <w:pStyle w:val="451"/>
        <w:tabs>
          <w:tab w:val="left" w:pos="1134"/>
        </w:tabs>
        <w:spacing w:line="360" w:lineRule="auto"/>
        <w:ind w:left="709" w:firstLine="0"/>
        <w:outlineLvl w:val="1"/>
        <w:rPr>
          <w:rFonts w:hint="eastAsia" w:ascii="宋体" w:hAnsi="宋体" w:cs="宋体"/>
          <w:b/>
          <w:bCs/>
          <w:color w:val="auto"/>
          <w:sz w:val="24"/>
          <w:szCs w:val="24"/>
          <w:highlight w:val="none"/>
        </w:rPr>
      </w:pPr>
      <w:bookmarkStart w:id="25" w:name="_Toc28083"/>
      <w:bookmarkStart w:id="26" w:name="_Toc12587"/>
      <w:bookmarkStart w:id="27" w:name="_Toc2291"/>
      <w:r>
        <w:rPr>
          <w:rFonts w:hint="eastAsia" w:ascii="宋体" w:hAnsi="宋体" w:cs="宋体"/>
          <w:b/>
          <w:bCs/>
          <w:color w:val="auto"/>
          <w:sz w:val="24"/>
          <w:szCs w:val="24"/>
          <w:highlight w:val="none"/>
        </w:rPr>
        <w:t>四、提交投标文件截止时间、开标时间和地点</w:t>
      </w:r>
      <w:bookmarkEnd w:id="25"/>
      <w:bookmarkEnd w:id="26"/>
      <w:bookmarkEnd w:id="27"/>
    </w:p>
    <w:p w14:paraId="3E64600D">
      <w:pPr>
        <w:pStyle w:val="451"/>
        <w:tabs>
          <w:tab w:val="left" w:pos="1134"/>
        </w:tabs>
        <w:spacing w:line="360" w:lineRule="auto"/>
        <w:ind w:left="1134" w:firstLine="0"/>
        <w:rPr>
          <w:rFonts w:hint="eastAsia" w:ascii="宋体" w:hAnsi="宋体" w:cs="宋体"/>
          <w:color w:val="auto"/>
          <w:sz w:val="24"/>
          <w:szCs w:val="24"/>
          <w:highlight w:val="none"/>
        </w:rPr>
      </w:pPr>
      <w:r>
        <w:rPr>
          <w:rFonts w:hint="eastAsia" w:ascii="宋体" w:hAnsi="宋体" w:cs="宋体"/>
          <w:bCs/>
          <w:color w:val="auto"/>
          <w:sz w:val="24"/>
          <w:szCs w:val="20"/>
          <w:highlight w:val="none"/>
        </w:rPr>
        <w:t>投标文件截止时间及开标时间：</w:t>
      </w:r>
      <w:r>
        <w:rPr>
          <w:rFonts w:hint="eastAsia" w:ascii="宋体" w:hAnsi="宋体" w:cs="宋体"/>
          <w:color w:val="auto"/>
          <w:sz w:val="24"/>
          <w:szCs w:val="24"/>
          <w:highlight w:val="none"/>
          <w:lang w:eastAsia="zh-CN"/>
        </w:rPr>
        <w:t>2026年11月12日9点30分</w:t>
      </w:r>
      <w:r>
        <w:rPr>
          <w:rFonts w:hint="eastAsia" w:ascii="宋体" w:hAnsi="宋体" w:cs="宋体"/>
          <w:color w:val="auto"/>
          <w:sz w:val="24"/>
          <w:szCs w:val="24"/>
          <w:highlight w:val="none"/>
        </w:rPr>
        <w:t>（北京时间）</w:t>
      </w:r>
    </w:p>
    <w:p w14:paraId="2BC5A6CB">
      <w:pPr>
        <w:pStyle w:val="451"/>
        <w:tabs>
          <w:tab w:val="left" w:pos="1134"/>
        </w:tabs>
        <w:spacing w:line="360" w:lineRule="auto"/>
        <w:ind w:left="1134" w:firstLine="0"/>
        <w:rPr>
          <w:rFonts w:hint="eastAsia" w:ascii="宋体" w:hAnsi="宋体" w:cs="宋体"/>
          <w:color w:val="auto"/>
          <w:sz w:val="24"/>
          <w:szCs w:val="24"/>
          <w:highlight w:val="none"/>
        </w:rPr>
      </w:pPr>
      <w:r>
        <w:rPr>
          <w:rFonts w:hint="eastAsia" w:ascii="宋体" w:hAnsi="宋体" w:cs="宋体"/>
          <w:color w:val="auto"/>
          <w:sz w:val="24"/>
          <w:szCs w:val="24"/>
          <w:highlight w:val="none"/>
        </w:rPr>
        <w:t>地点：</w:t>
      </w:r>
      <w:r>
        <w:rPr>
          <w:rFonts w:hint="eastAsia" w:ascii="宋体" w:hAnsi="宋体" w:cs="宋体"/>
          <w:color w:val="auto"/>
          <w:sz w:val="24"/>
          <w:highlight w:val="none"/>
        </w:rPr>
        <w:t>“苏采云”政府采购交易系统网上开标大厅。</w:t>
      </w:r>
    </w:p>
    <w:p w14:paraId="589C8BF1">
      <w:pPr>
        <w:pStyle w:val="451"/>
        <w:tabs>
          <w:tab w:val="left" w:pos="1134"/>
        </w:tabs>
        <w:spacing w:line="312" w:lineRule="auto"/>
        <w:ind w:left="708" w:firstLine="0"/>
        <w:outlineLvl w:val="1"/>
        <w:rPr>
          <w:rFonts w:hint="eastAsia" w:ascii="宋体" w:hAnsi="宋体" w:cs="宋体"/>
          <w:b/>
          <w:bCs/>
          <w:color w:val="auto"/>
          <w:sz w:val="24"/>
          <w:szCs w:val="24"/>
          <w:highlight w:val="none"/>
        </w:rPr>
      </w:pPr>
      <w:bookmarkStart w:id="28" w:name="_Toc8288"/>
      <w:bookmarkStart w:id="29" w:name="_Toc19411"/>
      <w:bookmarkStart w:id="30" w:name="_Toc5544"/>
      <w:r>
        <w:rPr>
          <w:rFonts w:hint="eastAsia" w:ascii="宋体" w:hAnsi="宋体" w:cs="宋体"/>
          <w:b/>
          <w:bCs/>
          <w:color w:val="auto"/>
          <w:sz w:val="24"/>
          <w:szCs w:val="24"/>
          <w:highlight w:val="none"/>
        </w:rPr>
        <w:t>五、公告期限</w:t>
      </w:r>
      <w:bookmarkEnd w:id="28"/>
      <w:bookmarkEnd w:id="29"/>
      <w:bookmarkEnd w:id="30"/>
    </w:p>
    <w:p w14:paraId="08B1805C">
      <w:pPr>
        <w:pStyle w:val="451"/>
        <w:tabs>
          <w:tab w:val="left" w:pos="1276"/>
        </w:tabs>
        <w:spacing w:line="312" w:lineRule="auto"/>
        <w:ind w:firstLine="1200"/>
        <w:rPr>
          <w:rFonts w:hint="eastAsia" w:ascii="宋体" w:hAnsi="宋体" w:cs="宋体"/>
          <w:color w:val="auto"/>
          <w:sz w:val="24"/>
          <w:szCs w:val="24"/>
          <w:highlight w:val="none"/>
        </w:rPr>
      </w:pPr>
      <w:r>
        <w:rPr>
          <w:rFonts w:hint="eastAsia" w:ascii="宋体" w:hAnsi="宋体" w:cs="宋体"/>
          <w:color w:val="auto"/>
          <w:sz w:val="24"/>
          <w:szCs w:val="24"/>
          <w:highlight w:val="none"/>
        </w:rPr>
        <w:t>自本公告发布之日起5个工作日。</w:t>
      </w:r>
    </w:p>
    <w:p w14:paraId="72B06282">
      <w:pPr>
        <w:pStyle w:val="451"/>
        <w:numPr>
          <w:ilvl w:val="0"/>
          <w:numId w:val="5"/>
        </w:numPr>
        <w:tabs>
          <w:tab w:val="left" w:pos="1134"/>
        </w:tabs>
        <w:spacing w:line="360" w:lineRule="exact"/>
        <w:ind w:left="709" w:firstLine="0"/>
        <w:outlineLvl w:val="1"/>
        <w:rPr>
          <w:rFonts w:hint="eastAsia" w:ascii="宋体" w:hAnsi="宋体" w:eastAsia="宋体" w:cs="宋体"/>
          <w:b/>
          <w:bCs/>
          <w:color w:val="auto"/>
          <w:sz w:val="24"/>
          <w:szCs w:val="24"/>
          <w:highlight w:val="none"/>
          <w:lang w:eastAsia="zh-CN"/>
        </w:rPr>
      </w:pPr>
      <w:bookmarkStart w:id="31" w:name="_Toc12830"/>
      <w:bookmarkStart w:id="32" w:name="_Toc12845"/>
      <w:bookmarkStart w:id="33" w:name="_Toc15265"/>
      <w:r>
        <w:rPr>
          <w:rFonts w:hint="eastAsia" w:ascii="宋体" w:hAnsi="宋体" w:cs="宋体"/>
          <w:b/>
          <w:bCs/>
          <w:color w:val="auto"/>
          <w:sz w:val="24"/>
          <w:szCs w:val="24"/>
          <w:highlight w:val="none"/>
        </w:rPr>
        <w:t>其他补充事宜</w:t>
      </w:r>
      <w:bookmarkEnd w:id="31"/>
      <w:bookmarkEnd w:id="32"/>
      <w:bookmarkEnd w:id="33"/>
    </w:p>
    <w:p w14:paraId="40C358D9">
      <w:pPr>
        <w:spacing w:line="360" w:lineRule="auto"/>
        <w:ind w:firstLine="964"/>
        <w:rPr>
          <w:rFonts w:hint="eastAsia" w:ascii="宋体" w:hAnsi="宋体" w:cs="宋体"/>
          <w:b/>
          <w:color w:val="auto"/>
          <w:sz w:val="24"/>
          <w:szCs w:val="24"/>
          <w:highlight w:val="none"/>
        </w:rPr>
      </w:pPr>
      <w:bookmarkStart w:id="34" w:name="_Toc10479"/>
      <w:r>
        <w:rPr>
          <w:rFonts w:hint="eastAsia" w:ascii="宋体" w:hAnsi="宋体" w:cs="宋体"/>
          <w:b/>
          <w:color w:val="auto"/>
          <w:sz w:val="24"/>
          <w:szCs w:val="24"/>
          <w:highlight w:val="none"/>
        </w:rPr>
        <w:t>1、潜在供应商访问政府采购管理交易系统（苏采云）的网络地址和方法：</w:t>
      </w:r>
    </w:p>
    <w:p w14:paraId="21345686">
      <w:pPr>
        <w:spacing w:line="360" w:lineRule="auto"/>
        <w:ind w:left="218" w:firstLine="379"/>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6FE8166A">
      <w:pPr>
        <w:spacing w:line="360" w:lineRule="auto"/>
        <w:ind w:left="218" w:firstLine="379"/>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（2）“CA数字证书”的获取：供应商需办理CA锁，“苏采云”系统目前仅支持“苏采云”系统下的政务CA，省内各地区办理的“苏采云”系统下的政务CA全省通用。</w:t>
      </w:r>
    </w:p>
    <w:p w14:paraId="35B0C224">
      <w:pPr>
        <w:spacing w:line="360" w:lineRule="auto"/>
        <w:ind w:left="218" w:firstLine="379"/>
        <w:jc w:val="lef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（3）“CA数字证书”的办理材料以及供应商操作手册详见</w:t>
      </w:r>
      <w:r>
        <w:rPr>
          <w:rFonts w:hint="eastAsia" w:ascii="宋体" w:hAnsi="宋体" w:cs="宋体"/>
          <w:bCs/>
          <w:color w:val="auto"/>
          <w:sz w:val="24"/>
          <w:szCs w:val="24"/>
          <w:highlight w:val="none"/>
          <w:lang w:val="en-US" w:eastAsia="zh-CN"/>
        </w:rPr>
        <w:t>苏采云系统。</w:t>
      </w:r>
    </w:p>
    <w:p w14:paraId="5914ACA1">
      <w:pPr>
        <w:spacing w:line="360" w:lineRule="auto"/>
        <w:ind w:left="218" w:firstLine="379"/>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（4）潜在供应商访问“苏采云”系统的网络地址和方法：“苏采云”系统的网址：https://jszfcg.jsczt.cn/jszc/login。</w:t>
      </w:r>
    </w:p>
    <w:p w14:paraId="092F7642">
      <w:pPr>
        <w:spacing w:line="360" w:lineRule="auto"/>
        <w:ind w:left="218" w:firstLine="379"/>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（5）采购文件（后缀名为“.kedt”）、供应商操作手册及政府采购客户端工具也可通过“苏采云”系统--已报名项目--报名详情页面内相应链接进行下载。</w:t>
      </w:r>
    </w:p>
    <w:p w14:paraId="7CD86650">
      <w:pPr>
        <w:spacing w:line="360" w:lineRule="auto"/>
        <w:ind w:left="218" w:firstLine="379"/>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（6）招标代理机构（采购代理机构）将数据电文形式的采购文件加载至“苏采云”系统，供潜在供应商下载或者查阅。    </w:t>
      </w:r>
    </w:p>
    <w:p w14:paraId="14DA0EF0">
      <w:pPr>
        <w:spacing w:line="360" w:lineRule="auto"/>
        <w:ind w:left="218" w:firstLine="379"/>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（7）苏采云系统使用谷歌浏览器参与不见面开标。</w:t>
      </w:r>
    </w:p>
    <w:p w14:paraId="35CC4054">
      <w:pPr>
        <w:spacing w:line="500" w:lineRule="exact"/>
        <w:ind w:firstLine="482" w:firstLineChars="200"/>
        <w:rPr>
          <w:rFonts w:hint="eastAsia" w:ascii="宋体" w:hAnsi="宋体" w:eastAsia="宋体" w:cs="宋体"/>
          <w:color w:val="auto"/>
          <w:sz w:val="24"/>
          <w:szCs w:val="24"/>
          <w:highlight w:val="none"/>
          <w:lang w:eastAsia="zh-CN"/>
        </w:rPr>
      </w:pPr>
      <w:r>
        <w:rPr>
          <w:rFonts w:hint="eastAsia" w:ascii="宋体" w:hAnsi="宋体" w:cs="宋体"/>
          <w:b/>
          <w:bCs w:val="0"/>
          <w:color w:val="auto"/>
          <w:sz w:val="24"/>
          <w:szCs w:val="24"/>
          <w:highlight w:val="none"/>
        </w:rPr>
        <w:t>2</w:t>
      </w:r>
      <w:r>
        <w:rPr>
          <w:rFonts w:hint="eastAsia" w:ascii="宋体" w:hAnsi="宋体" w:cs="宋体"/>
          <w:b/>
          <w:bCs w:val="0"/>
          <w:color w:val="auto"/>
          <w:sz w:val="24"/>
          <w:szCs w:val="24"/>
          <w:highlight w:val="none"/>
          <w:lang w:eastAsia="zh-CN"/>
        </w:rPr>
        <w:t>、</w:t>
      </w:r>
      <w:r>
        <w:rPr>
          <w:rFonts w:hint="eastAsia" w:ascii="宋体" w:hAnsi="宋体" w:cs="宋体"/>
          <w:b/>
          <w:bCs w:val="0"/>
          <w:color w:val="auto"/>
          <w:sz w:val="24"/>
          <w:szCs w:val="24"/>
          <w:highlight w:val="none"/>
        </w:rPr>
        <w:t>信用承诺：</w:t>
      </w:r>
      <w:r>
        <w:rPr>
          <w:rFonts w:hint="eastAsia" w:ascii="宋体" w:hAnsi="宋体" w:eastAsia="宋体" w:cs="宋体"/>
          <w:color w:val="auto"/>
          <w:sz w:val="24"/>
          <w:szCs w:val="24"/>
          <w:highlight w:val="none"/>
          <w:lang w:eastAsia="zh-CN"/>
        </w:rPr>
        <w:t>根据《关于在政府采购活动中推行信用承诺制的通知》宁财购通〔2021〕5号规定， 参加南京地区政府采购活动的供应商，应以书面形式向采购人或政府采购代理机构作出信用承诺。供应商提供</w:t>
      </w:r>
      <w:r>
        <w:rPr>
          <w:rFonts w:hint="eastAsia" w:ascii="宋体" w:hAnsi="宋体" w:eastAsia="宋体" w:cs="宋体"/>
          <w:b/>
          <w:bCs/>
          <w:color w:val="auto"/>
          <w:sz w:val="24"/>
          <w:szCs w:val="24"/>
          <w:highlight w:val="none"/>
          <w:lang w:eastAsia="zh-CN"/>
        </w:rPr>
        <w:t>《南京市政府采购供应商信用承诺书》，由法定代表人签字并盖单位公章。</w:t>
      </w:r>
    </w:p>
    <w:p w14:paraId="00A4D2E2">
      <w:pPr>
        <w:spacing w:line="500" w:lineRule="exact"/>
        <w:ind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在政府采购资格审查环节，供应商只需提供书面《南京市政府采购供应商信用承诺书》，即可替代以下证明材料： </w:t>
      </w:r>
    </w:p>
    <w:p w14:paraId="06590898">
      <w:pPr>
        <w:spacing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（1）符合国家相关规定的财务状况报告； </w:t>
      </w:r>
    </w:p>
    <w:p w14:paraId="502F9E3F">
      <w:pPr>
        <w:spacing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（2）依法缴纳税收的证明材料； </w:t>
      </w:r>
    </w:p>
    <w:p w14:paraId="230BFA97">
      <w:pPr>
        <w:spacing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（3）依法缴纳社会保障资金的证明材料； </w:t>
      </w:r>
    </w:p>
    <w:p w14:paraId="6B3FAA66">
      <w:pPr>
        <w:spacing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（4）具备履行政府采购合同所必需的设备和专业技术能力的证明材料； </w:t>
      </w:r>
    </w:p>
    <w:p w14:paraId="6B619F54">
      <w:pPr>
        <w:spacing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（5）参加政府采购活动前三年内在经营活动中没有重大违法记录的证明材料； </w:t>
      </w:r>
    </w:p>
    <w:p w14:paraId="34C5921A">
      <w:pPr>
        <w:spacing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（6）未被列入失信被执行人、重大税收违法失信主体、政府采购严重违法失信行为记录名单的证明材料。 </w:t>
      </w:r>
    </w:p>
    <w:p w14:paraId="51197308">
      <w:pPr>
        <w:spacing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供应商在中标（成交）后，应按采购文件要求，将上述由信用承诺书替代的证明材料提交采购人或采购代理机构核验。经核验无误后，由采购人或采购代理机构发出中标（成交）通知书。 </w:t>
      </w:r>
    </w:p>
    <w:p w14:paraId="18625C71">
      <w:pPr>
        <w:spacing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供应商涉及以下情形的，不适用信用承诺： </w:t>
      </w:r>
    </w:p>
    <w:p w14:paraId="1344BC69">
      <w:pPr>
        <w:spacing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（1）供应商被列入严重失信主体名单； </w:t>
      </w:r>
    </w:p>
    <w:p w14:paraId="109A9BF9">
      <w:pPr>
        <w:spacing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（2）被相关监管部门作出行政处罚且尚在处罚有效期内； </w:t>
      </w:r>
    </w:p>
    <w:p w14:paraId="03F1F995">
      <w:pPr>
        <w:spacing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（3）其他法律、行政法规规定的不适用信用承诺的情形。 </w:t>
      </w:r>
    </w:p>
    <w:p w14:paraId="3FEA64B5">
      <w:pPr>
        <w:spacing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供应商对信用承诺内容的真实性、合法性、有效性负责。如作出虚假信用承诺，视同为“提供虚假材料谋取中标、成交”的违法行为。</w:t>
      </w:r>
    </w:p>
    <w:p w14:paraId="1E3DE8EC">
      <w:pPr>
        <w:spacing w:line="360" w:lineRule="auto"/>
        <w:ind w:firstLine="723" w:firstLineChars="300"/>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t>3.有关本次采购的事项若存在变动或修改，敬请及时关注“江苏政府采购网”发布的信息。</w:t>
      </w:r>
    </w:p>
    <w:p w14:paraId="21B2259D">
      <w:pPr>
        <w:spacing w:line="360" w:lineRule="auto"/>
        <w:ind w:firstLine="723" w:firstLineChars="300"/>
        <w:rPr>
          <w:rFonts w:hint="eastAsia" w:ascii="宋体" w:hAnsi="宋体" w:cs="宋体"/>
          <w:b/>
          <w:bCs w:val="0"/>
          <w:color w:val="auto"/>
          <w:sz w:val="24"/>
          <w:szCs w:val="24"/>
          <w:highlight w:val="none"/>
        </w:rPr>
      </w:pPr>
      <w:r>
        <w:rPr>
          <w:rFonts w:hint="eastAsia" w:ascii="宋体" w:hAnsi="宋体" w:cs="宋体"/>
          <w:b/>
          <w:bCs/>
          <w:color w:val="auto"/>
          <w:sz w:val="24"/>
          <w:szCs w:val="24"/>
          <w:highlight w:val="none"/>
          <w:lang w:val="en-US" w:eastAsia="zh-CN"/>
        </w:rPr>
        <w:t>4.本项目代理机构编号：1009-2641HOLLY18K</w:t>
      </w:r>
    </w:p>
    <w:p w14:paraId="481D60ED">
      <w:pPr>
        <w:pStyle w:val="451"/>
        <w:tabs>
          <w:tab w:val="left" w:pos="1134"/>
        </w:tabs>
        <w:spacing w:line="360" w:lineRule="auto"/>
        <w:ind w:left="709" w:firstLine="0"/>
        <w:outlineLvl w:val="1"/>
        <w:rPr>
          <w:rFonts w:hint="eastAsia" w:ascii="宋体" w:hAnsi="宋体" w:cs="宋体"/>
          <w:b/>
          <w:bCs/>
          <w:color w:val="auto"/>
          <w:sz w:val="24"/>
          <w:szCs w:val="24"/>
          <w:highlight w:val="none"/>
        </w:rPr>
      </w:pPr>
      <w:bookmarkStart w:id="35" w:name="_Toc26301"/>
      <w:bookmarkStart w:id="36" w:name="_Toc24284"/>
      <w:r>
        <w:rPr>
          <w:rFonts w:hint="eastAsia" w:ascii="宋体" w:hAnsi="宋体" w:cs="宋体"/>
          <w:b/>
          <w:bCs/>
          <w:color w:val="auto"/>
          <w:sz w:val="24"/>
          <w:szCs w:val="24"/>
          <w:highlight w:val="none"/>
        </w:rPr>
        <w:t>七、对本次招标提出询问，请按以下方式联系。</w:t>
      </w:r>
      <w:bookmarkEnd w:id="34"/>
      <w:bookmarkEnd w:id="35"/>
      <w:bookmarkEnd w:id="36"/>
    </w:p>
    <w:p w14:paraId="6009C544">
      <w:pPr>
        <w:pStyle w:val="268"/>
        <w:spacing w:before="0" w:beforeAutospacing="0" w:after="0" w:afterAutospacing="0" w:line="360" w:lineRule="auto"/>
        <w:ind w:firstLine="720"/>
        <w:outlineLvl w:val="1"/>
        <w:rPr>
          <w:rFonts w:hint="eastAsia" w:hAnsi="宋体" w:cs="宋体"/>
          <w:color w:val="auto"/>
          <w:szCs w:val="24"/>
          <w:highlight w:val="none"/>
        </w:rPr>
      </w:pPr>
      <w:bookmarkStart w:id="37" w:name="_Toc5336"/>
      <w:bookmarkStart w:id="38" w:name="_Toc25617"/>
      <w:bookmarkStart w:id="39" w:name="_Toc11624"/>
      <w:r>
        <w:rPr>
          <w:rFonts w:hint="eastAsia" w:hAnsi="宋体" w:cs="宋体"/>
          <w:color w:val="auto"/>
          <w:szCs w:val="24"/>
          <w:highlight w:val="none"/>
        </w:rPr>
        <w:t>1.采购人信息</w:t>
      </w:r>
      <w:bookmarkEnd w:id="37"/>
    </w:p>
    <w:bookmarkEnd w:id="38"/>
    <w:bookmarkEnd w:id="39"/>
    <w:p w14:paraId="6D038CA2">
      <w:pPr>
        <w:pStyle w:val="451"/>
        <w:tabs>
          <w:tab w:val="left" w:pos="1276"/>
        </w:tabs>
        <w:spacing w:line="329" w:lineRule="auto"/>
        <w:ind w:left="709"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1.采购人信息</w:t>
      </w:r>
    </w:p>
    <w:p w14:paraId="212795A7">
      <w:pPr>
        <w:pStyle w:val="451"/>
        <w:tabs>
          <w:tab w:val="left" w:pos="1276"/>
        </w:tabs>
        <w:spacing w:line="329" w:lineRule="auto"/>
        <w:ind w:left="709" w:firstLine="56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采购人：</w:t>
      </w:r>
      <w:r>
        <w:rPr>
          <w:rFonts w:hint="eastAsia" w:ascii="宋体" w:hAnsi="宋体" w:cs="宋体"/>
          <w:color w:val="auto"/>
          <w:sz w:val="24"/>
          <w:szCs w:val="24"/>
          <w:highlight w:val="none"/>
          <w:lang w:eastAsia="zh-CN"/>
        </w:rPr>
        <w:t>南京市秦淮区朝天宫社区卫生服务中心</w:t>
      </w:r>
    </w:p>
    <w:p w14:paraId="51C0903A">
      <w:pPr>
        <w:pStyle w:val="451"/>
        <w:tabs>
          <w:tab w:val="left" w:pos="1276"/>
        </w:tabs>
        <w:spacing w:line="329" w:lineRule="auto"/>
        <w:ind w:left="709" w:firstLine="56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采购人地址：</w:t>
      </w:r>
      <w:r>
        <w:rPr>
          <w:rFonts w:hint="eastAsia" w:ascii="宋体" w:hAnsi="宋体" w:cs="宋体"/>
          <w:color w:val="auto"/>
          <w:sz w:val="24"/>
          <w:szCs w:val="24"/>
          <w:highlight w:val="none"/>
          <w:lang w:eastAsia="zh-CN"/>
        </w:rPr>
        <w:t>南京市秦淮区王府大街121号</w:t>
      </w:r>
    </w:p>
    <w:p w14:paraId="119C70B9">
      <w:pPr>
        <w:pStyle w:val="451"/>
        <w:tabs>
          <w:tab w:val="left" w:pos="1276"/>
        </w:tabs>
        <w:spacing w:line="329" w:lineRule="auto"/>
        <w:ind w:left="709" w:firstLine="560"/>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联系人：潘老师</w:t>
      </w:r>
    </w:p>
    <w:p w14:paraId="61E15A0D">
      <w:pPr>
        <w:pStyle w:val="451"/>
        <w:tabs>
          <w:tab w:val="left" w:pos="1276"/>
        </w:tabs>
        <w:spacing w:line="329" w:lineRule="auto"/>
        <w:ind w:left="709" w:firstLine="560"/>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联系方式：025-84468012</w:t>
      </w:r>
    </w:p>
    <w:p w14:paraId="0CE95335">
      <w:pPr>
        <w:pStyle w:val="451"/>
        <w:tabs>
          <w:tab w:val="left" w:pos="1276"/>
        </w:tabs>
        <w:spacing w:line="329" w:lineRule="auto"/>
        <w:ind w:left="709" w:firstLine="560"/>
        <w:rPr>
          <w:rFonts w:hint="eastAsia" w:ascii="宋体" w:hAnsi="宋体" w:cs="宋体"/>
          <w:color w:val="auto"/>
          <w:sz w:val="24"/>
          <w:szCs w:val="24"/>
          <w:highlight w:val="none"/>
        </w:rPr>
      </w:pPr>
      <w:r>
        <w:rPr>
          <w:rFonts w:hint="eastAsia" w:ascii="宋体" w:hAnsi="宋体" w:cs="宋体"/>
          <w:color w:val="auto"/>
          <w:sz w:val="24"/>
          <w:szCs w:val="24"/>
          <w:highlight w:val="none"/>
          <w:shd w:val="clear" w:color="auto" w:fill="FFFFFF"/>
        </w:rPr>
        <w:t>2.采购</w:t>
      </w:r>
      <w:r>
        <w:rPr>
          <w:rFonts w:hint="eastAsia" w:ascii="宋体" w:hAnsi="宋体" w:cs="宋体"/>
          <w:color w:val="auto"/>
          <w:sz w:val="24"/>
          <w:szCs w:val="24"/>
          <w:highlight w:val="none"/>
        </w:rPr>
        <w:t>代理机构信息</w:t>
      </w:r>
    </w:p>
    <w:p w14:paraId="7B44250B">
      <w:pPr>
        <w:pStyle w:val="451"/>
        <w:tabs>
          <w:tab w:val="left" w:pos="1276"/>
        </w:tabs>
        <w:spacing w:line="329" w:lineRule="auto"/>
        <w:ind w:left="709"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名称：江苏弘业国际技术工程有限公司</w:t>
      </w:r>
    </w:p>
    <w:p w14:paraId="090D0023">
      <w:pPr>
        <w:pStyle w:val="451"/>
        <w:tabs>
          <w:tab w:val="left" w:pos="1276"/>
        </w:tabs>
        <w:spacing w:line="329" w:lineRule="auto"/>
        <w:ind w:left="709" w:firstLine="560"/>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rPr>
        <w:t>地址：南京市中华路50号弘业大厦10楼</w:t>
      </w:r>
    </w:p>
    <w:p w14:paraId="1670C9F1">
      <w:pPr>
        <w:pStyle w:val="451"/>
        <w:tabs>
          <w:tab w:val="left" w:pos="1276"/>
        </w:tabs>
        <w:spacing w:line="329" w:lineRule="auto"/>
        <w:ind w:left="709" w:firstLine="560"/>
        <w:rPr>
          <w:rFonts w:hint="eastAsia" w:ascii="宋体" w:hAnsi="宋体" w:eastAsia="宋体" w:cs="宋体"/>
          <w:color w:val="auto"/>
          <w:sz w:val="24"/>
          <w:szCs w:val="24"/>
          <w:highlight w:val="none"/>
          <w:shd w:val="clear" w:color="auto" w:fill="FFFFFF"/>
          <w:lang w:eastAsia="zh-CN"/>
        </w:rPr>
      </w:pPr>
      <w:r>
        <w:rPr>
          <w:rFonts w:hint="eastAsia" w:ascii="宋体" w:hAnsi="宋体" w:cs="宋体"/>
          <w:color w:val="auto"/>
          <w:sz w:val="24"/>
          <w:szCs w:val="24"/>
          <w:highlight w:val="none"/>
          <w:shd w:val="clear" w:color="auto" w:fill="FFFFFF"/>
        </w:rPr>
        <w:t>联系方式：</w:t>
      </w:r>
      <w:r>
        <w:rPr>
          <w:rFonts w:hint="eastAsia" w:ascii="宋体" w:hAnsi="宋体" w:cs="宋体"/>
          <w:color w:val="auto"/>
          <w:sz w:val="24"/>
          <w:szCs w:val="24"/>
          <w:highlight w:val="none"/>
        </w:rPr>
        <w:t>025-52278761</w:t>
      </w:r>
      <w:r>
        <w:rPr>
          <w:rFonts w:hint="eastAsia" w:ascii="宋体" w:hAnsi="宋体" w:cs="宋体"/>
          <w:color w:val="auto"/>
          <w:sz w:val="24"/>
          <w:szCs w:val="24"/>
          <w:highlight w:val="none"/>
          <w:shd w:val="clear" w:color="auto" w:fill="FFFFFF"/>
          <w:lang w:val="en-US" w:eastAsia="zh-CN"/>
        </w:rPr>
        <w:t xml:space="preserve"> </w:t>
      </w:r>
    </w:p>
    <w:p w14:paraId="777D5539">
      <w:pPr>
        <w:pStyle w:val="451"/>
        <w:tabs>
          <w:tab w:val="left" w:pos="1276"/>
        </w:tabs>
        <w:spacing w:line="329" w:lineRule="auto"/>
        <w:ind w:left="709"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传  真：025-52278761</w:t>
      </w:r>
    </w:p>
    <w:p w14:paraId="00599BC3">
      <w:pPr>
        <w:pStyle w:val="451"/>
        <w:tabs>
          <w:tab w:val="left" w:pos="1134"/>
        </w:tabs>
        <w:spacing w:line="329" w:lineRule="auto"/>
        <w:ind w:left="709"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邮箱：</w:t>
      </w:r>
      <w:r>
        <w:rPr>
          <w:color w:val="auto"/>
          <w:highlight w:val="none"/>
        </w:rPr>
        <w:fldChar w:fldCharType="begin"/>
      </w:r>
      <w:r>
        <w:rPr>
          <w:color w:val="auto"/>
          <w:highlight w:val="none"/>
        </w:rPr>
        <w:instrText xml:space="preserve"> HYPERLINK "mailto:hollyzbzy@artall.com" </w:instrText>
      </w:r>
      <w:r>
        <w:rPr>
          <w:color w:val="auto"/>
          <w:highlight w:val="none"/>
        </w:rPr>
        <w:fldChar w:fldCharType="separate"/>
      </w:r>
      <w:r>
        <w:rPr>
          <w:rFonts w:hint="eastAsia" w:ascii="宋体" w:hAnsi="宋体" w:cs="宋体"/>
          <w:color w:val="auto"/>
          <w:sz w:val="24"/>
          <w:szCs w:val="24"/>
          <w:highlight w:val="none"/>
        </w:rPr>
        <w:t>hollyzbzy@artall.com</w:t>
      </w:r>
      <w:r>
        <w:rPr>
          <w:rFonts w:hint="eastAsia" w:ascii="宋体" w:hAnsi="宋体" w:cs="宋体"/>
          <w:color w:val="auto"/>
          <w:sz w:val="24"/>
          <w:szCs w:val="24"/>
          <w:highlight w:val="none"/>
        </w:rPr>
        <w:fldChar w:fldCharType="end"/>
      </w:r>
    </w:p>
    <w:p w14:paraId="26F2B0A9">
      <w:pPr>
        <w:pStyle w:val="451"/>
        <w:tabs>
          <w:tab w:val="left" w:pos="1134"/>
        </w:tabs>
        <w:spacing w:line="329" w:lineRule="auto"/>
        <w:ind w:left="709"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shd w:val="clear" w:color="auto" w:fill="FFFFFF"/>
        </w:rPr>
        <w:t>.</w:t>
      </w:r>
      <w:r>
        <w:rPr>
          <w:rFonts w:hint="eastAsia" w:ascii="宋体" w:hAnsi="宋体" w:cs="宋体"/>
          <w:color w:val="auto"/>
          <w:sz w:val="24"/>
          <w:szCs w:val="24"/>
          <w:highlight w:val="none"/>
        </w:rPr>
        <w:t>项目联系方式</w:t>
      </w:r>
    </w:p>
    <w:p w14:paraId="1EAD598B">
      <w:pPr>
        <w:pStyle w:val="451"/>
        <w:tabs>
          <w:tab w:val="left" w:pos="1276"/>
        </w:tabs>
        <w:spacing w:line="329" w:lineRule="auto"/>
        <w:ind w:left="709"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项目联系人：</w:t>
      </w:r>
      <w:r>
        <w:rPr>
          <w:rFonts w:hint="eastAsia" w:ascii="宋体" w:hAnsi="宋体" w:cs="宋体"/>
          <w:color w:val="auto"/>
          <w:sz w:val="24"/>
          <w:szCs w:val="24"/>
          <w:highlight w:val="none"/>
          <w:lang w:val="en-US" w:eastAsia="zh-CN"/>
        </w:rPr>
        <w:t xml:space="preserve"> 薛啸波</w:t>
      </w:r>
    </w:p>
    <w:p w14:paraId="3554C7B5">
      <w:pPr>
        <w:pStyle w:val="451"/>
        <w:tabs>
          <w:tab w:val="left" w:pos="1276"/>
        </w:tabs>
        <w:spacing w:line="329" w:lineRule="auto"/>
        <w:ind w:left="709"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电话：025-52278761</w:t>
      </w:r>
    </w:p>
    <w:p w14:paraId="52C26724">
      <w:pPr>
        <w:jc w:val="center"/>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bookmarkStart w:id="40" w:name="_Toc7212"/>
      <w:bookmarkStart w:id="41" w:name="_Toc29584"/>
      <w:r>
        <w:rPr>
          <w:rFonts w:hint="eastAsia" w:ascii="宋体" w:hAnsi="宋体" w:cs="宋体"/>
          <w:b/>
          <w:color w:val="auto"/>
          <w:sz w:val="44"/>
          <w:szCs w:val="44"/>
          <w:highlight w:val="none"/>
        </w:rPr>
        <w:t>第二部分  投标人须知</w:t>
      </w:r>
      <w:bookmarkEnd w:id="40"/>
      <w:bookmarkEnd w:id="41"/>
    </w:p>
    <w:p w14:paraId="06FBAC52">
      <w:pPr>
        <w:pStyle w:val="204"/>
        <w:keepNext w:val="0"/>
        <w:keepLines w:val="0"/>
        <w:spacing w:before="0" w:after="0" w:line="240" w:lineRule="auto"/>
        <w:jc w:val="center"/>
        <w:rPr>
          <w:rFonts w:hint="eastAsia" w:ascii="宋体" w:hAnsi="宋体" w:eastAsia="宋体" w:cs="宋体"/>
          <w:color w:val="auto"/>
          <w:highlight w:val="none"/>
        </w:rPr>
      </w:pPr>
      <w:bookmarkStart w:id="42" w:name="_Toc17705"/>
      <w:bookmarkStart w:id="43" w:name="_Toc17216"/>
      <w:bookmarkStart w:id="44" w:name="_Toc514054471"/>
      <w:bookmarkStart w:id="45" w:name="_Toc10216"/>
      <w:r>
        <w:rPr>
          <w:rFonts w:hint="eastAsia" w:ascii="宋体" w:hAnsi="宋体" w:eastAsia="宋体" w:cs="宋体"/>
          <w:color w:val="auto"/>
          <w:highlight w:val="none"/>
        </w:rPr>
        <w:t>投标人须知前附表</w:t>
      </w:r>
      <w:bookmarkEnd w:id="42"/>
      <w:bookmarkEnd w:id="43"/>
      <w:bookmarkEnd w:id="44"/>
      <w:bookmarkEnd w:id="45"/>
    </w:p>
    <w:tbl>
      <w:tblPr>
        <w:tblStyle w:val="34"/>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43"/>
        <w:gridCol w:w="2519"/>
        <w:gridCol w:w="6297"/>
      </w:tblGrid>
      <w:tr w14:paraId="24228E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000E69E9">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序号</w:t>
            </w:r>
          </w:p>
        </w:tc>
        <w:tc>
          <w:tcPr>
            <w:tcW w:w="2519" w:type="dxa"/>
            <w:vAlign w:val="center"/>
          </w:tcPr>
          <w:p w14:paraId="4401B1E3">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内容</w:t>
            </w:r>
          </w:p>
        </w:tc>
        <w:tc>
          <w:tcPr>
            <w:tcW w:w="6297" w:type="dxa"/>
            <w:vAlign w:val="center"/>
          </w:tcPr>
          <w:p w14:paraId="10122BAF">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说明及要求</w:t>
            </w:r>
          </w:p>
        </w:tc>
      </w:tr>
      <w:tr w14:paraId="7357B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5CAE5D08">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2519" w:type="dxa"/>
            <w:vAlign w:val="center"/>
          </w:tcPr>
          <w:p w14:paraId="2833DD3D">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特别说明</w:t>
            </w:r>
          </w:p>
        </w:tc>
        <w:tc>
          <w:tcPr>
            <w:tcW w:w="6297" w:type="dxa"/>
            <w:vAlign w:val="center"/>
          </w:tcPr>
          <w:p w14:paraId="68BB4520">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若有内容与投标人须知前附表内容不一致时，以投标人须知前附表为准。</w:t>
            </w:r>
          </w:p>
        </w:tc>
      </w:tr>
      <w:tr w14:paraId="0AE427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shd w:val="clear" w:color="auto" w:fill="auto"/>
            <w:vAlign w:val="center"/>
          </w:tcPr>
          <w:p w14:paraId="0869F49C">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2</w:t>
            </w:r>
          </w:p>
        </w:tc>
        <w:tc>
          <w:tcPr>
            <w:tcW w:w="2519" w:type="dxa"/>
            <w:vAlign w:val="center"/>
          </w:tcPr>
          <w:p w14:paraId="63D9C987">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投标保证金</w:t>
            </w:r>
          </w:p>
        </w:tc>
        <w:tc>
          <w:tcPr>
            <w:tcW w:w="6297" w:type="dxa"/>
            <w:vAlign w:val="center"/>
          </w:tcPr>
          <w:p w14:paraId="35153D79">
            <w:pPr>
              <w:rPr>
                <w:rFonts w:hint="eastAsia" w:ascii="宋体" w:hAnsi="宋体" w:cs="宋体"/>
                <w:color w:val="auto"/>
                <w:sz w:val="24"/>
                <w:szCs w:val="24"/>
                <w:highlight w:val="none"/>
              </w:rPr>
            </w:pPr>
            <w:r>
              <w:rPr>
                <w:rFonts w:hint="eastAsia" w:ascii="宋体" w:hAnsi="宋体" w:cs="宋体"/>
                <w:color w:val="auto"/>
                <w:sz w:val="24"/>
                <w:szCs w:val="24"/>
                <w:highlight w:val="none"/>
              </w:rPr>
              <w:t>本项目不收取投标保证金</w:t>
            </w:r>
          </w:p>
        </w:tc>
      </w:tr>
      <w:tr w14:paraId="5043E7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shd w:val="clear" w:color="auto" w:fill="auto"/>
            <w:vAlign w:val="center"/>
          </w:tcPr>
          <w:p w14:paraId="6DC63362">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3</w:t>
            </w:r>
          </w:p>
        </w:tc>
        <w:tc>
          <w:tcPr>
            <w:tcW w:w="2519" w:type="dxa"/>
            <w:vAlign w:val="center"/>
          </w:tcPr>
          <w:p w14:paraId="67AE1D53">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投标有效期</w:t>
            </w:r>
          </w:p>
        </w:tc>
        <w:tc>
          <w:tcPr>
            <w:tcW w:w="6297" w:type="dxa"/>
            <w:vAlign w:val="center"/>
          </w:tcPr>
          <w:p w14:paraId="1DA7FA8E">
            <w:pPr>
              <w:widowControl/>
              <w:rPr>
                <w:rFonts w:hint="eastAsia" w:ascii="宋体" w:hAnsi="宋体" w:cs="宋体"/>
                <w:color w:val="auto"/>
                <w:sz w:val="24"/>
                <w:szCs w:val="24"/>
                <w:highlight w:val="none"/>
              </w:rPr>
            </w:pPr>
            <w:bookmarkStart w:id="46" w:name="EBd40b5fb42f2944a3b45e579ce3941f02"/>
            <w:r>
              <w:rPr>
                <w:rFonts w:hint="eastAsia" w:ascii="宋体" w:hAnsi="宋体" w:cs="宋体"/>
                <w:color w:val="auto"/>
                <w:sz w:val="24"/>
                <w:szCs w:val="24"/>
                <w:highlight w:val="none"/>
              </w:rPr>
              <w:t>90</w:t>
            </w:r>
            <w:bookmarkEnd w:id="46"/>
            <w:r>
              <w:rPr>
                <w:rFonts w:hint="eastAsia" w:ascii="宋体" w:hAnsi="宋体" w:cs="宋体"/>
                <w:color w:val="auto"/>
                <w:sz w:val="24"/>
                <w:szCs w:val="24"/>
                <w:highlight w:val="none"/>
              </w:rPr>
              <w:t>日（从提交投标文件截止之日起算）</w:t>
            </w:r>
          </w:p>
        </w:tc>
      </w:tr>
      <w:tr w14:paraId="273FDD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shd w:val="clear" w:color="auto" w:fill="auto"/>
            <w:vAlign w:val="center"/>
          </w:tcPr>
          <w:p w14:paraId="21A38190">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4</w:t>
            </w:r>
          </w:p>
        </w:tc>
        <w:tc>
          <w:tcPr>
            <w:tcW w:w="2519" w:type="dxa"/>
            <w:shd w:val="clear" w:color="auto" w:fill="auto"/>
            <w:vAlign w:val="center"/>
          </w:tcPr>
          <w:p w14:paraId="4BB74B51">
            <w:pPr>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核心产品</w:t>
            </w:r>
          </w:p>
        </w:tc>
        <w:tc>
          <w:tcPr>
            <w:tcW w:w="6297" w:type="dxa"/>
            <w:shd w:val="clear" w:color="auto" w:fill="auto"/>
            <w:vAlign w:val="center"/>
          </w:tcPr>
          <w:p w14:paraId="3B12094B">
            <w:pPr>
              <w:numPr>
                <w:ilvl w:val="0"/>
                <w:numId w:val="0"/>
              </w:numPr>
              <w:spacing w:line="360" w:lineRule="auto"/>
              <w:ind w:left="0" w:leftChars="0" w:firstLine="0" w:firstLineChars="0"/>
              <w:rPr>
                <w:rFonts w:hint="eastAsia" w:ascii="宋体" w:hAnsi="宋体" w:eastAsia="宋体" w:cs="宋体"/>
                <w:b/>
                <w:bCs/>
                <w:color w:val="auto"/>
                <w:sz w:val="24"/>
                <w:szCs w:val="24"/>
                <w:highlight w:val="none"/>
                <w:lang w:val="en-US" w:eastAsia="zh-CN" w:bidi="ar-SA"/>
              </w:rPr>
            </w:pPr>
            <w:r>
              <w:rPr>
                <w:rFonts w:hint="eastAsia" w:ascii="宋体" w:hAnsi="宋体" w:cs="宋体"/>
                <w:color w:val="auto"/>
                <w:sz w:val="24"/>
                <w:highlight w:val="none"/>
                <w:lang w:val="en-US" w:eastAsia="zh-CN"/>
              </w:rPr>
              <w:t>本项目核心产品为：品目2、品目4、品目13</w:t>
            </w:r>
            <w:r>
              <w:rPr>
                <w:rFonts w:hint="eastAsia" w:ascii="宋体" w:hAnsi="宋体" w:cs="宋体"/>
                <w:color w:val="auto"/>
                <w:sz w:val="24"/>
                <w:szCs w:val="24"/>
                <w:highlight w:val="none"/>
                <w:lang w:val="en-US" w:eastAsia="zh-CN"/>
              </w:rPr>
              <w:t>；</w:t>
            </w:r>
          </w:p>
        </w:tc>
      </w:tr>
      <w:tr w14:paraId="102585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shd w:val="clear" w:color="auto" w:fill="auto"/>
            <w:vAlign w:val="center"/>
          </w:tcPr>
          <w:p w14:paraId="581B2293">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5</w:t>
            </w:r>
          </w:p>
        </w:tc>
        <w:tc>
          <w:tcPr>
            <w:tcW w:w="2519" w:type="dxa"/>
            <w:vAlign w:val="center"/>
          </w:tcPr>
          <w:p w14:paraId="240A35A0">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评标办法</w:t>
            </w:r>
          </w:p>
        </w:tc>
        <w:tc>
          <w:tcPr>
            <w:tcW w:w="6297" w:type="dxa"/>
            <w:vAlign w:val="center"/>
          </w:tcPr>
          <w:p w14:paraId="36B7F4E5">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综合评分法</w:t>
            </w:r>
          </w:p>
          <w:p w14:paraId="4A3AD0C1">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具体评标办法详见招标文件第三部分。</w:t>
            </w:r>
          </w:p>
          <w:p w14:paraId="4D67549A">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评标委员会按照招标文件规定的评标办法和标准，确定各投标人经评审后的得分，并按得分由高到低进行排序。</w:t>
            </w:r>
          </w:p>
        </w:tc>
      </w:tr>
      <w:tr w14:paraId="210F2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shd w:val="clear" w:color="auto" w:fill="auto"/>
            <w:vAlign w:val="center"/>
          </w:tcPr>
          <w:p w14:paraId="0A84BB6C">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6</w:t>
            </w:r>
          </w:p>
        </w:tc>
        <w:tc>
          <w:tcPr>
            <w:tcW w:w="2519" w:type="dxa"/>
            <w:vAlign w:val="center"/>
          </w:tcPr>
          <w:p w14:paraId="2116E5B8">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中标通知书领取</w:t>
            </w:r>
          </w:p>
        </w:tc>
        <w:tc>
          <w:tcPr>
            <w:tcW w:w="6297" w:type="dxa"/>
            <w:vAlign w:val="center"/>
          </w:tcPr>
          <w:p w14:paraId="06778243">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领取地址：南京市中华路50号弘业大厦10楼</w:t>
            </w:r>
          </w:p>
          <w:p w14:paraId="31CD0395">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需提供材料：中标服务费缴纳截图</w:t>
            </w:r>
          </w:p>
        </w:tc>
      </w:tr>
      <w:tr w14:paraId="3BDED4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shd w:val="clear" w:color="auto" w:fill="auto"/>
            <w:vAlign w:val="center"/>
          </w:tcPr>
          <w:p w14:paraId="5DD65DCE">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7</w:t>
            </w:r>
          </w:p>
        </w:tc>
        <w:tc>
          <w:tcPr>
            <w:tcW w:w="2519" w:type="dxa"/>
            <w:vAlign w:val="center"/>
          </w:tcPr>
          <w:p w14:paraId="03D98A85">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中标服务费的收取</w:t>
            </w:r>
          </w:p>
        </w:tc>
        <w:tc>
          <w:tcPr>
            <w:tcW w:w="6297" w:type="dxa"/>
            <w:vAlign w:val="center"/>
          </w:tcPr>
          <w:p w14:paraId="4BA3CC42">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本项目中标服务费参照苏政采协〔2024〕20号文</w:t>
            </w:r>
            <w:r>
              <w:rPr>
                <w:rFonts w:hint="eastAsia" w:ascii="宋体" w:hAnsi="宋体" w:cs="宋体"/>
                <w:color w:val="auto"/>
                <w:sz w:val="24"/>
                <w:highlight w:val="none"/>
              </w:rPr>
              <w:t>收取</w:t>
            </w:r>
            <w:r>
              <w:rPr>
                <w:rFonts w:hint="eastAsia" w:ascii="宋体" w:hAnsi="宋体" w:cs="宋体"/>
                <w:color w:val="auto"/>
                <w:sz w:val="24"/>
                <w:szCs w:val="24"/>
                <w:highlight w:val="none"/>
              </w:rPr>
              <w:t>。</w:t>
            </w:r>
          </w:p>
          <w:p w14:paraId="65DFE5CD">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账户信息：</w:t>
            </w:r>
          </w:p>
          <w:p w14:paraId="597FE3E7">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户    名：江苏弘业国际技术工程有限公司</w:t>
            </w:r>
          </w:p>
          <w:p w14:paraId="1A570D7B">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开户银行：中国银行南京市中华路支行   </w:t>
            </w:r>
          </w:p>
          <w:p w14:paraId="18ACE521">
            <w:pPr>
              <w:widowControl/>
              <w:rPr>
                <w:rFonts w:hint="eastAsia" w:ascii="宋体" w:hAnsi="宋体" w:cs="宋体"/>
                <w:color w:val="auto"/>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账    号：527460884999</w:t>
            </w:r>
          </w:p>
        </w:tc>
      </w:tr>
      <w:tr w14:paraId="225698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trPr>
        <w:tc>
          <w:tcPr>
            <w:tcW w:w="1043" w:type="dxa"/>
            <w:shd w:val="clear" w:color="auto" w:fill="auto"/>
            <w:vAlign w:val="center"/>
          </w:tcPr>
          <w:p w14:paraId="6E85E885">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8</w:t>
            </w:r>
          </w:p>
        </w:tc>
        <w:tc>
          <w:tcPr>
            <w:tcW w:w="2519" w:type="dxa"/>
            <w:vAlign w:val="center"/>
          </w:tcPr>
          <w:p w14:paraId="2236365F">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履约保证金</w:t>
            </w:r>
          </w:p>
        </w:tc>
        <w:tc>
          <w:tcPr>
            <w:tcW w:w="6297" w:type="dxa"/>
            <w:vAlign w:val="center"/>
          </w:tcPr>
          <w:p w14:paraId="14D09E53">
            <w:pPr>
              <w:rPr>
                <w:rFonts w:hint="eastAsia" w:ascii="宋体" w:hAnsi="宋体" w:cs="宋体"/>
                <w:color w:val="auto"/>
                <w:highlight w:val="none"/>
              </w:rPr>
            </w:pPr>
            <w:r>
              <w:rPr>
                <w:rFonts w:hint="eastAsia" w:ascii="宋体" w:hAnsi="宋体" w:cs="宋体"/>
                <w:color w:val="auto"/>
                <w:sz w:val="24"/>
                <w:szCs w:val="24"/>
                <w:highlight w:val="none"/>
              </w:rPr>
              <w:t>本项目不适用。</w:t>
            </w:r>
          </w:p>
        </w:tc>
      </w:tr>
      <w:tr w14:paraId="30C5E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8" w:hRule="atLeast"/>
        </w:trPr>
        <w:tc>
          <w:tcPr>
            <w:tcW w:w="1043" w:type="dxa"/>
            <w:vAlign w:val="center"/>
          </w:tcPr>
          <w:p w14:paraId="6F20FDAE">
            <w:pPr>
              <w:jc w:val="center"/>
              <w:rPr>
                <w:rFonts w:hint="eastAsia" w:ascii="宋体" w:hAnsi="宋体" w:eastAsia="宋体" w:cs="宋体"/>
                <w:color w:val="auto"/>
                <w:sz w:val="24"/>
                <w:szCs w:val="24"/>
                <w:highlight w:val="none"/>
                <w:lang w:val="en-US" w:eastAsia="zh-CN"/>
              </w:rPr>
            </w:pPr>
            <w:bookmarkStart w:id="47" w:name="_Toc25522"/>
            <w:bookmarkStart w:id="48" w:name="_Toc514054472"/>
            <w:r>
              <w:rPr>
                <w:rFonts w:hint="eastAsia" w:ascii="宋体" w:hAnsi="宋体" w:cs="宋体"/>
                <w:color w:val="auto"/>
                <w:sz w:val="24"/>
                <w:szCs w:val="24"/>
                <w:highlight w:val="none"/>
                <w:lang w:val="en-US" w:eastAsia="zh-CN"/>
              </w:rPr>
              <w:t>9</w:t>
            </w:r>
          </w:p>
        </w:tc>
        <w:tc>
          <w:tcPr>
            <w:tcW w:w="2519" w:type="dxa"/>
            <w:vAlign w:val="center"/>
          </w:tcPr>
          <w:p w14:paraId="5FB0F5BE">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采购标的所属行业</w:t>
            </w:r>
          </w:p>
        </w:tc>
        <w:tc>
          <w:tcPr>
            <w:tcW w:w="6297" w:type="dxa"/>
            <w:vAlign w:val="center"/>
          </w:tcPr>
          <w:p w14:paraId="22D06BD7">
            <w:pPr>
              <w:rPr>
                <w:rFonts w:hint="eastAsia" w:ascii="宋体" w:hAnsi="宋体" w:cs="宋体"/>
                <w:color w:val="auto"/>
                <w:sz w:val="24"/>
                <w:szCs w:val="24"/>
                <w:highlight w:val="none"/>
              </w:rPr>
            </w:pPr>
            <w:r>
              <w:rPr>
                <w:rFonts w:hint="eastAsia" w:ascii="宋体" w:hAnsi="宋体" w:cs="宋体"/>
                <w:color w:val="auto"/>
                <w:sz w:val="24"/>
                <w:szCs w:val="24"/>
                <w:highlight w:val="none"/>
              </w:rPr>
              <w:t>本项目采购标的对应的行业主要为</w:t>
            </w:r>
            <w:r>
              <w:rPr>
                <w:rFonts w:hint="eastAsia" w:ascii="宋体" w:hAnsi="宋体" w:cs="宋体"/>
                <w:color w:val="auto"/>
                <w:sz w:val="24"/>
                <w:szCs w:val="24"/>
                <w:highlight w:val="none"/>
                <w:u w:val="single"/>
              </w:rPr>
              <w:t>工业</w:t>
            </w:r>
            <w:r>
              <w:rPr>
                <w:rFonts w:hint="eastAsia" w:ascii="宋体" w:hAnsi="宋体" w:cs="宋体"/>
                <w:color w:val="auto"/>
                <w:sz w:val="24"/>
                <w:szCs w:val="24"/>
                <w:highlight w:val="none"/>
              </w:rPr>
              <w:t>。</w:t>
            </w:r>
          </w:p>
        </w:tc>
      </w:tr>
    </w:tbl>
    <w:p w14:paraId="3437EB68">
      <w:pPr>
        <w:pStyle w:val="608"/>
        <w:outlineLvl w:val="1"/>
        <w:rPr>
          <w:rFonts w:hint="eastAsia" w:ascii="宋体" w:hAnsi="宋体" w:eastAsia="宋体" w:cs="宋体"/>
          <w:color w:val="auto"/>
          <w:highlight w:val="none"/>
        </w:rPr>
      </w:pPr>
      <w:bookmarkStart w:id="49" w:name="_Toc22298"/>
      <w:bookmarkStart w:id="50" w:name="_Toc20458"/>
      <w:r>
        <w:rPr>
          <w:rFonts w:hint="eastAsia" w:ascii="宋体" w:hAnsi="宋体" w:eastAsia="宋体" w:cs="宋体"/>
          <w:color w:val="auto"/>
          <w:highlight w:val="none"/>
        </w:rPr>
        <w:t>一、总 则</w:t>
      </w:r>
      <w:bookmarkEnd w:id="47"/>
      <w:bookmarkEnd w:id="48"/>
      <w:bookmarkEnd w:id="49"/>
      <w:bookmarkEnd w:id="50"/>
    </w:p>
    <w:p w14:paraId="604EC7CD">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1、招标方式</w:t>
      </w:r>
    </w:p>
    <w:p w14:paraId="4953E734">
      <w:pPr>
        <w:pStyle w:val="233"/>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本次招标采取公开招标方式。</w:t>
      </w:r>
    </w:p>
    <w:p w14:paraId="32D986AA">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2、合格的投标人</w:t>
      </w:r>
    </w:p>
    <w:p w14:paraId="5E0FFA41">
      <w:pPr>
        <w:spacing w:line="500" w:lineRule="exact"/>
        <w:ind w:firstLine="480"/>
        <w:rPr>
          <w:rFonts w:hint="eastAsia" w:ascii="宋体" w:hAnsi="宋体" w:cs="宋体"/>
          <w:color w:val="auto"/>
          <w:sz w:val="24"/>
          <w:highlight w:val="none"/>
          <w:shd w:val="clear" w:color="auto" w:fill="FFC000"/>
        </w:rPr>
      </w:pPr>
      <w:r>
        <w:rPr>
          <w:rFonts w:hint="eastAsia" w:ascii="宋体" w:hAnsi="宋体" w:cs="宋体"/>
          <w:color w:val="auto"/>
          <w:sz w:val="24"/>
          <w:highlight w:val="none"/>
        </w:rPr>
        <w:t>2.1合格的投标人必须是有能力按照本招标文件规定的要求提供货物和相关服务，且具有独立承担民事等法律责任的法人或其它经济组织等。</w:t>
      </w:r>
    </w:p>
    <w:p w14:paraId="260068EE">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2.2合格的投标人必须符合招标文件第一部分《招标公告》第二条及须知前附表相关规定，且具备独立完成本项目的能力，中标后不允许分包、转包。</w:t>
      </w:r>
    </w:p>
    <w:p w14:paraId="78C639B7">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2.3合格的投标人应遵守《中华人民共和国政府采购法》、《中华人民共和国政府采购法实施条例》、《政府采购货物和服务招标投标管理办法》等法律、行政法规、部门规章和规范性文件。</w:t>
      </w:r>
    </w:p>
    <w:p w14:paraId="67A117B7">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3、适用法律</w:t>
      </w:r>
    </w:p>
    <w:p w14:paraId="2A17B99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本次招标及由本次招标产生的合同受中华人民共和国的相关法律、法规制约和保护。</w:t>
      </w:r>
    </w:p>
    <w:p w14:paraId="6B37EE8F">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4、投标费用</w:t>
      </w:r>
    </w:p>
    <w:p w14:paraId="5BC7C4D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投标人应自行承担所有参加投标有关的费用。</w:t>
      </w:r>
    </w:p>
    <w:p w14:paraId="19D6F3FA">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5、招标文件的约束力</w:t>
      </w:r>
    </w:p>
    <w:p w14:paraId="665A741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投标人一旦参加本项目投标，即被认为接受了本招标文件的所有条件和规定。</w:t>
      </w:r>
    </w:p>
    <w:p w14:paraId="37239D7F">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6、相同品牌产品投标</w:t>
      </w:r>
    </w:p>
    <w:p w14:paraId="6C5DEB7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6.1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6A20699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p>
    <w:p w14:paraId="787F8278">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6.3、非单一产品采购项目，采购人确定核心产品，并在招标文件中载明。多家投标人提供的核心产品品牌全部相同的，按前两款规定处理。</w:t>
      </w:r>
    </w:p>
    <w:p w14:paraId="4EBD33C6">
      <w:pPr>
        <w:pStyle w:val="608"/>
        <w:outlineLvl w:val="1"/>
        <w:rPr>
          <w:rFonts w:hint="eastAsia" w:ascii="宋体" w:hAnsi="宋体" w:eastAsia="宋体" w:cs="宋体"/>
          <w:color w:val="auto"/>
          <w:highlight w:val="none"/>
        </w:rPr>
      </w:pPr>
      <w:bookmarkStart w:id="51" w:name="_Toc30610"/>
      <w:bookmarkStart w:id="52" w:name="_Toc514054473"/>
      <w:bookmarkStart w:id="53" w:name="_Toc21335"/>
      <w:bookmarkStart w:id="54" w:name="_Toc17916"/>
      <w:r>
        <w:rPr>
          <w:rFonts w:hint="eastAsia" w:ascii="宋体" w:hAnsi="宋体" w:eastAsia="宋体" w:cs="宋体"/>
          <w:color w:val="auto"/>
          <w:highlight w:val="none"/>
        </w:rPr>
        <w:t>二、招标文件</w:t>
      </w:r>
      <w:bookmarkEnd w:id="51"/>
      <w:bookmarkEnd w:id="52"/>
      <w:bookmarkEnd w:id="53"/>
      <w:bookmarkEnd w:id="54"/>
    </w:p>
    <w:p w14:paraId="4B780846">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7、招标文件构成</w:t>
      </w:r>
    </w:p>
    <w:p w14:paraId="56E23AF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第一部分：招标公告；</w:t>
      </w:r>
    </w:p>
    <w:p w14:paraId="3FFE331C">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p>
    <w:p w14:paraId="15FB974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第三部分：评标方法和标准；</w:t>
      </w:r>
    </w:p>
    <w:p w14:paraId="6FE78463">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第四部分：采购需求；</w:t>
      </w:r>
    </w:p>
    <w:p w14:paraId="1FCEC50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第五部分：合同格式及条款；</w:t>
      </w:r>
    </w:p>
    <w:p w14:paraId="5A684E5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第六部分：投标文件格式。</w:t>
      </w:r>
    </w:p>
    <w:p w14:paraId="6E933CEB">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8、招标文件的澄清</w:t>
      </w:r>
    </w:p>
    <w:p w14:paraId="2194FC3C">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任何要求对招标文件澄清的投标人，均应在法律法规规定的时间内提出，采购代理机构对规定时间内收到的澄清要求予以答复，答复不包括问题的来源。</w:t>
      </w:r>
    </w:p>
    <w:p w14:paraId="6B9D3CD2">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9、招标文件的修改</w:t>
      </w:r>
    </w:p>
    <w:p w14:paraId="0A3338E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9.1在投标文件接收截止日期15日前，采购代理机构可以更正公告或补充文件的形式对招标文件进行修改。</w:t>
      </w:r>
    </w:p>
    <w:p w14:paraId="6A19DB7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p>
    <w:p w14:paraId="7D063CB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9.3为使投标人有充分的时间对招标文件的修改部分进行分析、研究，采购代理机构有权推迟投标文件接收截止日期和开标日期，并将此变更通知所有已获取招标文件的投标人。</w:t>
      </w:r>
    </w:p>
    <w:p w14:paraId="735572A1">
      <w:pPr>
        <w:spacing w:line="500" w:lineRule="exact"/>
        <w:ind w:firstLine="480"/>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55" w:name="EB453bde7f4ddc418fae2aad9fbcd82554"/>
      <w:r>
        <w:rPr>
          <w:rFonts w:hint="eastAsia" w:ascii="宋体" w:hAnsi="宋体" w:cs="宋体"/>
          <w:color w:val="auto"/>
          <w:sz w:val="20"/>
          <w:highlight w:val="none"/>
        </w:rPr>
        <w:t xml:space="preserve"> </w:t>
      </w:r>
      <w:bookmarkEnd w:id="55"/>
      <w:bookmarkStart w:id="56" w:name="EBec71fc1696a240c4b620fe1e00b2ce58"/>
      <w:r>
        <w:rPr>
          <w:rFonts w:hint="eastAsia" w:ascii="宋体" w:hAnsi="宋体" w:cs="宋体"/>
          <w:color w:val="auto"/>
          <w:sz w:val="20"/>
          <w:highlight w:val="none"/>
        </w:rPr>
        <w:t xml:space="preserve"> </w:t>
      </w:r>
      <w:bookmarkEnd w:id="56"/>
    </w:p>
    <w:p w14:paraId="301B8572">
      <w:pPr>
        <w:pStyle w:val="608"/>
        <w:outlineLvl w:val="1"/>
        <w:rPr>
          <w:rFonts w:hint="eastAsia" w:ascii="宋体" w:hAnsi="宋体" w:eastAsia="宋体" w:cs="宋体"/>
          <w:color w:val="auto"/>
          <w:highlight w:val="none"/>
        </w:rPr>
      </w:pPr>
      <w:bookmarkStart w:id="57" w:name="_Toc26908"/>
      <w:bookmarkStart w:id="58" w:name="_Toc514054474"/>
      <w:bookmarkStart w:id="59" w:name="_Toc26871"/>
      <w:bookmarkStart w:id="60" w:name="_Toc20227"/>
      <w:r>
        <w:rPr>
          <w:rFonts w:hint="eastAsia" w:ascii="宋体" w:hAnsi="宋体" w:eastAsia="宋体" w:cs="宋体"/>
          <w:color w:val="auto"/>
          <w:highlight w:val="none"/>
        </w:rPr>
        <w:t>三、投标文件的编制</w:t>
      </w:r>
      <w:bookmarkEnd w:id="57"/>
      <w:bookmarkEnd w:id="58"/>
      <w:bookmarkEnd w:id="59"/>
      <w:bookmarkEnd w:id="60"/>
    </w:p>
    <w:p w14:paraId="2ADB431A">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10、投标文件的编制要求</w:t>
      </w:r>
    </w:p>
    <w:p w14:paraId="38AA0A5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p>
    <w:p w14:paraId="6E5CB4C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10.2投标文件应当对招标文件有关交货期、投标有效期、质量要求、技术标准和要求、招标范围、付款方式等实质性内容作出响应。</w:t>
      </w:r>
    </w:p>
    <w:p w14:paraId="758F2C92">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11、投标文件构成</w:t>
      </w:r>
    </w:p>
    <w:p w14:paraId="10ADE2F0">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11.1资格证明文件；</w:t>
      </w:r>
    </w:p>
    <w:p w14:paraId="10C77ABA">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11.1.1具有独立承担民事责任的能力（法人或者其他组织的营业执照等证明文件，自然人的身份证明）；</w:t>
      </w:r>
    </w:p>
    <w:p w14:paraId="4FBBFB4D">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11.1.2 具有良好的商业信誉和健全的财务会计制度（提供</w:t>
      </w:r>
      <w:r>
        <w:rPr>
          <w:rFonts w:hint="eastAsia" w:ascii="宋体" w:hAnsi="宋体" w:cs="宋体"/>
          <w:bCs/>
          <w:color w:val="auto"/>
          <w:sz w:val="24"/>
          <w:szCs w:val="24"/>
          <w:highlight w:val="none"/>
          <w:lang w:eastAsia="zh-CN"/>
        </w:rPr>
        <w:t>2025年度</w:t>
      </w:r>
      <w:r>
        <w:rPr>
          <w:rFonts w:hint="eastAsia" w:ascii="宋体" w:hAnsi="宋体" w:cs="宋体"/>
          <w:bCs/>
          <w:color w:val="auto"/>
          <w:sz w:val="24"/>
          <w:szCs w:val="24"/>
          <w:highlight w:val="none"/>
        </w:rPr>
        <w:t>财务报告，至少包含资产负债表、利润表；或投标截止时间前六个月内银行出具的资信证明；成立不满一年无须提供）；</w:t>
      </w:r>
    </w:p>
    <w:p w14:paraId="79A4889E">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11.1.3具有履行合同所必需的设备和专业技术能力（提供书面声明）；</w:t>
      </w:r>
    </w:p>
    <w:p w14:paraId="381A18D3">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11.1.4 有依法缴纳税收和社会保障资金的良好记录（参加本次政府采购活动前6个月内至少一个月缴纳税收及缴纳社会保障资金的证明材料，投标人依法享受缓缴、免缴税收、社会保障资金的，需提供证明材料）；</w:t>
      </w:r>
    </w:p>
    <w:p w14:paraId="5C372134">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p>
    <w:p w14:paraId="4A01BDD4">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11.1.6法律、行政法规规定的其他条件；</w:t>
      </w:r>
    </w:p>
    <w:p w14:paraId="002DB4B3">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w:t>
      </w:r>
      <w:r>
        <w:rPr>
          <w:rFonts w:hint="eastAsia" w:ascii="宋体" w:hAnsi="宋体" w:cs="宋体"/>
          <w:bCs/>
          <w:color w:val="auto"/>
          <w:sz w:val="24"/>
          <w:szCs w:val="24"/>
          <w:highlight w:val="none"/>
          <w:lang w:val="en-US" w:eastAsia="zh-CN"/>
        </w:rPr>
        <w:t xml:space="preserve">7 </w:t>
      </w:r>
      <w:r>
        <w:rPr>
          <w:rFonts w:hint="eastAsia" w:ascii="宋体" w:hAnsi="宋体" w:cs="宋体"/>
          <w:bCs/>
          <w:color w:val="auto"/>
          <w:sz w:val="24"/>
          <w:szCs w:val="24"/>
          <w:highlight w:val="none"/>
        </w:rPr>
        <w:t>如投标产品为医疗器械：</w:t>
      </w:r>
    </w:p>
    <w:p w14:paraId="7479F849">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w:t>
      </w:r>
      <w:r>
        <w:rPr>
          <w:rFonts w:hint="eastAsia" w:ascii="宋体" w:hAnsi="宋体" w:cs="宋体"/>
          <w:bCs/>
          <w:color w:val="auto"/>
          <w:sz w:val="24"/>
          <w:szCs w:val="24"/>
          <w:highlight w:val="none"/>
          <w:lang w:val="en-US" w:eastAsia="zh-CN"/>
        </w:rPr>
        <w:t>7</w:t>
      </w:r>
      <w:r>
        <w:rPr>
          <w:rFonts w:hint="eastAsia" w:ascii="宋体" w:hAnsi="宋体" w:cs="宋体"/>
          <w:bCs/>
          <w:color w:val="auto"/>
          <w:sz w:val="24"/>
          <w:szCs w:val="24"/>
          <w:highlight w:val="none"/>
        </w:rPr>
        <w:t>.1</w:t>
      </w:r>
      <w:r>
        <w:rPr>
          <w:rFonts w:hint="eastAsia" w:ascii="宋体" w:hAnsi="宋体" w:cs="宋体"/>
          <w:bCs/>
          <w:color w:val="auto"/>
          <w:sz w:val="24"/>
          <w:szCs w:val="24"/>
          <w:highlight w:val="none"/>
          <w:lang w:val="en-US" w:eastAsia="zh-CN"/>
        </w:rPr>
        <w:t xml:space="preserve"> </w:t>
      </w:r>
      <w:r>
        <w:rPr>
          <w:rFonts w:hint="eastAsia" w:ascii="宋体" w:hAnsi="宋体" w:cs="Times New Roman"/>
          <w:color w:val="auto"/>
          <w:sz w:val="24"/>
          <w:szCs w:val="24"/>
          <w:highlight w:val="none"/>
          <w:lang w:val="en-US" w:eastAsia="zh-CN"/>
        </w:rPr>
        <w:t>根据投标产品类别，</w:t>
      </w:r>
      <w:r>
        <w:rPr>
          <w:rFonts w:hint="eastAsia" w:ascii="宋体" w:hAnsi="宋体" w:cs="宋体"/>
          <w:bCs/>
          <w:color w:val="auto"/>
          <w:sz w:val="24"/>
          <w:szCs w:val="24"/>
          <w:highlight w:val="none"/>
        </w:rPr>
        <w:t>投标人须提供有效的医疗器械产品注册证或产品备案凭证，投标时需提供复印件加盖公章。</w:t>
      </w:r>
    </w:p>
    <w:p w14:paraId="063710BF">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w:t>
      </w:r>
      <w:r>
        <w:rPr>
          <w:rFonts w:hint="eastAsia" w:ascii="宋体" w:hAnsi="宋体" w:cs="宋体"/>
          <w:bCs/>
          <w:color w:val="auto"/>
          <w:sz w:val="24"/>
          <w:szCs w:val="24"/>
          <w:highlight w:val="none"/>
          <w:lang w:val="en-US" w:eastAsia="zh-CN"/>
        </w:rPr>
        <w:t>7</w:t>
      </w:r>
      <w:r>
        <w:rPr>
          <w:rFonts w:hint="eastAsia" w:ascii="宋体" w:hAnsi="宋体" w:cs="宋体"/>
          <w:bCs/>
          <w:color w:val="auto"/>
          <w:sz w:val="24"/>
          <w:szCs w:val="24"/>
          <w:highlight w:val="none"/>
        </w:rPr>
        <w:t>.2若投标人为代理商，须具有有效的《医疗器械经营许可证》或医疗器械经营备案凭证，投标时需提供复印件加盖公章。医疗器械生产企业投标本企业产品的，须提供《医疗器械生产许可证》（复印件加盖公章）</w:t>
      </w:r>
    </w:p>
    <w:p w14:paraId="1118249A">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w:t>
      </w:r>
      <w:r>
        <w:rPr>
          <w:rFonts w:hint="eastAsia" w:ascii="宋体" w:hAnsi="宋体" w:cs="宋体"/>
          <w:bCs/>
          <w:color w:val="auto"/>
          <w:sz w:val="24"/>
          <w:szCs w:val="24"/>
          <w:highlight w:val="none"/>
          <w:lang w:val="en-US" w:eastAsia="zh-CN"/>
        </w:rPr>
        <w:t xml:space="preserve">8 </w:t>
      </w:r>
      <w:r>
        <w:rPr>
          <w:rFonts w:hint="eastAsia" w:ascii="宋体" w:hAnsi="宋体" w:cs="宋体"/>
          <w:bCs/>
          <w:color w:val="auto"/>
          <w:sz w:val="24"/>
          <w:szCs w:val="24"/>
          <w:highlight w:val="none"/>
        </w:rPr>
        <w:t>拒绝下述供应商参加本次采购活动的情形：</w:t>
      </w:r>
    </w:p>
    <w:p w14:paraId="6640DFEA">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w:t>
      </w:r>
      <w:r>
        <w:rPr>
          <w:rFonts w:hint="eastAsia" w:ascii="宋体" w:hAnsi="宋体" w:cs="宋体"/>
          <w:bCs/>
          <w:color w:val="auto"/>
          <w:sz w:val="24"/>
          <w:szCs w:val="24"/>
          <w:highlight w:val="none"/>
          <w:lang w:val="en-US" w:eastAsia="zh-CN"/>
        </w:rPr>
        <w:t>8</w:t>
      </w:r>
      <w:r>
        <w:rPr>
          <w:rFonts w:hint="eastAsia" w:ascii="宋体" w:hAnsi="宋体" w:cs="宋体"/>
          <w:bCs/>
          <w:color w:val="auto"/>
          <w:sz w:val="24"/>
          <w:szCs w:val="24"/>
          <w:highlight w:val="none"/>
        </w:rPr>
        <w:t>.1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供应商单位负责人为同一人或者存在直接控股、管理关系的不同供应商，不得参加同一合同项下的政府采购活动。</w:t>
      </w:r>
    </w:p>
    <w:p w14:paraId="61DB0825">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w:t>
      </w:r>
      <w:r>
        <w:rPr>
          <w:rFonts w:hint="eastAsia" w:ascii="宋体" w:hAnsi="宋体" w:cs="宋体"/>
          <w:bCs/>
          <w:color w:val="auto"/>
          <w:sz w:val="24"/>
          <w:szCs w:val="24"/>
          <w:highlight w:val="none"/>
          <w:lang w:val="en-US" w:eastAsia="zh-CN"/>
        </w:rPr>
        <w:t>8</w:t>
      </w:r>
      <w:r>
        <w:rPr>
          <w:rFonts w:hint="eastAsia" w:ascii="宋体" w:hAnsi="宋体" w:cs="宋体"/>
          <w:bCs/>
          <w:color w:val="auto"/>
          <w:sz w:val="24"/>
          <w:szCs w:val="24"/>
          <w:highlight w:val="none"/>
        </w:rPr>
        <w:t>.2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凡为采购项目提供整体设计、规范编制或者项目管理、监理、检测等服务的供应商，不得再参加本项目的采购活动。</w:t>
      </w:r>
    </w:p>
    <w:p w14:paraId="2AD4621D">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w:t>
      </w:r>
      <w:r>
        <w:rPr>
          <w:rFonts w:hint="eastAsia" w:ascii="宋体" w:hAnsi="宋体" w:cs="宋体"/>
          <w:bCs/>
          <w:color w:val="auto"/>
          <w:sz w:val="24"/>
          <w:szCs w:val="24"/>
          <w:highlight w:val="none"/>
          <w:lang w:val="en-US" w:eastAsia="zh-CN"/>
        </w:rPr>
        <w:t>8</w:t>
      </w:r>
      <w:r>
        <w:rPr>
          <w:rFonts w:hint="eastAsia" w:ascii="宋体" w:hAnsi="宋体" w:cs="宋体"/>
          <w:bCs/>
          <w:color w:val="auto"/>
          <w:sz w:val="24"/>
          <w:szCs w:val="24"/>
          <w:highlight w:val="none"/>
        </w:rPr>
        <w:t>.3</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拒绝列入失信被执行人、重大税收违法案件当事人名单、政府采购严重违法失信行为记录名单的供应商参与政府采购活动。</w:t>
      </w:r>
    </w:p>
    <w:p w14:paraId="713ED062">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11.2投标函；</w:t>
      </w:r>
    </w:p>
    <w:p w14:paraId="11CD2B94">
      <w:pPr>
        <w:spacing w:line="500" w:lineRule="exact"/>
        <w:ind w:firstLine="480"/>
        <w:rPr>
          <w:rFonts w:hint="eastAsia" w:ascii="宋体" w:hAnsi="宋体" w:cs="宋体"/>
          <w:color w:val="auto"/>
          <w:sz w:val="24"/>
          <w:highlight w:val="none"/>
        </w:rPr>
      </w:pPr>
      <w:r>
        <w:rPr>
          <w:rFonts w:hint="eastAsia" w:ascii="宋体" w:hAnsi="宋体" w:cs="宋体"/>
          <w:bCs/>
          <w:color w:val="auto"/>
          <w:sz w:val="24"/>
          <w:szCs w:val="24"/>
          <w:highlight w:val="none"/>
        </w:rPr>
        <w:t>11.3</w:t>
      </w:r>
      <w:r>
        <w:rPr>
          <w:rFonts w:hint="eastAsia" w:ascii="宋体" w:hAnsi="宋体" w:cs="宋体"/>
          <w:color w:val="auto"/>
          <w:sz w:val="24"/>
          <w:highlight w:val="none"/>
        </w:rPr>
        <w:t>报价文件</w:t>
      </w:r>
    </w:p>
    <w:p w14:paraId="070D768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11.3.1开标一览表；</w:t>
      </w:r>
    </w:p>
    <w:p w14:paraId="2A87ED0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11.3.2明细报价表。</w:t>
      </w:r>
    </w:p>
    <w:p w14:paraId="3B9C3DC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11.4技术文件</w:t>
      </w:r>
    </w:p>
    <w:p w14:paraId="73FA7273">
      <w:pPr>
        <w:spacing w:line="500" w:lineRule="exact"/>
        <w:ind w:firstLine="480"/>
        <w:rPr>
          <w:rFonts w:hint="eastAsia" w:ascii="宋体" w:hAnsi="宋体" w:cs="宋体"/>
          <w:color w:val="auto"/>
          <w:sz w:val="24"/>
          <w:highlight w:val="none"/>
        </w:rPr>
      </w:pPr>
      <w:bookmarkStart w:id="61" w:name="EB7f6b24a996964930b08d6b290b36e3fd"/>
      <w:r>
        <w:rPr>
          <w:rFonts w:hint="eastAsia" w:ascii="宋体" w:hAnsi="宋体" w:cs="宋体"/>
          <w:color w:val="auto"/>
          <w:sz w:val="24"/>
          <w:highlight w:val="none"/>
        </w:rPr>
        <w:t>11.4.1技术响应偏差表</w:t>
      </w:r>
      <w:bookmarkEnd w:id="61"/>
      <w:r>
        <w:rPr>
          <w:rFonts w:hint="eastAsia" w:ascii="宋体" w:hAnsi="宋体" w:cs="宋体"/>
          <w:color w:val="auto"/>
          <w:sz w:val="24"/>
          <w:highlight w:val="none"/>
        </w:rPr>
        <w:t>。</w:t>
      </w:r>
    </w:p>
    <w:p w14:paraId="6A059558">
      <w:pPr>
        <w:spacing w:line="500" w:lineRule="exact"/>
        <w:ind w:firstLine="480"/>
        <w:rPr>
          <w:rFonts w:hint="eastAsia" w:ascii="宋体" w:hAnsi="宋体" w:cs="宋体"/>
          <w:bCs/>
          <w:color w:val="auto"/>
          <w:sz w:val="24"/>
          <w:szCs w:val="24"/>
          <w:highlight w:val="none"/>
        </w:rPr>
      </w:pPr>
      <w:r>
        <w:rPr>
          <w:rFonts w:hint="eastAsia" w:ascii="宋体" w:hAnsi="宋体" w:cs="宋体"/>
          <w:color w:val="auto"/>
          <w:sz w:val="24"/>
          <w:highlight w:val="none"/>
        </w:rPr>
        <w:t>11.4.2</w:t>
      </w:r>
      <w:r>
        <w:rPr>
          <w:rFonts w:hint="eastAsia" w:ascii="宋体" w:hAnsi="宋体" w:cs="宋体"/>
          <w:bCs/>
          <w:color w:val="auto"/>
          <w:sz w:val="24"/>
          <w:szCs w:val="24"/>
          <w:highlight w:val="none"/>
        </w:rPr>
        <w:t>其他技术文件（根据评分点自行提供）</w:t>
      </w:r>
    </w:p>
    <w:p w14:paraId="733F3CA3">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11.5商务文件</w:t>
      </w:r>
    </w:p>
    <w:p w14:paraId="5C063A17">
      <w:pPr>
        <w:spacing w:line="500" w:lineRule="exact"/>
        <w:ind w:firstLine="480"/>
        <w:rPr>
          <w:rFonts w:hint="eastAsia" w:ascii="宋体" w:hAnsi="宋体" w:cs="宋体"/>
          <w:color w:val="auto"/>
          <w:sz w:val="24"/>
          <w:highlight w:val="none"/>
        </w:rPr>
      </w:pPr>
      <w:bookmarkStart w:id="62" w:name="EBdc2c24f6358343e896cd43bd6621a619"/>
      <w:r>
        <w:rPr>
          <w:rFonts w:hint="eastAsia" w:ascii="宋体" w:hAnsi="宋体" w:cs="宋体"/>
          <w:color w:val="auto"/>
          <w:sz w:val="24"/>
          <w:highlight w:val="none"/>
        </w:rPr>
        <w:t>11.5.1商务响应偏差表；</w:t>
      </w:r>
    </w:p>
    <w:p w14:paraId="75EF6E6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11.5.2投标人承担类似项目业绩一览表</w:t>
      </w:r>
    </w:p>
    <w:p w14:paraId="7D6A59E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11.5.3其他商务文件</w:t>
      </w:r>
      <w:r>
        <w:rPr>
          <w:rFonts w:hint="eastAsia" w:ascii="宋体" w:hAnsi="宋体" w:cs="宋体"/>
          <w:bCs/>
          <w:color w:val="auto"/>
          <w:sz w:val="24"/>
          <w:szCs w:val="24"/>
          <w:highlight w:val="none"/>
        </w:rPr>
        <w:t>（根据评分点自行提供）</w:t>
      </w:r>
      <w:r>
        <w:rPr>
          <w:rFonts w:hint="eastAsia" w:ascii="宋体" w:hAnsi="宋体" w:cs="宋体"/>
          <w:color w:val="auto"/>
          <w:sz w:val="24"/>
          <w:highlight w:val="none"/>
        </w:rPr>
        <w:t>。</w:t>
      </w:r>
      <w:bookmarkEnd w:id="62"/>
    </w:p>
    <w:p w14:paraId="7407C4A9">
      <w:pPr>
        <w:numPr>
          <w:ilvl w:val="0"/>
          <w:numId w:val="6"/>
        </w:num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投标文件构成资料为非中文时应提供中文译版，并以中文为准，否则可视为未提供；</w:t>
      </w:r>
    </w:p>
    <w:p w14:paraId="69108E30">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13、投标报价</w:t>
      </w:r>
    </w:p>
    <w:p w14:paraId="3B2BBEF3">
      <w:pPr>
        <w:spacing w:line="500" w:lineRule="exact"/>
        <w:ind w:firstLine="480"/>
        <w:rPr>
          <w:rFonts w:hint="eastAsia" w:ascii="宋体" w:hAnsi="宋体" w:cs="宋体"/>
          <w:color w:val="auto"/>
          <w:sz w:val="24"/>
          <w:highlight w:val="none"/>
          <w:shd w:val="clear" w:color="auto" w:fill="FFC000"/>
        </w:rPr>
      </w:pPr>
      <w:r>
        <w:rPr>
          <w:rFonts w:hint="eastAsia" w:ascii="宋体" w:hAnsi="宋体" w:cs="宋体"/>
          <w:color w:val="auto"/>
          <w:sz w:val="24"/>
          <w:highlight w:val="none"/>
        </w:rPr>
        <w:t>13.1本项目不接受备选的投标方案或有选择的报价，只允许有一个报价。投标报价内容包括：</w:t>
      </w:r>
      <w:bookmarkStart w:id="63" w:name="EB54dd097a55df4796bd5f9b6bdf2ddc40"/>
      <w:r>
        <w:rPr>
          <w:rFonts w:hint="eastAsia" w:ascii="宋体" w:hAnsi="宋体" w:cs="宋体"/>
          <w:color w:val="auto"/>
          <w:sz w:val="24"/>
          <w:highlight w:val="none"/>
        </w:rPr>
        <w:t>人工费（工资、社保、公积金、制服、福利费、高温费）、管理服务费、税金以及交付使用过程中涉及到的其他一切费用（加班费在服务过程中根据实际产生的另行结算）。</w:t>
      </w:r>
      <w:bookmarkEnd w:id="63"/>
    </w:p>
    <w:p w14:paraId="18493F4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13.3报价注意事项：</w:t>
      </w:r>
    </w:p>
    <w:p w14:paraId="4D0C655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13.3.1价格一律以人民币计算；</w:t>
      </w:r>
    </w:p>
    <w:p w14:paraId="6F97EA48">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13.3.2投标人报价时应充分考虑所有可能影响到报价的因素，一旦评标结束最终中标，如发生漏、缺、少项，都将被认为是中标人的报价让利行为，损失自负。</w:t>
      </w:r>
    </w:p>
    <w:p w14:paraId="3203B0C9">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14、投标保证金</w:t>
      </w:r>
    </w:p>
    <w:p w14:paraId="52A1E6C2">
      <w:pPr>
        <w:spacing w:line="50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本项目不收取投标保证金。</w:t>
      </w:r>
    </w:p>
    <w:p w14:paraId="281E9537">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15.招标代理服务费</w:t>
      </w:r>
    </w:p>
    <w:p w14:paraId="384F38AC">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15.1招标代理服务费按</w:t>
      </w:r>
      <w:r>
        <w:rPr>
          <w:rFonts w:hint="eastAsia" w:ascii="宋体" w:hAnsi="宋体" w:cs="宋体"/>
          <w:color w:val="auto"/>
          <w:sz w:val="24"/>
          <w:szCs w:val="24"/>
          <w:highlight w:val="none"/>
        </w:rPr>
        <w:t>苏政采协〔2024〕20号文</w:t>
      </w:r>
      <w:r>
        <w:rPr>
          <w:rFonts w:hint="eastAsia" w:ascii="宋体" w:hAnsi="宋体" w:cs="宋体"/>
          <w:color w:val="auto"/>
          <w:sz w:val="24"/>
          <w:highlight w:val="none"/>
        </w:rPr>
        <w:t>收取，由中标单位支付给采购代理机构。</w:t>
      </w:r>
    </w:p>
    <w:p w14:paraId="523DE238">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16、投标有效期</w:t>
      </w:r>
    </w:p>
    <w:p w14:paraId="2B1C5FF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p>
    <w:p w14:paraId="7A9AC74B">
      <w:pPr>
        <w:spacing w:line="500" w:lineRule="exact"/>
        <w:ind w:firstLine="480"/>
        <w:rPr>
          <w:rFonts w:hint="eastAsia" w:ascii="宋体" w:hAnsi="宋体" w:cs="宋体"/>
          <w:color w:val="auto"/>
          <w:highlight w:val="none"/>
        </w:rPr>
      </w:pPr>
      <w:r>
        <w:rPr>
          <w:rFonts w:hint="eastAsia" w:ascii="宋体" w:hAnsi="宋体" w:cs="宋体"/>
          <w:color w:val="auto"/>
          <w:sz w:val="24"/>
          <w:highlight w:val="none"/>
        </w:rPr>
        <w:t>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64" w:name="EB12ed6b870f334fa092f7ed1f9a9dbab8"/>
      <w:r>
        <w:rPr>
          <w:rFonts w:hint="eastAsia" w:ascii="宋体" w:hAnsi="宋体" w:cs="宋体"/>
          <w:color w:val="auto"/>
          <w:sz w:val="20"/>
          <w:highlight w:val="none"/>
        </w:rPr>
        <w:t xml:space="preserve"> </w:t>
      </w:r>
      <w:bookmarkEnd w:id="64"/>
      <w:bookmarkStart w:id="65" w:name="EB5d36e8077cc64e309c0c0f0cd8a6f496"/>
      <w:r>
        <w:rPr>
          <w:rFonts w:hint="eastAsia" w:ascii="宋体" w:hAnsi="宋体" w:cs="宋体"/>
          <w:color w:val="auto"/>
          <w:sz w:val="20"/>
          <w:highlight w:val="none"/>
        </w:rPr>
        <w:t xml:space="preserve"> </w:t>
      </w:r>
      <w:bookmarkEnd w:id="65"/>
    </w:p>
    <w:p w14:paraId="1EDC8168">
      <w:pPr>
        <w:pStyle w:val="608"/>
        <w:outlineLvl w:val="1"/>
        <w:rPr>
          <w:rFonts w:hint="eastAsia" w:ascii="宋体" w:hAnsi="宋体" w:eastAsia="宋体" w:cs="宋体"/>
          <w:color w:val="auto"/>
          <w:highlight w:val="none"/>
        </w:rPr>
      </w:pPr>
      <w:bookmarkStart w:id="66" w:name="_Toc5409"/>
      <w:bookmarkStart w:id="67" w:name="_Toc26211"/>
      <w:bookmarkStart w:id="68" w:name="_Toc514054475"/>
      <w:bookmarkStart w:id="69" w:name="_Toc9292"/>
      <w:r>
        <w:rPr>
          <w:rFonts w:hint="eastAsia" w:ascii="宋体" w:hAnsi="宋体" w:eastAsia="宋体" w:cs="宋体"/>
          <w:color w:val="auto"/>
          <w:highlight w:val="none"/>
        </w:rPr>
        <w:t>四、投标文件的提交</w:t>
      </w:r>
      <w:bookmarkEnd w:id="66"/>
      <w:bookmarkEnd w:id="67"/>
      <w:bookmarkEnd w:id="68"/>
      <w:bookmarkEnd w:id="69"/>
    </w:p>
    <w:p w14:paraId="0C5D41AF">
      <w:pPr>
        <w:spacing w:line="500" w:lineRule="exact"/>
        <w:ind w:firstLine="482"/>
        <w:outlineLvl w:val="2"/>
        <w:rPr>
          <w:rFonts w:hint="eastAsia" w:ascii="宋体" w:hAnsi="宋体" w:cs="宋体"/>
          <w:b/>
          <w:color w:val="auto"/>
          <w:sz w:val="24"/>
          <w:highlight w:val="none"/>
        </w:rPr>
      </w:pPr>
      <w:bookmarkStart w:id="70" w:name="_Toc514054476"/>
      <w:bookmarkStart w:id="71" w:name="_Toc11452"/>
      <w:r>
        <w:rPr>
          <w:rFonts w:hint="eastAsia" w:ascii="宋体" w:hAnsi="宋体" w:cs="宋体"/>
          <w:b/>
          <w:color w:val="auto"/>
          <w:sz w:val="24"/>
          <w:highlight w:val="none"/>
        </w:rPr>
        <w:t>17.1、投标文件的提交</w:t>
      </w:r>
    </w:p>
    <w:p w14:paraId="70AD9450">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17.1.1 电子投标文件的递交</w:t>
      </w:r>
    </w:p>
    <w:p w14:paraId="4E1FB4AD">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投标人应当按照《操作手册》规定，在投标截止时间前制作并上传电子投标文件。</w:t>
      </w:r>
      <w:bookmarkStart w:id="72" w:name="_Toc16938542"/>
      <w:bookmarkEnd w:id="72"/>
      <w:bookmarkStart w:id="73" w:name="_Toc20823298"/>
      <w:bookmarkEnd w:id="73"/>
    </w:p>
    <w:p w14:paraId="3163352E">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17.2、投标截止时间</w:t>
      </w:r>
    </w:p>
    <w:p w14:paraId="45FBE181">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17.2.1投标人上传电子投标文件的时间不得迟于招标公告中规定的投标截止时间。</w:t>
      </w:r>
    </w:p>
    <w:p w14:paraId="6B06E9C0">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投标人应充分考虑到网络环境、网络带宽等风险因素，如因投标人自身原因造成的电子投标文件上传不成功的按照本招标文件第二部分第18.1.2条 规定做无效投标处理。</w:t>
      </w:r>
    </w:p>
    <w:p w14:paraId="03426D6E">
      <w:pPr>
        <w:spacing w:line="520" w:lineRule="exact"/>
        <w:ind w:firstLine="480"/>
        <w:rPr>
          <w:rFonts w:hint="eastAsia" w:ascii="宋体" w:hAnsi="宋体" w:cs="宋体"/>
          <w:color w:val="auto"/>
          <w:highlight w:val="none"/>
        </w:rPr>
      </w:pPr>
      <w:r>
        <w:rPr>
          <w:rFonts w:hint="eastAsia" w:ascii="宋体" w:hAnsi="宋体" w:cs="宋体"/>
          <w:color w:val="auto"/>
          <w:sz w:val="24"/>
          <w:highlight w:val="none"/>
        </w:rPr>
        <w:t>17.2.2采购代理机构可以按照规定，通过修改招标文件酌情延长投标截止时间，在此情况下，投标人的所有权利和义务以及投标人受制的截止时间均应以延长后新的截止时间为准。</w:t>
      </w:r>
    </w:p>
    <w:p w14:paraId="266CC00C">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17.3、投标文件被拒绝接收的情形</w:t>
      </w:r>
    </w:p>
    <w:p w14:paraId="351050D9">
      <w:pPr>
        <w:spacing w:line="520" w:lineRule="exact"/>
        <w:ind w:firstLine="480"/>
        <w:rPr>
          <w:rFonts w:hint="eastAsia" w:ascii="宋体" w:hAnsi="宋体" w:cs="宋体"/>
          <w:color w:val="auto"/>
          <w:sz w:val="20"/>
          <w:highlight w:val="none"/>
        </w:rPr>
      </w:pPr>
      <w:r>
        <w:rPr>
          <w:rFonts w:hint="eastAsia" w:ascii="宋体" w:hAnsi="宋体" w:cs="宋体"/>
          <w:color w:val="auto"/>
          <w:sz w:val="24"/>
          <w:highlight w:val="none"/>
        </w:rPr>
        <w:t>17.3.1</w:t>
      </w:r>
      <w:bookmarkStart w:id="74" w:name="EB200c38d7a1c345f29b604b38d510a951"/>
      <w:r>
        <w:rPr>
          <w:rFonts w:hint="eastAsia" w:ascii="宋体" w:hAnsi="宋体" w:cs="宋体"/>
          <w:color w:val="auto"/>
          <w:sz w:val="24"/>
          <w:highlight w:val="none"/>
        </w:rPr>
        <w:t>采购代理机构拒绝接收在其规定的投标截止时间后上传的任何投标文件。</w:t>
      </w:r>
      <w:r>
        <w:rPr>
          <w:rFonts w:hint="eastAsia" w:ascii="宋体" w:hAnsi="宋体" w:cs="宋体"/>
          <w:color w:val="auto"/>
          <w:sz w:val="20"/>
          <w:highlight w:val="none"/>
        </w:rPr>
        <w:t xml:space="preserve"> </w:t>
      </w:r>
      <w:bookmarkEnd w:id="74"/>
    </w:p>
    <w:p w14:paraId="4DFA600F">
      <w:pPr>
        <w:spacing w:line="520" w:lineRule="exact"/>
        <w:ind w:firstLine="480"/>
        <w:outlineLvl w:val="2"/>
        <w:rPr>
          <w:rFonts w:hint="eastAsia" w:ascii="宋体" w:hAnsi="宋体" w:cs="宋体"/>
          <w:b/>
          <w:bCs/>
          <w:color w:val="auto"/>
          <w:sz w:val="24"/>
          <w:highlight w:val="none"/>
        </w:rPr>
      </w:pPr>
      <w:bookmarkStart w:id="75" w:name="_Toc20823300"/>
      <w:bookmarkStart w:id="76" w:name="_Toc513029228"/>
      <w:bookmarkStart w:id="77" w:name="_Toc16938544"/>
      <w:r>
        <w:rPr>
          <w:rFonts w:hint="eastAsia" w:ascii="宋体" w:hAnsi="宋体" w:cs="宋体"/>
          <w:b/>
          <w:bCs/>
          <w:color w:val="auto"/>
          <w:sz w:val="24"/>
          <w:highlight w:val="none"/>
        </w:rPr>
        <w:t>17.4、投标文件的撤回和修改</w:t>
      </w:r>
      <w:bookmarkEnd w:id="75"/>
      <w:bookmarkEnd w:id="76"/>
      <w:bookmarkEnd w:id="77"/>
    </w:p>
    <w:p w14:paraId="19440761">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17.4.1投标文件的撤回</w:t>
      </w:r>
    </w:p>
    <w:p w14:paraId="61DBC53D">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17.4.1.1电子投标文件的撤回</w:t>
      </w:r>
    </w:p>
    <w:p w14:paraId="472AAD6C">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投标人可在投标截止时间前，撤回其电子投标文件，具体操作方法见《操作手册》。</w:t>
      </w:r>
    </w:p>
    <w:p w14:paraId="4B4BD02A">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17.4.1.2投标人撤回电子投标文件，则认为其不再参与本项目投标活动。</w:t>
      </w:r>
    </w:p>
    <w:p w14:paraId="367DC37C">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17.4.2 投标文件的修改</w:t>
      </w:r>
    </w:p>
    <w:p w14:paraId="11C138ED">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17.4.2.1投标人可在投标截止时间前，对其电子投标文件进行修改，具体操作方法见《操作手册》。</w:t>
      </w:r>
    </w:p>
    <w:p w14:paraId="3CB19D83">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17.4.2.2在投标截止时间之后，投标人不得对其电子投标文件作任何修改。</w:t>
      </w:r>
    </w:p>
    <w:p w14:paraId="04F47406">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17.4.3在投标截止时间至招标文件中规定的投标有效期满之间的这段时间内，投标人不得撤回其投标。</w:t>
      </w:r>
    </w:p>
    <w:p w14:paraId="3113BDF5">
      <w:pPr>
        <w:pStyle w:val="608"/>
        <w:outlineLvl w:val="1"/>
        <w:rPr>
          <w:rFonts w:hint="eastAsia" w:ascii="宋体" w:hAnsi="宋体" w:eastAsia="宋体" w:cs="宋体"/>
          <w:color w:val="auto"/>
          <w:highlight w:val="none"/>
        </w:rPr>
      </w:pPr>
      <w:bookmarkStart w:id="78" w:name="_Toc27625"/>
      <w:bookmarkStart w:id="79" w:name="_Toc30306"/>
      <w:r>
        <w:rPr>
          <w:rFonts w:hint="eastAsia" w:ascii="宋体" w:hAnsi="宋体" w:eastAsia="宋体" w:cs="宋体"/>
          <w:color w:val="auto"/>
          <w:highlight w:val="none"/>
        </w:rPr>
        <w:t>五、无效标、投标被拒绝、串通投标认定条款</w:t>
      </w:r>
      <w:bookmarkEnd w:id="70"/>
      <w:bookmarkEnd w:id="71"/>
      <w:bookmarkEnd w:id="78"/>
      <w:bookmarkEnd w:id="79"/>
    </w:p>
    <w:p w14:paraId="5D6B272F">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18、以下情形将视为无效投标</w:t>
      </w:r>
      <w:bookmarkStart w:id="80" w:name="EB94942e5430df4fb8a077f3cf7667f212"/>
    </w:p>
    <w:p w14:paraId="72CB2557">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18.1.1投标人在苏采云系统规定的时间内未成功解密电子投标文件的。</w:t>
      </w:r>
    </w:p>
    <w:p w14:paraId="766470B1">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18.1.2投标人未按照招标文件要求上传电子投标文件的。</w:t>
      </w:r>
    </w:p>
    <w:p w14:paraId="06441A55">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18.1.3同一投标人提交两个（含两个）以上不同的投标报价的。</w:t>
      </w:r>
    </w:p>
    <w:p w14:paraId="7DB2F53C">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18.1.4投标人不具备招标文件中规定资格要求的（以文字表明的实质性要求和标注“★”的内容均为实质性要求）。</w:t>
      </w:r>
    </w:p>
    <w:p w14:paraId="5576EE24">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18.1.5投标人的报价超过了采购预算或最高限价的。</w:t>
      </w:r>
    </w:p>
    <w:p w14:paraId="4E9AB1EB">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18.1.6未通过符合性审查的。</w:t>
      </w:r>
    </w:p>
    <w:p w14:paraId="1FA87238">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18.1.7不符合招标文件中规定的实质性要求和条件的。</w:t>
      </w:r>
    </w:p>
    <w:p w14:paraId="1C328CC3">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A4ED414">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18.1.9投标文件含有采购人不能接受的附加条件的。</w:t>
      </w:r>
    </w:p>
    <w:p w14:paraId="1D2AE8CC">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1231924F">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4B363D2A">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18.1.12投标人所投标产品不符合招标文件中所列国家强制性标准的；</w:t>
      </w:r>
    </w:p>
    <w:p w14:paraId="12C69D05">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18.1.1</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投标文件未按照招标文件要求加盖公章的。</w:t>
      </w:r>
    </w:p>
    <w:p w14:paraId="688284C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18.1.1</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投标文件含有采购人不能接受的附加条件的；</w:t>
      </w:r>
    </w:p>
    <w:p w14:paraId="722BEC4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18.1.1</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投标人有本招标文件规定的恶意串通投标情形的；</w:t>
      </w:r>
    </w:p>
    <w:p w14:paraId="1A154068">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18.1.1</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其它评标委员会认为有必要取消的投标；</w:t>
      </w:r>
    </w:p>
    <w:p w14:paraId="3C54A82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18.1.1</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其他法律、法规及本招标文件规定的属无效投标的情形。</w:t>
      </w:r>
      <w:bookmarkEnd w:id="80"/>
    </w:p>
    <w:p w14:paraId="16C2C55E">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19、以下情形投标将被拒绝</w:t>
      </w:r>
    </w:p>
    <w:p w14:paraId="491A76A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19.1符合专业条件的供应商或者对招标文件作实质响应的供应商不足三家的（20条规定情形除外）；</w:t>
      </w:r>
    </w:p>
    <w:p w14:paraId="17468D6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19.2出现影响采购公正的违法、违规行为的；</w:t>
      </w:r>
    </w:p>
    <w:p w14:paraId="08AC879C">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19.3因重大变故，采购任务取消的。</w:t>
      </w:r>
    </w:p>
    <w:p w14:paraId="5DDB2C8F">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19.4评标委员会认定招标文件存在歧义、重大缺陷导致评审工作无法进行。</w:t>
      </w:r>
    </w:p>
    <w:p w14:paraId="3C494F54">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19.5因苏采云系统故障原因造成开标不成功的。</w:t>
      </w:r>
    </w:p>
    <w:p w14:paraId="63751A23">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19.6投标截止时间结束后参加投标的供应商不足三家的处理：</w:t>
      </w:r>
    </w:p>
    <w:p w14:paraId="1E789BA4">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19.7如出现投标截止时间结束后参加投标的供应商或者在评标期间对招标文件做出实质响应的供应商不足三家情况，按政府采购相关规定执行。</w:t>
      </w:r>
    </w:p>
    <w:p w14:paraId="13F79DC6">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20、投标人不足三家情形处理</w:t>
      </w:r>
    </w:p>
    <w:p w14:paraId="1D6C7B7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投标截止后投标人不足3家或者通过资格审查或符合性审查的投标人不足3家的，除采购任务取消情形外，按财政部令第87号第四十三条条款进行处理。</w:t>
      </w:r>
    </w:p>
    <w:p w14:paraId="65C84E9A">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21、凡有以下情形者，一经查实，取消中标候选人资格条款</w:t>
      </w:r>
    </w:p>
    <w:p w14:paraId="507C5EC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21.1提供虚假材料谋取中标的；</w:t>
      </w:r>
    </w:p>
    <w:p w14:paraId="4E4C192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21.2采取不正当手段诋毁、排挤其他投标人的；</w:t>
      </w:r>
    </w:p>
    <w:p w14:paraId="586D1354">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21.3与采购人、其他投标人或者采购代理机构恶意串通的；</w:t>
      </w:r>
    </w:p>
    <w:p w14:paraId="6B8B5F8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21.4向采购人、采购代理机构行贿或者提供其他不正当利益的；</w:t>
      </w:r>
    </w:p>
    <w:p w14:paraId="5CDC61A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21.5未在规定时间内与采购人签订采购合同的；</w:t>
      </w:r>
    </w:p>
    <w:p w14:paraId="0D9A687C">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21.6法律、法规规定的其它情况。</w:t>
      </w:r>
    </w:p>
    <w:p w14:paraId="77A70E59">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22、恶意串通投标的情形</w:t>
      </w:r>
    </w:p>
    <w:p w14:paraId="5EDE5A1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22.1供应商直接或间接从采购人或采购代理机构处获得其他供应商的投标情况，并修改其投标文件；</w:t>
      </w:r>
    </w:p>
    <w:p w14:paraId="1333755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22.2评审活动开始前供应商直接或间接从采购人或采购代理机构处获得评标委员会组成人员情况；</w:t>
      </w:r>
    </w:p>
    <w:p w14:paraId="3829083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22.3供应商接受采购人或采购代理机构授意撤换、修改投标文件；</w:t>
      </w:r>
    </w:p>
    <w:p w14:paraId="192CBA4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22.4供应商之间协商投标报价、技术方案等投标文件实质性内容；</w:t>
      </w:r>
    </w:p>
    <w:p w14:paraId="63F364F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22.5属于同一集团、协会、商会等组织成员的供应商按照该组织要求协同投标；</w:t>
      </w:r>
    </w:p>
    <w:p w14:paraId="0B75983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22.6供应商之间事先约定由某一特定供应商中标、成交；</w:t>
      </w:r>
    </w:p>
    <w:p w14:paraId="395D8E8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22.7供应商之间商定部分供应商放弃投标或者放弃中标、成交；</w:t>
      </w:r>
    </w:p>
    <w:p w14:paraId="5531F0B7">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22.8供应商与采购人或采购代理机构之间、供应商相互之间为谋求特定供应商中标成交或者排斥其他供应商的其他串通行为；</w:t>
      </w:r>
    </w:p>
    <w:p w14:paraId="77EC793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22.9不同投标人的投标文件由同一单位或者个人编制；</w:t>
      </w:r>
    </w:p>
    <w:p w14:paraId="45F4146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22.10不同投标人委托同一单位或者个人办理投标事宜；</w:t>
      </w:r>
    </w:p>
    <w:p w14:paraId="3FC01F1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22.11不同投标人的投标文件载明的项目管理成员或者联系人员为同一人；</w:t>
      </w:r>
    </w:p>
    <w:p w14:paraId="4874B2F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22.12不同投标人的投标文件异常一致或者投标报价呈规律性差异；</w:t>
      </w:r>
    </w:p>
    <w:p w14:paraId="40031EE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22.13不同投标人的投标文件相互混装；</w:t>
      </w:r>
    </w:p>
    <w:p w14:paraId="52C63879">
      <w:pPr>
        <w:pStyle w:val="608"/>
        <w:outlineLvl w:val="1"/>
        <w:rPr>
          <w:rFonts w:hint="eastAsia" w:ascii="宋体" w:hAnsi="宋体" w:eastAsia="宋体" w:cs="宋体"/>
          <w:color w:val="auto"/>
          <w:highlight w:val="none"/>
        </w:rPr>
      </w:pPr>
      <w:bookmarkStart w:id="81" w:name="_Toc11517"/>
      <w:bookmarkStart w:id="82" w:name="_Toc13553"/>
      <w:bookmarkStart w:id="83" w:name="_Toc29013"/>
      <w:bookmarkStart w:id="84" w:name="_Toc514054477"/>
      <w:r>
        <w:rPr>
          <w:rFonts w:hint="eastAsia" w:ascii="宋体" w:hAnsi="宋体" w:eastAsia="宋体" w:cs="宋体"/>
          <w:color w:val="auto"/>
          <w:highlight w:val="none"/>
        </w:rPr>
        <w:t>六、开标、资格审查、评标程序</w:t>
      </w:r>
      <w:bookmarkEnd w:id="81"/>
      <w:bookmarkEnd w:id="82"/>
      <w:bookmarkEnd w:id="83"/>
      <w:bookmarkEnd w:id="84"/>
    </w:p>
    <w:p w14:paraId="197153A6">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23、开标会议</w:t>
      </w:r>
    </w:p>
    <w:p w14:paraId="2BA2CB0B">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23.1采购代理机构将在招标公告中规定的时间和地点组织公开开标。投标人应当按照《操作手册》规定，参加开标活动和在苏采云系统规定的时间内对投标文件进行解密。</w:t>
      </w:r>
    </w:p>
    <w:p w14:paraId="1F542044">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23.2开标仪式由采购代理机构组织。苏采云系统将自动对项目进行开标，并宣布各投标人名称和投标价格。</w:t>
      </w:r>
    </w:p>
    <w:p w14:paraId="79669E2D">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23.3投标人在开标过程中涉及到的投标文件解密、开标结果确认等工作，应按照《操作手册》规定执行。</w:t>
      </w:r>
    </w:p>
    <w:p w14:paraId="70CF1D81">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23.4投标人如果对开标过程和开标记录有疑义，应当根据《操作手册》规定提出，如苏采云系统中《开标记录表》宣布后规定时间内未提出的，视同认可开标结果。</w:t>
      </w:r>
    </w:p>
    <w:p w14:paraId="54ABD320">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24、资格审查</w:t>
      </w:r>
    </w:p>
    <w:p w14:paraId="5ECF56CD">
      <w:pPr>
        <w:spacing w:line="500" w:lineRule="exact"/>
        <w:ind w:firstLine="480"/>
        <w:rPr>
          <w:rFonts w:hint="eastAsia" w:ascii="宋体" w:hAnsi="宋体" w:cs="宋体"/>
          <w:color w:val="auto"/>
          <w:sz w:val="24"/>
          <w:highlight w:val="none"/>
        </w:rPr>
      </w:pPr>
      <w:bookmarkStart w:id="85" w:name="EBa9c0a2c9e523494487594c65b2a92370"/>
      <w:r>
        <w:rPr>
          <w:rFonts w:hint="eastAsia" w:ascii="宋体" w:hAnsi="宋体" w:cs="宋体"/>
          <w:color w:val="auto"/>
          <w:sz w:val="24"/>
          <w:highlight w:val="none"/>
        </w:rPr>
        <w:t>开标结束后，采购人或经采购人委托的采购代理机构依法据招标文件规定对投标人的资格证明文件等进行审查。</w:t>
      </w:r>
      <w:bookmarkEnd w:id="85"/>
    </w:p>
    <w:p w14:paraId="5341F10E">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25、评标委员会</w:t>
      </w:r>
    </w:p>
    <w:p w14:paraId="23C9863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采购人应根据本项目的特点依法组建评标委员会。评标委员会负责具体评标事务，对资格审查合格的投标人进行评标，并独立履行相关职责。</w:t>
      </w:r>
    </w:p>
    <w:p w14:paraId="052EEDE9">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26、评标原则</w:t>
      </w:r>
    </w:p>
    <w:p w14:paraId="7469B5C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“公平、公正、客观、择优”为评标的基本原则，评标委员会将根据这一原则，公正、平等地对待各投标人。</w:t>
      </w:r>
    </w:p>
    <w:p w14:paraId="166F3444">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27、评标过程的保密与公正</w:t>
      </w:r>
    </w:p>
    <w:p w14:paraId="4334C52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27.1凡是与审查、澄清、评价和比较投标的有关资料以及授标建议等，采购人、评委、采购代理机构均不得向投标人或与评标无关的其他人员透露。</w:t>
      </w:r>
    </w:p>
    <w:p w14:paraId="5A7D638E">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27.2在评标过程中，投标人不得以任何行为影响评标过程，否则其投标文件将被作为无效投标文件。</w:t>
      </w:r>
    </w:p>
    <w:p w14:paraId="1761235E">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27.3采购代理机构和评标委员会不向未中标的投标人解释未中标原因，也不公布评标过程中的相关细节。</w:t>
      </w:r>
    </w:p>
    <w:p w14:paraId="04968C64">
      <w:pPr>
        <w:spacing w:line="520" w:lineRule="exact"/>
        <w:ind w:firstLine="480"/>
        <w:rPr>
          <w:rFonts w:hint="eastAsia" w:ascii="宋体" w:hAnsi="宋体" w:cs="宋体"/>
          <w:color w:val="auto"/>
          <w:highlight w:val="none"/>
        </w:rPr>
      </w:pPr>
      <w:r>
        <w:rPr>
          <w:rFonts w:hint="eastAsia" w:ascii="宋体" w:hAnsi="宋体" w:cs="宋体"/>
          <w:color w:val="auto"/>
          <w:sz w:val="24"/>
          <w:highlight w:val="none"/>
        </w:rPr>
        <w:t>27.4采用综合评分法的项目，未中标的投标人可于中标结果公告期限届满之日起通过苏采云系统查看自己的评审得分及排序情况。</w:t>
      </w:r>
    </w:p>
    <w:p w14:paraId="1E94977F">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28、评标程序</w:t>
      </w:r>
    </w:p>
    <w:p w14:paraId="45849B5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86" w:name="EB48e5ba2667fe4390bf237677a47020dd"/>
      <w:r>
        <w:rPr>
          <w:rFonts w:hint="eastAsia" w:ascii="宋体" w:hAnsi="宋体" w:cs="宋体"/>
          <w:color w:val="auto"/>
          <w:sz w:val="24"/>
          <w:highlight w:val="none"/>
        </w:rPr>
        <w:t>所谓重大偏离是指投标人投标文件中所述设备质量、技术规格、数量、交货期和服务等明显不能满足招标文件要求。</w:t>
      </w:r>
      <w:bookmarkEnd w:id="86"/>
      <w:r>
        <w:rPr>
          <w:rFonts w:hint="eastAsia" w:ascii="宋体" w:hAnsi="宋体" w:cs="宋体"/>
          <w:color w:val="auto"/>
          <w:sz w:val="24"/>
          <w:highlight w:val="none"/>
        </w:rPr>
        <w:t>重大偏离的认定须经评标委员会三分之二以上同意。</w:t>
      </w:r>
    </w:p>
    <w:p w14:paraId="0B47EE9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评标委员会判断“投标文件”的响应性，基于“投标文件”本身和招标文件要求提供的技术支持而不靠外部证据。对非实质性响应的投标文件，投标人不能通过修正或撤销不符之处，而使其成为实质性响应。</w:t>
      </w:r>
    </w:p>
    <w:p w14:paraId="6197C64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28.2澄清有关问题。</w:t>
      </w:r>
    </w:p>
    <w:p w14:paraId="169D917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p>
    <w:p w14:paraId="35E1701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评标委员会并非对每个投标人都做澄清要求。</w:t>
      </w:r>
    </w:p>
    <w:p w14:paraId="2497277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5D1974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28.2.3接到评委会澄清、说明和补正要求的投标人如未按规定做出澄清、说明和补正，其风险由投标人自行承担。</w:t>
      </w:r>
    </w:p>
    <w:p w14:paraId="64A68970">
      <w:pPr>
        <w:spacing w:line="500" w:lineRule="exact"/>
        <w:ind w:firstLine="600"/>
        <w:rPr>
          <w:rFonts w:hint="eastAsia" w:ascii="宋体" w:hAnsi="宋体" w:cs="宋体"/>
          <w:color w:val="auto"/>
          <w:sz w:val="24"/>
          <w:highlight w:val="none"/>
        </w:rPr>
      </w:pPr>
      <w:r>
        <w:rPr>
          <w:rFonts w:hint="eastAsia" w:ascii="宋体" w:hAnsi="宋体" w:cs="宋体"/>
          <w:color w:val="auto"/>
          <w:sz w:val="24"/>
          <w:highlight w:val="none"/>
        </w:rPr>
        <w:t>28.2.4投标文件报价出现前后不一致的，除招标文件另有规定外，按照下列规定修正：</w:t>
      </w:r>
    </w:p>
    <w:p w14:paraId="63F3826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①投标文件中开标一览表（报价表）内容与投标文件中相应内容不一致的，以开标一览表（报价表）为准；</w:t>
      </w:r>
    </w:p>
    <w:p w14:paraId="0FDF694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②大写金额和小写金额不一致的，以大写金额为准；</w:t>
      </w:r>
    </w:p>
    <w:p w14:paraId="08D6FF9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③单价金额小数点或者百分比有明显错位的，以开标一览表的总价为准，并修改单价；</w:t>
      </w:r>
    </w:p>
    <w:p w14:paraId="3B193208">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④总价金额与按单价汇总金额不一致的，以单价金额计算结果为准。</w:t>
      </w:r>
    </w:p>
    <w:p w14:paraId="50A12A6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同时出现两种以上不一致的，按照前款规定的顺序修正。修正后的报价，经投标人确认后产生约束力，投标人不确认的，其投标无效。</w:t>
      </w:r>
    </w:p>
    <w:p w14:paraId="51E3C46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29F24BE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28.4比较。评标委员会将按招标文件中规定的评标方法和标准，对符合性检查合格的投标文件进行商务和技术评比。</w:t>
      </w:r>
    </w:p>
    <w:p w14:paraId="4F55D3E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28.5推荐中标候选人。评标委员会按照招标文件中规定的评标方法和标准推荐中标候选人。</w:t>
      </w:r>
      <w:bookmarkStart w:id="87" w:name="EB66024636071342209da8bda483232040"/>
      <w:r>
        <w:rPr>
          <w:rFonts w:hint="eastAsia" w:ascii="宋体" w:hAnsi="宋体" w:cs="宋体"/>
          <w:color w:val="auto"/>
          <w:sz w:val="24"/>
          <w:highlight w:val="none"/>
        </w:rPr>
        <w:t xml:space="preserve"> </w:t>
      </w:r>
      <w:bookmarkEnd w:id="87"/>
    </w:p>
    <w:p w14:paraId="2AAE09C0">
      <w:pPr>
        <w:numPr>
          <w:ilvl w:val="0"/>
          <w:numId w:val="7"/>
        </w:numPr>
        <w:spacing w:line="500" w:lineRule="exact"/>
        <w:ind w:firstLine="482"/>
        <w:rPr>
          <w:rFonts w:hint="eastAsia" w:ascii="宋体" w:hAnsi="宋体" w:cs="宋体"/>
          <w:b/>
          <w:bCs/>
          <w:color w:val="auto"/>
          <w:sz w:val="24"/>
          <w:highlight w:val="none"/>
        </w:rPr>
      </w:pPr>
      <w:bookmarkStart w:id="88" w:name="EBf6bd108017b14bde8ec3ea4804c87c27"/>
      <w:r>
        <w:rPr>
          <w:rFonts w:hint="eastAsia" w:ascii="宋体" w:hAnsi="宋体" w:cs="宋体"/>
          <w:b/>
          <w:bCs/>
          <w:color w:val="auto"/>
          <w:sz w:val="24"/>
          <w:highlight w:val="none"/>
        </w:rPr>
        <w:t>政府采购政策功能落实</w:t>
      </w:r>
    </w:p>
    <w:p w14:paraId="6F6C25DD">
      <w:pPr>
        <w:spacing w:line="500" w:lineRule="exact"/>
        <w:ind w:firstLine="480" w:firstLineChars="200"/>
        <w:rPr>
          <w:rFonts w:hint="eastAsia" w:ascii="宋体" w:hAnsi="宋体" w:eastAsia="宋体" w:cs="宋体"/>
          <w:color w:val="auto"/>
          <w:sz w:val="24"/>
          <w:szCs w:val="24"/>
          <w:highlight w:val="none"/>
        </w:rPr>
      </w:pPr>
      <w:bookmarkStart w:id="89" w:name="EBd9bc59d5f2ed4fb8a64ee2e373d8cc72"/>
      <w:bookmarkStart w:id="90" w:name="_Toc81493168"/>
      <w:bookmarkStart w:id="91" w:name="_Toc23173"/>
      <w:bookmarkStart w:id="92" w:name="_Toc9744"/>
      <w:bookmarkStart w:id="93" w:name="_Toc5167"/>
      <w:bookmarkStart w:id="94" w:name="_Toc514054478"/>
      <w:r>
        <w:rPr>
          <w:rFonts w:hint="eastAsia" w:ascii="宋体" w:hAnsi="宋体" w:eastAsia="宋体" w:cs="宋体"/>
          <w:color w:val="auto"/>
          <w:sz w:val="24"/>
          <w:szCs w:val="24"/>
          <w:highlight w:val="none"/>
        </w:rPr>
        <w:t>29.1 政府采购促进中小企业发展，在政府采购活动中，供应商提供的货物、工程或者服务符合下列情形的，享受中小企业扶持政策：</w:t>
      </w:r>
    </w:p>
    <w:p w14:paraId="22F58E71">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（1）在货物采购项目中，货物由中小企业制造，即货物由中小企业生产且使用该中小企业商号或者注册商标；</w:t>
      </w:r>
    </w:p>
    <w:p w14:paraId="416641F8">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（2）在工程采购项目中，工程由中小企业承建，即工程施工单位为中小企业；</w:t>
      </w:r>
    </w:p>
    <w:p w14:paraId="0AFD946C">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（3）在服务采购项目中，服务由中小企业承接，即提供服务的人员为中小企业依照《中华人民共和国劳动合同法》订立劳动合同的从业人员。</w:t>
      </w:r>
    </w:p>
    <w:p w14:paraId="3D33B818">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在货物采购项目中，供应商提供的货物既有中小企业制造货物，也有大型企业制造货物的，不享受中小企业扶持政策。</w:t>
      </w:r>
    </w:p>
    <w:p w14:paraId="042A47CA">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以联合体形式参加政府采购活动，联合体各方均为中小企业的，联合体视同中小企业。其中，联合体各方均为小微企业的，联合体视同小微企业。</w:t>
      </w:r>
    </w:p>
    <w:p w14:paraId="6510C667">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中小企业供应商参加政府采购活动，应当出具《中小企业声明函》（格式见后附件），否则不得享受相关中小企业扶持政策。</w:t>
      </w:r>
    </w:p>
    <w:p w14:paraId="4F985C32">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中小企业，是指在中华人民共和国境内依法设立，依据国务院批准的中小企业划分标准（详见《关于印发中小企业划型标准规定的通知》</w:t>
      </w:r>
    </w:p>
    <w:p w14:paraId="2315D0E5">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16FB95CB">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4CAE53DA">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56D3BA7F">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13A66DFC">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 提供的产品属于信息安全产品的，供应商应当选择经国家认证的信息安全产品投标，并提供由中国信息安全认证中心按国家标准认证颁发的有效认证证书复印件。</w:t>
      </w:r>
    </w:p>
    <w:p w14:paraId="72D619D6">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29.6 提供的产品属于政府强制采购节能产品的，供应商应当选择依据国家标准中二级能效（水效）指标认证的节能产品投标，并提供有效的节能产品认证证书复印件。</w:t>
      </w:r>
    </w:p>
    <w:bookmarkEnd w:id="89"/>
    <w:p w14:paraId="1AAA16EA">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p>
    <w:p w14:paraId="0A3DBF57">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29.8进口产品政策</w:t>
      </w:r>
    </w:p>
    <w:p w14:paraId="7DE22626">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（1）除招标公告载明接受进口产品参加外，不允许进口产品参加。进口产品认定依照《财政部关于政府采购进口产品管理有关问题的通知》（财办库〔2008〕248号）的规定。</w:t>
      </w:r>
    </w:p>
    <w:p w14:paraId="67DE6CD3">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（2）允许进口产品参加的，满足需求的国内产品可以参加。</w:t>
      </w:r>
    </w:p>
    <w:p w14:paraId="5B01BF94">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（3）允许进口产品参加的，优先采购向我国企业转让技术、与我国企业签订消化吸收再创新方案的供应商的进口产品。</w:t>
      </w:r>
    </w:p>
    <w:p w14:paraId="1E64D0A3">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29.9落实政府采购《商品包装政府采购需求标准(试行)》、《快递包装政府采购需求标准（试行）》（财办库〔2020〕123号〕、《绿色数据中心政府采购需求标准（试行）》（财库〔2023]7号）等需求标准。</w:t>
      </w:r>
    </w:p>
    <w:p w14:paraId="6D23819F">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p>
    <w:p w14:paraId="06309026">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29.11 </w:t>
      </w:r>
      <w:r>
        <w:rPr>
          <w:rFonts w:hint="eastAsia" w:ascii="宋体" w:hAnsi="宋体" w:eastAsia="宋体" w:cs="宋体"/>
          <w:color w:val="auto"/>
          <w:sz w:val="24"/>
          <w:szCs w:val="24"/>
          <w:highlight w:val="none"/>
        </w:rPr>
        <w:t>支持乡村产业振兴管理：落实《关于运用政府采购政策支持乡村产业振兴的通知》（财库〔2021〕19号）有关要求。</w:t>
      </w:r>
    </w:p>
    <w:p w14:paraId="5BD61809">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29.12</w:t>
      </w:r>
      <w:r>
        <w:rPr>
          <w:rFonts w:hint="eastAsia" w:ascii="宋体" w:hAnsi="宋体" w:eastAsia="宋体" w:cs="宋体"/>
          <w:color w:val="auto"/>
          <w:sz w:val="24"/>
          <w:szCs w:val="24"/>
          <w:highlight w:val="none"/>
        </w:rPr>
        <w:t>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提高</w:t>
      </w:r>
      <w:r>
        <w:rPr>
          <w:rFonts w:hint="eastAsia" w:ascii="宋体" w:hAnsi="宋体" w:eastAsia="宋体" w:cs="宋体"/>
          <w:color w:val="auto"/>
          <w:sz w:val="24"/>
          <w:szCs w:val="24"/>
          <w:highlight w:val="none"/>
        </w:rPr>
        <w:t>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6BC3E8F6">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29.13</w:t>
      </w:r>
      <w:r>
        <w:rPr>
          <w:rFonts w:hint="eastAsia" w:ascii="宋体" w:hAnsi="宋体" w:eastAsia="宋体" w:cs="宋体"/>
          <w:color w:val="auto"/>
          <w:sz w:val="24"/>
          <w:szCs w:val="24"/>
          <w:highlight w:val="none"/>
        </w:rPr>
        <w:t>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62B7B32E">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29.14</w:t>
      </w:r>
      <w:r>
        <w:rPr>
          <w:rFonts w:hint="eastAsia" w:ascii="宋体" w:hAnsi="宋体" w:eastAsia="宋体" w:cs="宋体"/>
          <w:color w:val="auto"/>
          <w:sz w:val="24"/>
          <w:szCs w:val="24"/>
          <w:highlight w:val="none"/>
        </w:rPr>
        <w:t>创新产品采购</w:t>
      </w:r>
    </w:p>
    <w:p w14:paraId="6D435407">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优先采购各级政府部门公开发布的有效期内的创新产品、首台套等《目录》内的创新产品。创新产品自进入《目录》起2年内视同具备相应销售业绩。</w:t>
      </w:r>
    </w:p>
    <w:p w14:paraId="6D05E81D">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 </w:t>
      </w:r>
      <w:r>
        <w:rPr>
          <w:rFonts w:hint="eastAsia" w:ascii="宋体" w:hAnsi="宋体" w:eastAsia="宋体" w:cs="宋体"/>
          <w:color w:val="auto"/>
          <w:sz w:val="24"/>
          <w:szCs w:val="24"/>
          <w:highlight w:val="none"/>
        </w:rPr>
        <w:t>网络产品、市场准入类产品采购</w:t>
      </w:r>
    </w:p>
    <w:p w14:paraId="2962D01A">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29.15</w:t>
      </w:r>
      <w:r>
        <w:rPr>
          <w:rFonts w:hint="eastAsia" w:ascii="宋体" w:hAnsi="宋体" w:eastAsia="宋体" w:cs="宋体"/>
          <w:color w:val="auto"/>
          <w:sz w:val="24"/>
          <w:szCs w:val="24"/>
          <w:highlight w:val="none"/>
        </w:rPr>
        <w:t>.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网络关键设备和网络安全专用产品目录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p>
    <w:p w14:paraId="6F0DFB07">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29.15</w:t>
      </w:r>
      <w:r>
        <w:rPr>
          <w:rFonts w:hint="eastAsia" w:ascii="宋体" w:hAnsi="宋体" w:eastAsia="宋体" w:cs="宋体"/>
          <w:color w:val="auto"/>
          <w:sz w:val="24"/>
          <w:szCs w:val="24"/>
          <w:highlight w:val="none"/>
        </w:rPr>
        <w:t>.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p>
    <w:p w14:paraId="1016BE20">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落实《关于在全省政府采购领域推行电子履约保函（保险）的通知》（苏财购〔2023〕150号）。</w:t>
      </w:r>
    </w:p>
    <w:p w14:paraId="35D619B6">
      <w:pPr>
        <w:spacing w:line="500" w:lineRule="exact"/>
        <w:ind w:firstLine="240" w:firstLineChars="1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29.17</w:t>
      </w:r>
      <w:r>
        <w:rPr>
          <w:rFonts w:hint="eastAsia" w:ascii="宋体" w:hAnsi="宋体" w:eastAsia="宋体" w:cs="宋体"/>
          <w:color w:val="auto"/>
          <w:sz w:val="24"/>
          <w:szCs w:val="24"/>
          <w:highlight w:val="none"/>
        </w:rPr>
        <w:t>政府采购中实施本国产品标准及相关政策</w:t>
      </w:r>
      <w:r>
        <w:rPr>
          <w:rFonts w:hint="eastAsia" w:ascii="宋体" w:hAnsi="宋体" w:cs="宋体"/>
          <w:color w:val="auto"/>
          <w:sz w:val="24"/>
          <w:szCs w:val="24"/>
          <w:highlight w:val="none"/>
          <w:lang w:eastAsia="zh-CN"/>
        </w:rPr>
        <w:t>：</w:t>
      </w:r>
    </w:p>
    <w:p w14:paraId="4314D968">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29.17.</w:t>
      </w:r>
      <w:r>
        <w:rPr>
          <w:rFonts w:hint="eastAsia" w:ascii="宋体" w:hAnsi="宋体" w:eastAsia="宋体" w:cs="宋体"/>
          <w:color w:val="auto"/>
          <w:sz w:val="24"/>
          <w:szCs w:val="24"/>
          <w:highlight w:val="none"/>
        </w:rPr>
        <w:t>1.本项目对采购本国产品给予政策支持。</w:t>
      </w:r>
    </w:p>
    <w:p w14:paraId="27971718">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29.17.</w:t>
      </w:r>
      <w:r>
        <w:rPr>
          <w:rFonts w:hint="eastAsia" w:ascii="宋体" w:hAnsi="宋体" w:eastAsia="宋体" w:cs="宋体"/>
          <w:color w:val="auto"/>
          <w:sz w:val="24"/>
          <w:szCs w:val="24"/>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F74E01F">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29.17.</w:t>
      </w:r>
      <w:r>
        <w:rPr>
          <w:rFonts w:hint="eastAsia" w:ascii="宋体" w:hAnsi="宋体" w:eastAsia="宋体" w:cs="宋体"/>
          <w:color w:val="auto"/>
          <w:sz w:val="24"/>
          <w:szCs w:val="24"/>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53996CB">
      <w:pPr>
        <w:spacing w:line="500" w:lineRule="exact"/>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29.1</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根据财库〔2026〕2号文件，评审委员会启动异常低价投标审查的情形和具体要求，包括：</w:t>
      </w:r>
    </w:p>
    <w:p w14:paraId="6D02DF55">
      <w:pPr>
        <w:spacing w:line="500" w:lineRule="exact"/>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（一）1.投标报价低于全部通过符合性审查供应商投标报价平均值50%的，即投标报价&lt;全部通过符合性审查供应商投标报价平均值×50%；</w:t>
      </w:r>
    </w:p>
    <w:p w14:paraId="7892AB6E">
      <w:pPr>
        <w:spacing w:line="500" w:lineRule="exact"/>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2.投标报价低于通过符合性审查的次低报价供应商投标报价50%的，即投标报价&lt;通过符合性审查的次低报价供应商投标报价×50%；</w:t>
      </w:r>
    </w:p>
    <w:p w14:paraId="358894E7">
      <w:pPr>
        <w:spacing w:line="500" w:lineRule="exact"/>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3.投标报价低于采购项目最高限价45%的，即投标报价&lt;采购项目最高限价×45%；</w:t>
      </w:r>
    </w:p>
    <w:p w14:paraId="60C6F296">
      <w:pPr>
        <w:spacing w:line="500" w:lineRule="exact"/>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4.评审委员会基于专业判断，认为供应商报价过低，有可能影响产品质量或者不能诚信履约的其他情形。</w:t>
      </w:r>
    </w:p>
    <w:p w14:paraId="583DAC84">
      <w:pPr>
        <w:spacing w:line="500" w:lineRule="exact"/>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（二）评审委员会启动异常低价投标审查后，属于前述第1项至第4项情形的，相关供应商</w:t>
      </w:r>
      <w:r>
        <w:rPr>
          <w:rFonts w:hint="eastAsia" w:ascii="宋体" w:hAnsi="宋体" w:cs="宋体"/>
          <w:color w:val="auto"/>
          <w:sz w:val="24"/>
          <w:szCs w:val="24"/>
          <w:highlight w:val="none"/>
          <w:lang w:val="en-US" w:eastAsia="zh-CN"/>
        </w:rPr>
        <w:t>应</w:t>
      </w:r>
      <w:r>
        <w:rPr>
          <w:rFonts w:hint="eastAsia" w:ascii="宋体" w:hAnsi="宋体" w:eastAsia="宋体" w:cs="宋体"/>
          <w:color w:val="auto"/>
          <w:sz w:val="24"/>
          <w:szCs w:val="24"/>
          <w:highlight w:val="none"/>
          <w:lang w:val="en-US" w:eastAsia="zh-CN"/>
        </w:rPr>
        <w:t>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p>
    <w:p w14:paraId="390DD1EA">
      <w:pPr>
        <w:spacing w:line="500" w:lineRule="exact"/>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09031DC0">
      <w:pPr>
        <w:spacing w:line="500" w:lineRule="exact"/>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0D80245">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异常低价投标审查的启动原因、审查意见和审查结果应当在评审报告中记录，并随供应商提供的相关书面说明及证明材料，以及评审委员会有关互联网浏览、查询历史一并归档。</w:t>
      </w:r>
    </w:p>
    <w:p w14:paraId="56132288">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未按要求提供相关材料的，不享受相关政策。</w:t>
      </w:r>
    </w:p>
    <w:p w14:paraId="4D6AF76E">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cs="宋体"/>
          <w:color w:val="auto"/>
          <w:sz w:val="24"/>
          <w:szCs w:val="24"/>
          <w:highlight w:val="none"/>
          <w:lang w:val="en-US" w:eastAsia="zh-CN"/>
        </w:rPr>
        <w:t>20</w:t>
      </w:r>
      <w:r>
        <w:rPr>
          <w:rFonts w:hint="eastAsia" w:ascii="宋体" w:hAnsi="宋体" w:eastAsia="宋体" w:cs="宋体"/>
          <w:color w:val="auto"/>
          <w:sz w:val="24"/>
          <w:szCs w:val="24"/>
          <w:highlight w:val="none"/>
        </w:rPr>
        <w:t>在本项目政府采购活动过程中，如果所执行的标准有更新的，按照最新标准执行。</w:t>
      </w:r>
    </w:p>
    <w:p w14:paraId="1C6BB918">
      <w:pPr>
        <w:pStyle w:val="608"/>
        <w:outlineLvl w:val="1"/>
        <w:rPr>
          <w:rFonts w:hint="eastAsia" w:ascii="宋体" w:hAnsi="宋体" w:eastAsia="宋体" w:cs="宋体"/>
          <w:color w:val="auto"/>
          <w:highlight w:val="none"/>
        </w:rPr>
      </w:pPr>
      <w:r>
        <w:rPr>
          <w:rFonts w:hint="eastAsia" w:ascii="宋体" w:hAnsi="宋体" w:eastAsia="宋体" w:cs="宋体"/>
          <w:color w:val="auto"/>
          <w:highlight w:val="none"/>
        </w:rPr>
        <w:t>七、中标及合同签订</w:t>
      </w:r>
      <w:bookmarkEnd w:id="90"/>
      <w:bookmarkEnd w:id="91"/>
      <w:bookmarkEnd w:id="92"/>
      <w:bookmarkEnd w:id="93"/>
      <w:bookmarkEnd w:id="94"/>
    </w:p>
    <w:p w14:paraId="6BA883E4">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30、标后审查</w:t>
      </w:r>
    </w:p>
    <w:p w14:paraId="3AD8A82E">
      <w:pPr>
        <w:spacing w:line="500" w:lineRule="exact"/>
        <w:ind w:firstLine="480"/>
        <w:rPr>
          <w:rFonts w:hint="eastAsia" w:ascii="宋体" w:hAnsi="宋体" w:cs="宋体"/>
          <w:color w:val="auto"/>
          <w:sz w:val="24"/>
          <w:highlight w:val="none"/>
        </w:rPr>
      </w:pPr>
      <w:bookmarkStart w:id="95" w:name="EB17cdacdfdd1244abbb73389fe0bfffe7"/>
      <w:r>
        <w:rPr>
          <w:rFonts w:hint="eastAsia" w:ascii="宋体" w:hAnsi="宋体" w:cs="宋体"/>
          <w:color w:val="auto"/>
          <w:sz w:val="24"/>
          <w:highlight w:val="none"/>
        </w:rPr>
        <w:t>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p>
    <w:p w14:paraId="24B8CB5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95"/>
    </w:p>
    <w:p w14:paraId="605DD89E">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31、确定中标人</w:t>
      </w:r>
    </w:p>
    <w:p w14:paraId="0B4C039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31.1采购人应当自收到评标报告之日起5个工作日内，在评标报告确定的中标候选人名单中按顺序确定中标人。中标候选人并列的，由采购人在相关部门监督下通过随机抽取的方式确定。</w:t>
      </w:r>
    </w:p>
    <w:p w14:paraId="7E325154">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31.2 在中标结果公告届满之前，中标人被列为失信被执行人的，取消其中标资格，并重新确定中标人。</w:t>
      </w:r>
    </w:p>
    <w:p w14:paraId="6B66FA6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31.3采购人不得通过对样品进行检测、对供应商进行考察等方式改变评审结果。</w:t>
      </w:r>
    </w:p>
    <w:p w14:paraId="68A20BA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p>
    <w:p w14:paraId="2BA4E5D9">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32、中标通知书</w:t>
      </w:r>
    </w:p>
    <w:p w14:paraId="70127EC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32.1中标结果在财政部门指定信息媒体上发布公告，招标代理机构将向中标人发出中标通知书。</w:t>
      </w:r>
    </w:p>
    <w:p w14:paraId="1097C84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32.2中标人应及时到招标代理机构领取中标通知书，中标通知书是签订合同的依据和组成部分。</w:t>
      </w:r>
    </w:p>
    <w:p w14:paraId="29EA4599">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33、签订合同</w:t>
      </w:r>
    </w:p>
    <w:p w14:paraId="1B7CCC3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33.1中标人与采购人应当在中标通知书发出之日起30日内签订采购合同，并将合同送采购代理机构登记。招标文件、中标人的投标文件以及评标过程中有关澄清文件均作为合同附件。</w:t>
      </w:r>
    </w:p>
    <w:p w14:paraId="1DB2EDF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33.2中标人无正当理由未在规定时间内与采购人签订合同的，采购人有权建议取消其中标资格，监管部门将对其依法处理。</w:t>
      </w:r>
    </w:p>
    <w:p w14:paraId="7460C97D">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34、履约保证金</w:t>
      </w:r>
    </w:p>
    <w:p w14:paraId="401EC4A9">
      <w:pPr>
        <w:ind w:firstLine="480"/>
        <w:rPr>
          <w:rFonts w:hint="eastAsia" w:ascii="宋体" w:hAnsi="宋体" w:cs="宋体"/>
          <w:color w:val="auto"/>
          <w:sz w:val="24"/>
          <w:szCs w:val="24"/>
          <w:highlight w:val="none"/>
        </w:rPr>
      </w:pPr>
      <w:bookmarkStart w:id="96" w:name="EB3094b551b51c42ca93e0255d679fb06f"/>
      <w:r>
        <w:rPr>
          <w:rFonts w:hint="eastAsia" w:ascii="宋体" w:hAnsi="宋体" w:cs="宋体"/>
          <w:color w:val="auto"/>
          <w:sz w:val="24"/>
          <w:szCs w:val="24"/>
          <w:highlight w:val="none"/>
        </w:rPr>
        <w:t xml:space="preserve">见前附表。 </w:t>
      </w:r>
      <w:bookmarkEnd w:id="96"/>
      <w:bookmarkStart w:id="97" w:name="EB0d6067c6e00d44b1ad5603550c455e87"/>
      <w:r>
        <w:rPr>
          <w:rFonts w:hint="eastAsia" w:ascii="宋体" w:hAnsi="宋体" w:cs="宋体"/>
          <w:color w:val="auto"/>
          <w:sz w:val="24"/>
          <w:szCs w:val="24"/>
          <w:highlight w:val="none"/>
        </w:rPr>
        <w:t xml:space="preserve"> </w:t>
      </w:r>
      <w:bookmarkEnd w:id="97"/>
    </w:p>
    <w:p w14:paraId="776B51CC">
      <w:pPr>
        <w:pStyle w:val="608"/>
        <w:outlineLvl w:val="1"/>
        <w:rPr>
          <w:rFonts w:hint="eastAsia" w:ascii="宋体" w:hAnsi="宋体" w:eastAsia="宋体" w:cs="宋体"/>
          <w:color w:val="auto"/>
          <w:highlight w:val="none"/>
        </w:rPr>
      </w:pPr>
      <w:bookmarkStart w:id="98" w:name="_Toc14752"/>
      <w:bookmarkStart w:id="99" w:name="_Toc514054479"/>
      <w:bookmarkStart w:id="100" w:name="_Toc25599"/>
      <w:bookmarkStart w:id="101" w:name="_Toc31894"/>
      <w:bookmarkStart w:id="102" w:name="_Toc81493169"/>
      <w:r>
        <w:rPr>
          <w:rFonts w:hint="eastAsia" w:ascii="宋体" w:hAnsi="宋体" w:eastAsia="宋体" w:cs="宋体"/>
          <w:color w:val="auto"/>
          <w:highlight w:val="none"/>
        </w:rPr>
        <w:t>八、验收及付款</w:t>
      </w:r>
      <w:bookmarkEnd w:id="98"/>
      <w:bookmarkEnd w:id="99"/>
      <w:bookmarkEnd w:id="100"/>
      <w:bookmarkEnd w:id="101"/>
      <w:bookmarkEnd w:id="102"/>
    </w:p>
    <w:p w14:paraId="6B2DE71C">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35、验收</w:t>
      </w:r>
    </w:p>
    <w:p w14:paraId="5B07FB81">
      <w:pPr>
        <w:spacing w:line="500" w:lineRule="exact"/>
        <w:ind w:firstLine="480"/>
        <w:rPr>
          <w:rFonts w:hint="eastAsia" w:ascii="宋体" w:hAnsi="宋体" w:cs="宋体"/>
          <w:color w:val="auto"/>
          <w:sz w:val="24"/>
          <w:highlight w:val="none"/>
        </w:rPr>
      </w:pPr>
      <w:bookmarkStart w:id="103" w:name="EBbbb2492ed6b84c9193a6bb6f72a512f3"/>
      <w:r>
        <w:rPr>
          <w:rFonts w:hint="eastAsia" w:ascii="宋体" w:hAnsi="宋体" w:cs="宋体"/>
          <w:color w:val="auto"/>
          <w:sz w:val="24"/>
          <w:highlight w:val="none"/>
        </w:rPr>
        <w:t>35.1由采购人组织验收，中标人配合。</w:t>
      </w:r>
      <w:bookmarkEnd w:id="103"/>
    </w:p>
    <w:p w14:paraId="5C487813">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36、付款</w:t>
      </w:r>
    </w:p>
    <w:p w14:paraId="6333668A">
      <w:pPr>
        <w:spacing w:line="500" w:lineRule="exact"/>
        <w:ind w:firstLine="480"/>
        <w:rPr>
          <w:rFonts w:hint="eastAsia" w:ascii="宋体" w:hAnsi="宋体" w:cs="宋体"/>
          <w:color w:val="auto"/>
          <w:sz w:val="24"/>
          <w:highlight w:val="none"/>
        </w:rPr>
      </w:pPr>
      <w:bookmarkStart w:id="104" w:name="EBf0da31fab3a04ad0893de83144a87b34"/>
      <w:r>
        <w:rPr>
          <w:rFonts w:hint="eastAsia" w:ascii="宋体" w:hAnsi="宋体" w:cs="宋体"/>
          <w:color w:val="auto"/>
          <w:sz w:val="24"/>
          <w:highlight w:val="none"/>
        </w:rPr>
        <w:t>36.1</w:t>
      </w:r>
      <w:bookmarkEnd w:id="104"/>
      <w:r>
        <w:rPr>
          <w:rFonts w:hint="eastAsia" w:ascii="宋体" w:hAnsi="宋体" w:cs="宋体"/>
          <w:color w:val="auto"/>
          <w:sz w:val="24"/>
          <w:highlight w:val="none"/>
        </w:rPr>
        <w:t xml:space="preserve"> 采购人按招标文件要求办理采购款支付手续。</w:t>
      </w:r>
    </w:p>
    <w:p w14:paraId="45F19CB7">
      <w:pPr>
        <w:pStyle w:val="608"/>
        <w:outlineLvl w:val="1"/>
        <w:rPr>
          <w:rFonts w:hint="eastAsia" w:ascii="宋体" w:hAnsi="宋体" w:eastAsia="宋体" w:cs="宋体"/>
          <w:color w:val="auto"/>
          <w:highlight w:val="none"/>
        </w:rPr>
      </w:pPr>
      <w:bookmarkStart w:id="105" w:name="_Toc31322"/>
      <w:bookmarkStart w:id="106" w:name="_Toc514054480"/>
      <w:bookmarkStart w:id="107" w:name="_Toc26939"/>
      <w:bookmarkStart w:id="108" w:name="_Toc81493170"/>
      <w:bookmarkStart w:id="109" w:name="_Toc10945"/>
      <w:r>
        <w:rPr>
          <w:rFonts w:hint="eastAsia" w:ascii="宋体" w:hAnsi="宋体" w:eastAsia="宋体" w:cs="宋体"/>
          <w:color w:val="auto"/>
          <w:highlight w:val="none"/>
        </w:rPr>
        <w:t>九、质疑与投诉</w:t>
      </w:r>
      <w:bookmarkEnd w:id="105"/>
      <w:bookmarkEnd w:id="106"/>
      <w:bookmarkEnd w:id="107"/>
      <w:bookmarkEnd w:id="108"/>
      <w:bookmarkEnd w:id="109"/>
    </w:p>
    <w:p w14:paraId="6115F77D">
      <w:pPr>
        <w:spacing w:line="500" w:lineRule="exact"/>
        <w:ind w:firstLine="422"/>
        <w:rPr>
          <w:rFonts w:hint="eastAsia" w:ascii="宋体" w:hAnsi="宋体" w:cs="宋体"/>
          <w:b/>
          <w:color w:val="auto"/>
          <w:highlight w:val="none"/>
        </w:rPr>
      </w:pPr>
      <w:r>
        <w:rPr>
          <w:rFonts w:hint="eastAsia" w:ascii="宋体" w:hAnsi="宋体" w:cs="宋体"/>
          <w:b/>
          <w:color w:val="auto"/>
          <w:highlight w:val="none"/>
        </w:rPr>
        <w:t>37、质疑与投诉</w:t>
      </w:r>
    </w:p>
    <w:p w14:paraId="22C45C8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p>
    <w:p w14:paraId="621EE3B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37.2供应商应知其权益受到损害之日，是指：</w:t>
      </w:r>
    </w:p>
    <w:p w14:paraId="5612A531">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（1）对本项目采购文件提出质疑的，采购文件公告期限届满之日；</w:t>
      </w:r>
    </w:p>
    <w:p w14:paraId="24582E1B">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（2）对本项目采购过程提出质疑的，为各采购程序环节结束之日；</w:t>
      </w:r>
    </w:p>
    <w:p w14:paraId="65ED8B7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（3）对本项目中标或者成交结果提出质疑的，为中标或者成交结果公告期限届满之日。</w:t>
      </w:r>
    </w:p>
    <w:p w14:paraId="650C1CE9">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37.3质疑供应商应当是参与所质疑项目采购活动的供应商。潜在供应商已依法获取其可质疑的采购文件的，方可对该文件提出质疑。供应商在法定质疑期内应一次性提出针对同一采购程序环节的质疑。</w:t>
      </w:r>
    </w:p>
    <w:p w14:paraId="1CBDF7D4">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37.4供应商提出质疑应当提交质疑函和必要的证明材料。质疑函的必备内容：</w:t>
      </w:r>
    </w:p>
    <w:p w14:paraId="3ED94A0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（1）供应商的姓名或者名称、地址、邮编、联系人及联系电话；</w:t>
      </w:r>
    </w:p>
    <w:p w14:paraId="30FA7385">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（2）质疑项目的名称、编号；</w:t>
      </w:r>
    </w:p>
    <w:p w14:paraId="132E81E5">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（3）具体、明确的质疑事项和质疑事项相关的请求；</w:t>
      </w:r>
    </w:p>
    <w:p w14:paraId="7A39FA17">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（4）事实依据；</w:t>
      </w:r>
    </w:p>
    <w:p w14:paraId="1D3C44A3">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（5）必要的法律依据；</w:t>
      </w:r>
    </w:p>
    <w:p w14:paraId="2C21D37E">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（6）提出质疑的日期；</w:t>
      </w:r>
    </w:p>
    <w:p w14:paraId="28BB5E0B">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（7）供应商为自然人的，由本人签字；供应商为法人或者其他组织的，应当由法定代表人、主要负责人，或者其授权代表签字或者盖章，并加盖公章。</w:t>
      </w:r>
    </w:p>
    <w:p w14:paraId="37139A99">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p>
    <w:p w14:paraId="061EA7D1">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37.5以联合体形式参加政府采购活动的，其质疑应当由组成联合体的所有供应商共同提出。</w:t>
      </w:r>
    </w:p>
    <w:p w14:paraId="6118B44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p>
    <w:p w14:paraId="0BC9AA5E">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37.7采购人、采购代理机构在收到质疑函后7个工作日内作出答复，并以书面形式通知质疑供应商和其他有关供应商，但质疑答复的内容不涉及商业秘密。</w:t>
      </w:r>
    </w:p>
    <w:p w14:paraId="52999B0F">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37.8质疑供应商对采购人、采购代理机构的答复不满意，或者采购人、采购代理机构未在规定时间内作出答复的，可以在答复期满后15个工作日内向同级财政部门提起投诉。</w:t>
      </w:r>
    </w:p>
    <w:p w14:paraId="69DE7027">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88"/>
    </w:p>
    <w:p w14:paraId="158182FA">
      <w:pPr>
        <w:pStyle w:val="608"/>
        <w:outlineLvl w:val="1"/>
        <w:rPr>
          <w:rFonts w:hint="eastAsia" w:ascii="宋体" w:hAnsi="宋体" w:eastAsia="宋体" w:cs="宋体"/>
          <w:color w:val="auto"/>
          <w:highlight w:val="none"/>
        </w:rPr>
      </w:pPr>
      <w:bookmarkStart w:id="110" w:name="_Toc120614221"/>
      <w:bookmarkStart w:id="111" w:name="_Toc479757207"/>
      <w:bookmarkStart w:id="112" w:name="_Toc26968"/>
      <w:bookmarkStart w:id="113" w:name="_Toc16938558"/>
      <w:bookmarkStart w:id="114" w:name="_Toc32340"/>
      <w:bookmarkStart w:id="115" w:name="_Toc20823314"/>
      <w:bookmarkStart w:id="116" w:name="_Toc513029242"/>
      <w:r>
        <w:rPr>
          <w:rFonts w:hint="eastAsia" w:ascii="宋体" w:hAnsi="宋体" w:eastAsia="宋体" w:cs="宋体"/>
          <w:color w:val="auto"/>
          <w:highlight w:val="none"/>
        </w:rPr>
        <w:t>十、政府采购履约资金扶持政策</w:t>
      </w:r>
      <w:bookmarkEnd w:id="110"/>
      <w:bookmarkEnd w:id="111"/>
      <w:bookmarkEnd w:id="112"/>
      <w:bookmarkEnd w:id="113"/>
      <w:bookmarkEnd w:id="114"/>
      <w:bookmarkEnd w:id="115"/>
      <w:bookmarkEnd w:id="116"/>
    </w:p>
    <w:p w14:paraId="248A7F7F">
      <w:pPr>
        <w:pStyle w:val="222"/>
        <w:rPr>
          <w:rFonts w:hint="eastAsia" w:hAnsi="宋体" w:cs="宋体"/>
          <w:color w:val="auto"/>
          <w:szCs w:val="24"/>
          <w:highlight w:val="none"/>
        </w:rPr>
      </w:pPr>
      <w:r>
        <w:rPr>
          <w:rFonts w:hint="eastAsia" w:hAnsi="宋体" w:cs="宋体"/>
          <w:color w:val="auto"/>
          <w:szCs w:val="24"/>
          <w:highlight w:val="none"/>
        </w:rPr>
        <w:t>中标人可凭政府采购合同办理融资贷款，详情请见江苏政府采购网“政采贷”专栏。</w:t>
      </w:r>
    </w:p>
    <w:p w14:paraId="7049FA55">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 </w:t>
      </w:r>
    </w:p>
    <w:p w14:paraId="61158EDB">
      <w:pPr>
        <w:jc w:val="center"/>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bookmarkStart w:id="117" w:name="_Toc29089"/>
      <w:bookmarkStart w:id="118" w:name="_Toc2112"/>
      <w:r>
        <w:rPr>
          <w:rFonts w:hint="eastAsia" w:ascii="宋体" w:hAnsi="宋体" w:cs="宋体"/>
          <w:b/>
          <w:color w:val="auto"/>
          <w:sz w:val="44"/>
          <w:szCs w:val="44"/>
          <w:highlight w:val="none"/>
        </w:rPr>
        <w:t>第三部分  评标方法和标准</w:t>
      </w:r>
      <w:bookmarkEnd w:id="117"/>
      <w:bookmarkEnd w:id="118"/>
    </w:p>
    <w:p w14:paraId="13164AB1">
      <w:pPr>
        <w:spacing w:before="156" w:after="156"/>
        <w:ind w:firstLine="643"/>
        <w:outlineLvl w:val="1"/>
        <w:rPr>
          <w:rFonts w:hint="eastAsia" w:ascii="宋体" w:hAnsi="宋体" w:cs="宋体"/>
          <w:b/>
          <w:color w:val="auto"/>
          <w:sz w:val="32"/>
          <w:szCs w:val="32"/>
          <w:highlight w:val="none"/>
        </w:rPr>
      </w:pPr>
      <w:bookmarkStart w:id="119" w:name="_Toc17445"/>
      <w:bookmarkStart w:id="120" w:name="_Toc24217_WPSOffice_Level2"/>
      <w:bookmarkStart w:id="121" w:name="_Toc12296"/>
      <w:bookmarkStart w:id="122" w:name="_Toc4647"/>
      <w:r>
        <w:rPr>
          <w:rFonts w:hint="eastAsia" w:ascii="宋体" w:hAnsi="宋体" w:cs="宋体"/>
          <w:b/>
          <w:color w:val="auto"/>
          <w:sz w:val="32"/>
          <w:szCs w:val="32"/>
          <w:highlight w:val="none"/>
        </w:rPr>
        <w:t>一、资格审查</w:t>
      </w:r>
      <w:bookmarkEnd w:id="119"/>
      <w:bookmarkEnd w:id="120"/>
      <w:bookmarkEnd w:id="121"/>
      <w:bookmarkEnd w:id="122"/>
    </w:p>
    <w:p w14:paraId="593C27B0">
      <w:pPr>
        <w:ind w:firstLine="420"/>
        <w:rPr>
          <w:rFonts w:hint="eastAsia" w:ascii="宋体" w:hAnsi="宋体" w:cs="宋体"/>
          <w:color w:val="auto"/>
          <w:sz w:val="24"/>
          <w:highlight w:val="none"/>
        </w:rPr>
      </w:pPr>
      <w:r>
        <w:rPr>
          <w:rFonts w:hint="eastAsia" w:ascii="宋体" w:hAnsi="宋体" w:cs="宋体"/>
          <w:color w:val="auto"/>
          <w:sz w:val="24"/>
          <w:highlight w:val="none"/>
        </w:rPr>
        <w:t>采购人按照下列指标对各投标人的资格进行审查，未通过审查的为无效标，不参与评标。</w:t>
      </w:r>
    </w:p>
    <w:tbl>
      <w:tblPr>
        <w:tblStyle w:val="34"/>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828"/>
        <w:gridCol w:w="4335"/>
      </w:tblGrid>
      <w:tr w14:paraId="4F780EB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828" w:type="dxa"/>
            <w:vAlign w:val="center"/>
          </w:tcPr>
          <w:p w14:paraId="73CB7E66">
            <w:pPr>
              <w:jc w:val="center"/>
              <w:rPr>
                <w:rFonts w:hint="eastAsia" w:ascii="宋体" w:hAnsi="宋体" w:cs="宋体"/>
                <w:color w:val="auto"/>
                <w:highlight w:val="none"/>
              </w:rPr>
            </w:pPr>
            <w:r>
              <w:rPr>
                <w:rFonts w:hint="eastAsia" w:ascii="宋体" w:hAnsi="宋体" w:cs="宋体"/>
                <w:color w:val="auto"/>
                <w:highlight w:val="none"/>
              </w:rPr>
              <w:t>资格审查因素</w:t>
            </w:r>
          </w:p>
        </w:tc>
        <w:tc>
          <w:tcPr>
            <w:tcW w:w="4335" w:type="dxa"/>
            <w:vAlign w:val="center"/>
          </w:tcPr>
          <w:p w14:paraId="60BD0BBC">
            <w:pPr>
              <w:jc w:val="center"/>
              <w:rPr>
                <w:rFonts w:hint="eastAsia" w:ascii="宋体" w:hAnsi="宋体" w:cs="宋体"/>
                <w:color w:val="auto"/>
                <w:highlight w:val="none"/>
              </w:rPr>
            </w:pPr>
            <w:r>
              <w:rPr>
                <w:rFonts w:hint="eastAsia" w:ascii="宋体" w:hAnsi="宋体" w:cs="宋体"/>
                <w:color w:val="auto"/>
                <w:highlight w:val="none"/>
              </w:rPr>
              <w:t>审查标准</w:t>
            </w:r>
          </w:p>
        </w:tc>
      </w:tr>
      <w:tr w14:paraId="2D89C73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288" w:hRule="atLeast"/>
        </w:trPr>
        <w:tc>
          <w:tcPr>
            <w:tcW w:w="4828" w:type="dxa"/>
            <w:vAlign w:val="center"/>
          </w:tcPr>
          <w:p w14:paraId="4BD9D0D5">
            <w:pPr>
              <w:jc w:val="left"/>
              <w:rPr>
                <w:rFonts w:hint="eastAsia" w:ascii="宋体" w:hAnsi="宋体" w:cs="宋体"/>
                <w:color w:val="auto"/>
                <w:highlight w:val="none"/>
              </w:rPr>
            </w:pPr>
            <w:r>
              <w:rPr>
                <w:rFonts w:hint="eastAsia" w:ascii="宋体" w:hAnsi="宋体" w:cs="宋体"/>
                <w:bCs/>
                <w:color w:val="auto"/>
                <w:highlight w:val="none"/>
              </w:rPr>
              <w:t>具有独立承担民事责任的能力</w:t>
            </w:r>
          </w:p>
        </w:tc>
        <w:tc>
          <w:tcPr>
            <w:tcW w:w="4335" w:type="dxa"/>
            <w:vMerge w:val="restart"/>
            <w:vAlign w:val="center"/>
          </w:tcPr>
          <w:p w14:paraId="7E2D5E5B">
            <w:pPr>
              <w:jc w:val="left"/>
              <w:rPr>
                <w:rFonts w:hint="eastAsia" w:ascii="宋体" w:hAnsi="宋体" w:cs="宋体"/>
                <w:color w:val="auto"/>
                <w:highlight w:val="none"/>
              </w:rPr>
            </w:pPr>
            <w:r>
              <w:rPr>
                <w:rFonts w:hint="eastAsia" w:ascii="宋体" w:hAnsi="宋体" w:cs="宋体"/>
                <w:color w:val="auto"/>
                <w:highlight w:val="none"/>
              </w:rPr>
              <w:t>符合招标文件第11条“投标文件构成”的要求</w:t>
            </w:r>
          </w:p>
        </w:tc>
      </w:tr>
      <w:tr w14:paraId="0C470C70">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828" w:type="dxa"/>
            <w:vAlign w:val="center"/>
          </w:tcPr>
          <w:p w14:paraId="19AD4482">
            <w:pPr>
              <w:jc w:val="left"/>
              <w:rPr>
                <w:rFonts w:hint="eastAsia" w:ascii="宋体" w:hAnsi="宋体" w:cs="宋体"/>
                <w:color w:val="auto"/>
                <w:highlight w:val="none"/>
              </w:rPr>
            </w:pPr>
            <w:r>
              <w:rPr>
                <w:rFonts w:hint="eastAsia" w:ascii="宋体" w:hAnsi="宋体" w:cs="宋体"/>
                <w:bCs/>
                <w:color w:val="auto"/>
                <w:highlight w:val="none"/>
              </w:rPr>
              <w:t>具有良好的商业信誉和健全的财务会计制度</w:t>
            </w:r>
          </w:p>
        </w:tc>
        <w:tc>
          <w:tcPr>
            <w:tcW w:w="4335" w:type="dxa"/>
            <w:vMerge w:val="continue"/>
            <w:vAlign w:val="center"/>
          </w:tcPr>
          <w:p w14:paraId="2729DE6F">
            <w:pPr>
              <w:jc w:val="left"/>
              <w:rPr>
                <w:rFonts w:hint="eastAsia" w:ascii="宋体" w:hAnsi="宋体" w:cs="宋体"/>
                <w:color w:val="auto"/>
                <w:highlight w:val="none"/>
              </w:rPr>
            </w:pPr>
          </w:p>
        </w:tc>
      </w:tr>
      <w:tr w14:paraId="0A6CDB9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828" w:type="dxa"/>
            <w:vAlign w:val="center"/>
          </w:tcPr>
          <w:p w14:paraId="1CB4DC70">
            <w:pPr>
              <w:jc w:val="left"/>
              <w:rPr>
                <w:rFonts w:hint="eastAsia" w:ascii="宋体" w:hAnsi="宋体" w:cs="宋体"/>
                <w:color w:val="auto"/>
                <w:highlight w:val="none"/>
              </w:rPr>
            </w:pPr>
            <w:r>
              <w:rPr>
                <w:rFonts w:hint="eastAsia" w:ascii="宋体" w:hAnsi="宋体" w:cs="宋体"/>
                <w:bCs/>
                <w:color w:val="auto"/>
                <w:highlight w:val="none"/>
              </w:rPr>
              <w:t>具有履行合同所必需的设备和专业技术能力</w:t>
            </w:r>
          </w:p>
        </w:tc>
        <w:tc>
          <w:tcPr>
            <w:tcW w:w="4335" w:type="dxa"/>
            <w:vMerge w:val="continue"/>
            <w:vAlign w:val="center"/>
          </w:tcPr>
          <w:p w14:paraId="61796D8E">
            <w:pPr>
              <w:jc w:val="left"/>
              <w:rPr>
                <w:rFonts w:hint="eastAsia" w:ascii="宋体" w:hAnsi="宋体" w:cs="宋体"/>
                <w:color w:val="auto"/>
                <w:highlight w:val="none"/>
              </w:rPr>
            </w:pPr>
          </w:p>
        </w:tc>
      </w:tr>
      <w:tr w14:paraId="74D7D18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828" w:type="dxa"/>
            <w:vAlign w:val="center"/>
          </w:tcPr>
          <w:p w14:paraId="0D321FFB">
            <w:pPr>
              <w:jc w:val="left"/>
              <w:rPr>
                <w:rFonts w:hint="eastAsia" w:ascii="宋体" w:hAnsi="宋体" w:cs="宋体"/>
                <w:color w:val="auto"/>
                <w:highlight w:val="none"/>
              </w:rPr>
            </w:pPr>
            <w:r>
              <w:rPr>
                <w:rFonts w:hint="eastAsia" w:ascii="宋体" w:hAnsi="宋体" w:cs="宋体"/>
                <w:bCs/>
                <w:color w:val="auto"/>
                <w:highlight w:val="none"/>
              </w:rPr>
              <w:t>有依法缴纳税收和社会保障资金的良好记录</w:t>
            </w:r>
          </w:p>
        </w:tc>
        <w:tc>
          <w:tcPr>
            <w:tcW w:w="4335" w:type="dxa"/>
            <w:vMerge w:val="continue"/>
            <w:vAlign w:val="center"/>
          </w:tcPr>
          <w:p w14:paraId="5701A305">
            <w:pPr>
              <w:jc w:val="left"/>
              <w:rPr>
                <w:rFonts w:hint="eastAsia" w:ascii="宋体" w:hAnsi="宋体" w:cs="宋体"/>
                <w:color w:val="auto"/>
                <w:highlight w:val="none"/>
              </w:rPr>
            </w:pPr>
          </w:p>
        </w:tc>
      </w:tr>
      <w:tr w14:paraId="3B79110E">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90" w:hRule="atLeast"/>
        </w:trPr>
        <w:tc>
          <w:tcPr>
            <w:tcW w:w="4828" w:type="dxa"/>
            <w:vAlign w:val="center"/>
          </w:tcPr>
          <w:p w14:paraId="168F0D27">
            <w:pPr>
              <w:jc w:val="left"/>
              <w:rPr>
                <w:rFonts w:hint="eastAsia" w:ascii="宋体" w:hAnsi="宋体" w:cs="宋体"/>
                <w:color w:val="auto"/>
                <w:highlight w:val="none"/>
              </w:rPr>
            </w:pPr>
            <w:r>
              <w:rPr>
                <w:rFonts w:hint="eastAsia" w:ascii="宋体" w:hAnsi="宋体" w:cs="宋体"/>
                <w:color w:val="auto"/>
                <w:highlight w:val="none"/>
              </w:rPr>
              <w:t>无重大违法行为声明</w:t>
            </w:r>
          </w:p>
        </w:tc>
        <w:tc>
          <w:tcPr>
            <w:tcW w:w="4335" w:type="dxa"/>
            <w:vMerge w:val="continue"/>
            <w:vAlign w:val="center"/>
          </w:tcPr>
          <w:p w14:paraId="08F85F9F">
            <w:pPr>
              <w:jc w:val="left"/>
              <w:rPr>
                <w:rFonts w:hint="eastAsia" w:ascii="宋体" w:hAnsi="宋体" w:cs="宋体"/>
                <w:color w:val="auto"/>
                <w:highlight w:val="none"/>
              </w:rPr>
            </w:pPr>
          </w:p>
        </w:tc>
      </w:tr>
      <w:tr w14:paraId="07F1993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28" w:type="dxa"/>
            <w:vAlign w:val="center"/>
          </w:tcPr>
          <w:p w14:paraId="2E902C11">
            <w:pPr>
              <w:jc w:val="left"/>
              <w:rPr>
                <w:rFonts w:hint="eastAsia" w:ascii="宋体" w:hAnsi="宋体" w:cs="宋体"/>
                <w:color w:val="auto"/>
                <w:highlight w:val="none"/>
              </w:rPr>
            </w:pPr>
            <w:r>
              <w:rPr>
                <w:rFonts w:hint="eastAsia" w:ascii="宋体" w:hAnsi="宋体" w:cs="宋体"/>
                <w:color w:val="auto"/>
                <w:highlight w:val="none"/>
              </w:rPr>
              <w:t>法律、行政法规规定的其他条件</w:t>
            </w:r>
          </w:p>
        </w:tc>
        <w:tc>
          <w:tcPr>
            <w:tcW w:w="4335" w:type="dxa"/>
            <w:vMerge w:val="continue"/>
            <w:vAlign w:val="center"/>
          </w:tcPr>
          <w:p w14:paraId="6BF743D1">
            <w:pPr>
              <w:jc w:val="left"/>
              <w:rPr>
                <w:rFonts w:hint="eastAsia" w:ascii="宋体" w:hAnsi="宋体" w:cs="宋体"/>
                <w:color w:val="auto"/>
                <w:highlight w:val="none"/>
              </w:rPr>
            </w:pPr>
          </w:p>
        </w:tc>
      </w:tr>
      <w:tr w14:paraId="6F4E5025">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90" w:hRule="atLeast"/>
        </w:trPr>
        <w:tc>
          <w:tcPr>
            <w:tcW w:w="4828" w:type="dxa"/>
            <w:vAlign w:val="center"/>
          </w:tcPr>
          <w:p w14:paraId="5A90C427">
            <w:pPr>
              <w:jc w:val="left"/>
              <w:rPr>
                <w:rFonts w:hint="eastAsia" w:ascii="宋体" w:hAnsi="宋体" w:cs="宋体"/>
                <w:color w:val="auto"/>
                <w:highlight w:val="none"/>
              </w:rPr>
            </w:pPr>
            <w:r>
              <w:rPr>
                <w:rFonts w:hint="eastAsia" w:ascii="宋体" w:hAnsi="宋体" w:cs="宋体"/>
                <w:color w:val="auto"/>
                <w:highlight w:val="none"/>
              </w:rPr>
              <w:t>信用信息</w:t>
            </w:r>
          </w:p>
        </w:tc>
        <w:tc>
          <w:tcPr>
            <w:tcW w:w="4335" w:type="dxa"/>
            <w:vMerge w:val="continue"/>
            <w:vAlign w:val="center"/>
          </w:tcPr>
          <w:p w14:paraId="7EC1E3D5">
            <w:pPr>
              <w:jc w:val="left"/>
              <w:rPr>
                <w:rFonts w:hint="eastAsia" w:ascii="宋体" w:hAnsi="宋体" w:cs="宋体"/>
                <w:color w:val="auto"/>
                <w:highlight w:val="none"/>
              </w:rPr>
            </w:pPr>
          </w:p>
        </w:tc>
      </w:tr>
      <w:tr w14:paraId="3F7CC86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828" w:type="dxa"/>
            <w:vAlign w:val="center"/>
          </w:tcPr>
          <w:p w14:paraId="2A659FB1">
            <w:pPr>
              <w:jc w:val="left"/>
              <w:rPr>
                <w:rFonts w:hint="eastAsia" w:ascii="宋体" w:hAnsi="宋体" w:cs="宋体"/>
                <w:color w:val="auto"/>
                <w:highlight w:val="none"/>
              </w:rPr>
            </w:pPr>
            <w:r>
              <w:rPr>
                <w:rFonts w:hint="eastAsia" w:ascii="宋体" w:hAnsi="宋体" w:cs="宋体"/>
                <w:color w:val="auto"/>
                <w:highlight w:val="none"/>
              </w:rPr>
              <w:t>投标人的关联性要求</w:t>
            </w:r>
          </w:p>
        </w:tc>
        <w:tc>
          <w:tcPr>
            <w:tcW w:w="4335" w:type="dxa"/>
            <w:vAlign w:val="center"/>
          </w:tcPr>
          <w:p w14:paraId="17AC13B5">
            <w:pPr>
              <w:jc w:val="left"/>
              <w:rPr>
                <w:rFonts w:hint="eastAsia" w:ascii="宋体" w:hAnsi="宋体" w:cs="宋体"/>
                <w:color w:val="auto"/>
                <w:highlight w:val="none"/>
              </w:rPr>
            </w:pPr>
            <w:r>
              <w:rPr>
                <w:rFonts w:hint="eastAsia" w:ascii="宋体" w:hAnsi="宋体" w:cs="宋体"/>
                <w:color w:val="auto"/>
                <w:highlight w:val="none"/>
              </w:rPr>
              <w:t>符合招标文件规定</w:t>
            </w:r>
          </w:p>
        </w:tc>
      </w:tr>
      <w:tr w14:paraId="37132D1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828" w:type="dxa"/>
            <w:vAlign w:val="center"/>
          </w:tcPr>
          <w:p w14:paraId="312082AA">
            <w:pPr>
              <w:jc w:val="left"/>
              <w:rPr>
                <w:rFonts w:hint="eastAsia" w:ascii="宋体" w:hAnsi="宋体" w:cs="宋体"/>
                <w:color w:val="auto"/>
                <w:highlight w:val="none"/>
              </w:rPr>
            </w:pPr>
            <w:r>
              <w:rPr>
                <w:rFonts w:hint="eastAsia" w:ascii="宋体" w:hAnsi="宋体" w:cs="宋体"/>
                <w:color w:val="auto"/>
                <w:highlight w:val="none"/>
              </w:rPr>
              <w:t>符合联合体规定</w:t>
            </w:r>
          </w:p>
        </w:tc>
        <w:tc>
          <w:tcPr>
            <w:tcW w:w="4335" w:type="dxa"/>
            <w:vAlign w:val="center"/>
          </w:tcPr>
          <w:p w14:paraId="47418189">
            <w:pPr>
              <w:jc w:val="left"/>
              <w:rPr>
                <w:rFonts w:hint="eastAsia" w:ascii="宋体" w:hAnsi="宋体" w:cs="宋体"/>
                <w:color w:val="auto"/>
                <w:highlight w:val="none"/>
              </w:rPr>
            </w:pPr>
            <w:r>
              <w:rPr>
                <w:rFonts w:hint="eastAsia" w:ascii="宋体" w:hAnsi="宋体" w:cs="宋体"/>
                <w:color w:val="auto"/>
                <w:highlight w:val="none"/>
              </w:rPr>
              <w:t>符合招标文件规定</w:t>
            </w:r>
          </w:p>
        </w:tc>
      </w:tr>
      <w:tr w14:paraId="594A054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828" w:type="dxa"/>
            <w:vAlign w:val="center"/>
          </w:tcPr>
          <w:p w14:paraId="75B5169A">
            <w:pPr>
              <w:jc w:val="left"/>
              <w:rPr>
                <w:rFonts w:hint="eastAsia" w:ascii="宋体" w:hAnsi="宋体" w:cs="宋体"/>
                <w:color w:val="auto"/>
                <w:highlight w:val="none"/>
              </w:rPr>
            </w:pPr>
            <w:r>
              <w:rPr>
                <w:rFonts w:hint="eastAsia" w:ascii="宋体" w:hAnsi="宋体" w:cs="宋体"/>
                <w:color w:val="auto"/>
                <w:highlight w:val="none"/>
              </w:rPr>
              <w:t>特定资格要求</w:t>
            </w:r>
          </w:p>
        </w:tc>
        <w:tc>
          <w:tcPr>
            <w:tcW w:w="4335" w:type="dxa"/>
            <w:vAlign w:val="center"/>
          </w:tcPr>
          <w:p w14:paraId="3F3116F2">
            <w:pPr>
              <w:jc w:val="left"/>
              <w:rPr>
                <w:rFonts w:hint="eastAsia" w:ascii="宋体" w:hAnsi="宋体" w:cs="宋体"/>
                <w:color w:val="auto"/>
                <w:highlight w:val="none"/>
              </w:rPr>
            </w:pPr>
            <w:r>
              <w:rPr>
                <w:rFonts w:hint="eastAsia" w:ascii="宋体" w:hAnsi="宋体" w:cs="宋体"/>
                <w:color w:val="auto"/>
                <w:highlight w:val="none"/>
              </w:rPr>
              <w:t>符合招标文件规定</w:t>
            </w:r>
          </w:p>
        </w:tc>
      </w:tr>
    </w:tbl>
    <w:p w14:paraId="6B81FE8B">
      <w:pPr>
        <w:spacing w:line="360" w:lineRule="auto"/>
        <w:ind w:firstLine="420"/>
        <w:rPr>
          <w:rFonts w:hint="eastAsia" w:ascii="宋体" w:hAnsi="宋体" w:cs="宋体"/>
          <w:color w:val="auto"/>
          <w:sz w:val="24"/>
          <w:highlight w:val="none"/>
        </w:rPr>
      </w:pPr>
      <w:bookmarkStart w:id="123" w:name="_Toc17529"/>
      <w:bookmarkStart w:id="124" w:name="_Toc18818"/>
    </w:p>
    <w:p w14:paraId="46D82FED">
      <w:pPr>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注：</w:t>
      </w:r>
    </w:p>
    <w:p w14:paraId="6493C041">
      <w:pPr>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1、本项目核心产品为：品目2、品目4、品目13</w:t>
      </w:r>
      <w:r>
        <w:rPr>
          <w:rFonts w:hint="eastAsia" w:ascii="宋体" w:hAnsi="宋体" w:cs="宋体"/>
          <w:color w:val="auto"/>
          <w:sz w:val="24"/>
          <w:szCs w:val="24"/>
          <w:highlight w:val="none"/>
          <w:lang w:val="en-US" w:eastAsia="zh-CN"/>
        </w:rPr>
        <w:t>；</w:t>
      </w:r>
    </w:p>
    <w:p w14:paraId="2442F25D">
      <w:pPr>
        <w:numPr>
          <w:ilvl w:val="0"/>
          <w:numId w:val="0"/>
        </w:num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本项目中属于医疗器械</w:t>
      </w:r>
      <w:r>
        <w:rPr>
          <w:rFonts w:hint="eastAsia" w:ascii="宋体" w:hAnsi="宋体" w:cs="宋体"/>
          <w:color w:val="auto"/>
          <w:sz w:val="24"/>
          <w:highlight w:val="none"/>
          <w:lang w:eastAsia="zh-CN"/>
        </w:rPr>
        <w:t>的</w:t>
      </w:r>
      <w:r>
        <w:rPr>
          <w:rFonts w:hint="eastAsia" w:ascii="宋体" w:hAnsi="宋体" w:cs="宋体"/>
          <w:color w:val="auto"/>
          <w:sz w:val="24"/>
          <w:highlight w:val="none"/>
          <w:lang w:val="en-US" w:eastAsia="zh-CN"/>
        </w:rPr>
        <w:t>产品</w:t>
      </w:r>
      <w:r>
        <w:rPr>
          <w:rFonts w:hint="eastAsia" w:ascii="宋体" w:hAnsi="宋体" w:cs="宋体"/>
          <w:color w:val="auto"/>
          <w:sz w:val="24"/>
          <w:highlight w:val="none"/>
        </w:rPr>
        <w:t>，供应商须根据投标产品类别，提供有效的医疗器械产品注册证（未按要求提供的，视为未对招标文件进行实质性响应）</w:t>
      </w:r>
      <w:r>
        <w:rPr>
          <w:rFonts w:hint="eastAsia" w:ascii="宋体" w:hAnsi="宋体" w:cs="宋体"/>
          <w:color w:val="auto"/>
          <w:sz w:val="24"/>
          <w:highlight w:val="none"/>
          <w:lang w:eastAsia="zh-CN"/>
        </w:rPr>
        <w:t>。</w:t>
      </w:r>
    </w:p>
    <w:p w14:paraId="07B93396">
      <w:pPr>
        <w:spacing w:before="156" w:after="156"/>
        <w:ind w:firstLine="643"/>
        <w:outlineLvl w:val="1"/>
        <w:rPr>
          <w:rFonts w:hint="eastAsia" w:ascii="宋体" w:hAnsi="宋体" w:cs="宋体"/>
          <w:b/>
          <w:color w:val="auto"/>
          <w:sz w:val="32"/>
          <w:szCs w:val="32"/>
          <w:highlight w:val="none"/>
        </w:rPr>
      </w:pPr>
      <w:r>
        <w:rPr>
          <w:rFonts w:hint="eastAsia" w:ascii="宋体" w:hAnsi="宋体" w:cs="宋体"/>
          <w:b/>
          <w:color w:val="auto"/>
          <w:sz w:val="32"/>
          <w:szCs w:val="32"/>
          <w:highlight w:val="none"/>
        </w:rPr>
        <w:t>二、符合性审查</w:t>
      </w:r>
      <w:bookmarkEnd w:id="123"/>
      <w:bookmarkEnd w:id="124"/>
    </w:p>
    <w:p w14:paraId="66FCBD35">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符合性审查是指依据招标文件的规定，从商务和技术角度对投标文件的有效性和完整性进行审查，以确定是否对招标文件的实质性要求做出响应。</w:t>
      </w:r>
    </w:p>
    <w:p w14:paraId="08F3918B">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未通过审查的为无效标，不再参与评审。</w:t>
      </w:r>
    </w:p>
    <w:tbl>
      <w:tblPr>
        <w:tblStyle w:val="34"/>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140"/>
        <w:gridCol w:w="5032"/>
      </w:tblGrid>
      <w:tr w14:paraId="15905FC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140" w:type="dxa"/>
            <w:vAlign w:val="center"/>
          </w:tcPr>
          <w:p w14:paraId="03233B92">
            <w:pPr>
              <w:jc w:val="center"/>
              <w:rPr>
                <w:rFonts w:hint="eastAsia" w:ascii="宋体" w:hAnsi="宋体" w:cs="宋体"/>
                <w:color w:val="auto"/>
                <w:highlight w:val="none"/>
              </w:rPr>
            </w:pPr>
            <w:r>
              <w:rPr>
                <w:rFonts w:hint="eastAsia" w:ascii="宋体" w:hAnsi="宋体" w:cs="宋体"/>
                <w:color w:val="auto"/>
                <w:highlight w:val="none"/>
              </w:rPr>
              <w:t>符合性审查因素</w:t>
            </w:r>
          </w:p>
        </w:tc>
        <w:tc>
          <w:tcPr>
            <w:tcW w:w="5032" w:type="dxa"/>
            <w:vAlign w:val="center"/>
          </w:tcPr>
          <w:p w14:paraId="79B0FABF">
            <w:pPr>
              <w:jc w:val="center"/>
              <w:rPr>
                <w:rFonts w:hint="eastAsia" w:ascii="宋体" w:hAnsi="宋体" w:cs="宋体"/>
                <w:color w:val="auto"/>
                <w:highlight w:val="none"/>
              </w:rPr>
            </w:pPr>
            <w:r>
              <w:rPr>
                <w:rFonts w:hint="eastAsia" w:ascii="宋体" w:hAnsi="宋体" w:cs="宋体"/>
                <w:color w:val="auto"/>
                <w:highlight w:val="none"/>
              </w:rPr>
              <w:t>审查标准</w:t>
            </w:r>
          </w:p>
        </w:tc>
      </w:tr>
      <w:tr w14:paraId="7BB0D7B9">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90" w:hRule="atLeast"/>
        </w:trPr>
        <w:tc>
          <w:tcPr>
            <w:tcW w:w="4140" w:type="dxa"/>
            <w:vAlign w:val="center"/>
          </w:tcPr>
          <w:p w14:paraId="5EB6754F">
            <w:pPr>
              <w:jc w:val="left"/>
              <w:rPr>
                <w:rFonts w:hint="eastAsia" w:ascii="宋体" w:hAnsi="宋体" w:cs="宋体"/>
                <w:color w:val="auto"/>
                <w:highlight w:val="none"/>
              </w:rPr>
            </w:pPr>
            <w:r>
              <w:rPr>
                <w:rFonts w:hint="eastAsia" w:ascii="宋体" w:hAnsi="宋体" w:cs="宋体"/>
                <w:color w:val="auto"/>
                <w:highlight w:val="none"/>
              </w:rPr>
              <w:t>投标函</w:t>
            </w:r>
          </w:p>
        </w:tc>
        <w:tc>
          <w:tcPr>
            <w:tcW w:w="5032" w:type="dxa"/>
            <w:vAlign w:val="center"/>
          </w:tcPr>
          <w:p w14:paraId="18BF3DC1">
            <w:pPr>
              <w:jc w:val="left"/>
              <w:rPr>
                <w:rFonts w:hint="eastAsia" w:ascii="宋体" w:hAnsi="宋体" w:cs="宋体"/>
                <w:color w:val="auto"/>
                <w:highlight w:val="none"/>
              </w:rPr>
            </w:pPr>
            <w:r>
              <w:rPr>
                <w:rFonts w:hint="eastAsia" w:ascii="宋体" w:hAnsi="宋体" w:cs="宋体"/>
                <w:color w:val="auto"/>
                <w:highlight w:val="none"/>
              </w:rPr>
              <w:t>符合招标文件的要求</w:t>
            </w:r>
          </w:p>
        </w:tc>
      </w:tr>
      <w:tr w14:paraId="6003678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140" w:type="dxa"/>
            <w:vAlign w:val="center"/>
          </w:tcPr>
          <w:p w14:paraId="4A50C067">
            <w:pPr>
              <w:jc w:val="left"/>
              <w:rPr>
                <w:rFonts w:hint="eastAsia" w:ascii="宋体" w:hAnsi="宋体" w:cs="宋体"/>
                <w:color w:val="auto"/>
                <w:highlight w:val="none"/>
              </w:rPr>
            </w:pPr>
            <w:r>
              <w:rPr>
                <w:rFonts w:hint="eastAsia" w:ascii="宋体" w:hAnsi="宋体" w:cs="宋体"/>
                <w:color w:val="auto"/>
                <w:highlight w:val="none"/>
              </w:rPr>
              <w:t>法定代表人身份证明或授权委托书</w:t>
            </w:r>
          </w:p>
        </w:tc>
        <w:tc>
          <w:tcPr>
            <w:tcW w:w="5032" w:type="dxa"/>
            <w:vAlign w:val="center"/>
          </w:tcPr>
          <w:p w14:paraId="16F21459">
            <w:pPr>
              <w:jc w:val="left"/>
              <w:rPr>
                <w:rFonts w:hint="eastAsia" w:ascii="宋体" w:hAnsi="宋体" w:cs="宋体"/>
                <w:color w:val="auto"/>
                <w:highlight w:val="none"/>
              </w:rPr>
            </w:pPr>
            <w:r>
              <w:rPr>
                <w:rFonts w:hint="eastAsia" w:ascii="宋体" w:hAnsi="宋体" w:cs="宋体"/>
                <w:color w:val="auto"/>
                <w:highlight w:val="none"/>
              </w:rPr>
              <w:t>符合招标文件的要求</w:t>
            </w:r>
          </w:p>
        </w:tc>
      </w:tr>
      <w:tr w14:paraId="0BE3EE3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140" w:type="dxa"/>
            <w:vAlign w:val="center"/>
          </w:tcPr>
          <w:p w14:paraId="7DA6C382">
            <w:pPr>
              <w:jc w:val="left"/>
              <w:rPr>
                <w:rFonts w:hint="eastAsia" w:ascii="宋体" w:hAnsi="宋体" w:cs="宋体"/>
                <w:color w:val="auto"/>
                <w:highlight w:val="none"/>
              </w:rPr>
            </w:pPr>
            <w:r>
              <w:rPr>
                <w:rFonts w:hint="eastAsia" w:ascii="宋体" w:hAnsi="宋体" w:cs="宋体"/>
                <w:color w:val="auto"/>
                <w:highlight w:val="none"/>
              </w:rPr>
              <w:t>签署和盖章符合要求</w:t>
            </w:r>
          </w:p>
        </w:tc>
        <w:tc>
          <w:tcPr>
            <w:tcW w:w="5032" w:type="dxa"/>
            <w:vAlign w:val="center"/>
          </w:tcPr>
          <w:p w14:paraId="01A757E7">
            <w:pPr>
              <w:jc w:val="left"/>
              <w:rPr>
                <w:rFonts w:hint="eastAsia" w:ascii="宋体" w:hAnsi="宋体" w:cs="宋体"/>
                <w:color w:val="auto"/>
                <w:highlight w:val="none"/>
              </w:rPr>
            </w:pPr>
            <w:r>
              <w:rPr>
                <w:rFonts w:hint="eastAsia" w:ascii="宋体" w:hAnsi="宋体" w:cs="宋体"/>
                <w:color w:val="auto"/>
                <w:highlight w:val="none"/>
              </w:rPr>
              <w:t>符合招标文件规定</w:t>
            </w:r>
          </w:p>
        </w:tc>
      </w:tr>
      <w:tr w14:paraId="066F82A1">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140" w:type="dxa"/>
            <w:vAlign w:val="center"/>
          </w:tcPr>
          <w:p w14:paraId="4235AD43">
            <w:pPr>
              <w:jc w:val="left"/>
              <w:rPr>
                <w:rFonts w:hint="eastAsia" w:ascii="宋体" w:hAnsi="宋体" w:cs="宋体"/>
                <w:color w:val="auto"/>
                <w:highlight w:val="none"/>
              </w:rPr>
            </w:pPr>
            <w:r>
              <w:rPr>
                <w:rFonts w:hint="eastAsia" w:ascii="宋体" w:hAnsi="宋体" w:cs="宋体"/>
                <w:color w:val="auto"/>
                <w:highlight w:val="none"/>
              </w:rPr>
              <w:t xml:space="preserve">开标一览表及投标报价 </w:t>
            </w:r>
          </w:p>
        </w:tc>
        <w:tc>
          <w:tcPr>
            <w:tcW w:w="5032" w:type="dxa"/>
            <w:vAlign w:val="center"/>
          </w:tcPr>
          <w:p w14:paraId="2044B20E">
            <w:pPr>
              <w:jc w:val="left"/>
              <w:rPr>
                <w:rFonts w:hint="eastAsia" w:ascii="宋体" w:hAnsi="宋体" w:cs="宋体"/>
                <w:color w:val="auto"/>
                <w:highlight w:val="none"/>
              </w:rPr>
            </w:pPr>
            <w:r>
              <w:rPr>
                <w:rFonts w:hint="eastAsia" w:ascii="宋体" w:hAnsi="宋体" w:cs="宋体"/>
                <w:color w:val="auto"/>
                <w:highlight w:val="none"/>
              </w:rPr>
              <w:t>格式、填写要求符合招标文件规定（报价未超过预算或最高限价）</w:t>
            </w:r>
          </w:p>
        </w:tc>
      </w:tr>
      <w:tr w14:paraId="16A97D3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140" w:type="dxa"/>
            <w:vAlign w:val="center"/>
          </w:tcPr>
          <w:p w14:paraId="7EF30F29">
            <w:pPr>
              <w:jc w:val="left"/>
              <w:rPr>
                <w:rFonts w:hint="eastAsia" w:ascii="宋体" w:hAnsi="宋体" w:cs="宋体"/>
                <w:color w:val="auto"/>
                <w:highlight w:val="none"/>
              </w:rPr>
            </w:pPr>
            <w:r>
              <w:rPr>
                <w:rFonts w:hint="eastAsia" w:ascii="宋体" w:hAnsi="宋体" w:cs="宋体"/>
                <w:color w:val="auto"/>
                <w:highlight w:val="none"/>
              </w:rPr>
              <w:t>投标文件对招标文件的实质性条款的响应性</w:t>
            </w:r>
          </w:p>
        </w:tc>
        <w:tc>
          <w:tcPr>
            <w:tcW w:w="5032" w:type="dxa"/>
            <w:vAlign w:val="center"/>
          </w:tcPr>
          <w:p w14:paraId="4D998C55">
            <w:pPr>
              <w:jc w:val="left"/>
              <w:rPr>
                <w:rFonts w:hint="eastAsia" w:ascii="宋体" w:hAnsi="宋体" w:cs="宋体"/>
                <w:color w:val="auto"/>
                <w:highlight w:val="none"/>
              </w:rPr>
            </w:pPr>
            <w:r>
              <w:rPr>
                <w:rFonts w:hint="eastAsia" w:ascii="宋体" w:hAnsi="宋体" w:cs="宋体"/>
                <w:color w:val="auto"/>
                <w:highlight w:val="none"/>
              </w:rPr>
              <w:t>符合招标文件规定</w:t>
            </w:r>
          </w:p>
        </w:tc>
      </w:tr>
    </w:tbl>
    <w:p w14:paraId="7F353C68">
      <w:pPr>
        <w:spacing w:before="156" w:after="156"/>
        <w:ind w:firstLine="643"/>
        <w:outlineLvl w:val="1"/>
        <w:rPr>
          <w:rFonts w:hint="eastAsia" w:ascii="宋体" w:hAnsi="宋体" w:cs="宋体"/>
          <w:b/>
          <w:color w:val="auto"/>
          <w:sz w:val="32"/>
          <w:szCs w:val="32"/>
          <w:highlight w:val="none"/>
        </w:rPr>
      </w:pPr>
      <w:bookmarkStart w:id="125" w:name="_Toc11959"/>
      <w:bookmarkStart w:id="126" w:name="_Toc3702"/>
      <w:bookmarkStart w:id="127" w:name="_Toc17823"/>
      <w:r>
        <w:rPr>
          <w:rFonts w:hint="eastAsia" w:ascii="宋体" w:hAnsi="宋体" w:cs="宋体"/>
          <w:b/>
          <w:color w:val="auto"/>
          <w:sz w:val="32"/>
          <w:szCs w:val="32"/>
          <w:highlight w:val="none"/>
        </w:rPr>
        <w:t>三、评分办法—综合评分法</w:t>
      </w:r>
      <w:bookmarkEnd w:id="125"/>
      <w:bookmarkEnd w:id="126"/>
      <w:bookmarkEnd w:id="127"/>
    </w:p>
    <w:p w14:paraId="385B6009">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p>
    <w:p w14:paraId="248015A8">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评标委员会根据评审后投标人排序推荐中标候选人。投标文件满足招标文件全部实质性要求，且评审后排序第一的投标人为第一中标候选人，依次类推。</w:t>
      </w:r>
    </w:p>
    <w:p w14:paraId="1BD2220B">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综合评分保留至小数点后两位。</w:t>
      </w:r>
    </w:p>
    <w:tbl>
      <w:tblPr>
        <w:tblStyle w:val="3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730"/>
      </w:tblGrid>
      <w:tr w14:paraId="05E180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956" w:type="dxa"/>
          </w:tcPr>
          <w:p w14:paraId="6A268C78">
            <w:pPr>
              <w:spacing w:line="500" w:lineRule="exact"/>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一）价格分（30分） </w:t>
            </w:r>
          </w:p>
          <w:p w14:paraId="01E7BD81">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价格分采用低价优先法计算，即满足采购文件要求且投标价格最低的供应商投标报价为评标基准价，其价格分为满分30分，其它投标人的价格分统一按照以下公式计算：投标报价得分=（评标基准价/该投标人的投标报价）×30分。四舍五入后保留小数点后2位。</w:t>
            </w:r>
          </w:p>
          <w:p w14:paraId="31FD2228">
            <w:pPr>
              <w:spacing w:line="500" w:lineRule="exact"/>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（二）功能参数及商务要求等响应情况 （</w:t>
            </w:r>
            <w:r>
              <w:rPr>
                <w:rFonts w:hint="eastAsia" w:ascii="仿宋" w:hAnsi="仿宋" w:eastAsia="仿宋" w:cs="仿宋"/>
                <w:b/>
                <w:bCs/>
                <w:color w:val="auto"/>
                <w:sz w:val="24"/>
                <w:szCs w:val="24"/>
                <w:highlight w:val="none"/>
                <w:lang w:val="en-US" w:eastAsia="zh-CN"/>
              </w:rPr>
              <w:t>35</w:t>
            </w:r>
            <w:r>
              <w:rPr>
                <w:rFonts w:hint="eastAsia" w:ascii="仿宋" w:hAnsi="仿宋" w:eastAsia="仿宋" w:cs="仿宋"/>
                <w:b/>
                <w:bCs/>
                <w:color w:val="auto"/>
                <w:sz w:val="24"/>
                <w:szCs w:val="24"/>
                <w:highlight w:val="none"/>
              </w:rPr>
              <w:t>分）</w:t>
            </w:r>
          </w:p>
          <w:p w14:paraId="78AE2F0B">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投标产品对招标文件具体需求的响应程度：全部响应即满足招标文件功能技术参数等要求的得</w:t>
            </w:r>
            <w:r>
              <w:rPr>
                <w:rFonts w:hint="eastAsia" w:ascii="仿宋" w:hAnsi="仿宋" w:eastAsia="仿宋" w:cs="仿宋"/>
                <w:b w:val="0"/>
                <w:bCs w:val="0"/>
                <w:color w:val="auto"/>
                <w:sz w:val="24"/>
                <w:szCs w:val="24"/>
                <w:highlight w:val="none"/>
                <w:lang w:val="en-US" w:eastAsia="zh-CN"/>
              </w:rPr>
              <w:t>35</w:t>
            </w:r>
            <w:r>
              <w:rPr>
                <w:rFonts w:hint="eastAsia" w:ascii="仿宋" w:hAnsi="仿宋" w:eastAsia="仿宋" w:cs="仿宋"/>
                <w:b w:val="0"/>
                <w:bCs w:val="0"/>
                <w:color w:val="auto"/>
                <w:sz w:val="24"/>
                <w:szCs w:val="24"/>
                <w:highlight w:val="none"/>
              </w:rPr>
              <w:t>分。</w:t>
            </w:r>
          </w:p>
          <w:p w14:paraId="2E41286C">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所有包号中带★的条款为核心条款，每有一项不满足作无效投标文件处理。</w:t>
            </w:r>
          </w:p>
          <w:p w14:paraId="35FD5C2E">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所有包号中带▲的条款为重要条款，每有一项不满足（负偏离）的扣</w:t>
            </w:r>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b w:val="0"/>
                <w:bCs w:val="0"/>
                <w:color w:val="auto"/>
                <w:sz w:val="24"/>
                <w:szCs w:val="24"/>
                <w:highlight w:val="none"/>
              </w:rPr>
              <w:t>分，扣完为止。</w:t>
            </w:r>
          </w:p>
          <w:p w14:paraId="75FD4120">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其余参数条款，每有一项不满足（负偏离）的扣</w:t>
            </w: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rPr>
              <w:t>分，扣完为止。</w:t>
            </w:r>
          </w:p>
          <w:p w14:paraId="4BDF4CC9">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缺项漏项视为负偏离。</w:t>
            </w:r>
          </w:p>
          <w:p w14:paraId="5C25DBB0">
            <w:pPr>
              <w:spacing w:line="500" w:lineRule="exact"/>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w:t>
            </w:r>
          </w:p>
          <w:p w14:paraId="750C801C">
            <w:pPr>
              <w:spacing w:line="500" w:lineRule="exact"/>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1.投标文件中需提供★、▲技术指标的技术证明材料，证明材料包括但不限于公开发行的产品彩页、产品说明书或第三方检测机构出具的检测报告等，未按要求提供的，视为负偏离。</w:t>
            </w:r>
          </w:p>
          <w:p w14:paraId="6159D152">
            <w:pPr>
              <w:spacing w:line="500" w:lineRule="exact"/>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2.如果投标人提供虚假材料，一经查实，视为放弃中标资格。</w:t>
            </w:r>
          </w:p>
          <w:p w14:paraId="6DF0CDE9">
            <w:pPr>
              <w:spacing w:line="500" w:lineRule="exact"/>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（三）项目实施、应急保障方案（</w:t>
            </w:r>
            <w:r>
              <w:rPr>
                <w:rFonts w:hint="eastAsia" w:ascii="仿宋" w:hAnsi="仿宋" w:eastAsia="仿宋" w:cs="仿宋"/>
                <w:b/>
                <w:bCs/>
                <w:color w:val="auto"/>
                <w:sz w:val="24"/>
                <w:szCs w:val="24"/>
                <w:highlight w:val="none"/>
                <w:lang w:val="en-US" w:eastAsia="zh-CN"/>
              </w:rPr>
              <w:t>21</w:t>
            </w:r>
            <w:r>
              <w:rPr>
                <w:rFonts w:hint="eastAsia" w:ascii="仿宋" w:hAnsi="仿宋" w:eastAsia="仿宋" w:cs="仿宋"/>
                <w:b/>
                <w:bCs/>
                <w:color w:val="auto"/>
                <w:sz w:val="24"/>
                <w:szCs w:val="24"/>
                <w:highlight w:val="none"/>
              </w:rPr>
              <w:t>分）</w:t>
            </w:r>
          </w:p>
          <w:p w14:paraId="7FBFFD3E">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rPr>
              <w:t>3.1项目实施方案（</w:t>
            </w:r>
            <w:r>
              <w:rPr>
                <w:rFonts w:hint="eastAsia" w:ascii="仿宋" w:hAnsi="仿宋" w:eastAsia="仿宋" w:cs="仿宋"/>
                <w:b/>
                <w:bCs/>
                <w:color w:val="auto"/>
                <w:sz w:val="24"/>
                <w:szCs w:val="24"/>
                <w:highlight w:val="none"/>
                <w:lang w:val="en-US" w:eastAsia="zh-CN"/>
              </w:rPr>
              <w:t>6</w:t>
            </w:r>
            <w:r>
              <w:rPr>
                <w:rFonts w:hint="eastAsia" w:ascii="仿宋" w:hAnsi="仿宋" w:eastAsia="仿宋" w:cs="仿宋"/>
                <w:b/>
                <w:bCs/>
                <w:color w:val="auto"/>
                <w:sz w:val="24"/>
                <w:szCs w:val="24"/>
                <w:highlight w:val="none"/>
              </w:rPr>
              <w:t>分）：</w:t>
            </w:r>
            <w:r>
              <w:rPr>
                <w:rFonts w:hint="eastAsia" w:ascii="仿宋" w:hAnsi="仿宋" w:eastAsia="仿宋" w:cs="仿宋"/>
                <w:b w:val="0"/>
                <w:bCs w:val="0"/>
                <w:color w:val="auto"/>
                <w:sz w:val="24"/>
                <w:szCs w:val="24"/>
                <w:highlight w:val="none"/>
              </w:rPr>
              <w:t>根据该项目提供符合采购人情况的设备交付实施方案和安装调试方案。根据其完善性、可实施性、有效性等情况进行综合评审。</w:t>
            </w:r>
          </w:p>
          <w:p w14:paraId="5AA44F84">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①</w:t>
            </w:r>
            <w:r>
              <w:rPr>
                <w:rFonts w:hint="eastAsia" w:ascii="仿宋" w:hAnsi="仿宋" w:eastAsia="仿宋" w:cs="仿宋"/>
                <w:b w:val="0"/>
                <w:bCs w:val="0"/>
                <w:color w:val="auto"/>
                <w:sz w:val="24"/>
                <w:szCs w:val="24"/>
                <w:highlight w:val="none"/>
              </w:rPr>
              <w:t>具有明确的交货时间，方案全面，可实施性强，设备交付安装安排合理，时间进度安排合理，针对性及操作性强的得</w:t>
            </w:r>
            <w:r>
              <w:rPr>
                <w:rFonts w:hint="eastAsia" w:ascii="仿宋" w:hAnsi="仿宋" w:eastAsia="仿宋" w:cs="仿宋"/>
                <w:b w:val="0"/>
                <w:bCs w:val="0"/>
                <w:color w:val="auto"/>
                <w:sz w:val="24"/>
                <w:szCs w:val="24"/>
                <w:highlight w:val="none"/>
                <w:lang w:val="en-US" w:eastAsia="zh-CN"/>
              </w:rPr>
              <w:t>6</w:t>
            </w:r>
            <w:r>
              <w:rPr>
                <w:rFonts w:hint="eastAsia" w:ascii="仿宋" w:hAnsi="仿宋" w:eastAsia="仿宋" w:cs="仿宋"/>
                <w:b w:val="0"/>
                <w:bCs w:val="0"/>
                <w:color w:val="auto"/>
                <w:sz w:val="24"/>
                <w:szCs w:val="24"/>
                <w:highlight w:val="none"/>
              </w:rPr>
              <w:t>分；</w:t>
            </w:r>
          </w:p>
          <w:p w14:paraId="38E00126">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②</w:t>
            </w:r>
            <w:r>
              <w:rPr>
                <w:rFonts w:hint="eastAsia" w:ascii="仿宋" w:hAnsi="仿宋" w:eastAsia="仿宋" w:cs="仿宋"/>
                <w:b w:val="0"/>
                <w:bCs w:val="0"/>
                <w:color w:val="auto"/>
                <w:sz w:val="24"/>
                <w:szCs w:val="24"/>
                <w:highlight w:val="none"/>
              </w:rPr>
              <w:t>方案较全面，可实施性较强，设备交付安排较好，时间进度安排较好，针对性及操作性</w:t>
            </w:r>
            <w:r>
              <w:rPr>
                <w:rFonts w:hint="eastAsia" w:ascii="仿宋" w:hAnsi="仿宋" w:eastAsia="仿宋" w:cs="仿宋"/>
                <w:b w:val="0"/>
                <w:bCs w:val="0"/>
                <w:color w:val="auto"/>
                <w:sz w:val="24"/>
                <w:szCs w:val="24"/>
                <w:highlight w:val="none"/>
                <w:lang w:val="en-US" w:eastAsia="zh-CN"/>
              </w:rPr>
              <w:t>较</w:t>
            </w:r>
            <w:r>
              <w:rPr>
                <w:rFonts w:hint="eastAsia" w:ascii="仿宋" w:hAnsi="仿宋" w:eastAsia="仿宋" w:cs="仿宋"/>
                <w:b w:val="0"/>
                <w:bCs w:val="0"/>
                <w:color w:val="auto"/>
                <w:sz w:val="24"/>
                <w:szCs w:val="24"/>
                <w:highlight w:val="none"/>
              </w:rPr>
              <w:t>强的得4分；</w:t>
            </w:r>
          </w:p>
          <w:p w14:paraId="6B6B16DD">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③</w:t>
            </w:r>
            <w:r>
              <w:rPr>
                <w:rFonts w:hint="eastAsia" w:ascii="仿宋" w:hAnsi="仿宋" w:eastAsia="仿宋" w:cs="仿宋"/>
                <w:b w:val="0"/>
                <w:bCs w:val="0"/>
                <w:color w:val="auto"/>
                <w:sz w:val="24"/>
                <w:szCs w:val="24"/>
                <w:highlight w:val="none"/>
              </w:rPr>
              <w:t>方案一般，可实施性一般，时间进度安排一般，设备交付安排一般，通过后期优化能实现采购要求的得</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分；</w:t>
            </w:r>
          </w:p>
          <w:p w14:paraId="5D7A1150">
            <w:pPr>
              <w:spacing w:line="500" w:lineRule="exact"/>
              <w:jc w:val="left"/>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④</w:t>
            </w:r>
            <w:r>
              <w:rPr>
                <w:rFonts w:hint="eastAsia" w:ascii="仿宋" w:hAnsi="仿宋" w:eastAsia="仿宋" w:cs="仿宋"/>
                <w:b w:val="0"/>
                <w:bCs w:val="0"/>
                <w:color w:val="auto"/>
                <w:sz w:val="24"/>
                <w:szCs w:val="24"/>
                <w:highlight w:val="none"/>
              </w:rPr>
              <w:t>其他或未提供的不得分</w:t>
            </w:r>
            <w:r>
              <w:rPr>
                <w:rFonts w:hint="eastAsia" w:ascii="仿宋" w:hAnsi="仿宋" w:eastAsia="仿宋" w:cs="仿宋"/>
                <w:b w:val="0"/>
                <w:bCs w:val="0"/>
                <w:color w:val="auto"/>
                <w:sz w:val="24"/>
                <w:szCs w:val="24"/>
                <w:highlight w:val="none"/>
                <w:lang w:eastAsia="zh-CN"/>
              </w:rPr>
              <w:t>。</w:t>
            </w:r>
          </w:p>
          <w:p w14:paraId="01E8BB1D">
            <w:pPr>
              <w:spacing w:line="500" w:lineRule="exact"/>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3.2质量体系与措施（3分）</w:t>
            </w:r>
          </w:p>
          <w:p w14:paraId="2A63C1F3">
            <w:pPr>
              <w:spacing w:line="500" w:lineRule="exact"/>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val="0"/>
                <w:bCs w:val="0"/>
                <w:color w:val="auto"/>
                <w:sz w:val="24"/>
                <w:szCs w:val="24"/>
                <w:highlight w:val="none"/>
              </w:rPr>
              <w:t>根据项目需求提供采购人实际情况的</w:t>
            </w:r>
            <w:r>
              <w:rPr>
                <w:rFonts w:hint="eastAsia" w:ascii="仿宋" w:hAnsi="仿宋" w:eastAsia="仿宋" w:cs="仿宋"/>
                <w:b w:val="0"/>
                <w:bCs w:val="0"/>
                <w:color w:val="auto"/>
                <w:sz w:val="24"/>
                <w:szCs w:val="24"/>
                <w:highlight w:val="none"/>
                <w:lang w:val="en-US" w:eastAsia="zh-CN"/>
              </w:rPr>
              <w:t>质量保障体系与措施，包括但不限于供应商设备质量自检措施、运输及安装过程中设备的防护措施及设备（含外包装）意外破损的处理预案等</w:t>
            </w:r>
          </w:p>
          <w:p w14:paraId="2C326450">
            <w:pPr>
              <w:spacing w:line="500" w:lineRule="exact"/>
              <w:jc w:val="lef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（1）质量管理措施全面合理、质量自检及防护措施完善、处理预案考虑完备、针对性及操作性强的，得3分；</w:t>
            </w:r>
          </w:p>
          <w:p w14:paraId="3C7718DD">
            <w:pPr>
              <w:spacing w:line="500" w:lineRule="exact"/>
              <w:jc w:val="lef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（2）质量管理措施较合理、质量自检及防护措施较完善、处理预案考虑较完备、针对性及操作性较强的，得1.5分；</w:t>
            </w:r>
          </w:p>
          <w:p w14:paraId="36CA3D2C">
            <w:pPr>
              <w:spacing w:line="500" w:lineRule="exact"/>
              <w:jc w:val="lef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（3）内容不合理或缺失、缺乏针对性、可行性不足或未提供方案的不得分。</w:t>
            </w:r>
          </w:p>
          <w:p w14:paraId="3C79461A">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项目验收方案（</w:t>
            </w:r>
            <w:r>
              <w:rPr>
                <w:rFonts w:hint="eastAsia" w:ascii="仿宋" w:hAnsi="仿宋" w:eastAsia="仿宋" w:cs="仿宋"/>
                <w:b/>
                <w:bCs/>
                <w:color w:val="auto"/>
                <w:sz w:val="24"/>
                <w:szCs w:val="24"/>
                <w:highlight w:val="none"/>
                <w:lang w:val="en-US" w:eastAsia="zh-CN"/>
              </w:rPr>
              <w:t>6</w:t>
            </w:r>
            <w:r>
              <w:rPr>
                <w:rFonts w:hint="eastAsia" w:ascii="仿宋" w:hAnsi="仿宋" w:eastAsia="仿宋" w:cs="仿宋"/>
                <w:b/>
                <w:bCs/>
                <w:color w:val="auto"/>
                <w:sz w:val="24"/>
                <w:szCs w:val="24"/>
                <w:highlight w:val="none"/>
              </w:rPr>
              <w:t>分）：</w:t>
            </w:r>
            <w:r>
              <w:rPr>
                <w:rFonts w:hint="eastAsia" w:ascii="仿宋" w:hAnsi="仿宋" w:eastAsia="仿宋" w:cs="仿宋"/>
                <w:b w:val="0"/>
                <w:bCs w:val="0"/>
                <w:color w:val="auto"/>
                <w:sz w:val="24"/>
                <w:szCs w:val="24"/>
                <w:highlight w:val="none"/>
              </w:rPr>
              <w:t>根据项目需求提供符合采购人实际情况的设备验收方案，结合验收标准的明确性、验收流程的完善性、周期安排的合理性、质量把控的有效性及医疗场景适配性等情况综合评审。</w:t>
            </w:r>
          </w:p>
          <w:p w14:paraId="4463E56E">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①</w:t>
            </w:r>
            <w:r>
              <w:rPr>
                <w:rFonts w:hint="eastAsia" w:ascii="仿宋" w:hAnsi="仿宋" w:eastAsia="仿宋" w:cs="仿宋"/>
                <w:b w:val="0"/>
                <w:bCs w:val="0"/>
                <w:color w:val="auto"/>
                <w:sz w:val="24"/>
                <w:szCs w:val="24"/>
                <w:highlight w:val="none"/>
              </w:rPr>
              <w:t>验收方案全面覆盖设备技术参数、性能测试、安全合规性核查、临床试用效果评估等核心内容</w:t>
            </w:r>
            <w:r>
              <w:rPr>
                <w:rFonts w:hint="eastAsia" w:ascii="仿宋" w:hAnsi="仿宋" w:eastAsia="仿宋" w:cs="仿宋"/>
                <w:b w:val="0"/>
                <w:bCs w:val="0"/>
                <w:color w:val="auto"/>
                <w:sz w:val="24"/>
                <w:szCs w:val="24"/>
                <w:highlight w:val="none"/>
                <w:lang w:eastAsia="zh-CN"/>
              </w:rPr>
              <w:t>，验收质控措施</w:t>
            </w:r>
            <w:r>
              <w:rPr>
                <w:rFonts w:hint="eastAsia" w:ascii="仿宋" w:hAnsi="仿宋" w:eastAsia="仿宋" w:cs="仿宋"/>
                <w:b w:val="0"/>
                <w:bCs w:val="0"/>
                <w:color w:val="auto"/>
                <w:sz w:val="24"/>
                <w:szCs w:val="24"/>
                <w:highlight w:val="none"/>
                <w:lang w:val="en-US" w:eastAsia="zh-CN"/>
              </w:rPr>
              <w:t>科学完善，</w:t>
            </w:r>
            <w:r>
              <w:rPr>
                <w:rFonts w:hint="eastAsia" w:ascii="仿宋" w:hAnsi="仿宋" w:eastAsia="仿宋" w:cs="仿宋"/>
                <w:b w:val="0"/>
                <w:bCs w:val="0"/>
                <w:color w:val="auto"/>
                <w:sz w:val="24"/>
                <w:szCs w:val="24"/>
                <w:highlight w:val="none"/>
              </w:rPr>
              <w:t>验收标准量化清晰</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时间进度安排</w:t>
            </w:r>
            <w:r>
              <w:rPr>
                <w:rFonts w:hint="eastAsia" w:ascii="仿宋" w:hAnsi="仿宋" w:eastAsia="仿宋" w:cs="仿宋"/>
                <w:b w:val="0"/>
                <w:bCs w:val="0"/>
                <w:color w:val="auto"/>
                <w:sz w:val="24"/>
                <w:szCs w:val="24"/>
                <w:highlight w:val="none"/>
                <w:lang w:eastAsia="zh-CN"/>
              </w:rPr>
              <w:t>科学合理</w:t>
            </w:r>
            <w:r>
              <w:rPr>
                <w:rFonts w:hint="eastAsia" w:ascii="仿宋" w:hAnsi="仿宋" w:eastAsia="仿宋" w:cs="仿宋"/>
                <w:b w:val="0"/>
                <w:bCs w:val="0"/>
                <w:color w:val="auto"/>
                <w:sz w:val="24"/>
                <w:szCs w:val="24"/>
                <w:highlight w:val="none"/>
              </w:rPr>
              <w:t>的得</w:t>
            </w:r>
            <w:r>
              <w:rPr>
                <w:rFonts w:hint="eastAsia" w:ascii="仿宋" w:hAnsi="仿宋" w:eastAsia="仿宋" w:cs="仿宋"/>
                <w:b w:val="0"/>
                <w:bCs w:val="0"/>
                <w:color w:val="auto"/>
                <w:sz w:val="24"/>
                <w:szCs w:val="24"/>
                <w:highlight w:val="none"/>
                <w:lang w:val="en-US" w:eastAsia="zh-CN"/>
              </w:rPr>
              <w:t>6</w:t>
            </w:r>
            <w:r>
              <w:rPr>
                <w:rFonts w:hint="eastAsia" w:ascii="仿宋" w:hAnsi="仿宋" w:eastAsia="仿宋" w:cs="仿宋"/>
                <w:b w:val="0"/>
                <w:bCs w:val="0"/>
                <w:color w:val="auto"/>
                <w:sz w:val="24"/>
                <w:szCs w:val="24"/>
                <w:highlight w:val="none"/>
              </w:rPr>
              <w:t>分；</w:t>
            </w:r>
          </w:p>
          <w:p w14:paraId="3734DC4F">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②</w:t>
            </w:r>
            <w:r>
              <w:rPr>
                <w:rFonts w:hint="eastAsia" w:ascii="仿宋" w:hAnsi="仿宋" w:eastAsia="仿宋" w:cs="仿宋"/>
                <w:b w:val="0"/>
                <w:bCs w:val="0"/>
                <w:color w:val="auto"/>
                <w:sz w:val="24"/>
                <w:szCs w:val="24"/>
                <w:highlight w:val="none"/>
              </w:rPr>
              <w:t>验收方案</w:t>
            </w:r>
            <w:r>
              <w:rPr>
                <w:rFonts w:hint="eastAsia" w:ascii="仿宋" w:hAnsi="仿宋" w:eastAsia="仿宋" w:cs="仿宋"/>
                <w:b w:val="0"/>
                <w:bCs w:val="0"/>
                <w:color w:val="auto"/>
                <w:sz w:val="24"/>
                <w:szCs w:val="24"/>
                <w:highlight w:val="none"/>
                <w:lang w:val="en-US" w:eastAsia="zh-CN"/>
              </w:rPr>
              <w:t>较</w:t>
            </w:r>
            <w:r>
              <w:rPr>
                <w:rFonts w:hint="eastAsia" w:ascii="仿宋" w:hAnsi="仿宋" w:eastAsia="仿宋" w:cs="仿宋"/>
                <w:b w:val="0"/>
                <w:bCs w:val="0"/>
                <w:color w:val="auto"/>
                <w:sz w:val="24"/>
                <w:szCs w:val="24"/>
                <w:highlight w:val="none"/>
              </w:rPr>
              <w:t>全面</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基本覆盖验收</w:t>
            </w:r>
            <w:r>
              <w:rPr>
                <w:rFonts w:hint="eastAsia" w:ascii="仿宋" w:hAnsi="仿宋" w:eastAsia="仿宋" w:cs="仿宋"/>
                <w:b w:val="0"/>
                <w:bCs w:val="0"/>
                <w:color w:val="auto"/>
                <w:sz w:val="24"/>
                <w:szCs w:val="24"/>
                <w:highlight w:val="none"/>
              </w:rPr>
              <w:t>核心内容</w:t>
            </w:r>
            <w:r>
              <w:rPr>
                <w:rFonts w:hint="eastAsia" w:ascii="仿宋" w:hAnsi="仿宋" w:eastAsia="仿宋" w:cs="仿宋"/>
                <w:b w:val="0"/>
                <w:bCs w:val="0"/>
                <w:color w:val="auto"/>
                <w:sz w:val="24"/>
                <w:szCs w:val="24"/>
                <w:highlight w:val="none"/>
                <w:lang w:eastAsia="zh-CN"/>
              </w:rPr>
              <w:t>，验收质控措施</w:t>
            </w:r>
            <w:r>
              <w:rPr>
                <w:rFonts w:hint="eastAsia" w:ascii="仿宋" w:hAnsi="仿宋" w:eastAsia="仿宋" w:cs="仿宋"/>
                <w:b w:val="0"/>
                <w:bCs w:val="0"/>
                <w:color w:val="auto"/>
                <w:sz w:val="24"/>
                <w:szCs w:val="24"/>
                <w:highlight w:val="none"/>
                <w:lang w:val="en-US" w:eastAsia="zh-CN"/>
              </w:rPr>
              <w:t>科学较完善，</w:t>
            </w:r>
            <w:r>
              <w:rPr>
                <w:rFonts w:hint="eastAsia" w:ascii="仿宋" w:hAnsi="仿宋" w:eastAsia="仿宋" w:cs="仿宋"/>
                <w:b w:val="0"/>
                <w:bCs w:val="0"/>
                <w:color w:val="auto"/>
                <w:sz w:val="24"/>
                <w:szCs w:val="24"/>
                <w:highlight w:val="none"/>
              </w:rPr>
              <w:t>验收标准量化</w:t>
            </w:r>
            <w:r>
              <w:rPr>
                <w:rFonts w:hint="eastAsia" w:ascii="仿宋" w:hAnsi="仿宋" w:eastAsia="仿宋" w:cs="仿宋"/>
                <w:b w:val="0"/>
                <w:bCs w:val="0"/>
                <w:color w:val="auto"/>
                <w:sz w:val="24"/>
                <w:szCs w:val="24"/>
                <w:highlight w:val="none"/>
                <w:lang w:val="en-US" w:eastAsia="zh-CN"/>
              </w:rPr>
              <w:t>较</w:t>
            </w:r>
            <w:r>
              <w:rPr>
                <w:rFonts w:hint="eastAsia" w:ascii="仿宋" w:hAnsi="仿宋" w:eastAsia="仿宋" w:cs="仿宋"/>
                <w:b w:val="0"/>
                <w:bCs w:val="0"/>
                <w:color w:val="auto"/>
                <w:sz w:val="24"/>
                <w:szCs w:val="24"/>
                <w:highlight w:val="none"/>
              </w:rPr>
              <w:t>清晰</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时间进度安排</w:t>
            </w:r>
            <w:r>
              <w:rPr>
                <w:rFonts w:hint="eastAsia" w:ascii="仿宋" w:hAnsi="仿宋" w:eastAsia="仿宋" w:cs="仿宋"/>
                <w:b w:val="0"/>
                <w:bCs w:val="0"/>
                <w:color w:val="auto"/>
                <w:sz w:val="24"/>
                <w:szCs w:val="24"/>
                <w:highlight w:val="none"/>
                <w:lang w:val="en-US" w:eastAsia="zh-CN"/>
              </w:rPr>
              <w:t>较</w:t>
            </w:r>
            <w:r>
              <w:rPr>
                <w:rFonts w:hint="eastAsia" w:ascii="仿宋" w:hAnsi="仿宋" w:eastAsia="仿宋" w:cs="仿宋"/>
                <w:b w:val="0"/>
                <w:bCs w:val="0"/>
                <w:color w:val="auto"/>
                <w:sz w:val="24"/>
                <w:szCs w:val="24"/>
                <w:highlight w:val="none"/>
                <w:lang w:eastAsia="zh-CN"/>
              </w:rPr>
              <w:t>合理</w:t>
            </w:r>
            <w:r>
              <w:rPr>
                <w:rFonts w:hint="eastAsia" w:ascii="仿宋" w:hAnsi="仿宋" w:eastAsia="仿宋" w:cs="仿宋"/>
                <w:b w:val="0"/>
                <w:bCs w:val="0"/>
                <w:color w:val="auto"/>
                <w:sz w:val="24"/>
                <w:szCs w:val="24"/>
                <w:highlight w:val="none"/>
              </w:rPr>
              <w:t>的得</w:t>
            </w:r>
            <w:r>
              <w:rPr>
                <w:rFonts w:hint="eastAsia" w:ascii="仿宋" w:hAnsi="仿宋" w:eastAsia="仿宋" w:cs="仿宋"/>
                <w:b w:val="0"/>
                <w:bCs w:val="0"/>
                <w:color w:val="auto"/>
                <w:sz w:val="24"/>
                <w:szCs w:val="24"/>
                <w:highlight w:val="none"/>
                <w:lang w:val="en-US" w:eastAsia="zh-CN"/>
              </w:rPr>
              <w:t>4</w:t>
            </w:r>
            <w:r>
              <w:rPr>
                <w:rFonts w:hint="eastAsia" w:ascii="仿宋" w:hAnsi="仿宋" w:eastAsia="仿宋" w:cs="仿宋"/>
                <w:b w:val="0"/>
                <w:bCs w:val="0"/>
                <w:color w:val="auto"/>
                <w:sz w:val="24"/>
                <w:szCs w:val="24"/>
                <w:highlight w:val="none"/>
              </w:rPr>
              <w:t>分；</w:t>
            </w:r>
          </w:p>
          <w:p w14:paraId="10328474">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③</w:t>
            </w:r>
            <w:r>
              <w:rPr>
                <w:rFonts w:hint="eastAsia" w:ascii="仿宋" w:hAnsi="仿宋" w:eastAsia="仿宋" w:cs="仿宋"/>
                <w:b w:val="0"/>
                <w:bCs w:val="0"/>
                <w:color w:val="auto"/>
                <w:sz w:val="24"/>
                <w:szCs w:val="24"/>
                <w:highlight w:val="none"/>
              </w:rPr>
              <w:t>验收方案</w:t>
            </w:r>
            <w:r>
              <w:rPr>
                <w:rFonts w:hint="eastAsia" w:ascii="仿宋" w:hAnsi="仿宋" w:eastAsia="仿宋" w:cs="仿宋"/>
                <w:b w:val="0"/>
                <w:bCs w:val="0"/>
                <w:color w:val="auto"/>
                <w:sz w:val="24"/>
                <w:szCs w:val="24"/>
                <w:highlight w:val="none"/>
                <w:lang w:val="en-US" w:eastAsia="zh-CN"/>
              </w:rPr>
              <w:t>一般</w:t>
            </w:r>
            <w:r>
              <w:rPr>
                <w:rFonts w:hint="eastAsia" w:ascii="仿宋" w:hAnsi="仿宋" w:eastAsia="仿宋" w:cs="仿宋"/>
                <w:b w:val="0"/>
                <w:bCs w:val="0"/>
                <w:color w:val="auto"/>
                <w:sz w:val="24"/>
                <w:szCs w:val="24"/>
                <w:highlight w:val="none"/>
                <w:lang w:eastAsia="zh-CN"/>
              </w:rPr>
              <w:t>，验收质控措施</w:t>
            </w:r>
            <w:r>
              <w:rPr>
                <w:rFonts w:hint="eastAsia" w:ascii="仿宋" w:hAnsi="仿宋" w:eastAsia="仿宋" w:cs="仿宋"/>
                <w:b w:val="0"/>
                <w:bCs w:val="0"/>
                <w:color w:val="auto"/>
                <w:sz w:val="24"/>
                <w:szCs w:val="24"/>
                <w:highlight w:val="none"/>
                <w:lang w:val="en-US" w:eastAsia="zh-CN"/>
              </w:rPr>
              <w:t>一般，</w:t>
            </w:r>
            <w:r>
              <w:rPr>
                <w:rFonts w:hint="eastAsia" w:ascii="仿宋" w:hAnsi="仿宋" w:eastAsia="仿宋" w:cs="仿宋"/>
                <w:b w:val="0"/>
                <w:bCs w:val="0"/>
                <w:color w:val="auto"/>
                <w:sz w:val="24"/>
                <w:szCs w:val="24"/>
                <w:highlight w:val="none"/>
              </w:rPr>
              <w:t>验收标准量化</w:t>
            </w:r>
            <w:r>
              <w:rPr>
                <w:rFonts w:hint="eastAsia" w:ascii="仿宋" w:hAnsi="仿宋" w:eastAsia="仿宋" w:cs="仿宋"/>
                <w:b w:val="0"/>
                <w:bCs w:val="0"/>
                <w:color w:val="auto"/>
                <w:sz w:val="24"/>
                <w:szCs w:val="24"/>
                <w:highlight w:val="none"/>
                <w:lang w:val="en-US" w:eastAsia="zh-CN"/>
              </w:rPr>
              <w:t>一般</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时间进度安排</w:t>
            </w:r>
            <w:r>
              <w:rPr>
                <w:rFonts w:hint="eastAsia" w:ascii="仿宋" w:hAnsi="仿宋" w:eastAsia="仿宋" w:cs="仿宋"/>
                <w:b w:val="0"/>
                <w:bCs w:val="0"/>
                <w:color w:val="auto"/>
                <w:sz w:val="24"/>
                <w:szCs w:val="24"/>
                <w:highlight w:val="none"/>
                <w:lang w:eastAsia="zh-CN"/>
              </w:rPr>
              <w:t>安</w:t>
            </w:r>
            <w:r>
              <w:rPr>
                <w:rFonts w:hint="eastAsia" w:ascii="仿宋" w:hAnsi="仿宋" w:eastAsia="仿宋" w:cs="仿宋"/>
                <w:b w:val="0"/>
                <w:bCs w:val="0"/>
                <w:color w:val="auto"/>
                <w:sz w:val="24"/>
                <w:szCs w:val="24"/>
                <w:highlight w:val="none"/>
                <w:lang w:val="en-US" w:eastAsia="zh-CN"/>
              </w:rPr>
              <w:t>一般</w:t>
            </w:r>
            <w:r>
              <w:rPr>
                <w:rFonts w:hint="eastAsia" w:ascii="仿宋" w:hAnsi="仿宋" w:eastAsia="仿宋" w:cs="仿宋"/>
                <w:b w:val="0"/>
                <w:bCs w:val="0"/>
                <w:color w:val="auto"/>
                <w:sz w:val="24"/>
                <w:szCs w:val="24"/>
                <w:highlight w:val="none"/>
              </w:rPr>
              <w:t>，通过后期优化能实现采购要求的得</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分；</w:t>
            </w:r>
          </w:p>
          <w:p w14:paraId="4AFB5690">
            <w:pPr>
              <w:spacing w:line="500" w:lineRule="exact"/>
              <w:jc w:val="left"/>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④</w:t>
            </w:r>
            <w:r>
              <w:rPr>
                <w:rFonts w:hint="eastAsia" w:ascii="仿宋" w:hAnsi="仿宋" w:eastAsia="仿宋" w:cs="仿宋"/>
                <w:b w:val="0"/>
                <w:bCs w:val="0"/>
                <w:color w:val="auto"/>
                <w:sz w:val="24"/>
                <w:szCs w:val="24"/>
                <w:highlight w:val="none"/>
              </w:rPr>
              <w:t>其他或未提供的不得分</w:t>
            </w:r>
            <w:r>
              <w:rPr>
                <w:rFonts w:hint="eastAsia" w:ascii="仿宋" w:hAnsi="仿宋" w:eastAsia="仿宋" w:cs="仿宋"/>
                <w:b w:val="0"/>
                <w:bCs w:val="0"/>
                <w:color w:val="auto"/>
                <w:sz w:val="24"/>
                <w:szCs w:val="24"/>
                <w:highlight w:val="none"/>
                <w:lang w:eastAsia="zh-CN"/>
              </w:rPr>
              <w:t>。</w:t>
            </w:r>
          </w:p>
          <w:p w14:paraId="0FE015FE">
            <w:pPr>
              <w:spacing w:line="500" w:lineRule="exact"/>
              <w:jc w:val="left"/>
              <w:rPr>
                <w:rFonts w:hint="eastAsia" w:ascii="仿宋" w:hAnsi="仿宋" w:eastAsia="仿宋" w:cs="仿宋"/>
                <w:b w:val="0"/>
                <w:bCs w:val="0"/>
                <w:color w:val="auto"/>
                <w:sz w:val="24"/>
                <w:szCs w:val="24"/>
                <w:highlight w:val="none"/>
                <w:lang w:eastAsia="zh-CN"/>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项目应急保障方案</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6分</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w:t>
            </w:r>
            <w:r>
              <w:rPr>
                <w:rFonts w:hint="eastAsia" w:ascii="仿宋" w:hAnsi="仿宋" w:eastAsia="仿宋" w:cs="仿宋"/>
                <w:b w:val="0"/>
                <w:bCs w:val="0"/>
                <w:color w:val="auto"/>
                <w:sz w:val="24"/>
                <w:szCs w:val="24"/>
                <w:highlight w:val="none"/>
              </w:rPr>
              <w:t>根据项目需求提供符合采购人实际情况的设备应急保障方案，结合响应机制的及时性、资源保障的充分性、处置方案的针对性及医疗场景适配性等情况综合评审。</w:t>
            </w:r>
          </w:p>
          <w:p w14:paraId="48502717">
            <w:pPr>
              <w:spacing w:line="500" w:lineRule="exact"/>
              <w:jc w:val="lef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要求：明确 7×24 小时应急响应机制，承诺核心故障 2 小时内到达现场，配备专业的应急技术团队及关键备件储备。</w:t>
            </w:r>
          </w:p>
          <w:p w14:paraId="53CAD961">
            <w:pPr>
              <w:spacing w:line="500" w:lineRule="exact"/>
              <w:jc w:val="left"/>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①</w:t>
            </w:r>
            <w:r>
              <w:rPr>
                <w:rFonts w:hint="eastAsia" w:ascii="仿宋" w:hAnsi="仿宋" w:eastAsia="仿宋" w:cs="仿宋"/>
                <w:b w:val="0"/>
                <w:bCs w:val="0"/>
                <w:color w:val="auto"/>
                <w:sz w:val="24"/>
                <w:szCs w:val="24"/>
                <w:highlight w:val="none"/>
              </w:rPr>
              <w:t>应急保障方案</w:t>
            </w:r>
            <w:r>
              <w:rPr>
                <w:rFonts w:hint="eastAsia" w:ascii="仿宋" w:hAnsi="仿宋" w:eastAsia="仿宋" w:cs="仿宋"/>
                <w:b w:val="0"/>
                <w:bCs w:val="0"/>
                <w:color w:val="auto"/>
                <w:sz w:val="24"/>
                <w:szCs w:val="24"/>
                <w:highlight w:val="none"/>
                <w:lang w:val="en-US" w:eastAsia="zh-CN"/>
              </w:rPr>
              <w:t>完整，</w:t>
            </w:r>
            <w:r>
              <w:rPr>
                <w:rFonts w:hint="eastAsia" w:ascii="仿宋" w:hAnsi="仿宋" w:eastAsia="仿宋" w:cs="仿宋"/>
                <w:b w:val="0"/>
                <w:bCs w:val="0"/>
                <w:color w:val="auto"/>
                <w:sz w:val="24"/>
                <w:szCs w:val="24"/>
                <w:highlight w:val="none"/>
              </w:rPr>
              <w:t>覆盖</w:t>
            </w:r>
            <w:r>
              <w:rPr>
                <w:rFonts w:hint="eastAsia" w:ascii="仿宋" w:hAnsi="仿宋" w:eastAsia="仿宋" w:cs="仿宋"/>
                <w:b w:val="0"/>
                <w:bCs w:val="0"/>
                <w:color w:val="auto"/>
                <w:sz w:val="24"/>
                <w:szCs w:val="24"/>
                <w:highlight w:val="none"/>
                <w:lang w:val="en-US" w:eastAsia="zh-CN"/>
              </w:rPr>
              <w:t>全面</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充分考虑</w:t>
            </w:r>
            <w:r>
              <w:rPr>
                <w:rFonts w:hint="eastAsia" w:ascii="仿宋" w:hAnsi="仿宋" w:eastAsia="仿宋" w:cs="仿宋"/>
                <w:b w:val="0"/>
                <w:bCs w:val="0"/>
                <w:color w:val="auto"/>
                <w:sz w:val="24"/>
                <w:szCs w:val="24"/>
                <w:highlight w:val="none"/>
              </w:rPr>
              <w:t>设备突发故障</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停电、火灾伴随设备损坏</w:t>
            </w:r>
            <w:r>
              <w:rPr>
                <w:rFonts w:hint="eastAsia" w:ascii="仿宋" w:hAnsi="仿宋" w:eastAsia="仿宋" w:cs="仿宋"/>
                <w:b w:val="0"/>
                <w:bCs w:val="0"/>
                <w:color w:val="auto"/>
                <w:sz w:val="24"/>
                <w:szCs w:val="24"/>
                <w:highlight w:val="none"/>
                <w:lang w:val="en-US" w:eastAsia="zh-CN"/>
              </w:rPr>
              <w:t>等极端场景</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临床紧急诊疗需求等各类应急情况）</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对每</w:t>
            </w:r>
            <w:r>
              <w:rPr>
                <w:rFonts w:hint="eastAsia" w:ascii="仿宋" w:hAnsi="仿宋" w:eastAsia="仿宋" w:cs="仿宋"/>
                <w:b w:val="0"/>
                <w:bCs w:val="0"/>
                <w:color w:val="auto"/>
                <w:sz w:val="24"/>
                <w:szCs w:val="24"/>
                <w:highlight w:val="none"/>
              </w:rPr>
              <w:t>种应急场景均有量化处置标准（如数据恢复</w:t>
            </w:r>
            <w:r>
              <w:rPr>
                <w:rFonts w:hint="eastAsia" w:ascii="仿宋" w:hAnsi="仿宋" w:eastAsia="仿宋" w:cs="仿宋"/>
                <w:b w:val="0"/>
                <w:bCs w:val="0"/>
                <w:color w:val="auto"/>
                <w:sz w:val="24"/>
                <w:szCs w:val="24"/>
                <w:highlight w:val="none"/>
                <w:lang w:val="en-US" w:eastAsia="zh-CN"/>
              </w:rPr>
              <w:t>时限</w:t>
            </w:r>
            <w:r>
              <w:rPr>
                <w:rFonts w:hint="eastAsia" w:ascii="仿宋" w:hAnsi="仿宋" w:eastAsia="仿宋" w:cs="仿宋"/>
                <w:b w:val="0"/>
                <w:bCs w:val="0"/>
                <w:color w:val="auto"/>
                <w:sz w:val="24"/>
                <w:szCs w:val="24"/>
                <w:highlight w:val="none"/>
              </w:rPr>
              <w:t>、设备抢修完成时限</w:t>
            </w:r>
            <w:r>
              <w:rPr>
                <w:rFonts w:hint="eastAsia" w:ascii="仿宋" w:hAnsi="仿宋" w:eastAsia="仿宋" w:cs="仿宋"/>
                <w:b w:val="0"/>
                <w:bCs w:val="0"/>
                <w:color w:val="auto"/>
                <w:sz w:val="24"/>
                <w:szCs w:val="24"/>
                <w:highlight w:val="none"/>
                <w:lang w:val="en-US" w:eastAsia="zh-CN"/>
              </w:rPr>
              <w:t>等</w:t>
            </w:r>
            <w:r>
              <w:rPr>
                <w:rFonts w:hint="eastAsia" w:ascii="仿宋" w:hAnsi="仿宋" w:eastAsia="仿宋" w:cs="仿宋"/>
                <w:b w:val="0"/>
                <w:bCs w:val="0"/>
                <w:color w:val="auto"/>
                <w:sz w:val="24"/>
                <w:szCs w:val="24"/>
                <w:highlight w:val="none"/>
              </w:rPr>
              <w:t>）及医疗安全协同流程的得</w:t>
            </w:r>
            <w:r>
              <w:rPr>
                <w:rFonts w:hint="eastAsia" w:ascii="仿宋" w:hAnsi="仿宋" w:eastAsia="仿宋" w:cs="仿宋"/>
                <w:b w:val="0"/>
                <w:bCs w:val="0"/>
                <w:color w:val="auto"/>
                <w:sz w:val="24"/>
                <w:szCs w:val="24"/>
                <w:highlight w:val="none"/>
                <w:lang w:val="en-US" w:eastAsia="zh-CN"/>
              </w:rPr>
              <w:t>6</w:t>
            </w:r>
            <w:r>
              <w:rPr>
                <w:rFonts w:hint="eastAsia" w:ascii="仿宋" w:hAnsi="仿宋" w:eastAsia="仿宋" w:cs="仿宋"/>
                <w:b w:val="0"/>
                <w:bCs w:val="0"/>
                <w:color w:val="auto"/>
                <w:sz w:val="24"/>
                <w:szCs w:val="24"/>
                <w:highlight w:val="none"/>
              </w:rPr>
              <w:t>分；</w:t>
            </w:r>
          </w:p>
          <w:p w14:paraId="7D641FB4">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②</w:t>
            </w:r>
            <w:r>
              <w:rPr>
                <w:rFonts w:hint="eastAsia" w:ascii="仿宋" w:hAnsi="仿宋" w:eastAsia="仿宋" w:cs="仿宋"/>
                <w:b w:val="0"/>
                <w:bCs w:val="0"/>
                <w:color w:val="auto"/>
                <w:sz w:val="24"/>
                <w:szCs w:val="24"/>
                <w:highlight w:val="none"/>
              </w:rPr>
              <w:t>应急保障方案</w:t>
            </w:r>
            <w:r>
              <w:rPr>
                <w:rFonts w:hint="eastAsia" w:ascii="仿宋" w:hAnsi="仿宋" w:eastAsia="仿宋" w:cs="仿宋"/>
                <w:b w:val="0"/>
                <w:bCs w:val="0"/>
                <w:color w:val="auto"/>
                <w:sz w:val="24"/>
                <w:szCs w:val="24"/>
                <w:highlight w:val="none"/>
                <w:lang w:val="en-US" w:eastAsia="zh-CN"/>
              </w:rPr>
              <w:t>较完整，</w:t>
            </w:r>
            <w:r>
              <w:rPr>
                <w:rFonts w:hint="eastAsia" w:ascii="仿宋" w:hAnsi="仿宋" w:eastAsia="仿宋" w:cs="仿宋"/>
                <w:b w:val="0"/>
                <w:bCs w:val="0"/>
                <w:color w:val="auto"/>
                <w:sz w:val="24"/>
                <w:szCs w:val="24"/>
                <w:highlight w:val="none"/>
              </w:rPr>
              <w:t>覆盖</w:t>
            </w:r>
            <w:r>
              <w:rPr>
                <w:rFonts w:hint="eastAsia" w:ascii="仿宋" w:hAnsi="仿宋" w:eastAsia="仿宋" w:cs="仿宋"/>
                <w:b w:val="0"/>
                <w:bCs w:val="0"/>
                <w:color w:val="auto"/>
                <w:sz w:val="24"/>
                <w:szCs w:val="24"/>
                <w:highlight w:val="none"/>
                <w:lang w:val="en-US" w:eastAsia="zh-CN"/>
              </w:rPr>
              <w:t>较全面</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对</w:t>
            </w:r>
            <w:r>
              <w:rPr>
                <w:rFonts w:hint="eastAsia" w:ascii="仿宋" w:hAnsi="仿宋" w:eastAsia="仿宋" w:cs="仿宋"/>
                <w:b w:val="0"/>
                <w:bCs w:val="0"/>
                <w:color w:val="auto"/>
                <w:sz w:val="24"/>
                <w:szCs w:val="24"/>
                <w:highlight w:val="none"/>
              </w:rPr>
              <w:t>各类应急情况</w:t>
            </w:r>
            <w:r>
              <w:rPr>
                <w:rFonts w:hint="eastAsia" w:ascii="仿宋" w:hAnsi="仿宋" w:eastAsia="仿宋" w:cs="仿宋"/>
                <w:b w:val="0"/>
                <w:bCs w:val="0"/>
                <w:color w:val="auto"/>
                <w:sz w:val="24"/>
                <w:szCs w:val="24"/>
                <w:highlight w:val="none"/>
                <w:lang w:val="en-US" w:eastAsia="zh-CN"/>
              </w:rPr>
              <w:t>考虑较充分</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对每</w:t>
            </w:r>
            <w:r>
              <w:rPr>
                <w:rFonts w:hint="eastAsia" w:ascii="仿宋" w:hAnsi="仿宋" w:eastAsia="仿宋" w:cs="仿宋"/>
                <w:b w:val="0"/>
                <w:bCs w:val="0"/>
                <w:color w:val="auto"/>
                <w:sz w:val="24"/>
                <w:szCs w:val="24"/>
                <w:highlight w:val="none"/>
              </w:rPr>
              <w:t>种应急场景</w:t>
            </w:r>
            <w:r>
              <w:rPr>
                <w:rFonts w:hint="eastAsia" w:ascii="仿宋" w:hAnsi="仿宋" w:eastAsia="仿宋" w:cs="仿宋"/>
                <w:b w:val="0"/>
                <w:bCs w:val="0"/>
                <w:color w:val="auto"/>
                <w:sz w:val="24"/>
                <w:szCs w:val="24"/>
                <w:highlight w:val="none"/>
                <w:lang w:eastAsia="zh-CN"/>
              </w:rPr>
              <w:t>的</w:t>
            </w:r>
            <w:r>
              <w:rPr>
                <w:rFonts w:hint="eastAsia" w:ascii="仿宋" w:hAnsi="仿宋" w:eastAsia="仿宋" w:cs="仿宋"/>
                <w:b w:val="0"/>
                <w:bCs w:val="0"/>
                <w:color w:val="auto"/>
                <w:sz w:val="24"/>
                <w:szCs w:val="24"/>
                <w:highlight w:val="none"/>
              </w:rPr>
              <w:t>量化处置标准及医疗安全协同流程</w:t>
            </w:r>
            <w:r>
              <w:rPr>
                <w:rFonts w:hint="eastAsia" w:ascii="仿宋" w:hAnsi="仿宋" w:eastAsia="仿宋" w:cs="仿宋"/>
                <w:b w:val="0"/>
                <w:bCs w:val="0"/>
                <w:color w:val="auto"/>
                <w:sz w:val="24"/>
                <w:szCs w:val="24"/>
                <w:highlight w:val="none"/>
                <w:lang w:val="en-US" w:eastAsia="zh-CN"/>
              </w:rPr>
              <w:t>较明确</w:t>
            </w:r>
            <w:r>
              <w:rPr>
                <w:rFonts w:hint="eastAsia" w:ascii="仿宋" w:hAnsi="仿宋" w:eastAsia="仿宋" w:cs="仿宋"/>
                <w:b w:val="0"/>
                <w:bCs w:val="0"/>
                <w:color w:val="auto"/>
                <w:sz w:val="24"/>
                <w:szCs w:val="24"/>
                <w:highlight w:val="none"/>
              </w:rPr>
              <w:t>的得</w:t>
            </w:r>
            <w:r>
              <w:rPr>
                <w:rFonts w:hint="eastAsia" w:ascii="仿宋" w:hAnsi="仿宋" w:eastAsia="仿宋" w:cs="仿宋"/>
                <w:b w:val="0"/>
                <w:bCs w:val="0"/>
                <w:color w:val="auto"/>
                <w:sz w:val="24"/>
                <w:szCs w:val="24"/>
                <w:highlight w:val="none"/>
                <w:lang w:val="en-US" w:eastAsia="zh-CN"/>
              </w:rPr>
              <w:t>4</w:t>
            </w:r>
            <w:r>
              <w:rPr>
                <w:rFonts w:hint="eastAsia" w:ascii="仿宋" w:hAnsi="仿宋" w:eastAsia="仿宋" w:cs="仿宋"/>
                <w:b w:val="0"/>
                <w:bCs w:val="0"/>
                <w:color w:val="auto"/>
                <w:sz w:val="24"/>
                <w:szCs w:val="24"/>
                <w:highlight w:val="none"/>
              </w:rPr>
              <w:t>分；</w:t>
            </w:r>
          </w:p>
          <w:p w14:paraId="4C2351BC">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③</w:t>
            </w:r>
            <w:r>
              <w:rPr>
                <w:rFonts w:hint="eastAsia" w:ascii="仿宋" w:hAnsi="仿宋" w:eastAsia="仿宋" w:cs="仿宋"/>
                <w:b w:val="0"/>
                <w:bCs w:val="0"/>
                <w:color w:val="auto"/>
                <w:sz w:val="24"/>
                <w:szCs w:val="24"/>
                <w:highlight w:val="none"/>
              </w:rPr>
              <w:t>方案一般、应急情况</w:t>
            </w:r>
            <w:r>
              <w:rPr>
                <w:rFonts w:hint="eastAsia" w:ascii="仿宋" w:hAnsi="仿宋" w:eastAsia="仿宋" w:cs="仿宋"/>
                <w:b w:val="0"/>
                <w:bCs w:val="0"/>
                <w:color w:val="auto"/>
                <w:sz w:val="24"/>
                <w:szCs w:val="24"/>
                <w:highlight w:val="none"/>
                <w:lang w:val="en-US" w:eastAsia="zh-CN"/>
              </w:rPr>
              <w:t>应对充分性一般、</w:t>
            </w:r>
            <w:r>
              <w:rPr>
                <w:rFonts w:hint="eastAsia" w:ascii="仿宋" w:hAnsi="仿宋" w:eastAsia="仿宋" w:cs="仿宋"/>
                <w:b w:val="0"/>
                <w:bCs w:val="0"/>
                <w:color w:val="auto"/>
                <w:sz w:val="24"/>
                <w:szCs w:val="24"/>
                <w:highlight w:val="none"/>
              </w:rPr>
              <w:t>应急场景</w:t>
            </w:r>
            <w:r>
              <w:rPr>
                <w:rFonts w:hint="eastAsia" w:ascii="仿宋" w:hAnsi="仿宋" w:eastAsia="仿宋" w:cs="仿宋"/>
                <w:b w:val="0"/>
                <w:bCs w:val="0"/>
                <w:color w:val="auto"/>
                <w:sz w:val="24"/>
                <w:szCs w:val="24"/>
                <w:highlight w:val="none"/>
                <w:lang w:eastAsia="zh-CN"/>
              </w:rPr>
              <w:t>的</w:t>
            </w:r>
            <w:r>
              <w:rPr>
                <w:rFonts w:hint="eastAsia" w:ascii="仿宋" w:hAnsi="仿宋" w:eastAsia="仿宋" w:cs="仿宋"/>
                <w:b w:val="0"/>
                <w:bCs w:val="0"/>
                <w:color w:val="auto"/>
                <w:sz w:val="24"/>
                <w:szCs w:val="24"/>
                <w:highlight w:val="none"/>
              </w:rPr>
              <w:t>量化处置标准及医疗安全协同流程</w:t>
            </w:r>
            <w:r>
              <w:rPr>
                <w:rFonts w:hint="eastAsia" w:ascii="仿宋" w:hAnsi="仿宋" w:eastAsia="仿宋" w:cs="仿宋"/>
                <w:b w:val="0"/>
                <w:bCs w:val="0"/>
                <w:color w:val="auto"/>
                <w:sz w:val="24"/>
                <w:szCs w:val="24"/>
                <w:highlight w:val="none"/>
                <w:lang w:val="en-US" w:eastAsia="zh-CN"/>
              </w:rPr>
              <w:t>一般</w:t>
            </w:r>
            <w:r>
              <w:rPr>
                <w:rFonts w:hint="eastAsia" w:ascii="仿宋" w:hAnsi="仿宋" w:eastAsia="仿宋" w:cs="仿宋"/>
                <w:b w:val="0"/>
                <w:bCs w:val="0"/>
                <w:color w:val="auto"/>
                <w:sz w:val="24"/>
                <w:szCs w:val="24"/>
                <w:highlight w:val="none"/>
              </w:rPr>
              <w:t>，通过后期优化能实现采购要求的得</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分；</w:t>
            </w:r>
          </w:p>
          <w:p w14:paraId="58F58416">
            <w:pPr>
              <w:spacing w:line="500" w:lineRule="exact"/>
              <w:jc w:val="lef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④</w:t>
            </w:r>
            <w:r>
              <w:rPr>
                <w:rFonts w:hint="eastAsia" w:ascii="仿宋" w:hAnsi="仿宋" w:eastAsia="仿宋" w:cs="仿宋"/>
                <w:b w:val="0"/>
                <w:bCs w:val="0"/>
                <w:color w:val="auto"/>
                <w:sz w:val="24"/>
                <w:szCs w:val="24"/>
                <w:highlight w:val="none"/>
              </w:rPr>
              <w:t>其他或未提供的不得分</w:t>
            </w:r>
            <w:r>
              <w:rPr>
                <w:rFonts w:hint="eastAsia" w:ascii="仿宋" w:hAnsi="仿宋" w:eastAsia="仿宋" w:cs="仿宋"/>
                <w:b w:val="0"/>
                <w:bCs w:val="0"/>
                <w:color w:val="auto"/>
                <w:sz w:val="24"/>
                <w:szCs w:val="24"/>
                <w:highlight w:val="none"/>
                <w:lang w:eastAsia="zh-CN"/>
              </w:rPr>
              <w:t>。</w:t>
            </w:r>
          </w:p>
          <w:p w14:paraId="1792E7B2">
            <w:pPr>
              <w:spacing w:line="500" w:lineRule="exact"/>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（四）售后服务及培训方案（</w:t>
            </w:r>
            <w:r>
              <w:rPr>
                <w:rFonts w:hint="eastAsia" w:ascii="仿宋" w:hAnsi="仿宋" w:eastAsia="仿宋" w:cs="仿宋"/>
                <w:b/>
                <w:bCs/>
                <w:color w:val="auto"/>
                <w:sz w:val="24"/>
                <w:szCs w:val="24"/>
                <w:highlight w:val="none"/>
                <w:lang w:val="en-US" w:eastAsia="zh-CN"/>
              </w:rPr>
              <w:t>11</w:t>
            </w:r>
            <w:r>
              <w:rPr>
                <w:rFonts w:hint="eastAsia" w:ascii="仿宋" w:hAnsi="仿宋" w:eastAsia="仿宋" w:cs="仿宋"/>
                <w:b/>
                <w:bCs/>
                <w:color w:val="auto"/>
                <w:sz w:val="24"/>
                <w:szCs w:val="24"/>
                <w:highlight w:val="none"/>
              </w:rPr>
              <w:t>分）</w:t>
            </w:r>
          </w:p>
          <w:p w14:paraId="40E86BD3">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rPr>
              <w:t>4.1售后服务方案（</w:t>
            </w:r>
            <w:r>
              <w:rPr>
                <w:rFonts w:hint="eastAsia" w:ascii="仿宋" w:hAnsi="仿宋" w:eastAsia="仿宋" w:cs="仿宋"/>
                <w:b/>
                <w:bCs/>
                <w:color w:val="auto"/>
                <w:sz w:val="24"/>
                <w:szCs w:val="24"/>
                <w:highlight w:val="none"/>
                <w:lang w:val="en-US" w:eastAsia="zh-CN"/>
              </w:rPr>
              <w:t>6</w:t>
            </w:r>
            <w:r>
              <w:rPr>
                <w:rFonts w:hint="eastAsia" w:ascii="仿宋" w:hAnsi="仿宋" w:eastAsia="仿宋" w:cs="仿宋"/>
                <w:b/>
                <w:bCs/>
                <w:color w:val="auto"/>
                <w:sz w:val="24"/>
                <w:szCs w:val="24"/>
                <w:highlight w:val="none"/>
              </w:rPr>
              <w:t>分）：</w:t>
            </w:r>
            <w:r>
              <w:rPr>
                <w:rFonts w:hint="eastAsia" w:ascii="仿宋" w:hAnsi="仿宋" w:eastAsia="仿宋" w:cs="仿宋"/>
                <w:b w:val="0"/>
                <w:bCs w:val="0"/>
                <w:color w:val="auto"/>
                <w:sz w:val="24"/>
                <w:szCs w:val="24"/>
                <w:highlight w:val="none"/>
              </w:rPr>
              <w:t>根据该项目提供符合采购人情况的售后及应急服务方案及售后服务承诺。根据其完善性、可实施性及承诺响应时间、工程到场时间进行综合评审。</w:t>
            </w:r>
          </w:p>
          <w:p w14:paraId="07A5925E">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要求：响应时间满足2小时内响应，24小时内维修人员到达现场，并提供备用配件供临时使用。</w:t>
            </w:r>
          </w:p>
          <w:p w14:paraId="7EFF08EB">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①</w:t>
            </w:r>
            <w:r>
              <w:rPr>
                <w:rFonts w:hint="eastAsia" w:ascii="仿宋" w:hAnsi="仿宋" w:eastAsia="仿宋" w:cs="仿宋"/>
                <w:b w:val="0"/>
                <w:bCs w:val="0"/>
                <w:color w:val="auto"/>
                <w:sz w:val="24"/>
                <w:szCs w:val="24"/>
                <w:highlight w:val="none"/>
              </w:rPr>
              <w:t>应急售后措施完善，具有预见性，对可能存在的情况有具体应对方案和具体时间节点安排，管理</w:t>
            </w:r>
            <w:r>
              <w:rPr>
                <w:rFonts w:hint="eastAsia" w:ascii="仿宋" w:hAnsi="仿宋" w:eastAsia="仿宋" w:cs="仿宋"/>
                <w:b w:val="0"/>
                <w:bCs w:val="0"/>
                <w:color w:val="auto"/>
                <w:sz w:val="24"/>
                <w:szCs w:val="24"/>
                <w:highlight w:val="none"/>
                <w:lang w:val="en-US" w:eastAsia="zh-CN"/>
              </w:rPr>
              <w:t>科学规范</w:t>
            </w:r>
            <w:r>
              <w:rPr>
                <w:rFonts w:hint="eastAsia" w:ascii="仿宋" w:hAnsi="仿宋" w:eastAsia="仿宋" w:cs="仿宋"/>
                <w:b w:val="0"/>
                <w:bCs w:val="0"/>
                <w:color w:val="auto"/>
                <w:sz w:val="24"/>
                <w:szCs w:val="24"/>
                <w:highlight w:val="none"/>
              </w:rPr>
              <w:t>，技术人员专业素养高且有经验，人员配备合理，承诺响应时间、到场时间最短且方案合理完善的得</w:t>
            </w:r>
            <w:r>
              <w:rPr>
                <w:rFonts w:hint="eastAsia" w:ascii="仿宋" w:hAnsi="仿宋" w:eastAsia="仿宋" w:cs="仿宋"/>
                <w:b w:val="0"/>
                <w:bCs w:val="0"/>
                <w:color w:val="auto"/>
                <w:sz w:val="24"/>
                <w:szCs w:val="24"/>
                <w:highlight w:val="none"/>
                <w:lang w:val="en-US" w:eastAsia="zh-CN"/>
              </w:rPr>
              <w:t>6</w:t>
            </w:r>
            <w:r>
              <w:rPr>
                <w:rFonts w:hint="eastAsia" w:ascii="仿宋" w:hAnsi="仿宋" w:eastAsia="仿宋" w:cs="仿宋"/>
                <w:b w:val="0"/>
                <w:bCs w:val="0"/>
                <w:color w:val="auto"/>
                <w:sz w:val="24"/>
                <w:szCs w:val="24"/>
                <w:highlight w:val="none"/>
              </w:rPr>
              <w:t>分；</w:t>
            </w:r>
          </w:p>
          <w:p w14:paraId="2D6B98D1">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②</w:t>
            </w:r>
            <w:r>
              <w:rPr>
                <w:rFonts w:hint="eastAsia" w:ascii="仿宋" w:hAnsi="仿宋" w:eastAsia="仿宋" w:cs="仿宋"/>
                <w:b w:val="0"/>
                <w:bCs w:val="0"/>
                <w:color w:val="auto"/>
                <w:sz w:val="24"/>
                <w:szCs w:val="24"/>
                <w:highlight w:val="none"/>
              </w:rPr>
              <w:t>应急措施比较完善，比较有预见性，对可能存在的情况有比较具体的应对方案和时间安排，管理较</w:t>
            </w:r>
            <w:r>
              <w:rPr>
                <w:rFonts w:hint="eastAsia" w:ascii="仿宋" w:hAnsi="仿宋" w:eastAsia="仿宋" w:cs="仿宋"/>
                <w:b w:val="0"/>
                <w:bCs w:val="0"/>
                <w:color w:val="auto"/>
                <w:sz w:val="24"/>
                <w:szCs w:val="24"/>
                <w:highlight w:val="none"/>
                <w:lang w:val="en-US" w:eastAsia="zh-CN"/>
              </w:rPr>
              <w:t>科学规范</w:t>
            </w:r>
            <w:r>
              <w:rPr>
                <w:rFonts w:hint="eastAsia" w:ascii="仿宋" w:hAnsi="仿宋" w:eastAsia="仿宋" w:cs="仿宋"/>
                <w:b w:val="0"/>
                <w:bCs w:val="0"/>
                <w:color w:val="auto"/>
                <w:sz w:val="24"/>
                <w:szCs w:val="24"/>
                <w:highlight w:val="none"/>
              </w:rPr>
              <w:t>，技术人员专业素养较高，人员配备较合理，承诺响应时间、到场时间较短且方案较合理完善</w:t>
            </w:r>
            <w:r>
              <w:rPr>
                <w:rFonts w:hint="eastAsia" w:ascii="仿宋" w:hAnsi="仿宋" w:eastAsia="仿宋" w:cs="仿宋"/>
                <w:b w:val="0"/>
                <w:bCs w:val="0"/>
                <w:color w:val="auto"/>
                <w:sz w:val="24"/>
                <w:szCs w:val="24"/>
                <w:highlight w:val="none"/>
                <w:lang w:eastAsia="zh-CN"/>
              </w:rPr>
              <w:t>的</w:t>
            </w:r>
            <w:r>
              <w:rPr>
                <w:rFonts w:hint="eastAsia" w:ascii="仿宋" w:hAnsi="仿宋" w:eastAsia="仿宋" w:cs="仿宋"/>
                <w:b w:val="0"/>
                <w:bCs w:val="0"/>
                <w:color w:val="auto"/>
                <w:sz w:val="24"/>
                <w:szCs w:val="24"/>
                <w:highlight w:val="none"/>
              </w:rPr>
              <w:t>得4分；</w:t>
            </w:r>
          </w:p>
          <w:p w14:paraId="4D830AF8">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③</w:t>
            </w:r>
            <w:r>
              <w:rPr>
                <w:rFonts w:hint="eastAsia" w:ascii="仿宋" w:hAnsi="仿宋" w:eastAsia="仿宋" w:cs="仿宋"/>
                <w:b w:val="0"/>
                <w:bCs w:val="0"/>
                <w:color w:val="auto"/>
                <w:sz w:val="24"/>
                <w:szCs w:val="24"/>
                <w:highlight w:val="none"/>
              </w:rPr>
              <w:t>应急措施一般，对应对方案</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时间安排</w:t>
            </w:r>
            <w:r>
              <w:rPr>
                <w:rFonts w:hint="eastAsia" w:ascii="仿宋" w:hAnsi="仿宋" w:eastAsia="仿宋" w:cs="仿宋"/>
                <w:b w:val="0"/>
                <w:bCs w:val="0"/>
                <w:color w:val="auto"/>
                <w:sz w:val="24"/>
                <w:szCs w:val="24"/>
                <w:highlight w:val="none"/>
                <w:lang w:val="en-US" w:eastAsia="zh-CN"/>
              </w:rPr>
              <w:t>或</w:t>
            </w:r>
            <w:r>
              <w:rPr>
                <w:rFonts w:hint="eastAsia" w:ascii="仿宋" w:hAnsi="仿宋" w:eastAsia="仿宋" w:cs="仿宋"/>
                <w:b w:val="0"/>
                <w:bCs w:val="0"/>
                <w:color w:val="auto"/>
                <w:sz w:val="24"/>
                <w:szCs w:val="24"/>
                <w:highlight w:val="none"/>
              </w:rPr>
              <w:t>管理一般，具有专门的售后技术人员，人员配备一般，承诺响应时间、到场时间一般且方案一般</w:t>
            </w:r>
            <w:r>
              <w:rPr>
                <w:rFonts w:hint="eastAsia" w:ascii="仿宋" w:hAnsi="仿宋" w:eastAsia="仿宋" w:cs="仿宋"/>
                <w:b w:val="0"/>
                <w:bCs w:val="0"/>
                <w:color w:val="auto"/>
                <w:sz w:val="24"/>
                <w:szCs w:val="24"/>
                <w:highlight w:val="none"/>
                <w:lang w:eastAsia="zh-CN"/>
              </w:rPr>
              <w:t>的</w:t>
            </w:r>
            <w:r>
              <w:rPr>
                <w:rFonts w:hint="eastAsia" w:ascii="仿宋" w:hAnsi="仿宋" w:eastAsia="仿宋" w:cs="仿宋"/>
                <w:b w:val="0"/>
                <w:bCs w:val="0"/>
                <w:color w:val="auto"/>
                <w:sz w:val="24"/>
                <w:szCs w:val="24"/>
                <w:highlight w:val="none"/>
              </w:rPr>
              <w:t>得</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分；</w:t>
            </w:r>
          </w:p>
          <w:p w14:paraId="354547B4">
            <w:pPr>
              <w:spacing w:line="500" w:lineRule="exact"/>
              <w:jc w:val="lef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④</w:t>
            </w:r>
            <w:r>
              <w:rPr>
                <w:rFonts w:hint="eastAsia" w:ascii="仿宋" w:hAnsi="仿宋" w:eastAsia="仿宋" w:cs="仿宋"/>
                <w:b w:val="0"/>
                <w:bCs w:val="0"/>
                <w:color w:val="auto"/>
                <w:sz w:val="24"/>
                <w:szCs w:val="24"/>
                <w:highlight w:val="none"/>
              </w:rPr>
              <w:t>其他或未提供的不得分</w:t>
            </w:r>
            <w:r>
              <w:rPr>
                <w:rFonts w:hint="eastAsia" w:ascii="仿宋" w:hAnsi="仿宋" w:eastAsia="仿宋" w:cs="仿宋"/>
                <w:b w:val="0"/>
                <w:bCs w:val="0"/>
                <w:color w:val="auto"/>
                <w:sz w:val="24"/>
                <w:szCs w:val="24"/>
                <w:highlight w:val="none"/>
                <w:lang w:eastAsia="zh-CN"/>
              </w:rPr>
              <w:t>。</w:t>
            </w:r>
          </w:p>
          <w:p w14:paraId="577E2BA4">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rPr>
              <w:t>4.2项目培训方案（</w:t>
            </w: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rPr>
              <w:t>分）：</w:t>
            </w:r>
            <w:r>
              <w:rPr>
                <w:rFonts w:hint="eastAsia" w:ascii="仿宋" w:hAnsi="仿宋" w:eastAsia="仿宋" w:cs="仿宋"/>
                <w:b w:val="0"/>
                <w:bCs w:val="0"/>
                <w:color w:val="auto"/>
                <w:sz w:val="24"/>
                <w:szCs w:val="24"/>
                <w:highlight w:val="none"/>
              </w:rPr>
              <w:t>根据该项目提供符合采购方情况的培训服务方案及技术支持方案。根据其内容完善性、全面性、是否科学规范、可操作性、是否便于实施等具体内容进行综合评审。</w:t>
            </w:r>
          </w:p>
          <w:p w14:paraId="7DF65334">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要求：人员的操作培训和售后培训以及采购方所需的技术和学术支持。</w:t>
            </w:r>
          </w:p>
          <w:p w14:paraId="5805D319">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①</w:t>
            </w:r>
            <w:r>
              <w:rPr>
                <w:rFonts w:hint="eastAsia" w:ascii="仿宋" w:hAnsi="仿宋" w:eastAsia="仿宋" w:cs="仿宋"/>
                <w:b w:val="0"/>
                <w:bCs w:val="0"/>
                <w:color w:val="auto"/>
                <w:sz w:val="24"/>
                <w:szCs w:val="24"/>
                <w:highlight w:val="none"/>
              </w:rPr>
              <w:t>承诺完善、具体合理、服务时间长、服务费用合理、有明确的、具体可行的培训方案和措施，保证使用单位能熟练操作、维护和正常使用、具有技术和学术支持的能力并且有明确、合理、可行的支持方案的得</w:t>
            </w:r>
            <w:r>
              <w:rPr>
                <w:rFonts w:hint="eastAsia" w:ascii="仿宋" w:hAnsi="仿宋" w:eastAsia="仿宋" w:cs="仿宋"/>
                <w:b w:val="0"/>
                <w:bCs w:val="0"/>
                <w:color w:val="auto"/>
                <w:sz w:val="24"/>
                <w:szCs w:val="24"/>
                <w:highlight w:val="none"/>
                <w:lang w:val="en-US" w:eastAsia="zh-CN"/>
              </w:rPr>
              <w:t>5</w:t>
            </w:r>
            <w:r>
              <w:rPr>
                <w:rFonts w:hint="eastAsia" w:ascii="仿宋" w:hAnsi="仿宋" w:eastAsia="仿宋" w:cs="仿宋"/>
                <w:b w:val="0"/>
                <w:bCs w:val="0"/>
                <w:color w:val="auto"/>
                <w:sz w:val="24"/>
                <w:szCs w:val="24"/>
                <w:highlight w:val="none"/>
              </w:rPr>
              <w:t>分；</w:t>
            </w:r>
          </w:p>
          <w:p w14:paraId="47FECA57">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②</w:t>
            </w:r>
            <w:r>
              <w:rPr>
                <w:rFonts w:hint="eastAsia" w:ascii="仿宋" w:hAnsi="仿宋" w:eastAsia="仿宋" w:cs="仿宋"/>
                <w:b w:val="0"/>
                <w:bCs w:val="0"/>
                <w:color w:val="auto"/>
                <w:sz w:val="24"/>
                <w:szCs w:val="24"/>
                <w:highlight w:val="none"/>
              </w:rPr>
              <w:t>承诺较完善、比较具体合理、服务时间较长、服务费较合理、有较明确的、比较具体可行的培训方案和措施，使用单位能操作、维护和使用、具有较好的技术和学术支持能力并且有较明确、较合理、较可行的支持方案的得</w:t>
            </w:r>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b w:val="0"/>
                <w:bCs w:val="0"/>
                <w:color w:val="auto"/>
                <w:sz w:val="24"/>
                <w:szCs w:val="24"/>
                <w:highlight w:val="none"/>
              </w:rPr>
              <w:t>分；</w:t>
            </w:r>
          </w:p>
          <w:p w14:paraId="6D2E3CF8">
            <w:pPr>
              <w:spacing w:line="500" w:lineRule="exact"/>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③</w:t>
            </w:r>
            <w:r>
              <w:rPr>
                <w:rFonts w:hint="eastAsia" w:ascii="仿宋" w:hAnsi="仿宋" w:eastAsia="仿宋" w:cs="仿宋"/>
                <w:b w:val="0"/>
                <w:bCs w:val="0"/>
                <w:color w:val="auto"/>
                <w:sz w:val="24"/>
                <w:szCs w:val="24"/>
                <w:highlight w:val="none"/>
              </w:rPr>
              <w:t>承诺一般、一般合理、服务时间较短、服务费较高、有培训方案和措施，有支持方案的得</w:t>
            </w: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rPr>
              <w:t>分；</w:t>
            </w:r>
          </w:p>
          <w:p w14:paraId="3C831DFC">
            <w:pPr>
              <w:spacing w:line="500" w:lineRule="exact"/>
              <w:jc w:val="lef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④</w:t>
            </w:r>
            <w:r>
              <w:rPr>
                <w:rFonts w:hint="eastAsia" w:ascii="仿宋" w:hAnsi="仿宋" w:eastAsia="仿宋" w:cs="仿宋"/>
                <w:b w:val="0"/>
                <w:bCs w:val="0"/>
                <w:color w:val="auto"/>
                <w:sz w:val="24"/>
                <w:szCs w:val="24"/>
                <w:highlight w:val="none"/>
              </w:rPr>
              <w:t>其他或未提供的不得分</w:t>
            </w:r>
            <w:r>
              <w:rPr>
                <w:rFonts w:hint="eastAsia" w:ascii="仿宋" w:hAnsi="仿宋" w:eastAsia="仿宋" w:cs="仿宋"/>
                <w:b w:val="0"/>
                <w:bCs w:val="0"/>
                <w:color w:val="auto"/>
                <w:sz w:val="24"/>
                <w:szCs w:val="24"/>
                <w:highlight w:val="none"/>
                <w:lang w:eastAsia="zh-CN"/>
              </w:rPr>
              <w:t>。</w:t>
            </w:r>
          </w:p>
          <w:p w14:paraId="569B4431">
            <w:pPr>
              <w:spacing w:line="500" w:lineRule="exact"/>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（五）</w:t>
            </w:r>
            <w:r>
              <w:rPr>
                <w:rFonts w:hint="eastAsia" w:ascii="仿宋" w:hAnsi="仿宋" w:eastAsia="仿宋" w:cs="仿宋"/>
                <w:b/>
                <w:bCs/>
                <w:color w:val="auto"/>
                <w:sz w:val="24"/>
                <w:szCs w:val="24"/>
                <w:highlight w:val="none"/>
                <w:lang w:val="en-US" w:eastAsia="zh-CN"/>
              </w:rPr>
              <w:t>投标产品业绩</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分）</w:t>
            </w:r>
          </w:p>
          <w:p w14:paraId="70434BF9">
            <w:pPr>
              <w:spacing w:line="500" w:lineRule="exact"/>
              <w:jc w:val="left"/>
              <w:rPr>
                <w:rFonts w:hint="eastAsia" w:ascii="仿宋" w:hAnsi="仿宋" w:eastAsia="仿宋" w:cs="仿宋"/>
                <w:color w:val="auto"/>
                <w:sz w:val="24"/>
                <w:highlight w:val="none"/>
              </w:rPr>
            </w:pPr>
            <w:r>
              <w:rPr>
                <w:rFonts w:hint="eastAsia" w:ascii="仿宋" w:hAnsi="仿宋" w:eastAsia="仿宋" w:cs="仿宋"/>
                <w:b w:val="0"/>
                <w:bCs w:val="0"/>
                <w:color w:val="auto"/>
                <w:sz w:val="24"/>
                <w:szCs w:val="24"/>
                <w:highlight w:val="none"/>
              </w:rPr>
              <w:t>提供</w:t>
            </w:r>
            <w:r>
              <w:rPr>
                <w:rFonts w:hint="eastAsia" w:ascii="仿宋" w:hAnsi="仿宋" w:eastAsia="仿宋" w:cs="仿宋"/>
                <w:b w:val="0"/>
                <w:bCs w:val="0"/>
                <w:color w:val="auto"/>
                <w:sz w:val="24"/>
                <w:szCs w:val="24"/>
                <w:highlight w:val="none"/>
                <w:lang w:val="en-US" w:eastAsia="zh-CN"/>
              </w:rPr>
              <w:t>投标人</w:t>
            </w:r>
            <w:r>
              <w:rPr>
                <w:rFonts w:hint="eastAsia" w:ascii="仿宋" w:hAnsi="仿宋" w:eastAsia="仿宋" w:cs="仿宋"/>
                <w:b w:val="0"/>
                <w:bCs w:val="0"/>
                <w:color w:val="auto"/>
                <w:sz w:val="24"/>
                <w:szCs w:val="24"/>
                <w:highlight w:val="none"/>
              </w:rPr>
              <w:t>近三年（</w:t>
            </w:r>
            <w:r>
              <w:rPr>
                <w:rFonts w:hint="eastAsia" w:ascii="仿宋" w:hAnsi="仿宋" w:eastAsia="仿宋" w:cs="仿宋"/>
                <w:b w:val="0"/>
                <w:bCs w:val="0"/>
                <w:color w:val="auto"/>
                <w:sz w:val="24"/>
                <w:szCs w:val="24"/>
                <w:highlight w:val="none"/>
                <w:lang w:eastAsia="zh-CN"/>
              </w:rPr>
              <w:t>2023年</w:t>
            </w:r>
            <w:r>
              <w:rPr>
                <w:rFonts w:hint="eastAsia" w:ascii="仿宋" w:hAnsi="仿宋" w:eastAsia="仿宋" w:cs="仿宋"/>
                <w:b w:val="0"/>
                <w:bCs w:val="0"/>
                <w:color w:val="auto"/>
                <w:sz w:val="24"/>
                <w:szCs w:val="24"/>
                <w:highlight w:val="none"/>
                <w:lang w:val="en-US" w:eastAsia="zh-CN"/>
              </w:rPr>
              <w:t>8</w:t>
            </w:r>
            <w:r>
              <w:rPr>
                <w:rFonts w:hint="eastAsia" w:ascii="仿宋" w:hAnsi="仿宋" w:eastAsia="仿宋" w:cs="仿宋"/>
                <w:b w:val="0"/>
                <w:bCs w:val="0"/>
                <w:color w:val="auto"/>
                <w:sz w:val="24"/>
                <w:szCs w:val="24"/>
                <w:highlight w:val="none"/>
                <w:lang w:eastAsia="zh-CN"/>
              </w:rPr>
              <w:t>月1日以来</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与</w:t>
            </w:r>
            <w:r>
              <w:rPr>
                <w:rFonts w:hint="eastAsia" w:ascii="仿宋" w:hAnsi="仿宋" w:eastAsia="仿宋" w:cs="仿宋"/>
                <w:b w:val="0"/>
                <w:bCs w:val="0"/>
                <w:color w:val="auto"/>
                <w:sz w:val="24"/>
                <w:szCs w:val="24"/>
                <w:highlight w:val="none"/>
              </w:rPr>
              <w:t>投标产品</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核心产品</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类似项目的销售业绩</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rPr>
              <w:t>需提供合同复印件</w:t>
            </w:r>
            <w:r>
              <w:rPr>
                <w:rFonts w:hint="eastAsia" w:ascii="仿宋" w:hAnsi="仿宋" w:eastAsia="仿宋" w:cs="仿宋"/>
                <w:b w:val="0"/>
                <w:bCs w:val="0"/>
                <w:color w:val="auto"/>
                <w:sz w:val="24"/>
                <w:szCs w:val="24"/>
                <w:highlight w:val="none"/>
                <w:lang w:val="en-US" w:eastAsia="zh-CN"/>
              </w:rPr>
              <w:t>并加盖投标人公章</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合同应</w:t>
            </w:r>
            <w:r>
              <w:rPr>
                <w:rFonts w:hint="eastAsia" w:ascii="仿宋" w:hAnsi="仿宋" w:eastAsia="仿宋" w:cs="仿宋"/>
                <w:b w:val="0"/>
                <w:bCs w:val="0"/>
                <w:color w:val="auto"/>
                <w:sz w:val="24"/>
                <w:szCs w:val="24"/>
                <w:highlight w:val="none"/>
              </w:rPr>
              <w:t>包含清晰的双方印章、项目名称、合同主要内容、签订时间等</w:t>
            </w:r>
            <w:r>
              <w:rPr>
                <w:rFonts w:hint="eastAsia" w:ascii="仿宋" w:hAnsi="仿宋" w:eastAsia="仿宋" w:cs="仿宋"/>
                <w:b w:val="0"/>
                <w:bCs w:val="0"/>
                <w:color w:val="auto"/>
                <w:sz w:val="24"/>
                <w:szCs w:val="24"/>
                <w:highlight w:val="none"/>
                <w:lang w:val="en-US" w:eastAsia="zh-CN"/>
              </w:rPr>
              <w:t>信息</w:t>
            </w:r>
            <w:r>
              <w:rPr>
                <w:rFonts w:hint="eastAsia" w:ascii="仿宋" w:hAnsi="仿宋" w:eastAsia="仿宋" w:cs="仿宋"/>
                <w:b w:val="0"/>
                <w:bCs w:val="0"/>
                <w:color w:val="auto"/>
                <w:sz w:val="24"/>
                <w:szCs w:val="24"/>
                <w:highlight w:val="none"/>
              </w:rPr>
              <w:t>，缺少以上任何一项视同合同无效。每提供1份合同得1分，最多得</w:t>
            </w:r>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b w:val="0"/>
                <w:bCs w:val="0"/>
                <w:color w:val="auto"/>
                <w:sz w:val="24"/>
                <w:szCs w:val="24"/>
                <w:highlight w:val="none"/>
              </w:rPr>
              <w:t>分。</w:t>
            </w:r>
          </w:p>
        </w:tc>
      </w:tr>
    </w:tbl>
    <w:p w14:paraId="6E7C5F3B">
      <w:pPr>
        <w:rPr>
          <w:rFonts w:hint="eastAsia" w:ascii="宋体" w:hAnsi="宋体" w:cs="宋体"/>
          <w:color w:val="auto"/>
          <w:sz w:val="20"/>
          <w:highlight w:val="none"/>
        </w:rPr>
      </w:pPr>
    </w:p>
    <w:p w14:paraId="45771B12">
      <w:pPr>
        <w:rPr>
          <w:rFonts w:hint="eastAsia" w:ascii="宋体" w:hAnsi="宋体" w:cs="宋体"/>
          <w:color w:val="auto"/>
          <w:sz w:val="24"/>
          <w:highlight w:val="none"/>
        </w:rPr>
      </w:pPr>
      <w:r>
        <w:rPr>
          <w:rFonts w:hint="eastAsia" w:ascii="宋体" w:hAnsi="宋体" w:cs="宋体"/>
          <w:color w:val="auto"/>
          <w:sz w:val="20"/>
          <w:highlight w:val="none"/>
        </w:rPr>
        <w:t xml:space="preserve"> </w:t>
      </w:r>
      <w:r>
        <w:rPr>
          <w:rFonts w:hint="eastAsia" w:ascii="宋体" w:hAnsi="宋体" w:cs="宋体"/>
          <w:color w:val="auto"/>
          <w:sz w:val="24"/>
          <w:highlight w:val="none"/>
        </w:rPr>
        <w:t>2、详细评审。评标委员会按照招标文件规定的评分标准，对各投标文件进行详细评审打分。评标委员会组长对各评审专家的打分情况进行复核无误后汇总，形成评审报告。</w:t>
      </w:r>
    </w:p>
    <w:p w14:paraId="76A74FB8">
      <w:pPr>
        <w:snapToGrid w:val="0"/>
        <w:spacing w:line="360" w:lineRule="auto"/>
        <w:ind w:right="-10" w:firstLine="480" w:firstLineChars="200"/>
        <w:rPr>
          <w:rFonts w:hint="eastAsia" w:ascii="宋体" w:hAnsi="宋体"/>
          <w:color w:val="auto"/>
          <w:sz w:val="24"/>
          <w:szCs w:val="24"/>
          <w:highlight w:val="none"/>
        </w:rPr>
      </w:pPr>
      <w:bookmarkStart w:id="128" w:name="_Toc514054481"/>
    </w:p>
    <w:p w14:paraId="3D77B043">
      <w:pP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说明：</w:t>
      </w:r>
    </w:p>
    <w:p w14:paraId="33B1C904">
      <w:pP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（1）小微企业的价格扣除</w:t>
      </w:r>
    </w:p>
    <w:p w14:paraId="46796DA7">
      <w:pP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（1.1）对于未预留份额专门面向中小企业采购的采购项目或预留份额项目中的非预留部分采购包，给予小微企业报价</w:t>
      </w:r>
      <w:r>
        <w:rPr>
          <w:rFonts w:hint="eastAsia" w:ascii="宋体" w:hAnsi="宋体" w:eastAsia="宋体"/>
          <w:color w:val="auto"/>
          <w:sz w:val="24"/>
          <w:szCs w:val="24"/>
          <w:highlight w:val="none"/>
        </w:rPr>
        <w:t>1</w:t>
      </w:r>
      <w:r>
        <w:rPr>
          <w:rFonts w:hint="eastAsia" w:ascii="宋体" w:hAnsi="宋体"/>
          <w:color w:val="auto"/>
          <w:sz w:val="24"/>
          <w:szCs w:val="24"/>
          <w:highlight w:val="none"/>
        </w:rPr>
        <w:t>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eastAsia="宋体"/>
          <w:color w:val="auto"/>
          <w:sz w:val="24"/>
          <w:szCs w:val="24"/>
          <w:highlight w:val="none"/>
        </w:rPr>
        <w:t>1</w:t>
      </w:r>
      <w:r>
        <w:rPr>
          <w:rFonts w:hint="eastAsia" w:ascii="宋体" w:hAnsi="宋体"/>
          <w:color w:val="auto"/>
          <w:sz w:val="24"/>
          <w:szCs w:val="24"/>
          <w:highlight w:val="none"/>
        </w:rPr>
        <w:t>0%的价格扣除。</w:t>
      </w:r>
    </w:p>
    <w:p w14:paraId="3B707948">
      <w:pP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（1.2）价格扣除比例或者价格分加分比例对小型企业和微型企业同等对待，不作区分。</w:t>
      </w:r>
    </w:p>
    <w:p w14:paraId="64E9A249">
      <w:pP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（2）监狱和戒毒企业的价格扣除</w:t>
      </w:r>
    </w:p>
    <w:p w14:paraId="7203B045">
      <w:pP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（2.1）本项目对监狱和戒毒企业（简称监狱企业），给予</w:t>
      </w:r>
      <w:r>
        <w:rPr>
          <w:rFonts w:hint="eastAsia" w:ascii="宋体" w:hAnsi="宋体" w:eastAsia="宋体"/>
          <w:color w:val="auto"/>
          <w:sz w:val="24"/>
          <w:szCs w:val="24"/>
          <w:highlight w:val="none"/>
        </w:rPr>
        <w:t>1</w:t>
      </w:r>
      <w:r>
        <w:rPr>
          <w:rFonts w:hint="eastAsia" w:ascii="宋体" w:hAnsi="宋体"/>
          <w:color w:val="auto"/>
          <w:sz w:val="24"/>
          <w:szCs w:val="24"/>
          <w:highlight w:val="none"/>
        </w:rPr>
        <w:t>0%的价格扣除，用扣除后的价格参与评审。</w:t>
      </w:r>
    </w:p>
    <w:p w14:paraId="128E3A89">
      <w:pP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（2.2）监狱企业需提供由省级以上监狱管理局、戒毒管理局（含新疆生产建设兵团）出具的属于监狱企业的证明文件。</w:t>
      </w:r>
    </w:p>
    <w:p w14:paraId="756849CC">
      <w:pP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（2.3）监狱企业标准请参照《关于政府采购支持监狱企业发展有关问题的通知》（财库[2014]68号）。</w:t>
      </w:r>
    </w:p>
    <w:p w14:paraId="3CE40182">
      <w:pP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（3）残疾人福利性单位的价格扣除</w:t>
      </w:r>
    </w:p>
    <w:p w14:paraId="121AAF5F">
      <w:pP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（3.1）本项目对残疾人福利性单位，给予</w:t>
      </w:r>
      <w:r>
        <w:rPr>
          <w:rFonts w:hint="eastAsia" w:ascii="宋体" w:hAnsi="宋体" w:eastAsia="宋体"/>
          <w:color w:val="auto"/>
          <w:sz w:val="24"/>
          <w:szCs w:val="24"/>
          <w:highlight w:val="none"/>
        </w:rPr>
        <w:t>1</w:t>
      </w:r>
      <w:r>
        <w:rPr>
          <w:rFonts w:hint="eastAsia" w:ascii="宋体" w:hAnsi="宋体"/>
          <w:color w:val="auto"/>
          <w:sz w:val="24"/>
          <w:szCs w:val="24"/>
          <w:highlight w:val="none"/>
        </w:rPr>
        <w:t>0%的价格扣除，用扣除后的价格参与评审。</w:t>
      </w:r>
    </w:p>
    <w:p w14:paraId="24C68C81">
      <w:pP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（3.2）残疾人福利单位需按照招标文件的要求提供《残疾人福利性单位声明函》。</w:t>
      </w:r>
    </w:p>
    <w:p w14:paraId="70090528">
      <w:pP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（3.3）残疾人福利单位标准请参照《关于促进残疾人就业政府采购政策的通知》（财库〔2017〕141号）。</w:t>
      </w:r>
    </w:p>
    <w:p w14:paraId="2517B6A2">
      <w:pPr>
        <w:snapToGrid w:val="0"/>
        <w:spacing w:line="360" w:lineRule="auto"/>
        <w:ind w:right="-10"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（4）监狱企业、残疾人福利单位属于小型、微型企业的，不重复享受政策。</w:t>
      </w:r>
    </w:p>
    <w:p w14:paraId="72AA623D">
      <w:pPr>
        <w:spacing w:line="360" w:lineRule="auto"/>
        <w:ind w:firstLine="420"/>
        <w:rPr>
          <w:rFonts w:ascii="宋体" w:hAnsi="宋体" w:cs="宋体"/>
          <w:color w:val="auto"/>
          <w:sz w:val="24"/>
          <w:szCs w:val="24"/>
          <w:highlight w:val="none"/>
        </w:rPr>
      </w:pP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5）</w:t>
      </w:r>
      <w:r>
        <w:rPr>
          <w:rFonts w:ascii="宋体" w:hAnsi="宋体" w:cs="宋体"/>
          <w:color w:val="auto"/>
          <w:sz w:val="24"/>
          <w:szCs w:val="24"/>
          <w:highlight w:val="none"/>
        </w:rPr>
        <w:t>节能环保产品价格扣除</w:t>
      </w:r>
    </w:p>
    <w:p w14:paraId="587F3F64">
      <w:pPr>
        <w:spacing w:line="360" w:lineRule="auto"/>
        <w:ind w:firstLine="420"/>
        <w:rPr>
          <w:rFonts w:ascii="宋体" w:hAnsi="宋体" w:cs="宋体"/>
          <w:color w:val="auto"/>
          <w:sz w:val="24"/>
          <w:szCs w:val="24"/>
          <w:highlight w:val="none"/>
        </w:rPr>
      </w:pPr>
      <w:r>
        <w:rPr>
          <w:rFonts w:ascii="宋体" w:hAnsi="宋体" w:cs="宋体"/>
          <w:color w:val="auto"/>
          <w:sz w:val="24"/>
          <w:szCs w:val="24"/>
          <w:highlight w:val="none"/>
        </w:rPr>
        <w:t>（1）对投标产品属于《节能产品政府采购清单》或《环境标志产品政府采购清单》的，在评审时给予5%的价格扣除，用扣除后的价格参与评审。若同一产品同时符合节能和环保要求，不重复扣除。</w:t>
      </w:r>
    </w:p>
    <w:p w14:paraId="7177DE68">
      <w:pPr>
        <w:spacing w:line="360" w:lineRule="auto"/>
        <w:ind w:firstLine="420"/>
        <w:rPr>
          <w:rFonts w:ascii="宋体" w:hAnsi="宋体" w:cs="宋体"/>
          <w:color w:val="auto"/>
          <w:sz w:val="24"/>
          <w:szCs w:val="24"/>
          <w:highlight w:val="none"/>
        </w:rPr>
      </w:pPr>
      <w:r>
        <w:rPr>
          <w:rFonts w:ascii="宋体" w:hAnsi="宋体" w:cs="宋体"/>
          <w:color w:val="auto"/>
          <w:sz w:val="24"/>
          <w:szCs w:val="24"/>
          <w:highlight w:val="none"/>
        </w:rPr>
        <w:t>（2）投标人须提供：</w:t>
      </w:r>
    </w:p>
    <w:p w14:paraId="09851B73">
      <w:pPr>
        <w:spacing w:line="360" w:lineRule="auto"/>
        <w:ind w:firstLine="420"/>
        <w:rPr>
          <w:rFonts w:ascii="宋体" w:hAnsi="宋体" w:cs="宋体"/>
          <w:color w:val="auto"/>
          <w:sz w:val="24"/>
          <w:szCs w:val="24"/>
          <w:highlight w:val="none"/>
        </w:rPr>
      </w:pPr>
      <w:r>
        <w:rPr>
          <w:rFonts w:ascii="宋体" w:hAnsi="宋体" w:cs="宋体"/>
          <w:color w:val="auto"/>
          <w:sz w:val="24"/>
          <w:szCs w:val="24"/>
          <w:highlight w:val="none"/>
        </w:rPr>
        <w:t>① 国家认可的节能/环境标志产品认证证书；</w:t>
      </w:r>
    </w:p>
    <w:p w14:paraId="08144A85">
      <w:pPr>
        <w:spacing w:line="360" w:lineRule="auto"/>
        <w:ind w:firstLine="420"/>
        <w:rPr>
          <w:rFonts w:hint="eastAsia" w:ascii="宋体" w:hAnsi="宋体" w:cs="宋体"/>
          <w:color w:val="auto"/>
          <w:sz w:val="24"/>
          <w:szCs w:val="24"/>
          <w:highlight w:val="none"/>
        </w:rPr>
      </w:pPr>
      <w:r>
        <w:rPr>
          <w:rFonts w:ascii="宋体" w:hAnsi="宋体" w:cs="宋体"/>
          <w:color w:val="auto"/>
          <w:sz w:val="24"/>
          <w:szCs w:val="24"/>
          <w:highlight w:val="none"/>
        </w:rPr>
        <w:t>② 产品在最新政府采购清单中的截图或官方查询结果。</w:t>
      </w:r>
    </w:p>
    <w:p w14:paraId="5AE097F3">
      <w:pPr>
        <w:spacing w:line="360" w:lineRule="auto"/>
        <w:ind w:firstLine="42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lang w:eastAsia="zh-CN"/>
        </w:rPr>
        <w:t>采购本国产品的支持政策</w:t>
      </w:r>
    </w:p>
    <w:p w14:paraId="3E5B83DD">
      <w:pPr>
        <w:snapToGrid w:val="0"/>
        <w:spacing w:line="360" w:lineRule="auto"/>
        <w:ind w:right="-10" w:firstLine="480" w:firstLineChars="200"/>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6</w:t>
      </w:r>
      <w:r>
        <w:rPr>
          <w:rFonts w:hint="eastAsia" w:ascii="宋体" w:hAnsi="宋体"/>
          <w:color w:val="auto"/>
          <w:sz w:val="24"/>
          <w:szCs w:val="24"/>
          <w:highlight w:val="none"/>
        </w:rPr>
        <w:t>.1 本项目政府采购活动中既有本国产品又有非本国产品参与竞争的，依法对本国产品给予价格评审优惠，对本国产品的报价给予20%的价格扣除，用扣除后的价格参与评审。</w:t>
      </w:r>
    </w:p>
    <w:p w14:paraId="6C1F96EB">
      <w:pPr>
        <w:snapToGrid w:val="0"/>
        <w:spacing w:line="360" w:lineRule="auto"/>
        <w:ind w:right="-10" w:firstLine="480" w:firstLineChars="200"/>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6</w:t>
      </w:r>
      <w:r>
        <w:rPr>
          <w:rFonts w:hint="eastAsia" w:ascii="宋体" w:hAnsi="宋体"/>
          <w:color w:val="auto"/>
          <w:sz w:val="24"/>
          <w:szCs w:val="24"/>
          <w:highlight w:val="none"/>
        </w:rPr>
        <w:t>.2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BF763A4">
      <w:pPr>
        <w:snapToGrid w:val="0"/>
        <w:spacing w:line="360" w:lineRule="auto"/>
        <w:ind w:right="-10" w:firstLine="480" w:firstLineChars="200"/>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6</w:t>
      </w:r>
      <w:r>
        <w:rPr>
          <w:rFonts w:hint="eastAsia" w:ascii="宋体" w:hAnsi="宋体"/>
          <w:color w:val="auto"/>
          <w:sz w:val="24"/>
          <w:szCs w:val="24"/>
          <w:highlight w:val="none"/>
        </w:rPr>
        <w:t>.3 供应商需按照招标文件的要求提供《关于符合本国产品标准的声明函》（以下简称《声明函》），如不提供将不享受本国产品价格评审优惠。</w:t>
      </w:r>
    </w:p>
    <w:p w14:paraId="2A8582AD">
      <w:pPr>
        <w:snapToGrid w:val="0"/>
        <w:spacing w:line="360" w:lineRule="auto"/>
        <w:ind w:right="-10" w:firstLine="480" w:firstLineChars="200"/>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6</w:t>
      </w:r>
      <w:r>
        <w:rPr>
          <w:rFonts w:hint="eastAsia" w:ascii="宋体" w:hAnsi="宋体"/>
          <w:color w:val="auto"/>
          <w:sz w:val="24"/>
          <w:szCs w:val="24"/>
          <w:highlight w:val="none"/>
        </w:rPr>
        <w:t>.4 供应商需在《声明函》中逐一、准确填写产品名称、厂名、生产厂址三项信息（《声明函》中用</w:t>
      </w:r>
      <w:r>
        <w:rPr>
          <w:rFonts w:hint="eastAsia" w:ascii="宋体" w:hAnsi="宋体"/>
          <w:color w:val="auto"/>
          <w:sz w:val="24"/>
          <w:szCs w:val="24"/>
          <w:highlight w:val="none"/>
          <w:lang w:val="en-US" w:eastAsia="zh-CN"/>
        </w:rPr>
        <w:t>横线</w:t>
      </w:r>
      <w:r>
        <w:rPr>
          <w:rFonts w:hint="eastAsia" w:ascii="宋体" w:hAnsi="宋体"/>
          <w:strike/>
          <w:dstrike w:val="0"/>
          <w:color w:val="auto"/>
          <w:sz w:val="24"/>
          <w:szCs w:val="24"/>
          <w:highlight w:val="none"/>
          <w:lang w:val="en-US" w:eastAsia="zh-CN"/>
        </w:rPr>
        <w:t xml:space="preserve">     </w:t>
      </w:r>
      <w:r>
        <w:rPr>
          <w:rFonts w:hint="eastAsia" w:ascii="宋体" w:hAnsi="宋体"/>
          <w:color w:val="auto"/>
          <w:sz w:val="24"/>
          <w:szCs w:val="24"/>
          <w:highlight w:val="none"/>
        </w:rPr>
        <w:t>划除的地方无需填写），三项信息中任意一项未填写的视为该项产品不符合本国产品标准，不享受本国产品价格评审优惠。</w:t>
      </w:r>
    </w:p>
    <w:p w14:paraId="196D965A">
      <w:pPr>
        <w:snapToGrid w:val="0"/>
        <w:spacing w:line="360" w:lineRule="auto"/>
        <w:ind w:right="-10" w:firstLine="480" w:firstLineChars="200"/>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6</w:t>
      </w:r>
      <w:r>
        <w:rPr>
          <w:rFonts w:hint="eastAsia" w:ascii="宋体" w:hAnsi="宋体"/>
          <w:color w:val="auto"/>
          <w:sz w:val="24"/>
          <w:szCs w:val="24"/>
          <w:highlight w:val="none"/>
        </w:rPr>
        <w:t>.5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9C63C4C">
      <w:pPr>
        <w:snapToGrid w:val="0"/>
        <w:spacing w:line="360" w:lineRule="auto"/>
        <w:ind w:left="719" w:leftChars="228" w:right="-10" w:hanging="240" w:hangingChars="100"/>
        <w:rPr>
          <w:rFonts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eastAsia="宋体"/>
          <w:color w:val="auto"/>
          <w:sz w:val="24"/>
          <w:szCs w:val="24"/>
          <w:highlight w:val="none"/>
          <w:lang w:val="en-US" w:eastAsia="zh-CN"/>
        </w:rPr>
        <w:t>7</w:t>
      </w:r>
      <w:r>
        <w:rPr>
          <w:rFonts w:hint="eastAsia" w:ascii="宋体" w:hAnsi="宋体"/>
          <w:color w:val="auto"/>
          <w:sz w:val="24"/>
          <w:szCs w:val="24"/>
          <w:highlight w:val="none"/>
        </w:rPr>
        <w:t>）</w:t>
      </w:r>
      <w:r>
        <w:rPr>
          <w:rFonts w:hint="eastAsia" w:ascii="宋体" w:hAnsi="宋体"/>
          <w:b/>
          <w:bCs/>
          <w:color w:val="auto"/>
          <w:sz w:val="24"/>
          <w:szCs w:val="24"/>
          <w:highlight w:val="none"/>
        </w:rPr>
        <w:t>所有认证、证明和业绩均以复印件加盖公章作为依据（文件中明确要求原件的除外），原件标后备查</w:t>
      </w:r>
      <w:r>
        <w:rPr>
          <w:rFonts w:hint="eastAsia" w:ascii="宋体" w:hAnsi="宋体"/>
          <w:color w:val="auto"/>
          <w:sz w:val="24"/>
          <w:szCs w:val="24"/>
          <w:highlight w:val="none"/>
        </w:rPr>
        <w:t>。</w:t>
      </w:r>
    </w:p>
    <w:p w14:paraId="6503E21C">
      <w:pPr>
        <w:snapToGrid w:val="0"/>
        <w:spacing w:line="360" w:lineRule="auto"/>
        <w:ind w:right="-10" w:firstLine="482" w:firstLineChars="200"/>
        <w:rPr>
          <w:rFonts w:ascii="宋体" w:hAnsi="宋体"/>
          <w:b/>
          <w:color w:val="auto"/>
          <w:sz w:val="24"/>
          <w:szCs w:val="24"/>
          <w:highlight w:val="none"/>
        </w:rPr>
      </w:pPr>
      <w:r>
        <w:rPr>
          <w:rFonts w:hint="eastAsia" w:ascii="宋体" w:hAnsi="宋体" w:eastAsia="宋体"/>
          <w:b/>
          <w:color w:val="auto"/>
          <w:sz w:val="24"/>
          <w:szCs w:val="24"/>
          <w:highlight w:val="none"/>
          <w:lang w:val="en-US" w:eastAsia="zh-CN"/>
        </w:rPr>
        <w:t>3</w:t>
      </w:r>
      <w:r>
        <w:rPr>
          <w:rFonts w:hint="eastAsia" w:ascii="宋体" w:hAnsi="宋体"/>
          <w:b/>
          <w:color w:val="auto"/>
          <w:sz w:val="24"/>
          <w:szCs w:val="24"/>
          <w:highlight w:val="none"/>
        </w:rPr>
        <w:t>、评标结果。</w:t>
      </w:r>
      <w:r>
        <w:rPr>
          <w:rFonts w:hint="eastAsia" w:ascii="宋体" w:hAnsi="宋体"/>
          <w:color w:val="auto"/>
          <w:sz w:val="24"/>
          <w:szCs w:val="24"/>
          <w:highlight w:val="none"/>
        </w:rPr>
        <w:t>评标委员会按照本办法规定推荐中标候选人，并形成评标报告。</w:t>
      </w:r>
    </w:p>
    <w:p w14:paraId="144CBEB3">
      <w:pPr>
        <w:rPr>
          <w:rStyle w:val="80"/>
          <w:rFonts w:hint="eastAsia"/>
          <w:b w:val="0"/>
          <w:bCs w:val="0"/>
          <w:color w:val="auto"/>
          <w:highlight w:val="none"/>
        </w:rPr>
      </w:pPr>
      <w:bookmarkStart w:id="129" w:name="_Toc23169"/>
      <w:r>
        <w:rPr>
          <w:rStyle w:val="80"/>
          <w:rFonts w:hint="eastAsia"/>
          <w:b w:val="0"/>
          <w:bCs w:val="0"/>
          <w:color w:val="auto"/>
          <w:highlight w:val="none"/>
        </w:rPr>
        <w:br w:type="page"/>
      </w:r>
    </w:p>
    <w:p w14:paraId="32E8C746">
      <w:pPr>
        <w:numPr>
          <w:ilvl w:val="0"/>
          <w:numId w:val="8"/>
        </w:numPr>
        <w:ind w:left="3270" w:leftChars="0" w:firstLine="0" w:firstLineChars="0"/>
        <w:jc w:val="both"/>
        <w:outlineLvl w:val="0"/>
        <w:rPr>
          <w:rStyle w:val="80"/>
          <w:rFonts w:hint="eastAsia"/>
          <w:b w:val="0"/>
          <w:bCs w:val="0"/>
          <w:color w:val="auto"/>
          <w:highlight w:val="none"/>
        </w:rPr>
      </w:pPr>
      <w:bookmarkStart w:id="130" w:name="_Toc9427"/>
      <w:r>
        <w:rPr>
          <w:rStyle w:val="80"/>
          <w:rFonts w:hint="eastAsia"/>
          <w:b w:val="0"/>
          <w:bCs w:val="0"/>
          <w:color w:val="auto"/>
          <w:highlight w:val="none"/>
        </w:rPr>
        <w:t>采购需求</w:t>
      </w:r>
      <w:bookmarkEnd w:id="128"/>
      <w:bookmarkEnd w:id="129"/>
      <w:bookmarkEnd w:id="130"/>
      <w:bookmarkStart w:id="131" w:name="_Toc514054482"/>
    </w:p>
    <w:p w14:paraId="76790218">
      <w:pPr>
        <w:keepNext/>
        <w:keepLines/>
        <w:spacing w:before="260" w:after="260" w:line="416" w:lineRule="auto"/>
        <w:jc w:val="left"/>
        <w:outlineLvl w:val="1"/>
        <w:rPr>
          <w:rFonts w:hint="eastAsia" w:ascii="宋体" w:hAnsi="宋体"/>
          <w:b/>
          <w:bCs/>
          <w:color w:val="auto"/>
          <w:kern w:val="2"/>
          <w:sz w:val="32"/>
          <w:szCs w:val="32"/>
          <w:highlight w:val="none"/>
          <w14:ligatures w14:val="standardContextual"/>
        </w:rPr>
      </w:pPr>
      <w:bookmarkStart w:id="132" w:name="_Toc32119"/>
      <w:bookmarkStart w:id="133" w:name="_Toc311"/>
      <w:r>
        <w:rPr>
          <w:rFonts w:hint="eastAsia" w:ascii="宋体" w:hAnsi="宋体"/>
          <w:b/>
          <w:bCs/>
          <w:color w:val="auto"/>
          <w:kern w:val="2"/>
          <w:sz w:val="32"/>
          <w:szCs w:val="32"/>
          <w:highlight w:val="none"/>
          <w14:ligatures w14:val="standardContextual"/>
        </w:rPr>
        <w:t>一、需求一览表</w:t>
      </w:r>
    </w:p>
    <w:tbl>
      <w:tblPr>
        <w:tblStyle w:val="34"/>
        <w:tblW w:w="102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
        <w:gridCol w:w="4062"/>
        <w:gridCol w:w="1058"/>
        <w:gridCol w:w="1304"/>
        <w:gridCol w:w="3038"/>
      </w:tblGrid>
      <w:tr w14:paraId="28A9E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807" w:type="dxa"/>
            <w:vAlign w:val="center"/>
          </w:tcPr>
          <w:p w14:paraId="4C1C9AFD">
            <w:pPr>
              <w:rPr>
                <w:rFonts w:hint="default" w:ascii="宋体" w:hAnsi="宋体" w:eastAsia="宋体"/>
                <w:color w:val="auto"/>
                <w:kern w:val="2"/>
                <w:sz w:val="24"/>
                <w:szCs w:val="24"/>
                <w:highlight w:val="none"/>
                <w:lang w:val="en-US" w:eastAsia="zh-CN"/>
              </w:rPr>
            </w:pPr>
            <w:r>
              <w:rPr>
                <w:rFonts w:hint="eastAsia" w:ascii="宋体" w:hAnsi="宋体"/>
                <w:color w:val="auto"/>
                <w:kern w:val="2"/>
                <w:sz w:val="24"/>
                <w:szCs w:val="24"/>
                <w:highlight w:val="none"/>
                <w:lang w:val="en-US" w:eastAsia="zh-CN"/>
              </w:rPr>
              <w:t>序号</w:t>
            </w:r>
          </w:p>
        </w:tc>
        <w:tc>
          <w:tcPr>
            <w:tcW w:w="4062" w:type="dxa"/>
            <w:vAlign w:val="center"/>
          </w:tcPr>
          <w:p w14:paraId="0C2798AF">
            <w:pPr>
              <w:jc w:val="center"/>
              <w:rPr>
                <w:rFonts w:hint="eastAsia" w:ascii="宋体" w:hAnsi="宋体"/>
                <w:color w:val="auto"/>
                <w:kern w:val="2"/>
                <w:sz w:val="24"/>
                <w:szCs w:val="24"/>
                <w:highlight w:val="none"/>
              </w:rPr>
            </w:pPr>
            <w:r>
              <w:rPr>
                <w:rFonts w:hint="eastAsia" w:ascii="宋体" w:hAnsi="宋体"/>
                <w:color w:val="auto"/>
                <w:kern w:val="2"/>
                <w:sz w:val="24"/>
                <w:szCs w:val="24"/>
                <w:highlight w:val="none"/>
              </w:rPr>
              <w:t>货</w:t>
            </w:r>
            <w:r>
              <w:rPr>
                <w:rFonts w:ascii="宋体" w:hAnsi="宋体"/>
                <w:color w:val="auto"/>
                <w:kern w:val="2"/>
                <w:sz w:val="24"/>
                <w:szCs w:val="24"/>
                <w:highlight w:val="none"/>
              </w:rPr>
              <w:t xml:space="preserve"> </w:t>
            </w:r>
            <w:r>
              <w:rPr>
                <w:rFonts w:hint="eastAsia" w:ascii="宋体" w:hAnsi="宋体"/>
                <w:color w:val="auto"/>
                <w:kern w:val="2"/>
                <w:sz w:val="24"/>
                <w:szCs w:val="24"/>
                <w:highlight w:val="none"/>
              </w:rPr>
              <w:t>物</w:t>
            </w:r>
            <w:r>
              <w:rPr>
                <w:rFonts w:ascii="宋体" w:hAnsi="宋体"/>
                <w:color w:val="auto"/>
                <w:kern w:val="2"/>
                <w:sz w:val="24"/>
                <w:szCs w:val="24"/>
                <w:highlight w:val="none"/>
              </w:rPr>
              <w:t xml:space="preserve"> </w:t>
            </w:r>
            <w:r>
              <w:rPr>
                <w:rFonts w:hint="eastAsia" w:ascii="宋体" w:hAnsi="宋体"/>
                <w:color w:val="auto"/>
                <w:kern w:val="2"/>
                <w:sz w:val="24"/>
                <w:szCs w:val="24"/>
                <w:highlight w:val="none"/>
              </w:rPr>
              <w:t>名</w:t>
            </w:r>
            <w:r>
              <w:rPr>
                <w:rFonts w:ascii="宋体" w:hAnsi="宋体"/>
                <w:color w:val="auto"/>
                <w:kern w:val="2"/>
                <w:sz w:val="24"/>
                <w:szCs w:val="24"/>
                <w:highlight w:val="none"/>
              </w:rPr>
              <w:t xml:space="preserve"> </w:t>
            </w:r>
            <w:r>
              <w:rPr>
                <w:rFonts w:hint="eastAsia" w:ascii="宋体" w:hAnsi="宋体"/>
                <w:color w:val="auto"/>
                <w:kern w:val="2"/>
                <w:sz w:val="24"/>
                <w:szCs w:val="24"/>
                <w:highlight w:val="none"/>
              </w:rPr>
              <w:t>称</w:t>
            </w:r>
          </w:p>
        </w:tc>
        <w:tc>
          <w:tcPr>
            <w:tcW w:w="1058" w:type="dxa"/>
            <w:vAlign w:val="center"/>
          </w:tcPr>
          <w:p w14:paraId="04F3EF5E">
            <w:pPr>
              <w:jc w:val="center"/>
              <w:rPr>
                <w:rFonts w:hint="eastAsia" w:ascii="宋体" w:hAnsi="宋体"/>
                <w:color w:val="auto"/>
                <w:kern w:val="2"/>
                <w:sz w:val="24"/>
                <w:szCs w:val="24"/>
                <w:highlight w:val="none"/>
              </w:rPr>
            </w:pPr>
            <w:r>
              <w:rPr>
                <w:rFonts w:hint="eastAsia" w:ascii="宋体" w:hAnsi="宋体" w:cs="宋体"/>
                <w:b/>
                <w:bCs/>
                <w:color w:val="auto"/>
                <w:sz w:val="24"/>
                <w:szCs w:val="24"/>
                <w:highlight w:val="none"/>
                <w:lang w:val="en-US" w:eastAsia="zh-CN"/>
              </w:rPr>
              <w:t>单位</w:t>
            </w:r>
          </w:p>
        </w:tc>
        <w:tc>
          <w:tcPr>
            <w:tcW w:w="1304" w:type="dxa"/>
            <w:vAlign w:val="center"/>
          </w:tcPr>
          <w:p w14:paraId="558BA583">
            <w:pPr>
              <w:jc w:val="center"/>
              <w:rPr>
                <w:rFonts w:hint="eastAsia" w:ascii="宋体" w:hAnsi="宋体"/>
                <w:color w:val="auto"/>
                <w:kern w:val="2"/>
                <w:sz w:val="24"/>
                <w:szCs w:val="24"/>
                <w:highlight w:val="none"/>
              </w:rPr>
            </w:pPr>
            <w:r>
              <w:rPr>
                <w:rFonts w:hint="eastAsia" w:ascii="宋体" w:hAnsi="宋体" w:cs="宋体"/>
                <w:b/>
                <w:bCs/>
                <w:color w:val="auto"/>
                <w:sz w:val="24"/>
                <w:szCs w:val="24"/>
                <w:highlight w:val="none"/>
              </w:rPr>
              <w:t>数量</w:t>
            </w:r>
          </w:p>
        </w:tc>
        <w:tc>
          <w:tcPr>
            <w:tcW w:w="3038" w:type="dxa"/>
            <w:vAlign w:val="center"/>
          </w:tcPr>
          <w:p w14:paraId="5D5C3ED5">
            <w:pPr>
              <w:ind w:firstLine="480"/>
              <w:rPr>
                <w:rFonts w:hint="eastAsia" w:ascii="宋体" w:hAnsi="宋体"/>
                <w:color w:val="auto"/>
                <w:kern w:val="2"/>
                <w:sz w:val="24"/>
                <w:szCs w:val="24"/>
                <w:highlight w:val="none"/>
              </w:rPr>
            </w:pPr>
            <w:r>
              <w:rPr>
                <w:rFonts w:hint="eastAsia" w:ascii="宋体" w:hAnsi="宋体"/>
                <w:color w:val="auto"/>
                <w:kern w:val="2"/>
                <w:sz w:val="24"/>
                <w:szCs w:val="24"/>
                <w:highlight w:val="none"/>
              </w:rPr>
              <w:t>交货地点</w:t>
            </w:r>
          </w:p>
        </w:tc>
      </w:tr>
      <w:tr w14:paraId="0BEE6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807" w:type="dxa"/>
            <w:shd w:val="clear" w:color="auto" w:fill="auto"/>
            <w:vAlign w:val="center"/>
          </w:tcPr>
          <w:p w14:paraId="29D7A0BA">
            <w:pPr>
              <w:jc w:val="center"/>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highlight w:val="none"/>
                <w:lang w:val="en-US" w:eastAsia="zh-CN"/>
              </w:rPr>
              <w:t>1</w:t>
            </w:r>
          </w:p>
        </w:tc>
        <w:tc>
          <w:tcPr>
            <w:tcW w:w="4062" w:type="dxa"/>
            <w:shd w:val="clear" w:color="auto" w:fill="auto"/>
            <w:vAlign w:val="center"/>
          </w:tcPr>
          <w:p w14:paraId="3374A1A8">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基层慢病两筛三防智能管理系统</w:t>
            </w:r>
          </w:p>
        </w:tc>
        <w:tc>
          <w:tcPr>
            <w:tcW w:w="1058" w:type="dxa"/>
            <w:shd w:val="clear" w:color="auto" w:fill="auto"/>
            <w:vAlign w:val="center"/>
          </w:tcPr>
          <w:p w14:paraId="708A5A60">
            <w:pPr>
              <w:jc w:val="center"/>
              <w:rPr>
                <w:rFonts w:hint="eastAsia" w:ascii="宋体" w:hAnsi="宋体" w:cs="宋体"/>
                <w:color w:val="auto"/>
                <w:sz w:val="22"/>
                <w:highlight w:val="none"/>
                <w:lang w:val="en-US" w:eastAsia="zh-CN"/>
              </w:rPr>
            </w:pPr>
            <w:r>
              <w:rPr>
                <w:rFonts w:hint="eastAsia" w:ascii="宋体" w:hAnsi="宋体" w:eastAsia="宋体" w:cs="宋体"/>
                <w:color w:val="auto"/>
                <w:sz w:val="24"/>
                <w:szCs w:val="24"/>
                <w:highlight w:val="none"/>
                <w:lang w:val="en-US" w:eastAsia="zh-CN"/>
              </w:rPr>
              <w:t>套</w:t>
            </w:r>
          </w:p>
        </w:tc>
        <w:tc>
          <w:tcPr>
            <w:tcW w:w="1304" w:type="dxa"/>
            <w:shd w:val="clear" w:color="auto" w:fill="auto"/>
            <w:vAlign w:val="center"/>
          </w:tcPr>
          <w:p w14:paraId="311AF9D4">
            <w:pPr>
              <w:jc w:val="center"/>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4"/>
                <w:szCs w:val="24"/>
                <w:highlight w:val="none"/>
                <w:lang w:val="en-US" w:eastAsia="zh-CN"/>
              </w:rPr>
              <w:t>1（3年）</w:t>
            </w:r>
          </w:p>
        </w:tc>
        <w:tc>
          <w:tcPr>
            <w:tcW w:w="3038" w:type="dxa"/>
            <w:vAlign w:val="center"/>
          </w:tcPr>
          <w:p w14:paraId="7A55692C">
            <w:pPr>
              <w:jc w:val="both"/>
              <w:rPr>
                <w:rFonts w:hint="eastAsia" w:ascii="宋体" w:hAnsi="宋体"/>
                <w:color w:val="auto"/>
                <w:kern w:val="2"/>
                <w:sz w:val="24"/>
                <w:szCs w:val="24"/>
                <w:highlight w:val="none"/>
              </w:rPr>
            </w:pPr>
            <w:r>
              <w:rPr>
                <w:rFonts w:hint="eastAsia" w:ascii="宋体" w:hAnsi="宋体"/>
                <w:color w:val="auto"/>
                <w:kern w:val="2"/>
                <w:sz w:val="24"/>
                <w:szCs w:val="24"/>
                <w:highlight w:val="none"/>
                <w:lang w:eastAsia="zh-CN"/>
              </w:rPr>
              <w:t>南京市秦淮区朝天宫社区卫生服务中心</w:t>
            </w:r>
            <w:r>
              <w:rPr>
                <w:rFonts w:hint="eastAsia" w:ascii="宋体" w:hAnsi="宋体"/>
                <w:color w:val="auto"/>
                <w:kern w:val="2"/>
                <w:sz w:val="24"/>
                <w:szCs w:val="24"/>
                <w:highlight w:val="none"/>
              </w:rPr>
              <w:t>指定地点</w:t>
            </w:r>
          </w:p>
        </w:tc>
      </w:tr>
      <w:tr w14:paraId="5F64C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807" w:type="dxa"/>
            <w:shd w:val="clear" w:color="auto" w:fill="auto"/>
            <w:vAlign w:val="center"/>
          </w:tcPr>
          <w:p w14:paraId="138FBFDE">
            <w:pPr>
              <w:jc w:val="center"/>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highlight w:val="none"/>
                <w:lang w:val="en-US" w:eastAsia="zh-CN"/>
              </w:rPr>
              <w:t>2</w:t>
            </w:r>
          </w:p>
        </w:tc>
        <w:tc>
          <w:tcPr>
            <w:tcW w:w="4062" w:type="dxa"/>
            <w:shd w:val="clear" w:color="auto" w:fill="auto"/>
            <w:vAlign w:val="center"/>
          </w:tcPr>
          <w:p w14:paraId="68F725A0">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超声多普勒血流检测仪</w:t>
            </w:r>
            <w:r>
              <w:rPr>
                <w:rFonts w:hint="eastAsia" w:ascii="宋体" w:hAnsi="宋体" w:cs="宋体"/>
                <w:color w:val="auto"/>
                <w:sz w:val="24"/>
                <w:szCs w:val="24"/>
                <w:highlight w:val="none"/>
                <w:lang w:val="en-US" w:eastAsia="zh-CN"/>
              </w:rPr>
              <w:t>（核心产品）</w:t>
            </w:r>
          </w:p>
        </w:tc>
        <w:tc>
          <w:tcPr>
            <w:tcW w:w="1058" w:type="dxa"/>
            <w:shd w:val="clear" w:color="auto" w:fill="auto"/>
            <w:vAlign w:val="center"/>
          </w:tcPr>
          <w:p w14:paraId="0B56F4E9">
            <w:pPr>
              <w:jc w:val="center"/>
              <w:rPr>
                <w:rFonts w:hint="eastAsia" w:ascii="宋体" w:hAnsi="宋体" w:cs="宋体"/>
                <w:color w:val="auto"/>
                <w:sz w:val="22"/>
                <w:highlight w:val="none"/>
                <w:lang w:val="en-US" w:eastAsia="zh-CN"/>
              </w:rPr>
            </w:pPr>
            <w:r>
              <w:rPr>
                <w:rFonts w:hint="eastAsia" w:ascii="宋体" w:hAnsi="宋体" w:eastAsia="宋体" w:cs="宋体"/>
                <w:color w:val="auto"/>
                <w:sz w:val="24"/>
                <w:szCs w:val="24"/>
                <w:highlight w:val="none"/>
                <w:lang w:val="en-US" w:eastAsia="zh-CN"/>
              </w:rPr>
              <w:t>套</w:t>
            </w:r>
          </w:p>
        </w:tc>
        <w:tc>
          <w:tcPr>
            <w:tcW w:w="1304" w:type="dxa"/>
            <w:shd w:val="clear" w:color="auto" w:fill="auto"/>
            <w:vAlign w:val="center"/>
          </w:tcPr>
          <w:p w14:paraId="1D38E2D4">
            <w:pPr>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4"/>
                <w:szCs w:val="24"/>
                <w:highlight w:val="none"/>
                <w:lang w:val="en-US" w:eastAsia="zh-CN"/>
              </w:rPr>
              <w:t>1</w:t>
            </w:r>
          </w:p>
        </w:tc>
        <w:tc>
          <w:tcPr>
            <w:tcW w:w="3038" w:type="dxa"/>
            <w:vAlign w:val="center"/>
          </w:tcPr>
          <w:p w14:paraId="6EF98EDF">
            <w:pPr>
              <w:jc w:val="both"/>
              <w:rPr>
                <w:rFonts w:hint="eastAsia" w:ascii="宋体" w:hAnsi="宋体"/>
                <w:color w:val="auto"/>
                <w:kern w:val="2"/>
                <w:sz w:val="24"/>
                <w:szCs w:val="24"/>
                <w:highlight w:val="none"/>
                <w:lang w:eastAsia="zh-CN"/>
              </w:rPr>
            </w:pPr>
            <w:r>
              <w:rPr>
                <w:rFonts w:hint="eastAsia" w:ascii="宋体" w:hAnsi="宋体"/>
                <w:color w:val="auto"/>
                <w:kern w:val="2"/>
                <w:sz w:val="24"/>
                <w:szCs w:val="24"/>
                <w:highlight w:val="none"/>
                <w:lang w:eastAsia="zh-CN"/>
              </w:rPr>
              <w:t>南京市秦淮区朝天宫社区卫生服务中心</w:t>
            </w:r>
            <w:r>
              <w:rPr>
                <w:rFonts w:hint="eastAsia" w:ascii="宋体" w:hAnsi="宋体"/>
                <w:color w:val="auto"/>
                <w:kern w:val="2"/>
                <w:sz w:val="24"/>
                <w:szCs w:val="24"/>
                <w:highlight w:val="none"/>
              </w:rPr>
              <w:t>指定地点</w:t>
            </w:r>
          </w:p>
        </w:tc>
      </w:tr>
      <w:tr w14:paraId="3167D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807" w:type="dxa"/>
            <w:shd w:val="clear" w:color="auto" w:fill="auto"/>
            <w:vAlign w:val="center"/>
          </w:tcPr>
          <w:p w14:paraId="7FDE9B01">
            <w:pPr>
              <w:jc w:val="center"/>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highlight w:val="none"/>
                <w:lang w:val="en-US" w:eastAsia="zh-CN"/>
              </w:rPr>
              <w:t>3</w:t>
            </w:r>
          </w:p>
        </w:tc>
        <w:tc>
          <w:tcPr>
            <w:tcW w:w="4062" w:type="dxa"/>
            <w:shd w:val="clear" w:color="auto" w:fill="auto"/>
            <w:vAlign w:val="center"/>
          </w:tcPr>
          <w:p w14:paraId="1767BBEA">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震动感觉阈值检测仪</w:t>
            </w:r>
          </w:p>
        </w:tc>
        <w:tc>
          <w:tcPr>
            <w:tcW w:w="1058" w:type="dxa"/>
            <w:shd w:val="clear" w:color="auto" w:fill="auto"/>
            <w:vAlign w:val="center"/>
          </w:tcPr>
          <w:p w14:paraId="0AE1E20F">
            <w:pPr>
              <w:jc w:val="center"/>
              <w:rPr>
                <w:rFonts w:hint="eastAsia" w:ascii="宋体" w:hAnsi="宋体" w:cs="宋体"/>
                <w:color w:val="auto"/>
                <w:sz w:val="22"/>
                <w:highlight w:val="none"/>
                <w:lang w:val="en-US" w:eastAsia="zh-CN"/>
              </w:rPr>
            </w:pPr>
            <w:r>
              <w:rPr>
                <w:rFonts w:hint="eastAsia" w:ascii="宋体" w:hAnsi="宋体" w:eastAsia="宋体" w:cs="宋体"/>
                <w:color w:val="auto"/>
                <w:sz w:val="24"/>
                <w:szCs w:val="24"/>
                <w:highlight w:val="none"/>
                <w:lang w:val="en-US" w:eastAsia="zh-CN"/>
              </w:rPr>
              <w:t>套</w:t>
            </w:r>
          </w:p>
        </w:tc>
        <w:tc>
          <w:tcPr>
            <w:tcW w:w="1304" w:type="dxa"/>
            <w:shd w:val="clear" w:color="auto" w:fill="auto"/>
            <w:vAlign w:val="center"/>
          </w:tcPr>
          <w:p w14:paraId="7E8C8E04">
            <w:pPr>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4"/>
                <w:szCs w:val="24"/>
                <w:highlight w:val="none"/>
                <w:lang w:val="en-US" w:eastAsia="zh-CN"/>
              </w:rPr>
              <w:t>1</w:t>
            </w:r>
          </w:p>
        </w:tc>
        <w:tc>
          <w:tcPr>
            <w:tcW w:w="3038" w:type="dxa"/>
            <w:vAlign w:val="center"/>
          </w:tcPr>
          <w:p w14:paraId="3E050359">
            <w:pPr>
              <w:jc w:val="both"/>
              <w:rPr>
                <w:rFonts w:hint="eastAsia" w:ascii="宋体" w:hAnsi="宋体"/>
                <w:color w:val="auto"/>
                <w:kern w:val="2"/>
                <w:sz w:val="24"/>
                <w:szCs w:val="24"/>
                <w:highlight w:val="none"/>
                <w:lang w:eastAsia="zh-CN"/>
              </w:rPr>
            </w:pPr>
            <w:r>
              <w:rPr>
                <w:rFonts w:hint="eastAsia" w:ascii="宋体" w:hAnsi="宋体"/>
                <w:color w:val="auto"/>
                <w:kern w:val="2"/>
                <w:sz w:val="24"/>
                <w:szCs w:val="24"/>
                <w:highlight w:val="none"/>
                <w:lang w:eastAsia="zh-CN"/>
              </w:rPr>
              <w:t>南京市秦淮区朝天宫社区卫生服务中心</w:t>
            </w:r>
            <w:r>
              <w:rPr>
                <w:rFonts w:hint="eastAsia" w:ascii="宋体" w:hAnsi="宋体"/>
                <w:color w:val="auto"/>
                <w:kern w:val="2"/>
                <w:sz w:val="24"/>
                <w:szCs w:val="24"/>
                <w:highlight w:val="none"/>
              </w:rPr>
              <w:t>指定地点</w:t>
            </w:r>
          </w:p>
        </w:tc>
      </w:tr>
      <w:tr w14:paraId="2FCB4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807" w:type="dxa"/>
            <w:shd w:val="clear" w:color="auto" w:fill="auto"/>
            <w:vAlign w:val="center"/>
          </w:tcPr>
          <w:p w14:paraId="6CBB8402">
            <w:pPr>
              <w:jc w:val="center"/>
              <w:rPr>
                <w:rFonts w:hint="default" w:ascii="宋体" w:hAnsi="宋体" w:eastAsia="宋体" w:cs="宋体"/>
                <w:color w:val="auto"/>
                <w:sz w:val="22"/>
                <w:szCs w:val="22"/>
                <w:highlight w:val="none"/>
                <w:lang w:val="en-US" w:eastAsia="zh-CN" w:bidi="ar-SA"/>
              </w:rPr>
            </w:pPr>
            <w:r>
              <w:rPr>
                <w:rFonts w:hint="eastAsia" w:ascii="宋体" w:hAnsi="宋体" w:cs="宋体"/>
                <w:color w:val="auto"/>
                <w:sz w:val="22"/>
                <w:highlight w:val="none"/>
                <w:lang w:val="en-US" w:eastAsia="zh-CN"/>
              </w:rPr>
              <w:t>4</w:t>
            </w:r>
          </w:p>
        </w:tc>
        <w:tc>
          <w:tcPr>
            <w:tcW w:w="4062" w:type="dxa"/>
            <w:shd w:val="clear" w:color="auto" w:fill="auto"/>
            <w:vAlign w:val="center"/>
          </w:tcPr>
          <w:p w14:paraId="281B7996">
            <w:pPr>
              <w:jc w:val="lef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动脉硬化检测仪（核心产品）</w:t>
            </w:r>
            <w:r>
              <w:rPr>
                <w:rFonts w:hint="eastAsia" w:ascii="宋体" w:hAnsi="宋体" w:cs="宋体"/>
                <w:color w:val="auto"/>
                <w:sz w:val="24"/>
                <w:szCs w:val="24"/>
                <w:highlight w:val="none"/>
                <w:lang w:val="en-US" w:eastAsia="zh-CN"/>
              </w:rPr>
              <w:t xml:space="preserve"> </w:t>
            </w:r>
          </w:p>
        </w:tc>
        <w:tc>
          <w:tcPr>
            <w:tcW w:w="1058" w:type="dxa"/>
            <w:shd w:val="clear" w:color="auto" w:fill="auto"/>
            <w:vAlign w:val="center"/>
          </w:tcPr>
          <w:p w14:paraId="5BF784E7">
            <w:pPr>
              <w:jc w:val="center"/>
              <w:rPr>
                <w:rFonts w:hint="eastAsia" w:ascii="宋体" w:hAnsi="宋体" w:cs="宋体"/>
                <w:color w:val="auto"/>
                <w:sz w:val="22"/>
                <w:highlight w:val="none"/>
                <w:lang w:val="en-US" w:eastAsia="zh-CN"/>
              </w:rPr>
            </w:pPr>
            <w:r>
              <w:rPr>
                <w:rFonts w:hint="eastAsia" w:ascii="宋体" w:hAnsi="宋体" w:eastAsia="宋体" w:cs="宋体"/>
                <w:color w:val="auto"/>
                <w:sz w:val="24"/>
                <w:szCs w:val="24"/>
                <w:highlight w:val="none"/>
                <w:lang w:val="en-US" w:eastAsia="zh-CN"/>
              </w:rPr>
              <w:t>台</w:t>
            </w:r>
          </w:p>
        </w:tc>
        <w:tc>
          <w:tcPr>
            <w:tcW w:w="1304" w:type="dxa"/>
            <w:shd w:val="clear" w:color="auto" w:fill="auto"/>
            <w:vAlign w:val="center"/>
          </w:tcPr>
          <w:p w14:paraId="5AD201C2">
            <w:pPr>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4"/>
                <w:szCs w:val="24"/>
                <w:highlight w:val="none"/>
                <w:lang w:val="en-US" w:eastAsia="zh-CN"/>
              </w:rPr>
              <w:t>1</w:t>
            </w:r>
          </w:p>
        </w:tc>
        <w:tc>
          <w:tcPr>
            <w:tcW w:w="3038" w:type="dxa"/>
            <w:shd w:val="clear" w:color="auto" w:fill="auto"/>
            <w:vAlign w:val="center"/>
          </w:tcPr>
          <w:p w14:paraId="17A627AC">
            <w:pPr>
              <w:jc w:val="both"/>
              <w:rPr>
                <w:rFonts w:hint="eastAsia" w:ascii="宋体" w:hAnsi="宋体" w:cs="宋体"/>
                <w:color w:val="auto"/>
                <w:sz w:val="24"/>
                <w:szCs w:val="24"/>
                <w:highlight w:val="none"/>
                <w:lang w:val="en-US" w:eastAsia="zh-CN"/>
              </w:rPr>
            </w:pPr>
            <w:r>
              <w:rPr>
                <w:rFonts w:hint="eastAsia" w:ascii="宋体" w:hAnsi="宋体"/>
                <w:color w:val="auto"/>
                <w:kern w:val="2"/>
                <w:sz w:val="24"/>
                <w:szCs w:val="24"/>
                <w:highlight w:val="none"/>
                <w:lang w:eastAsia="zh-CN"/>
              </w:rPr>
              <w:t>南京市秦淮区朝天宫社区卫生服务中心</w:t>
            </w:r>
            <w:r>
              <w:rPr>
                <w:rFonts w:hint="eastAsia" w:ascii="宋体" w:hAnsi="宋体"/>
                <w:color w:val="auto"/>
                <w:kern w:val="2"/>
                <w:sz w:val="24"/>
                <w:szCs w:val="24"/>
                <w:highlight w:val="none"/>
              </w:rPr>
              <w:t>指定地点</w:t>
            </w:r>
          </w:p>
        </w:tc>
      </w:tr>
      <w:tr w14:paraId="12087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807" w:type="dxa"/>
            <w:shd w:val="clear" w:color="auto" w:fill="auto"/>
            <w:vAlign w:val="center"/>
          </w:tcPr>
          <w:p w14:paraId="24F8E616">
            <w:pPr>
              <w:jc w:val="center"/>
              <w:rPr>
                <w:rFonts w:hint="default" w:ascii="宋体" w:hAnsi="宋体" w:eastAsia="宋体" w:cs="宋体"/>
                <w:color w:val="auto"/>
                <w:sz w:val="22"/>
                <w:szCs w:val="22"/>
                <w:highlight w:val="none"/>
                <w:lang w:val="en-US" w:eastAsia="zh-CN" w:bidi="ar-SA"/>
              </w:rPr>
            </w:pPr>
            <w:r>
              <w:rPr>
                <w:rFonts w:hint="eastAsia" w:ascii="宋体" w:hAnsi="宋体" w:cs="宋体"/>
                <w:color w:val="auto"/>
                <w:sz w:val="22"/>
                <w:highlight w:val="none"/>
                <w:lang w:val="en-US" w:eastAsia="zh-CN"/>
              </w:rPr>
              <w:t>5</w:t>
            </w:r>
          </w:p>
        </w:tc>
        <w:tc>
          <w:tcPr>
            <w:tcW w:w="4062" w:type="dxa"/>
            <w:shd w:val="clear" w:color="auto" w:fill="auto"/>
            <w:vAlign w:val="center"/>
          </w:tcPr>
          <w:p w14:paraId="6A70AB57">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上下肢康复运动康复运动训练器（智能物联网立式功率车）</w:t>
            </w:r>
          </w:p>
        </w:tc>
        <w:tc>
          <w:tcPr>
            <w:tcW w:w="1058" w:type="dxa"/>
            <w:shd w:val="clear" w:color="auto" w:fill="auto"/>
            <w:vAlign w:val="center"/>
          </w:tcPr>
          <w:p w14:paraId="7B4D9623">
            <w:pPr>
              <w:jc w:val="center"/>
              <w:rPr>
                <w:rFonts w:hint="eastAsia" w:ascii="宋体" w:hAnsi="宋体" w:cs="宋体"/>
                <w:color w:val="auto"/>
                <w:sz w:val="22"/>
                <w:highlight w:val="none"/>
                <w:lang w:val="en-US" w:eastAsia="zh-CN"/>
              </w:rPr>
            </w:pPr>
            <w:r>
              <w:rPr>
                <w:rFonts w:hint="eastAsia" w:ascii="宋体" w:hAnsi="宋体" w:eastAsia="宋体" w:cs="宋体"/>
                <w:color w:val="auto"/>
                <w:sz w:val="24"/>
                <w:szCs w:val="24"/>
                <w:highlight w:val="none"/>
                <w:lang w:val="en-US" w:eastAsia="zh-CN"/>
              </w:rPr>
              <w:t>台</w:t>
            </w:r>
          </w:p>
        </w:tc>
        <w:tc>
          <w:tcPr>
            <w:tcW w:w="1304" w:type="dxa"/>
            <w:shd w:val="clear" w:color="auto" w:fill="auto"/>
            <w:vAlign w:val="center"/>
          </w:tcPr>
          <w:p w14:paraId="2A04D5FA">
            <w:pPr>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4"/>
                <w:szCs w:val="24"/>
                <w:highlight w:val="none"/>
                <w:lang w:val="en-US" w:eastAsia="zh-CN"/>
              </w:rPr>
              <w:t>1</w:t>
            </w:r>
          </w:p>
        </w:tc>
        <w:tc>
          <w:tcPr>
            <w:tcW w:w="3038" w:type="dxa"/>
            <w:shd w:val="clear" w:color="auto" w:fill="auto"/>
            <w:vAlign w:val="center"/>
          </w:tcPr>
          <w:p w14:paraId="333C2073">
            <w:pPr>
              <w:jc w:val="both"/>
              <w:rPr>
                <w:rFonts w:hint="eastAsia" w:ascii="宋体" w:hAnsi="宋体" w:cs="宋体"/>
                <w:color w:val="auto"/>
                <w:sz w:val="24"/>
                <w:szCs w:val="24"/>
                <w:highlight w:val="none"/>
                <w:lang w:val="en-US" w:eastAsia="zh-CN"/>
              </w:rPr>
            </w:pPr>
            <w:r>
              <w:rPr>
                <w:rFonts w:hint="eastAsia" w:ascii="宋体" w:hAnsi="宋体"/>
                <w:color w:val="auto"/>
                <w:kern w:val="2"/>
                <w:sz w:val="24"/>
                <w:szCs w:val="24"/>
                <w:highlight w:val="none"/>
                <w:lang w:eastAsia="zh-CN"/>
              </w:rPr>
              <w:t>南京市秦淮区朝天宫社区卫生服务中心</w:t>
            </w:r>
            <w:r>
              <w:rPr>
                <w:rFonts w:hint="eastAsia" w:ascii="宋体" w:hAnsi="宋体"/>
                <w:color w:val="auto"/>
                <w:kern w:val="2"/>
                <w:sz w:val="24"/>
                <w:szCs w:val="24"/>
                <w:highlight w:val="none"/>
              </w:rPr>
              <w:t>指定地点</w:t>
            </w:r>
          </w:p>
        </w:tc>
      </w:tr>
      <w:tr w14:paraId="57478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807" w:type="dxa"/>
            <w:shd w:val="clear" w:color="auto" w:fill="auto"/>
            <w:vAlign w:val="center"/>
          </w:tcPr>
          <w:p w14:paraId="4F046054">
            <w:pPr>
              <w:jc w:val="center"/>
              <w:rPr>
                <w:rFonts w:hint="default" w:ascii="宋体" w:hAnsi="宋体" w:eastAsia="宋体" w:cs="宋体"/>
                <w:color w:val="auto"/>
                <w:sz w:val="22"/>
                <w:szCs w:val="22"/>
                <w:highlight w:val="none"/>
                <w:lang w:val="en-US" w:eastAsia="zh-CN" w:bidi="ar-SA"/>
              </w:rPr>
            </w:pPr>
            <w:r>
              <w:rPr>
                <w:rFonts w:hint="eastAsia" w:ascii="宋体" w:hAnsi="宋体" w:cs="宋体"/>
                <w:color w:val="auto"/>
                <w:sz w:val="22"/>
                <w:highlight w:val="none"/>
                <w:lang w:val="en-US" w:eastAsia="zh-CN"/>
              </w:rPr>
              <w:t>6</w:t>
            </w:r>
          </w:p>
        </w:tc>
        <w:tc>
          <w:tcPr>
            <w:tcW w:w="4062" w:type="dxa"/>
            <w:shd w:val="clear" w:color="auto" w:fill="auto"/>
            <w:vAlign w:val="center"/>
          </w:tcPr>
          <w:p w14:paraId="168DDE1D">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康复数据处理软件（智能康复路径管理系统）</w:t>
            </w:r>
          </w:p>
        </w:tc>
        <w:tc>
          <w:tcPr>
            <w:tcW w:w="1058" w:type="dxa"/>
            <w:shd w:val="clear" w:color="auto" w:fill="auto"/>
            <w:vAlign w:val="center"/>
          </w:tcPr>
          <w:p w14:paraId="5B930573">
            <w:pPr>
              <w:jc w:val="center"/>
              <w:rPr>
                <w:rFonts w:hint="eastAsia" w:ascii="宋体" w:hAnsi="宋体" w:cs="宋体"/>
                <w:color w:val="auto"/>
                <w:sz w:val="22"/>
                <w:highlight w:val="none"/>
                <w:lang w:val="en-US" w:eastAsia="zh-CN"/>
              </w:rPr>
            </w:pPr>
            <w:r>
              <w:rPr>
                <w:rFonts w:hint="eastAsia" w:ascii="宋体" w:hAnsi="宋体" w:eastAsia="宋体" w:cs="宋体"/>
                <w:color w:val="auto"/>
                <w:sz w:val="24"/>
                <w:szCs w:val="24"/>
                <w:highlight w:val="none"/>
                <w:lang w:val="en-US" w:eastAsia="zh-CN"/>
              </w:rPr>
              <w:t>套</w:t>
            </w:r>
          </w:p>
        </w:tc>
        <w:tc>
          <w:tcPr>
            <w:tcW w:w="1304" w:type="dxa"/>
            <w:shd w:val="clear" w:color="auto" w:fill="auto"/>
            <w:vAlign w:val="center"/>
          </w:tcPr>
          <w:p w14:paraId="63D4744E">
            <w:pPr>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4"/>
                <w:szCs w:val="24"/>
                <w:highlight w:val="none"/>
                <w:lang w:val="en-US" w:eastAsia="zh-CN"/>
              </w:rPr>
              <w:t>1</w:t>
            </w:r>
          </w:p>
        </w:tc>
        <w:tc>
          <w:tcPr>
            <w:tcW w:w="3038" w:type="dxa"/>
            <w:shd w:val="clear" w:color="auto" w:fill="auto"/>
            <w:vAlign w:val="center"/>
          </w:tcPr>
          <w:p w14:paraId="722194F9">
            <w:pPr>
              <w:jc w:val="both"/>
              <w:rPr>
                <w:rFonts w:hint="eastAsia" w:ascii="宋体" w:hAnsi="宋体" w:cs="宋体"/>
                <w:color w:val="auto"/>
                <w:sz w:val="24"/>
                <w:szCs w:val="24"/>
                <w:highlight w:val="none"/>
                <w:lang w:val="en-US" w:eastAsia="zh-CN"/>
              </w:rPr>
            </w:pPr>
            <w:r>
              <w:rPr>
                <w:rFonts w:hint="eastAsia" w:ascii="宋体" w:hAnsi="宋体"/>
                <w:color w:val="auto"/>
                <w:kern w:val="2"/>
                <w:sz w:val="24"/>
                <w:szCs w:val="24"/>
                <w:highlight w:val="none"/>
                <w:lang w:eastAsia="zh-CN"/>
              </w:rPr>
              <w:t>南京市秦淮区朝天宫社区卫生服务中心</w:t>
            </w:r>
            <w:r>
              <w:rPr>
                <w:rFonts w:hint="eastAsia" w:ascii="宋体" w:hAnsi="宋体"/>
                <w:color w:val="auto"/>
                <w:kern w:val="2"/>
                <w:sz w:val="24"/>
                <w:szCs w:val="24"/>
                <w:highlight w:val="none"/>
              </w:rPr>
              <w:t>指定地点</w:t>
            </w:r>
          </w:p>
        </w:tc>
      </w:tr>
      <w:tr w14:paraId="75808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807" w:type="dxa"/>
            <w:shd w:val="clear" w:color="auto" w:fill="auto"/>
            <w:vAlign w:val="center"/>
          </w:tcPr>
          <w:p w14:paraId="2AC129C5">
            <w:pPr>
              <w:jc w:val="center"/>
              <w:rPr>
                <w:rFonts w:hint="default" w:ascii="宋体" w:hAnsi="宋体" w:eastAsia="宋体" w:cs="宋体"/>
                <w:color w:val="auto"/>
                <w:sz w:val="22"/>
                <w:szCs w:val="22"/>
                <w:highlight w:val="none"/>
                <w:lang w:val="en-US" w:eastAsia="zh-CN" w:bidi="ar-SA"/>
              </w:rPr>
            </w:pPr>
            <w:r>
              <w:rPr>
                <w:rFonts w:hint="eastAsia" w:ascii="宋体" w:hAnsi="宋体" w:cs="宋体"/>
                <w:color w:val="auto"/>
                <w:sz w:val="22"/>
                <w:highlight w:val="none"/>
                <w:lang w:val="en-US" w:eastAsia="zh-CN"/>
              </w:rPr>
              <w:t>7</w:t>
            </w:r>
          </w:p>
        </w:tc>
        <w:tc>
          <w:tcPr>
            <w:tcW w:w="4062" w:type="dxa"/>
            <w:shd w:val="clear" w:color="auto" w:fill="auto"/>
            <w:vAlign w:val="center"/>
          </w:tcPr>
          <w:p w14:paraId="0BECFBEB">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动态心肺功能数据分析软件（智能6分钟步行监测分析系统便携版）</w:t>
            </w:r>
          </w:p>
        </w:tc>
        <w:tc>
          <w:tcPr>
            <w:tcW w:w="1058" w:type="dxa"/>
            <w:shd w:val="clear" w:color="auto" w:fill="auto"/>
            <w:vAlign w:val="center"/>
          </w:tcPr>
          <w:p w14:paraId="1E3F5B29">
            <w:pPr>
              <w:jc w:val="center"/>
              <w:rPr>
                <w:rFonts w:hint="eastAsia" w:ascii="宋体" w:hAnsi="宋体" w:cs="宋体"/>
                <w:color w:val="auto"/>
                <w:sz w:val="22"/>
                <w:highlight w:val="none"/>
                <w:lang w:val="en-US" w:eastAsia="zh-CN"/>
              </w:rPr>
            </w:pPr>
            <w:r>
              <w:rPr>
                <w:rFonts w:hint="eastAsia" w:ascii="宋体" w:hAnsi="宋体" w:eastAsia="宋体" w:cs="宋体"/>
                <w:color w:val="auto"/>
                <w:sz w:val="24"/>
                <w:szCs w:val="24"/>
                <w:highlight w:val="none"/>
                <w:lang w:val="en-US" w:eastAsia="zh-CN"/>
              </w:rPr>
              <w:t>套</w:t>
            </w:r>
          </w:p>
        </w:tc>
        <w:tc>
          <w:tcPr>
            <w:tcW w:w="1304" w:type="dxa"/>
            <w:shd w:val="clear" w:color="auto" w:fill="auto"/>
            <w:vAlign w:val="center"/>
          </w:tcPr>
          <w:p w14:paraId="2000FE89">
            <w:pPr>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4"/>
                <w:szCs w:val="24"/>
                <w:highlight w:val="none"/>
                <w:lang w:val="en-US" w:eastAsia="zh-CN"/>
              </w:rPr>
              <w:t>1</w:t>
            </w:r>
          </w:p>
        </w:tc>
        <w:tc>
          <w:tcPr>
            <w:tcW w:w="3038" w:type="dxa"/>
            <w:shd w:val="clear" w:color="auto" w:fill="auto"/>
            <w:vAlign w:val="center"/>
          </w:tcPr>
          <w:p w14:paraId="7A0BCB97">
            <w:pPr>
              <w:jc w:val="both"/>
              <w:rPr>
                <w:rFonts w:hint="eastAsia" w:ascii="宋体" w:hAnsi="宋体" w:cs="宋体"/>
                <w:color w:val="auto"/>
                <w:sz w:val="24"/>
                <w:szCs w:val="24"/>
                <w:highlight w:val="none"/>
                <w:lang w:val="en-US" w:eastAsia="zh-CN"/>
              </w:rPr>
            </w:pPr>
            <w:r>
              <w:rPr>
                <w:rFonts w:hint="eastAsia" w:ascii="宋体" w:hAnsi="宋体"/>
                <w:color w:val="auto"/>
                <w:kern w:val="2"/>
                <w:sz w:val="24"/>
                <w:szCs w:val="24"/>
                <w:highlight w:val="none"/>
                <w:lang w:eastAsia="zh-CN"/>
              </w:rPr>
              <w:t>南京市秦淮区朝天宫社区卫生服务中心</w:t>
            </w:r>
            <w:r>
              <w:rPr>
                <w:rFonts w:hint="eastAsia" w:ascii="宋体" w:hAnsi="宋体"/>
                <w:color w:val="auto"/>
                <w:kern w:val="2"/>
                <w:sz w:val="24"/>
                <w:szCs w:val="24"/>
                <w:highlight w:val="none"/>
              </w:rPr>
              <w:t>指定地点</w:t>
            </w:r>
          </w:p>
        </w:tc>
      </w:tr>
      <w:tr w14:paraId="35A19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807" w:type="dxa"/>
            <w:shd w:val="clear" w:color="auto" w:fill="auto"/>
            <w:vAlign w:val="center"/>
          </w:tcPr>
          <w:p w14:paraId="050FF542">
            <w:pPr>
              <w:jc w:val="center"/>
              <w:rPr>
                <w:rFonts w:hint="default" w:ascii="宋体" w:hAnsi="宋体" w:eastAsia="宋体" w:cs="宋体"/>
                <w:color w:val="auto"/>
                <w:sz w:val="22"/>
                <w:szCs w:val="22"/>
                <w:highlight w:val="none"/>
                <w:lang w:val="en-US" w:eastAsia="zh-CN" w:bidi="ar-SA"/>
              </w:rPr>
            </w:pPr>
            <w:r>
              <w:rPr>
                <w:rFonts w:hint="eastAsia" w:ascii="宋体" w:hAnsi="宋体" w:cs="宋体"/>
                <w:color w:val="auto"/>
                <w:sz w:val="22"/>
                <w:highlight w:val="none"/>
                <w:lang w:val="en-US" w:eastAsia="zh-CN"/>
              </w:rPr>
              <w:t>8</w:t>
            </w:r>
          </w:p>
        </w:tc>
        <w:tc>
          <w:tcPr>
            <w:tcW w:w="4062" w:type="dxa"/>
            <w:shd w:val="clear" w:color="auto" w:fill="auto"/>
            <w:vAlign w:val="center"/>
          </w:tcPr>
          <w:p w14:paraId="162820E0">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便携式多参数健康检测仪</w:t>
            </w:r>
          </w:p>
        </w:tc>
        <w:tc>
          <w:tcPr>
            <w:tcW w:w="1058" w:type="dxa"/>
            <w:shd w:val="clear" w:color="auto" w:fill="auto"/>
            <w:vAlign w:val="center"/>
          </w:tcPr>
          <w:p w14:paraId="20BF3AD1">
            <w:pPr>
              <w:jc w:val="center"/>
              <w:rPr>
                <w:rFonts w:hint="eastAsia" w:ascii="宋体" w:hAnsi="宋体" w:cs="宋体"/>
                <w:color w:val="auto"/>
                <w:sz w:val="22"/>
                <w:highlight w:val="none"/>
                <w:lang w:val="en-US" w:eastAsia="zh-CN"/>
              </w:rPr>
            </w:pPr>
            <w:r>
              <w:rPr>
                <w:rFonts w:hint="eastAsia" w:ascii="宋体" w:hAnsi="宋体" w:eastAsia="宋体" w:cs="宋体"/>
                <w:color w:val="auto"/>
                <w:sz w:val="24"/>
                <w:szCs w:val="24"/>
                <w:highlight w:val="none"/>
                <w:lang w:val="en-US" w:eastAsia="zh-CN"/>
              </w:rPr>
              <w:t>套</w:t>
            </w:r>
          </w:p>
        </w:tc>
        <w:tc>
          <w:tcPr>
            <w:tcW w:w="1304" w:type="dxa"/>
            <w:shd w:val="clear" w:color="auto" w:fill="auto"/>
            <w:vAlign w:val="center"/>
          </w:tcPr>
          <w:p w14:paraId="419FF14E">
            <w:pPr>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4"/>
                <w:szCs w:val="24"/>
                <w:highlight w:val="none"/>
                <w:lang w:val="en-US" w:eastAsia="zh-CN"/>
              </w:rPr>
              <w:t>1</w:t>
            </w:r>
          </w:p>
        </w:tc>
        <w:tc>
          <w:tcPr>
            <w:tcW w:w="3038" w:type="dxa"/>
            <w:vAlign w:val="center"/>
          </w:tcPr>
          <w:p w14:paraId="54DDF03F">
            <w:pPr>
              <w:jc w:val="both"/>
              <w:rPr>
                <w:rFonts w:hint="eastAsia" w:ascii="宋体" w:hAnsi="宋体" w:cs="宋体"/>
                <w:color w:val="auto"/>
                <w:sz w:val="24"/>
                <w:szCs w:val="24"/>
                <w:highlight w:val="none"/>
                <w:lang w:val="en-US" w:eastAsia="zh-CN"/>
              </w:rPr>
            </w:pPr>
            <w:r>
              <w:rPr>
                <w:rFonts w:hint="eastAsia" w:ascii="宋体" w:hAnsi="宋体"/>
                <w:color w:val="auto"/>
                <w:kern w:val="2"/>
                <w:sz w:val="24"/>
                <w:szCs w:val="24"/>
                <w:highlight w:val="none"/>
                <w:lang w:eastAsia="zh-CN"/>
              </w:rPr>
              <w:t>南京市秦淮区朝天宫社区卫生服务中心</w:t>
            </w:r>
            <w:r>
              <w:rPr>
                <w:rFonts w:hint="eastAsia" w:ascii="宋体" w:hAnsi="宋体"/>
                <w:color w:val="auto"/>
                <w:kern w:val="2"/>
                <w:sz w:val="24"/>
                <w:szCs w:val="24"/>
                <w:highlight w:val="none"/>
              </w:rPr>
              <w:t>指定地点</w:t>
            </w:r>
          </w:p>
        </w:tc>
      </w:tr>
      <w:tr w14:paraId="30751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807" w:type="dxa"/>
            <w:shd w:val="clear" w:color="auto" w:fill="auto"/>
            <w:vAlign w:val="center"/>
          </w:tcPr>
          <w:p w14:paraId="619DE61D">
            <w:pPr>
              <w:jc w:val="center"/>
              <w:rPr>
                <w:rFonts w:hint="default" w:ascii="宋体" w:hAnsi="宋体" w:eastAsia="宋体" w:cs="宋体"/>
                <w:color w:val="auto"/>
                <w:sz w:val="22"/>
                <w:szCs w:val="22"/>
                <w:highlight w:val="none"/>
                <w:lang w:val="en-US" w:eastAsia="zh-CN" w:bidi="ar-SA"/>
              </w:rPr>
            </w:pPr>
            <w:r>
              <w:rPr>
                <w:rFonts w:hint="eastAsia" w:ascii="宋体" w:hAnsi="宋体" w:cs="宋体"/>
                <w:color w:val="auto"/>
                <w:sz w:val="22"/>
                <w:highlight w:val="none"/>
                <w:lang w:val="en-US" w:eastAsia="zh-CN"/>
              </w:rPr>
              <w:t>9</w:t>
            </w:r>
          </w:p>
        </w:tc>
        <w:tc>
          <w:tcPr>
            <w:tcW w:w="4062" w:type="dxa"/>
            <w:shd w:val="clear" w:color="auto" w:fill="auto"/>
            <w:vAlign w:val="center"/>
          </w:tcPr>
          <w:p w14:paraId="610EC874">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人体成分分析仪</w:t>
            </w:r>
          </w:p>
        </w:tc>
        <w:tc>
          <w:tcPr>
            <w:tcW w:w="1058" w:type="dxa"/>
            <w:shd w:val="clear" w:color="auto" w:fill="auto"/>
            <w:vAlign w:val="center"/>
          </w:tcPr>
          <w:p w14:paraId="246A8BCC">
            <w:pPr>
              <w:jc w:val="center"/>
              <w:rPr>
                <w:rFonts w:hint="eastAsia" w:ascii="宋体" w:hAnsi="宋体" w:cs="宋体"/>
                <w:color w:val="auto"/>
                <w:sz w:val="22"/>
                <w:highlight w:val="none"/>
                <w:lang w:val="en-US" w:eastAsia="zh-CN"/>
              </w:rPr>
            </w:pPr>
            <w:r>
              <w:rPr>
                <w:rFonts w:hint="eastAsia" w:ascii="宋体" w:hAnsi="宋体" w:eastAsia="宋体" w:cs="宋体"/>
                <w:color w:val="auto"/>
                <w:sz w:val="24"/>
                <w:szCs w:val="24"/>
                <w:highlight w:val="none"/>
                <w:lang w:val="en-US" w:eastAsia="zh-CN"/>
              </w:rPr>
              <w:t>台</w:t>
            </w:r>
          </w:p>
        </w:tc>
        <w:tc>
          <w:tcPr>
            <w:tcW w:w="1304" w:type="dxa"/>
            <w:shd w:val="clear" w:color="auto" w:fill="auto"/>
            <w:vAlign w:val="center"/>
          </w:tcPr>
          <w:p w14:paraId="040CDA4D">
            <w:pPr>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4"/>
                <w:szCs w:val="24"/>
                <w:highlight w:val="none"/>
                <w:lang w:val="en-US" w:eastAsia="zh-CN"/>
              </w:rPr>
              <w:t>1</w:t>
            </w:r>
          </w:p>
        </w:tc>
        <w:tc>
          <w:tcPr>
            <w:tcW w:w="3038" w:type="dxa"/>
            <w:vAlign w:val="center"/>
          </w:tcPr>
          <w:p w14:paraId="20F8B5A0">
            <w:pPr>
              <w:jc w:val="both"/>
              <w:rPr>
                <w:rFonts w:hint="eastAsia" w:ascii="宋体" w:hAnsi="宋体" w:cs="宋体"/>
                <w:color w:val="auto"/>
                <w:sz w:val="24"/>
                <w:szCs w:val="24"/>
                <w:highlight w:val="none"/>
                <w:lang w:val="en-US" w:eastAsia="zh-CN"/>
              </w:rPr>
            </w:pPr>
            <w:r>
              <w:rPr>
                <w:rFonts w:hint="eastAsia" w:ascii="宋体" w:hAnsi="宋体"/>
                <w:color w:val="auto"/>
                <w:kern w:val="2"/>
                <w:sz w:val="24"/>
                <w:szCs w:val="24"/>
                <w:highlight w:val="none"/>
                <w:lang w:eastAsia="zh-CN"/>
              </w:rPr>
              <w:t>南京市秦淮区朝天宫社区卫生服务中心</w:t>
            </w:r>
            <w:r>
              <w:rPr>
                <w:rFonts w:hint="eastAsia" w:ascii="宋体" w:hAnsi="宋体"/>
                <w:color w:val="auto"/>
                <w:kern w:val="2"/>
                <w:sz w:val="24"/>
                <w:szCs w:val="24"/>
                <w:highlight w:val="none"/>
              </w:rPr>
              <w:t>指定地点</w:t>
            </w:r>
          </w:p>
        </w:tc>
      </w:tr>
      <w:tr w14:paraId="79875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807" w:type="dxa"/>
            <w:shd w:val="clear" w:color="auto" w:fill="auto"/>
            <w:vAlign w:val="center"/>
          </w:tcPr>
          <w:p w14:paraId="55F7C035">
            <w:pPr>
              <w:jc w:val="center"/>
              <w:rPr>
                <w:rFonts w:hint="default" w:ascii="宋体" w:hAnsi="宋体" w:eastAsia="宋体" w:cs="宋体"/>
                <w:color w:val="auto"/>
                <w:sz w:val="22"/>
                <w:szCs w:val="22"/>
                <w:highlight w:val="none"/>
                <w:lang w:val="en-US" w:eastAsia="zh-CN" w:bidi="ar-SA"/>
              </w:rPr>
            </w:pPr>
            <w:r>
              <w:rPr>
                <w:rFonts w:hint="eastAsia" w:ascii="宋体" w:hAnsi="宋体" w:cs="宋体"/>
                <w:color w:val="auto"/>
                <w:sz w:val="22"/>
                <w:highlight w:val="none"/>
                <w:lang w:val="en-US" w:eastAsia="zh-CN"/>
              </w:rPr>
              <w:t>10</w:t>
            </w:r>
          </w:p>
        </w:tc>
        <w:tc>
          <w:tcPr>
            <w:tcW w:w="4062" w:type="dxa"/>
            <w:shd w:val="clear" w:color="auto" w:fill="auto"/>
            <w:vAlign w:val="center"/>
          </w:tcPr>
          <w:p w14:paraId="7035DB9E">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跑步机 </w:t>
            </w:r>
          </w:p>
        </w:tc>
        <w:tc>
          <w:tcPr>
            <w:tcW w:w="1058" w:type="dxa"/>
            <w:shd w:val="clear" w:color="auto" w:fill="auto"/>
            <w:vAlign w:val="center"/>
          </w:tcPr>
          <w:p w14:paraId="34770AD3">
            <w:pPr>
              <w:jc w:val="center"/>
              <w:rPr>
                <w:rFonts w:hint="eastAsia" w:ascii="宋体" w:hAnsi="宋体" w:cs="宋体"/>
                <w:color w:val="auto"/>
                <w:sz w:val="22"/>
                <w:highlight w:val="none"/>
                <w:lang w:val="en-US" w:eastAsia="zh-CN"/>
              </w:rPr>
            </w:pPr>
            <w:r>
              <w:rPr>
                <w:rFonts w:hint="eastAsia" w:ascii="宋体" w:hAnsi="宋体" w:eastAsia="宋体" w:cs="宋体"/>
                <w:color w:val="auto"/>
                <w:sz w:val="24"/>
                <w:szCs w:val="24"/>
                <w:highlight w:val="none"/>
                <w:lang w:val="en-US" w:eastAsia="zh-CN"/>
              </w:rPr>
              <w:t>台</w:t>
            </w:r>
          </w:p>
        </w:tc>
        <w:tc>
          <w:tcPr>
            <w:tcW w:w="1304" w:type="dxa"/>
            <w:shd w:val="clear" w:color="auto" w:fill="auto"/>
            <w:vAlign w:val="center"/>
          </w:tcPr>
          <w:p w14:paraId="5D650C6A">
            <w:pPr>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4"/>
                <w:szCs w:val="24"/>
                <w:highlight w:val="none"/>
                <w:lang w:val="en-US" w:eastAsia="zh-CN"/>
              </w:rPr>
              <w:t>2</w:t>
            </w:r>
          </w:p>
        </w:tc>
        <w:tc>
          <w:tcPr>
            <w:tcW w:w="3038" w:type="dxa"/>
            <w:vAlign w:val="center"/>
          </w:tcPr>
          <w:p w14:paraId="55F050D6">
            <w:pPr>
              <w:jc w:val="both"/>
              <w:rPr>
                <w:rFonts w:hint="eastAsia" w:ascii="宋体" w:hAnsi="宋体" w:cs="宋体"/>
                <w:color w:val="auto"/>
                <w:sz w:val="24"/>
                <w:szCs w:val="24"/>
                <w:highlight w:val="none"/>
                <w:lang w:val="en-US" w:eastAsia="zh-CN"/>
              </w:rPr>
            </w:pPr>
            <w:r>
              <w:rPr>
                <w:rFonts w:hint="eastAsia" w:ascii="宋体" w:hAnsi="宋体"/>
                <w:color w:val="auto"/>
                <w:kern w:val="2"/>
                <w:sz w:val="24"/>
                <w:szCs w:val="24"/>
                <w:highlight w:val="none"/>
                <w:lang w:eastAsia="zh-CN"/>
              </w:rPr>
              <w:t>南京市秦淮区朝天宫社区卫生服务中心</w:t>
            </w:r>
            <w:r>
              <w:rPr>
                <w:rFonts w:hint="eastAsia" w:ascii="宋体" w:hAnsi="宋体"/>
                <w:color w:val="auto"/>
                <w:kern w:val="2"/>
                <w:sz w:val="24"/>
                <w:szCs w:val="24"/>
                <w:highlight w:val="none"/>
              </w:rPr>
              <w:t>指定地点</w:t>
            </w:r>
          </w:p>
        </w:tc>
      </w:tr>
      <w:tr w14:paraId="23208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807" w:type="dxa"/>
            <w:shd w:val="clear" w:color="auto" w:fill="auto"/>
            <w:vAlign w:val="center"/>
          </w:tcPr>
          <w:p w14:paraId="704FC8CD">
            <w:pPr>
              <w:jc w:val="center"/>
              <w:rPr>
                <w:rFonts w:hint="default" w:ascii="宋体" w:hAnsi="宋体" w:eastAsia="宋体" w:cs="宋体"/>
                <w:color w:val="auto"/>
                <w:sz w:val="22"/>
                <w:szCs w:val="22"/>
                <w:highlight w:val="none"/>
                <w:lang w:val="en-US" w:eastAsia="zh-CN" w:bidi="ar-SA"/>
              </w:rPr>
            </w:pPr>
            <w:r>
              <w:rPr>
                <w:rFonts w:hint="eastAsia" w:ascii="宋体" w:hAnsi="宋体" w:cs="宋体"/>
                <w:color w:val="auto"/>
                <w:sz w:val="22"/>
                <w:highlight w:val="none"/>
                <w:lang w:val="en-US" w:eastAsia="zh-CN"/>
              </w:rPr>
              <w:t>11</w:t>
            </w:r>
          </w:p>
        </w:tc>
        <w:tc>
          <w:tcPr>
            <w:tcW w:w="4062" w:type="dxa"/>
            <w:shd w:val="clear" w:color="auto" w:fill="auto"/>
            <w:vAlign w:val="center"/>
          </w:tcPr>
          <w:p w14:paraId="4EC299B4">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胸背部抗阻训练器 </w:t>
            </w:r>
          </w:p>
        </w:tc>
        <w:tc>
          <w:tcPr>
            <w:tcW w:w="1058" w:type="dxa"/>
            <w:shd w:val="clear" w:color="auto" w:fill="auto"/>
            <w:vAlign w:val="center"/>
          </w:tcPr>
          <w:p w14:paraId="56815653">
            <w:pPr>
              <w:jc w:val="center"/>
              <w:rPr>
                <w:rFonts w:hint="eastAsia" w:ascii="宋体" w:hAnsi="宋体" w:cs="宋体"/>
                <w:color w:val="auto"/>
                <w:sz w:val="22"/>
                <w:highlight w:val="none"/>
                <w:lang w:val="en-US" w:eastAsia="zh-CN"/>
              </w:rPr>
            </w:pPr>
            <w:r>
              <w:rPr>
                <w:rFonts w:hint="eastAsia" w:ascii="宋体" w:hAnsi="宋体" w:eastAsia="宋体" w:cs="宋体"/>
                <w:color w:val="auto"/>
                <w:sz w:val="24"/>
                <w:szCs w:val="24"/>
                <w:highlight w:val="none"/>
                <w:lang w:val="en-US" w:eastAsia="zh-CN"/>
              </w:rPr>
              <w:t>台</w:t>
            </w:r>
          </w:p>
        </w:tc>
        <w:tc>
          <w:tcPr>
            <w:tcW w:w="1304" w:type="dxa"/>
            <w:shd w:val="clear" w:color="auto" w:fill="auto"/>
            <w:vAlign w:val="center"/>
          </w:tcPr>
          <w:p w14:paraId="52C718A5">
            <w:pPr>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4"/>
                <w:szCs w:val="24"/>
                <w:highlight w:val="none"/>
                <w:lang w:val="en-US" w:eastAsia="zh-CN"/>
              </w:rPr>
              <w:t>1</w:t>
            </w:r>
          </w:p>
        </w:tc>
        <w:tc>
          <w:tcPr>
            <w:tcW w:w="3038" w:type="dxa"/>
            <w:vAlign w:val="center"/>
          </w:tcPr>
          <w:p w14:paraId="7E347AA5">
            <w:pPr>
              <w:jc w:val="both"/>
              <w:rPr>
                <w:rFonts w:hint="eastAsia" w:ascii="宋体" w:hAnsi="宋体" w:cs="宋体"/>
                <w:color w:val="auto"/>
                <w:sz w:val="24"/>
                <w:szCs w:val="24"/>
                <w:highlight w:val="none"/>
                <w:lang w:val="en-US" w:eastAsia="zh-CN"/>
              </w:rPr>
            </w:pPr>
            <w:r>
              <w:rPr>
                <w:rFonts w:hint="eastAsia" w:ascii="宋体" w:hAnsi="宋体"/>
                <w:color w:val="auto"/>
                <w:kern w:val="2"/>
                <w:sz w:val="24"/>
                <w:szCs w:val="24"/>
                <w:highlight w:val="none"/>
                <w:lang w:eastAsia="zh-CN"/>
              </w:rPr>
              <w:t>南京市秦淮区朝天宫社区卫生服务中心</w:t>
            </w:r>
            <w:r>
              <w:rPr>
                <w:rFonts w:hint="eastAsia" w:ascii="宋体" w:hAnsi="宋体"/>
                <w:color w:val="auto"/>
                <w:kern w:val="2"/>
                <w:sz w:val="24"/>
                <w:szCs w:val="24"/>
                <w:highlight w:val="none"/>
              </w:rPr>
              <w:t>指定地点</w:t>
            </w:r>
          </w:p>
        </w:tc>
      </w:tr>
      <w:tr w14:paraId="5AFFF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807" w:type="dxa"/>
            <w:shd w:val="clear" w:color="auto" w:fill="auto"/>
            <w:vAlign w:val="center"/>
          </w:tcPr>
          <w:p w14:paraId="2DA6AEA8">
            <w:pPr>
              <w:jc w:val="center"/>
              <w:rPr>
                <w:rFonts w:hint="default" w:ascii="宋体" w:hAnsi="宋体" w:eastAsia="宋体" w:cs="宋体"/>
                <w:color w:val="auto"/>
                <w:sz w:val="22"/>
                <w:szCs w:val="22"/>
                <w:highlight w:val="none"/>
                <w:lang w:val="en-US" w:eastAsia="zh-CN" w:bidi="ar-SA"/>
              </w:rPr>
            </w:pPr>
            <w:r>
              <w:rPr>
                <w:rFonts w:hint="eastAsia" w:ascii="宋体" w:hAnsi="宋体" w:cs="宋体"/>
                <w:color w:val="auto"/>
                <w:sz w:val="22"/>
                <w:highlight w:val="none"/>
                <w:lang w:val="en-US" w:eastAsia="zh-CN"/>
              </w:rPr>
              <w:t>12</w:t>
            </w:r>
          </w:p>
        </w:tc>
        <w:tc>
          <w:tcPr>
            <w:tcW w:w="4062" w:type="dxa"/>
            <w:shd w:val="clear" w:color="auto" w:fill="auto"/>
            <w:vAlign w:val="center"/>
          </w:tcPr>
          <w:p w14:paraId="3A9CCBC5">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下肢内收外展抗阻训练器 </w:t>
            </w:r>
          </w:p>
        </w:tc>
        <w:tc>
          <w:tcPr>
            <w:tcW w:w="1058" w:type="dxa"/>
            <w:shd w:val="clear" w:color="auto" w:fill="auto"/>
            <w:vAlign w:val="center"/>
          </w:tcPr>
          <w:p w14:paraId="7DE84913">
            <w:pPr>
              <w:jc w:val="center"/>
              <w:rPr>
                <w:rFonts w:hint="eastAsia" w:ascii="宋体" w:hAnsi="宋体" w:cs="宋体"/>
                <w:color w:val="auto"/>
                <w:sz w:val="22"/>
                <w:highlight w:val="none"/>
                <w:lang w:val="en-US" w:eastAsia="zh-CN"/>
              </w:rPr>
            </w:pPr>
            <w:r>
              <w:rPr>
                <w:rFonts w:hint="eastAsia" w:ascii="宋体" w:hAnsi="宋体" w:eastAsia="宋体" w:cs="宋体"/>
                <w:color w:val="auto"/>
                <w:sz w:val="24"/>
                <w:szCs w:val="24"/>
                <w:highlight w:val="none"/>
                <w:lang w:val="en-US" w:eastAsia="zh-CN"/>
              </w:rPr>
              <w:t>台</w:t>
            </w:r>
          </w:p>
        </w:tc>
        <w:tc>
          <w:tcPr>
            <w:tcW w:w="1304" w:type="dxa"/>
            <w:shd w:val="clear" w:color="auto" w:fill="auto"/>
            <w:vAlign w:val="center"/>
          </w:tcPr>
          <w:p w14:paraId="086F9FEB">
            <w:pPr>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4"/>
                <w:szCs w:val="24"/>
                <w:highlight w:val="none"/>
                <w:lang w:val="en-US" w:eastAsia="zh-CN"/>
              </w:rPr>
              <w:t>1</w:t>
            </w:r>
          </w:p>
        </w:tc>
        <w:tc>
          <w:tcPr>
            <w:tcW w:w="3038" w:type="dxa"/>
            <w:vAlign w:val="center"/>
          </w:tcPr>
          <w:p w14:paraId="7E11ADD5">
            <w:pPr>
              <w:jc w:val="both"/>
              <w:rPr>
                <w:rFonts w:hint="eastAsia" w:ascii="宋体" w:hAnsi="宋体" w:cs="宋体"/>
                <w:color w:val="auto"/>
                <w:sz w:val="24"/>
                <w:szCs w:val="24"/>
                <w:highlight w:val="none"/>
                <w:lang w:val="en-US" w:eastAsia="zh-CN"/>
              </w:rPr>
            </w:pPr>
            <w:r>
              <w:rPr>
                <w:rFonts w:hint="eastAsia" w:ascii="宋体" w:hAnsi="宋体"/>
                <w:color w:val="auto"/>
                <w:kern w:val="2"/>
                <w:sz w:val="24"/>
                <w:szCs w:val="24"/>
                <w:highlight w:val="none"/>
                <w:lang w:eastAsia="zh-CN"/>
              </w:rPr>
              <w:t>南京市秦淮区朝天宫社区卫生服务中心</w:t>
            </w:r>
            <w:r>
              <w:rPr>
                <w:rFonts w:hint="eastAsia" w:ascii="宋体" w:hAnsi="宋体"/>
                <w:color w:val="auto"/>
                <w:kern w:val="2"/>
                <w:sz w:val="24"/>
                <w:szCs w:val="24"/>
                <w:highlight w:val="none"/>
              </w:rPr>
              <w:t>指定地点</w:t>
            </w:r>
          </w:p>
        </w:tc>
      </w:tr>
      <w:tr w14:paraId="405B0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807" w:type="dxa"/>
            <w:shd w:val="clear" w:color="auto" w:fill="auto"/>
            <w:vAlign w:val="center"/>
          </w:tcPr>
          <w:p w14:paraId="3299B0C3">
            <w:pPr>
              <w:jc w:val="center"/>
              <w:rPr>
                <w:rFonts w:hint="default" w:ascii="宋体" w:hAnsi="宋体" w:eastAsia="宋体" w:cs="宋体"/>
                <w:color w:val="auto"/>
                <w:sz w:val="22"/>
                <w:szCs w:val="22"/>
                <w:highlight w:val="none"/>
                <w:lang w:val="en-US" w:eastAsia="zh-CN" w:bidi="ar-SA"/>
              </w:rPr>
            </w:pPr>
            <w:r>
              <w:rPr>
                <w:rFonts w:hint="eastAsia" w:ascii="宋体" w:hAnsi="宋体" w:cs="宋体"/>
                <w:color w:val="auto"/>
                <w:sz w:val="22"/>
                <w:highlight w:val="none"/>
                <w:lang w:val="en-US" w:eastAsia="zh-CN"/>
              </w:rPr>
              <w:t>13</w:t>
            </w:r>
          </w:p>
        </w:tc>
        <w:tc>
          <w:tcPr>
            <w:tcW w:w="4062" w:type="dxa"/>
            <w:shd w:val="clear" w:color="auto" w:fill="auto"/>
            <w:vAlign w:val="center"/>
          </w:tcPr>
          <w:p w14:paraId="4A51752E">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呼吸康复管理系统（含台车、</w:t>
            </w:r>
            <w:r>
              <w:rPr>
                <w:rFonts w:hint="eastAsia" w:ascii="宋体" w:hAnsi="宋体" w:cs="宋体"/>
                <w:color w:val="auto"/>
                <w:sz w:val="24"/>
                <w:szCs w:val="24"/>
                <w:highlight w:val="none"/>
                <w:lang w:val="en-US" w:eastAsia="zh-CN"/>
              </w:rPr>
              <w:t>工作站</w:t>
            </w:r>
            <w:r>
              <w:rPr>
                <w:rFonts w:hint="eastAsia" w:ascii="宋体" w:hAnsi="宋体" w:eastAsia="宋体" w:cs="宋体"/>
                <w:color w:val="auto"/>
                <w:sz w:val="24"/>
                <w:szCs w:val="24"/>
                <w:highlight w:val="none"/>
                <w:lang w:val="en-US" w:eastAsia="zh-CN"/>
              </w:rPr>
              <w:t xml:space="preserve">、打印机）（核心产品） </w:t>
            </w:r>
          </w:p>
        </w:tc>
        <w:tc>
          <w:tcPr>
            <w:tcW w:w="1058" w:type="dxa"/>
            <w:shd w:val="clear" w:color="auto" w:fill="auto"/>
            <w:vAlign w:val="center"/>
          </w:tcPr>
          <w:p w14:paraId="5E19914E">
            <w:pPr>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4"/>
                <w:szCs w:val="24"/>
                <w:highlight w:val="none"/>
                <w:lang w:val="en-US" w:eastAsia="zh-CN"/>
              </w:rPr>
              <w:t>台</w:t>
            </w:r>
          </w:p>
        </w:tc>
        <w:tc>
          <w:tcPr>
            <w:tcW w:w="1304" w:type="dxa"/>
            <w:shd w:val="clear" w:color="auto" w:fill="auto"/>
            <w:vAlign w:val="center"/>
          </w:tcPr>
          <w:p w14:paraId="4A6FEFDC">
            <w:pPr>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4"/>
                <w:szCs w:val="24"/>
                <w:highlight w:val="none"/>
                <w:lang w:val="en-US" w:eastAsia="zh-CN"/>
              </w:rPr>
              <w:t>1</w:t>
            </w:r>
          </w:p>
        </w:tc>
        <w:tc>
          <w:tcPr>
            <w:tcW w:w="3038" w:type="dxa"/>
            <w:shd w:val="clear" w:color="auto" w:fill="auto"/>
            <w:vAlign w:val="center"/>
          </w:tcPr>
          <w:p w14:paraId="5A70B7C4">
            <w:pPr>
              <w:jc w:val="both"/>
              <w:rPr>
                <w:rFonts w:hint="eastAsia" w:ascii="宋体" w:hAnsi="宋体" w:eastAsia="宋体" w:cs="宋体"/>
                <w:color w:val="auto"/>
                <w:sz w:val="24"/>
                <w:szCs w:val="24"/>
                <w:highlight w:val="none"/>
                <w:lang w:val="en-US" w:eastAsia="zh-CN" w:bidi="ar-SA"/>
              </w:rPr>
            </w:pPr>
            <w:r>
              <w:rPr>
                <w:rFonts w:hint="eastAsia" w:ascii="宋体" w:hAnsi="宋体"/>
                <w:color w:val="auto"/>
                <w:kern w:val="2"/>
                <w:sz w:val="24"/>
                <w:szCs w:val="24"/>
                <w:highlight w:val="none"/>
                <w:lang w:eastAsia="zh-CN"/>
              </w:rPr>
              <w:t>南京市秦淮区朝天宫社区卫生服务中心</w:t>
            </w:r>
            <w:r>
              <w:rPr>
                <w:rFonts w:hint="eastAsia" w:ascii="宋体" w:hAnsi="宋体"/>
                <w:color w:val="auto"/>
                <w:kern w:val="2"/>
                <w:sz w:val="24"/>
                <w:szCs w:val="24"/>
                <w:highlight w:val="none"/>
              </w:rPr>
              <w:t>指定地点</w:t>
            </w:r>
          </w:p>
        </w:tc>
      </w:tr>
      <w:tr w14:paraId="6FA5F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807" w:type="dxa"/>
            <w:shd w:val="clear" w:color="auto" w:fill="auto"/>
            <w:vAlign w:val="center"/>
          </w:tcPr>
          <w:p w14:paraId="599065D3">
            <w:pPr>
              <w:jc w:val="center"/>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highlight w:val="none"/>
                <w:lang w:val="en-US" w:eastAsia="zh-CN"/>
              </w:rPr>
              <w:t>14</w:t>
            </w:r>
          </w:p>
        </w:tc>
        <w:tc>
          <w:tcPr>
            <w:tcW w:w="4062" w:type="dxa"/>
            <w:shd w:val="clear" w:color="auto" w:fill="auto"/>
            <w:vAlign w:val="center"/>
          </w:tcPr>
          <w:p w14:paraId="4311F38B">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肺功能测试仪（肺功能仪）</w:t>
            </w:r>
          </w:p>
        </w:tc>
        <w:tc>
          <w:tcPr>
            <w:tcW w:w="1058" w:type="dxa"/>
            <w:shd w:val="clear" w:color="auto" w:fill="auto"/>
            <w:vAlign w:val="center"/>
          </w:tcPr>
          <w:p w14:paraId="55CF57BB">
            <w:pPr>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4"/>
                <w:szCs w:val="24"/>
                <w:highlight w:val="none"/>
                <w:lang w:val="en-US" w:eastAsia="zh-CN"/>
              </w:rPr>
              <w:t>台</w:t>
            </w:r>
          </w:p>
        </w:tc>
        <w:tc>
          <w:tcPr>
            <w:tcW w:w="1304" w:type="dxa"/>
            <w:shd w:val="clear" w:color="auto" w:fill="auto"/>
            <w:vAlign w:val="center"/>
          </w:tcPr>
          <w:p w14:paraId="1FB1DBAD">
            <w:pPr>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4"/>
                <w:szCs w:val="24"/>
                <w:highlight w:val="none"/>
                <w:lang w:val="en-US" w:eastAsia="zh-CN"/>
              </w:rPr>
              <w:t>1</w:t>
            </w:r>
          </w:p>
        </w:tc>
        <w:tc>
          <w:tcPr>
            <w:tcW w:w="3038" w:type="dxa"/>
            <w:shd w:val="clear" w:color="auto" w:fill="auto"/>
            <w:vAlign w:val="center"/>
          </w:tcPr>
          <w:p w14:paraId="41972F33">
            <w:pPr>
              <w:jc w:val="both"/>
              <w:rPr>
                <w:rFonts w:hint="eastAsia" w:ascii="宋体" w:hAnsi="宋体" w:eastAsia="宋体" w:cs="宋体"/>
                <w:color w:val="auto"/>
                <w:sz w:val="24"/>
                <w:szCs w:val="24"/>
                <w:highlight w:val="none"/>
                <w:lang w:val="en-US" w:eastAsia="zh-CN" w:bidi="ar-SA"/>
              </w:rPr>
            </w:pPr>
            <w:r>
              <w:rPr>
                <w:rFonts w:hint="eastAsia" w:ascii="宋体" w:hAnsi="宋体"/>
                <w:color w:val="auto"/>
                <w:kern w:val="2"/>
                <w:sz w:val="24"/>
                <w:szCs w:val="24"/>
                <w:highlight w:val="none"/>
                <w:lang w:eastAsia="zh-CN"/>
              </w:rPr>
              <w:t>南京市秦淮区朝天宫社区卫生服务中心</w:t>
            </w:r>
            <w:r>
              <w:rPr>
                <w:rFonts w:hint="eastAsia" w:ascii="宋体" w:hAnsi="宋体"/>
                <w:color w:val="auto"/>
                <w:kern w:val="2"/>
                <w:sz w:val="24"/>
                <w:szCs w:val="24"/>
                <w:highlight w:val="none"/>
              </w:rPr>
              <w:t>指定地点</w:t>
            </w:r>
          </w:p>
        </w:tc>
      </w:tr>
      <w:tr w14:paraId="39038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807" w:type="dxa"/>
            <w:shd w:val="clear" w:color="auto" w:fill="auto"/>
            <w:vAlign w:val="center"/>
          </w:tcPr>
          <w:p w14:paraId="3C8BDB20">
            <w:pPr>
              <w:jc w:val="center"/>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highlight w:val="none"/>
                <w:lang w:val="en-US" w:eastAsia="zh-CN"/>
              </w:rPr>
              <w:t>15</w:t>
            </w:r>
          </w:p>
        </w:tc>
        <w:tc>
          <w:tcPr>
            <w:tcW w:w="4062" w:type="dxa"/>
            <w:shd w:val="clear" w:color="auto" w:fill="auto"/>
            <w:vAlign w:val="center"/>
          </w:tcPr>
          <w:p w14:paraId="6772F7FD">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呼吸肌功能测定仪（呼吸压力计）</w:t>
            </w:r>
          </w:p>
        </w:tc>
        <w:tc>
          <w:tcPr>
            <w:tcW w:w="1058" w:type="dxa"/>
            <w:shd w:val="clear" w:color="auto" w:fill="auto"/>
            <w:vAlign w:val="center"/>
          </w:tcPr>
          <w:p w14:paraId="1E457CB6">
            <w:pPr>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4"/>
                <w:szCs w:val="24"/>
                <w:highlight w:val="none"/>
                <w:lang w:val="en-US" w:eastAsia="zh-CN"/>
              </w:rPr>
              <w:t>台</w:t>
            </w:r>
          </w:p>
        </w:tc>
        <w:tc>
          <w:tcPr>
            <w:tcW w:w="1304" w:type="dxa"/>
            <w:shd w:val="clear" w:color="auto" w:fill="auto"/>
            <w:vAlign w:val="center"/>
          </w:tcPr>
          <w:p w14:paraId="18545063">
            <w:pPr>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4"/>
                <w:szCs w:val="24"/>
                <w:highlight w:val="none"/>
                <w:lang w:val="en-US" w:eastAsia="zh-CN"/>
              </w:rPr>
              <w:t>1</w:t>
            </w:r>
          </w:p>
        </w:tc>
        <w:tc>
          <w:tcPr>
            <w:tcW w:w="3038" w:type="dxa"/>
            <w:shd w:val="clear" w:color="auto" w:fill="auto"/>
            <w:vAlign w:val="center"/>
          </w:tcPr>
          <w:p w14:paraId="32BD427C">
            <w:pPr>
              <w:jc w:val="both"/>
              <w:rPr>
                <w:rFonts w:hint="eastAsia" w:ascii="宋体" w:hAnsi="宋体" w:eastAsia="宋体" w:cs="宋体"/>
                <w:color w:val="auto"/>
                <w:sz w:val="24"/>
                <w:szCs w:val="24"/>
                <w:highlight w:val="none"/>
                <w:lang w:val="en-US" w:eastAsia="zh-CN" w:bidi="ar-SA"/>
              </w:rPr>
            </w:pPr>
            <w:r>
              <w:rPr>
                <w:rFonts w:hint="eastAsia" w:ascii="宋体" w:hAnsi="宋体"/>
                <w:color w:val="auto"/>
                <w:kern w:val="2"/>
                <w:sz w:val="24"/>
                <w:szCs w:val="24"/>
                <w:highlight w:val="none"/>
                <w:lang w:eastAsia="zh-CN"/>
              </w:rPr>
              <w:t>南京市秦淮区朝天宫社区卫生服务中心</w:t>
            </w:r>
            <w:r>
              <w:rPr>
                <w:rFonts w:hint="eastAsia" w:ascii="宋体" w:hAnsi="宋体"/>
                <w:color w:val="auto"/>
                <w:kern w:val="2"/>
                <w:sz w:val="24"/>
                <w:szCs w:val="24"/>
                <w:highlight w:val="none"/>
              </w:rPr>
              <w:t>指定地点</w:t>
            </w:r>
          </w:p>
        </w:tc>
      </w:tr>
      <w:tr w14:paraId="6FC54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807" w:type="dxa"/>
            <w:shd w:val="clear" w:color="auto" w:fill="auto"/>
            <w:vAlign w:val="center"/>
          </w:tcPr>
          <w:p w14:paraId="1CCA3B2C">
            <w:pPr>
              <w:jc w:val="center"/>
              <w:rPr>
                <w:rFonts w:hint="default" w:ascii="宋体" w:hAnsi="宋体" w:eastAsia="宋体" w:cs="宋体"/>
                <w:color w:val="auto"/>
                <w:sz w:val="22"/>
                <w:szCs w:val="22"/>
                <w:highlight w:val="none"/>
                <w:lang w:val="en-US" w:eastAsia="zh-CN" w:bidi="ar-SA"/>
              </w:rPr>
            </w:pPr>
            <w:r>
              <w:rPr>
                <w:rFonts w:hint="eastAsia" w:ascii="宋体" w:hAnsi="宋体" w:cs="宋体"/>
                <w:color w:val="auto"/>
                <w:sz w:val="22"/>
                <w:highlight w:val="none"/>
                <w:lang w:val="en-US" w:eastAsia="zh-CN"/>
              </w:rPr>
              <w:t>16</w:t>
            </w:r>
          </w:p>
        </w:tc>
        <w:tc>
          <w:tcPr>
            <w:tcW w:w="4062" w:type="dxa"/>
            <w:shd w:val="clear" w:color="auto" w:fill="auto"/>
            <w:vAlign w:val="center"/>
          </w:tcPr>
          <w:p w14:paraId="1BEEE64C">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智能呼吸训练器</w:t>
            </w:r>
          </w:p>
        </w:tc>
        <w:tc>
          <w:tcPr>
            <w:tcW w:w="1058" w:type="dxa"/>
            <w:shd w:val="clear" w:color="auto" w:fill="auto"/>
            <w:vAlign w:val="center"/>
          </w:tcPr>
          <w:p w14:paraId="4D7CAA23">
            <w:pPr>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4"/>
                <w:szCs w:val="24"/>
                <w:highlight w:val="none"/>
                <w:lang w:val="en-US" w:eastAsia="zh-CN"/>
              </w:rPr>
              <w:t>台</w:t>
            </w:r>
          </w:p>
        </w:tc>
        <w:tc>
          <w:tcPr>
            <w:tcW w:w="1304" w:type="dxa"/>
            <w:shd w:val="clear" w:color="auto" w:fill="auto"/>
            <w:vAlign w:val="center"/>
          </w:tcPr>
          <w:p w14:paraId="62A33212">
            <w:pPr>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4"/>
                <w:szCs w:val="24"/>
                <w:highlight w:val="none"/>
                <w:lang w:val="en-US" w:eastAsia="zh-CN"/>
              </w:rPr>
              <w:t>1</w:t>
            </w:r>
          </w:p>
        </w:tc>
        <w:tc>
          <w:tcPr>
            <w:tcW w:w="3038" w:type="dxa"/>
            <w:shd w:val="clear" w:color="auto" w:fill="auto"/>
            <w:vAlign w:val="center"/>
          </w:tcPr>
          <w:p w14:paraId="7E688020">
            <w:pPr>
              <w:jc w:val="both"/>
              <w:rPr>
                <w:rFonts w:hint="eastAsia" w:ascii="宋体" w:hAnsi="宋体" w:eastAsia="宋体" w:cs="宋体"/>
                <w:color w:val="auto"/>
                <w:sz w:val="24"/>
                <w:szCs w:val="24"/>
                <w:highlight w:val="none"/>
                <w:lang w:val="en-US" w:eastAsia="zh-CN" w:bidi="ar-SA"/>
              </w:rPr>
            </w:pPr>
            <w:r>
              <w:rPr>
                <w:rFonts w:hint="eastAsia" w:ascii="宋体" w:hAnsi="宋体"/>
                <w:color w:val="auto"/>
                <w:kern w:val="2"/>
                <w:sz w:val="24"/>
                <w:szCs w:val="24"/>
                <w:highlight w:val="none"/>
                <w:lang w:eastAsia="zh-CN"/>
              </w:rPr>
              <w:t>南京市秦淮区朝天宫社区卫生服务中心</w:t>
            </w:r>
            <w:r>
              <w:rPr>
                <w:rFonts w:hint="eastAsia" w:ascii="宋体" w:hAnsi="宋体"/>
                <w:color w:val="auto"/>
                <w:kern w:val="2"/>
                <w:sz w:val="24"/>
                <w:szCs w:val="24"/>
                <w:highlight w:val="none"/>
              </w:rPr>
              <w:t>指定地点</w:t>
            </w:r>
          </w:p>
        </w:tc>
      </w:tr>
    </w:tbl>
    <w:p w14:paraId="02087844">
      <w:pPr>
        <w:widowControl/>
        <w:jc w:val="left"/>
        <w:rPr>
          <w:rFonts w:hint="eastAsia" w:ascii="宋体" w:hAnsi="宋体"/>
          <w:b/>
          <w:bCs/>
          <w:color w:val="auto"/>
          <w:kern w:val="2"/>
          <w:sz w:val="32"/>
          <w:szCs w:val="32"/>
          <w:highlight w:val="none"/>
          <w14:ligatures w14:val="standardContextual"/>
        </w:rPr>
      </w:pPr>
      <w:r>
        <w:rPr>
          <w:rFonts w:hint="eastAsia" w:ascii="宋体" w:hAnsi="宋体"/>
          <w:b/>
          <w:bCs/>
          <w:color w:val="auto"/>
          <w:kern w:val="2"/>
          <w:sz w:val="32"/>
          <w:szCs w:val="32"/>
          <w:highlight w:val="none"/>
          <w14:ligatures w14:val="standardContextual"/>
        </w:rPr>
        <w:br w:type="page"/>
      </w:r>
    </w:p>
    <w:p w14:paraId="0B7DB8E6">
      <w:pPr>
        <w:widowControl/>
        <w:jc w:val="left"/>
        <w:rPr>
          <w:rFonts w:hint="eastAsia" w:ascii="宋体" w:hAnsi="宋体"/>
          <w:b/>
          <w:bCs/>
          <w:color w:val="auto"/>
          <w:kern w:val="2"/>
          <w:sz w:val="32"/>
          <w:szCs w:val="32"/>
          <w:highlight w:val="none"/>
          <w14:ligatures w14:val="standardContextual"/>
        </w:rPr>
        <w:sectPr>
          <w:footerReference r:id="rId4" w:type="default"/>
          <w:pgSz w:w="11906" w:h="16838"/>
          <w:pgMar w:top="1440" w:right="1083" w:bottom="1440" w:left="1083" w:header="851" w:footer="992" w:gutter="0"/>
          <w:pgNumType w:fmt="decimal" w:start="1"/>
          <w:cols w:space="1701" w:num="1"/>
          <w:docGrid w:linePitch="360" w:charSpace="0"/>
        </w:sectPr>
      </w:pPr>
    </w:p>
    <w:p w14:paraId="30411F4E">
      <w:pPr>
        <w:keepNext/>
        <w:keepLines/>
        <w:pageBreakBefore w:val="0"/>
        <w:widowControl w:val="0"/>
        <w:numPr>
          <w:ilvl w:val="0"/>
          <w:numId w:val="0"/>
        </w:numPr>
        <w:kinsoku/>
        <w:wordWrap/>
        <w:overflowPunct/>
        <w:topLinePunct w:val="0"/>
        <w:autoSpaceDE/>
        <w:autoSpaceDN/>
        <w:bidi w:val="0"/>
        <w:adjustRightInd/>
        <w:snapToGrid/>
        <w:spacing w:before="260" w:after="100" w:line="416" w:lineRule="auto"/>
        <w:jc w:val="left"/>
        <w:textAlignment w:val="auto"/>
        <w:outlineLvl w:val="1"/>
        <w:rPr>
          <w:rFonts w:hint="eastAsia" w:ascii="宋体" w:hAnsi="宋体"/>
          <w:b/>
          <w:bCs/>
          <w:color w:val="auto"/>
          <w:kern w:val="2"/>
          <w:sz w:val="32"/>
          <w:szCs w:val="32"/>
          <w:highlight w:val="none"/>
          <w14:ligatures w14:val="standardContextual"/>
        </w:rPr>
      </w:pPr>
      <w:r>
        <w:rPr>
          <w:rFonts w:hint="eastAsia" w:ascii="宋体" w:hAnsi="宋体"/>
          <w:b/>
          <w:bCs/>
          <w:color w:val="auto"/>
          <w:kern w:val="2"/>
          <w:sz w:val="32"/>
          <w:szCs w:val="32"/>
          <w:highlight w:val="none"/>
          <w:lang w:val="en-US" w:eastAsia="zh-CN"/>
          <w14:ligatures w14:val="standardContextual"/>
        </w:rPr>
        <w:t>二、</w:t>
      </w:r>
      <w:r>
        <w:rPr>
          <w:rFonts w:hint="eastAsia" w:ascii="宋体" w:hAnsi="宋体"/>
          <w:b/>
          <w:bCs/>
          <w:color w:val="auto"/>
          <w:kern w:val="2"/>
          <w:sz w:val="32"/>
          <w:szCs w:val="32"/>
          <w:highlight w:val="none"/>
          <w14:ligatures w14:val="standardContextual"/>
        </w:rPr>
        <w:t>技术要求</w:t>
      </w:r>
    </w:p>
    <w:p w14:paraId="0FD719E5">
      <w:pPr>
        <w:keepNext w:val="0"/>
        <w:keepLines w:val="0"/>
        <w:pageBreakBefore w:val="0"/>
        <w:widowControl w:val="0"/>
        <w:numPr>
          <w:ilvl w:val="0"/>
          <w:numId w:val="0"/>
        </w:numPr>
        <w:kinsoku/>
        <w:wordWrap/>
        <w:overflowPunct/>
        <w:topLinePunct w:val="0"/>
        <w:autoSpaceDE/>
        <w:autoSpaceDN/>
        <w:bidi w:val="0"/>
        <w:adjustRightInd/>
        <w:snapToGrid/>
        <w:spacing w:line="380" w:lineRule="exact"/>
        <w:textAlignment w:val="auto"/>
        <w:outlineLvl w:val="2"/>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品目1：基层慢病两筛三防智能管理系统</w:t>
      </w:r>
    </w:p>
    <w:p w14:paraId="3B865ED8">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48" w:leftChars="-120" w:hanging="600" w:hangingChars="25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系统包含糖尿病、高血压、慢阻肺、运动干预等模块。硬件设备可以物联，自动获取数据，每个模块符合基层慢病筛防中心对慢病（糖尿病、高血压、慢阻肺等）慢病的两筛三防流程，转诊标准符合慢病管理指南要求，有明确转诊提示。</w:t>
      </w:r>
    </w:p>
    <w:p w14:paraId="0754324B">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lang w:val="en-US" w:eastAsia="zh-CN"/>
        </w:rPr>
        <w:t>、手机端普查程序：根据医疗单位或者医生个人生成专属二维码，居民通过微信扫码，自我测评糖尿病、高血压、慢阻肺的患病风险。</w:t>
      </w:r>
    </w:p>
    <w:p w14:paraId="70672479">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3、疾病诊断：系统自动诊断糖尿病前期、糖尿病、高血压高值、高血压、慢阻肺等慢病，诊断标准符合孵化中心要求。可以自动对高血压进行分级。</w:t>
      </w:r>
    </w:p>
    <w:p w14:paraId="63CE255A">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4、中医体质辨识：包含33道以上题库，9大类型体质辨识，符合国家中医药管理局颁布的标准；智能判定，判定个人体质偏向，同时精准测评具有多个体质特征的人群。</w:t>
      </w:r>
    </w:p>
    <w:p w14:paraId="6218AEAF">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48" w:leftChars="-120" w:hanging="600" w:hangingChars="25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▲5、具有明确医防融合路径，有明确公卫和医疗服务的分工和流程融合。有村（站点）医生的筛查路径，</w:t>
      </w:r>
    </w:p>
    <w:p w14:paraId="6354C083">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6、具有视频问诊和远程教学门诊功能。</w:t>
      </w:r>
    </w:p>
    <w:p w14:paraId="65AA0EA8">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48" w:leftChars="-120" w:hanging="600" w:hangingChars="25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▲7、家庭医生签约：具备个性化家医签约服务功能，可以将慢病管理的内容纳入家医签约；完成签约后，根据算法,智能生成服务提醒、消息提醒、随访表，每次检查记录留存。</w:t>
      </w:r>
    </w:p>
    <w:p w14:paraId="7309A8E1">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48" w:leftChars="-120" w:hanging="600" w:hangingChars="25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8、数据统计：可以统计一筛、二筛、一防、二防、运动处方数量、三高共管人数等数据统计，统计标准和省csp建设要求一致。具备省下发csp管理数据上交表格一键下载。系统自动生成健康档案，档案生动、美观，具有csp标识等项目特色。</w:t>
      </w:r>
    </w:p>
    <w:p w14:paraId="43A7D2B1">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9、数据安全：平台须部署于采购人指定的本地服务器或卫健专网政务云内，符合等保三级及卫健系统网络与数据安全管理要求。系统权限采用RBAC模型，风险防护高，并且接触人员都会签订保密协议，登录日志、操作日志可查询、可溯源。</w:t>
      </w:r>
    </w:p>
    <w:p w14:paraId="1011AD80">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48" w:leftChars="-120" w:hanging="600" w:hangingChars="25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▲10、对接说明：该系统和此次采购的硬件设备能够互联互通，数据自动上传；</w:t>
      </w:r>
    </w:p>
    <w:p w14:paraId="4AE31B23">
      <w:pPr>
        <w:keepNext w:val="0"/>
        <w:keepLines w:val="0"/>
        <w:pageBreakBefore w:val="0"/>
        <w:widowControl w:val="0"/>
        <w:numPr>
          <w:ilvl w:val="0"/>
          <w:numId w:val="0"/>
        </w:numPr>
        <w:kinsoku/>
        <w:wordWrap/>
        <w:overflowPunct/>
        <w:topLinePunct w:val="0"/>
        <w:bidi w:val="0"/>
        <w:snapToGrid/>
        <w:spacing w:line="380" w:lineRule="exact"/>
        <w:textAlignment w:val="auto"/>
        <w:rPr>
          <w:rFonts w:hint="eastAsia" w:ascii="宋体" w:hAnsi="宋体" w:eastAsia="宋体" w:cs="宋体"/>
          <w:b w:val="0"/>
          <w:bCs/>
          <w:color w:val="auto"/>
          <w:sz w:val="24"/>
          <w:szCs w:val="24"/>
          <w:highlight w:val="none"/>
          <w:lang w:val="en-US" w:eastAsia="zh-CN"/>
        </w:rPr>
      </w:pPr>
    </w:p>
    <w:p w14:paraId="00821E81">
      <w:pPr>
        <w:keepNext w:val="0"/>
        <w:keepLines w:val="0"/>
        <w:pageBreakBefore w:val="0"/>
        <w:widowControl w:val="0"/>
        <w:numPr>
          <w:ilvl w:val="0"/>
          <w:numId w:val="0"/>
        </w:numPr>
        <w:kinsoku/>
        <w:wordWrap/>
        <w:overflowPunct/>
        <w:topLinePunct w:val="0"/>
        <w:autoSpaceDE/>
        <w:autoSpaceDN/>
        <w:bidi w:val="0"/>
        <w:adjustRightInd/>
        <w:snapToGrid/>
        <w:spacing w:line="380" w:lineRule="exact"/>
        <w:textAlignment w:val="auto"/>
        <w:outlineLvl w:val="2"/>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品目2：超声多普勒血流检测仪</w:t>
      </w:r>
      <w:r>
        <w:rPr>
          <w:rFonts w:hint="eastAsia" w:ascii="宋体" w:hAnsi="宋体" w:cs="宋体"/>
          <w:b/>
          <w:bCs w:val="0"/>
          <w:color w:val="auto"/>
          <w:sz w:val="24"/>
          <w:szCs w:val="24"/>
          <w:highlight w:val="none"/>
          <w:lang w:val="en-US" w:eastAsia="zh-CN"/>
        </w:rPr>
        <w:t>（核心产品）</w:t>
      </w:r>
    </w:p>
    <w:p w14:paraId="4AAF48D9">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48" w:leftChars="-120" w:hanging="600" w:hangingChars="25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▲1、具备标准开放式数据接口，中标后须在采购人要求期限内免费配合完成与本院慢病管理平台及 HIS 系统的联调对接（须提供接口对接及配合承诺函）。</w:t>
      </w:r>
    </w:p>
    <w:p w14:paraId="360E44D3">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2、显示屏可显示双向血流波形图、血流速度及脉率</w:t>
      </w:r>
    </w:p>
    <w:p w14:paraId="6950B94E">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3、 连续工作时间： ≥8小时</w:t>
      </w:r>
    </w:p>
    <w:p w14:paraId="5C9826B8">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48" w:leftChars="-120" w:hanging="600" w:hangingChars="25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▲4、测速范围：40～200 cm /s</w:t>
      </w:r>
    </w:p>
    <w:p w14:paraId="03CB7142">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5、超声探头频率： ≥8.0MHz ±10%</w:t>
      </w:r>
    </w:p>
    <w:p w14:paraId="108CE45B">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6、音频带宽：0.2 KHz～7.0 KHz</w:t>
      </w:r>
    </w:p>
    <w:p w14:paraId="1D520531">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7、自动增益，系统增益：&gt; 100dB</w:t>
      </w:r>
    </w:p>
    <w:p w14:paraId="46B5601F">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8、支持HIS、PACS等医疗信息系统通用的标准数据接口协议（提供投标人承诺函）</w:t>
      </w:r>
    </w:p>
    <w:p w14:paraId="75F3B488">
      <w:pPr>
        <w:keepNext w:val="0"/>
        <w:keepLines w:val="0"/>
        <w:pageBreakBefore w:val="0"/>
        <w:widowControl w:val="0"/>
        <w:numPr>
          <w:ilvl w:val="0"/>
          <w:numId w:val="0"/>
        </w:numPr>
        <w:kinsoku/>
        <w:wordWrap/>
        <w:overflowPunct/>
        <w:topLinePunct w:val="0"/>
        <w:bidi w:val="0"/>
        <w:snapToGrid/>
        <w:spacing w:line="380" w:lineRule="exact"/>
        <w:textAlignment w:val="auto"/>
        <w:rPr>
          <w:rFonts w:hint="eastAsia" w:ascii="宋体" w:hAnsi="宋体" w:eastAsia="宋体" w:cs="宋体"/>
          <w:b w:val="0"/>
          <w:bCs/>
          <w:color w:val="auto"/>
          <w:sz w:val="24"/>
          <w:szCs w:val="24"/>
          <w:highlight w:val="none"/>
          <w:lang w:val="en-US" w:eastAsia="zh-CN"/>
        </w:rPr>
      </w:pPr>
    </w:p>
    <w:p w14:paraId="79EEC363">
      <w:pPr>
        <w:keepNext w:val="0"/>
        <w:keepLines w:val="0"/>
        <w:pageBreakBefore w:val="0"/>
        <w:widowControl w:val="0"/>
        <w:numPr>
          <w:ilvl w:val="0"/>
          <w:numId w:val="0"/>
        </w:numPr>
        <w:kinsoku/>
        <w:wordWrap/>
        <w:overflowPunct/>
        <w:topLinePunct w:val="0"/>
        <w:autoSpaceDE/>
        <w:autoSpaceDN/>
        <w:bidi w:val="0"/>
        <w:adjustRightInd/>
        <w:snapToGrid/>
        <w:spacing w:line="380" w:lineRule="exact"/>
        <w:textAlignment w:val="auto"/>
        <w:outlineLvl w:val="2"/>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品目3：震动感觉阈值检测仪</w:t>
      </w:r>
    </w:p>
    <w:p w14:paraId="594EAF70">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1、震动电路电压：电压0-50V可调。</w:t>
      </w:r>
    </w:p>
    <w:p w14:paraId="3D4E6443">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2、震动频率：检测手柄震动头震动频率≤60HZ。</w:t>
      </w:r>
    </w:p>
    <w:p w14:paraId="47C8F4DA">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3、震动头振幅峰-峰值：振幅满足临床检测区间。</w:t>
      </w:r>
    </w:p>
    <w:p w14:paraId="5E7B85DC">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4、手柄有开始、记录2个功能键，开始键即可开始工作，也可以停止（归零）阈值。使用记录键后无需手动输入阈值。</w:t>
      </w:r>
    </w:p>
    <w:p w14:paraId="4935DD69">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5、专业智能分析软件，检测每个足底6个部位，自动平均值诊断，自动出结果，诊断结论自动生成，病例报告自动生成。</w:t>
      </w:r>
    </w:p>
    <w:p w14:paraId="01B1A1CB">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48" w:leftChars="-120" w:hanging="600" w:hangingChars="25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▲6、具备标准开放式数据接口，中标后须在采购人要求期限内免费配合完成与本院慢病管理平台及 HIS 系统的联调对接（须提供接口对接及配合承诺函）。</w:t>
      </w:r>
    </w:p>
    <w:p w14:paraId="026BC905">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7、支持HIS、PACS等医疗信息系统通用的标准数据接口协议（提供投标人承诺函）</w:t>
      </w:r>
    </w:p>
    <w:p w14:paraId="343F67D8">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8、包含配套：感觉神经检查套件（如尼龙丝、凉温觉、叩诊锤等）</w:t>
      </w:r>
    </w:p>
    <w:p w14:paraId="2B832B6F">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p>
    <w:p w14:paraId="4C2905AD">
      <w:pPr>
        <w:keepNext w:val="0"/>
        <w:keepLines w:val="0"/>
        <w:pageBreakBefore w:val="0"/>
        <w:widowControl w:val="0"/>
        <w:numPr>
          <w:ilvl w:val="0"/>
          <w:numId w:val="0"/>
        </w:numPr>
        <w:kinsoku/>
        <w:wordWrap/>
        <w:overflowPunct/>
        <w:topLinePunct w:val="0"/>
        <w:autoSpaceDE/>
        <w:autoSpaceDN/>
        <w:bidi w:val="0"/>
        <w:adjustRightInd/>
        <w:snapToGrid/>
        <w:spacing w:line="380" w:lineRule="exact"/>
        <w:textAlignment w:val="auto"/>
        <w:outlineLvl w:val="2"/>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品目4：</w:t>
      </w:r>
      <w:r>
        <w:rPr>
          <w:rFonts w:hint="eastAsia" w:ascii="宋体" w:hAnsi="宋体" w:cs="宋体"/>
          <w:b/>
          <w:bCs w:val="0"/>
          <w:color w:val="auto"/>
          <w:sz w:val="24"/>
          <w:szCs w:val="24"/>
          <w:highlight w:val="none"/>
          <w:lang w:val="en-US" w:eastAsia="zh-CN"/>
        </w:rPr>
        <w:t xml:space="preserve">动脉硬化检测仪（核心产品） </w:t>
      </w:r>
    </w:p>
    <w:p w14:paraId="0E25934A">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1、检测参数（包括但不限于）：ABI(踝臂指数)、BAI(臂踝指数)、UT(脉波上行时间)、MAP%(平均动脉压)、AI(反射波增强指数)、baPwv(踝臂脉搏波传导速度)。</w:t>
      </w:r>
    </w:p>
    <w:p w14:paraId="1141CE34">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2、血压测量工作原理：采用经过临床验证的无创血压精确测量技术。</w:t>
      </w:r>
    </w:p>
    <w:p w14:paraId="4C266850">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3、标配运动负荷试验模式软件: 含ABI历史数据趋势图、血压检测列表；支持上肢运动负荷试验、下肢运动负荷试验、平板运动负荷试验。</w:t>
      </w:r>
    </w:p>
    <w:p w14:paraId="46DBB3BD">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4、独立的系统维护软件：用户可进行气路静态气密性，心电，心音功能检测；</w:t>
      </w:r>
    </w:p>
    <w:p w14:paraId="03A16AC5">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48" w:leftChars="-120" w:hanging="600" w:hangingChars="25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▲5、可重复性:在静态连续低压状态下测量，在刻度范围内每一点重复测量的读数。读数之间相差:0mmHg:所有读数最大误差:+2mmHg。</w:t>
      </w:r>
    </w:p>
    <w:p w14:paraId="161DB8EE">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6、压力传感器准确性：±2mmHg。</w:t>
      </w:r>
    </w:p>
    <w:p w14:paraId="4CAFAF12">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7、PCG规格：0-300HZ</w:t>
      </w:r>
    </w:p>
    <w:p w14:paraId="3B7C80C1">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8、病人测量的身高范围：120-210cm</w:t>
      </w:r>
    </w:p>
    <w:p w14:paraId="578589BB">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48" w:leftChars="-120" w:hanging="600" w:hangingChars="25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▲9、具备标准开放式数据接口，中标后须在采购人要求期限内免费配合完成与本院慢病管理平台及 HIS 系统的联调对接（须提供接口对接及配合承诺函）</w:t>
      </w:r>
    </w:p>
    <w:p w14:paraId="7A2247FE">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10、支持HIS、PACS等医疗信息系统通用的标准数据接口协议（提供投标人承诺函）</w:t>
      </w:r>
    </w:p>
    <w:p w14:paraId="662F660C">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11、具备臂-踝脉搏波传导速度(PWV)的正常值范围参考数据库。</w:t>
      </w:r>
    </w:p>
    <w:p w14:paraId="7B5485D9">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12、设备使用年限≥8年。</w:t>
      </w:r>
    </w:p>
    <w:p w14:paraId="7203097C">
      <w:pPr>
        <w:keepNext w:val="0"/>
        <w:keepLines w:val="0"/>
        <w:pageBreakBefore w:val="0"/>
        <w:widowControl w:val="0"/>
        <w:numPr>
          <w:ilvl w:val="0"/>
          <w:numId w:val="0"/>
        </w:numPr>
        <w:kinsoku/>
        <w:wordWrap/>
        <w:overflowPunct/>
        <w:topLinePunct w:val="0"/>
        <w:bidi w:val="0"/>
        <w:snapToGrid/>
        <w:spacing w:line="380" w:lineRule="exact"/>
        <w:textAlignment w:val="auto"/>
        <w:rPr>
          <w:rFonts w:hint="eastAsia" w:ascii="宋体" w:hAnsi="宋体" w:eastAsia="宋体" w:cs="宋体"/>
          <w:b w:val="0"/>
          <w:bCs/>
          <w:color w:val="auto"/>
          <w:sz w:val="24"/>
          <w:szCs w:val="24"/>
          <w:highlight w:val="none"/>
          <w:lang w:val="en-US" w:eastAsia="zh-CN"/>
        </w:rPr>
      </w:pPr>
    </w:p>
    <w:p w14:paraId="0F129AA6">
      <w:pPr>
        <w:keepNext w:val="0"/>
        <w:keepLines w:val="0"/>
        <w:pageBreakBefore w:val="0"/>
        <w:widowControl w:val="0"/>
        <w:numPr>
          <w:ilvl w:val="0"/>
          <w:numId w:val="0"/>
        </w:numPr>
        <w:kinsoku/>
        <w:wordWrap/>
        <w:overflowPunct/>
        <w:topLinePunct w:val="0"/>
        <w:autoSpaceDE/>
        <w:autoSpaceDN/>
        <w:bidi w:val="0"/>
        <w:adjustRightInd/>
        <w:snapToGrid/>
        <w:spacing w:line="380" w:lineRule="exact"/>
        <w:textAlignment w:val="auto"/>
        <w:outlineLvl w:val="2"/>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品目5：上下肢康复运动训练器（智能物联网立式功率车）</w:t>
      </w:r>
    </w:p>
    <w:p w14:paraId="10D3E6B1">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1、通过患者身份证信息可自动获取运动处方信息；</w:t>
      </w:r>
    </w:p>
    <w:p w14:paraId="48764D15">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2、屏幕显示：为触控屏，且屏幕≥15寸，分辨率≥1920*1080；</w:t>
      </w:r>
    </w:p>
    <w:p w14:paraId="4BE4643F">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3、功能显示：速度\运动时间\功率\心率\血氧饱和度\呼吸率\心电图\血压；</w:t>
      </w:r>
    </w:p>
    <w:p w14:paraId="6504CAF2">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4、具有符合人体工学，座椅舒适，可调节座椅位置，多档可调，适应不同身高患者；</w:t>
      </w:r>
    </w:p>
    <w:p w14:paraId="4787B10A">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5、功率：功率控制，0~999W；</w:t>
      </w:r>
    </w:p>
    <w:p w14:paraId="383C5C47">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6、转速：显示转速数值为0-130转/分，误差不大于±3%或±1r/min，两者取大值；</w:t>
      </w:r>
    </w:p>
    <w:p w14:paraId="07B8A247">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7、噪音最大负荷工作状态下，噪声不超过60dB(A)；</w:t>
      </w:r>
    </w:p>
    <w:p w14:paraId="1E421746">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8、训练中止也可实现报告记录，提交报告生成数据存储；</w:t>
      </w:r>
    </w:p>
    <w:p w14:paraId="778C9499">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生理监测参数：</w:t>
      </w:r>
    </w:p>
    <w:p w14:paraId="6508076D">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9、监测设备为智能一体机设计，可实现对患者的心电、血氧、血压、心率等的实时监测，操作简单，数据传输稳定，不存在多设备间的信号干扰问题；</w:t>
      </w:r>
    </w:p>
    <w:p w14:paraId="16A387D8">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10、血压测量范围：0mm-260mmHg，分辨率：±1mmHg，准确度：±3mmHg；测量可重复性：≤5mmHg ；分辨率：1mmHg；脉率测量范围：0~250bpm；</w:t>
      </w:r>
    </w:p>
    <w:p w14:paraId="58E3B742">
      <w:pPr>
        <w:keepNext w:val="0"/>
        <w:keepLines w:val="0"/>
        <w:pageBreakBefore w:val="0"/>
        <w:widowControl w:val="0"/>
        <w:numPr>
          <w:ilvl w:val="0"/>
          <w:numId w:val="0"/>
        </w:numPr>
        <w:kinsoku/>
        <w:wordWrap/>
        <w:overflowPunct/>
        <w:topLinePunct w:val="0"/>
        <w:bidi w:val="0"/>
        <w:snapToGrid/>
        <w:spacing w:line="380" w:lineRule="exact"/>
        <w:textAlignment w:val="auto"/>
        <w:rPr>
          <w:rFonts w:hint="eastAsia" w:ascii="宋体" w:hAnsi="宋体" w:eastAsia="宋体" w:cs="宋体"/>
          <w:b w:val="0"/>
          <w:bCs/>
          <w:color w:val="auto"/>
          <w:sz w:val="24"/>
          <w:szCs w:val="24"/>
          <w:highlight w:val="none"/>
          <w:lang w:val="en-US" w:eastAsia="zh-CN"/>
        </w:rPr>
      </w:pPr>
    </w:p>
    <w:p w14:paraId="560FF03B">
      <w:pPr>
        <w:keepNext w:val="0"/>
        <w:keepLines w:val="0"/>
        <w:pageBreakBefore w:val="0"/>
        <w:widowControl w:val="0"/>
        <w:numPr>
          <w:ilvl w:val="0"/>
          <w:numId w:val="0"/>
        </w:numPr>
        <w:kinsoku/>
        <w:wordWrap/>
        <w:overflowPunct/>
        <w:topLinePunct w:val="0"/>
        <w:autoSpaceDE/>
        <w:autoSpaceDN/>
        <w:bidi w:val="0"/>
        <w:adjustRightInd/>
        <w:snapToGrid/>
        <w:spacing w:line="380" w:lineRule="exact"/>
        <w:textAlignment w:val="auto"/>
        <w:outlineLvl w:val="2"/>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品目6：康复数据处理软件（智能康复路径管理系统）</w:t>
      </w:r>
    </w:p>
    <w:p w14:paraId="2C2CE477">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1、系统具有患者管理、评估、分析、指导、训练、监护、医生管理、系统设置等功能模块。</w:t>
      </w:r>
    </w:p>
    <w:p w14:paraId="2B2D7A1E">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2、可实现患者病历管理，记录患者病历信息，方便医护人员回顾查看。</w:t>
      </w:r>
    </w:p>
    <w:p w14:paraId="7F178644">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48" w:leftChars="-120" w:hanging="600" w:hangingChars="25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▲3、运动评估功能 提供多模式运动评估数据对接，可对接模块有六分钟步行试验、心肺运动评估试验、肌力评估试验等。可连接配套的六分钟步行监测分析系统，对患者进行运动评估功能，采用六分钟步行试验设备对患者进行科学化运动耐力、心肺等级评估，评估记录及结果直接保存并提供运动处方。可扩展对接心肺运动试验数据。</w:t>
      </w:r>
    </w:p>
    <w:p w14:paraId="751C5C43">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48" w:leftChars="-120" w:hanging="600" w:hangingChars="25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4、支持医护工作站一对多的患者运动康复监测管理，医护工作站可远程监测中心内康复患者的运动过程数据，包括生理参数（心电、血压、血氧、呼吸率等）和运动参数（运动速度、功率或距离等）。生理监测采用一体机设备实时监测患者运动中≥6导心电图、血压、血氧、呼吸频率等参数。康复器械参数（阻力或功率）可远程干预设定；</w:t>
      </w:r>
    </w:p>
    <w:p w14:paraId="53915A76">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5、康复训练监测端（训练器械端）可实时显示运动处方参数和运动处方执行进度；</w:t>
      </w:r>
    </w:p>
    <w:p w14:paraId="5ED4DC8D">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48" w:leftChars="-120" w:hanging="600" w:hangingChars="25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▲6、具备标准开放式数据接口，中标后须在采购人要求期限内免费配合完成与本院慢病管理平台及 HIS 系统的联调对接（须提供接口对接及配合承诺函）。</w:t>
      </w:r>
    </w:p>
    <w:p w14:paraId="73B0C273">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7、支持HIS、PACS等医疗信息系统通用的标准数据接口协议（提供投标人承诺函）</w:t>
      </w:r>
    </w:p>
    <w:p w14:paraId="1C8CDC62">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8、可对接管理的设备包括：评估类、干预类、监测类。</w:t>
      </w:r>
    </w:p>
    <w:p w14:paraId="21C612D1">
      <w:pPr>
        <w:keepNext w:val="0"/>
        <w:keepLines w:val="0"/>
        <w:pageBreakBefore w:val="0"/>
        <w:widowControl w:val="0"/>
        <w:numPr>
          <w:ilvl w:val="0"/>
          <w:numId w:val="0"/>
        </w:numPr>
        <w:kinsoku/>
        <w:wordWrap/>
        <w:overflowPunct/>
        <w:topLinePunct w:val="0"/>
        <w:bidi w:val="0"/>
        <w:snapToGrid/>
        <w:spacing w:line="380" w:lineRule="exact"/>
        <w:textAlignment w:val="auto"/>
        <w:rPr>
          <w:rFonts w:hint="eastAsia" w:ascii="宋体" w:hAnsi="宋体" w:eastAsia="宋体" w:cs="宋体"/>
          <w:b w:val="0"/>
          <w:bCs/>
          <w:color w:val="auto"/>
          <w:sz w:val="24"/>
          <w:szCs w:val="24"/>
          <w:highlight w:val="none"/>
          <w:lang w:val="en-US" w:eastAsia="zh-CN"/>
        </w:rPr>
      </w:pPr>
    </w:p>
    <w:p w14:paraId="34D15A1A">
      <w:pPr>
        <w:keepNext w:val="0"/>
        <w:keepLines w:val="0"/>
        <w:pageBreakBefore w:val="0"/>
        <w:widowControl w:val="0"/>
        <w:numPr>
          <w:ilvl w:val="0"/>
          <w:numId w:val="0"/>
        </w:numPr>
        <w:kinsoku/>
        <w:wordWrap/>
        <w:overflowPunct/>
        <w:topLinePunct w:val="0"/>
        <w:autoSpaceDE/>
        <w:autoSpaceDN/>
        <w:bidi w:val="0"/>
        <w:adjustRightInd/>
        <w:snapToGrid/>
        <w:spacing w:line="380" w:lineRule="exact"/>
        <w:textAlignment w:val="auto"/>
        <w:outlineLvl w:val="2"/>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品目7：动态心肺功能数据分析软件</w:t>
      </w:r>
    </w:p>
    <w:p w14:paraId="683721D3">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系统参数：</w:t>
      </w:r>
    </w:p>
    <w:p w14:paraId="3B4B9802">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1、传输方式：非网络/WIFI无线远距离传输，无遮拦通讯距离≥35米；</w:t>
      </w:r>
    </w:p>
    <w:p w14:paraId="3606288A">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2、六分钟步行试验过程中工作站软件界面显示心率、呼吸率的实时统计曲线，形成趋势图，趋势图上每个点的数据支持鼠标点击查看；</w:t>
      </w:r>
    </w:p>
    <w:p w14:paraId="08EDEAE0">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3、工作站软件实时显示七导联心电图，系统可实现单个心电导联图增益0.5,1.0,2.0倍，可打印运动前、运动中、运动后的心电图，并可回放查看全程心电图，并自由截取打印任意心电图作为检测心电图；</w:t>
      </w:r>
    </w:p>
    <w:p w14:paraId="774F096A">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48" w:leftChars="-120" w:hanging="600" w:hangingChars="25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▲4、具有医疗监测移动工作站，配备独立的六分钟步行试验分析软件，具备智能语音指导提示及智能计时功能；</w:t>
      </w:r>
    </w:p>
    <w:p w14:paraId="7CCB068D">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5、具有紧急停止功能，六分钟步行试验过程中针对紧急情况，终止试验功能并出具试验报告，报告内包含试验终止前患者的各项生理参数、实际步行圈数及距离，生理参数趋势图等信息，分析试验终止原因；</w:t>
      </w:r>
    </w:p>
    <w:p w14:paraId="7F73147F">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6、支持 6 分钟步行试验全程实时指导检测，设备开机自动连接，数据实时传输与实时显示、实时存储，实现精准测量、精准评估；</w:t>
      </w:r>
    </w:p>
    <w:p w14:paraId="42EA452B">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7、患者完成 6 分钟步行试验后自动生成报告，报告可以打印，报告内容有：患者基本信息，心率、呼吸率、血氧、步数的静息期、试验中每分钟、恢复期的数据统计，心率、运动速率、血氧、呼吸频次的数据趋势分析，步行圈数、步行距离，实际距离与预测距离占比，心肺功能评级，Mets值，步态情况，运动处方，Borg评级，运动前中后心电图等；</w:t>
      </w:r>
    </w:p>
    <w:p w14:paraId="3CD3BDF1">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8、根据患者试验检测结果，自动制定运动康复处方和医生自编辑自定义个性化运动康复处方，包括靶心率、安全心率范围、运动模式、时间、节律、频率、注意事项等，支持多种靶心率计算方式。</w:t>
      </w:r>
    </w:p>
    <w:p w14:paraId="31591CEF">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48" w:leftChars="-120" w:hanging="600" w:hangingChars="25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▲9、具备标准开放式数据接口，中标后须在采购人要求期限内免费配合完成与本院慢病管理平台及 HIS 系统的联调对接（须提供接口对接及配合承诺函）；</w:t>
      </w:r>
    </w:p>
    <w:p w14:paraId="16F7CAD9">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48" w:leftChars="-120" w:hanging="600" w:hangingChars="25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w:t>
      </w:r>
      <w:r>
        <w:rPr>
          <w:rFonts w:hint="eastAsia" w:ascii="宋体" w:hAnsi="宋体" w:cs="宋体"/>
          <w:b w:val="0"/>
          <w:bCs/>
          <w:color w:val="auto"/>
          <w:sz w:val="24"/>
          <w:szCs w:val="24"/>
          <w:highlight w:val="none"/>
          <w:lang w:val="en-US" w:eastAsia="zh-CN"/>
        </w:rPr>
        <w:t>0</w:t>
      </w:r>
      <w:r>
        <w:rPr>
          <w:rFonts w:hint="eastAsia" w:ascii="宋体" w:hAnsi="宋体" w:eastAsia="宋体" w:cs="宋体"/>
          <w:b w:val="0"/>
          <w:bCs/>
          <w:color w:val="auto"/>
          <w:sz w:val="24"/>
          <w:szCs w:val="24"/>
          <w:highlight w:val="none"/>
          <w:lang w:val="en-US" w:eastAsia="zh-CN"/>
        </w:rPr>
        <w:t>、可以升级对接康复路径管理系统，实现患者信息互通，六分钟试验报告上传康复路径管理系统，形成康复数据统计表，包括：试验运动距离、METs、6MWD评级、borg呼吸疲劳评级等，形成康复趋势图，包括：心率、血氧、血压、呼吸率、肺功能指标等。</w:t>
      </w:r>
    </w:p>
    <w:p w14:paraId="33B77B4F">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11、支持HIS、PACS等医疗信息系统通用的标准数据接口协议（提供投标人承诺函）</w:t>
      </w:r>
    </w:p>
    <w:p w14:paraId="288FF06E">
      <w:pPr>
        <w:keepNext w:val="0"/>
        <w:keepLines w:val="0"/>
        <w:pageBreakBefore w:val="0"/>
        <w:widowControl w:val="0"/>
        <w:numPr>
          <w:ilvl w:val="0"/>
          <w:numId w:val="0"/>
        </w:numPr>
        <w:kinsoku/>
        <w:wordWrap/>
        <w:overflowPunct/>
        <w:topLinePunct w:val="0"/>
        <w:bidi w:val="0"/>
        <w:snapToGrid/>
        <w:spacing w:line="380" w:lineRule="exact"/>
        <w:textAlignment w:val="auto"/>
        <w:rPr>
          <w:rFonts w:hint="eastAsia" w:ascii="宋体" w:hAnsi="宋体" w:eastAsia="宋体" w:cs="宋体"/>
          <w:b w:val="0"/>
          <w:bCs/>
          <w:color w:val="auto"/>
          <w:sz w:val="24"/>
          <w:szCs w:val="24"/>
          <w:highlight w:val="none"/>
          <w:lang w:val="en-US" w:eastAsia="zh-CN"/>
        </w:rPr>
      </w:pPr>
    </w:p>
    <w:p w14:paraId="3C32AAFC">
      <w:pPr>
        <w:keepNext w:val="0"/>
        <w:keepLines w:val="0"/>
        <w:pageBreakBefore w:val="0"/>
        <w:widowControl w:val="0"/>
        <w:numPr>
          <w:ilvl w:val="0"/>
          <w:numId w:val="0"/>
        </w:numPr>
        <w:kinsoku/>
        <w:wordWrap/>
        <w:overflowPunct/>
        <w:topLinePunct w:val="0"/>
        <w:autoSpaceDE/>
        <w:autoSpaceDN/>
        <w:bidi w:val="0"/>
        <w:adjustRightInd/>
        <w:snapToGrid/>
        <w:spacing w:line="380" w:lineRule="exact"/>
        <w:textAlignment w:val="auto"/>
        <w:outlineLvl w:val="2"/>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品目8：便携式多参数健康检查仪</w:t>
      </w:r>
    </w:p>
    <w:p w14:paraId="7311B2EF">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48" w:leftChars="-120" w:hanging="600" w:hangingChars="25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▲1、多种参数集成一体机监测：同时检测≥6导心电，血压，血氧，心率，呼吸率，具备多参数实时监测、实时记录功能。</w:t>
      </w:r>
    </w:p>
    <w:p w14:paraId="757FD330">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2、检测功能参数：可实时监测，实时显示人实时记录多项生理参数数据，包括：</w:t>
      </w:r>
    </w:p>
    <w:p w14:paraId="74E87950">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48" w:leftChars="-120" w:hanging="600" w:hangingChars="25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▲2.1实时≥6导动态心电图，可打印运动前、运动中、运动后的心电图，并可回放查看全程心电图，自由截取试验过程中异常心电图并打印输出；</w:t>
      </w:r>
    </w:p>
    <w:p w14:paraId="7226DB9B">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2.2实时采集血氧饱和度；</w:t>
      </w:r>
    </w:p>
    <w:p w14:paraId="218165AB">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3、硬件参数</w:t>
      </w:r>
    </w:p>
    <w:p w14:paraId="2DA11E75">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3.1血氧饱和度测量原理：光学测量法、测量范围：30%~100%、分辨率：1%；精度：2%~3%；</w:t>
      </w:r>
    </w:p>
    <w:p w14:paraId="238D2373">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3.2血压部分</w:t>
      </w:r>
    </w:p>
    <w:p w14:paraId="10B67752">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测量数值：成人范围在：收缩压：30~255mmHg，平均压：20~235mmHg，舒张压：15~220mmHg</w:t>
      </w:r>
    </w:p>
    <w:p w14:paraId="3E25390D">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准确度范围为±3mmHg、脉率测量范围为0~255bpm</w:t>
      </w:r>
    </w:p>
    <w:p w14:paraId="0D36A9C2">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3.3心电图/心率部分心率范围需在15~300bpm，且测量精度在lbpm范围内</w:t>
      </w:r>
    </w:p>
    <w:p w14:paraId="06580B4F">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3.4操作设备为移动平板，具有智能操作系统。连接方式：WiFi或蓝牙</w:t>
      </w:r>
    </w:p>
    <w:p w14:paraId="65352DCF">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3.5显示屏尺寸需≥9.5英寸，显示屏分辨率需≥1280*800。</w:t>
      </w:r>
    </w:p>
    <w:p w14:paraId="18C88683">
      <w:pPr>
        <w:keepNext w:val="0"/>
        <w:keepLines w:val="0"/>
        <w:pageBreakBefore w:val="0"/>
        <w:widowControl w:val="0"/>
        <w:numPr>
          <w:ilvl w:val="0"/>
          <w:numId w:val="0"/>
        </w:numPr>
        <w:kinsoku/>
        <w:wordWrap/>
        <w:overflowPunct/>
        <w:topLinePunct w:val="0"/>
        <w:bidi w:val="0"/>
        <w:snapToGrid/>
        <w:spacing w:line="380" w:lineRule="exact"/>
        <w:textAlignment w:val="auto"/>
        <w:rPr>
          <w:rFonts w:hint="eastAsia" w:ascii="宋体" w:hAnsi="宋体" w:eastAsia="宋体" w:cs="宋体"/>
          <w:b w:val="0"/>
          <w:bCs/>
          <w:color w:val="auto"/>
          <w:sz w:val="24"/>
          <w:szCs w:val="24"/>
          <w:highlight w:val="none"/>
          <w:lang w:val="en-US" w:eastAsia="zh-CN"/>
        </w:rPr>
      </w:pPr>
    </w:p>
    <w:p w14:paraId="20241D12">
      <w:pPr>
        <w:keepNext w:val="0"/>
        <w:keepLines w:val="0"/>
        <w:pageBreakBefore w:val="0"/>
        <w:widowControl w:val="0"/>
        <w:numPr>
          <w:ilvl w:val="0"/>
          <w:numId w:val="0"/>
        </w:numPr>
        <w:kinsoku/>
        <w:wordWrap/>
        <w:overflowPunct/>
        <w:topLinePunct w:val="0"/>
        <w:autoSpaceDE/>
        <w:autoSpaceDN/>
        <w:bidi w:val="0"/>
        <w:adjustRightInd/>
        <w:snapToGrid/>
        <w:spacing w:line="380" w:lineRule="exact"/>
        <w:textAlignment w:val="auto"/>
        <w:outlineLvl w:val="2"/>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品目9：人体成分分析仪</w:t>
      </w:r>
    </w:p>
    <w:p w14:paraId="68070F7D">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1、工作原理：多频率生物电阻抗测量法（BIA 法）</w:t>
      </w:r>
    </w:p>
    <w:p w14:paraId="5636600B">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2、测量部位：5 个节段测量(右上肢、左上肢、躯干、右下肢、左下肢)</w:t>
      </w:r>
    </w:p>
    <w:p w14:paraId="1931FD14">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3、测量电极：8 点接触式电极</w:t>
      </w:r>
    </w:p>
    <w:p w14:paraId="76F52CEF">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4、测量频率：采用多频率生物电阻抗测量法（涵盖低、中、高频段，如50KHZ,250KHZ等常用频率），测量电流：≤350 μA</w:t>
      </w:r>
    </w:p>
    <w:p w14:paraId="3F33FC0B">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5、测量手柄：手柄及连接主机为软线线缆，便于不同身高人群灵活测量。</w:t>
      </w:r>
    </w:p>
    <w:p w14:paraId="2BC2C5B5">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6、输出指标：总水分、蛋白质、无机盐、体脂肪量、体重、肌肉量、去脂体重、骨骼肌肉量、身体质量指数、体脂肪率、腰臀比、内脏脂肪阶段、体重控制、体型判定、营养评估、肌肉评估及结果打分等。</w:t>
      </w:r>
    </w:p>
    <w:p w14:paraId="443F03E7">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7、体型判定：隐形肥胖、脂肪过量、肥胖、低体重、标准体型、超重肌肉型、低脂肪低体重、低脂肪肌肉型、运动员型九种体型判定，并采用坐标轴图示。</w:t>
      </w:r>
    </w:p>
    <w:p w14:paraId="1868D943">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8、阻抗测量范围：20-1200Ω,误差≤3%。</w:t>
      </w:r>
    </w:p>
    <w:p w14:paraId="32D712F5">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9、体重测量范围：5-250kg</w:t>
      </w:r>
    </w:p>
    <w:p w14:paraId="156C62FD">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10、身高支持输入范围：90-249cm</w:t>
      </w:r>
    </w:p>
    <w:p w14:paraId="6DBD32BA">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48" w:leftChars="-120" w:hanging="600" w:hangingChars="25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▲11、具备标准开放式数据接口，中标后须在采购人要求期限内免费配合完成与本院慢病管理平台及 HIS 系统的联调对接（须提供接口对接及配合承诺函）</w:t>
      </w:r>
    </w:p>
    <w:p w14:paraId="42382FB7">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12、支持HIS、PACS等医疗信息系统通用的标准数据接口协议（提供投标人承诺函）</w:t>
      </w:r>
    </w:p>
    <w:p w14:paraId="33E840D5">
      <w:pPr>
        <w:keepNext w:val="0"/>
        <w:keepLines w:val="0"/>
        <w:pageBreakBefore w:val="0"/>
        <w:widowControl w:val="0"/>
        <w:numPr>
          <w:ilvl w:val="0"/>
          <w:numId w:val="0"/>
        </w:numPr>
        <w:kinsoku/>
        <w:wordWrap/>
        <w:overflowPunct/>
        <w:topLinePunct w:val="0"/>
        <w:bidi w:val="0"/>
        <w:snapToGrid/>
        <w:spacing w:line="380" w:lineRule="exact"/>
        <w:textAlignment w:val="auto"/>
        <w:rPr>
          <w:rFonts w:hint="eastAsia" w:ascii="宋体" w:hAnsi="宋体" w:eastAsia="宋体" w:cs="宋体"/>
          <w:b w:val="0"/>
          <w:bCs/>
          <w:color w:val="auto"/>
          <w:sz w:val="24"/>
          <w:szCs w:val="24"/>
          <w:highlight w:val="none"/>
          <w:lang w:val="en-US" w:eastAsia="zh-CN"/>
        </w:rPr>
      </w:pPr>
    </w:p>
    <w:p w14:paraId="48356581">
      <w:pPr>
        <w:keepNext w:val="0"/>
        <w:keepLines w:val="0"/>
        <w:pageBreakBefore w:val="0"/>
        <w:widowControl w:val="0"/>
        <w:numPr>
          <w:ilvl w:val="0"/>
          <w:numId w:val="0"/>
        </w:numPr>
        <w:kinsoku/>
        <w:wordWrap/>
        <w:overflowPunct/>
        <w:topLinePunct w:val="0"/>
        <w:autoSpaceDE/>
        <w:autoSpaceDN/>
        <w:bidi w:val="0"/>
        <w:adjustRightInd/>
        <w:snapToGrid/>
        <w:spacing w:line="380" w:lineRule="exact"/>
        <w:textAlignment w:val="auto"/>
        <w:outlineLvl w:val="2"/>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品目10：跑步机</w:t>
      </w:r>
    </w:p>
    <w:p w14:paraId="1C08D50D">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1、功能：电动控制下进行步态和步行训练。通过调节步行速度、坡度提高步行活动强度。适合于各类患者的耐力训练、步态训练、下肢关节活动范围练习。可配合减重步态训练器进行练</w:t>
      </w:r>
    </w:p>
    <w:p w14:paraId="2FDE489B">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2、输输出功率：（1500W）2.5HP；</w:t>
      </w:r>
    </w:p>
    <w:p w14:paraId="3B50DCA7">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3、输入电压：220V（50HZ）；</w:t>
      </w:r>
    </w:p>
    <w:p w14:paraId="3ADC9212">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4、速度范围：1.0—14km/h；</w:t>
      </w:r>
    </w:p>
    <w:p w14:paraId="02A65380">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5、额定载重：≥110kg；</w:t>
      </w:r>
    </w:p>
    <w:p w14:paraId="6C4372EC">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p>
    <w:p w14:paraId="369AE644">
      <w:pPr>
        <w:keepNext w:val="0"/>
        <w:keepLines w:val="0"/>
        <w:pageBreakBefore w:val="0"/>
        <w:widowControl w:val="0"/>
        <w:numPr>
          <w:ilvl w:val="0"/>
          <w:numId w:val="0"/>
        </w:numPr>
        <w:kinsoku/>
        <w:wordWrap/>
        <w:overflowPunct/>
        <w:topLinePunct w:val="0"/>
        <w:autoSpaceDE/>
        <w:autoSpaceDN/>
        <w:bidi w:val="0"/>
        <w:adjustRightInd/>
        <w:snapToGrid/>
        <w:spacing w:line="380" w:lineRule="exact"/>
        <w:textAlignment w:val="auto"/>
        <w:outlineLvl w:val="2"/>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品目11：胸背部抗阻训练器</w:t>
      </w:r>
    </w:p>
    <w:p w14:paraId="20233AEF">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1、承重：≥150kg</w:t>
      </w:r>
    </w:p>
    <w:p w14:paraId="3AA0DCC2">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2、液压阻力系统，活塞式运动，阻力柔和无惯性。双向液压阻尼，10档阻力调节；</w:t>
      </w:r>
    </w:p>
    <w:p w14:paraId="08ACA264">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3、用途:用于对关节功能障碍患者进行康复训练；       </w:t>
      </w:r>
    </w:p>
    <w:p w14:paraId="49965382">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p>
    <w:p w14:paraId="306CCA7A">
      <w:pPr>
        <w:keepNext w:val="0"/>
        <w:keepLines w:val="0"/>
        <w:pageBreakBefore w:val="0"/>
        <w:widowControl w:val="0"/>
        <w:numPr>
          <w:ilvl w:val="0"/>
          <w:numId w:val="0"/>
        </w:numPr>
        <w:kinsoku/>
        <w:wordWrap/>
        <w:overflowPunct/>
        <w:topLinePunct w:val="0"/>
        <w:autoSpaceDE/>
        <w:autoSpaceDN/>
        <w:bidi w:val="0"/>
        <w:adjustRightInd/>
        <w:snapToGrid/>
        <w:spacing w:line="380" w:lineRule="exact"/>
        <w:textAlignment w:val="auto"/>
        <w:outlineLvl w:val="2"/>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品目12：下肢内收外展抗阻训练器</w:t>
      </w:r>
    </w:p>
    <w:p w14:paraId="1B9F368A">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1、承重：≥150kg；</w:t>
      </w:r>
    </w:p>
    <w:p w14:paraId="35AC9208">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2、液压阻力系统，活塞式运动，阻力柔和无惯性。双向液压阻尼，10档阻力调节；</w:t>
      </w:r>
    </w:p>
    <w:p w14:paraId="4CFF585C">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3、用途:用于对下肢关节功能障碍患者进行康复训练；</w:t>
      </w:r>
    </w:p>
    <w:p w14:paraId="4FE9A5E0">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p>
    <w:p w14:paraId="67C1296A">
      <w:pPr>
        <w:keepNext w:val="0"/>
        <w:keepLines w:val="0"/>
        <w:pageBreakBefore w:val="0"/>
        <w:widowControl w:val="0"/>
        <w:numPr>
          <w:ilvl w:val="0"/>
          <w:numId w:val="0"/>
        </w:numPr>
        <w:kinsoku/>
        <w:wordWrap/>
        <w:overflowPunct/>
        <w:topLinePunct w:val="0"/>
        <w:autoSpaceDE/>
        <w:autoSpaceDN/>
        <w:bidi w:val="0"/>
        <w:adjustRightInd/>
        <w:snapToGrid/>
        <w:spacing w:line="380" w:lineRule="exact"/>
        <w:textAlignment w:val="auto"/>
        <w:outlineLvl w:val="2"/>
        <w:rPr>
          <w:rFonts w:hint="eastAsia" w:ascii="宋体" w:hAnsi="宋体" w:eastAsia="宋体" w:cs="宋体"/>
          <w:b/>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品目13：</w:t>
      </w:r>
      <w:r>
        <w:rPr>
          <w:rFonts w:hint="eastAsia" w:ascii="宋体" w:hAnsi="宋体" w:eastAsia="宋体" w:cs="宋体"/>
          <w:b/>
          <w:bCs/>
          <w:color w:val="auto"/>
          <w:sz w:val="24"/>
          <w:szCs w:val="24"/>
          <w:highlight w:val="none"/>
          <w:lang w:val="en-US" w:eastAsia="zh-CN"/>
        </w:rPr>
        <w:t>呼吸康复管理系统（含台车、</w:t>
      </w:r>
      <w:r>
        <w:rPr>
          <w:rFonts w:hint="eastAsia" w:ascii="宋体" w:hAnsi="宋体" w:cs="宋体"/>
          <w:b/>
          <w:bCs/>
          <w:color w:val="auto"/>
          <w:sz w:val="24"/>
          <w:szCs w:val="24"/>
          <w:highlight w:val="none"/>
          <w:lang w:val="en-US" w:eastAsia="zh-CN"/>
        </w:rPr>
        <w:t>工作站</w:t>
      </w:r>
      <w:r>
        <w:rPr>
          <w:rFonts w:hint="eastAsia" w:ascii="宋体" w:hAnsi="宋体" w:eastAsia="宋体" w:cs="宋体"/>
          <w:b/>
          <w:bCs/>
          <w:color w:val="auto"/>
          <w:sz w:val="24"/>
          <w:szCs w:val="24"/>
          <w:highlight w:val="none"/>
          <w:lang w:val="en-US" w:eastAsia="zh-CN"/>
        </w:rPr>
        <w:t xml:space="preserve">、打印机）（核心产品） </w:t>
      </w:r>
    </w:p>
    <w:p w14:paraId="19FD83C1">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1、具备患者管理功能，可创建患者角色并录入基本信息，包括但不限于姓名、性别、身份证、住院号等信息；</w:t>
      </w:r>
    </w:p>
    <w:p w14:paraId="03A7623E">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2、具备综合评估功能，提供多维度评估数据，包括评估问卷，呼吸肌力测定等；</w:t>
      </w:r>
    </w:p>
    <w:p w14:paraId="65D295F1">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3、评估问卷包括borg量表，SDS问卷，呼吸康复综合评估问卷等；</w:t>
      </w:r>
    </w:p>
    <w:p w14:paraId="63D8E0F1">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4、具备运动处方功能，可新增处方，查看处方历史详情；</w:t>
      </w:r>
    </w:p>
    <w:p w14:paraId="6C6D9D4E">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5、具备执行情况功能，可查看呼吸康复处方的执行情况，呼吸训练报告等；</w:t>
      </w:r>
    </w:p>
    <w:p w14:paraId="2FA3C4FF">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6、具备统计分析功能，可查看全部患者的统计概览和某个患者的康复数据统计列表；</w:t>
      </w:r>
    </w:p>
    <w:p w14:paraId="0EAA9787">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7、账号管理及设置模块：账号及密码管理，账户基本信息配置，版本升级、设备管理、数据同步、多账号权限管理等；</w:t>
      </w:r>
    </w:p>
    <w:p w14:paraId="7680F27C">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8、可对系统内多个执行端的参数进行分类管理；</w:t>
      </w:r>
    </w:p>
    <w:p w14:paraId="61C83D72">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48" w:leftChars="-120" w:hanging="600" w:hangingChars="25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▲9、可通过局域网部署，支持扩展接入互联网的功能；</w:t>
      </w:r>
    </w:p>
    <w:p w14:paraId="69F1AF35">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10、支持HIS、PACS等医疗信息系统通用的标准数据接口协议（提供投标人承诺函）</w:t>
      </w:r>
    </w:p>
    <w:p w14:paraId="2C643F71">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11、支持与院内其它管理系统的数据对接；</w:t>
      </w:r>
    </w:p>
    <w:p w14:paraId="21FC4F16">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12、配备工作站（电脑一体机）一台，配备专用台车一辆，配备打印机一台；</w:t>
      </w:r>
    </w:p>
    <w:p w14:paraId="47783C67">
      <w:pPr>
        <w:keepNext w:val="0"/>
        <w:keepLines w:val="0"/>
        <w:pageBreakBefore w:val="0"/>
        <w:widowControl w:val="0"/>
        <w:numPr>
          <w:ilvl w:val="0"/>
          <w:numId w:val="0"/>
        </w:numPr>
        <w:kinsoku/>
        <w:wordWrap/>
        <w:overflowPunct/>
        <w:topLinePunct w:val="0"/>
        <w:bidi w:val="0"/>
        <w:snapToGrid/>
        <w:spacing w:line="380" w:lineRule="exact"/>
        <w:textAlignment w:val="auto"/>
        <w:rPr>
          <w:rFonts w:hint="eastAsia" w:ascii="宋体" w:hAnsi="宋体" w:eastAsia="宋体" w:cs="宋体"/>
          <w:b w:val="0"/>
          <w:bCs/>
          <w:color w:val="auto"/>
          <w:sz w:val="24"/>
          <w:szCs w:val="24"/>
          <w:highlight w:val="none"/>
          <w:lang w:val="en-US" w:eastAsia="zh-CN"/>
        </w:rPr>
      </w:pPr>
    </w:p>
    <w:p w14:paraId="5068A266">
      <w:pPr>
        <w:keepNext w:val="0"/>
        <w:keepLines w:val="0"/>
        <w:pageBreakBefore w:val="0"/>
        <w:widowControl w:val="0"/>
        <w:numPr>
          <w:ilvl w:val="0"/>
          <w:numId w:val="0"/>
        </w:numPr>
        <w:kinsoku/>
        <w:wordWrap/>
        <w:overflowPunct/>
        <w:topLinePunct w:val="0"/>
        <w:autoSpaceDE/>
        <w:autoSpaceDN/>
        <w:bidi w:val="0"/>
        <w:adjustRightInd/>
        <w:snapToGrid/>
        <w:spacing w:line="380" w:lineRule="exact"/>
        <w:textAlignment w:val="auto"/>
        <w:outlineLvl w:val="2"/>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品目14：肺功能测试仪（肺功能仪）</w:t>
      </w:r>
    </w:p>
    <w:p w14:paraId="66F3B930">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1、传感器技术：采用高精度流速传感器；</w:t>
      </w:r>
    </w:p>
    <w:p w14:paraId="059D4557">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firstLine="360" w:firstLine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容量：范围：(0～10)L，最大示值误差：±3％或±0.05L（取大值）</w:t>
      </w:r>
    </w:p>
    <w:p w14:paraId="247C05F0">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firstLine="360" w:firstLine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流速：范围：(0～16)L/s，最大示值误差：±5％或±0.17L/s（取大值）</w:t>
      </w:r>
    </w:p>
    <w:p w14:paraId="7F4153FD">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2、机器10.1寸液晶触摸显示屏，可测量参数包括用力肺活量FVC、慢肺活量SVC、肺活量VC、每分钟最大通气量MVV、静息分钟通气量MV等相关功能共100多项参数</w:t>
      </w:r>
    </w:p>
    <w:p w14:paraId="68278097">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2.1用力肺活量测试（FVC）：FVC、FEV0.5、FEV1、FEV3、FEV6、V backextrapol.ex、FVC IN（FIVC）、FIV0.5、FIV1、V backextrapol.in、FEV1/FVC、PEF、FEF25、FEF50、FEF75、FEF25/75、MEF25、MEF50、MEF75、MMEF25/75、MEF、MMF、PIF、PIF50、MIF、FET、FEF200-1200、T backextrapol.ex、T backextrapol.in、FEV1%FVC、FEV3%FVC、FEV1%VC IN、FEV1%VC EX、FEV1%VC MAX、FEV1*30、V backextrapol.%FVC、FEF50%FVC50%、FIV1%FVC、FIV1%VC MAX、FEF50%FIF50、FEV1%FIV1、VBEin%FVCin、ELA、FVC%P、FEV1%P、PEF%P、MMEF75/25%P、FEF25/75%P、MEF25%P、MEF50%P、MEF75%P、FEF25%P、FEF50%P、FEF75%P、（FEV1 1% FVC1）%P等；</w:t>
      </w:r>
    </w:p>
    <w:p w14:paraId="468F951F">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2.2慢肺活量测试 （SVC）：VC、VC MAX、VC IN、VC EX、IC、IC%P、IRV、IRV%P、ERV、ERV%P、VC%P、VT、VT%P、MV、TIN、TEX、TTOT、BF、BF%P、TIN/TTON、TEX/TTON、TIN/TEX、VC% 等；</w:t>
      </w:r>
    </w:p>
    <w:p w14:paraId="64716DA9">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2.3每分钟最大通气量（MVV）：MVV、MVV%P、VT MVV、TIME MVV、BF MVV、MVV% 等；</w:t>
      </w:r>
    </w:p>
    <w:p w14:paraId="19D0342D">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2.4静息分钟通气量（MV）：RR MV、BR、VR、TV MV、tI MV、tE MV、ttot MV等；</w:t>
      </w:r>
    </w:p>
    <w:p w14:paraId="6FAF586F">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48" w:leftChars="-120" w:hanging="600" w:hangingChars="25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▲3、可进行用药前用药后试验，支气管舒张试验、支气管激发试验；​</w:t>
      </w:r>
    </w:p>
    <w:p w14:paraId="6E7961F9">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4、双向检测：可双向连续检测及实时显示动态曲线（流量-容积曲线、容积-时间曲线），必须使用可将咬嘴置于口腔后连贯完成吸气和呼气动作；</w:t>
      </w:r>
    </w:p>
    <w:p w14:paraId="42350CC5">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5、便携式设计及数据传输：方便床旁检测，携带方便，支持USB连接，肺功能仪手柄可直接连接：笔记本电脑、台式电脑、便携机等以满足不同情况的肺功能检测；</w:t>
      </w:r>
    </w:p>
    <w:p w14:paraId="31895F3C">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6、打印模式：内置热敏打印，快速生成≥200mm大尺寸检测报告，也可连接PC打印A4报告、远程诊断打印报告，</w:t>
      </w:r>
    </w:p>
    <w:p w14:paraId="40C00581">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7、可通过测量值与预期值的比率显示测试者状况，具有多次测量显示最好值和趋势图功能。</w:t>
      </w:r>
    </w:p>
    <w:p w14:paraId="623904BB">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8、检测年龄：6-100岁。</w:t>
      </w:r>
    </w:p>
    <w:p w14:paraId="68A846F2">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48" w:leftChars="-120" w:hanging="600" w:hangingChars="25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w:t>
      </w:r>
      <w:r>
        <w:rPr>
          <w:rFonts w:hint="eastAsia" w:ascii="宋体" w:hAnsi="宋体" w:cs="宋体"/>
          <w:b w:val="0"/>
          <w:bCs/>
          <w:color w:val="auto"/>
          <w:sz w:val="24"/>
          <w:szCs w:val="24"/>
          <w:highlight w:val="none"/>
          <w:lang w:val="en-US" w:eastAsia="zh-CN"/>
        </w:rPr>
        <w:t>9</w:t>
      </w:r>
      <w:r>
        <w:rPr>
          <w:rFonts w:hint="eastAsia" w:ascii="宋体" w:hAnsi="宋体" w:eastAsia="宋体" w:cs="宋体"/>
          <w:b w:val="0"/>
          <w:bCs/>
          <w:color w:val="auto"/>
          <w:sz w:val="24"/>
          <w:szCs w:val="24"/>
          <w:highlight w:val="none"/>
          <w:lang w:val="en-US" w:eastAsia="zh-CN"/>
        </w:rPr>
        <w:t>、产品标配上机软件。</w:t>
      </w:r>
    </w:p>
    <w:p w14:paraId="6EF9FA20">
      <w:pPr>
        <w:keepNext w:val="0"/>
        <w:keepLines w:val="0"/>
        <w:pageBreakBefore w:val="0"/>
        <w:widowControl w:val="0"/>
        <w:numPr>
          <w:ilvl w:val="0"/>
          <w:numId w:val="0"/>
        </w:numPr>
        <w:kinsoku/>
        <w:wordWrap/>
        <w:overflowPunct/>
        <w:topLinePunct w:val="0"/>
        <w:bidi w:val="0"/>
        <w:snapToGrid/>
        <w:spacing w:line="380" w:lineRule="exact"/>
        <w:textAlignment w:val="auto"/>
        <w:rPr>
          <w:rFonts w:hint="eastAsia" w:ascii="宋体" w:hAnsi="宋体" w:eastAsia="宋体" w:cs="宋体"/>
          <w:b w:val="0"/>
          <w:bCs/>
          <w:color w:val="auto"/>
          <w:sz w:val="24"/>
          <w:szCs w:val="24"/>
          <w:highlight w:val="none"/>
          <w:lang w:val="en-US" w:eastAsia="zh-CN"/>
        </w:rPr>
      </w:pPr>
    </w:p>
    <w:p w14:paraId="03041F06">
      <w:pPr>
        <w:keepNext w:val="0"/>
        <w:keepLines w:val="0"/>
        <w:pageBreakBefore w:val="0"/>
        <w:widowControl w:val="0"/>
        <w:numPr>
          <w:ilvl w:val="0"/>
          <w:numId w:val="0"/>
        </w:numPr>
        <w:kinsoku/>
        <w:wordWrap/>
        <w:overflowPunct/>
        <w:topLinePunct w:val="0"/>
        <w:autoSpaceDE/>
        <w:autoSpaceDN/>
        <w:bidi w:val="0"/>
        <w:adjustRightInd/>
        <w:snapToGrid/>
        <w:spacing w:line="380" w:lineRule="exact"/>
        <w:textAlignment w:val="auto"/>
        <w:outlineLvl w:val="2"/>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品目15：呼吸肌功能测定仪（呼吸压力计）</w:t>
      </w:r>
    </w:p>
    <w:p w14:paraId="2FBC1512">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1、呼吸评估模块</w:t>
      </w:r>
    </w:p>
    <w:p w14:paraId="2623F4E5">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1.1、具备呼吸肌评估功能，可检测最大呼气压（MEP），最大吸气压（MIP）；</w:t>
      </w:r>
    </w:p>
    <w:p w14:paraId="4B6045F8">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1.2、可显示呼吸肌力评估曲线，显示评估数值；</w:t>
      </w:r>
    </w:p>
    <w:p w14:paraId="78ACB032">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48" w:leftChars="-120" w:hanging="600" w:hangingChars="25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▲1.3、具备质控功能，提示评估结果的重复性和一致性；</w:t>
      </w:r>
    </w:p>
    <w:p w14:paraId="490FEF2E">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1.4、具备报告生成功能，可打印A4纸报告；</w:t>
      </w:r>
    </w:p>
    <w:p w14:paraId="429E1505">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1.5、具备问卷评估功能，包括但不限于呼吸困难评分问卷，营养风险筛查问卷等；</w:t>
      </w:r>
    </w:p>
    <w:p w14:paraId="3E73E416">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2、呼吸训练模块</w:t>
      </w:r>
    </w:p>
    <w:p w14:paraId="3E0FFF20">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2.1、具备吸气训练功能，呼气训练功能；</w:t>
      </w:r>
    </w:p>
    <w:p w14:paraId="3EC4F050">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2.2、训练抗阻可调，调节范围1-200cm水柱，调节步进单位是1cm水柱； </w:t>
      </w:r>
    </w:p>
    <w:p w14:paraId="589B6056">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48" w:leftChars="-120" w:hanging="600" w:hangingChars="25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▲2.3、训练次数可调，调节范围1-999次，调节步进单位是1次；</w:t>
      </w:r>
    </w:p>
    <w:p w14:paraId="27E986CF">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2.4、训练参数包含训练阻抗、完成次数、训练时长、通气容积等；</w:t>
      </w:r>
    </w:p>
    <w:p w14:paraId="0C2461EF">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2.5、具备呼吸训练游戏交互功能，以提高训练的趣味性和依从性；</w:t>
      </w:r>
    </w:p>
    <w:p w14:paraId="2999D4F7">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3、气道廓清模块</w:t>
      </w:r>
    </w:p>
    <w:p w14:paraId="2CC587DD">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3.1、具备呼气振荡正压气道廓清功能</w:t>
      </w:r>
    </w:p>
    <w:p w14:paraId="3E76A639">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3.2、呼气正压范围可调，调节范围≥10档；</w:t>
      </w:r>
    </w:p>
    <w:p w14:paraId="5346F834">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3.3、振荡范围可调，调节范围5-16Hz；</w:t>
      </w:r>
    </w:p>
    <w:p w14:paraId="6BBF66F9">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48" w:leftChars="-120" w:hanging="600" w:hangingChars="25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▲3.4、具备视频引导功能，帮助患者自主完成气道廓清治疗；</w:t>
      </w:r>
    </w:p>
    <w:p w14:paraId="4920B5EE">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4、吸入药评估训练模块</w:t>
      </w:r>
    </w:p>
    <w:p w14:paraId="55973059">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4.1、支持吸入药评估功能和吸入药训练功能；</w:t>
      </w:r>
    </w:p>
    <w:p w14:paraId="506C933B">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4.2、吸入给药评估:自动设置不同阻力装置，并测量最大吸气流量，平均有效吸气流量，有效吸气时长，有效吸气容积，有效吸气容积占比，吸药后的屏气时间等指标;</w:t>
      </w:r>
    </w:p>
    <w:p w14:paraId="1B9E6789">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4.3、提供吸入装置评估报告；</w:t>
      </w:r>
    </w:p>
    <w:p w14:paraId="66DAF44B">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48" w:leftChars="-120" w:hanging="600" w:hangingChars="25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▲4.4、吸入给药训练功能：能模拟临床常见吸入装置（如气雾剂、干粉吸入剂等，不少于 10 种），并测量训练时的吸气峰流量，吸气时间，有效吸气时间，平均有效吸气流量，吸气后的屏气时间等参数；</w:t>
      </w:r>
    </w:p>
    <w:p w14:paraId="4A6B804E">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4.5、提供吸入装置训练报告。</w:t>
      </w:r>
    </w:p>
    <w:p w14:paraId="4B1783E7">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5、具备防止交叉感染防控的恰当措施，可拆卸、清洗训练阻力阀；</w:t>
      </w:r>
    </w:p>
    <w:p w14:paraId="3E4A7ADB">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6、LCD液晶屏幕，物理按键，避免液体干扰导致的误操作，保证患者使用安全；</w:t>
      </w:r>
    </w:p>
    <w:p w14:paraId="142757A2">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48" w:leftChars="-120" w:hanging="600" w:hangingChars="25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▲7、支持单台仪器离线工作，支持与智能平板电脑扩展端联机工作；</w:t>
      </w:r>
    </w:p>
    <w:p w14:paraId="0207DB54">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8、具备历史数据回溯查看功能，支持查看患者历次评估报告，并可打印；</w:t>
      </w:r>
    </w:p>
    <w:p w14:paraId="5619F4A6">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9、具备患者信息管理功能：包括姓名、性别、年龄、联系电话、门诊号/住院号、身体测量数据录入等，可设置必选项和非必选项；</w:t>
      </w:r>
    </w:p>
    <w:p w14:paraId="2352C6C9">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10、具备科室信息管理功能：包括医院名称，科室名称，设置医生等。</w:t>
      </w:r>
    </w:p>
    <w:p w14:paraId="528C7F11">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p>
    <w:p w14:paraId="7C844C0C">
      <w:pPr>
        <w:keepNext w:val="0"/>
        <w:keepLines w:val="0"/>
        <w:pageBreakBefore w:val="0"/>
        <w:widowControl w:val="0"/>
        <w:numPr>
          <w:ilvl w:val="0"/>
          <w:numId w:val="0"/>
        </w:numPr>
        <w:kinsoku/>
        <w:wordWrap/>
        <w:overflowPunct/>
        <w:topLinePunct w:val="0"/>
        <w:autoSpaceDE/>
        <w:autoSpaceDN/>
        <w:bidi w:val="0"/>
        <w:adjustRightInd/>
        <w:snapToGrid/>
        <w:spacing w:line="380" w:lineRule="exact"/>
        <w:textAlignment w:val="auto"/>
        <w:outlineLvl w:val="2"/>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品目16：智能呼吸训练器</w:t>
      </w:r>
    </w:p>
    <w:p w14:paraId="2089BF4A">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1、支持吸气肌训练和呼气肌训练；</w:t>
      </w:r>
    </w:p>
    <w:p w14:paraId="37764159">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2、训练阻抗调节范围1-200cm水柱，调节步进单位是1cm水柱； </w:t>
      </w:r>
    </w:p>
    <w:p w14:paraId="32EE0504">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3、具备震荡排痰功能，振动排痰频率范围5 - 16Hz，</w:t>
      </w:r>
    </w:p>
    <w:p w14:paraId="223C2E44">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4、训练参数包含训练阻抗、完成次数、训练时长、通气容积；</w:t>
      </w:r>
    </w:p>
    <w:p w14:paraId="5DD02039">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5、按键及屏幕：LCD液晶屏幕，物理按键，避免污染环境下误操作；</w:t>
      </w:r>
    </w:p>
    <w:p w14:paraId="302E4FE0">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360" w:hanging="360" w:hangingChars="15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6、具备防止交叉感染防控的恰当措施，例如拆卸、清洗、消毒训练阻力阀；</w:t>
      </w:r>
    </w:p>
    <w:p w14:paraId="63C93D29">
      <w:pPr>
        <w:keepNext w:val="0"/>
        <w:keepLines w:val="0"/>
        <w:pageBreakBefore w:val="0"/>
        <w:widowControl w:val="0"/>
        <w:kinsoku/>
        <w:wordWrap/>
        <w:overflowPunct/>
        <w:topLinePunct w:val="0"/>
        <w:autoSpaceDE/>
        <w:autoSpaceDN/>
        <w:bidi w:val="0"/>
        <w:adjustRightInd/>
        <w:snapToGrid/>
        <w:spacing w:before="260" w:after="100"/>
        <w:textAlignment w:val="auto"/>
        <w:rPr>
          <w:rFonts w:hint="eastAsia" w:ascii="宋体" w:hAnsi="宋体" w:eastAsia="宋体"/>
          <w:b/>
          <w:bCs/>
          <w:color w:val="auto"/>
          <w:kern w:val="2"/>
          <w:sz w:val="32"/>
          <w:szCs w:val="32"/>
          <w:highlight w:val="none"/>
          <w:lang w:val="en-US" w:eastAsia="zh-CN"/>
          <w14:ligatures w14:val="standardContextual"/>
        </w:rPr>
      </w:pPr>
      <w:bookmarkStart w:id="134" w:name="_Toc186207370"/>
      <w:r>
        <w:rPr>
          <w:rFonts w:hint="eastAsia" w:ascii="宋体" w:hAnsi="宋体" w:eastAsia="宋体"/>
          <w:b/>
          <w:bCs/>
          <w:color w:val="auto"/>
          <w:kern w:val="2"/>
          <w:sz w:val="32"/>
          <w:szCs w:val="32"/>
          <w:highlight w:val="none"/>
          <w:lang w:val="en-US" w:eastAsia="zh-CN"/>
          <w14:ligatures w14:val="standardContextual"/>
        </w:rPr>
        <w:t>三、</w:t>
      </w:r>
      <w:r>
        <w:rPr>
          <w:rFonts w:hint="eastAsia" w:ascii="宋体" w:hAnsi="宋体"/>
          <w:b/>
          <w:bCs/>
          <w:color w:val="auto"/>
          <w:kern w:val="2"/>
          <w:sz w:val="32"/>
          <w:szCs w:val="32"/>
          <w:highlight w:val="none"/>
          <w:lang w:val="en-US" w:eastAsia="zh-CN"/>
          <w14:ligatures w14:val="standardContextual"/>
        </w:rPr>
        <w:t>商务要求</w:t>
      </w:r>
      <w:bookmarkEnd w:id="134"/>
    </w:p>
    <w:p w14:paraId="2CA51996">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1、产品质量证明文件</w:t>
      </w:r>
    </w:p>
    <w:p w14:paraId="3E23F33D">
      <w:pPr>
        <w:keepNext w:val="0"/>
        <w:keepLines w:val="0"/>
        <w:pageBreakBefore w:val="0"/>
        <w:widowControl w:val="0"/>
        <w:kinsoku/>
        <w:wordWrap/>
        <w:overflowPunct/>
        <w:topLinePunct w:val="0"/>
        <w:autoSpaceDE/>
        <w:autoSpaceDN/>
        <w:bidi w:val="0"/>
        <w:adjustRightInd/>
        <w:snapToGrid/>
        <w:spacing w:line="400" w:lineRule="exact"/>
        <w:ind w:left="735" w:leftChars="3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（1）售后服务承诺书</w:t>
      </w:r>
    </w:p>
    <w:p w14:paraId="6BA6D01C">
      <w:pPr>
        <w:keepNext w:val="0"/>
        <w:keepLines w:val="0"/>
        <w:pageBreakBefore w:val="0"/>
        <w:widowControl w:val="0"/>
        <w:kinsoku/>
        <w:wordWrap/>
        <w:overflowPunct/>
        <w:topLinePunct w:val="0"/>
        <w:autoSpaceDE/>
        <w:autoSpaceDN/>
        <w:bidi w:val="0"/>
        <w:adjustRightInd/>
        <w:snapToGrid/>
        <w:spacing w:line="400" w:lineRule="exact"/>
        <w:ind w:left="735" w:leftChars="3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（2）国家质检中心检验报告（复印件）</w:t>
      </w:r>
    </w:p>
    <w:p w14:paraId="7AB81083">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2、运输、安装、调试</w:t>
      </w:r>
    </w:p>
    <w:p w14:paraId="43D44512">
      <w:pPr>
        <w:keepNext w:val="0"/>
        <w:keepLines w:val="0"/>
        <w:pageBreakBefore w:val="0"/>
        <w:widowControl w:val="0"/>
        <w:kinsoku/>
        <w:wordWrap/>
        <w:overflowPunct/>
        <w:topLinePunct w:val="0"/>
        <w:autoSpaceDE/>
        <w:autoSpaceDN/>
        <w:bidi w:val="0"/>
        <w:adjustRightInd/>
        <w:snapToGrid/>
        <w:spacing w:line="400" w:lineRule="exact"/>
        <w:ind w:left="420"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由中标人负责承担，</w:t>
      </w:r>
      <w:r>
        <w:rPr>
          <w:rFonts w:hint="eastAsia" w:ascii="宋体" w:hAnsi="宋体" w:cs="宋体"/>
          <w:color w:val="auto"/>
          <w:sz w:val="24"/>
          <w:szCs w:val="24"/>
          <w:highlight w:val="none"/>
          <w:lang w:val="en-US" w:eastAsia="zh-CN"/>
        </w:rPr>
        <w:t>设备</w:t>
      </w:r>
      <w:r>
        <w:rPr>
          <w:rFonts w:hint="eastAsia" w:ascii="宋体" w:hAnsi="宋体" w:eastAsia="宋体" w:cs="宋体"/>
          <w:color w:val="auto"/>
          <w:sz w:val="24"/>
          <w:szCs w:val="24"/>
          <w:highlight w:val="none"/>
        </w:rPr>
        <w:t>最终</w:t>
      </w:r>
      <w:r>
        <w:rPr>
          <w:rFonts w:hint="eastAsia" w:ascii="宋体" w:hAnsi="宋体" w:cs="宋体"/>
          <w:color w:val="auto"/>
          <w:sz w:val="24"/>
          <w:szCs w:val="24"/>
          <w:highlight w:val="none"/>
          <w:lang w:val="en-US" w:eastAsia="zh-CN"/>
        </w:rPr>
        <w:t>通过中标单位验收及环保等相关主管部门审批、</w:t>
      </w:r>
      <w:r>
        <w:rPr>
          <w:rFonts w:hint="eastAsia" w:ascii="宋体" w:hAnsi="宋体" w:eastAsia="宋体" w:cs="宋体"/>
          <w:color w:val="auto"/>
          <w:sz w:val="24"/>
          <w:szCs w:val="24"/>
          <w:highlight w:val="none"/>
        </w:rPr>
        <w:t>验收</w:t>
      </w:r>
      <w:r>
        <w:rPr>
          <w:rFonts w:hint="eastAsia" w:ascii="宋体" w:hAnsi="宋体" w:cs="宋体"/>
          <w:color w:val="auto"/>
          <w:sz w:val="24"/>
          <w:szCs w:val="24"/>
          <w:highlight w:val="none"/>
          <w:lang w:val="en-US" w:eastAsia="zh-CN"/>
        </w:rPr>
        <w:t>并发放相关许可合格证书，招标单位能合法合规正常投入</w:t>
      </w:r>
      <w:r>
        <w:rPr>
          <w:rFonts w:hint="eastAsia" w:ascii="宋体" w:hAnsi="宋体" w:eastAsia="宋体" w:cs="宋体"/>
          <w:color w:val="auto"/>
          <w:sz w:val="24"/>
          <w:szCs w:val="24"/>
          <w:highlight w:val="none"/>
        </w:rPr>
        <w:t>使用，费用由中标人负责。</w:t>
      </w:r>
    </w:p>
    <w:p w14:paraId="731572B4">
      <w:pPr>
        <w:keepNext w:val="0"/>
        <w:keepLines w:val="0"/>
        <w:pageBreakBefore w:val="0"/>
        <w:widowControl w:val="0"/>
        <w:kinsoku/>
        <w:wordWrap/>
        <w:overflowPunct/>
        <w:topLinePunct w:val="0"/>
        <w:autoSpaceDE/>
        <w:autoSpaceDN/>
        <w:bidi w:val="0"/>
        <w:adjustRightInd/>
        <w:snapToGrid/>
        <w:spacing w:line="400" w:lineRule="exact"/>
        <w:ind w:left="42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3、培训</w:t>
      </w:r>
    </w:p>
    <w:p w14:paraId="308D5188">
      <w:pPr>
        <w:keepNext w:val="0"/>
        <w:keepLines w:val="0"/>
        <w:pageBreakBefore w:val="0"/>
        <w:widowControl w:val="0"/>
        <w:kinsoku/>
        <w:wordWrap/>
        <w:overflowPunct/>
        <w:topLinePunct w:val="0"/>
        <w:autoSpaceDE/>
        <w:autoSpaceDN/>
        <w:bidi w:val="0"/>
        <w:adjustRightInd/>
        <w:snapToGrid/>
        <w:spacing w:line="400" w:lineRule="exact"/>
        <w:ind w:left="420"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提供培训计划（包括临床使用培训，工程师维修保养培训），培训内容为本设备系统操作及常见问题处理，确保临床人员具备独立工作的能力。</w:t>
      </w:r>
    </w:p>
    <w:p w14:paraId="55C68FB0">
      <w:pPr>
        <w:keepNext w:val="0"/>
        <w:keepLines w:val="0"/>
        <w:pageBreakBefore w:val="0"/>
        <w:widowControl w:val="0"/>
        <w:kinsoku/>
        <w:wordWrap/>
        <w:overflowPunct/>
        <w:topLinePunct w:val="0"/>
        <w:autoSpaceDE/>
        <w:autoSpaceDN/>
        <w:bidi w:val="0"/>
        <w:adjustRightInd/>
        <w:snapToGrid/>
        <w:spacing w:line="400" w:lineRule="exact"/>
        <w:ind w:left="42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4、交货时间</w:t>
      </w:r>
    </w:p>
    <w:p w14:paraId="48A3B25A">
      <w:pPr>
        <w:keepNext w:val="0"/>
        <w:keepLines w:val="0"/>
        <w:pageBreakBefore w:val="0"/>
        <w:widowControl w:val="0"/>
        <w:kinsoku/>
        <w:wordWrap/>
        <w:overflowPunct/>
        <w:topLinePunct w:val="0"/>
        <w:autoSpaceDE/>
        <w:autoSpaceDN/>
        <w:bidi w:val="0"/>
        <w:adjustRightInd/>
        <w:snapToGrid/>
        <w:spacing w:line="400" w:lineRule="exact"/>
        <w:ind w:left="420"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合同签订之日起</w:t>
      </w:r>
      <w:r>
        <w:rPr>
          <w:rFonts w:hint="eastAsia" w:ascii="宋体" w:hAnsi="宋体" w:cs="宋体"/>
          <w:color w:val="auto"/>
          <w:sz w:val="24"/>
          <w:szCs w:val="24"/>
          <w:highlight w:val="none"/>
          <w:lang w:val="en-US" w:eastAsia="zh-CN"/>
        </w:rPr>
        <w:t>30日内</w:t>
      </w:r>
    </w:p>
    <w:p w14:paraId="7A501A59">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5、付款方式</w:t>
      </w:r>
    </w:p>
    <w:p w14:paraId="0070C596">
      <w:pPr>
        <w:keepNext w:val="0"/>
        <w:keepLines w:val="0"/>
        <w:pageBreakBefore w:val="0"/>
        <w:widowControl w:val="0"/>
        <w:kinsoku/>
        <w:wordWrap/>
        <w:overflowPunct/>
        <w:topLinePunct w:val="0"/>
        <w:autoSpaceDE/>
        <w:autoSpaceDN/>
        <w:bidi w:val="0"/>
        <w:adjustRightInd/>
        <w:snapToGrid/>
        <w:spacing w:line="400" w:lineRule="exact"/>
        <w:ind w:left="420" w:firstLine="42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（1）合同签订后支付合同总金额的30%；</w:t>
      </w:r>
    </w:p>
    <w:p w14:paraId="30F3E28A">
      <w:pPr>
        <w:keepNext w:val="0"/>
        <w:keepLines w:val="0"/>
        <w:pageBreakBefore w:val="0"/>
        <w:widowControl w:val="0"/>
        <w:kinsoku/>
        <w:wordWrap/>
        <w:overflowPunct/>
        <w:topLinePunct w:val="0"/>
        <w:autoSpaceDE/>
        <w:autoSpaceDN/>
        <w:bidi w:val="0"/>
        <w:adjustRightInd/>
        <w:snapToGrid/>
        <w:spacing w:line="400" w:lineRule="exact"/>
        <w:ind w:left="420" w:firstLine="420"/>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（2）设备安装调试完毕、验收合格后支付至合同总金额的90%</w:t>
      </w:r>
      <w:r>
        <w:rPr>
          <w:rFonts w:hint="eastAsia" w:ascii="宋体" w:hAnsi="宋体" w:cs="宋体"/>
          <w:color w:val="auto"/>
          <w:sz w:val="24"/>
          <w:szCs w:val="24"/>
          <w:highlight w:val="none"/>
          <w:lang w:eastAsia="zh-CN"/>
        </w:rPr>
        <w:t>；</w:t>
      </w:r>
    </w:p>
    <w:p w14:paraId="4B6D54D5">
      <w:pPr>
        <w:keepNext w:val="0"/>
        <w:keepLines w:val="0"/>
        <w:pageBreakBefore w:val="0"/>
        <w:widowControl w:val="0"/>
        <w:kinsoku/>
        <w:wordWrap/>
        <w:overflowPunct/>
        <w:topLinePunct w:val="0"/>
        <w:autoSpaceDE/>
        <w:autoSpaceDN/>
        <w:bidi w:val="0"/>
        <w:adjustRightInd/>
        <w:snapToGrid/>
        <w:spacing w:line="400" w:lineRule="exact"/>
        <w:ind w:left="420" w:firstLine="42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（3）设备正常使用1个月后支付剩余的</w:t>
      </w:r>
      <w:r>
        <w:rPr>
          <w:rFonts w:hint="eastAsia" w:ascii="宋体" w:hAnsi="宋体" w:eastAsia="宋体" w:cs="宋体"/>
          <w:color w:val="auto"/>
          <w:sz w:val="24"/>
          <w:szCs w:val="24"/>
          <w:highlight w:val="none"/>
        </w:rPr>
        <w:t>10%。</w:t>
      </w:r>
    </w:p>
    <w:p w14:paraId="38E9C1AC">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6、交货地点</w:t>
      </w:r>
    </w:p>
    <w:p w14:paraId="693451F4">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供应商负责将货物运到</w:t>
      </w:r>
      <w:r>
        <w:rPr>
          <w:rFonts w:hint="eastAsia" w:ascii="宋体" w:hAnsi="宋体" w:cs="宋体"/>
          <w:color w:val="auto"/>
          <w:sz w:val="24"/>
          <w:szCs w:val="24"/>
          <w:highlight w:val="none"/>
          <w:lang w:eastAsia="zh-CN"/>
        </w:rPr>
        <w:t>南京市秦淮区朝天宫社区卫生服务中心</w:t>
      </w:r>
      <w:r>
        <w:rPr>
          <w:rFonts w:hint="eastAsia" w:ascii="宋体" w:hAnsi="宋体" w:eastAsia="宋体" w:cs="宋体"/>
          <w:color w:val="auto"/>
          <w:sz w:val="24"/>
          <w:szCs w:val="24"/>
          <w:highlight w:val="none"/>
        </w:rPr>
        <w:t>指定地点，</w:t>
      </w:r>
      <w:r>
        <w:rPr>
          <w:rFonts w:hint="eastAsia" w:ascii="宋体" w:hAnsi="宋体" w:cs="宋体"/>
          <w:color w:val="auto"/>
          <w:sz w:val="24"/>
          <w:szCs w:val="24"/>
          <w:highlight w:val="none"/>
          <w:lang w:val="en-US" w:eastAsia="zh-CN"/>
        </w:rPr>
        <w:t>由</w:t>
      </w:r>
      <w:r>
        <w:rPr>
          <w:rFonts w:hint="eastAsia" w:ascii="宋体" w:hAnsi="宋体" w:eastAsia="宋体" w:cs="宋体"/>
          <w:color w:val="auto"/>
          <w:sz w:val="24"/>
          <w:szCs w:val="24"/>
          <w:highlight w:val="none"/>
        </w:rPr>
        <w:t>供应商负责办理运输和装卸等，费用由供应商负责，</w:t>
      </w:r>
      <w:r>
        <w:rPr>
          <w:rFonts w:hint="eastAsia" w:ascii="宋体" w:hAnsi="宋体" w:cs="宋体"/>
          <w:color w:val="auto"/>
          <w:sz w:val="24"/>
          <w:szCs w:val="24"/>
          <w:highlight w:val="none"/>
          <w:lang w:val="en-US" w:eastAsia="zh-CN"/>
        </w:rPr>
        <w:t>由</w:t>
      </w:r>
      <w:r>
        <w:rPr>
          <w:rFonts w:hint="eastAsia" w:ascii="宋体" w:hAnsi="宋体" w:eastAsia="宋体" w:cs="宋体"/>
          <w:color w:val="auto"/>
          <w:sz w:val="24"/>
          <w:szCs w:val="24"/>
          <w:highlight w:val="none"/>
        </w:rPr>
        <w:t>采购人组织验收，验收不合格或不符合质量要求，供应商除无条件退货、返工外，还应承担采购人的一切损失。</w:t>
      </w:r>
    </w:p>
    <w:p w14:paraId="4C5D17F4">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7、售后服务</w:t>
      </w:r>
    </w:p>
    <w:p w14:paraId="5E254FC9">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（1）供应商接到报修请求，维修应在2小时内响应，24小时内维修人员到达现场，必要时应向采购人提供应急备用设备。质保期后，供应商提供终身服务，保证零配件的供给</w:t>
      </w:r>
      <w:r>
        <w:rPr>
          <w:rFonts w:hint="eastAsia" w:ascii="宋体" w:hAnsi="宋体" w:eastAsia="宋体" w:cs="宋体"/>
          <w:color w:val="auto"/>
          <w:sz w:val="24"/>
          <w:szCs w:val="24"/>
          <w:highlight w:val="none"/>
          <w:lang w:eastAsia="zh-CN"/>
        </w:rPr>
        <w:t>。</w:t>
      </w:r>
    </w:p>
    <w:p w14:paraId="4C2D9F60">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（2）具有针对本项目的售后服务承诺。</w:t>
      </w:r>
    </w:p>
    <w:p w14:paraId="08BB1572">
      <w:pPr>
        <w:keepNext w:val="0"/>
        <w:keepLines w:val="0"/>
        <w:pageBreakBefore w:val="0"/>
        <w:widowControl w:val="0"/>
        <w:kinsoku/>
        <w:wordWrap/>
        <w:overflowPunct/>
        <w:topLinePunct w:val="0"/>
        <w:autoSpaceDE/>
        <w:autoSpaceDN/>
        <w:bidi w:val="0"/>
        <w:adjustRightInd/>
        <w:snapToGrid/>
        <w:spacing w:line="400" w:lineRule="exact"/>
        <w:ind w:firstLine="181"/>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rPr>
        <w:t>（3）保修期</w:t>
      </w:r>
      <w:r>
        <w:rPr>
          <w:rFonts w:hint="eastAsia" w:ascii="宋体" w:hAnsi="宋体" w:cs="宋体"/>
          <w:color w:val="auto"/>
          <w:sz w:val="24"/>
          <w:szCs w:val="24"/>
          <w:highlight w:val="none"/>
          <w:lang w:val="en-US" w:eastAsia="zh-CN"/>
        </w:rPr>
        <w:t>：整机设备≥2年</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管理系统及软件系统≥3年。</w:t>
      </w:r>
      <w:r>
        <w:rPr>
          <w:rFonts w:hint="eastAsia" w:ascii="宋体" w:hAnsi="宋体" w:eastAsia="宋体" w:cs="宋体"/>
          <w:color w:val="auto"/>
          <w:sz w:val="24"/>
          <w:szCs w:val="24"/>
          <w:highlight w:val="none"/>
        </w:rPr>
        <w:t>自验收报告确认签字之日起，开始进入质保期。</w:t>
      </w:r>
    </w:p>
    <w:p w14:paraId="0FD0D8D4">
      <w:pPr>
        <w:keepNext w:val="0"/>
        <w:keepLines w:val="0"/>
        <w:pageBreakBefore w:val="0"/>
        <w:widowControl w:val="0"/>
        <w:kinsoku/>
        <w:wordWrap/>
        <w:overflowPunct/>
        <w:topLinePunct w:val="0"/>
        <w:autoSpaceDE/>
        <w:autoSpaceDN/>
        <w:bidi w:val="0"/>
        <w:adjustRightInd/>
        <w:snapToGrid/>
        <w:spacing w:line="400" w:lineRule="exact"/>
        <w:ind w:firstLine="181"/>
        <w:textAlignment w:val="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注：</w:t>
      </w:r>
    </w:p>
    <w:p w14:paraId="648FBFB4">
      <w:pPr>
        <w:keepNext w:val="0"/>
        <w:keepLines w:val="0"/>
        <w:pageBreakBefore w:val="0"/>
        <w:widowControl w:val="0"/>
        <w:kinsoku/>
        <w:wordWrap/>
        <w:overflowPunct/>
        <w:topLinePunct w:val="0"/>
        <w:autoSpaceDE/>
        <w:autoSpaceDN/>
        <w:bidi w:val="0"/>
        <w:adjustRightInd/>
        <w:snapToGrid/>
        <w:spacing w:line="400" w:lineRule="exact"/>
        <w:ind w:firstLine="181"/>
        <w:textAlignment w:val="auto"/>
        <w:rPr>
          <w:rFonts w:hint="eastAsia" w:ascii="宋体" w:hAnsi="宋体"/>
          <w:b/>
          <w:bCs/>
          <w:color w:val="auto"/>
          <w:kern w:val="2"/>
          <w:sz w:val="24"/>
          <w:szCs w:val="24"/>
          <w:highlight w:val="none"/>
          <w:lang w:eastAsia="zh-CN"/>
          <w14:ligatures w14:val="standardContextual"/>
        </w:rPr>
      </w:pPr>
      <w:r>
        <w:rPr>
          <w:rFonts w:hint="eastAsia" w:ascii="宋体" w:hAnsi="宋体"/>
          <w:b/>
          <w:bCs/>
          <w:color w:val="auto"/>
          <w:sz w:val="24"/>
          <w:szCs w:val="24"/>
          <w:highlight w:val="none"/>
          <w:lang w:val="en-US" w:eastAsia="zh-CN"/>
        </w:rPr>
        <w:t>1、</w:t>
      </w:r>
      <w:r>
        <w:rPr>
          <w:rFonts w:hint="eastAsia" w:ascii="宋体" w:hAnsi="宋体"/>
          <w:b/>
          <w:bCs/>
          <w:color w:val="auto"/>
          <w:sz w:val="24"/>
          <w:szCs w:val="24"/>
          <w:highlight w:val="none"/>
          <w:lang w:eastAsia="en-US"/>
        </w:rPr>
        <w:t>★</w:t>
      </w:r>
      <w:r>
        <w:rPr>
          <w:rFonts w:ascii="宋体" w:hAnsi="宋体"/>
          <w:b/>
          <w:bCs/>
          <w:color w:val="auto"/>
          <w:kern w:val="2"/>
          <w:sz w:val="24"/>
          <w:szCs w:val="24"/>
          <w:highlight w:val="none"/>
          <w14:ligatures w14:val="standardContextual"/>
        </w:rPr>
        <w:t>号</w:t>
      </w:r>
      <w:r>
        <w:rPr>
          <w:rFonts w:hint="eastAsia" w:ascii="宋体" w:hAnsi="宋体"/>
          <w:b/>
          <w:bCs/>
          <w:color w:val="auto"/>
          <w:kern w:val="2"/>
          <w:sz w:val="24"/>
          <w:szCs w:val="24"/>
          <w:highlight w:val="none"/>
          <w14:ligatures w14:val="standardContextual"/>
        </w:rPr>
        <w:t>负偏离视为无效文件，招标文件中明确需要提供承诺函</w:t>
      </w:r>
      <w:r>
        <w:rPr>
          <w:rFonts w:hint="eastAsia" w:ascii="宋体" w:hAnsi="宋体"/>
          <w:b/>
          <w:bCs/>
          <w:color w:val="auto"/>
          <w:kern w:val="2"/>
          <w:sz w:val="24"/>
          <w:szCs w:val="24"/>
          <w:highlight w:val="none"/>
          <w:lang w:val="en-US" w:eastAsia="zh-CN"/>
          <w14:ligatures w14:val="standardContextual"/>
        </w:rPr>
        <w:t>的</w:t>
      </w:r>
      <w:r>
        <w:rPr>
          <w:rFonts w:hint="eastAsia" w:ascii="宋体" w:hAnsi="宋体"/>
          <w:b/>
          <w:bCs/>
          <w:color w:val="auto"/>
          <w:kern w:val="2"/>
          <w:sz w:val="24"/>
          <w:szCs w:val="24"/>
          <w:highlight w:val="none"/>
          <w14:ligatures w14:val="standardContextual"/>
        </w:rPr>
        <w:t>，供应商</w:t>
      </w:r>
      <w:r>
        <w:rPr>
          <w:rFonts w:hint="eastAsia" w:ascii="宋体" w:hAnsi="宋体"/>
          <w:b/>
          <w:bCs/>
          <w:color w:val="auto"/>
          <w:kern w:val="2"/>
          <w:sz w:val="24"/>
          <w:szCs w:val="24"/>
          <w:highlight w:val="none"/>
          <w:lang w:val="en-US" w:eastAsia="zh-CN"/>
          <w14:ligatures w14:val="standardContextual"/>
        </w:rPr>
        <w:t>须</w:t>
      </w:r>
      <w:r>
        <w:rPr>
          <w:rFonts w:hint="eastAsia" w:ascii="宋体" w:hAnsi="宋体"/>
          <w:b/>
          <w:bCs/>
          <w:color w:val="auto"/>
          <w:kern w:val="2"/>
          <w:sz w:val="24"/>
          <w:szCs w:val="24"/>
          <w:highlight w:val="none"/>
          <w14:ligatures w14:val="standardContextual"/>
        </w:rPr>
        <w:t>提供承诺函并加盖公章，格式自拟</w:t>
      </w:r>
      <w:r>
        <w:rPr>
          <w:rFonts w:ascii="宋体" w:hAnsi="宋体"/>
          <w:b/>
          <w:bCs/>
          <w:color w:val="auto"/>
          <w:kern w:val="2"/>
          <w:sz w:val="24"/>
          <w:szCs w:val="24"/>
          <w:highlight w:val="none"/>
          <w14:ligatures w14:val="standardContextual"/>
        </w:rPr>
        <w:t>）</w:t>
      </w:r>
      <w:r>
        <w:rPr>
          <w:rFonts w:hint="eastAsia" w:ascii="宋体" w:hAnsi="宋体"/>
          <w:b/>
          <w:bCs/>
          <w:color w:val="auto"/>
          <w:kern w:val="2"/>
          <w:sz w:val="24"/>
          <w:szCs w:val="24"/>
          <w:highlight w:val="none"/>
          <w:lang w:eastAsia="zh-CN"/>
          <w14:ligatures w14:val="standardContextual"/>
        </w:rPr>
        <w:t>；</w:t>
      </w:r>
    </w:p>
    <w:p w14:paraId="62D17F59">
      <w:pPr>
        <w:keepNext w:val="0"/>
        <w:keepLines w:val="0"/>
        <w:pageBreakBefore w:val="0"/>
        <w:widowControl w:val="0"/>
        <w:kinsoku/>
        <w:wordWrap/>
        <w:overflowPunct/>
        <w:topLinePunct w:val="0"/>
        <w:autoSpaceDE/>
        <w:autoSpaceDN/>
        <w:bidi w:val="0"/>
        <w:adjustRightInd/>
        <w:snapToGrid/>
        <w:spacing w:line="400" w:lineRule="exact"/>
        <w:ind w:firstLine="181"/>
        <w:textAlignment w:val="auto"/>
        <w:rPr>
          <w:rFonts w:hint="eastAsia" w:ascii="宋体" w:hAnsi="宋体" w:eastAsia="宋体"/>
          <w:b/>
          <w:bCs/>
          <w:color w:val="auto"/>
          <w:kern w:val="2"/>
          <w:sz w:val="24"/>
          <w:szCs w:val="24"/>
          <w:highlight w:val="none"/>
          <w:lang w:val="en-US" w:eastAsia="zh-CN"/>
          <w14:ligatures w14:val="standardContextual"/>
        </w:rPr>
      </w:pPr>
      <w:r>
        <w:rPr>
          <w:rFonts w:hint="eastAsia" w:ascii="宋体" w:hAnsi="宋体"/>
          <w:b/>
          <w:bCs/>
          <w:color w:val="auto"/>
          <w:kern w:val="2"/>
          <w:sz w:val="24"/>
          <w:szCs w:val="24"/>
          <w:highlight w:val="none"/>
          <w:lang w:val="en-US" w:eastAsia="zh-CN"/>
          <w14:ligatures w14:val="standardContextual"/>
        </w:rPr>
        <w:t>2、投标文件出现商务条款（包括付款方式、交货期等）的负偏差，视为未对招标文件进行实质性响应。</w:t>
      </w:r>
    </w:p>
    <w:p w14:paraId="497F5304">
      <w:pPr>
        <w:spacing w:line="360" w:lineRule="auto"/>
        <w:rPr>
          <w:color w:val="auto"/>
          <w:sz w:val="20"/>
          <w:highlight w:val="none"/>
        </w:rPr>
      </w:pPr>
    </w:p>
    <w:p w14:paraId="74C4A71E">
      <w:pPr>
        <w:spacing w:line="360" w:lineRule="auto"/>
        <w:rPr>
          <w:rFonts w:ascii="Calibri"/>
          <w:b/>
          <w:color w:val="auto"/>
          <w:sz w:val="44"/>
          <w:szCs w:val="44"/>
          <w:highlight w:val="none"/>
        </w:rPr>
      </w:pPr>
      <w:r>
        <w:rPr>
          <w:rFonts w:hint="eastAsia" w:ascii="Calibri"/>
          <w:b/>
          <w:color w:val="auto"/>
          <w:sz w:val="44"/>
          <w:szCs w:val="44"/>
          <w:highlight w:val="none"/>
        </w:rPr>
        <w:br w:type="page" w:clear="all"/>
      </w:r>
    </w:p>
    <w:bookmarkEnd w:id="132"/>
    <w:bookmarkEnd w:id="133"/>
    <w:p w14:paraId="64A6C9F5">
      <w:pPr>
        <w:numPr>
          <w:ilvl w:val="0"/>
          <w:numId w:val="9"/>
        </w:numPr>
        <w:spacing w:line="360" w:lineRule="auto"/>
        <w:ind w:firstLine="883"/>
        <w:jc w:val="center"/>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rPr>
        <w:t xml:space="preserve"> </w:t>
      </w:r>
      <w:bookmarkStart w:id="135" w:name="_Toc25681"/>
      <w:bookmarkStart w:id="136" w:name="_Toc28345"/>
      <w:r>
        <w:rPr>
          <w:rFonts w:hint="eastAsia" w:ascii="宋体" w:hAnsi="宋体" w:cs="宋体"/>
          <w:b/>
          <w:color w:val="auto"/>
          <w:sz w:val="44"/>
          <w:szCs w:val="44"/>
          <w:highlight w:val="none"/>
        </w:rPr>
        <w:t>合同格式及条款</w:t>
      </w:r>
      <w:bookmarkEnd w:id="131"/>
      <w:bookmarkEnd w:id="135"/>
      <w:bookmarkEnd w:id="136"/>
    </w:p>
    <w:p w14:paraId="5A6D5DAB">
      <w:pPr>
        <w:widowControl/>
        <w:spacing w:line="360" w:lineRule="auto"/>
        <w:jc w:val="left"/>
        <w:rPr>
          <w:rFonts w:ascii="Times New Roman" w:hAnsi="宋体" w:eastAsia="Times New Roman" w:cs="Times New Roman"/>
          <w:color w:val="auto"/>
          <w:sz w:val="36"/>
          <w:szCs w:val="36"/>
          <w:highlight w:val="none"/>
        </w:rPr>
      </w:pPr>
      <w:r>
        <w:rPr>
          <w:rFonts w:hint="eastAsia" w:ascii="Times New Roman" w:hAnsi="宋体" w:eastAsia="Times New Roman" w:cs="Times New Roman"/>
          <w:bCs/>
          <w:color w:val="auto"/>
          <w:sz w:val="24"/>
          <w:szCs w:val="24"/>
          <w:highlight w:val="none"/>
        </w:rPr>
        <w:t>注：本合同仅为合同的参考文本，合同签订双方可根据项目的具体要求进行修订，但不得更改实质性要求。</w:t>
      </w:r>
    </w:p>
    <w:p w14:paraId="67A826C2">
      <w:pPr>
        <w:keepNext/>
        <w:keepLines/>
        <w:spacing w:before="260" w:after="140" w:line="360" w:lineRule="auto"/>
        <w:jc w:val="center"/>
        <w:outlineLvl w:val="1"/>
        <w:rPr>
          <w:rFonts w:hint="eastAsia" w:ascii="宋体" w:hAnsi="宋体" w:eastAsia="宋体" w:cs="Times New Roman"/>
          <w:b/>
          <w:color w:val="auto"/>
          <w:sz w:val="32"/>
          <w:szCs w:val="24"/>
          <w:highlight w:val="none"/>
          <w:lang w:val="en-US" w:eastAsia="zh-CN" w:bidi="ar-SA"/>
        </w:rPr>
      </w:pPr>
      <w:r>
        <w:rPr>
          <w:rFonts w:hint="eastAsia" w:ascii="宋体" w:hAnsi="宋体" w:eastAsia="宋体" w:cs="Times New Roman"/>
          <w:b/>
          <w:color w:val="auto"/>
          <w:sz w:val="32"/>
          <w:szCs w:val="24"/>
          <w:highlight w:val="none"/>
          <w:lang w:val="en-US" w:eastAsia="zh-CN" w:bidi="ar-SA"/>
        </w:rPr>
        <w:t>合  同</w:t>
      </w:r>
    </w:p>
    <w:p w14:paraId="2B440D4D">
      <w:pPr>
        <w:widowControl/>
        <w:spacing w:line="360" w:lineRule="auto"/>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甲方：</w:t>
      </w:r>
    </w:p>
    <w:p w14:paraId="3ACF4538">
      <w:pPr>
        <w:widowControl/>
        <w:spacing w:line="360" w:lineRule="auto"/>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乙方：</w:t>
      </w:r>
    </w:p>
    <w:p w14:paraId="74333F6F">
      <w:pPr>
        <w:widowControl/>
        <w:spacing w:line="360" w:lineRule="auto"/>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ab/>
      </w:r>
      <w:r>
        <w:rPr>
          <w:rFonts w:hint="eastAsia" w:ascii="Times New Roman" w:hAnsi="宋体" w:eastAsia="Times New Roman" w:cs="Times New Roman"/>
          <w:color w:val="auto"/>
          <w:sz w:val="24"/>
          <w:szCs w:val="24"/>
          <w:highlight w:val="none"/>
        </w:rPr>
        <w:t>经公开招标（项目编号：</w:t>
      </w:r>
      <w:r>
        <w:rPr>
          <w:rFonts w:hint="eastAsia" w:ascii="Times New Roman" w:hAnsi="宋体" w:eastAsia="Times New Roman" w:cs="Times New Roman"/>
          <w:color w:val="auto"/>
          <w:sz w:val="24"/>
          <w:szCs w:val="24"/>
          <w:highlight w:val="none"/>
          <w:u w:val="single"/>
        </w:rPr>
        <w:t xml:space="preserve">                             </w:t>
      </w:r>
      <w:r>
        <w:rPr>
          <w:rFonts w:hint="eastAsia" w:ascii="Times New Roman" w:hAnsi="宋体" w:eastAsia="Times New Roman" w:cs="Times New Roman"/>
          <w:color w:val="auto"/>
          <w:sz w:val="24"/>
          <w:szCs w:val="24"/>
          <w:highlight w:val="none"/>
        </w:rPr>
        <w:t>）及甲、乙双方协商，就乙方销售给甲方设备，特订立本合同。</w:t>
      </w:r>
    </w:p>
    <w:p w14:paraId="3DF9C14C">
      <w:pPr>
        <w:widowControl/>
        <w:spacing w:line="360" w:lineRule="auto"/>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一、设备名称、型号、数量和价格</w:t>
      </w:r>
    </w:p>
    <w:tbl>
      <w:tblPr>
        <w:tblStyle w:val="34"/>
        <w:tblW w:w="9211" w:type="dxa"/>
        <w:tblInd w:w="0"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top w:w="0" w:type="dxa"/>
          <w:left w:w="108" w:type="dxa"/>
          <w:bottom w:w="0" w:type="dxa"/>
          <w:right w:w="108" w:type="dxa"/>
        </w:tblCellMar>
      </w:tblPr>
      <w:tblGrid>
        <w:gridCol w:w="1557"/>
        <w:gridCol w:w="1842"/>
        <w:gridCol w:w="1418"/>
        <w:gridCol w:w="992"/>
        <w:gridCol w:w="1418"/>
        <w:gridCol w:w="1984"/>
      </w:tblGrid>
      <w:tr w14:paraId="02125214">
        <w:tblPrEx>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CellMar>
            <w:top w:w="0" w:type="dxa"/>
            <w:left w:w="108" w:type="dxa"/>
            <w:bottom w:w="0" w:type="dxa"/>
            <w:right w:w="108" w:type="dxa"/>
          </w:tblCellMar>
        </w:tblPrEx>
        <w:trPr>
          <w:cantSplit/>
          <w:trHeight w:val="419" w:hRule="exact"/>
        </w:trPr>
        <w:tc>
          <w:tcPr>
            <w:tcW w:w="1557" w:type="dxa"/>
            <w:vAlign w:val="center"/>
          </w:tcPr>
          <w:p w14:paraId="0FBE32AB">
            <w:pPr>
              <w:widowControl/>
              <w:spacing w:line="360" w:lineRule="auto"/>
              <w:jc w:val="center"/>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设备名称</w:t>
            </w:r>
          </w:p>
        </w:tc>
        <w:tc>
          <w:tcPr>
            <w:tcW w:w="1842" w:type="dxa"/>
            <w:vAlign w:val="center"/>
          </w:tcPr>
          <w:p w14:paraId="5179418F">
            <w:pPr>
              <w:widowControl/>
              <w:spacing w:line="360" w:lineRule="auto"/>
              <w:jc w:val="center"/>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生产厂家</w:t>
            </w:r>
          </w:p>
        </w:tc>
        <w:tc>
          <w:tcPr>
            <w:tcW w:w="1418" w:type="dxa"/>
            <w:vAlign w:val="center"/>
          </w:tcPr>
          <w:p w14:paraId="014FA7E0">
            <w:pPr>
              <w:widowControl/>
              <w:spacing w:line="360" w:lineRule="auto"/>
              <w:jc w:val="center"/>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规格型号</w:t>
            </w:r>
          </w:p>
        </w:tc>
        <w:tc>
          <w:tcPr>
            <w:tcW w:w="992" w:type="dxa"/>
            <w:vAlign w:val="center"/>
          </w:tcPr>
          <w:p w14:paraId="375CF74E">
            <w:pPr>
              <w:widowControl/>
              <w:spacing w:line="360" w:lineRule="auto"/>
              <w:jc w:val="center"/>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数量</w:t>
            </w:r>
          </w:p>
        </w:tc>
        <w:tc>
          <w:tcPr>
            <w:tcW w:w="1418" w:type="dxa"/>
            <w:vAlign w:val="center"/>
          </w:tcPr>
          <w:p w14:paraId="594A1523">
            <w:pPr>
              <w:widowControl/>
              <w:spacing w:line="360" w:lineRule="auto"/>
              <w:jc w:val="center"/>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单价（元）</w:t>
            </w:r>
          </w:p>
        </w:tc>
        <w:tc>
          <w:tcPr>
            <w:tcW w:w="1984" w:type="dxa"/>
            <w:vAlign w:val="center"/>
          </w:tcPr>
          <w:p w14:paraId="15D01D0D">
            <w:pPr>
              <w:widowControl/>
              <w:spacing w:line="360" w:lineRule="auto"/>
              <w:jc w:val="center"/>
              <w:rPr>
                <w:rFonts w:ascii="Times New Roman" w:hAnsi="宋体" w:eastAsia="Times New Roman" w:cs="Times New Roman"/>
                <w:color w:val="auto"/>
                <w:sz w:val="24"/>
                <w:szCs w:val="24"/>
                <w:highlight w:val="none"/>
                <w:u w:val="single"/>
              </w:rPr>
            </w:pPr>
            <w:r>
              <w:rPr>
                <w:rFonts w:hint="eastAsia" w:ascii="Times New Roman" w:hAnsi="宋体" w:eastAsia="Times New Roman" w:cs="Times New Roman"/>
                <w:color w:val="auto"/>
                <w:sz w:val="24"/>
                <w:szCs w:val="24"/>
                <w:highlight w:val="none"/>
              </w:rPr>
              <w:t>成交总价（元）</w:t>
            </w:r>
          </w:p>
        </w:tc>
      </w:tr>
      <w:tr w14:paraId="30916823">
        <w:tblPrEx>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CellMar>
            <w:top w:w="0" w:type="dxa"/>
            <w:left w:w="108" w:type="dxa"/>
            <w:bottom w:w="0" w:type="dxa"/>
            <w:right w:w="108" w:type="dxa"/>
          </w:tblCellMar>
        </w:tblPrEx>
        <w:trPr>
          <w:cantSplit/>
          <w:trHeight w:val="879" w:hRule="exact"/>
        </w:trPr>
        <w:tc>
          <w:tcPr>
            <w:tcW w:w="1557" w:type="dxa"/>
            <w:vAlign w:val="center"/>
          </w:tcPr>
          <w:p w14:paraId="406D1767">
            <w:pPr>
              <w:widowControl/>
              <w:spacing w:line="360" w:lineRule="auto"/>
              <w:jc w:val="center"/>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 </w:t>
            </w:r>
          </w:p>
        </w:tc>
        <w:tc>
          <w:tcPr>
            <w:tcW w:w="1842" w:type="dxa"/>
            <w:vAlign w:val="center"/>
          </w:tcPr>
          <w:p w14:paraId="41EB6874">
            <w:pPr>
              <w:widowControl/>
              <w:spacing w:line="360" w:lineRule="auto"/>
              <w:jc w:val="center"/>
              <w:rPr>
                <w:rFonts w:ascii="Times New Roman" w:hAnsi="宋体" w:eastAsia="Times New Roman" w:cs="Times New Roman"/>
                <w:color w:val="auto"/>
                <w:sz w:val="24"/>
                <w:szCs w:val="24"/>
                <w:highlight w:val="none"/>
              </w:rPr>
            </w:pPr>
          </w:p>
        </w:tc>
        <w:tc>
          <w:tcPr>
            <w:tcW w:w="1418" w:type="dxa"/>
            <w:vAlign w:val="center"/>
          </w:tcPr>
          <w:p w14:paraId="5577F2EC">
            <w:pPr>
              <w:widowControl/>
              <w:spacing w:line="360" w:lineRule="auto"/>
              <w:jc w:val="center"/>
              <w:rPr>
                <w:rFonts w:ascii="Times New Roman" w:hAnsi="宋体" w:eastAsia="Times New Roman" w:cs="Times New Roman"/>
                <w:color w:val="auto"/>
                <w:sz w:val="24"/>
                <w:szCs w:val="24"/>
                <w:highlight w:val="none"/>
              </w:rPr>
            </w:pPr>
          </w:p>
        </w:tc>
        <w:tc>
          <w:tcPr>
            <w:tcW w:w="992" w:type="dxa"/>
            <w:vAlign w:val="center"/>
          </w:tcPr>
          <w:p w14:paraId="724EE23E">
            <w:pPr>
              <w:widowControl/>
              <w:spacing w:line="360" w:lineRule="auto"/>
              <w:jc w:val="center"/>
              <w:rPr>
                <w:rFonts w:ascii="Times New Roman" w:hAnsi="宋体" w:eastAsia="Times New Roman" w:cs="Times New Roman"/>
                <w:color w:val="auto"/>
                <w:sz w:val="24"/>
                <w:szCs w:val="24"/>
                <w:highlight w:val="none"/>
              </w:rPr>
            </w:pPr>
          </w:p>
        </w:tc>
        <w:tc>
          <w:tcPr>
            <w:tcW w:w="1418" w:type="dxa"/>
            <w:vAlign w:val="center"/>
          </w:tcPr>
          <w:p w14:paraId="5DEAAEEB">
            <w:pPr>
              <w:widowControl/>
              <w:spacing w:line="360" w:lineRule="auto"/>
              <w:jc w:val="center"/>
              <w:rPr>
                <w:rFonts w:ascii="Times New Roman" w:hAnsi="宋体" w:eastAsia="Times New Roman" w:cs="Times New Roman"/>
                <w:color w:val="auto"/>
                <w:sz w:val="24"/>
                <w:szCs w:val="24"/>
                <w:highlight w:val="none"/>
              </w:rPr>
            </w:pPr>
          </w:p>
        </w:tc>
        <w:tc>
          <w:tcPr>
            <w:tcW w:w="1984" w:type="dxa"/>
            <w:vAlign w:val="center"/>
          </w:tcPr>
          <w:p w14:paraId="15CEDB3E">
            <w:pPr>
              <w:widowControl/>
              <w:spacing w:line="360" w:lineRule="auto"/>
              <w:jc w:val="center"/>
              <w:rPr>
                <w:rFonts w:ascii="Times New Roman" w:hAnsi="宋体" w:eastAsia="Times New Roman" w:cs="Times New Roman"/>
                <w:color w:val="auto"/>
                <w:sz w:val="24"/>
                <w:szCs w:val="24"/>
                <w:highlight w:val="none"/>
              </w:rPr>
            </w:pPr>
          </w:p>
        </w:tc>
      </w:tr>
      <w:tr w14:paraId="7F5CD20A">
        <w:tblPrEx>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CellMar>
            <w:top w:w="0" w:type="dxa"/>
            <w:left w:w="108" w:type="dxa"/>
            <w:bottom w:w="0" w:type="dxa"/>
            <w:right w:w="108" w:type="dxa"/>
          </w:tblCellMar>
        </w:tblPrEx>
        <w:trPr>
          <w:trHeight w:val="419" w:hRule="exact"/>
        </w:trPr>
        <w:tc>
          <w:tcPr>
            <w:tcW w:w="5809" w:type="dxa"/>
            <w:gridSpan w:val="4"/>
            <w:vAlign w:val="center"/>
          </w:tcPr>
          <w:p w14:paraId="0D13216A">
            <w:pPr>
              <w:widowControl/>
              <w:spacing w:line="360" w:lineRule="auto"/>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总计（大写）：</w:t>
            </w:r>
          </w:p>
        </w:tc>
        <w:tc>
          <w:tcPr>
            <w:tcW w:w="3402" w:type="dxa"/>
            <w:gridSpan w:val="2"/>
            <w:vAlign w:val="center"/>
          </w:tcPr>
          <w:p w14:paraId="025F962F">
            <w:pPr>
              <w:widowControl/>
              <w:spacing w:line="360" w:lineRule="auto"/>
              <w:jc w:val="center"/>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（小写）： </w:t>
            </w:r>
          </w:p>
        </w:tc>
      </w:tr>
    </w:tbl>
    <w:p w14:paraId="21DE7AEA">
      <w:pPr>
        <w:numPr>
          <w:ilvl w:val="255"/>
          <w:numId w:val="0"/>
        </w:numPr>
        <w:spacing w:line="360" w:lineRule="auto"/>
        <w:ind w:firstLine="480" w:firstLineChars="200"/>
        <w:rPr>
          <w:rFonts w:ascii="Calibri" w:hAnsi="宋体" w:eastAsia="Times New Roman" w:cs="Times New Roman"/>
          <w:color w:val="auto"/>
          <w:sz w:val="24"/>
          <w:szCs w:val="22"/>
          <w:highlight w:val="none"/>
          <w:lang w:val="en-US" w:eastAsia="zh-CN" w:bidi="ar-SA"/>
        </w:rPr>
      </w:pPr>
      <w:r>
        <w:rPr>
          <w:rFonts w:hint="eastAsia" w:ascii="Calibri" w:hAnsi="宋体" w:eastAsia="Times New Roman" w:cs="Times New Roman"/>
          <w:color w:val="auto"/>
          <w:sz w:val="24"/>
          <w:szCs w:val="22"/>
          <w:highlight w:val="none"/>
          <w:lang w:val="en-US" w:eastAsia="zh-CN" w:bidi="ar-SA"/>
        </w:rPr>
        <w:t>二、设备详细配置清单见乙方的投标文件及承诺书（项目编号：_________）。</w:t>
      </w:r>
    </w:p>
    <w:p w14:paraId="40C07A3B">
      <w:pPr>
        <w:widowControl/>
        <w:spacing w:line="360" w:lineRule="auto"/>
        <w:ind w:left="480" w:hanging="480" w:hangingChars="200"/>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三、付款方式：______________    </w:t>
      </w:r>
    </w:p>
    <w:p w14:paraId="024FF0EF">
      <w:pPr>
        <w:widowControl/>
        <w:spacing w:line="360" w:lineRule="auto"/>
        <w:ind w:left="480" w:hanging="480" w:hangingChars="200"/>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四、交货期及交货地点：合同生效之日起</w:t>
      </w:r>
      <w:r>
        <w:rPr>
          <w:rFonts w:hint="eastAsia" w:ascii="Times New Roman" w:hAnsi="宋体" w:eastAsia="Times New Roman" w:cs="Times New Roman"/>
          <w:color w:val="auto"/>
          <w:sz w:val="24"/>
          <w:szCs w:val="24"/>
          <w:highlight w:val="none"/>
          <w:u w:val="single"/>
        </w:rPr>
        <w:t xml:space="preserve">       </w:t>
      </w:r>
      <w:r>
        <w:rPr>
          <w:rFonts w:hint="eastAsia" w:ascii="Times New Roman" w:hAnsi="宋体" w:eastAsia="Times New Roman" w:cs="Times New Roman"/>
          <w:color w:val="auto"/>
          <w:sz w:val="24"/>
          <w:szCs w:val="24"/>
          <w:highlight w:val="none"/>
        </w:rPr>
        <w:t>天之内货物运抵甲方指定的医</w:t>
      </w:r>
    </w:p>
    <w:p w14:paraId="7F956C0F">
      <w:pPr>
        <w:widowControl/>
        <w:spacing w:line="360" w:lineRule="auto"/>
        <w:ind w:left="480" w:hanging="480" w:hangingChars="200"/>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院机房。</w:t>
      </w:r>
    </w:p>
    <w:p w14:paraId="785014F2">
      <w:pPr>
        <w:widowControl/>
        <w:spacing w:line="360" w:lineRule="auto"/>
        <w:ind w:left="480" w:hanging="480" w:hangingChars="200"/>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五、上述设备免费保修</w:t>
      </w:r>
      <w:r>
        <w:rPr>
          <w:rFonts w:hint="eastAsia" w:ascii="Times New Roman" w:hAnsi="宋体" w:eastAsia="Times New Roman" w:cs="Times New Roman"/>
          <w:color w:val="auto"/>
          <w:sz w:val="24"/>
          <w:szCs w:val="24"/>
          <w:highlight w:val="none"/>
          <w:u w:val="single"/>
        </w:rPr>
        <w:t xml:space="preserve">    </w:t>
      </w:r>
      <w:r>
        <w:rPr>
          <w:rFonts w:hint="eastAsia" w:ascii="Times New Roman" w:hAnsi="宋体" w:eastAsia="Times New Roman" w:cs="Times New Roman"/>
          <w:color w:val="auto"/>
          <w:sz w:val="24"/>
          <w:szCs w:val="24"/>
          <w:highlight w:val="none"/>
        </w:rPr>
        <w:t>个月。并确保设备保修期内开机率为9</w:t>
      </w:r>
      <w:r>
        <w:rPr>
          <w:rFonts w:ascii="Times New Roman" w:hAnsi="宋体" w:eastAsia="Times New Roman" w:cs="Times New Roman"/>
          <w:color w:val="auto"/>
          <w:sz w:val="24"/>
          <w:szCs w:val="24"/>
          <w:highlight w:val="none"/>
        </w:rPr>
        <w:t>5</w:t>
      </w:r>
      <w:r>
        <w:rPr>
          <w:rFonts w:hint="eastAsia" w:ascii="Times New Roman" w:hAnsi="宋体" w:eastAsia="Times New Roman" w:cs="Times New Roman"/>
          <w:color w:val="auto"/>
          <w:sz w:val="24"/>
          <w:szCs w:val="24"/>
          <w:highlight w:val="none"/>
        </w:rPr>
        <w:t>%，如设备故</w:t>
      </w:r>
    </w:p>
    <w:p w14:paraId="14EB215B">
      <w:pPr>
        <w:widowControl/>
        <w:spacing w:line="360" w:lineRule="auto"/>
        <w:ind w:left="480" w:hanging="480" w:hangingChars="200"/>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障停机率超过</w:t>
      </w:r>
      <w:r>
        <w:rPr>
          <w:rFonts w:ascii="Times New Roman" w:hAnsi="宋体" w:eastAsia="Times New Roman" w:cs="Times New Roman"/>
          <w:color w:val="auto"/>
          <w:sz w:val="24"/>
          <w:szCs w:val="24"/>
          <w:highlight w:val="none"/>
        </w:rPr>
        <w:t>5</w:t>
      </w:r>
      <w:r>
        <w:rPr>
          <w:rFonts w:hint="eastAsia" w:ascii="Times New Roman" w:hAnsi="宋体" w:eastAsia="Times New Roman" w:cs="Times New Roman"/>
          <w:color w:val="auto"/>
          <w:sz w:val="24"/>
          <w:szCs w:val="24"/>
          <w:highlight w:val="none"/>
        </w:rPr>
        <w:t>%（一年按</w:t>
      </w:r>
      <w:r>
        <w:rPr>
          <w:rFonts w:ascii="Times New Roman" w:hAnsi="宋体" w:eastAsia="Times New Roman" w:cs="Times New Roman"/>
          <w:color w:val="auto"/>
          <w:sz w:val="24"/>
          <w:szCs w:val="24"/>
          <w:highlight w:val="none"/>
        </w:rPr>
        <w:t>365</w:t>
      </w:r>
      <w:r>
        <w:rPr>
          <w:rFonts w:hint="eastAsia" w:ascii="Times New Roman" w:hAnsi="宋体" w:eastAsia="Times New Roman" w:cs="Times New Roman"/>
          <w:color w:val="auto"/>
          <w:sz w:val="24"/>
          <w:szCs w:val="24"/>
          <w:highlight w:val="none"/>
        </w:rPr>
        <w:t>天计算，每年</w:t>
      </w:r>
      <w:r>
        <w:rPr>
          <w:rFonts w:ascii="Times New Roman" w:hAnsi="宋体" w:eastAsia="Times New Roman" w:cs="Times New Roman"/>
          <w:color w:val="auto"/>
          <w:sz w:val="24"/>
          <w:szCs w:val="24"/>
          <w:highlight w:val="none"/>
        </w:rPr>
        <w:t>18</w:t>
      </w:r>
      <w:r>
        <w:rPr>
          <w:rFonts w:hint="eastAsia" w:ascii="Times New Roman" w:hAnsi="宋体" w:eastAsia="Times New Roman" w:cs="Times New Roman"/>
          <w:color w:val="auto"/>
          <w:sz w:val="24"/>
          <w:szCs w:val="24"/>
          <w:highlight w:val="none"/>
        </w:rPr>
        <w:t>天），每超过一天，保修期延长</w:t>
      </w:r>
    </w:p>
    <w:p w14:paraId="2B4BD54C">
      <w:pPr>
        <w:widowControl/>
        <w:spacing w:line="360" w:lineRule="auto"/>
        <w:ind w:left="480" w:hanging="480" w:hangingChars="200"/>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14天。保修期外乙方对本设备终身负责维修。</w:t>
      </w:r>
    </w:p>
    <w:p w14:paraId="79137233">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六、</w:t>
      </w:r>
      <w:r>
        <w:rPr>
          <w:rFonts w:hint="eastAsia" w:ascii="Times New Roman" w:hAnsi="Times New Roman" w:eastAsia="Times New Roman" w:cs="Times New Roman"/>
          <w:color w:val="auto"/>
          <w:sz w:val="24"/>
          <w:szCs w:val="24"/>
          <w:highlight w:val="none"/>
        </w:rPr>
        <w:t>乙方保证所供设备型号是最新的，且是用上等材料和工艺制成，全新，并严</w:t>
      </w:r>
    </w:p>
    <w:p w14:paraId="347D7F26">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格保持原包装，否则造成的一切损失由乙方负全部责任。由于设备质量问题引起</w:t>
      </w:r>
    </w:p>
    <w:p w14:paraId="6782FCDA">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的医疗事故和纠纷，乙方承担全部的法律和经济责任</w:t>
      </w:r>
      <w:r>
        <w:rPr>
          <w:rFonts w:hint="eastAsia" w:ascii="Times New Roman" w:hAnsi="宋体" w:eastAsia="Times New Roman" w:cs="Times New Roman"/>
          <w:color w:val="auto"/>
          <w:sz w:val="24"/>
          <w:szCs w:val="24"/>
          <w:highlight w:val="none"/>
        </w:rPr>
        <w:t>。</w:t>
      </w:r>
    </w:p>
    <w:p w14:paraId="2E9E1C72">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七、</w:t>
      </w:r>
      <w:r>
        <w:rPr>
          <w:rFonts w:hint="eastAsia" w:ascii="Times New Roman" w:hAnsi="Times New Roman" w:eastAsia="Times New Roman" w:cs="Times New Roman"/>
          <w:color w:val="auto"/>
          <w:sz w:val="24"/>
          <w:szCs w:val="24"/>
          <w:highlight w:val="none"/>
        </w:rPr>
        <w:t>乙方应保证甲方在使用、接受本合同货物和服务或其任何一部分时不涉及任</w:t>
      </w:r>
    </w:p>
    <w:p w14:paraId="6AE79B6B">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何第三方提出侵犯其专利权、版权、商标权和工业设计权等知识产权的纠纷。一</w:t>
      </w:r>
    </w:p>
    <w:p w14:paraId="30EE02F6">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旦出现，由乙方负全部责任</w:t>
      </w:r>
      <w:r>
        <w:rPr>
          <w:rFonts w:hint="eastAsia" w:ascii="Times New Roman" w:hAnsi="宋体" w:eastAsia="Times New Roman" w:cs="Times New Roman"/>
          <w:color w:val="auto"/>
          <w:sz w:val="24"/>
          <w:szCs w:val="24"/>
          <w:highlight w:val="none"/>
        </w:rPr>
        <w:t>。</w:t>
      </w:r>
    </w:p>
    <w:p w14:paraId="6FBDC5A8">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八、</w:t>
      </w:r>
      <w:r>
        <w:rPr>
          <w:rFonts w:hint="eastAsia" w:ascii="Times New Roman" w:hAnsi="Times New Roman" w:eastAsia="Times New Roman" w:cs="Times New Roman"/>
          <w:color w:val="auto"/>
          <w:sz w:val="24"/>
          <w:szCs w:val="24"/>
          <w:highlight w:val="none"/>
        </w:rPr>
        <w:t>乙方保证向甲方提供的设备满足中国国家标准或相关行业标准。根据国家规</w:t>
      </w:r>
    </w:p>
    <w:p w14:paraId="42B9FC83">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定，如需要提供3</w:t>
      </w:r>
      <w:r>
        <w:rPr>
          <w:rFonts w:ascii="Times New Roman" w:hAnsi="Times New Roman" w:eastAsia="Times New Roman" w:cs="Times New Roman"/>
          <w:color w:val="auto"/>
          <w:sz w:val="24"/>
          <w:szCs w:val="24"/>
          <w:highlight w:val="none"/>
        </w:rPr>
        <w:t>C</w:t>
      </w:r>
      <w:r>
        <w:rPr>
          <w:rFonts w:hint="eastAsia" w:ascii="Times New Roman" w:hAnsi="Times New Roman" w:eastAsia="Times New Roman" w:cs="Times New Roman"/>
          <w:color w:val="auto"/>
          <w:sz w:val="24"/>
          <w:szCs w:val="24"/>
          <w:highlight w:val="none"/>
        </w:rPr>
        <w:t>认证证书和标记的设备及有关配置，必须提供上述证书和标</w:t>
      </w:r>
    </w:p>
    <w:p w14:paraId="12883E05">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记</w:t>
      </w:r>
      <w:r>
        <w:rPr>
          <w:rFonts w:hint="eastAsia" w:ascii="Times New Roman" w:hAnsi="宋体" w:eastAsia="Times New Roman" w:cs="Times New Roman"/>
          <w:color w:val="auto"/>
          <w:sz w:val="24"/>
          <w:szCs w:val="24"/>
          <w:highlight w:val="none"/>
        </w:rPr>
        <w:t>。</w:t>
      </w:r>
    </w:p>
    <w:p w14:paraId="0FB7D333">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九、</w:t>
      </w:r>
      <w:r>
        <w:rPr>
          <w:rFonts w:hint="eastAsia" w:ascii="Times New Roman" w:hAnsi="Times New Roman" w:eastAsia="Times New Roman" w:cs="Times New Roman"/>
          <w:color w:val="auto"/>
          <w:sz w:val="24"/>
          <w:szCs w:val="24"/>
          <w:highlight w:val="none"/>
        </w:rPr>
        <w:t>乙方所供设备如验收不合格，根据甲方的要求，乙方必须无条件换货或退货，由此引起的一切损失由乙方承担</w:t>
      </w:r>
      <w:r>
        <w:rPr>
          <w:rFonts w:hint="eastAsia" w:ascii="Times New Roman" w:hAnsi="宋体" w:eastAsia="Times New Roman" w:cs="Times New Roman"/>
          <w:color w:val="auto"/>
          <w:sz w:val="24"/>
          <w:szCs w:val="24"/>
          <w:highlight w:val="none"/>
        </w:rPr>
        <w:t>。</w:t>
      </w:r>
    </w:p>
    <w:p w14:paraId="10530D52">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十、</w:t>
      </w:r>
      <w:r>
        <w:rPr>
          <w:rFonts w:hint="eastAsia" w:ascii="Times New Roman" w:hAnsi="Times New Roman" w:eastAsia="Times New Roman" w:cs="Times New Roman"/>
          <w:color w:val="auto"/>
          <w:sz w:val="24"/>
          <w:szCs w:val="24"/>
          <w:highlight w:val="none"/>
        </w:rPr>
        <w:t>设备安装后，乙方应配合甲方按厂方技术参数、国家标准等进行质量验收。</w:t>
      </w:r>
    </w:p>
    <w:p w14:paraId="7D3C5D69">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若有歧义，甲方有权委托国内有资格的单位对该设备进行质量检测，费用由乙方</w:t>
      </w:r>
    </w:p>
    <w:p w14:paraId="5521D29E">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承担</w:t>
      </w:r>
      <w:r>
        <w:rPr>
          <w:rFonts w:hint="eastAsia" w:ascii="Times New Roman" w:hAnsi="宋体" w:eastAsia="Times New Roman" w:cs="Times New Roman"/>
          <w:color w:val="auto"/>
          <w:sz w:val="24"/>
          <w:szCs w:val="24"/>
          <w:highlight w:val="none"/>
        </w:rPr>
        <w:t>。</w:t>
      </w:r>
    </w:p>
    <w:p w14:paraId="48F5589B">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十一、</w:t>
      </w:r>
      <w:r>
        <w:rPr>
          <w:rFonts w:hint="eastAsia" w:ascii="Times New Roman" w:hAnsi="Times New Roman" w:eastAsia="Times New Roman" w:cs="Times New Roman"/>
          <w:color w:val="auto"/>
          <w:sz w:val="24"/>
          <w:szCs w:val="24"/>
          <w:highlight w:val="none"/>
        </w:rPr>
        <w:t>特别提醒条款：a、所提供医疗器械产品注册证必须真实有效；b、所提供</w:t>
      </w:r>
    </w:p>
    <w:p w14:paraId="7011C325">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设备上的中文品名、型号及产品说明书所注适用范围必须与医疗器械产品注册证</w:t>
      </w:r>
    </w:p>
    <w:p w14:paraId="16EDDA08">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所标明的完全一致；c、发票上所列品名与型号必须与合同所列品名与型号完全</w:t>
      </w:r>
    </w:p>
    <w:p w14:paraId="06D6D8EB">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一致；d、其他未提及事项必须符合国家药品监督管理局的相关规定。e、设备到</w:t>
      </w:r>
    </w:p>
    <w:p w14:paraId="1B035902">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货时间，请乙方至少提前三天通知甲方采购员，以便甲方安排好相关收货工作。</w:t>
      </w:r>
    </w:p>
    <w:p w14:paraId="03F5B172">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设备到达甲方医院时，乙方代表必须随机到达，由乙方负责卸货并搬运至甲方指</w:t>
      </w:r>
    </w:p>
    <w:p w14:paraId="1474BCFB">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定的地点，待设备搬运完毕后，甲乙双方办理交接手续。如未按上述条款执行，</w:t>
      </w:r>
    </w:p>
    <w:p w14:paraId="0B4A3A42">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造成的一切后果全部由乙方承担</w:t>
      </w:r>
      <w:r>
        <w:rPr>
          <w:rFonts w:hint="eastAsia" w:ascii="Times New Roman" w:hAnsi="宋体" w:eastAsia="Times New Roman" w:cs="Times New Roman"/>
          <w:color w:val="auto"/>
          <w:sz w:val="24"/>
          <w:szCs w:val="24"/>
          <w:highlight w:val="none"/>
        </w:rPr>
        <w:t>。</w:t>
      </w:r>
    </w:p>
    <w:p w14:paraId="08732354">
      <w:pPr>
        <w:widowControl/>
        <w:spacing w:line="360" w:lineRule="auto"/>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十二、服务条款：</w:t>
      </w:r>
    </w:p>
    <w:p w14:paraId="755071FC">
      <w:pPr>
        <w:widowControl/>
        <w:spacing w:line="360" w:lineRule="auto"/>
        <w:jc w:val="left"/>
        <w:rPr>
          <w:rFonts w:ascii="Times New Roman" w:hAnsi="宋体" w:eastAsia="Times New Roman" w:cs="Times New Roman"/>
          <w:color w:val="auto"/>
          <w:sz w:val="24"/>
          <w:szCs w:val="24"/>
          <w:highlight w:val="none"/>
          <w:u w:val="single"/>
        </w:rPr>
      </w:pPr>
      <w:r>
        <w:rPr>
          <w:rFonts w:hint="eastAsia" w:ascii="Times New Roman" w:hAnsi="宋体" w:eastAsia="Times New Roman" w:cs="Times New Roman"/>
          <w:color w:val="auto"/>
          <w:sz w:val="24"/>
          <w:szCs w:val="24"/>
          <w:highlight w:val="none"/>
        </w:rPr>
        <w:t>1</w:t>
      </w:r>
      <w:r>
        <w:rPr>
          <w:rFonts w:hint="eastAsia" w:ascii="Times New Roman" w:hAnsi="Times New Roman" w:eastAsia="Times New Roman" w:cs="Times New Roman"/>
          <w:color w:val="auto"/>
          <w:sz w:val="24"/>
          <w:szCs w:val="24"/>
          <w:highlight w:val="none"/>
        </w:rPr>
        <w:t>乙方免费提前为甲方提供设备安装图纸，并充分协助甲方做好机房的准备工作（如必要的话）</w:t>
      </w:r>
      <w:r>
        <w:rPr>
          <w:rFonts w:hint="eastAsia" w:ascii="Times New Roman" w:hAnsi="宋体" w:eastAsia="Times New Roman" w:cs="Times New Roman"/>
          <w:color w:val="auto"/>
          <w:sz w:val="24"/>
          <w:szCs w:val="24"/>
          <w:highlight w:val="none"/>
        </w:rPr>
        <w:t>。</w:t>
      </w:r>
    </w:p>
    <w:p w14:paraId="5911C74A">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2.</w:t>
      </w:r>
      <w:r>
        <w:rPr>
          <w:rFonts w:hint="eastAsia" w:ascii="Times New Roman" w:hAnsi="Times New Roman" w:eastAsia="Times New Roman" w:cs="Times New Roman"/>
          <w:color w:val="auto"/>
          <w:sz w:val="24"/>
          <w:szCs w:val="24"/>
          <w:highlight w:val="none"/>
        </w:rPr>
        <w:t>设备安装时，乙方负责设备的免费安装和调试，但乙方必须事先与甲方的临床</w:t>
      </w:r>
    </w:p>
    <w:p w14:paraId="6C475101">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医学工程处联系，并与临床医学工程处共同参与，否则引起的一切责任由乙方承</w:t>
      </w:r>
    </w:p>
    <w:p w14:paraId="1A028C6B">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担</w:t>
      </w:r>
      <w:r>
        <w:rPr>
          <w:rFonts w:hint="eastAsia" w:ascii="Times New Roman" w:hAnsi="宋体" w:eastAsia="Times New Roman" w:cs="Times New Roman"/>
          <w:color w:val="auto"/>
          <w:sz w:val="24"/>
          <w:szCs w:val="24"/>
          <w:highlight w:val="none"/>
        </w:rPr>
        <w:t>。</w:t>
      </w:r>
    </w:p>
    <w:p w14:paraId="0111EFD2">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3.</w:t>
      </w:r>
      <w:r>
        <w:rPr>
          <w:rFonts w:hint="eastAsia" w:ascii="Times New Roman" w:hAnsi="Times New Roman" w:eastAsia="Times New Roman" w:cs="Times New Roman"/>
          <w:color w:val="auto"/>
          <w:sz w:val="24"/>
          <w:szCs w:val="24"/>
          <w:highlight w:val="none"/>
        </w:rPr>
        <w:t>乙方逾期交付货物的，每逾期一天，乙方向甲方偿付货款总额</w:t>
      </w:r>
      <w:r>
        <w:rPr>
          <w:rFonts w:hint="eastAsia" w:eastAsia="宋体" w:cs="Times New Roman"/>
          <w:color w:val="auto"/>
          <w:sz w:val="24"/>
          <w:szCs w:val="24"/>
          <w:highlight w:val="none"/>
          <w:lang w:val="en-US" w:eastAsia="zh-CN"/>
        </w:rPr>
        <w:t>1</w:t>
      </w:r>
      <w:r>
        <w:rPr>
          <w:rFonts w:hint="eastAsia" w:ascii="Times New Roman" w:hAnsi="Times New Roman" w:eastAsia="Times New Roman" w:cs="Times New Roman"/>
          <w:color w:val="auto"/>
          <w:sz w:val="24"/>
          <w:szCs w:val="24"/>
          <w:highlight w:val="none"/>
        </w:rPr>
        <w:t>‰的滞纳金，</w:t>
      </w:r>
    </w:p>
    <w:p w14:paraId="2C449A17">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如乙方逾期交货达10天，甲方有权解除合同。如有特殊情况，乙方应书面通知</w:t>
      </w:r>
    </w:p>
    <w:p w14:paraId="1A0B54C0">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无法交货原因，在获得甲方同意后，方可推迟交货时间</w:t>
      </w:r>
      <w:r>
        <w:rPr>
          <w:rFonts w:hint="eastAsia" w:ascii="Times New Roman" w:hAnsi="宋体" w:eastAsia="Times New Roman" w:cs="Times New Roman"/>
          <w:color w:val="auto"/>
          <w:sz w:val="24"/>
          <w:szCs w:val="24"/>
          <w:highlight w:val="none"/>
        </w:rPr>
        <w:t>。</w:t>
      </w:r>
    </w:p>
    <w:p w14:paraId="2BD47E2C">
      <w:pPr>
        <w:widowControl/>
        <w:spacing w:line="360" w:lineRule="auto"/>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4.</w:t>
      </w:r>
      <w:r>
        <w:rPr>
          <w:rFonts w:hint="eastAsia" w:ascii="Times New Roman" w:hAnsi="Times New Roman" w:eastAsia="Times New Roman" w:cs="Times New Roman"/>
          <w:color w:val="auto"/>
          <w:sz w:val="24"/>
          <w:szCs w:val="24"/>
          <w:highlight w:val="none"/>
        </w:rPr>
        <w:t>设备安装、调试结束后，甲方对设备试用后进行验收（时间由甲、乙双方商定），乙方免费派工程师到达现场协助验收工作。保修期自甲方验收合格之日算起，保修期外故障待修复后只收配件费，免收人工费</w:t>
      </w:r>
      <w:r>
        <w:rPr>
          <w:rFonts w:hint="eastAsia" w:ascii="Times New Roman" w:hAnsi="宋体" w:eastAsia="Times New Roman" w:cs="Times New Roman"/>
          <w:color w:val="auto"/>
          <w:sz w:val="24"/>
          <w:szCs w:val="24"/>
          <w:highlight w:val="none"/>
        </w:rPr>
        <w:t>。</w:t>
      </w:r>
    </w:p>
    <w:p w14:paraId="16C771F0">
      <w:pPr>
        <w:widowControl/>
        <w:spacing w:line="360" w:lineRule="auto"/>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5.</w:t>
      </w:r>
      <w:r>
        <w:rPr>
          <w:rFonts w:hint="eastAsia" w:ascii="Times New Roman" w:hAnsi="Times New Roman" w:eastAsia="Times New Roman" w:cs="Times New Roman"/>
          <w:color w:val="auto"/>
          <w:sz w:val="24"/>
          <w:szCs w:val="24"/>
          <w:highlight w:val="none"/>
        </w:rPr>
        <w:t>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rPr>
          <w:rFonts w:hint="eastAsia" w:ascii="Times New Roman" w:hAnsi="宋体" w:eastAsia="Times New Roman" w:cs="Times New Roman"/>
          <w:color w:val="auto"/>
          <w:sz w:val="24"/>
          <w:szCs w:val="24"/>
          <w:highlight w:val="none"/>
        </w:rPr>
        <w:t>。</w:t>
      </w:r>
    </w:p>
    <w:p w14:paraId="3EFE7A90">
      <w:pPr>
        <w:widowControl/>
        <w:spacing w:line="360" w:lineRule="auto"/>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6.</w:t>
      </w:r>
      <w:r>
        <w:rPr>
          <w:rFonts w:hint="eastAsia" w:ascii="Times New Roman" w:hAnsi="Times New Roman" w:eastAsia="Times New Roman" w:cs="Times New Roman"/>
          <w:color w:val="auto"/>
          <w:sz w:val="24"/>
          <w:szCs w:val="24"/>
          <w:highlight w:val="none"/>
        </w:rPr>
        <w:t>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rPr>
          <w:rFonts w:hint="eastAsia" w:ascii="Times New Roman" w:hAnsi="宋体" w:eastAsia="Times New Roman" w:cs="Times New Roman"/>
          <w:color w:val="auto"/>
          <w:sz w:val="24"/>
          <w:szCs w:val="24"/>
          <w:highlight w:val="none"/>
        </w:rPr>
        <w:t>。</w:t>
      </w:r>
    </w:p>
    <w:p w14:paraId="4BA226B8">
      <w:pPr>
        <w:widowControl/>
        <w:spacing w:line="360" w:lineRule="auto"/>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7.</w:t>
      </w:r>
      <w:r>
        <w:rPr>
          <w:rFonts w:hint="eastAsia" w:ascii="Times New Roman" w:hAnsi="Times New Roman" w:eastAsia="Times New Roman" w:cs="Times New Roman"/>
          <w:color w:val="auto"/>
          <w:sz w:val="24"/>
          <w:szCs w:val="24"/>
          <w:highlight w:val="none"/>
        </w:rPr>
        <w:t>如设备软件升级，乙方负责免费软件升级</w:t>
      </w:r>
      <w:r>
        <w:rPr>
          <w:rFonts w:hint="eastAsia" w:ascii="Times New Roman" w:hAnsi="宋体" w:eastAsia="Times New Roman" w:cs="Times New Roman"/>
          <w:color w:val="auto"/>
          <w:sz w:val="24"/>
          <w:szCs w:val="24"/>
          <w:highlight w:val="none"/>
        </w:rPr>
        <w:t>。</w:t>
      </w:r>
    </w:p>
    <w:p w14:paraId="7D512EC7">
      <w:pPr>
        <w:widowControl/>
        <w:spacing w:line="360" w:lineRule="auto"/>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8.</w:t>
      </w:r>
      <w:r>
        <w:rPr>
          <w:rFonts w:hint="eastAsia" w:ascii="Times New Roman" w:hAnsi="Times New Roman" w:eastAsia="Times New Roman" w:cs="Times New Roman"/>
          <w:color w:val="auto"/>
          <w:sz w:val="24"/>
          <w:szCs w:val="24"/>
          <w:highlight w:val="none"/>
        </w:rPr>
        <w:t>乙方免费提供全套技术资料（维修说明书包括详细电路图、操作说明书及光盘），如技术资料不全，甲方有权不支付货款</w:t>
      </w:r>
      <w:r>
        <w:rPr>
          <w:rFonts w:hint="eastAsia" w:ascii="Times New Roman" w:hAnsi="宋体" w:eastAsia="Times New Roman" w:cs="Times New Roman"/>
          <w:color w:val="auto"/>
          <w:sz w:val="24"/>
          <w:szCs w:val="24"/>
          <w:highlight w:val="none"/>
        </w:rPr>
        <w:t>。</w:t>
      </w:r>
    </w:p>
    <w:p w14:paraId="493B5412">
      <w:pPr>
        <w:widowControl/>
        <w:spacing w:line="360" w:lineRule="auto"/>
        <w:ind w:left="509" w:hanging="508" w:hangingChars="212"/>
        <w:jc w:val="left"/>
        <w:rPr>
          <w:rFonts w:ascii="Times New Roman" w:hAnsi="Times New Roman"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9.</w:t>
      </w:r>
      <w:r>
        <w:rPr>
          <w:rFonts w:hint="eastAsia" w:ascii="Times New Roman" w:hAnsi="Times New Roman" w:eastAsia="Times New Roman" w:cs="Times New Roman"/>
          <w:color w:val="auto"/>
          <w:sz w:val="24"/>
          <w:szCs w:val="24"/>
          <w:highlight w:val="none"/>
        </w:rPr>
        <w:t>技术培训：在安装过程中或安装结束后，乙方工程师或有关人员有义务对甲方</w:t>
      </w:r>
    </w:p>
    <w:p w14:paraId="116F34E3">
      <w:pPr>
        <w:widowControl/>
        <w:spacing w:line="360" w:lineRule="auto"/>
        <w:ind w:left="509" w:hanging="508" w:hangingChars="212"/>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工程师和操作人员进行现场维修、保养、操作培训并提供快捷操作指南（塑胶封</w:t>
      </w:r>
    </w:p>
    <w:p w14:paraId="570F3CCF">
      <w:pPr>
        <w:widowControl/>
        <w:spacing w:line="360" w:lineRule="auto"/>
        <w:ind w:left="509" w:hanging="508" w:hangingChars="212"/>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好，挂在设备上），解答甲方人员提出的问题。必要时提供正规培训班培训，确</w:t>
      </w:r>
    </w:p>
    <w:p w14:paraId="0CA36868">
      <w:pPr>
        <w:widowControl/>
        <w:spacing w:line="360" w:lineRule="auto"/>
        <w:ind w:left="509" w:hanging="508" w:hangingChars="212"/>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保操作人员掌握完成日常工作所需的基本操作方法为止，工程师掌握基本的维护</w:t>
      </w:r>
    </w:p>
    <w:p w14:paraId="234B6781">
      <w:pPr>
        <w:widowControl/>
        <w:spacing w:line="360" w:lineRule="auto"/>
        <w:ind w:left="509" w:hanging="508" w:hangingChars="212"/>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保养操作技术为止。详见乙方的投标文件</w:t>
      </w:r>
      <w:r>
        <w:rPr>
          <w:rFonts w:hint="eastAsia" w:ascii="Times New Roman" w:hAnsi="宋体" w:eastAsia="Times New Roman" w:cs="Times New Roman"/>
          <w:color w:val="auto"/>
          <w:sz w:val="24"/>
          <w:szCs w:val="24"/>
          <w:highlight w:val="none"/>
        </w:rPr>
        <w:t>。</w:t>
      </w:r>
    </w:p>
    <w:p w14:paraId="66BD1686">
      <w:pPr>
        <w:widowControl/>
        <w:spacing w:line="360" w:lineRule="auto"/>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10.</w:t>
      </w:r>
      <w:r>
        <w:rPr>
          <w:rFonts w:hint="eastAsia" w:ascii="Times New Roman" w:hAnsi="Times New Roman" w:eastAsia="Times New Roman" w:cs="Times New Roman"/>
          <w:color w:val="auto"/>
          <w:sz w:val="24"/>
          <w:szCs w:val="24"/>
          <w:highlight w:val="none"/>
        </w:rPr>
        <w:t>如乙方提供的设备设有维修软件密码，乙方保证无条件地为甲方永久免费打开</w:t>
      </w:r>
      <w:r>
        <w:rPr>
          <w:rFonts w:hint="eastAsia" w:ascii="Times New Roman" w:hAnsi="宋体" w:eastAsia="Times New Roman" w:cs="Times New Roman"/>
          <w:color w:val="auto"/>
          <w:sz w:val="24"/>
          <w:szCs w:val="24"/>
          <w:highlight w:val="none"/>
        </w:rPr>
        <w:t>。</w:t>
      </w:r>
    </w:p>
    <w:p w14:paraId="2C6B8A24">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11.项目编号：</w:t>
      </w:r>
      <w:r>
        <w:rPr>
          <w:rFonts w:hint="eastAsia" w:ascii="Times New Roman" w:hAnsi="宋体" w:eastAsia="Times New Roman" w:cs="Times New Roman"/>
          <w:color w:val="auto"/>
          <w:sz w:val="24"/>
          <w:szCs w:val="24"/>
          <w:highlight w:val="none"/>
          <w:u w:val="single"/>
        </w:rPr>
        <w:t xml:space="preserve">               </w:t>
      </w:r>
      <w:r>
        <w:rPr>
          <w:rFonts w:hint="eastAsia" w:ascii="Times New Roman" w:hAnsi="宋体" w:eastAsia="Times New Roman" w:cs="Times New Roman"/>
          <w:color w:val="auto"/>
          <w:sz w:val="24"/>
          <w:szCs w:val="24"/>
          <w:highlight w:val="none"/>
        </w:rPr>
        <w:t>的</w:t>
      </w:r>
      <w:r>
        <w:rPr>
          <w:rFonts w:hint="eastAsia" w:ascii="Times New Roman" w:hAnsi="Times New Roman" w:eastAsia="Times New Roman" w:cs="Times New Roman"/>
          <w:color w:val="auto"/>
          <w:sz w:val="24"/>
          <w:szCs w:val="24"/>
          <w:highlight w:val="none"/>
        </w:rPr>
        <w:t>招投标文件及有关附件是本合同不可分割的</w:t>
      </w:r>
    </w:p>
    <w:p w14:paraId="702CEECC">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组成部分，与本合同具有同等法律效力</w:t>
      </w:r>
      <w:r>
        <w:rPr>
          <w:rFonts w:hint="eastAsia" w:ascii="Times New Roman" w:hAnsi="宋体" w:eastAsia="Times New Roman" w:cs="Times New Roman"/>
          <w:color w:val="auto"/>
          <w:sz w:val="24"/>
          <w:szCs w:val="24"/>
          <w:highlight w:val="none"/>
        </w:rPr>
        <w:t>。</w:t>
      </w:r>
    </w:p>
    <w:p w14:paraId="1615351E">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12.</w:t>
      </w:r>
      <w:r>
        <w:rPr>
          <w:rFonts w:hint="eastAsia" w:ascii="Times New Roman" w:hAnsi="Times New Roman" w:eastAsia="Times New Roman" w:cs="Times New Roman"/>
          <w:color w:val="auto"/>
          <w:sz w:val="24"/>
          <w:szCs w:val="24"/>
          <w:highlight w:val="none"/>
        </w:rPr>
        <w:t>乙方所提供的设备及其售后服务应遵守中国网络安全及数据安全相关法律法</w:t>
      </w:r>
    </w:p>
    <w:p w14:paraId="22383763">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规（包括但不限于《网络安全法》《数据安全法》《个人信息保护法》），符合</w:t>
      </w:r>
    </w:p>
    <w:p w14:paraId="7A63EEBC">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《医疗卫生机构网络安全管理办法》的要求。乙方如违反上述规定，应承担相应</w:t>
      </w:r>
    </w:p>
    <w:p w14:paraId="73DCD800">
      <w:pPr>
        <w:widowControl/>
        <w:spacing w:line="360" w:lineRule="auto"/>
        <w:ind w:left="480" w:hanging="480" w:hangingChars="200"/>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法律责任。</w:t>
      </w:r>
    </w:p>
    <w:p w14:paraId="6E5ABD89">
      <w:pPr>
        <w:widowControl/>
        <w:spacing w:line="360" w:lineRule="auto"/>
        <w:jc w:val="left"/>
        <w:rPr>
          <w:rFonts w:ascii="Times New Roman" w:hAnsi="Times New Roman"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13.本合同履约过程中，如发生任何争议，双方协商解决；如不能协商解决，由</w:t>
      </w:r>
    </w:p>
    <w:p w14:paraId="7EB67435">
      <w:pPr>
        <w:widowControl/>
        <w:spacing w:line="360" w:lineRule="auto"/>
        <w:jc w:val="left"/>
        <w:rPr>
          <w:rFonts w:ascii="Times New Roman" w:hAnsi="宋体" w:eastAsia="Times New Roman" w:cs="Times New Roman"/>
          <w:color w:val="auto"/>
          <w:sz w:val="24"/>
          <w:szCs w:val="24"/>
          <w:highlight w:val="none"/>
        </w:rPr>
      </w:pPr>
      <w:r>
        <w:rPr>
          <w:rFonts w:hint="eastAsia" w:ascii="Times New Roman" w:hAnsi="Times New Roman" w:eastAsia="Times New Roman" w:cs="Times New Roman"/>
          <w:color w:val="auto"/>
          <w:sz w:val="24"/>
          <w:szCs w:val="24"/>
          <w:highlight w:val="none"/>
        </w:rPr>
        <w:t>合同签署地法院管辖。</w:t>
      </w:r>
    </w:p>
    <w:p w14:paraId="3C7E743A">
      <w:pPr>
        <w:widowControl/>
        <w:spacing w:line="360" w:lineRule="auto"/>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本合同一式四份，自双方签字盖章之日起生效，甲方执三份，乙方执一份。</w:t>
      </w:r>
    </w:p>
    <w:p w14:paraId="1AA0109A">
      <w:pPr>
        <w:widowControl/>
        <w:spacing w:line="360" w:lineRule="auto"/>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合同签署地点:</w:t>
      </w:r>
      <w:r>
        <w:rPr>
          <w:rFonts w:hint="eastAsia" w:hAnsi="宋体" w:eastAsia="宋体" w:cs="Times New Roman"/>
          <w:color w:val="auto"/>
          <w:sz w:val="24"/>
          <w:szCs w:val="24"/>
          <w:highlight w:val="none"/>
          <w:lang w:val="en-US" w:eastAsia="zh-CN"/>
        </w:rPr>
        <w:t xml:space="preserve">   </w:t>
      </w:r>
      <w:r>
        <w:rPr>
          <w:rFonts w:hint="eastAsia" w:ascii="Times New Roman" w:hAnsi="宋体" w:eastAsia="Times New Roman" w:cs="Times New Roman"/>
          <w:color w:val="auto"/>
          <w:sz w:val="24"/>
          <w:szCs w:val="24"/>
          <w:highlight w:val="none"/>
        </w:rPr>
        <w:t>。</w:t>
      </w:r>
    </w:p>
    <w:p w14:paraId="562051AA">
      <w:pPr>
        <w:widowControl/>
        <w:spacing w:line="360" w:lineRule="auto"/>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甲方（盖章）：             </w:t>
      </w:r>
      <w:r>
        <w:rPr>
          <w:rFonts w:hint="eastAsia" w:ascii="Times New Roman" w:hAnsi="宋体" w:eastAsia="宋体" w:cs="Times New Roman"/>
          <w:color w:val="auto"/>
          <w:sz w:val="24"/>
          <w:szCs w:val="24"/>
          <w:highlight w:val="none"/>
          <w:lang w:val="en-US" w:eastAsia="zh-CN"/>
        </w:rPr>
        <w:t xml:space="preserve">               </w:t>
      </w:r>
      <w:r>
        <w:rPr>
          <w:rFonts w:hint="eastAsia" w:ascii="Times New Roman" w:hAnsi="宋体" w:eastAsia="Times New Roman" w:cs="Times New Roman"/>
          <w:color w:val="auto"/>
          <w:sz w:val="24"/>
          <w:szCs w:val="24"/>
          <w:highlight w:val="none"/>
        </w:rPr>
        <w:t xml:space="preserve">乙方（盖章）： </w:t>
      </w:r>
    </w:p>
    <w:p w14:paraId="1278B76A">
      <w:pPr>
        <w:widowControl/>
        <w:spacing w:line="360" w:lineRule="auto"/>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地址：</w:t>
      </w:r>
      <w:r>
        <w:rPr>
          <w:rFonts w:hint="eastAsia" w:ascii="Times New Roman" w:hAnsi="宋体" w:eastAsia="宋体" w:cs="Times New Roman"/>
          <w:color w:val="auto"/>
          <w:sz w:val="24"/>
          <w:szCs w:val="24"/>
          <w:highlight w:val="none"/>
          <w:lang w:val="en-US" w:eastAsia="zh-CN"/>
        </w:rPr>
        <w:t xml:space="preserve">                              </w:t>
      </w:r>
      <w:r>
        <w:rPr>
          <w:rFonts w:hint="eastAsia" w:ascii="Times New Roman" w:hAnsi="宋体" w:eastAsia="Times New Roman" w:cs="Times New Roman"/>
          <w:color w:val="auto"/>
          <w:sz w:val="24"/>
          <w:szCs w:val="24"/>
          <w:highlight w:val="none"/>
        </w:rPr>
        <w:t xml:space="preserve">      地址： </w:t>
      </w:r>
    </w:p>
    <w:p w14:paraId="5C4CEADB">
      <w:pPr>
        <w:widowControl/>
        <w:spacing w:line="360" w:lineRule="auto"/>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法定代表人（或授权人）：                  法定代表人（或授权人）：</w:t>
      </w:r>
    </w:p>
    <w:p w14:paraId="2E392FD1">
      <w:pPr>
        <w:widowControl/>
        <w:spacing w:line="360" w:lineRule="auto"/>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部门负责人：                              开户行名称：</w:t>
      </w:r>
    </w:p>
    <w:p w14:paraId="16DC44CE">
      <w:pPr>
        <w:widowControl/>
        <w:spacing w:line="360" w:lineRule="auto"/>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                                          开户行账号：</w:t>
      </w:r>
    </w:p>
    <w:p w14:paraId="1974D3BD">
      <w:pPr>
        <w:widowControl/>
        <w:spacing w:line="360" w:lineRule="auto"/>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经办人:                                   经办人:    </w:t>
      </w:r>
    </w:p>
    <w:p w14:paraId="04D99CC2">
      <w:pPr>
        <w:widowControl/>
        <w:spacing w:line="360" w:lineRule="auto"/>
        <w:jc w:val="left"/>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  </w:t>
      </w:r>
    </w:p>
    <w:p w14:paraId="7165DC2B">
      <w:pPr>
        <w:spacing w:before="0" w:beforeAutospacing="0" w:after="0" w:afterAutospacing="0"/>
        <w:rPr>
          <w:rFonts w:ascii="Times New Roman" w:hAnsi="宋体" w:eastAsia="Times New Roman" w:cs="宋体"/>
          <w:color w:val="auto"/>
          <w:sz w:val="24"/>
          <w:szCs w:val="24"/>
          <w:highlight w:val="none"/>
          <w:lang w:val="en-US" w:eastAsia="zh-CN" w:bidi="ar-SA"/>
        </w:rPr>
      </w:pPr>
      <w:r>
        <w:rPr>
          <w:rFonts w:hint="eastAsia" w:ascii="Times New Roman" w:hAnsi="宋体" w:eastAsia="Times New Roman" w:cs="宋体"/>
          <w:color w:val="auto"/>
          <w:sz w:val="24"/>
          <w:szCs w:val="24"/>
          <w:highlight w:val="none"/>
          <w:lang w:val="en-US" w:eastAsia="zh-CN" w:bidi="ar-SA"/>
        </w:rPr>
        <w:t>签订日期：____年__ 月__日                 签订日期：____年__月__日。</w:t>
      </w:r>
    </w:p>
    <w:p w14:paraId="12E6926B">
      <w:pPr>
        <w:keepNext/>
        <w:keepLines/>
        <w:pageBreakBefore/>
        <w:jc w:val="center"/>
        <w:outlineLvl w:val="0"/>
        <w:rPr>
          <w:rFonts w:hint="eastAsia" w:ascii="宋体" w:hAnsi="宋体" w:cs="宋体"/>
          <w:b/>
          <w:color w:val="auto"/>
          <w:sz w:val="44"/>
          <w:szCs w:val="44"/>
          <w:highlight w:val="none"/>
        </w:rPr>
      </w:pPr>
      <w:bookmarkStart w:id="137" w:name="_Toc25478"/>
      <w:bookmarkStart w:id="138" w:name="_Toc514054483"/>
      <w:bookmarkStart w:id="139" w:name="_Toc29724"/>
      <w:r>
        <w:rPr>
          <w:rFonts w:hint="eastAsia" w:ascii="宋体" w:hAnsi="宋体" w:cs="宋体"/>
          <w:b/>
          <w:color w:val="auto"/>
          <w:sz w:val="44"/>
          <w:szCs w:val="44"/>
          <w:highlight w:val="none"/>
        </w:rPr>
        <w:t>第六部分  投标文件格式</w:t>
      </w:r>
      <w:bookmarkEnd w:id="137"/>
      <w:bookmarkEnd w:id="138"/>
      <w:bookmarkEnd w:id="139"/>
    </w:p>
    <w:p w14:paraId="328BC7EC">
      <w:pPr>
        <w:rPr>
          <w:rFonts w:hint="eastAsia" w:ascii="宋体" w:hAnsi="宋体" w:cs="宋体"/>
          <w:color w:val="auto"/>
          <w:highlight w:val="none"/>
        </w:rPr>
      </w:pPr>
    </w:p>
    <w:p w14:paraId="3781734A">
      <w:pPr>
        <w:widowControl/>
        <w:spacing w:line="360" w:lineRule="auto"/>
        <w:jc w:val="left"/>
        <w:rPr>
          <w:rFonts w:hint="eastAsia" w:ascii="仿宋" w:hAnsi="仿宋" w:eastAsia="仿宋" w:cs="宋体"/>
          <w:b/>
          <w:bCs/>
          <w:color w:val="auto"/>
          <w:sz w:val="24"/>
          <w:szCs w:val="28"/>
          <w:highlight w:val="none"/>
        </w:rPr>
      </w:pPr>
      <w:bookmarkStart w:id="140" w:name="_Toc16009"/>
      <w:bookmarkStart w:id="141" w:name="_Toc26779"/>
      <w:bookmarkStart w:id="142" w:name="_Toc514054484"/>
      <w:bookmarkStart w:id="143" w:name="_Toc21788"/>
      <w:r>
        <w:rPr>
          <w:rFonts w:hint="eastAsia" w:ascii="仿宋" w:hAnsi="仿宋" w:eastAsia="仿宋" w:cs="宋体"/>
          <w:b/>
          <w:bCs/>
          <w:color w:val="auto"/>
          <w:sz w:val="24"/>
          <w:szCs w:val="28"/>
          <w:highlight w:val="none"/>
        </w:rPr>
        <w:t>投标文件格式使用注意事项：</w:t>
      </w:r>
    </w:p>
    <w:p w14:paraId="7C30AD74">
      <w:pPr>
        <w:widowControl/>
        <w:numPr>
          <w:ilvl w:val="0"/>
          <w:numId w:val="10"/>
        </w:numPr>
        <w:spacing w:line="360" w:lineRule="auto"/>
        <w:jc w:val="left"/>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投标文件编制时应使用的模板已在本部分列明，招标文件要求提供但未提供模板的，格式自拟。</w:t>
      </w:r>
    </w:p>
    <w:p w14:paraId="727B3798">
      <w:pPr>
        <w:widowControl/>
        <w:numPr>
          <w:ilvl w:val="0"/>
          <w:numId w:val="10"/>
        </w:numPr>
        <w:spacing w:line="360" w:lineRule="auto"/>
        <w:jc w:val="left"/>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模板没有先后顺序，在使用模板时模板名称对应苏采云系统目录名称。</w:t>
      </w:r>
    </w:p>
    <w:p w14:paraId="7C10B72E">
      <w:pPr>
        <w:widowControl/>
        <w:numPr>
          <w:ilvl w:val="0"/>
          <w:numId w:val="10"/>
        </w:numPr>
        <w:spacing w:line="360" w:lineRule="auto"/>
        <w:jc w:val="left"/>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招标文件中提供的投标文件格式与苏采云系统内不一致的，以苏采云系统的格式为准。</w:t>
      </w:r>
    </w:p>
    <w:p w14:paraId="28504E62">
      <w:pPr>
        <w:widowControl/>
        <w:spacing w:line="360" w:lineRule="auto"/>
        <w:jc w:val="left"/>
        <w:rPr>
          <w:rFonts w:hint="eastAsia" w:ascii="仿宋" w:hAnsi="仿宋" w:eastAsia="仿宋" w:cs="宋体"/>
          <w:color w:val="auto"/>
          <w:sz w:val="24"/>
          <w:szCs w:val="28"/>
          <w:highlight w:val="none"/>
        </w:rPr>
      </w:pPr>
    </w:p>
    <w:p w14:paraId="2BDBC405">
      <w:pPr>
        <w:widowControl/>
        <w:spacing w:line="360" w:lineRule="auto"/>
        <w:jc w:val="left"/>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r>
    </w:p>
    <w:p w14:paraId="28FBB30F">
      <w:pPr>
        <w:widowControl/>
        <w:jc w:val="left"/>
        <w:rPr>
          <w:rFonts w:hint="eastAsia" w:ascii="宋体" w:hAnsi="宋体" w:cs="宋体"/>
          <w:b/>
          <w:color w:val="auto"/>
          <w:sz w:val="32"/>
          <w:szCs w:val="24"/>
          <w:highlight w:val="none"/>
        </w:rPr>
      </w:pPr>
    </w:p>
    <w:p w14:paraId="5B11059D">
      <w:pPr>
        <w:pStyle w:val="499"/>
        <w:ind w:firstLine="321"/>
        <w:jc w:val="center"/>
        <w:outlineLvl w:val="1"/>
        <w:rPr>
          <w:rFonts w:hint="eastAsia" w:ascii="宋体" w:hAnsi="宋体" w:eastAsia="宋体" w:cs="宋体"/>
          <w:color w:val="auto"/>
          <w:highlight w:val="none"/>
        </w:rPr>
      </w:pPr>
      <w:bookmarkStart w:id="144" w:name="_Toc15407"/>
      <w:r>
        <w:rPr>
          <w:rFonts w:hint="eastAsia" w:ascii="宋体" w:hAnsi="宋体" w:eastAsia="宋体" w:cs="宋体"/>
          <w:color w:val="auto"/>
          <w:highlight w:val="none"/>
        </w:rPr>
        <w:t>封面</w:t>
      </w:r>
      <w:bookmarkEnd w:id="140"/>
      <w:bookmarkEnd w:id="141"/>
      <w:bookmarkEnd w:id="142"/>
      <w:bookmarkEnd w:id="143"/>
      <w:bookmarkEnd w:id="144"/>
    </w:p>
    <w:p w14:paraId="37113698">
      <w:pPr>
        <w:pStyle w:val="364"/>
        <w:jc w:val="left"/>
        <w:rPr>
          <w:rFonts w:hint="eastAsia" w:ascii="宋体" w:hAnsi="宋体" w:cs="宋体"/>
          <w:color w:val="auto"/>
          <w:sz w:val="32"/>
          <w:szCs w:val="32"/>
          <w:highlight w:val="none"/>
        </w:rPr>
      </w:pPr>
    </w:p>
    <w:p w14:paraId="2A6847E7">
      <w:pPr>
        <w:pStyle w:val="364"/>
        <w:jc w:val="left"/>
        <w:rPr>
          <w:rFonts w:hint="eastAsia" w:ascii="宋体" w:hAnsi="宋体" w:cs="宋体"/>
          <w:color w:val="auto"/>
          <w:sz w:val="32"/>
          <w:szCs w:val="32"/>
          <w:highlight w:val="none"/>
        </w:rPr>
      </w:pPr>
    </w:p>
    <w:p w14:paraId="7D9B24DB">
      <w:pPr>
        <w:pStyle w:val="364"/>
        <w:jc w:val="left"/>
        <w:rPr>
          <w:rFonts w:hint="eastAsia" w:ascii="宋体" w:hAnsi="宋体" w:cs="宋体"/>
          <w:color w:val="auto"/>
          <w:sz w:val="32"/>
          <w:szCs w:val="32"/>
          <w:highlight w:val="none"/>
        </w:rPr>
      </w:pPr>
    </w:p>
    <w:p w14:paraId="43E1F1C0">
      <w:pPr>
        <w:pStyle w:val="364"/>
        <w:jc w:val="center"/>
        <w:rPr>
          <w:rFonts w:hint="eastAsia" w:ascii="宋体" w:hAnsi="宋体" w:cs="宋体"/>
          <w:color w:val="auto"/>
          <w:sz w:val="52"/>
          <w:szCs w:val="52"/>
          <w:highlight w:val="none"/>
        </w:rPr>
      </w:pPr>
    </w:p>
    <w:p w14:paraId="4E0426E5">
      <w:pPr>
        <w:pStyle w:val="364"/>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投 标 文 件</w:t>
      </w:r>
    </w:p>
    <w:p w14:paraId="1054F85C">
      <w:pPr>
        <w:pStyle w:val="364"/>
        <w:jc w:val="left"/>
        <w:rPr>
          <w:rFonts w:hint="eastAsia" w:ascii="宋体" w:hAnsi="宋体" w:cs="宋体"/>
          <w:color w:val="auto"/>
          <w:sz w:val="28"/>
          <w:szCs w:val="28"/>
          <w:highlight w:val="none"/>
        </w:rPr>
      </w:pPr>
    </w:p>
    <w:p w14:paraId="26C89ABE">
      <w:pPr>
        <w:pStyle w:val="364"/>
        <w:jc w:val="left"/>
        <w:rPr>
          <w:rFonts w:hint="eastAsia" w:ascii="宋体" w:hAnsi="宋体" w:cs="宋体"/>
          <w:color w:val="auto"/>
          <w:sz w:val="28"/>
          <w:szCs w:val="28"/>
          <w:highlight w:val="none"/>
        </w:rPr>
      </w:pPr>
    </w:p>
    <w:p w14:paraId="78E54323">
      <w:pPr>
        <w:pStyle w:val="364"/>
        <w:jc w:val="left"/>
        <w:rPr>
          <w:rFonts w:hint="eastAsia" w:ascii="宋体" w:hAnsi="宋体" w:cs="宋体"/>
          <w:color w:val="auto"/>
          <w:sz w:val="28"/>
          <w:szCs w:val="28"/>
          <w:highlight w:val="none"/>
        </w:rPr>
      </w:pPr>
    </w:p>
    <w:p w14:paraId="0E4D86EF">
      <w:pPr>
        <w:pStyle w:val="364"/>
        <w:jc w:val="left"/>
        <w:rPr>
          <w:rFonts w:hint="eastAsia" w:ascii="宋体" w:hAnsi="宋体" w:cs="宋体"/>
          <w:color w:val="auto"/>
          <w:sz w:val="28"/>
          <w:szCs w:val="28"/>
          <w:highlight w:val="none"/>
        </w:rPr>
      </w:pPr>
    </w:p>
    <w:p w14:paraId="4F3E43FC">
      <w:pPr>
        <w:pStyle w:val="364"/>
        <w:jc w:val="left"/>
        <w:rPr>
          <w:rFonts w:hint="eastAsia" w:ascii="宋体" w:hAnsi="宋体" w:cs="宋体"/>
          <w:color w:val="auto"/>
          <w:sz w:val="28"/>
          <w:szCs w:val="28"/>
          <w:highlight w:val="none"/>
        </w:rPr>
      </w:pPr>
    </w:p>
    <w:p w14:paraId="22C2E720">
      <w:pPr>
        <w:pStyle w:val="268"/>
        <w:ind w:firstLine="723"/>
        <w:jc w:val="both"/>
        <w:rPr>
          <w:rFonts w:hint="eastAsia" w:hAnsi="宋体" w:cs="宋体"/>
          <w:color w:val="auto"/>
          <w:highlight w:val="none"/>
        </w:rPr>
      </w:pPr>
      <w:r>
        <w:rPr>
          <w:rFonts w:hint="eastAsia" w:hAnsi="宋体" w:cs="宋体"/>
          <w:b/>
          <w:color w:val="auto"/>
          <w:sz w:val="36"/>
          <w:szCs w:val="36"/>
          <w:highlight w:val="none"/>
        </w:rPr>
        <w:t>项目 名 称：</w:t>
      </w:r>
      <w:r>
        <w:rPr>
          <w:rFonts w:hint="eastAsia" w:hAnsi="宋体" w:cs="宋体"/>
          <w:b/>
          <w:color w:val="auto"/>
          <w:sz w:val="36"/>
          <w:szCs w:val="36"/>
          <w:highlight w:val="none"/>
          <w:u w:val="single"/>
        </w:rPr>
        <w:t xml:space="preserve">               </w:t>
      </w:r>
    </w:p>
    <w:p w14:paraId="2A298287">
      <w:pPr>
        <w:pStyle w:val="268"/>
        <w:ind w:firstLine="723"/>
        <w:jc w:val="both"/>
        <w:rPr>
          <w:rFonts w:hint="eastAsia" w:hAnsi="宋体" w:cs="宋体"/>
          <w:color w:val="auto"/>
          <w:highlight w:val="none"/>
        </w:rPr>
      </w:pPr>
      <w:r>
        <w:rPr>
          <w:rFonts w:hint="eastAsia" w:hAnsi="宋体" w:cs="宋体"/>
          <w:b/>
          <w:color w:val="auto"/>
          <w:sz w:val="36"/>
          <w:szCs w:val="36"/>
          <w:highlight w:val="none"/>
        </w:rPr>
        <w:t>项目 编 号：</w:t>
      </w:r>
      <w:r>
        <w:rPr>
          <w:rFonts w:hint="eastAsia" w:hAnsi="宋体" w:cs="宋体"/>
          <w:b/>
          <w:color w:val="auto"/>
          <w:sz w:val="36"/>
          <w:szCs w:val="36"/>
          <w:highlight w:val="none"/>
          <w:u w:val="single"/>
        </w:rPr>
        <w:t xml:space="preserve">               </w:t>
      </w:r>
    </w:p>
    <w:p w14:paraId="15814EF6">
      <w:pPr>
        <w:pStyle w:val="268"/>
        <w:ind w:firstLine="723"/>
        <w:jc w:val="both"/>
        <w:rPr>
          <w:rFonts w:hint="eastAsia" w:hAnsi="宋体" w:cs="宋体"/>
          <w:color w:val="auto"/>
          <w:highlight w:val="none"/>
        </w:rPr>
      </w:pPr>
      <w:r>
        <w:rPr>
          <w:rFonts w:hint="eastAsia" w:hAnsi="宋体" w:cs="宋体"/>
          <w:b/>
          <w:color w:val="auto"/>
          <w:sz w:val="36"/>
          <w:szCs w:val="36"/>
          <w:highlight w:val="none"/>
        </w:rPr>
        <w:t>投标人名称 ：</w:t>
      </w:r>
      <w:r>
        <w:rPr>
          <w:rFonts w:hint="eastAsia" w:hAnsi="宋体" w:cs="宋体"/>
          <w:b/>
          <w:color w:val="auto"/>
          <w:sz w:val="36"/>
          <w:szCs w:val="36"/>
          <w:highlight w:val="none"/>
          <w:u w:val="single"/>
        </w:rPr>
        <w:t xml:space="preserve">（加盖CA电子公章）        </w:t>
      </w:r>
    </w:p>
    <w:p w14:paraId="1CBEE5A6">
      <w:pPr>
        <w:pStyle w:val="268"/>
        <w:ind w:firstLine="723"/>
        <w:jc w:val="both"/>
        <w:rPr>
          <w:rFonts w:hint="eastAsia" w:hAnsi="宋体" w:cs="宋体"/>
          <w:color w:val="auto"/>
          <w:highlight w:val="none"/>
        </w:rPr>
      </w:pPr>
      <w:r>
        <w:rPr>
          <w:rFonts w:hint="eastAsia" w:hAnsi="宋体" w:cs="宋体"/>
          <w:b/>
          <w:color w:val="auto"/>
          <w:sz w:val="36"/>
          <w:szCs w:val="36"/>
          <w:highlight w:val="none"/>
        </w:rPr>
        <w:t>日   期 ：</w:t>
      </w:r>
      <w:r>
        <w:rPr>
          <w:rFonts w:hint="eastAsia" w:hAnsi="宋体" w:cs="宋体"/>
          <w:b/>
          <w:color w:val="auto"/>
          <w:sz w:val="36"/>
          <w:szCs w:val="36"/>
          <w:highlight w:val="none"/>
          <w:u w:val="single"/>
        </w:rPr>
        <w:t>                     </w:t>
      </w:r>
    </w:p>
    <w:p w14:paraId="627CC035">
      <w:pPr>
        <w:pStyle w:val="268"/>
        <w:spacing w:line="0" w:lineRule="atLeast"/>
        <w:rPr>
          <w:rFonts w:hint="eastAsia" w:hAnsi="宋体" w:cs="宋体"/>
          <w:color w:val="auto"/>
          <w:highlight w:val="none"/>
        </w:rPr>
      </w:pPr>
      <w:r>
        <w:rPr>
          <w:rFonts w:hint="eastAsia" w:hAnsi="宋体" w:cs="宋体"/>
          <w:color w:val="auto"/>
          <w:highlight w:val="none"/>
        </w:rPr>
        <w:t> </w:t>
      </w:r>
    </w:p>
    <w:p w14:paraId="66E6A637">
      <w:pPr>
        <w:pStyle w:val="268"/>
        <w:spacing w:line="0" w:lineRule="atLeast"/>
        <w:jc w:val="both"/>
        <w:rPr>
          <w:rFonts w:hint="eastAsia" w:hAnsi="宋体" w:cs="宋体"/>
          <w:color w:val="auto"/>
          <w:highlight w:val="none"/>
        </w:rPr>
      </w:pPr>
      <w:r>
        <w:rPr>
          <w:rFonts w:hint="eastAsia" w:hAnsi="宋体" w:cs="宋体"/>
          <w:color w:val="auto"/>
          <w:highlight w:val="none"/>
        </w:rPr>
        <w:t> </w:t>
      </w:r>
    </w:p>
    <w:p w14:paraId="39837A93">
      <w:pPr>
        <w:rPr>
          <w:rFonts w:hint="eastAsia" w:ascii="宋体" w:hAnsi="宋体" w:cs="宋体"/>
          <w:color w:val="auto"/>
          <w:highlight w:val="none"/>
        </w:rPr>
      </w:pPr>
    </w:p>
    <w:p w14:paraId="04023724">
      <w:pPr>
        <w:rPr>
          <w:color w:val="auto"/>
          <w:highlight w:val="none"/>
        </w:rPr>
      </w:pPr>
      <w:r>
        <w:rPr>
          <w:rFonts w:hint="eastAsia" w:ascii="宋体" w:hAnsi="宋体" w:cs="宋体"/>
          <w:color w:val="auto"/>
          <w:highlight w:val="none"/>
        </w:rPr>
        <w:br w:type="page" w:clear="all"/>
      </w:r>
      <w:bookmarkStart w:id="145" w:name="_Toc28278"/>
      <w:bookmarkStart w:id="146" w:name="_Toc11040"/>
      <w:bookmarkStart w:id="147" w:name="_Toc29318"/>
      <w:bookmarkStart w:id="148" w:name="_Toc164203464"/>
      <w:bookmarkStart w:id="149" w:name="_Toc21292"/>
    </w:p>
    <w:p w14:paraId="640A1C78">
      <w:pPr>
        <w:pStyle w:val="487"/>
        <w:outlineLvl w:val="1"/>
        <w:rPr>
          <w:rFonts w:hint="eastAsia"/>
          <w:color w:val="auto"/>
          <w:highlight w:val="none"/>
        </w:rPr>
      </w:pPr>
      <w:bookmarkStart w:id="150" w:name="_Toc5742"/>
      <w:r>
        <w:rPr>
          <w:color w:val="auto"/>
          <w:highlight w:val="none"/>
        </w:rPr>
        <w:t>一、投标人基本情况</w:t>
      </w:r>
      <w:bookmarkEnd w:id="145"/>
      <w:bookmarkEnd w:id="146"/>
      <w:bookmarkEnd w:id="147"/>
      <w:bookmarkEnd w:id="148"/>
      <w:bookmarkEnd w:id="149"/>
      <w:bookmarkEnd w:id="150"/>
    </w:p>
    <w:p w14:paraId="72F310DD">
      <w:pPr>
        <w:jc w:val="center"/>
        <w:rPr>
          <w:color w:val="auto"/>
          <w:sz w:val="44"/>
          <w:szCs w:val="44"/>
          <w:highlight w:val="none"/>
        </w:rPr>
      </w:pPr>
      <w:r>
        <w:rPr>
          <w:rFonts w:hint="eastAsia"/>
          <w:color w:val="auto"/>
          <w:sz w:val="44"/>
          <w:szCs w:val="44"/>
          <w:highlight w:val="none"/>
        </w:rPr>
        <w:t>投标人基本情况表</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3118"/>
        <w:gridCol w:w="1276"/>
        <w:gridCol w:w="2604"/>
      </w:tblGrid>
      <w:tr w14:paraId="77F08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526" w:type="dxa"/>
            <w:vAlign w:val="center"/>
          </w:tcPr>
          <w:p w14:paraId="71DAF65A">
            <w:pPr>
              <w:pStyle w:val="436"/>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投标人名称</w:t>
            </w:r>
          </w:p>
        </w:tc>
        <w:tc>
          <w:tcPr>
            <w:tcW w:w="6998" w:type="dxa"/>
            <w:gridSpan w:val="3"/>
            <w:vAlign w:val="center"/>
          </w:tcPr>
          <w:p w14:paraId="7829D580">
            <w:pPr>
              <w:pStyle w:val="436"/>
              <w:spacing w:line="600" w:lineRule="exact"/>
              <w:jc w:val="center"/>
              <w:rPr>
                <w:rFonts w:ascii="仿宋_GB2312" w:eastAsia="仿宋_GB2312"/>
                <w:color w:val="auto"/>
                <w:sz w:val="24"/>
                <w:szCs w:val="24"/>
                <w:highlight w:val="none"/>
              </w:rPr>
            </w:pPr>
          </w:p>
        </w:tc>
      </w:tr>
      <w:tr w14:paraId="1FBFA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611C5147">
            <w:pPr>
              <w:pStyle w:val="436"/>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法定代表人</w:t>
            </w:r>
          </w:p>
        </w:tc>
        <w:tc>
          <w:tcPr>
            <w:tcW w:w="3118" w:type="dxa"/>
            <w:vAlign w:val="center"/>
          </w:tcPr>
          <w:p w14:paraId="1666ED55">
            <w:pPr>
              <w:pStyle w:val="436"/>
              <w:spacing w:line="600" w:lineRule="exact"/>
              <w:jc w:val="center"/>
              <w:rPr>
                <w:rFonts w:ascii="仿宋_GB2312" w:eastAsia="仿宋_GB2312"/>
                <w:color w:val="auto"/>
                <w:sz w:val="24"/>
                <w:szCs w:val="24"/>
                <w:highlight w:val="none"/>
              </w:rPr>
            </w:pPr>
          </w:p>
        </w:tc>
        <w:tc>
          <w:tcPr>
            <w:tcW w:w="1276" w:type="dxa"/>
            <w:vAlign w:val="center"/>
          </w:tcPr>
          <w:p w14:paraId="05AB95DF">
            <w:pPr>
              <w:pStyle w:val="436"/>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注册地区</w:t>
            </w:r>
          </w:p>
        </w:tc>
        <w:tc>
          <w:tcPr>
            <w:tcW w:w="2604" w:type="dxa"/>
            <w:vAlign w:val="center"/>
          </w:tcPr>
          <w:p w14:paraId="22A14423">
            <w:pPr>
              <w:pStyle w:val="436"/>
              <w:spacing w:line="600" w:lineRule="exact"/>
              <w:jc w:val="center"/>
              <w:rPr>
                <w:rFonts w:ascii="仿宋_GB2312" w:eastAsia="仿宋_GB2312"/>
                <w:color w:val="auto"/>
                <w:sz w:val="24"/>
                <w:szCs w:val="24"/>
                <w:highlight w:val="none"/>
              </w:rPr>
            </w:pPr>
          </w:p>
        </w:tc>
      </w:tr>
      <w:tr w14:paraId="78223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169F543E">
            <w:pPr>
              <w:pStyle w:val="436"/>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地址</w:t>
            </w:r>
          </w:p>
        </w:tc>
        <w:tc>
          <w:tcPr>
            <w:tcW w:w="3118" w:type="dxa"/>
            <w:vAlign w:val="center"/>
          </w:tcPr>
          <w:p w14:paraId="796F8D9C">
            <w:pPr>
              <w:pStyle w:val="436"/>
              <w:spacing w:line="600" w:lineRule="exact"/>
              <w:jc w:val="center"/>
              <w:rPr>
                <w:rFonts w:ascii="仿宋_GB2312" w:eastAsia="仿宋_GB2312"/>
                <w:color w:val="auto"/>
                <w:sz w:val="24"/>
                <w:szCs w:val="24"/>
                <w:highlight w:val="none"/>
              </w:rPr>
            </w:pPr>
          </w:p>
        </w:tc>
        <w:tc>
          <w:tcPr>
            <w:tcW w:w="1276" w:type="dxa"/>
            <w:vAlign w:val="center"/>
          </w:tcPr>
          <w:p w14:paraId="479897A0">
            <w:pPr>
              <w:pStyle w:val="436"/>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邮政编码</w:t>
            </w:r>
          </w:p>
        </w:tc>
        <w:tc>
          <w:tcPr>
            <w:tcW w:w="2604" w:type="dxa"/>
            <w:vAlign w:val="center"/>
          </w:tcPr>
          <w:p w14:paraId="43FDBC00">
            <w:pPr>
              <w:pStyle w:val="436"/>
              <w:spacing w:line="600" w:lineRule="exact"/>
              <w:jc w:val="center"/>
              <w:rPr>
                <w:rFonts w:ascii="仿宋_GB2312" w:eastAsia="仿宋_GB2312"/>
                <w:color w:val="auto"/>
                <w:sz w:val="24"/>
                <w:szCs w:val="24"/>
                <w:highlight w:val="none"/>
              </w:rPr>
            </w:pPr>
          </w:p>
        </w:tc>
      </w:tr>
      <w:tr w14:paraId="537BB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535440C8">
            <w:pPr>
              <w:pStyle w:val="436"/>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成立时间</w:t>
            </w:r>
          </w:p>
        </w:tc>
        <w:tc>
          <w:tcPr>
            <w:tcW w:w="3118" w:type="dxa"/>
            <w:vAlign w:val="center"/>
          </w:tcPr>
          <w:p w14:paraId="624621C7">
            <w:pPr>
              <w:pStyle w:val="436"/>
              <w:spacing w:line="600" w:lineRule="exact"/>
              <w:jc w:val="center"/>
              <w:rPr>
                <w:rFonts w:ascii="仿宋_GB2312" w:eastAsia="仿宋_GB2312"/>
                <w:color w:val="auto"/>
                <w:sz w:val="24"/>
                <w:szCs w:val="24"/>
                <w:highlight w:val="none"/>
              </w:rPr>
            </w:pPr>
          </w:p>
        </w:tc>
        <w:tc>
          <w:tcPr>
            <w:tcW w:w="1276" w:type="dxa"/>
            <w:vAlign w:val="center"/>
          </w:tcPr>
          <w:p w14:paraId="378AC96D">
            <w:pPr>
              <w:pStyle w:val="436"/>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单位性质</w:t>
            </w:r>
          </w:p>
        </w:tc>
        <w:tc>
          <w:tcPr>
            <w:tcW w:w="2604" w:type="dxa"/>
            <w:vAlign w:val="center"/>
          </w:tcPr>
          <w:p w14:paraId="625E3748">
            <w:pPr>
              <w:pStyle w:val="436"/>
              <w:spacing w:line="600" w:lineRule="exact"/>
              <w:jc w:val="center"/>
              <w:rPr>
                <w:rFonts w:ascii="仿宋_GB2312" w:eastAsia="仿宋_GB2312"/>
                <w:color w:val="auto"/>
                <w:sz w:val="24"/>
                <w:szCs w:val="24"/>
                <w:highlight w:val="none"/>
              </w:rPr>
            </w:pPr>
          </w:p>
        </w:tc>
      </w:tr>
      <w:tr w14:paraId="14E5A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4C8620A8">
            <w:pPr>
              <w:pStyle w:val="436"/>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注册号或社会信用代码</w:t>
            </w:r>
          </w:p>
        </w:tc>
        <w:tc>
          <w:tcPr>
            <w:tcW w:w="3118" w:type="dxa"/>
            <w:vAlign w:val="center"/>
          </w:tcPr>
          <w:p w14:paraId="509FA97E">
            <w:pPr>
              <w:pStyle w:val="436"/>
              <w:spacing w:line="600" w:lineRule="exact"/>
              <w:jc w:val="center"/>
              <w:rPr>
                <w:rFonts w:ascii="仿宋_GB2312" w:eastAsia="仿宋_GB2312"/>
                <w:color w:val="auto"/>
                <w:sz w:val="24"/>
                <w:szCs w:val="24"/>
                <w:highlight w:val="none"/>
              </w:rPr>
            </w:pPr>
          </w:p>
        </w:tc>
        <w:tc>
          <w:tcPr>
            <w:tcW w:w="1276" w:type="dxa"/>
            <w:vAlign w:val="center"/>
          </w:tcPr>
          <w:p w14:paraId="18362629">
            <w:pPr>
              <w:pStyle w:val="436"/>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注册资本（万元）</w:t>
            </w:r>
          </w:p>
        </w:tc>
        <w:tc>
          <w:tcPr>
            <w:tcW w:w="2604" w:type="dxa"/>
            <w:vAlign w:val="center"/>
          </w:tcPr>
          <w:p w14:paraId="7062AF22">
            <w:pPr>
              <w:pStyle w:val="436"/>
              <w:spacing w:line="600" w:lineRule="exact"/>
              <w:jc w:val="center"/>
              <w:rPr>
                <w:rFonts w:ascii="仿宋_GB2312" w:eastAsia="仿宋_GB2312"/>
                <w:color w:val="auto"/>
                <w:sz w:val="24"/>
                <w:szCs w:val="24"/>
                <w:highlight w:val="none"/>
              </w:rPr>
            </w:pPr>
          </w:p>
        </w:tc>
      </w:tr>
      <w:tr w14:paraId="371A2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4A2CB5BF">
            <w:pPr>
              <w:pStyle w:val="436"/>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开户银行</w:t>
            </w:r>
          </w:p>
        </w:tc>
        <w:tc>
          <w:tcPr>
            <w:tcW w:w="3118" w:type="dxa"/>
            <w:vAlign w:val="center"/>
          </w:tcPr>
          <w:p w14:paraId="30453B0D">
            <w:pPr>
              <w:pStyle w:val="436"/>
              <w:spacing w:line="600" w:lineRule="exact"/>
              <w:jc w:val="center"/>
              <w:rPr>
                <w:rFonts w:ascii="仿宋_GB2312" w:eastAsia="仿宋_GB2312"/>
                <w:color w:val="auto"/>
                <w:sz w:val="24"/>
                <w:szCs w:val="24"/>
                <w:highlight w:val="none"/>
              </w:rPr>
            </w:pPr>
          </w:p>
        </w:tc>
        <w:tc>
          <w:tcPr>
            <w:tcW w:w="1276" w:type="dxa"/>
            <w:vAlign w:val="center"/>
          </w:tcPr>
          <w:p w14:paraId="6AF73351">
            <w:pPr>
              <w:pStyle w:val="436"/>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账号</w:t>
            </w:r>
          </w:p>
        </w:tc>
        <w:tc>
          <w:tcPr>
            <w:tcW w:w="2604" w:type="dxa"/>
            <w:vAlign w:val="center"/>
          </w:tcPr>
          <w:p w14:paraId="2878A336">
            <w:pPr>
              <w:pStyle w:val="436"/>
              <w:spacing w:line="600" w:lineRule="exact"/>
              <w:jc w:val="center"/>
              <w:rPr>
                <w:rFonts w:ascii="仿宋_GB2312" w:eastAsia="仿宋_GB2312"/>
                <w:color w:val="auto"/>
                <w:sz w:val="24"/>
                <w:szCs w:val="24"/>
                <w:highlight w:val="none"/>
              </w:rPr>
            </w:pPr>
          </w:p>
        </w:tc>
      </w:tr>
      <w:tr w14:paraId="0494F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006F6F1D">
            <w:pPr>
              <w:pStyle w:val="436"/>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联系人</w:t>
            </w:r>
          </w:p>
        </w:tc>
        <w:tc>
          <w:tcPr>
            <w:tcW w:w="3118" w:type="dxa"/>
            <w:vAlign w:val="center"/>
          </w:tcPr>
          <w:p w14:paraId="4E0654AC">
            <w:pPr>
              <w:pStyle w:val="436"/>
              <w:spacing w:line="600" w:lineRule="exact"/>
              <w:jc w:val="center"/>
              <w:rPr>
                <w:rFonts w:ascii="仿宋_GB2312" w:eastAsia="仿宋_GB2312"/>
                <w:color w:val="auto"/>
                <w:sz w:val="24"/>
                <w:szCs w:val="24"/>
                <w:highlight w:val="none"/>
              </w:rPr>
            </w:pPr>
          </w:p>
        </w:tc>
        <w:tc>
          <w:tcPr>
            <w:tcW w:w="1276" w:type="dxa"/>
            <w:vAlign w:val="center"/>
          </w:tcPr>
          <w:p w14:paraId="63EB199C">
            <w:pPr>
              <w:pStyle w:val="436"/>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联系电话</w:t>
            </w:r>
          </w:p>
        </w:tc>
        <w:tc>
          <w:tcPr>
            <w:tcW w:w="2604" w:type="dxa"/>
            <w:vAlign w:val="center"/>
          </w:tcPr>
          <w:p w14:paraId="4D4253C8">
            <w:pPr>
              <w:pStyle w:val="436"/>
              <w:spacing w:line="600" w:lineRule="exact"/>
              <w:jc w:val="center"/>
              <w:rPr>
                <w:rFonts w:ascii="仿宋_GB2312" w:eastAsia="仿宋_GB2312"/>
                <w:color w:val="auto"/>
                <w:sz w:val="24"/>
                <w:szCs w:val="24"/>
                <w:highlight w:val="none"/>
              </w:rPr>
            </w:pPr>
          </w:p>
        </w:tc>
      </w:tr>
      <w:tr w14:paraId="5524E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6" w:hRule="atLeast"/>
          <w:jc w:val="center"/>
        </w:trPr>
        <w:tc>
          <w:tcPr>
            <w:tcW w:w="1526" w:type="dxa"/>
            <w:vAlign w:val="center"/>
          </w:tcPr>
          <w:p w14:paraId="6303457F">
            <w:pPr>
              <w:pStyle w:val="436"/>
              <w:spacing w:line="56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经营范围</w:t>
            </w:r>
          </w:p>
        </w:tc>
        <w:tc>
          <w:tcPr>
            <w:tcW w:w="6998" w:type="dxa"/>
            <w:gridSpan w:val="3"/>
          </w:tcPr>
          <w:p w14:paraId="0F8DFCB8">
            <w:pPr>
              <w:pStyle w:val="436"/>
              <w:spacing w:line="560" w:lineRule="exact"/>
              <w:ind w:firstLine="1433"/>
              <w:rPr>
                <w:rFonts w:ascii="仿宋_GB2312" w:eastAsia="仿宋_GB2312"/>
                <w:color w:val="auto"/>
                <w:sz w:val="24"/>
                <w:szCs w:val="24"/>
                <w:highlight w:val="none"/>
              </w:rPr>
            </w:pPr>
          </w:p>
        </w:tc>
      </w:tr>
      <w:tr w14:paraId="19E7A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526" w:type="dxa"/>
            <w:vAlign w:val="center"/>
          </w:tcPr>
          <w:p w14:paraId="02F2AAF4">
            <w:pPr>
              <w:pStyle w:val="436"/>
              <w:spacing w:line="56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备注</w:t>
            </w:r>
          </w:p>
        </w:tc>
        <w:tc>
          <w:tcPr>
            <w:tcW w:w="6998" w:type="dxa"/>
            <w:gridSpan w:val="3"/>
            <w:vAlign w:val="center"/>
          </w:tcPr>
          <w:p w14:paraId="329504D8">
            <w:pPr>
              <w:pStyle w:val="436"/>
              <w:spacing w:line="500" w:lineRule="exact"/>
              <w:jc w:val="center"/>
              <w:rPr>
                <w:rFonts w:ascii="仿宋_GB2312" w:eastAsia="仿宋_GB2312"/>
                <w:color w:val="auto"/>
                <w:sz w:val="24"/>
                <w:szCs w:val="24"/>
                <w:highlight w:val="none"/>
              </w:rPr>
            </w:pPr>
          </w:p>
        </w:tc>
      </w:tr>
    </w:tbl>
    <w:p w14:paraId="660F8F4A">
      <w:pPr>
        <w:pStyle w:val="436"/>
        <w:spacing w:line="560" w:lineRule="exact"/>
        <w:jc w:val="center"/>
        <w:rPr>
          <w:rFonts w:ascii="方正大标宋简体" w:eastAsia="方正大标宋简体"/>
          <w:bCs/>
          <w:color w:val="auto"/>
          <w:sz w:val="32"/>
          <w:szCs w:val="32"/>
          <w:highlight w:val="none"/>
        </w:rPr>
      </w:pPr>
    </w:p>
    <w:p w14:paraId="7DF8EF08">
      <w:pPr>
        <w:pStyle w:val="475"/>
        <w:outlineLvl w:val="1"/>
        <w:rPr>
          <w:rFonts w:hint="eastAsia"/>
          <w:color w:val="auto"/>
          <w:highlight w:val="none"/>
        </w:rPr>
      </w:pPr>
      <w:r>
        <w:rPr>
          <w:color w:val="auto"/>
          <w:highlight w:val="none"/>
        </w:rPr>
        <w:br w:type="page" w:clear="all"/>
      </w:r>
      <w:bookmarkStart w:id="151" w:name="_Toc13486"/>
      <w:bookmarkStart w:id="152" w:name="_Toc15353"/>
      <w:bookmarkStart w:id="153" w:name="_Toc24265"/>
      <w:bookmarkStart w:id="154" w:name="_Toc164203465"/>
      <w:bookmarkStart w:id="155" w:name="_Toc1147"/>
      <w:bookmarkStart w:id="156" w:name="_Toc30008"/>
      <w:r>
        <w:rPr>
          <w:color w:val="auto"/>
          <w:highlight w:val="none"/>
        </w:rPr>
        <w:t>二、投标人资质</w:t>
      </w:r>
      <w:r>
        <w:rPr>
          <w:rFonts w:hint="eastAsia"/>
          <w:color w:val="auto"/>
          <w:highlight w:val="none"/>
        </w:rPr>
        <w:t>（按资格要求提供）</w:t>
      </w:r>
      <w:bookmarkEnd w:id="151"/>
      <w:bookmarkEnd w:id="152"/>
      <w:bookmarkEnd w:id="153"/>
      <w:bookmarkEnd w:id="154"/>
      <w:bookmarkEnd w:id="155"/>
      <w:bookmarkEnd w:id="156"/>
    </w:p>
    <w:p w14:paraId="51F70E5A">
      <w:pPr>
        <w:pStyle w:val="541"/>
        <w:rPr>
          <w:rFonts w:hint="eastAsia"/>
          <w:color w:val="auto"/>
          <w:highlight w:val="none"/>
        </w:rPr>
      </w:pPr>
      <w:r>
        <w:rPr>
          <w:rFonts w:hint="eastAsia"/>
          <w:color w:val="auto"/>
          <w:highlight w:val="none"/>
        </w:rPr>
        <w:t xml:space="preserve">    </w:t>
      </w:r>
    </w:p>
    <w:p w14:paraId="0DEE63B2">
      <w:pPr>
        <w:pStyle w:val="541"/>
        <w:rPr>
          <w:rFonts w:hint="eastAsia"/>
          <w:color w:val="auto"/>
          <w:highlight w:val="none"/>
        </w:rPr>
      </w:pPr>
    </w:p>
    <w:p w14:paraId="0D7364B5">
      <w:pPr>
        <w:pStyle w:val="541"/>
        <w:rPr>
          <w:rFonts w:hint="eastAsia"/>
          <w:color w:val="auto"/>
          <w:highlight w:val="none"/>
        </w:rPr>
      </w:pPr>
    </w:p>
    <w:p w14:paraId="1EEB1A58">
      <w:pPr>
        <w:pStyle w:val="541"/>
        <w:rPr>
          <w:rFonts w:hint="eastAsia"/>
          <w:color w:val="auto"/>
          <w:highlight w:val="none"/>
        </w:rPr>
      </w:pPr>
    </w:p>
    <w:p w14:paraId="3C5E6A5A">
      <w:pPr>
        <w:pStyle w:val="541"/>
        <w:rPr>
          <w:rFonts w:hint="eastAsia"/>
          <w:color w:val="auto"/>
          <w:highlight w:val="none"/>
        </w:rPr>
      </w:pPr>
    </w:p>
    <w:p w14:paraId="0D22C402">
      <w:pPr>
        <w:pStyle w:val="541"/>
        <w:rPr>
          <w:rFonts w:hint="eastAsia"/>
          <w:color w:val="auto"/>
          <w:highlight w:val="none"/>
        </w:rPr>
      </w:pPr>
    </w:p>
    <w:p w14:paraId="09C634E1">
      <w:pPr>
        <w:pStyle w:val="541"/>
        <w:rPr>
          <w:rFonts w:hint="eastAsia"/>
          <w:color w:val="auto"/>
          <w:highlight w:val="none"/>
        </w:rPr>
      </w:pPr>
    </w:p>
    <w:p w14:paraId="13E75F67">
      <w:pPr>
        <w:pStyle w:val="541"/>
        <w:rPr>
          <w:rFonts w:hint="eastAsia"/>
          <w:color w:val="auto"/>
          <w:highlight w:val="none"/>
        </w:rPr>
      </w:pPr>
    </w:p>
    <w:p w14:paraId="2E43A6B8">
      <w:pPr>
        <w:pStyle w:val="541"/>
        <w:rPr>
          <w:rFonts w:hint="eastAsia"/>
          <w:color w:val="auto"/>
          <w:highlight w:val="none"/>
        </w:rPr>
      </w:pPr>
    </w:p>
    <w:p w14:paraId="745FB270">
      <w:pPr>
        <w:pStyle w:val="541"/>
        <w:rPr>
          <w:rFonts w:hint="eastAsia"/>
          <w:color w:val="auto"/>
          <w:highlight w:val="none"/>
        </w:rPr>
      </w:pPr>
    </w:p>
    <w:p w14:paraId="164D6B7A">
      <w:pPr>
        <w:pStyle w:val="541"/>
        <w:rPr>
          <w:rFonts w:hint="eastAsia"/>
          <w:color w:val="auto"/>
          <w:highlight w:val="none"/>
        </w:rPr>
      </w:pPr>
    </w:p>
    <w:p w14:paraId="3320D34E">
      <w:pPr>
        <w:pStyle w:val="541"/>
        <w:rPr>
          <w:rFonts w:hint="eastAsia"/>
          <w:color w:val="auto"/>
          <w:highlight w:val="none"/>
        </w:rPr>
      </w:pPr>
    </w:p>
    <w:p w14:paraId="0D5722B8">
      <w:pPr>
        <w:pStyle w:val="541"/>
        <w:rPr>
          <w:rFonts w:hint="eastAsia"/>
          <w:color w:val="auto"/>
          <w:highlight w:val="none"/>
        </w:rPr>
      </w:pPr>
    </w:p>
    <w:p w14:paraId="62DB95FA">
      <w:pPr>
        <w:rPr>
          <w:color w:val="auto"/>
          <w:highlight w:val="none"/>
        </w:rPr>
      </w:pPr>
      <w:r>
        <w:rPr>
          <w:rFonts w:hint="eastAsia"/>
          <w:color w:val="auto"/>
          <w:highlight w:val="none"/>
        </w:rPr>
        <w:br w:type="page" w:clear="all"/>
      </w:r>
    </w:p>
    <w:p w14:paraId="1D158D4F">
      <w:pPr>
        <w:pStyle w:val="541"/>
        <w:outlineLvl w:val="1"/>
        <w:rPr>
          <w:rFonts w:hint="eastAsia"/>
          <w:color w:val="auto"/>
          <w:highlight w:val="none"/>
        </w:rPr>
      </w:pPr>
      <w:bookmarkStart w:id="157" w:name="_Toc18935"/>
      <w:bookmarkStart w:id="158" w:name="_Toc18278"/>
      <w:bookmarkStart w:id="159" w:name="_Toc4877"/>
      <w:bookmarkStart w:id="160" w:name="_Toc15822"/>
      <w:bookmarkStart w:id="161" w:name="_Toc164203466"/>
      <w:r>
        <w:rPr>
          <w:color w:val="auto"/>
          <w:highlight w:val="none"/>
        </w:rPr>
        <w:t>三、投标人</w:t>
      </w:r>
      <w:bookmarkEnd w:id="157"/>
      <w:r>
        <w:rPr>
          <w:rFonts w:hint="eastAsia" w:ascii="宋体" w:hAnsi="宋体" w:cs="Arial"/>
          <w:bCs/>
          <w:color w:val="auto"/>
          <w:highlight w:val="none"/>
        </w:rPr>
        <w:t>具有良好的商业信誉和健全的财务会计制度</w:t>
      </w:r>
      <w:bookmarkEnd w:id="158"/>
      <w:bookmarkEnd w:id="159"/>
      <w:bookmarkEnd w:id="160"/>
      <w:bookmarkEnd w:id="161"/>
    </w:p>
    <w:p w14:paraId="5EDAE258">
      <w:pPr>
        <w:pStyle w:val="598"/>
        <w:rPr>
          <w:color w:val="auto"/>
          <w:highlight w:val="none"/>
        </w:rPr>
      </w:pPr>
      <w:r>
        <w:rPr>
          <w:rFonts w:hint="eastAsia" w:ascii="宋体"/>
          <w:bCs/>
          <w:color w:val="auto"/>
          <w:szCs w:val="32"/>
          <w:highlight w:val="none"/>
        </w:rPr>
        <w:t>提供符合招标文件要求的资料</w:t>
      </w:r>
    </w:p>
    <w:p w14:paraId="0E2A3139">
      <w:pPr>
        <w:pStyle w:val="635"/>
        <w:outlineLvl w:val="1"/>
        <w:rPr>
          <w:rFonts w:hint="eastAsia"/>
          <w:color w:val="auto"/>
          <w:highlight w:val="none"/>
        </w:rPr>
      </w:pPr>
      <w:r>
        <w:rPr>
          <w:color w:val="auto"/>
          <w:highlight w:val="none"/>
        </w:rPr>
        <w:br w:type="page" w:clear="all"/>
      </w:r>
      <w:bookmarkStart w:id="162" w:name="_Toc29626"/>
      <w:bookmarkStart w:id="163" w:name="_Toc514054489"/>
      <w:bookmarkStart w:id="164" w:name="_Toc11562_WPSOffice_Level2"/>
      <w:bookmarkStart w:id="165" w:name="_Toc164203467"/>
      <w:bookmarkStart w:id="166" w:name="_Toc1350"/>
      <w:bookmarkStart w:id="167" w:name="_Toc26507"/>
      <w:bookmarkStart w:id="168" w:name="_Toc3360"/>
      <w:r>
        <w:rPr>
          <w:color w:val="auto"/>
          <w:highlight w:val="none"/>
        </w:rPr>
        <w:t>四、</w:t>
      </w:r>
      <w:bookmarkEnd w:id="162"/>
      <w:bookmarkEnd w:id="163"/>
      <w:bookmarkEnd w:id="164"/>
      <w:r>
        <w:rPr>
          <w:rFonts w:hint="eastAsia" w:ascii="宋体" w:hAnsi="宋体" w:cs="Arial"/>
          <w:bCs/>
          <w:color w:val="auto"/>
          <w:highlight w:val="none"/>
        </w:rPr>
        <w:t>具有履行合同所必需的设备和专业技术能力</w:t>
      </w:r>
      <w:bookmarkEnd w:id="165"/>
      <w:bookmarkEnd w:id="166"/>
      <w:bookmarkEnd w:id="167"/>
      <w:bookmarkEnd w:id="168"/>
    </w:p>
    <w:p w14:paraId="03AF16BA">
      <w:pPr>
        <w:pStyle w:val="372"/>
        <w:spacing w:line="600" w:lineRule="exact"/>
        <w:jc w:val="center"/>
        <w:rPr>
          <w:rFonts w:hint="eastAsia" w:ascii="宋体" w:hAnsi="宋体"/>
          <w:b/>
          <w:color w:val="auto"/>
          <w:sz w:val="32"/>
          <w:szCs w:val="24"/>
          <w:highlight w:val="none"/>
        </w:rPr>
      </w:pPr>
    </w:p>
    <w:p w14:paraId="6F0787D4">
      <w:pPr>
        <w:pStyle w:val="372"/>
        <w:spacing w:line="600" w:lineRule="exact"/>
        <w:jc w:val="center"/>
        <w:rPr>
          <w:rFonts w:hint="eastAsia" w:ascii="宋体" w:hAnsi="宋体"/>
          <w:b/>
          <w:color w:val="auto"/>
          <w:sz w:val="32"/>
          <w:szCs w:val="24"/>
          <w:highlight w:val="none"/>
        </w:rPr>
      </w:pPr>
      <w:r>
        <w:rPr>
          <w:rFonts w:hint="eastAsia" w:ascii="宋体" w:hAnsi="宋体"/>
          <w:b/>
          <w:color w:val="auto"/>
          <w:sz w:val="32"/>
          <w:szCs w:val="24"/>
          <w:highlight w:val="none"/>
        </w:rPr>
        <w:t>具备履行合同所必需的设备和专业技术能力的声明</w:t>
      </w:r>
    </w:p>
    <w:p w14:paraId="0EF2BAF1">
      <w:pPr>
        <w:pStyle w:val="372"/>
        <w:spacing w:line="600" w:lineRule="exact"/>
        <w:rPr>
          <w:rFonts w:ascii="仿宋_GB2312" w:eastAsia="仿宋_GB2312"/>
          <w:color w:val="auto"/>
          <w:sz w:val="24"/>
          <w:highlight w:val="none"/>
          <w:u w:val="single"/>
        </w:rPr>
      </w:pPr>
    </w:p>
    <w:p w14:paraId="10FA6AD2">
      <w:pPr>
        <w:pStyle w:val="372"/>
        <w:spacing w:line="600" w:lineRule="exact"/>
        <w:rPr>
          <w:rFonts w:ascii="仿宋_GB2312" w:eastAsia="仿宋_GB2312"/>
          <w:color w:val="auto"/>
          <w:sz w:val="24"/>
          <w:highlight w:val="none"/>
        </w:rPr>
      </w:pPr>
      <w:r>
        <w:rPr>
          <w:rFonts w:hint="eastAsia" w:ascii="仿宋_GB2312" w:eastAsia="仿宋_GB2312"/>
          <w:color w:val="auto"/>
          <w:sz w:val="24"/>
          <w:highlight w:val="none"/>
          <w:u w:val="single"/>
        </w:rPr>
        <w:t>（</w:t>
      </w:r>
      <w:r>
        <w:rPr>
          <w:rFonts w:hint="eastAsia"/>
          <w:color w:val="auto"/>
          <w:sz w:val="24"/>
          <w:highlight w:val="none"/>
          <w:u w:val="single"/>
        </w:rPr>
        <w:t>采购人</w:t>
      </w:r>
      <w:r>
        <w:rPr>
          <w:color w:val="auto"/>
          <w:sz w:val="24"/>
          <w:highlight w:val="none"/>
          <w:u w:val="single"/>
        </w:rPr>
        <w:t>名称</w:t>
      </w:r>
      <w:r>
        <w:rPr>
          <w:rFonts w:hint="eastAsia" w:ascii="仿宋_GB2312" w:eastAsia="仿宋_GB2312"/>
          <w:color w:val="auto"/>
          <w:sz w:val="24"/>
          <w:highlight w:val="none"/>
          <w:u w:val="single"/>
        </w:rPr>
        <w:t>）</w:t>
      </w:r>
      <w:r>
        <w:rPr>
          <w:rFonts w:hint="eastAsia" w:ascii="仿宋_GB2312" w:eastAsia="仿宋_GB2312"/>
          <w:color w:val="auto"/>
          <w:sz w:val="24"/>
          <w:highlight w:val="none"/>
        </w:rPr>
        <w:t>：</w:t>
      </w:r>
    </w:p>
    <w:p w14:paraId="71E0C7C3">
      <w:pPr>
        <w:pStyle w:val="372"/>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我</w:t>
      </w:r>
      <w:r>
        <w:rPr>
          <w:rFonts w:hint="eastAsia" w:ascii="仿宋_GB2312" w:eastAsia="仿宋_GB2312"/>
          <w:color w:val="auto"/>
          <w:sz w:val="24"/>
          <w:highlight w:val="none"/>
          <w:lang w:val="en-US" w:eastAsia="zh-CN"/>
        </w:rPr>
        <w:t>单位</w:t>
      </w:r>
      <w:r>
        <w:rPr>
          <w:rFonts w:hint="eastAsia" w:ascii="仿宋_GB2312" w:eastAsia="仿宋_GB2312"/>
          <w:color w:val="auto"/>
          <w:sz w:val="24"/>
          <w:highlight w:val="none"/>
        </w:rPr>
        <w:t>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合同的设备和专业技术能力。</w:t>
      </w:r>
    </w:p>
    <w:p w14:paraId="575C7CFF">
      <w:pPr>
        <w:pStyle w:val="372"/>
        <w:spacing w:line="600" w:lineRule="exact"/>
        <w:ind w:firstLine="480"/>
        <w:rPr>
          <w:rFonts w:ascii="仿宋_GB2312" w:eastAsia="仿宋_GB2312"/>
          <w:color w:val="auto"/>
          <w:sz w:val="24"/>
          <w:highlight w:val="none"/>
        </w:rPr>
      </w:pPr>
      <w:r>
        <w:rPr>
          <w:rFonts w:hint="eastAsia" w:ascii="仿宋_GB2312" w:eastAsia="仿宋_GB2312"/>
          <w:color w:val="auto"/>
          <w:sz w:val="24"/>
          <w:highlight w:val="none"/>
        </w:rPr>
        <w:t>特此声明。</w:t>
      </w:r>
    </w:p>
    <w:p w14:paraId="123437E7">
      <w:pPr>
        <w:pStyle w:val="372"/>
        <w:spacing w:line="600" w:lineRule="exact"/>
        <w:ind w:firstLine="480"/>
        <w:rPr>
          <w:rFonts w:ascii="仿宋_GB2312" w:eastAsia="仿宋_GB2312"/>
          <w:color w:val="auto"/>
          <w:sz w:val="24"/>
          <w:highlight w:val="none"/>
        </w:rPr>
      </w:pPr>
    </w:p>
    <w:p w14:paraId="785156A8">
      <w:pPr>
        <w:pStyle w:val="372"/>
        <w:spacing w:line="600" w:lineRule="exact"/>
        <w:jc w:val="center"/>
        <w:rPr>
          <w:rFonts w:ascii="宋体"/>
          <w:b/>
          <w:bCs/>
          <w:color w:val="auto"/>
          <w:sz w:val="32"/>
          <w:szCs w:val="32"/>
          <w:highlight w:val="none"/>
        </w:rPr>
      </w:pPr>
    </w:p>
    <w:p w14:paraId="63765EA5">
      <w:pPr>
        <w:pStyle w:val="365"/>
        <w:spacing w:line="700" w:lineRule="exact"/>
        <w:ind w:firstLine="629"/>
        <w:rPr>
          <w:rFonts w:ascii="仿宋_GB2312" w:eastAsia="仿宋_GB2312"/>
          <w:color w:val="auto"/>
          <w:sz w:val="24"/>
          <w:highlight w:val="none"/>
          <w:u w:val="single"/>
        </w:rPr>
      </w:pPr>
      <w:r>
        <w:rPr>
          <w:rFonts w:hint="eastAsia" w:ascii="仿宋_GB2312" w:eastAsia="仿宋_GB2312"/>
          <w:color w:val="auto"/>
          <w:sz w:val="24"/>
          <w:highlight w:val="none"/>
        </w:rPr>
        <w:t>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14:paraId="4F19C445">
      <w:pPr>
        <w:pStyle w:val="365"/>
        <w:spacing w:line="700" w:lineRule="exact"/>
        <w:ind w:firstLine="629"/>
        <w:rPr>
          <w:rFonts w:ascii="仿宋_GB2312" w:eastAsia="仿宋_GB2312"/>
          <w:color w:val="auto"/>
          <w:sz w:val="24"/>
          <w:highlight w:val="none"/>
        </w:rPr>
      </w:pPr>
      <w:r>
        <w:rPr>
          <w:rFonts w:hint="eastAsia" w:ascii="仿宋_GB2312" w:eastAsia="仿宋_GB2312"/>
          <w:color w:val="auto"/>
          <w:sz w:val="24"/>
          <w:highlight w:val="none"/>
        </w:rPr>
        <w:t>法定代表人（或授权代表）：（签字</w:t>
      </w:r>
      <w:r>
        <w:rPr>
          <w:rFonts w:hint="eastAsia" w:ascii="仿宋_GB2312" w:eastAsia="仿宋_GB2312"/>
          <w:color w:val="auto"/>
          <w:sz w:val="24"/>
          <w:highlight w:val="none"/>
          <w:lang w:val="en-US" w:eastAsia="zh-CN"/>
        </w:rPr>
        <w:t>或盖章</w:t>
      </w:r>
      <w:r>
        <w:rPr>
          <w:rFonts w:hint="eastAsia" w:ascii="仿宋_GB2312" w:eastAsia="仿宋_GB2312"/>
          <w:color w:val="auto"/>
          <w:sz w:val="24"/>
          <w:highlight w:val="none"/>
        </w:rPr>
        <w:t>）</w:t>
      </w:r>
      <w:r>
        <w:rPr>
          <w:rFonts w:hint="eastAsia" w:ascii="仿宋_GB2312" w:eastAsia="仿宋_GB2312"/>
          <w:color w:val="auto"/>
          <w:sz w:val="24"/>
          <w:highlight w:val="none"/>
          <w:u w:val="single"/>
        </w:rPr>
        <w:t xml:space="preserve">              </w:t>
      </w:r>
    </w:p>
    <w:p w14:paraId="2A8B6D39">
      <w:pPr>
        <w:pStyle w:val="568"/>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日</w:t>
      </w:r>
    </w:p>
    <w:p w14:paraId="41E9FB99">
      <w:pPr>
        <w:pStyle w:val="380"/>
        <w:spacing w:after="100" w:afterAutospacing="1"/>
        <w:outlineLvl w:val="1"/>
        <w:rPr>
          <w:rFonts w:ascii="宋体" w:hAnsi="宋体" w:cs="Arial"/>
          <w:bCs/>
          <w:color w:val="auto"/>
          <w:highlight w:val="none"/>
        </w:rPr>
      </w:pPr>
      <w:r>
        <w:rPr>
          <w:color w:val="auto"/>
          <w:highlight w:val="none"/>
        </w:rPr>
        <w:br w:type="page" w:clear="all"/>
      </w:r>
      <w:bookmarkStart w:id="169" w:name="_Toc514054490"/>
      <w:bookmarkStart w:id="170" w:name="_Toc467_WPSOffice_Level2"/>
      <w:bookmarkStart w:id="171" w:name="_Toc13419"/>
      <w:bookmarkStart w:id="172" w:name="_Toc19673"/>
      <w:bookmarkStart w:id="173" w:name="_Toc514054491"/>
      <w:bookmarkStart w:id="174" w:name="_Toc10808"/>
      <w:bookmarkStart w:id="175" w:name="_Toc5571_WPSOffice_Level2"/>
      <w:r>
        <w:rPr>
          <w:rFonts w:hint="eastAsia" w:ascii="宋体" w:hAnsi="宋体" w:eastAsia="黑体" w:cs="Arial"/>
          <w:b/>
          <w:bCs/>
          <w:color w:val="auto"/>
          <w:sz w:val="32"/>
          <w:highlight w:val="none"/>
        </w:rPr>
        <w:t>五、</w:t>
      </w:r>
      <w:bookmarkEnd w:id="169"/>
      <w:bookmarkEnd w:id="170"/>
      <w:bookmarkEnd w:id="171"/>
      <w:r>
        <w:rPr>
          <w:rFonts w:hint="eastAsia" w:ascii="宋体" w:hAnsi="宋体" w:eastAsia="黑体" w:cs="Arial"/>
          <w:b/>
          <w:bCs/>
          <w:color w:val="auto"/>
          <w:sz w:val="32"/>
          <w:highlight w:val="none"/>
        </w:rPr>
        <w:t>有依法缴纳税收和社会保障资金的良好记录</w:t>
      </w:r>
    </w:p>
    <w:p w14:paraId="4865F8E5">
      <w:pPr>
        <w:pStyle w:val="598"/>
        <w:rPr>
          <w:color w:val="auto"/>
          <w:highlight w:val="none"/>
        </w:rPr>
      </w:pPr>
      <w:r>
        <w:rPr>
          <w:rFonts w:hint="eastAsia" w:ascii="宋体"/>
          <w:bCs/>
          <w:color w:val="auto"/>
          <w:szCs w:val="32"/>
          <w:highlight w:val="none"/>
        </w:rPr>
        <w:t>提供符合招标文件要求的资料</w:t>
      </w:r>
    </w:p>
    <w:p w14:paraId="0B0A3AA4">
      <w:pPr>
        <w:rPr>
          <w:rFonts w:hint="eastAsia" w:ascii="黑体" w:hAnsi="黑体" w:eastAsia="黑体"/>
          <w:color w:val="auto"/>
          <w:sz w:val="32"/>
          <w:highlight w:val="none"/>
        </w:rPr>
      </w:pPr>
      <w:r>
        <w:rPr>
          <w:color w:val="auto"/>
          <w:highlight w:val="none"/>
        </w:rPr>
        <w:br w:type="page" w:clear="all"/>
      </w:r>
    </w:p>
    <w:p w14:paraId="22786A11">
      <w:pPr>
        <w:pStyle w:val="399"/>
        <w:outlineLvl w:val="1"/>
        <w:rPr>
          <w:rFonts w:hint="eastAsia"/>
          <w:color w:val="auto"/>
          <w:highlight w:val="none"/>
        </w:rPr>
      </w:pPr>
      <w:bookmarkStart w:id="176" w:name="_Toc16607"/>
      <w:bookmarkStart w:id="177" w:name="_Toc164203468"/>
      <w:bookmarkStart w:id="178" w:name="_Toc25541"/>
      <w:bookmarkStart w:id="179" w:name="_Toc12145"/>
      <w:r>
        <w:rPr>
          <w:color w:val="auto"/>
          <w:highlight w:val="none"/>
        </w:rPr>
        <w:t>六、无重大违法行为声明</w:t>
      </w:r>
      <w:bookmarkEnd w:id="172"/>
      <w:bookmarkEnd w:id="173"/>
      <w:bookmarkEnd w:id="174"/>
      <w:bookmarkEnd w:id="175"/>
      <w:bookmarkEnd w:id="176"/>
      <w:bookmarkEnd w:id="177"/>
      <w:bookmarkEnd w:id="178"/>
      <w:bookmarkEnd w:id="179"/>
    </w:p>
    <w:p w14:paraId="0089C268">
      <w:pPr>
        <w:pStyle w:val="596"/>
        <w:tabs>
          <w:tab w:val="left" w:pos="1498"/>
        </w:tabs>
        <w:spacing w:line="580" w:lineRule="exact"/>
        <w:jc w:val="center"/>
        <w:rPr>
          <w:b/>
          <w:color w:val="auto"/>
          <w:sz w:val="32"/>
          <w:szCs w:val="32"/>
          <w:highlight w:val="none"/>
        </w:rPr>
      </w:pPr>
      <w:bookmarkStart w:id="180" w:name="_Toc7575_WPSOffice_Level2"/>
      <w:r>
        <w:rPr>
          <w:rFonts w:hint="eastAsia"/>
          <w:b/>
          <w:color w:val="auto"/>
          <w:sz w:val="32"/>
          <w:szCs w:val="32"/>
          <w:highlight w:val="none"/>
        </w:rPr>
        <w:t>无重大违法行为声明</w:t>
      </w:r>
      <w:bookmarkEnd w:id="180"/>
    </w:p>
    <w:p w14:paraId="3FF3B40C">
      <w:pPr>
        <w:pStyle w:val="596"/>
        <w:tabs>
          <w:tab w:val="left" w:pos="1498"/>
        </w:tabs>
        <w:spacing w:line="580" w:lineRule="exact"/>
        <w:rPr>
          <w:rFonts w:ascii="仿宋_GB2312" w:eastAsia="仿宋_GB2312"/>
          <w:color w:val="auto"/>
          <w:sz w:val="24"/>
          <w:highlight w:val="none"/>
        </w:rPr>
      </w:pPr>
      <w:r>
        <w:rPr>
          <w:rFonts w:hint="eastAsia"/>
          <w:color w:val="auto"/>
          <w:sz w:val="24"/>
          <w:highlight w:val="none"/>
          <w:u w:val="single"/>
        </w:rPr>
        <w:t xml:space="preserve">   （采购人</w:t>
      </w:r>
      <w:r>
        <w:rPr>
          <w:color w:val="auto"/>
          <w:sz w:val="24"/>
          <w:highlight w:val="none"/>
          <w:u w:val="single"/>
        </w:rPr>
        <w:t>名称）</w:t>
      </w:r>
      <w:r>
        <w:rPr>
          <w:rFonts w:hint="eastAsia"/>
          <w:color w:val="auto"/>
          <w:sz w:val="24"/>
          <w:highlight w:val="none"/>
          <w:u w:val="single"/>
        </w:rPr>
        <w:t xml:space="preserve">    </w:t>
      </w:r>
      <w:r>
        <w:rPr>
          <w:rFonts w:hint="eastAsia" w:ascii="仿宋_GB2312" w:eastAsia="仿宋_GB2312"/>
          <w:color w:val="auto"/>
          <w:sz w:val="24"/>
          <w:highlight w:val="none"/>
        </w:rPr>
        <w:t>：</w:t>
      </w:r>
    </w:p>
    <w:p w14:paraId="034F06E8">
      <w:pPr>
        <w:pStyle w:val="596"/>
        <w:spacing w:line="600" w:lineRule="exact"/>
        <w:ind w:firstLine="600"/>
        <w:rPr>
          <w:rFonts w:ascii="仿宋_GB2312" w:eastAsia="仿宋_GB2312"/>
          <w:color w:val="auto"/>
          <w:sz w:val="24"/>
          <w:highlight w:val="none"/>
        </w:rPr>
      </w:pPr>
      <w:r>
        <w:rPr>
          <w:rFonts w:hint="eastAsia" w:ascii="仿宋_GB2312" w:eastAsia="仿宋_GB2312"/>
          <w:color w:val="auto"/>
          <w:sz w:val="24"/>
          <w:highlight w:val="none"/>
        </w:rPr>
        <w:t>我公司在参加编号为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项目的投标活动前3年内，</w:t>
      </w:r>
      <w:r>
        <w:rPr>
          <w:rFonts w:ascii="仿宋_GB2312" w:eastAsia="仿宋_GB2312"/>
          <w:color w:val="auto"/>
          <w:sz w:val="24"/>
          <w:highlight w:val="none"/>
        </w:rPr>
        <w:t>在经营活动中没有重大违法记录</w:t>
      </w:r>
      <w:r>
        <w:rPr>
          <w:rFonts w:hint="eastAsia" w:ascii="仿宋_GB2312" w:eastAsia="仿宋_GB2312"/>
          <w:color w:val="auto"/>
          <w:sz w:val="24"/>
          <w:highlight w:val="none"/>
        </w:rPr>
        <w:t>。</w:t>
      </w:r>
    </w:p>
    <w:p w14:paraId="09C8A95B">
      <w:pPr>
        <w:pStyle w:val="596"/>
        <w:spacing w:line="600" w:lineRule="exact"/>
        <w:ind w:firstLine="600"/>
        <w:rPr>
          <w:rFonts w:ascii="仿宋_GB2312" w:eastAsia="仿宋_GB2312"/>
          <w:color w:val="auto"/>
          <w:sz w:val="24"/>
          <w:highlight w:val="none"/>
        </w:rPr>
      </w:pPr>
      <w:r>
        <w:rPr>
          <w:rFonts w:hint="eastAsia" w:ascii="仿宋_GB2312" w:eastAsia="仿宋_GB2312"/>
          <w:color w:val="auto"/>
          <w:sz w:val="24"/>
          <w:highlight w:val="none"/>
        </w:rPr>
        <w:t>特此声明。</w:t>
      </w:r>
    </w:p>
    <w:p w14:paraId="7215CEF1">
      <w:pPr>
        <w:pStyle w:val="596"/>
        <w:spacing w:line="600" w:lineRule="exact"/>
        <w:ind w:firstLine="600"/>
        <w:rPr>
          <w:rFonts w:ascii="仿宋_GB2312" w:eastAsia="仿宋_GB2312"/>
          <w:color w:val="auto"/>
          <w:sz w:val="24"/>
          <w:highlight w:val="none"/>
        </w:rPr>
      </w:pPr>
      <w:r>
        <w:rPr>
          <w:rFonts w:hint="eastAsia" w:ascii="仿宋_GB2312" w:eastAsia="仿宋_GB2312"/>
          <w:color w:val="auto"/>
          <w:sz w:val="24"/>
          <w:highlight w:val="none"/>
        </w:rPr>
        <w:t>（说明：《中华人民共和国政府采购法》第二十二条第一款第五项所称重大违法记录，是指供应商因违法经营受到刑事处罚或者责令停产停业、吊销许可证或者执照、较大数额罚款等行政处罚，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p>
    <w:p w14:paraId="49B0DDF0">
      <w:pPr>
        <w:pStyle w:val="596"/>
        <w:spacing w:line="600" w:lineRule="exact"/>
        <w:ind w:firstLine="600"/>
        <w:rPr>
          <w:rFonts w:ascii="仿宋_GB2312" w:eastAsia="仿宋_GB2312"/>
          <w:color w:val="auto"/>
          <w:sz w:val="24"/>
          <w:highlight w:val="none"/>
        </w:rPr>
      </w:pPr>
    </w:p>
    <w:p w14:paraId="213F2E8F">
      <w:pPr>
        <w:pStyle w:val="596"/>
        <w:spacing w:line="600" w:lineRule="exact"/>
        <w:ind w:firstLine="600"/>
        <w:rPr>
          <w:rFonts w:ascii="仿宋_GB2312" w:eastAsia="仿宋_GB2312"/>
          <w:color w:val="auto"/>
          <w:sz w:val="24"/>
          <w:highlight w:val="none"/>
        </w:rPr>
      </w:pPr>
    </w:p>
    <w:p w14:paraId="0FE9ECC8">
      <w:pPr>
        <w:pStyle w:val="365"/>
        <w:spacing w:line="700" w:lineRule="exact"/>
        <w:ind w:firstLine="629"/>
        <w:rPr>
          <w:rFonts w:ascii="仿宋_GB2312" w:eastAsia="仿宋_GB2312"/>
          <w:color w:val="auto"/>
          <w:sz w:val="24"/>
          <w:highlight w:val="none"/>
          <w:u w:val="single"/>
        </w:rPr>
      </w:pPr>
      <w:r>
        <w:rPr>
          <w:rFonts w:hint="eastAsia" w:ascii="仿宋_GB2312" w:eastAsia="仿宋_GB2312"/>
          <w:color w:val="auto"/>
          <w:sz w:val="24"/>
          <w:highlight w:val="none"/>
        </w:rPr>
        <w:t>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14:paraId="1C2D7D6A">
      <w:pPr>
        <w:pStyle w:val="365"/>
        <w:spacing w:line="700" w:lineRule="exact"/>
        <w:ind w:firstLine="629"/>
        <w:rPr>
          <w:rFonts w:ascii="仿宋_GB2312" w:eastAsia="仿宋_GB2312"/>
          <w:color w:val="auto"/>
          <w:sz w:val="24"/>
          <w:highlight w:val="none"/>
        </w:rPr>
      </w:pPr>
      <w:r>
        <w:rPr>
          <w:rFonts w:hint="eastAsia" w:ascii="仿宋_GB2312" w:eastAsia="仿宋_GB2312"/>
          <w:color w:val="auto"/>
          <w:sz w:val="24"/>
          <w:highlight w:val="none"/>
        </w:rPr>
        <w:t>法定代表人（或授权代表）：（签字</w:t>
      </w:r>
      <w:r>
        <w:rPr>
          <w:rFonts w:hint="eastAsia" w:ascii="仿宋_GB2312" w:eastAsia="仿宋_GB2312"/>
          <w:color w:val="auto"/>
          <w:sz w:val="24"/>
          <w:highlight w:val="none"/>
          <w:lang w:val="en-US" w:eastAsia="zh-CN"/>
        </w:rPr>
        <w:t>或盖章</w:t>
      </w:r>
      <w:r>
        <w:rPr>
          <w:rFonts w:hint="eastAsia" w:ascii="仿宋_GB2312" w:eastAsia="仿宋_GB2312"/>
          <w:color w:val="auto"/>
          <w:sz w:val="24"/>
          <w:highlight w:val="none"/>
        </w:rPr>
        <w:t>）</w:t>
      </w:r>
      <w:r>
        <w:rPr>
          <w:rFonts w:hint="eastAsia" w:ascii="仿宋_GB2312" w:eastAsia="仿宋_GB2312"/>
          <w:color w:val="auto"/>
          <w:sz w:val="24"/>
          <w:highlight w:val="none"/>
          <w:u w:val="single"/>
        </w:rPr>
        <w:t xml:space="preserve">              </w:t>
      </w:r>
    </w:p>
    <w:p w14:paraId="18310D4C">
      <w:pPr>
        <w:pStyle w:val="548"/>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日</w:t>
      </w:r>
    </w:p>
    <w:p w14:paraId="2CD7E285">
      <w:pPr>
        <w:pStyle w:val="354"/>
        <w:outlineLvl w:val="1"/>
        <w:rPr>
          <w:rFonts w:hint="eastAsia" w:cs="黑体"/>
          <w:color w:val="auto"/>
          <w:spacing w:val="-1"/>
          <w:sz w:val="36"/>
          <w:szCs w:val="36"/>
          <w:highlight w:val="none"/>
        </w:rPr>
      </w:pPr>
      <w:r>
        <w:rPr>
          <w:color w:val="auto"/>
          <w:highlight w:val="none"/>
        </w:rPr>
        <w:br w:type="page" w:clear="all"/>
      </w:r>
      <w:bookmarkStart w:id="181" w:name="_Toc514054487"/>
      <w:bookmarkStart w:id="182" w:name="_Toc30260_WPSOffice_Level2"/>
      <w:bookmarkStart w:id="183" w:name="_Toc20784"/>
      <w:bookmarkStart w:id="184" w:name="_Toc30396"/>
      <w:r>
        <w:rPr>
          <w:rFonts w:hint="eastAsia"/>
          <w:color w:val="auto"/>
          <w:highlight w:val="none"/>
        </w:rPr>
        <w:t>七、</w:t>
      </w:r>
      <w:bookmarkEnd w:id="181"/>
      <w:bookmarkEnd w:id="182"/>
      <w:r>
        <w:rPr>
          <w:rFonts w:hint="eastAsia"/>
          <w:color w:val="auto"/>
          <w:highlight w:val="none"/>
        </w:rPr>
        <w:t>南京市政府采购供应商信用承诺书</w:t>
      </w:r>
      <w:bookmarkEnd w:id="183"/>
    </w:p>
    <w:p w14:paraId="7119CDD9">
      <w:pPr>
        <w:pStyle w:val="475"/>
        <w:rPr>
          <w:rFonts w:hint="eastAsia" w:cs="黑体"/>
          <w:color w:val="auto"/>
          <w:spacing w:val="-1"/>
          <w:sz w:val="36"/>
          <w:szCs w:val="36"/>
          <w:highlight w:val="none"/>
        </w:rPr>
      </w:pPr>
    </w:p>
    <w:p w14:paraId="21CBA196">
      <w:pPr>
        <w:jc w:val="right"/>
        <w:rPr>
          <w:rFonts w:hint="default" w:ascii="方正小标宋简体" w:hAnsi="方正小标宋简体" w:eastAsia="方正小标宋简体" w:cs="方正小标宋简体"/>
          <w:color w:val="auto"/>
          <w:sz w:val="22"/>
          <w:szCs w:val="28"/>
          <w:highlight w:val="none"/>
          <w:lang w:val="en-US" w:eastAsia="zh-CN"/>
        </w:rPr>
      </w:pPr>
      <w:bookmarkStart w:id="185" w:name="_Toc19202"/>
      <w:r>
        <w:rPr>
          <w:rFonts w:hint="eastAsia" w:ascii="方正小标宋简体" w:hAnsi="方正小标宋简体" w:eastAsia="方正小标宋简体" w:cs="方正小标宋简体"/>
          <w:color w:val="auto"/>
          <w:sz w:val="22"/>
          <w:szCs w:val="28"/>
          <w:highlight w:val="none"/>
          <w:lang w:val="en-US" w:eastAsia="zh-CN"/>
        </w:rPr>
        <w:t>XXXX年XX月XX日</w:t>
      </w:r>
    </w:p>
    <w:p w14:paraId="1D14735F">
      <w:pPr>
        <w:jc w:val="center"/>
        <w:rPr>
          <w:rFonts w:hint="eastAsia" w:eastAsiaTheme="minorEastAsia"/>
          <w:color w:val="auto"/>
          <w:highlight w:val="none"/>
          <w:lang w:val="en-US" w:eastAsia="zh-CN"/>
        </w:rPr>
      </w:pPr>
    </w:p>
    <w:tbl>
      <w:tblPr>
        <w:tblStyle w:val="35"/>
        <w:tblpPr w:leftFromText="180" w:rightFromText="180" w:vertAnchor="text" w:tblpXSpec="center" w:tblpY="1"/>
        <w:tblOverlap w:val="never"/>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48"/>
        <w:gridCol w:w="2284"/>
        <w:gridCol w:w="1833"/>
        <w:gridCol w:w="3331"/>
      </w:tblGrid>
      <w:tr w14:paraId="6E537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693F917F">
            <w:pPr>
              <w:tabs>
                <w:tab w:val="left" w:pos="2520"/>
              </w:tabs>
              <w:ind w:left="-420" w:leftChars="-200" w:firstLine="0" w:firstLineChars="0"/>
              <w:jc w:val="center"/>
              <w:rPr>
                <w:rFonts w:hint="default" w:eastAsiaTheme="minor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   单位名称</w:t>
            </w:r>
          </w:p>
        </w:tc>
        <w:tc>
          <w:tcPr>
            <w:tcW w:w="2284" w:type="dxa"/>
            <w:vAlign w:val="center"/>
          </w:tcPr>
          <w:p w14:paraId="4F273B52">
            <w:pPr>
              <w:jc w:val="center"/>
              <w:rPr>
                <w:rFonts w:hint="eastAsia" w:eastAsiaTheme="minorEastAsia"/>
                <w:color w:val="auto"/>
                <w:sz w:val="24"/>
                <w:szCs w:val="32"/>
                <w:highlight w:val="none"/>
                <w:vertAlign w:val="baseline"/>
                <w:lang w:val="en-US" w:eastAsia="zh-CN"/>
              </w:rPr>
            </w:pPr>
          </w:p>
        </w:tc>
        <w:tc>
          <w:tcPr>
            <w:tcW w:w="1833" w:type="dxa"/>
            <w:vAlign w:val="center"/>
          </w:tcPr>
          <w:p w14:paraId="01D3C073">
            <w:pPr>
              <w:jc w:val="center"/>
              <w:rPr>
                <w:rFonts w:hint="default" w:eastAsiaTheme="minor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统一社会信用代码</w:t>
            </w:r>
          </w:p>
        </w:tc>
        <w:tc>
          <w:tcPr>
            <w:tcW w:w="3331" w:type="dxa"/>
            <w:vAlign w:val="center"/>
          </w:tcPr>
          <w:p w14:paraId="1714F2ED">
            <w:pPr>
              <w:tabs>
                <w:tab w:val="left" w:pos="2320"/>
              </w:tabs>
              <w:ind w:right="-678" w:rightChars="-323"/>
              <w:jc w:val="center"/>
              <w:rPr>
                <w:rFonts w:hint="eastAsia" w:eastAsiaTheme="minorEastAsia"/>
                <w:color w:val="auto"/>
                <w:highlight w:val="none"/>
                <w:vertAlign w:val="baseline"/>
                <w:lang w:val="en-US" w:eastAsia="zh-CN"/>
              </w:rPr>
            </w:pPr>
          </w:p>
        </w:tc>
      </w:tr>
      <w:tr w14:paraId="1B13E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1BF321E2">
            <w:pPr>
              <w:jc w:val="center"/>
              <w:rPr>
                <w:rFonts w:hint="default" w:eastAsiaTheme="minor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法定代表人</w:t>
            </w:r>
          </w:p>
        </w:tc>
        <w:tc>
          <w:tcPr>
            <w:tcW w:w="2284" w:type="dxa"/>
            <w:vAlign w:val="center"/>
          </w:tcPr>
          <w:p w14:paraId="4C9BA61B">
            <w:pPr>
              <w:jc w:val="center"/>
              <w:rPr>
                <w:rFonts w:hint="eastAsia" w:eastAsiaTheme="minorEastAsia"/>
                <w:color w:val="auto"/>
                <w:sz w:val="24"/>
                <w:szCs w:val="32"/>
                <w:highlight w:val="none"/>
                <w:vertAlign w:val="baseline"/>
                <w:lang w:val="en-US" w:eastAsia="zh-CN"/>
              </w:rPr>
            </w:pPr>
          </w:p>
        </w:tc>
        <w:tc>
          <w:tcPr>
            <w:tcW w:w="1833" w:type="dxa"/>
            <w:vAlign w:val="center"/>
          </w:tcPr>
          <w:p w14:paraId="68E76174">
            <w:pPr>
              <w:jc w:val="center"/>
              <w:rPr>
                <w:rFonts w:hint="default" w:eastAsiaTheme="minor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联系人</w:t>
            </w:r>
          </w:p>
        </w:tc>
        <w:tc>
          <w:tcPr>
            <w:tcW w:w="3331" w:type="dxa"/>
            <w:vAlign w:val="center"/>
          </w:tcPr>
          <w:p w14:paraId="2B1C9FBA">
            <w:pPr>
              <w:jc w:val="center"/>
              <w:rPr>
                <w:rFonts w:hint="eastAsia" w:eastAsiaTheme="minorEastAsia"/>
                <w:color w:val="auto"/>
                <w:highlight w:val="none"/>
                <w:vertAlign w:val="baseline"/>
                <w:lang w:val="en-US" w:eastAsia="zh-CN"/>
              </w:rPr>
            </w:pPr>
          </w:p>
        </w:tc>
      </w:tr>
      <w:tr w14:paraId="516D5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1716C963">
            <w:pPr>
              <w:jc w:val="center"/>
              <w:rPr>
                <w:rFonts w:hint="default" w:eastAsiaTheme="minor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联系地址</w:t>
            </w:r>
          </w:p>
        </w:tc>
        <w:tc>
          <w:tcPr>
            <w:tcW w:w="2284" w:type="dxa"/>
            <w:vAlign w:val="center"/>
          </w:tcPr>
          <w:p w14:paraId="1C2119DF">
            <w:pPr>
              <w:jc w:val="center"/>
              <w:rPr>
                <w:rFonts w:hint="eastAsia" w:eastAsiaTheme="minorEastAsia"/>
                <w:color w:val="auto"/>
                <w:sz w:val="24"/>
                <w:szCs w:val="32"/>
                <w:highlight w:val="none"/>
                <w:vertAlign w:val="baseline"/>
                <w:lang w:val="en-US" w:eastAsia="zh-CN"/>
              </w:rPr>
            </w:pPr>
          </w:p>
        </w:tc>
        <w:tc>
          <w:tcPr>
            <w:tcW w:w="1833" w:type="dxa"/>
            <w:vAlign w:val="center"/>
          </w:tcPr>
          <w:p w14:paraId="50F2376D">
            <w:pPr>
              <w:jc w:val="center"/>
              <w:rPr>
                <w:rFonts w:hint="default" w:eastAsiaTheme="minor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联系电话</w:t>
            </w:r>
          </w:p>
        </w:tc>
        <w:tc>
          <w:tcPr>
            <w:tcW w:w="3331" w:type="dxa"/>
            <w:vAlign w:val="center"/>
          </w:tcPr>
          <w:p w14:paraId="420525AE">
            <w:pPr>
              <w:jc w:val="center"/>
              <w:rPr>
                <w:rFonts w:hint="eastAsia" w:eastAsiaTheme="minorEastAsia"/>
                <w:color w:val="auto"/>
                <w:highlight w:val="none"/>
                <w:vertAlign w:val="baseline"/>
                <w:lang w:val="en-US" w:eastAsia="zh-CN"/>
              </w:rPr>
            </w:pPr>
          </w:p>
        </w:tc>
      </w:tr>
      <w:tr w14:paraId="0AB16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vAlign w:val="center"/>
          </w:tcPr>
          <w:p w14:paraId="1F849FCF">
            <w:pPr>
              <w:jc w:val="center"/>
              <w:rPr>
                <w:rFonts w:hint="default"/>
                <w:color w:val="auto"/>
                <w:sz w:val="24"/>
                <w:szCs w:val="32"/>
                <w:highlight w:val="none"/>
                <w:vertAlign w:val="baseline"/>
                <w:lang w:val="en-US" w:eastAsia="zh-CN"/>
              </w:rPr>
            </w:pPr>
            <w:r>
              <w:rPr>
                <w:rFonts w:hint="eastAsia"/>
                <w:color w:val="auto"/>
                <w:sz w:val="24"/>
                <w:szCs w:val="32"/>
                <w:highlight w:val="none"/>
                <w:vertAlign w:val="baseline"/>
                <w:lang w:val="en-US" w:eastAsia="zh-CN"/>
              </w:rPr>
              <w:t>信用承诺</w:t>
            </w:r>
          </w:p>
        </w:tc>
        <w:tc>
          <w:tcPr>
            <w:tcW w:w="7448" w:type="dxa"/>
            <w:gridSpan w:val="3"/>
            <w:vAlign w:val="center"/>
          </w:tcPr>
          <w:p w14:paraId="72721310">
            <w:pPr>
              <w:ind w:firstLine="420" w:firstLineChars="200"/>
              <w:jc w:val="both"/>
              <w:rPr>
                <w:rFonts w:hint="eastAsia"/>
                <w:color w:val="auto"/>
                <w:highlight w:val="none"/>
                <w:vertAlign w:val="baseline"/>
                <w:lang w:val="en-US" w:eastAsia="zh-CN"/>
              </w:rPr>
            </w:pPr>
            <w:r>
              <w:rPr>
                <w:rFonts w:hint="eastAsia" w:eastAsiaTheme="minorEastAsia"/>
                <w:color w:val="auto"/>
                <w:highlight w:val="none"/>
                <w:vertAlign w:val="baseline"/>
                <w:lang w:val="en-US" w:eastAsia="zh-CN"/>
              </w:rPr>
              <w:t>我公司自愿参加贵中心</w:t>
            </w:r>
            <w:r>
              <w:rPr>
                <w:rFonts w:hint="eastAsia"/>
                <w:color w:val="auto"/>
                <w:highlight w:val="none"/>
                <w:vertAlign w:val="baseline"/>
                <w:lang w:val="en-US" w:eastAsia="zh-CN"/>
              </w:rPr>
              <w:t>（</w:t>
            </w:r>
            <w:r>
              <w:rPr>
                <w:rFonts w:hint="eastAsia" w:eastAsiaTheme="minorEastAsia"/>
                <w:color w:val="auto"/>
                <w:highlight w:val="none"/>
                <w:vertAlign w:val="baseline"/>
                <w:lang w:val="en-US" w:eastAsia="zh-CN"/>
              </w:rPr>
              <w:t>公司</w:t>
            </w:r>
            <w:r>
              <w:rPr>
                <w:rFonts w:hint="eastAsia"/>
                <w:color w:val="auto"/>
                <w:highlight w:val="none"/>
                <w:vertAlign w:val="baseline"/>
                <w:lang w:val="en-US" w:eastAsia="zh-CN"/>
              </w:rPr>
              <w:t>）</w:t>
            </w:r>
            <w:r>
              <w:rPr>
                <w:rFonts w:hint="eastAsia" w:eastAsiaTheme="minorEastAsia"/>
                <w:color w:val="auto"/>
                <w:highlight w:val="none"/>
                <w:vertAlign w:val="baseline"/>
                <w:lang w:val="en-US"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color w:val="auto"/>
                <w:highlight w:val="none"/>
                <w:vertAlign w:val="baseline"/>
                <w:lang w:val="en-US" w:eastAsia="zh-CN"/>
              </w:rPr>
              <w:t>二</w:t>
            </w:r>
            <w:r>
              <w:rPr>
                <w:rFonts w:hint="eastAsia" w:eastAsiaTheme="minorEastAsia"/>
                <w:color w:val="auto"/>
                <w:highlight w:val="none"/>
                <w:vertAlign w:val="baseline"/>
                <w:lang w:val="en-US" w:eastAsia="zh-CN"/>
              </w:rPr>
              <w:t>条规定的条件，包括</w:t>
            </w:r>
            <w:r>
              <w:rPr>
                <w:rFonts w:hint="eastAsia"/>
                <w:color w:val="auto"/>
                <w:highlight w:val="none"/>
                <w:vertAlign w:val="baseline"/>
                <w:lang w:val="en-US" w:eastAsia="zh-CN"/>
              </w:rPr>
              <w:t>：</w:t>
            </w:r>
            <w:r>
              <w:rPr>
                <w:rFonts w:hint="eastAsia" w:eastAsiaTheme="minorEastAsia"/>
                <w:color w:val="auto"/>
                <w:highlight w:val="none"/>
                <w:vertAlign w:val="baseline"/>
                <w:lang w:val="en-US" w:eastAsia="zh-CN"/>
              </w:rPr>
              <w:t>具有独立承担民事责任的能力</w:t>
            </w:r>
            <w:r>
              <w:rPr>
                <w:rFonts w:hint="eastAsia"/>
                <w:color w:val="auto"/>
                <w:highlight w:val="none"/>
                <w:vertAlign w:val="baseline"/>
                <w:lang w:val="en-US" w:eastAsia="zh-CN"/>
              </w:rPr>
              <w:t>；</w:t>
            </w:r>
            <w:r>
              <w:rPr>
                <w:rFonts w:hint="eastAsia" w:eastAsiaTheme="minorEastAsia"/>
                <w:color w:val="auto"/>
                <w:highlight w:val="none"/>
                <w:vertAlign w:val="baseline"/>
                <w:lang w:val="en-US" w:eastAsia="zh-CN"/>
              </w:rPr>
              <w:t>具有良好的商业信誉和健全的财务会计制度</w:t>
            </w:r>
            <w:r>
              <w:rPr>
                <w:rFonts w:hint="eastAsia"/>
                <w:color w:val="auto"/>
                <w:highlight w:val="none"/>
                <w:vertAlign w:val="baseline"/>
                <w:lang w:val="en-US" w:eastAsia="zh-CN"/>
              </w:rPr>
              <w:t>；</w:t>
            </w:r>
            <w:r>
              <w:rPr>
                <w:rFonts w:hint="eastAsia" w:eastAsiaTheme="minorEastAsia"/>
                <w:color w:val="auto"/>
                <w:highlight w:val="none"/>
                <w:vertAlign w:val="baseline"/>
                <w:lang w:val="en-US" w:eastAsia="zh-CN"/>
              </w:rPr>
              <w:t>有履行合同所必需的设备和专业技术能力</w:t>
            </w:r>
            <w:r>
              <w:rPr>
                <w:rFonts w:hint="eastAsia"/>
                <w:color w:val="auto"/>
                <w:highlight w:val="none"/>
                <w:vertAlign w:val="baseline"/>
                <w:lang w:val="en-US" w:eastAsia="zh-CN"/>
              </w:rPr>
              <w:t>；</w:t>
            </w:r>
            <w:r>
              <w:rPr>
                <w:rFonts w:hint="eastAsia" w:eastAsiaTheme="minorEastAsia"/>
                <w:color w:val="auto"/>
                <w:highlight w:val="none"/>
                <w:vertAlign w:val="baseline"/>
                <w:lang w:val="en-US" w:eastAsia="zh-CN"/>
              </w:rPr>
              <w:t>有依法缴纳税收和社会保障资金的良好记录</w:t>
            </w:r>
            <w:r>
              <w:rPr>
                <w:rFonts w:hint="eastAsia"/>
                <w:color w:val="auto"/>
                <w:highlight w:val="none"/>
                <w:vertAlign w:val="baseline"/>
                <w:lang w:val="en-US" w:eastAsia="zh-CN"/>
              </w:rPr>
              <w:t>；</w:t>
            </w:r>
            <w:r>
              <w:rPr>
                <w:rFonts w:hint="eastAsia" w:eastAsiaTheme="minorEastAsia"/>
                <w:color w:val="auto"/>
                <w:highlight w:val="none"/>
                <w:vertAlign w:val="baseline"/>
                <w:lang w:val="en-US" w:eastAsia="zh-CN"/>
              </w:rPr>
              <w:t>参加政府采购活动前三年内，在经营活动中没有重大违法记录</w:t>
            </w:r>
            <w:r>
              <w:rPr>
                <w:rFonts w:hint="eastAsia"/>
                <w:color w:val="auto"/>
                <w:highlight w:val="none"/>
                <w:vertAlign w:val="baseline"/>
                <w:lang w:val="en-US" w:eastAsia="zh-CN"/>
              </w:rPr>
              <w:t>；</w:t>
            </w:r>
            <w:r>
              <w:rPr>
                <w:rFonts w:hint="eastAsia" w:eastAsiaTheme="minorEastAsia"/>
                <w:color w:val="auto"/>
                <w:highlight w:val="none"/>
                <w:vertAlign w:val="baseline"/>
                <w:lang w:val="en-US" w:eastAsia="zh-CN"/>
              </w:rPr>
              <w:t>符合法律、行政法规和采购文件规定的其他条件</w:t>
            </w:r>
            <w:r>
              <w:rPr>
                <w:rFonts w:hint="eastAsia"/>
                <w:color w:val="auto"/>
                <w:highlight w:val="none"/>
                <w:vertAlign w:val="baseline"/>
                <w:lang w:val="en-US" w:eastAsia="zh-CN"/>
              </w:rPr>
              <w:t>。</w:t>
            </w:r>
            <w:r>
              <w:rPr>
                <w:rFonts w:hint="eastAsia" w:eastAsiaTheme="minorEastAsia"/>
                <w:color w:val="auto"/>
                <w:highlight w:val="none"/>
                <w:vertAlign w:val="baseline"/>
                <w:lang w:val="en-US" w:eastAsia="zh-CN"/>
              </w:rPr>
              <w:t>如有弄虚作假或其他违法违规行为，愿承担一切法律责任，接受各级政府采购监管部门和有权机关的审查和处罚</w:t>
            </w:r>
            <w:r>
              <w:rPr>
                <w:rFonts w:hint="eastAsia"/>
                <w:color w:val="auto"/>
                <w:highlight w:val="none"/>
                <w:vertAlign w:val="baseline"/>
                <w:lang w:val="en-US" w:eastAsia="zh-CN"/>
              </w:rPr>
              <w:t>。</w:t>
            </w:r>
          </w:p>
          <w:p w14:paraId="0BADDB62">
            <w:pPr>
              <w:ind w:firstLine="420" w:firstLineChars="200"/>
              <w:jc w:val="both"/>
              <w:rPr>
                <w:rFonts w:hint="eastAsia"/>
                <w:color w:val="auto"/>
                <w:highlight w:val="none"/>
                <w:vertAlign w:val="baseline"/>
                <w:lang w:val="en-US" w:eastAsia="zh-CN"/>
              </w:rPr>
            </w:pPr>
          </w:p>
          <w:p w14:paraId="0A1331B0">
            <w:pPr>
              <w:ind w:firstLine="420" w:firstLineChars="200"/>
              <w:jc w:val="center"/>
              <w:rPr>
                <w:rFonts w:hint="eastAsia"/>
                <w:color w:val="auto"/>
                <w:highlight w:val="none"/>
                <w:vertAlign w:val="baseline"/>
                <w:lang w:val="en-US" w:eastAsia="zh-CN"/>
              </w:rPr>
            </w:pPr>
            <w:r>
              <w:rPr>
                <w:rFonts w:hint="eastAsia"/>
                <w:color w:val="auto"/>
                <w:highlight w:val="none"/>
                <w:vertAlign w:val="baseline"/>
                <w:lang w:val="en-US" w:eastAsia="zh-CN"/>
              </w:rPr>
              <w:t>供应商名称（盖章）：</w:t>
            </w:r>
          </w:p>
          <w:p w14:paraId="1D139667">
            <w:pPr>
              <w:ind w:firstLine="420" w:firstLineChars="200"/>
              <w:jc w:val="center"/>
              <w:rPr>
                <w:rFonts w:hint="eastAsia"/>
                <w:color w:val="auto"/>
                <w:highlight w:val="none"/>
                <w:vertAlign w:val="baseline"/>
                <w:lang w:val="en-US" w:eastAsia="zh-CN"/>
              </w:rPr>
            </w:pPr>
          </w:p>
          <w:p w14:paraId="22263006">
            <w:pPr>
              <w:ind w:firstLine="420" w:firstLineChars="200"/>
              <w:jc w:val="center"/>
              <w:rPr>
                <w:rFonts w:hint="eastAsia"/>
                <w:color w:val="auto"/>
                <w:highlight w:val="none"/>
                <w:vertAlign w:val="baseline"/>
                <w:lang w:val="en-US" w:eastAsia="zh-CN"/>
              </w:rPr>
            </w:pPr>
            <w:r>
              <w:rPr>
                <w:rFonts w:hint="eastAsia"/>
                <w:color w:val="auto"/>
                <w:highlight w:val="none"/>
                <w:vertAlign w:val="baseline"/>
                <w:lang w:val="en-US" w:eastAsia="zh-CN"/>
              </w:rPr>
              <w:t>法定代表人（签字）：</w:t>
            </w:r>
          </w:p>
          <w:p w14:paraId="5AE9A97F">
            <w:pPr>
              <w:ind w:firstLine="420" w:firstLineChars="200"/>
              <w:jc w:val="center"/>
              <w:rPr>
                <w:rFonts w:hint="eastAsia"/>
                <w:color w:val="auto"/>
                <w:highlight w:val="none"/>
                <w:vertAlign w:val="baseline"/>
                <w:lang w:val="en-US" w:eastAsia="zh-CN"/>
              </w:rPr>
            </w:pPr>
          </w:p>
          <w:p w14:paraId="4DE0538F">
            <w:pPr>
              <w:ind w:firstLine="420" w:firstLineChars="200"/>
              <w:jc w:val="center"/>
              <w:rPr>
                <w:rFonts w:hint="default"/>
                <w:color w:val="auto"/>
                <w:highlight w:val="none"/>
                <w:vertAlign w:val="baseline"/>
                <w:lang w:val="en-US" w:eastAsia="zh-CN"/>
              </w:rPr>
            </w:pPr>
            <w:r>
              <w:rPr>
                <w:rFonts w:hint="eastAsia"/>
                <w:color w:val="auto"/>
                <w:highlight w:val="none"/>
                <w:vertAlign w:val="baseline"/>
                <w:lang w:val="en-US" w:eastAsia="zh-CN"/>
              </w:rPr>
              <w:t>XXXX年XX月XX日</w:t>
            </w:r>
          </w:p>
        </w:tc>
      </w:tr>
    </w:tbl>
    <w:p w14:paraId="1814955D">
      <w:pPr>
        <w:rPr>
          <w:rFonts w:hint="eastAsia" w:ascii="黑体" w:hAnsi="黑体" w:eastAsia="黑体"/>
          <w:color w:val="auto"/>
          <w:sz w:val="32"/>
          <w:highlight w:val="none"/>
        </w:rPr>
      </w:pPr>
      <w:r>
        <w:rPr>
          <w:color w:val="auto"/>
          <w:highlight w:val="none"/>
        </w:rPr>
        <w:br w:type="page" w:clear="all"/>
      </w:r>
    </w:p>
    <w:p w14:paraId="68B2CEAC">
      <w:pPr>
        <w:pStyle w:val="354"/>
        <w:outlineLvl w:val="1"/>
        <w:rPr>
          <w:rFonts w:hint="eastAsia"/>
          <w:color w:val="auto"/>
          <w:highlight w:val="none"/>
        </w:rPr>
      </w:pPr>
      <w:bookmarkStart w:id="186" w:name="_Toc20806"/>
      <w:bookmarkStart w:id="187" w:name="_Toc28775"/>
      <w:bookmarkStart w:id="188" w:name="_Toc164203469"/>
      <w:bookmarkStart w:id="189" w:name="_Toc26700"/>
      <w:r>
        <w:rPr>
          <w:rFonts w:hint="eastAsia"/>
          <w:color w:val="auto"/>
          <w:highlight w:val="none"/>
        </w:rPr>
        <w:t>八</w:t>
      </w:r>
      <w:r>
        <w:rPr>
          <w:color w:val="auto"/>
          <w:highlight w:val="none"/>
        </w:rPr>
        <w:t>、投标函</w:t>
      </w:r>
      <w:bookmarkEnd w:id="184"/>
      <w:bookmarkEnd w:id="185"/>
      <w:bookmarkEnd w:id="186"/>
      <w:bookmarkEnd w:id="187"/>
      <w:bookmarkEnd w:id="188"/>
      <w:bookmarkEnd w:id="189"/>
    </w:p>
    <w:p w14:paraId="2EAF9E09">
      <w:pPr>
        <w:pStyle w:val="434"/>
        <w:tabs>
          <w:tab w:val="left" w:pos="1498"/>
        </w:tabs>
        <w:spacing w:line="580" w:lineRule="exact"/>
        <w:rPr>
          <w:rFonts w:ascii="仿宋_GB2312" w:eastAsia="仿宋_GB2312"/>
          <w:color w:val="auto"/>
          <w:sz w:val="24"/>
          <w:szCs w:val="22"/>
          <w:highlight w:val="none"/>
        </w:rPr>
      </w:pPr>
      <w:bookmarkStart w:id="190" w:name="_Toc22395"/>
      <w:bookmarkStart w:id="191" w:name="_Toc19604"/>
      <w:r>
        <w:rPr>
          <w:rFonts w:hint="eastAsia"/>
          <w:color w:val="auto"/>
          <w:sz w:val="24"/>
          <w:highlight w:val="none"/>
          <w:u w:val="single"/>
        </w:rPr>
        <w:t xml:space="preserve">                      </w:t>
      </w:r>
      <w:r>
        <w:rPr>
          <w:rFonts w:hint="eastAsia" w:ascii="仿宋_GB2312" w:eastAsia="仿宋_GB2312"/>
          <w:color w:val="auto"/>
          <w:sz w:val="24"/>
          <w:highlight w:val="none"/>
        </w:rPr>
        <w:t>：</w:t>
      </w:r>
    </w:p>
    <w:p w14:paraId="224E9B49">
      <w:pPr>
        <w:pStyle w:val="434"/>
        <w:tabs>
          <w:tab w:val="left" w:pos="1498"/>
        </w:tabs>
        <w:spacing w:line="360" w:lineRule="exact"/>
        <w:ind w:firstLine="480"/>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，包号为：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的招标活动并投标，为此，我方郑重声明以下诸点，并负法律责任。</w:t>
      </w:r>
    </w:p>
    <w:p w14:paraId="3CA7F518">
      <w:pPr>
        <w:pStyle w:val="434"/>
        <w:numPr>
          <w:ilvl w:val="0"/>
          <w:numId w:val="11"/>
        </w:numPr>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经研究招标文件的全部内容后，我方愿按招标文件的规定要求提供所有货物和服务；</w:t>
      </w:r>
    </w:p>
    <w:p w14:paraId="12726EB1">
      <w:pPr>
        <w:pStyle w:val="434"/>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二、</w:t>
      </w:r>
      <w:r>
        <w:rPr>
          <w:rFonts w:hint="eastAsia" w:ascii="仿宋_GB2312" w:eastAsia="仿宋_GB2312"/>
          <w:b/>
          <w:bCs/>
          <w:color w:val="auto"/>
          <w:sz w:val="24"/>
          <w:highlight w:val="none"/>
        </w:rPr>
        <w:t xml:space="preserve">我方没有为本采购项目提供整体设计、规范编制，以及项目管理、监理、检测等服务。 </w:t>
      </w:r>
    </w:p>
    <w:p w14:paraId="4B0D2F07">
      <w:pPr>
        <w:pStyle w:val="434"/>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三、我方与参与本次采购活动的其他投标人的法定代表人或委托代理人</w:t>
      </w:r>
      <w:r>
        <w:rPr>
          <w:rFonts w:hint="eastAsia" w:ascii="仿宋_GB2312" w:eastAsia="仿宋_GB2312"/>
          <w:b/>
          <w:bCs/>
          <w:color w:val="auto"/>
          <w:sz w:val="24"/>
          <w:highlight w:val="none"/>
        </w:rPr>
        <w:t>无夫妻、直系血亲关系</w:t>
      </w:r>
      <w:r>
        <w:rPr>
          <w:rFonts w:hint="eastAsia" w:ascii="仿宋_GB2312" w:eastAsia="仿宋_GB2312"/>
          <w:b/>
          <w:bCs/>
          <w:color w:val="auto"/>
          <w:sz w:val="24"/>
          <w:highlight w:val="none"/>
          <w:lang w:val="en-US" w:eastAsia="zh-CN"/>
        </w:rPr>
        <w:t>或三代以内亲缘关系</w:t>
      </w:r>
      <w:r>
        <w:rPr>
          <w:rFonts w:hint="eastAsia" w:ascii="仿宋_GB2312" w:eastAsia="仿宋_GB2312"/>
          <w:b/>
          <w:bCs/>
          <w:color w:val="auto"/>
          <w:sz w:val="24"/>
          <w:highlight w:val="none"/>
        </w:rPr>
        <w:t xml:space="preserve">； </w:t>
      </w:r>
    </w:p>
    <w:p w14:paraId="53D1F842">
      <w:pPr>
        <w:pStyle w:val="434"/>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p>
    <w:p w14:paraId="392DD837">
      <w:pPr>
        <w:pStyle w:val="434"/>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五、我们理解，最低报价不是中标的唯一条件，你们有选择中标人的权利；</w:t>
      </w:r>
    </w:p>
    <w:p w14:paraId="2ECC8076">
      <w:pPr>
        <w:pStyle w:val="434"/>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p>
    <w:p w14:paraId="7668F778">
      <w:pPr>
        <w:pStyle w:val="434"/>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七、一旦我方中标，我方将根据招标文件的规定，严格按照《中华人民共和国民法典》履行自己的责任和义务，并保证于我方承诺的期限内完成项目规定的所有内容。</w:t>
      </w:r>
    </w:p>
    <w:p w14:paraId="33EAB72C">
      <w:pPr>
        <w:pStyle w:val="466"/>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八、我方同意遵守贵方有关招标投标的各项规定；</w:t>
      </w:r>
    </w:p>
    <w:p w14:paraId="4E81E122">
      <w:pPr>
        <w:pStyle w:val="466"/>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九、我方响应招标文件规定的投标有效期。</w:t>
      </w:r>
    </w:p>
    <w:p w14:paraId="67A6C07F">
      <w:pPr>
        <w:pStyle w:val="466"/>
        <w:tabs>
          <w:tab w:val="left" w:pos="1498"/>
        </w:tabs>
        <w:spacing w:line="360" w:lineRule="exact"/>
        <w:ind w:firstLine="482"/>
        <w:rPr>
          <w:rFonts w:ascii="仿宋_GB2312" w:eastAsia="仿宋_GB2312"/>
          <w:b/>
          <w:bCs/>
          <w:color w:val="auto"/>
          <w:sz w:val="24"/>
          <w:highlight w:val="none"/>
        </w:rPr>
      </w:pPr>
      <w:r>
        <w:rPr>
          <w:rFonts w:hint="eastAsia" w:ascii="仿宋_GB2312" w:eastAsia="仿宋_GB2312"/>
          <w:b/>
          <w:bCs/>
          <w:color w:val="auto"/>
          <w:sz w:val="24"/>
          <w:highlight w:val="none"/>
        </w:rPr>
        <w:t>十、我司承诺若获得中标资格，我司保证在领取中标通知书前按照招标文件约定的标准，向采购代理机构一次性缴纳中标服务费。</w:t>
      </w:r>
    </w:p>
    <w:p w14:paraId="0333BE9A">
      <w:pPr>
        <w:pStyle w:val="466"/>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p>
    <w:p w14:paraId="7323D416">
      <w:pPr>
        <w:pStyle w:val="466"/>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p>
    <w:p w14:paraId="408C4E66">
      <w:pPr>
        <w:pStyle w:val="466"/>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联系人：</w:t>
      </w:r>
      <w:r>
        <w:rPr>
          <w:rFonts w:hint="eastAsia" w:ascii="仿宋_GB2312" w:eastAsia="仿宋_GB2312"/>
          <w:color w:val="auto"/>
          <w:sz w:val="24"/>
          <w:highlight w:val="none"/>
          <w:u w:val="single"/>
        </w:rPr>
        <w:t xml:space="preserve">               </w:t>
      </w:r>
    </w:p>
    <w:p w14:paraId="61A879F1">
      <w:pPr>
        <w:pStyle w:val="466"/>
        <w:tabs>
          <w:tab w:val="left" w:pos="1498"/>
        </w:tabs>
        <w:spacing w:line="360" w:lineRule="exact"/>
        <w:ind w:firstLine="480"/>
        <w:rPr>
          <w:rFonts w:ascii="仿宋_GB2312" w:eastAsia="仿宋_GB2312"/>
          <w:color w:val="auto"/>
          <w:sz w:val="24"/>
          <w:highlight w:val="none"/>
          <w:u w:val="single"/>
        </w:rPr>
      </w:pPr>
      <w:r>
        <w:rPr>
          <w:rFonts w:hint="eastAsia" w:ascii="仿宋_GB2312" w:eastAsia="仿宋_GB2312"/>
          <w:color w:val="auto"/>
          <w:sz w:val="24"/>
          <w:highlight w:val="none"/>
        </w:rPr>
        <w:t>地址：</w:t>
      </w:r>
      <w:r>
        <w:rPr>
          <w:rFonts w:hint="eastAsia" w:ascii="仿宋_GB2312" w:eastAsia="仿宋_GB2312"/>
          <w:color w:val="auto"/>
          <w:sz w:val="24"/>
          <w:highlight w:val="none"/>
          <w:u w:val="single"/>
        </w:rPr>
        <w:t xml:space="preserve">                 </w:t>
      </w:r>
    </w:p>
    <w:p w14:paraId="175AF90E">
      <w:pPr>
        <w:pStyle w:val="466"/>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p>
    <w:p w14:paraId="18115426">
      <w:pPr>
        <w:pStyle w:val="466"/>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p>
    <w:p w14:paraId="6BD5E2E9">
      <w:pPr>
        <w:pStyle w:val="466"/>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p>
    <w:p w14:paraId="076EEBD3">
      <w:pPr>
        <w:pStyle w:val="466"/>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p>
    <w:p w14:paraId="4559B5C6">
      <w:pPr>
        <w:pStyle w:val="466"/>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 </w:t>
      </w:r>
    </w:p>
    <w:p w14:paraId="1D9F48A5">
      <w:pPr>
        <w:pStyle w:val="466"/>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日 期： 年 月 日</w:t>
      </w:r>
    </w:p>
    <w:p w14:paraId="02B2A202">
      <w:pPr>
        <w:pStyle w:val="354"/>
        <w:outlineLvl w:val="1"/>
        <w:rPr>
          <w:rFonts w:hint="eastAsia"/>
          <w:color w:val="auto"/>
          <w:highlight w:val="none"/>
        </w:rPr>
      </w:pPr>
      <w:r>
        <w:rPr>
          <w:rFonts w:hint="eastAsia" w:ascii="仿宋_GB2312" w:hAnsi="Times New Roman" w:eastAsia="仿宋_GB2312"/>
          <w:color w:val="auto"/>
          <w:sz w:val="24"/>
          <w:highlight w:val="none"/>
        </w:rPr>
        <w:br w:type="page" w:clear="all"/>
      </w:r>
      <w:bookmarkStart w:id="192" w:name="_Toc164203470"/>
      <w:bookmarkStart w:id="193" w:name="_Toc10914"/>
      <w:bookmarkStart w:id="194" w:name="_Toc14010"/>
      <w:bookmarkStart w:id="195" w:name="_Toc12153"/>
      <w:r>
        <w:rPr>
          <w:rFonts w:hint="eastAsia"/>
          <w:color w:val="auto"/>
          <w:highlight w:val="none"/>
        </w:rPr>
        <w:t>九、法定代表人身份证明或授权委托书</w:t>
      </w:r>
      <w:bookmarkEnd w:id="190"/>
      <w:bookmarkEnd w:id="191"/>
      <w:bookmarkEnd w:id="192"/>
      <w:bookmarkEnd w:id="193"/>
      <w:bookmarkEnd w:id="194"/>
      <w:bookmarkEnd w:id="195"/>
    </w:p>
    <w:p w14:paraId="19FDE5D2">
      <w:pPr>
        <w:pStyle w:val="597"/>
        <w:spacing w:line="560" w:lineRule="exact"/>
        <w:jc w:val="center"/>
        <w:rPr>
          <w:rFonts w:ascii="宋体"/>
          <w:b/>
          <w:bCs/>
          <w:color w:val="auto"/>
          <w:sz w:val="32"/>
          <w:szCs w:val="32"/>
          <w:highlight w:val="none"/>
        </w:rPr>
      </w:pPr>
      <w:r>
        <w:rPr>
          <w:rFonts w:ascii="宋体"/>
          <w:b/>
          <w:bCs/>
          <w:color w:val="auto"/>
          <w:sz w:val="32"/>
          <w:szCs w:val="32"/>
          <w:highlight w:val="none"/>
        </w:rPr>
        <w:t>法定代表人身份证明</w:t>
      </w:r>
    </w:p>
    <w:p w14:paraId="3C665A85">
      <w:pPr>
        <w:pStyle w:val="500"/>
        <w:spacing w:line="480" w:lineRule="exact"/>
        <w:rPr>
          <w:rFonts w:eastAsia="仿宋_GB2312"/>
          <w:color w:val="auto"/>
          <w:sz w:val="24"/>
          <w:highlight w:val="none"/>
        </w:rPr>
      </w:pPr>
    </w:p>
    <w:p w14:paraId="3DAB77C2">
      <w:pPr>
        <w:pStyle w:val="500"/>
        <w:spacing w:line="480" w:lineRule="exact"/>
        <w:rPr>
          <w:rFonts w:eastAsia="仿宋_GB2312"/>
          <w:color w:val="auto"/>
          <w:sz w:val="24"/>
          <w:highlight w:val="none"/>
        </w:rPr>
      </w:pPr>
      <w:r>
        <w:rPr>
          <w:rFonts w:hint="eastAsia" w:eastAsia="仿宋_GB2312"/>
          <w:color w:val="auto"/>
          <w:sz w:val="24"/>
          <w:highlight w:val="none"/>
        </w:rPr>
        <w:t>供应商</w:t>
      </w:r>
      <w:r>
        <w:rPr>
          <w:rFonts w:eastAsia="仿宋_GB2312"/>
          <w:color w:val="auto"/>
          <w:sz w:val="24"/>
          <w:highlight w:val="none"/>
        </w:rPr>
        <w:t>名称：</w:t>
      </w:r>
      <w:r>
        <w:rPr>
          <w:rFonts w:eastAsia="仿宋_GB2312"/>
          <w:color w:val="auto"/>
          <w:sz w:val="24"/>
          <w:highlight w:val="none"/>
          <w:u w:val="single"/>
        </w:rPr>
        <w:t xml:space="preserve">                            </w:t>
      </w:r>
      <w:r>
        <w:rPr>
          <w:rFonts w:eastAsia="仿宋_GB2312"/>
          <w:color w:val="auto"/>
          <w:sz w:val="24"/>
          <w:highlight w:val="none"/>
        </w:rPr>
        <w:t xml:space="preserve"> </w:t>
      </w:r>
    </w:p>
    <w:p w14:paraId="761E2657">
      <w:pPr>
        <w:pStyle w:val="500"/>
        <w:spacing w:line="480" w:lineRule="exact"/>
        <w:rPr>
          <w:rFonts w:eastAsia="仿宋_GB2312"/>
          <w:color w:val="auto"/>
          <w:sz w:val="24"/>
          <w:highlight w:val="none"/>
        </w:rPr>
      </w:pPr>
      <w:r>
        <w:rPr>
          <w:rFonts w:eastAsia="仿宋_GB2312"/>
          <w:color w:val="auto"/>
          <w:sz w:val="24"/>
          <w:highlight w:val="none"/>
        </w:rPr>
        <w:t>单位性质：</w:t>
      </w:r>
      <w:r>
        <w:rPr>
          <w:rFonts w:eastAsia="仿宋_GB2312"/>
          <w:color w:val="auto"/>
          <w:sz w:val="24"/>
          <w:highlight w:val="none"/>
          <w:u w:val="single"/>
        </w:rPr>
        <w:t xml:space="preserve">                               </w:t>
      </w:r>
      <w:r>
        <w:rPr>
          <w:rFonts w:eastAsia="仿宋_GB2312"/>
          <w:color w:val="auto"/>
          <w:sz w:val="24"/>
          <w:highlight w:val="none"/>
        </w:rPr>
        <w:t xml:space="preserve"> </w:t>
      </w:r>
    </w:p>
    <w:p w14:paraId="7DB1C1C7">
      <w:pPr>
        <w:pStyle w:val="500"/>
        <w:spacing w:line="480" w:lineRule="exact"/>
        <w:rPr>
          <w:rFonts w:eastAsia="仿宋_GB2312"/>
          <w:color w:val="auto"/>
          <w:sz w:val="24"/>
          <w:highlight w:val="none"/>
        </w:rPr>
      </w:pPr>
      <w:r>
        <w:rPr>
          <w:rFonts w:eastAsia="仿宋_GB2312"/>
          <w:color w:val="auto"/>
          <w:sz w:val="24"/>
          <w:highlight w:val="none"/>
        </w:rPr>
        <w:t>地址：</w:t>
      </w:r>
      <w:r>
        <w:rPr>
          <w:rFonts w:eastAsia="仿宋_GB2312"/>
          <w:color w:val="auto"/>
          <w:sz w:val="24"/>
          <w:highlight w:val="none"/>
          <w:u w:val="single"/>
        </w:rPr>
        <w:t xml:space="preserve">                                   </w:t>
      </w:r>
    </w:p>
    <w:p w14:paraId="2763D7F8">
      <w:pPr>
        <w:pStyle w:val="500"/>
        <w:spacing w:line="480" w:lineRule="exact"/>
        <w:rPr>
          <w:rFonts w:eastAsia="仿宋_GB2312"/>
          <w:color w:val="auto"/>
          <w:sz w:val="24"/>
          <w:highlight w:val="none"/>
        </w:rPr>
      </w:pPr>
      <w:r>
        <w:rPr>
          <w:rFonts w:eastAsia="仿宋_GB2312"/>
          <w:color w:val="auto"/>
          <w:sz w:val="24"/>
          <w:highlight w:val="none"/>
        </w:rPr>
        <w:t>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p>
    <w:p w14:paraId="3C61157E">
      <w:pPr>
        <w:pStyle w:val="500"/>
        <w:spacing w:line="480" w:lineRule="exact"/>
        <w:rPr>
          <w:rFonts w:eastAsia="仿宋_GB2312"/>
          <w:color w:val="auto"/>
          <w:sz w:val="24"/>
          <w:highlight w:val="none"/>
        </w:rPr>
      </w:pPr>
      <w:r>
        <w:rPr>
          <w:rFonts w:eastAsia="仿宋_GB2312"/>
          <w:color w:val="auto"/>
          <w:sz w:val="24"/>
          <w:highlight w:val="none"/>
        </w:rPr>
        <w:t>经营期限：</w:t>
      </w:r>
      <w:r>
        <w:rPr>
          <w:rFonts w:eastAsia="仿宋_GB2312"/>
          <w:color w:val="auto"/>
          <w:sz w:val="24"/>
          <w:highlight w:val="none"/>
          <w:u w:val="single"/>
        </w:rPr>
        <w:t xml:space="preserve">                               </w:t>
      </w:r>
    </w:p>
    <w:p w14:paraId="738258CA">
      <w:pPr>
        <w:pStyle w:val="500"/>
        <w:spacing w:line="480" w:lineRule="exact"/>
        <w:rPr>
          <w:rFonts w:eastAsia="仿宋_GB2312"/>
          <w:color w:val="auto"/>
          <w:sz w:val="24"/>
          <w:highlight w:val="none"/>
        </w:rPr>
      </w:pPr>
      <w:r>
        <w:rPr>
          <w:rFonts w:eastAsia="仿宋_GB2312"/>
          <w:color w:val="auto"/>
          <w:sz w:val="24"/>
          <w:highlight w:val="none"/>
        </w:rPr>
        <w:t>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职务：</w:t>
      </w:r>
      <w:r>
        <w:rPr>
          <w:rFonts w:eastAsia="仿宋_GB2312"/>
          <w:color w:val="auto"/>
          <w:sz w:val="24"/>
          <w:highlight w:val="none"/>
          <w:u w:val="single"/>
        </w:rPr>
        <w:t xml:space="preserve">        </w:t>
      </w:r>
      <w:r>
        <w:rPr>
          <w:rFonts w:eastAsia="仿宋_GB2312"/>
          <w:color w:val="auto"/>
          <w:sz w:val="24"/>
          <w:highlight w:val="none"/>
        </w:rPr>
        <w:t>系</w:t>
      </w:r>
    </w:p>
    <w:p w14:paraId="6A952B4D">
      <w:pPr>
        <w:pStyle w:val="500"/>
        <w:spacing w:line="480" w:lineRule="exact"/>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p>
    <w:p w14:paraId="77AB14CB">
      <w:pPr>
        <w:pStyle w:val="500"/>
        <w:spacing w:line="480" w:lineRule="exact"/>
        <w:ind w:firstLine="480"/>
        <w:rPr>
          <w:rFonts w:eastAsia="仿宋_GB2312"/>
          <w:color w:val="auto"/>
          <w:sz w:val="24"/>
          <w:highlight w:val="none"/>
        </w:rPr>
      </w:pPr>
      <w:r>
        <w:rPr>
          <w:rFonts w:eastAsia="仿宋_GB2312"/>
          <w:color w:val="auto"/>
          <w:sz w:val="24"/>
          <w:highlight w:val="none"/>
        </w:rPr>
        <w:t>特此证明。</w:t>
      </w:r>
    </w:p>
    <w:p w14:paraId="79499831">
      <w:pPr>
        <w:pStyle w:val="628"/>
        <w:spacing w:line="600" w:lineRule="exact"/>
        <w:rPr>
          <w:rFonts w:eastAsia="仿宋_GB2312"/>
          <w:color w:val="auto"/>
          <w:sz w:val="24"/>
          <w:highlight w:val="none"/>
        </w:rPr>
      </w:pPr>
      <w:r>
        <w:rPr>
          <w:rFonts w:hint="eastAsia" w:ascii="仿宋_GB2312" w:eastAsia="仿宋_GB2312"/>
          <w:b/>
          <w:color w:val="auto"/>
          <w:sz w:val="24"/>
          <w:highlight w:val="none"/>
        </w:rPr>
        <w:t>（法定代表人出席开标会议的提供，未出席的可不提供。附法定代表人身份证、扫描件。）</w:t>
      </w:r>
      <w:r>
        <w:rPr>
          <w:rFonts w:eastAsia="仿宋_GB2312"/>
          <w:color w:val="auto"/>
          <w:sz w:val="24"/>
          <w:highlight w:val="none"/>
        </w:rPr>
        <w:t xml:space="preserve">               </w:t>
      </w:r>
    </w:p>
    <w:p w14:paraId="17609819">
      <w:pPr>
        <w:pStyle w:val="500"/>
        <w:spacing w:line="480" w:lineRule="exact"/>
        <w:jc w:val="right"/>
        <w:rPr>
          <w:rFonts w:eastAsia="仿宋_GB2312"/>
          <w:color w:val="auto"/>
          <w:sz w:val="24"/>
          <w:highlight w:val="none"/>
        </w:rPr>
      </w:pPr>
    </w:p>
    <w:p w14:paraId="6FB7BA24">
      <w:pPr>
        <w:pStyle w:val="500"/>
        <w:spacing w:line="480" w:lineRule="exact"/>
        <w:jc w:val="right"/>
        <w:rPr>
          <w:rFonts w:eastAsia="仿宋_GB2312"/>
          <w:color w:val="auto"/>
          <w:sz w:val="24"/>
          <w:highlight w:val="none"/>
        </w:rPr>
      </w:pPr>
    </w:p>
    <w:p w14:paraId="766CE6B8">
      <w:pPr>
        <w:pStyle w:val="628"/>
        <w:spacing w:line="700" w:lineRule="exact"/>
        <w:ind w:firstLine="445"/>
        <w:jc w:val="right"/>
        <w:rPr>
          <w:rFonts w:ascii="仿宋_GB2312" w:eastAsia="仿宋_GB2312"/>
          <w:color w:val="auto"/>
          <w:sz w:val="24"/>
          <w:highlight w:val="none"/>
        </w:rPr>
      </w:pPr>
      <w:r>
        <w:rPr>
          <w:rFonts w:hint="eastAsia" w:ascii="仿宋_GB2312" w:eastAsia="仿宋_GB2312"/>
          <w:color w:val="auto"/>
          <w:sz w:val="24"/>
          <w:highlight w:val="none"/>
        </w:rPr>
        <w:t>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（加盖CA电子公章）</w:t>
      </w:r>
    </w:p>
    <w:p w14:paraId="4ADC138F">
      <w:pPr>
        <w:pStyle w:val="597"/>
        <w:spacing w:line="560" w:lineRule="exact"/>
        <w:ind w:firstLine="425"/>
        <w:jc w:val="right"/>
        <w:rPr>
          <w:rFonts w:ascii="仿宋_GB2312" w:eastAsia="仿宋_GB2312"/>
          <w:color w:val="auto"/>
          <w:sz w:val="24"/>
          <w:highlight w:val="none"/>
        </w:rPr>
      </w:pPr>
      <w:r>
        <w:rPr>
          <w:rFonts w:hint="eastAsia" w:ascii="仿宋_GB2312" w:eastAsia="仿宋_GB2312"/>
          <w:color w:val="auto"/>
          <w:sz w:val="24"/>
          <w:highlight w:val="none"/>
        </w:rPr>
        <w:t>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w:t>
      </w:r>
      <w:r>
        <w:rPr>
          <w:rFonts w:hint="eastAsia" w:ascii="仿宋_GB2312" w:hAnsi="Times New Roman" w:eastAsia="仿宋_GB2312" w:cs="Times New Roman"/>
          <w:color w:val="auto"/>
          <w:sz w:val="24"/>
          <w:szCs w:val="22"/>
          <w:highlight w:val="none"/>
          <w:lang w:val="en-US" w:eastAsia="zh-CN" w:bidi="ar-SA"/>
        </w:rPr>
        <w:t>签字或盖法定代表人章</w:t>
      </w:r>
      <w:r>
        <w:rPr>
          <w:rFonts w:hint="eastAsia" w:ascii="仿宋_GB2312" w:eastAsia="仿宋_GB2312"/>
          <w:color w:val="auto"/>
          <w:sz w:val="24"/>
          <w:highlight w:val="none"/>
        </w:rPr>
        <w:t>）</w:t>
      </w:r>
    </w:p>
    <w:p w14:paraId="77E73262">
      <w:pPr>
        <w:pStyle w:val="519"/>
        <w:spacing w:line="700" w:lineRule="exact"/>
        <w:ind w:firstLine="989"/>
        <w:jc w:val="righ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日</w:t>
      </w:r>
    </w:p>
    <w:p w14:paraId="7B84C6D8">
      <w:pPr>
        <w:pStyle w:val="597"/>
        <w:spacing w:line="560" w:lineRule="exact"/>
        <w:jc w:val="center"/>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法定代表人授权委托书</w:t>
      </w:r>
    </w:p>
    <w:p w14:paraId="2FCD4661">
      <w:pPr>
        <w:pStyle w:val="597"/>
        <w:spacing w:line="600" w:lineRule="exact"/>
        <w:rPr>
          <w:rFonts w:ascii="方正大标宋简体" w:eastAsia="方正大标宋简体"/>
          <w:color w:val="auto"/>
          <w:sz w:val="32"/>
          <w:highlight w:val="none"/>
        </w:rPr>
      </w:pPr>
    </w:p>
    <w:p w14:paraId="3FEC774A">
      <w:pPr>
        <w:spacing w:line="500" w:lineRule="exact"/>
        <w:rPr>
          <w:rFonts w:hint="eastAsia" w:ascii="仿宋" w:hAnsi="仿宋" w:eastAsia="仿宋" w:cs="仿宋"/>
          <w:color w:val="auto"/>
          <w:kern w:val="2"/>
          <w:sz w:val="24"/>
          <w:szCs w:val="24"/>
          <w:highlight w:val="none"/>
        </w:rPr>
      </w:pPr>
      <w:bookmarkStart w:id="196" w:name="_Toc18616"/>
      <w:bookmarkStart w:id="197" w:name="_Toc12853"/>
      <w:bookmarkStart w:id="198" w:name="_Toc5779"/>
      <w:bookmarkStart w:id="199" w:name="_Toc164203471"/>
      <w:bookmarkStart w:id="200" w:name="_Toc24999"/>
      <w:bookmarkStart w:id="201" w:name="_Toc6146"/>
      <w:r>
        <w:rPr>
          <w:rFonts w:hint="eastAsia" w:ascii="仿宋" w:hAnsi="仿宋" w:eastAsia="仿宋" w:cs="仿宋"/>
          <w:color w:val="auto"/>
          <w:kern w:val="2"/>
          <w:sz w:val="24"/>
          <w:szCs w:val="24"/>
          <w:highlight w:val="none"/>
        </w:rPr>
        <w:t xml:space="preserve">  本授权委托书声明：我</w:t>
      </w:r>
      <w:r>
        <w:rPr>
          <w:rFonts w:hint="eastAsia" w:ascii="仿宋" w:hAnsi="仿宋" w:eastAsia="仿宋" w:cs="仿宋"/>
          <w:color w:val="auto"/>
          <w:kern w:val="2"/>
          <w:sz w:val="24"/>
          <w:szCs w:val="24"/>
          <w:highlight w:val="none"/>
          <w:u w:val="single"/>
        </w:rPr>
        <w:t xml:space="preserve">                 </w:t>
      </w:r>
      <w:r>
        <w:rPr>
          <w:rFonts w:hint="eastAsia" w:ascii="仿宋" w:hAnsi="仿宋" w:eastAsia="仿宋" w:cs="仿宋"/>
          <w:color w:val="auto"/>
          <w:kern w:val="2"/>
          <w:sz w:val="24"/>
          <w:szCs w:val="24"/>
          <w:highlight w:val="none"/>
        </w:rPr>
        <w:t xml:space="preserve">（姓名）系 </w:t>
      </w:r>
      <w:r>
        <w:rPr>
          <w:rFonts w:hint="eastAsia" w:ascii="仿宋" w:hAnsi="仿宋" w:eastAsia="仿宋" w:cs="仿宋"/>
          <w:color w:val="auto"/>
          <w:kern w:val="2"/>
          <w:sz w:val="24"/>
          <w:szCs w:val="24"/>
          <w:highlight w:val="none"/>
          <w:u w:val="single"/>
        </w:rPr>
        <w:t xml:space="preserve">    　　　　</w:t>
      </w:r>
      <w:r>
        <w:rPr>
          <w:rFonts w:hint="eastAsia" w:ascii="仿宋" w:hAnsi="仿宋" w:eastAsia="仿宋" w:cs="仿宋"/>
          <w:color w:val="auto"/>
          <w:kern w:val="2"/>
          <w:sz w:val="24"/>
          <w:szCs w:val="24"/>
          <w:highlight w:val="none"/>
        </w:rPr>
        <w:t xml:space="preserve">（单位名称）的法定代表人，现授权本单位 </w:t>
      </w:r>
      <w:r>
        <w:rPr>
          <w:rFonts w:hint="eastAsia" w:ascii="仿宋" w:hAnsi="仿宋" w:eastAsia="仿宋" w:cs="仿宋"/>
          <w:color w:val="auto"/>
          <w:kern w:val="2"/>
          <w:sz w:val="24"/>
          <w:szCs w:val="24"/>
          <w:highlight w:val="none"/>
          <w:u w:val="single"/>
        </w:rPr>
        <w:t xml:space="preserve">           </w:t>
      </w:r>
      <w:r>
        <w:rPr>
          <w:rFonts w:hint="eastAsia" w:ascii="仿宋" w:hAnsi="仿宋" w:eastAsia="仿宋" w:cs="仿宋"/>
          <w:color w:val="auto"/>
          <w:kern w:val="2"/>
          <w:sz w:val="24"/>
          <w:szCs w:val="24"/>
          <w:highlight w:val="none"/>
        </w:rPr>
        <w:t xml:space="preserve">（投标人代表）为我的合法代理人，以 </w:t>
      </w:r>
      <w:r>
        <w:rPr>
          <w:rFonts w:hint="eastAsia" w:ascii="仿宋" w:hAnsi="仿宋" w:eastAsia="仿宋" w:cs="仿宋"/>
          <w:color w:val="auto"/>
          <w:kern w:val="2"/>
          <w:sz w:val="24"/>
          <w:szCs w:val="24"/>
          <w:highlight w:val="none"/>
          <w:u w:val="single"/>
        </w:rPr>
        <w:t xml:space="preserve">              </w:t>
      </w:r>
      <w:r>
        <w:rPr>
          <w:rFonts w:hint="eastAsia" w:ascii="仿宋" w:hAnsi="仿宋" w:eastAsia="仿宋" w:cs="仿宋"/>
          <w:color w:val="auto"/>
          <w:kern w:val="2"/>
          <w:sz w:val="24"/>
          <w:szCs w:val="24"/>
          <w:highlight w:val="none"/>
        </w:rPr>
        <w:t>（投标单位名称）的名义参加</w:t>
      </w:r>
      <w:r>
        <w:rPr>
          <w:rFonts w:hint="eastAsia" w:ascii="仿宋" w:hAnsi="仿宋" w:eastAsia="仿宋" w:cs="仿宋"/>
          <w:color w:val="auto"/>
          <w:kern w:val="2"/>
          <w:sz w:val="24"/>
          <w:szCs w:val="24"/>
          <w:highlight w:val="none"/>
          <w:u w:val="single"/>
        </w:rPr>
        <w:t xml:space="preserve">           </w:t>
      </w:r>
      <w:r>
        <w:rPr>
          <w:rFonts w:hint="eastAsia" w:ascii="仿宋" w:hAnsi="仿宋" w:eastAsia="仿宋" w:cs="仿宋"/>
          <w:color w:val="auto"/>
          <w:kern w:val="2"/>
          <w:sz w:val="24"/>
          <w:szCs w:val="24"/>
          <w:highlight w:val="none"/>
        </w:rPr>
        <w:t xml:space="preserve"> （采购人名称）的  </w:t>
      </w:r>
      <w:r>
        <w:rPr>
          <w:rFonts w:hint="eastAsia" w:ascii="仿宋" w:hAnsi="仿宋" w:eastAsia="仿宋" w:cs="仿宋"/>
          <w:color w:val="auto"/>
          <w:kern w:val="2"/>
          <w:sz w:val="24"/>
          <w:szCs w:val="24"/>
          <w:highlight w:val="none"/>
          <w:u w:val="single"/>
        </w:rPr>
        <w:t xml:space="preserve">                   </w:t>
      </w:r>
      <w:r>
        <w:rPr>
          <w:rFonts w:hint="eastAsia" w:ascii="仿宋" w:hAnsi="仿宋" w:eastAsia="仿宋" w:cs="仿宋"/>
          <w:color w:val="auto"/>
          <w:kern w:val="2"/>
          <w:sz w:val="24"/>
          <w:szCs w:val="24"/>
          <w:highlight w:val="none"/>
        </w:rPr>
        <w:t xml:space="preserve"> （项目名称）的投标。代理人签署的一切文件和处理与之有关的一切事务，我均予以承认。本授权书的有效期自投标开始至合同履行完毕止。</w:t>
      </w:r>
    </w:p>
    <w:p w14:paraId="6DA92966">
      <w:pPr>
        <w:spacing w:line="500" w:lineRule="exac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 xml:space="preserve">     代理人无权转委托，特此委托。</w:t>
      </w:r>
    </w:p>
    <w:p w14:paraId="0DA60DE4">
      <w:pPr>
        <w:spacing w:line="500" w:lineRule="exact"/>
        <w:rPr>
          <w:rFonts w:hint="eastAsia" w:ascii="仿宋" w:hAnsi="仿宋" w:eastAsia="仿宋" w:cs="仿宋"/>
          <w:color w:val="auto"/>
          <w:kern w:val="2"/>
          <w:sz w:val="24"/>
          <w:szCs w:val="24"/>
          <w:highlight w:val="none"/>
        </w:rPr>
      </w:pPr>
    </w:p>
    <w:p w14:paraId="366FA398">
      <w:pPr>
        <w:spacing w:line="500" w:lineRule="exact"/>
        <w:jc w:val="left"/>
        <w:rPr>
          <w:rFonts w:hint="eastAsia" w:ascii="仿宋" w:hAnsi="仿宋" w:eastAsia="仿宋" w:cs="仿宋"/>
          <w:color w:val="auto"/>
          <w:kern w:val="2"/>
          <w:sz w:val="24"/>
          <w:szCs w:val="24"/>
          <w:highlight w:val="none"/>
        </w:rPr>
      </w:pPr>
    </w:p>
    <w:p w14:paraId="379C76FB">
      <w:pPr>
        <w:pStyle w:val="628"/>
        <w:spacing w:line="700" w:lineRule="exact"/>
        <w:ind w:firstLine="445"/>
        <w:jc w:val="center"/>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（加盖CA电子公章）</w:t>
      </w:r>
    </w:p>
    <w:p w14:paraId="77812D95">
      <w:pPr>
        <w:spacing w:line="500" w:lineRule="exact"/>
        <w:jc w:val="center"/>
        <w:rPr>
          <w:rFonts w:hint="eastAsia" w:ascii="仿宋" w:hAnsi="仿宋" w:eastAsia="仿宋" w:cs="仿宋"/>
          <w:color w:val="auto"/>
          <w:kern w:val="2"/>
          <w:sz w:val="24"/>
          <w:szCs w:val="24"/>
          <w:highlight w:val="none"/>
        </w:rPr>
      </w:pPr>
    </w:p>
    <w:p w14:paraId="6AEA6EB6">
      <w:pPr>
        <w:pStyle w:val="597"/>
        <w:spacing w:line="560" w:lineRule="exact"/>
        <w:ind w:firstLine="425"/>
        <w:jc w:val="righ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w:t>
      </w:r>
      <w:r>
        <w:rPr>
          <w:rFonts w:hint="eastAsia" w:ascii="仿宋_GB2312" w:hAnsi="Times New Roman" w:eastAsia="仿宋_GB2312" w:cs="Times New Roman"/>
          <w:color w:val="auto"/>
          <w:sz w:val="24"/>
          <w:szCs w:val="22"/>
          <w:highlight w:val="none"/>
          <w:lang w:val="en-US" w:eastAsia="zh-CN" w:bidi="ar-SA"/>
        </w:rPr>
        <w:t>签字或盖法定代表人章</w:t>
      </w:r>
      <w:r>
        <w:rPr>
          <w:rFonts w:hint="eastAsia" w:ascii="仿宋_GB2312" w:eastAsia="仿宋_GB2312"/>
          <w:color w:val="auto"/>
          <w:sz w:val="24"/>
          <w:highlight w:val="none"/>
        </w:rPr>
        <w:t>）</w:t>
      </w:r>
    </w:p>
    <w:p w14:paraId="46C5103D">
      <w:pPr>
        <w:spacing w:line="500" w:lineRule="exact"/>
        <w:jc w:val="right"/>
        <w:rPr>
          <w:rFonts w:hint="eastAsia" w:ascii="仿宋" w:hAnsi="仿宋" w:eastAsia="仿宋" w:cs="仿宋"/>
          <w:color w:val="auto"/>
          <w:kern w:val="2"/>
          <w:sz w:val="24"/>
          <w:szCs w:val="24"/>
          <w:highlight w:val="none"/>
          <w:u w:val="single"/>
        </w:rPr>
      </w:pPr>
    </w:p>
    <w:p w14:paraId="2A9596C4">
      <w:pPr>
        <w:spacing w:line="500" w:lineRule="exact"/>
        <w:jc w:val="center"/>
        <w:rPr>
          <w:rFonts w:hint="eastAsia" w:ascii="仿宋" w:hAnsi="仿宋" w:eastAsia="仿宋" w:cs="仿宋"/>
          <w:bCs/>
          <w:color w:val="auto"/>
          <w:kern w:val="2"/>
          <w:sz w:val="24"/>
          <w:szCs w:val="24"/>
          <w:highlight w:val="none"/>
        </w:rPr>
      </w:pPr>
      <w:r>
        <w:rPr>
          <w:rFonts w:hint="eastAsia" w:ascii="仿宋" w:hAnsi="仿宋" w:eastAsia="仿宋" w:cs="仿宋"/>
          <w:color w:val="auto"/>
          <w:kern w:val="2"/>
          <w:sz w:val="24"/>
          <w:szCs w:val="24"/>
          <w:highlight w:val="none"/>
          <w:lang w:val="en-US" w:eastAsia="zh-CN"/>
        </w:rPr>
        <w:t xml:space="preserve">         </w:t>
      </w:r>
      <w:r>
        <w:rPr>
          <w:rFonts w:hint="eastAsia" w:ascii="仿宋" w:hAnsi="仿宋" w:eastAsia="仿宋" w:cs="仿宋"/>
          <w:color w:val="auto"/>
          <w:kern w:val="2"/>
          <w:sz w:val="24"/>
          <w:szCs w:val="24"/>
          <w:highlight w:val="none"/>
        </w:rPr>
        <w:t>投标人代表（签字）：</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14:paraId="47C59865">
      <w:pPr>
        <w:spacing w:line="500" w:lineRule="exact"/>
        <w:ind w:left="1275" w:firstLine="1795"/>
        <w:jc w:val="right"/>
        <w:rPr>
          <w:rFonts w:hint="eastAsia" w:ascii="仿宋" w:hAnsi="仿宋" w:eastAsia="仿宋" w:cs="仿宋"/>
          <w:color w:val="auto"/>
          <w:kern w:val="2"/>
          <w:sz w:val="24"/>
          <w:szCs w:val="24"/>
          <w:highlight w:val="none"/>
        </w:rPr>
      </w:pPr>
    </w:p>
    <w:p w14:paraId="02744791">
      <w:pPr>
        <w:spacing w:line="500" w:lineRule="exact"/>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val="en-US" w:eastAsia="zh-CN"/>
        </w:rPr>
        <w:t xml:space="preserve">            </w:t>
      </w:r>
      <w:r>
        <w:rPr>
          <w:rFonts w:hint="eastAsia" w:ascii="仿宋" w:hAnsi="仿宋" w:eastAsia="仿宋" w:cs="仿宋"/>
          <w:color w:val="auto"/>
          <w:kern w:val="2"/>
          <w:sz w:val="24"/>
          <w:szCs w:val="24"/>
          <w:highlight w:val="none"/>
        </w:rPr>
        <w:t>日期：     年   月   日</w:t>
      </w:r>
    </w:p>
    <w:p w14:paraId="41EA363B">
      <w:pPr>
        <w:spacing w:line="500" w:lineRule="exact"/>
        <w:jc w:val="left"/>
        <w:rPr>
          <w:rFonts w:hint="eastAsia" w:ascii="仿宋" w:hAnsi="仿宋" w:eastAsia="仿宋" w:cs="仿宋"/>
          <w:color w:val="auto"/>
          <w:kern w:val="2"/>
          <w:sz w:val="24"/>
          <w:szCs w:val="24"/>
          <w:highlight w:val="none"/>
        </w:rPr>
      </w:pPr>
    </w:p>
    <w:p w14:paraId="512F43E3">
      <w:pPr>
        <w:spacing w:line="500" w:lineRule="exact"/>
        <w:rPr>
          <w:rFonts w:hint="eastAsia" w:ascii="仿宋" w:hAnsi="仿宋" w:eastAsia="仿宋" w:cs="仿宋"/>
          <w:color w:val="auto"/>
          <w:kern w:val="2"/>
          <w:sz w:val="24"/>
          <w:szCs w:val="24"/>
          <w:highlight w:val="none"/>
        </w:rPr>
      </w:pPr>
    </w:p>
    <w:p w14:paraId="1D4C2CC4">
      <w:pPr>
        <w:spacing w:line="500" w:lineRule="exact"/>
        <w:outlineLvl w:val="9"/>
        <w:rPr>
          <w:rFonts w:hint="eastAsia" w:ascii="仿宋" w:hAnsi="仿宋" w:eastAsia="仿宋" w:cs="仿宋"/>
          <w:color w:val="auto"/>
          <w:kern w:val="2"/>
          <w:sz w:val="24"/>
          <w:szCs w:val="24"/>
          <w:highlight w:val="none"/>
        </w:rPr>
      </w:pPr>
      <w:bookmarkStart w:id="202" w:name="_Toc22223"/>
      <w:r>
        <w:rPr>
          <w:rFonts w:hint="eastAsia" w:ascii="仿宋" w:hAnsi="仿宋" w:eastAsia="仿宋" w:cs="仿宋"/>
          <w:color w:val="auto"/>
          <w:kern w:val="2"/>
          <w:sz w:val="24"/>
          <w:szCs w:val="24"/>
          <w:highlight w:val="none"/>
        </w:rPr>
        <w:t>注：</w:t>
      </w:r>
      <w:bookmarkEnd w:id="202"/>
    </w:p>
    <w:p w14:paraId="0E5E11C1">
      <w:pPr>
        <w:spacing w:line="360" w:lineRule="auto"/>
        <w:outlineLvl w:val="9"/>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1、需同时提供法定代表人和被授权人身份证复印件，如法定代表人签署文件则无需出具授权书，仅需提供法定代表人身份证复印件；</w:t>
      </w:r>
    </w:p>
    <w:p w14:paraId="49DBD595">
      <w:pPr>
        <w:spacing w:line="500" w:lineRule="exact"/>
        <w:rPr>
          <w:rFonts w:hint="eastAsia" w:ascii="仿宋" w:hAnsi="仿宋" w:eastAsia="仿宋" w:cs="仿宋"/>
          <w:bCs/>
          <w:color w:val="auto"/>
          <w:kern w:val="2"/>
          <w:sz w:val="24"/>
          <w:szCs w:val="24"/>
          <w:highlight w:val="none"/>
        </w:rPr>
      </w:pPr>
      <w:r>
        <w:rPr>
          <w:rFonts w:hint="eastAsia" w:ascii="仿宋" w:hAnsi="仿宋" w:eastAsia="仿宋" w:cs="仿宋"/>
          <w:bCs/>
          <w:color w:val="auto"/>
          <w:kern w:val="2"/>
          <w:sz w:val="24"/>
          <w:szCs w:val="24"/>
          <w:highlight w:val="none"/>
        </w:rPr>
        <w:t>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p>
    <w:p w14:paraId="3EC6A182">
      <w:pPr>
        <w:pStyle w:val="505"/>
        <w:jc w:val="both"/>
        <w:outlineLvl w:val="9"/>
        <w:rPr>
          <w:rFonts w:hint="eastAsia" w:ascii="仿宋" w:hAnsi="仿宋" w:eastAsia="仿宋" w:cs="仿宋"/>
          <w:color w:val="auto"/>
          <w:sz w:val="24"/>
          <w:szCs w:val="24"/>
          <w:highlight w:val="none"/>
        </w:rPr>
      </w:pPr>
    </w:p>
    <w:p w14:paraId="1D275D15">
      <w:pPr>
        <w:pStyle w:val="505"/>
        <w:jc w:val="both"/>
        <w:outlineLvl w:val="1"/>
        <w:rPr>
          <w:rFonts w:hint="eastAsia"/>
          <w:color w:val="auto"/>
          <w:highlight w:val="none"/>
        </w:rPr>
      </w:pPr>
      <w:r>
        <w:rPr>
          <w:rFonts w:hint="eastAsia"/>
          <w:color w:val="auto"/>
          <w:highlight w:val="none"/>
        </w:rPr>
        <w:t>十</w:t>
      </w:r>
      <w:r>
        <w:rPr>
          <w:color w:val="auto"/>
          <w:highlight w:val="none"/>
        </w:rPr>
        <w:t>、开标一览表</w:t>
      </w:r>
      <w:bookmarkEnd w:id="196"/>
      <w:bookmarkEnd w:id="197"/>
      <w:bookmarkEnd w:id="198"/>
      <w:bookmarkEnd w:id="199"/>
      <w:bookmarkEnd w:id="200"/>
      <w:bookmarkEnd w:id="201"/>
    </w:p>
    <w:p w14:paraId="0A2AB25E">
      <w:pPr>
        <w:pStyle w:val="361"/>
        <w:spacing w:line="360" w:lineRule="auto"/>
        <w:rPr>
          <w:rFonts w:ascii="仿宋_GB2312" w:eastAsia="仿宋_GB2312"/>
          <w:color w:val="auto"/>
          <w:szCs w:val="20"/>
          <w:highlight w:val="none"/>
        </w:rPr>
      </w:pPr>
      <w:r>
        <w:rPr>
          <w:rFonts w:hint="eastAsia" w:ascii="仿宋_GB2312" w:eastAsia="仿宋_GB2312"/>
          <w:color w:val="auto"/>
          <w:szCs w:val="20"/>
          <w:highlight w:val="none"/>
        </w:rPr>
        <w:t>项目编号：</w:t>
      </w:r>
    </w:p>
    <w:p w14:paraId="23097B6B">
      <w:pPr>
        <w:pStyle w:val="361"/>
        <w:spacing w:line="360" w:lineRule="auto"/>
        <w:rPr>
          <w:rFonts w:ascii="仿宋_GB2312" w:eastAsia="仿宋_GB2312"/>
          <w:color w:val="auto"/>
          <w:szCs w:val="20"/>
          <w:highlight w:val="none"/>
        </w:rPr>
      </w:pPr>
      <w:r>
        <w:rPr>
          <w:rFonts w:hint="eastAsia" w:ascii="仿宋_GB2312" w:eastAsia="仿宋_GB2312"/>
          <w:color w:val="auto"/>
          <w:szCs w:val="20"/>
          <w:highlight w:val="none"/>
        </w:rPr>
        <w:t>项目名称：</w:t>
      </w:r>
    </w:p>
    <w:tbl>
      <w:tblPr>
        <w:tblStyle w:val="34"/>
        <w:tblW w:w="8206" w:type="dxa"/>
        <w:tblCellSpacing w:w="0" w:type="dxa"/>
        <w:tblInd w:w="0" w:type="dxa"/>
        <w:tblLayout w:type="fixed"/>
        <w:tblCellMar>
          <w:top w:w="0" w:type="dxa"/>
          <w:left w:w="108" w:type="dxa"/>
          <w:bottom w:w="0" w:type="dxa"/>
          <w:right w:w="108" w:type="dxa"/>
        </w:tblCellMar>
      </w:tblPr>
      <w:tblGrid>
        <w:gridCol w:w="8206"/>
      </w:tblGrid>
      <w:tr w14:paraId="03987A22">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3DD08559">
            <w:pPr>
              <w:pStyle w:val="268"/>
              <w:jc w:val="both"/>
              <w:rPr>
                <w:rFonts w:hint="default" w:eastAsia="宋体"/>
                <w:color w:val="auto"/>
                <w:highlight w:val="none"/>
                <w:lang w:val="en-US" w:eastAsia="zh-CN"/>
              </w:rPr>
            </w:pPr>
            <w:r>
              <w:rPr>
                <w:rFonts w:hint="eastAsia"/>
                <w:color w:val="auto"/>
                <w:highlight w:val="none"/>
              </w:rPr>
              <w:t>投标报价</w:t>
            </w:r>
            <w:r>
              <w:rPr>
                <w:rFonts w:hint="eastAsia"/>
                <w:color w:val="auto"/>
                <w:highlight w:val="none"/>
                <w:lang w:val="en-US" w:eastAsia="zh-CN"/>
              </w:rPr>
              <w:t>：</w:t>
            </w:r>
          </w:p>
        </w:tc>
      </w:tr>
      <w:tr w14:paraId="7DE892B2">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0B9212D1">
            <w:pPr>
              <w:pStyle w:val="268"/>
              <w:spacing w:line="0" w:lineRule="atLeast"/>
              <w:jc w:val="both"/>
              <w:rPr>
                <w:color w:val="auto"/>
                <w:highlight w:val="none"/>
              </w:rPr>
            </w:pPr>
            <w:r>
              <w:rPr>
                <w:rFonts w:hint="eastAsia"/>
                <w:color w:val="auto"/>
                <w:highlight w:val="none"/>
              </w:rPr>
              <w:t>小写：                 （人民币：元）</w:t>
            </w:r>
          </w:p>
        </w:tc>
      </w:tr>
    </w:tbl>
    <w:p w14:paraId="5E50AE66">
      <w:pPr>
        <w:pStyle w:val="361"/>
        <w:spacing w:line="360" w:lineRule="auto"/>
        <w:rPr>
          <w:color w:val="auto"/>
          <w:highlight w:val="none"/>
        </w:rPr>
      </w:pPr>
    </w:p>
    <w:p w14:paraId="583F6315">
      <w:pPr>
        <w:pStyle w:val="361"/>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p>
    <w:p w14:paraId="12C90947">
      <w:pPr>
        <w:pStyle w:val="365"/>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14:paraId="4575AACE">
      <w:pPr>
        <w:pStyle w:val="365"/>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法定代表人（或授权代表）：（签字</w:t>
      </w:r>
      <w:r>
        <w:rPr>
          <w:rFonts w:hint="eastAsia" w:ascii="仿宋_GB2312" w:eastAsia="仿宋_GB2312"/>
          <w:color w:val="auto"/>
          <w:sz w:val="24"/>
          <w:highlight w:val="none"/>
          <w:lang w:val="en-US" w:eastAsia="zh-CN"/>
        </w:rPr>
        <w:t>或盖章</w:t>
      </w:r>
      <w:r>
        <w:rPr>
          <w:rFonts w:hint="eastAsia" w:ascii="仿宋_GB2312" w:eastAsia="仿宋_GB2312"/>
          <w:color w:val="auto"/>
          <w:sz w:val="24"/>
          <w:highlight w:val="none"/>
        </w:rPr>
        <w:t>）</w:t>
      </w:r>
      <w:r>
        <w:rPr>
          <w:rFonts w:hint="eastAsia" w:ascii="仿宋_GB2312" w:eastAsia="仿宋_GB2312"/>
          <w:color w:val="auto"/>
          <w:sz w:val="24"/>
          <w:highlight w:val="none"/>
          <w:u w:val="single"/>
        </w:rPr>
        <w:t xml:space="preserve">              </w:t>
      </w:r>
    </w:p>
    <w:p w14:paraId="35626ED7">
      <w:pPr>
        <w:widowControl/>
        <w:jc w:val="left"/>
        <w:rPr>
          <w:rFonts w:hint="eastAsia" w:ascii="黑体" w:hAnsi="黑体" w:eastAsia="黑体"/>
          <w:b/>
          <w:color w:val="auto"/>
          <w:sz w:val="32"/>
          <w:szCs w:val="24"/>
          <w:highlight w:val="none"/>
        </w:rPr>
      </w:pPr>
      <w:bookmarkStart w:id="203" w:name="_Toc164203472"/>
      <w:bookmarkStart w:id="204" w:name="_Toc31564"/>
      <w:bookmarkStart w:id="205" w:name="_Toc24436"/>
      <w:bookmarkStart w:id="206" w:name="_Toc8851"/>
      <w:bookmarkStart w:id="207" w:name="_Toc4471"/>
      <w:r>
        <w:rPr>
          <w:rFonts w:hint="eastAsia"/>
          <w:color w:val="auto"/>
          <w:highlight w:val="none"/>
        </w:rPr>
        <w:br w:type="page" w:clear="all"/>
      </w:r>
    </w:p>
    <w:p w14:paraId="1C42F849">
      <w:pPr>
        <w:pStyle w:val="526"/>
        <w:outlineLvl w:val="1"/>
        <w:rPr>
          <w:rFonts w:hint="eastAsia"/>
          <w:color w:val="auto"/>
          <w:highlight w:val="none"/>
        </w:rPr>
      </w:pPr>
      <w:bookmarkStart w:id="208" w:name="_Toc7189"/>
      <w:r>
        <w:rPr>
          <w:color w:val="auto"/>
          <w:highlight w:val="none"/>
        </w:rPr>
        <w:t>十</w:t>
      </w:r>
      <w:r>
        <w:rPr>
          <w:rFonts w:hint="eastAsia"/>
          <w:color w:val="auto"/>
          <w:highlight w:val="none"/>
        </w:rPr>
        <w:t>一</w:t>
      </w:r>
      <w:r>
        <w:rPr>
          <w:color w:val="auto"/>
          <w:highlight w:val="none"/>
        </w:rPr>
        <w:t>、明细报价表</w:t>
      </w:r>
      <w:bookmarkEnd w:id="203"/>
      <w:bookmarkEnd w:id="204"/>
      <w:bookmarkEnd w:id="205"/>
      <w:bookmarkEnd w:id="206"/>
      <w:bookmarkEnd w:id="207"/>
      <w:bookmarkEnd w:id="208"/>
    </w:p>
    <w:tbl>
      <w:tblPr>
        <w:tblStyle w:val="34"/>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6"/>
        <w:gridCol w:w="1793"/>
        <w:gridCol w:w="2200"/>
        <w:gridCol w:w="1103"/>
        <w:gridCol w:w="1949"/>
        <w:gridCol w:w="2023"/>
      </w:tblGrid>
      <w:tr w14:paraId="60D5BF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2" w:hRule="atLeast"/>
          <w:jc w:val="center"/>
        </w:trPr>
        <w:tc>
          <w:tcPr>
            <w:tcW w:w="656" w:type="dxa"/>
            <w:vAlign w:val="center"/>
          </w:tcPr>
          <w:p w14:paraId="503BDB9D">
            <w:pPr>
              <w:pStyle w:val="371"/>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序号</w:t>
            </w:r>
          </w:p>
        </w:tc>
        <w:tc>
          <w:tcPr>
            <w:tcW w:w="1793" w:type="dxa"/>
            <w:vAlign w:val="center"/>
          </w:tcPr>
          <w:p w14:paraId="236500BC">
            <w:pPr>
              <w:pStyle w:val="371"/>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货物名称</w:t>
            </w:r>
          </w:p>
        </w:tc>
        <w:tc>
          <w:tcPr>
            <w:tcW w:w="2200" w:type="dxa"/>
            <w:vAlign w:val="center"/>
          </w:tcPr>
          <w:p w14:paraId="74D9F8F2">
            <w:pPr>
              <w:pStyle w:val="371"/>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品牌.型号.产地</w:t>
            </w:r>
          </w:p>
        </w:tc>
        <w:tc>
          <w:tcPr>
            <w:tcW w:w="1103" w:type="dxa"/>
            <w:vAlign w:val="center"/>
          </w:tcPr>
          <w:p w14:paraId="69305525">
            <w:pPr>
              <w:pStyle w:val="371"/>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单价</w:t>
            </w:r>
          </w:p>
          <w:p w14:paraId="7E3F68BE">
            <w:pPr>
              <w:pStyle w:val="371"/>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（元）</w:t>
            </w:r>
          </w:p>
        </w:tc>
        <w:tc>
          <w:tcPr>
            <w:tcW w:w="1949" w:type="dxa"/>
            <w:vAlign w:val="center"/>
          </w:tcPr>
          <w:p w14:paraId="61A24E56">
            <w:pPr>
              <w:pStyle w:val="371"/>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数量</w:t>
            </w:r>
          </w:p>
        </w:tc>
        <w:tc>
          <w:tcPr>
            <w:tcW w:w="2023" w:type="dxa"/>
            <w:vAlign w:val="center"/>
          </w:tcPr>
          <w:p w14:paraId="19D37900">
            <w:pPr>
              <w:pStyle w:val="371"/>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备注</w:t>
            </w:r>
          </w:p>
        </w:tc>
      </w:tr>
      <w:tr w14:paraId="237406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57" w:hRule="atLeast"/>
          <w:jc w:val="center"/>
        </w:trPr>
        <w:tc>
          <w:tcPr>
            <w:tcW w:w="656" w:type="dxa"/>
          </w:tcPr>
          <w:p w14:paraId="03113AF1">
            <w:pPr>
              <w:pStyle w:val="371"/>
              <w:widowControl/>
              <w:spacing w:line="560" w:lineRule="exact"/>
              <w:rPr>
                <w:rFonts w:ascii="仿宋_GB2312" w:eastAsia="仿宋_GB2312"/>
                <w:color w:val="auto"/>
                <w:sz w:val="28"/>
                <w:szCs w:val="28"/>
                <w:highlight w:val="none"/>
              </w:rPr>
            </w:pPr>
          </w:p>
        </w:tc>
        <w:tc>
          <w:tcPr>
            <w:tcW w:w="1793" w:type="dxa"/>
          </w:tcPr>
          <w:p w14:paraId="470ED1A5">
            <w:pPr>
              <w:pStyle w:val="371"/>
              <w:widowControl/>
              <w:spacing w:line="560" w:lineRule="exact"/>
              <w:jc w:val="center"/>
              <w:rPr>
                <w:rFonts w:ascii="仿宋_GB2312" w:eastAsia="仿宋_GB2312"/>
                <w:color w:val="auto"/>
                <w:sz w:val="24"/>
                <w:highlight w:val="none"/>
              </w:rPr>
            </w:pPr>
          </w:p>
        </w:tc>
        <w:tc>
          <w:tcPr>
            <w:tcW w:w="2200" w:type="dxa"/>
          </w:tcPr>
          <w:p w14:paraId="1E8D7339">
            <w:pPr>
              <w:pStyle w:val="371"/>
              <w:widowControl/>
              <w:spacing w:line="560" w:lineRule="exact"/>
              <w:jc w:val="center"/>
              <w:rPr>
                <w:rFonts w:ascii="仿宋_GB2312" w:eastAsia="仿宋_GB2312"/>
                <w:color w:val="auto"/>
                <w:sz w:val="24"/>
                <w:highlight w:val="none"/>
              </w:rPr>
            </w:pPr>
          </w:p>
        </w:tc>
        <w:tc>
          <w:tcPr>
            <w:tcW w:w="1103" w:type="dxa"/>
            <w:vAlign w:val="center"/>
          </w:tcPr>
          <w:p w14:paraId="338A18BD">
            <w:pPr>
              <w:pStyle w:val="371"/>
              <w:spacing w:line="560" w:lineRule="exact"/>
              <w:jc w:val="center"/>
              <w:rPr>
                <w:rFonts w:ascii="仿宋_GB2312" w:eastAsia="仿宋_GB2312"/>
                <w:color w:val="auto"/>
                <w:sz w:val="24"/>
                <w:highlight w:val="none"/>
              </w:rPr>
            </w:pPr>
          </w:p>
        </w:tc>
        <w:tc>
          <w:tcPr>
            <w:tcW w:w="1949" w:type="dxa"/>
          </w:tcPr>
          <w:p w14:paraId="53E3EBFE">
            <w:pPr>
              <w:pStyle w:val="371"/>
              <w:widowControl/>
              <w:spacing w:line="560" w:lineRule="exact"/>
              <w:jc w:val="center"/>
              <w:rPr>
                <w:rFonts w:ascii="仿宋_GB2312" w:eastAsia="仿宋_GB2312"/>
                <w:color w:val="auto"/>
                <w:sz w:val="24"/>
                <w:highlight w:val="none"/>
              </w:rPr>
            </w:pPr>
          </w:p>
        </w:tc>
        <w:tc>
          <w:tcPr>
            <w:tcW w:w="2023" w:type="dxa"/>
            <w:vAlign w:val="center"/>
          </w:tcPr>
          <w:p w14:paraId="0276D272">
            <w:pPr>
              <w:pStyle w:val="371"/>
              <w:spacing w:line="560" w:lineRule="exact"/>
              <w:jc w:val="center"/>
              <w:rPr>
                <w:rFonts w:ascii="仿宋_GB2312" w:eastAsia="仿宋_GB2312"/>
                <w:color w:val="auto"/>
                <w:sz w:val="24"/>
                <w:highlight w:val="none"/>
              </w:rPr>
            </w:pPr>
          </w:p>
        </w:tc>
      </w:tr>
      <w:tr w14:paraId="0C878D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656" w:type="dxa"/>
          </w:tcPr>
          <w:p w14:paraId="35257C1A">
            <w:pPr>
              <w:pStyle w:val="371"/>
              <w:widowControl/>
              <w:spacing w:line="560" w:lineRule="exact"/>
              <w:rPr>
                <w:rFonts w:ascii="仿宋_GB2312" w:eastAsia="仿宋_GB2312"/>
                <w:color w:val="auto"/>
                <w:sz w:val="28"/>
                <w:szCs w:val="28"/>
                <w:highlight w:val="none"/>
              </w:rPr>
            </w:pPr>
          </w:p>
        </w:tc>
        <w:tc>
          <w:tcPr>
            <w:tcW w:w="1793" w:type="dxa"/>
          </w:tcPr>
          <w:p w14:paraId="7A16B926">
            <w:pPr>
              <w:pStyle w:val="371"/>
              <w:widowControl/>
              <w:spacing w:line="560" w:lineRule="exact"/>
              <w:jc w:val="center"/>
              <w:rPr>
                <w:rFonts w:ascii="仿宋_GB2312" w:eastAsia="仿宋_GB2312"/>
                <w:color w:val="auto"/>
                <w:sz w:val="24"/>
                <w:highlight w:val="none"/>
              </w:rPr>
            </w:pPr>
          </w:p>
        </w:tc>
        <w:tc>
          <w:tcPr>
            <w:tcW w:w="2200" w:type="dxa"/>
          </w:tcPr>
          <w:p w14:paraId="54C9E07D">
            <w:pPr>
              <w:pStyle w:val="371"/>
              <w:widowControl/>
              <w:spacing w:line="560" w:lineRule="exact"/>
              <w:jc w:val="center"/>
              <w:rPr>
                <w:rFonts w:ascii="仿宋_GB2312" w:eastAsia="仿宋_GB2312"/>
                <w:color w:val="auto"/>
                <w:sz w:val="24"/>
                <w:highlight w:val="none"/>
              </w:rPr>
            </w:pPr>
          </w:p>
        </w:tc>
        <w:tc>
          <w:tcPr>
            <w:tcW w:w="1103" w:type="dxa"/>
            <w:vAlign w:val="center"/>
          </w:tcPr>
          <w:p w14:paraId="5FB5F4A6">
            <w:pPr>
              <w:pStyle w:val="371"/>
              <w:spacing w:line="560" w:lineRule="exact"/>
              <w:jc w:val="center"/>
              <w:rPr>
                <w:rFonts w:ascii="仿宋_GB2312" w:eastAsia="仿宋_GB2312"/>
                <w:color w:val="auto"/>
                <w:sz w:val="24"/>
                <w:highlight w:val="none"/>
              </w:rPr>
            </w:pPr>
          </w:p>
        </w:tc>
        <w:tc>
          <w:tcPr>
            <w:tcW w:w="1949" w:type="dxa"/>
          </w:tcPr>
          <w:p w14:paraId="62776AF4">
            <w:pPr>
              <w:pStyle w:val="371"/>
              <w:widowControl/>
              <w:spacing w:line="560" w:lineRule="exact"/>
              <w:jc w:val="center"/>
              <w:rPr>
                <w:rFonts w:ascii="仿宋_GB2312" w:eastAsia="仿宋_GB2312"/>
                <w:color w:val="auto"/>
                <w:sz w:val="24"/>
                <w:highlight w:val="none"/>
              </w:rPr>
            </w:pPr>
          </w:p>
        </w:tc>
        <w:tc>
          <w:tcPr>
            <w:tcW w:w="2023" w:type="dxa"/>
            <w:vAlign w:val="center"/>
          </w:tcPr>
          <w:p w14:paraId="65B2843A">
            <w:pPr>
              <w:pStyle w:val="371"/>
              <w:spacing w:line="560" w:lineRule="exact"/>
              <w:jc w:val="center"/>
              <w:rPr>
                <w:rFonts w:ascii="仿宋_GB2312" w:eastAsia="仿宋_GB2312"/>
                <w:color w:val="auto"/>
                <w:sz w:val="24"/>
                <w:highlight w:val="none"/>
              </w:rPr>
            </w:pPr>
          </w:p>
        </w:tc>
      </w:tr>
      <w:tr w14:paraId="5C8FEE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656" w:type="dxa"/>
          </w:tcPr>
          <w:p w14:paraId="4738EA01">
            <w:pPr>
              <w:pStyle w:val="371"/>
              <w:widowControl/>
              <w:spacing w:line="560" w:lineRule="exact"/>
              <w:rPr>
                <w:rFonts w:ascii="仿宋_GB2312" w:eastAsia="仿宋_GB2312"/>
                <w:color w:val="auto"/>
                <w:sz w:val="28"/>
                <w:szCs w:val="28"/>
                <w:highlight w:val="none"/>
              </w:rPr>
            </w:pPr>
          </w:p>
        </w:tc>
        <w:tc>
          <w:tcPr>
            <w:tcW w:w="1793" w:type="dxa"/>
          </w:tcPr>
          <w:p w14:paraId="6D75FA42">
            <w:pPr>
              <w:pStyle w:val="371"/>
              <w:widowControl/>
              <w:spacing w:line="560" w:lineRule="exact"/>
              <w:jc w:val="center"/>
              <w:rPr>
                <w:rFonts w:ascii="仿宋_GB2312" w:eastAsia="仿宋_GB2312"/>
                <w:color w:val="auto"/>
                <w:sz w:val="24"/>
                <w:highlight w:val="none"/>
              </w:rPr>
            </w:pPr>
          </w:p>
        </w:tc>
        <w:tc>
          <w:tcPr>
            <w:tcW w:w="2200" w:type="dxa"/>
          </w:tcPr>
          <w:p w14:paraId="620EA445">
            <w:pPr>
              <w:pStyle w:val="371"/>
              <w:widowControl/>
              <w:spacing w:line="560" w:lineRule="exact"/>
              <w:jc w:val="center"/>
              <w:rPr>
                <w:rFonts w:ascii="仿宋_GB2312" w:eastAsia="仿宋_GB2312"/>
                <w:color w:val="auto"/>
                <w:sz w:val="24"/>
                <w:highlight w:val="none"/>
              </w:rPr>
            </w:pPr>
          </w:p>
        </w:tc>
        <w:tc>
          <w:tcPr>
            <w:tcW w:w="1103" w:type="dxa"/>
            <w:vAlign w:val="center"/>
          </w:tcPr>
          <w:p w14:paraId="66C0D34A">
            <w:pPr>
              <w:pStyle w:val="371"/>
              <w:spacing w:line="560" w:lineRule="exact"/>
              <w:jc w:val="center"/>
              <w:rPr>
                <w:rFonts w:ascii="仿宋_GB2312" w:eastAsia="仿宋_GB2312"/>
                <w:color w:val="auto"/>
                <w:sz w:val="24"/>
                <w:highlight w:val="none"/>
              </w:rPr>
            </w:pPr>
          </w:p>
        </w:tc>
        <w:tc>
          <w:tcPr>
            <w:tcW w:w="1949" w:type="dxa"/>
          </w:tcPr>
          <w:p w14:paraId="0E76B120">
            <w:pPr>
              <w:pStyle w:val="371"/>
              <w:widowControl/>
              <w:spacing w:line="560" w:lineRule="exact"/>
              <w:jc w:val="center"/>
              <w:rPr>
                <w:rFonts w:ascii="仿宋_GB2312" w:eastAsia="仿宋_GB2312"/>
                <w:color w:val="auto"/>
                <w:sz w:val="24"/>
                <w:highlight w:val="none"/>
              </w:rPr>
            </w:pPr>
          </w:p>
        </w:tc>
        <w:tc>
          <w:tcPr>
            <w:tcW w:w="2023" w:type="dxa"/>
            <w:vAlign w:val="center"/>
          </w:tcPr>
          <w:p w14:paraId="163A7B11">
            <w:pPr>
              <w:pStyle w:val="371"/>
              <w:spacing w:line="560" w:lineRule="exact"/>
              <w:jc w:val="center"/>
              <w:rPr>
                <w:rFonts w:ascii="仿宋_GB2312" w:eastAsia="仿宋_GB2312"/>
                <w:color w:val="auto"/>
                <w:sz w:val="24"/>
                <w:highlight w:val="none"/>
              </w:rPr>
            </w:pPr>
          </w:p>
        </w:tc>
      </w:tr>
      <w:tr w14:paraId="28723A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656" w:type="dxa"/>
          </w:tcPr>
          <w:p w14:paraId="18CECDD3">
            <w:pPr>
              <w:pStyle w:val="371"/>
              <w:widowControl/>
              <w:spacing w:line="560" w:lineRule="exact"/>
              <w:rPr>
                <w:rFonts w:ascii="仿宋_GB2312" w:eastAsia="仿宋_GB2312"/>
                <w:color w:val="auto"/>
                <w:sz w:val="28"/>
                <w:szCs w:val="28"/>
                <w:highlight w:val="none"/>
              </w:rPr>
            </w:pPr>
          </w:p>
        </w:tc>
        <w:tc>
          <w:tcPr>
            <w:tcW w:w="1793" w:type="dxa"/>
          </w:tcPr>
          <w:p w14:paraId="50BAE08F">
            <w:pPr>
              <w:pStyle w:val="371"/>
              <w:widowControl/>
              <w:spacing w:line="560" w:lineRule="exact"/>
              <w:jc w:val="center"/>
              <w:rPr>
                <w:rFonts w:ascii="仿宋_GB2312" w:eastAsia="仿宋_GB2312"/>
                <w:color w:val="auto"/>
                <w:sz w:val="24"/>
                <w:highlight w:val="none"/>
              </w:rPr>
            </w:pPr>
          </w:p>
        </w:tc>
        <w:tc>
          <w:tcPr>
            <w:tcW w:w="2200" w:type="dxa"/>
          </w:tcPr>
          <w:p w14:paraId="2C459DAD">
            <w:pPr>
              <w:pStyle w:val="371"/>
              <w:widowControl/>
              <w:spacing w:line="560" w:lineRule="exact"/>
              <w:jc w:val="center"/>
              <w:rPr>
                <w:rFonts w:ascii="仿宋_GB2312" w:eastAsia="仿宋_GB2312"/>
                <w:color w:val="auto"/>
                <w:sz w:val="24"/>
                <w:highlight w:val="none"/>
              </w:rPr>
            </w:pPr>
          </w:p>
        </w:tc>
        <w:tc>
          <w:tcPr>
            <w:tcW w:w="1103" w:type="dxa"/>
            <w:vAlign w:val="center"/>
          </w:tcPr>
          <w:p w14:paraId="05BEB384">
            <w:pPr>
              <w:pStyle w:val="371"/>
              <w:spacing w:line="560" w:lineRule="exact"/>
              <w:jc w:val="center"/>
              <w:rPr>
                <w:rFonts w:ascii="仿宋_GB2312" w:eastAsia="仿宋_GB2312"/>
                <w:color w:val="auto"/>
                <w:sz w:val="24"/>
                <w:highlight w:val="none"/>
              </w:rPr>
            </w:pPr>
          </w:p>
        </w:tc>
        <w:tc>
          <w:tcPr>
            <w:tcW w:w="1949" w:type="dxa"/>
          </w:tcPr>
          <w:p w14:paraId="7FF9953B">
            <w:pPr>
              <w:pStyle w:val="371"/>
              <w:widowControl/>
              <w:spacing w:line="560" w:lineRule="exact"/>
              <w:jc w:val="center"/>
              <w:rPr>
                <w:rFonts w:ascii="仿宋_GB2312" w:eastAsia="仿宋_GB2312"/>
                <w:color w:val="auto"/>
                <w:sz w:val="24"/>
                <w:highlight w:val="none"/>
              </w:rPr>
            </w:pPr>
          </w:p>
        </w:tc>
        <w:tc>
          <w:tcPr>
            <w:tcW w:w="2023" w:type="dxa"/>
            <w:vAlign w:val="center"/>
          </w:tcPr>
          <w:p w14:paraId="1B22FDE0">
            <w:pPr>
              <w:pStyle w:val="371"/>
              <w:spacing w:line="560" w:lineRule="exact"/>
              <w:jc w:val="center"/>
              <w:rPr>
                <w:rFonts w:ascii="仿宋_GB2312" w:eastAsia="仿宋_GB2312"/>
                <w:color w:val="auto"/>
                <w:sz w:val="24"/>
                <w:highlight w:val="none"/>
              </w:rPr>
            </w:pPr>
          </w:p>
        </w:tc>
      </w:tr>
      <w:tr w14:paraId="20ACFE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8" w:hRule="atLeast"/>
          <w:jc w:val="center"/>
        </w:trPr>
        <w:tc>
          <w:tcPr>
            <w:tcW w:w="656" w:type="dxa"/>
          </w:tcPr>
          <w:p w14:paraId="413BA003">
            <w:pPr>
              <w:pStyle w:val="371"/>
              <w:widowControl/>
              <w:spacing w:line="560" w:lineRule="exact"/>
              <w:rPr>
                <w:rFonts w:ascii="仿宋_GB2312" w:eastAsia="仿宋_GB2312"/>
                <w:color w:val="auto"/>
                <w:sz w:val="28"/>
                <w:szCs w:val="28"/>
                <w:highlight w:val="none"/>
              </w:rPr>
            </w:pPr>
          </w:p>
        </w:tc>
        <w:tc>
          <w:tcPr>
            <w:tcW w:w="1793" w:type="dxa"/>
          </w:tcPr>
          <w:p w14:paraId="27766690">
            <w:pPr>
              <w:pStyle w:val="371"/>
              <w:widowControl/>
              <w:spacing w:line="560" w:lineRule="exact"/>
              <w:jc w:val="center"/>
              <w:rPr>
                <w:rFonts w:ascii="仿宋_GB2312" w:eastAsia="仿宋_GB2312"/>
                <w:color w:val="auto"/>
                <w:sz w:val="24"/>
                <w:highlight w:val="none"/>
              </w:rPr>
            </w:pPr>
            <w:r>
              <w:rPr>
                <w:rFonts w:hint="eastAsia" w:ascii="仿宋_GB2312" w:eastAsia="仿宋_GB2312"/>
                <w:color w:val="auto"/>
                <w:sz w:val="24"/>
                <w:highlight w:val="none"/>
              </w:rPr>
              <w:t>安装调试费</w:t>
            </w:r>
          </w:p>
        </w:tc>
        <w:tc>
          <w:tcPr>
            <w:tcW w:w="2200" w:type="dxa"/>
          </w:tcPr>
          <w:p w14:paraId="04496321">
            <w:pPr>
              <w:pStyle w:val="371"/>
              <w:widowControl/>
              <w:spacing w:line="560" w:lineRule="exact"/>
              <w:jc w:val="center"/>
              <w:rPr>
                <w:rFonts w:ascii="仿宋_GB2312" w:eastAsia="仿宋_GB2312"/>
                <w:color w:val="auto"/>
                <w:sz w:val="24"/>
                <w:highlight w:val="none"/>
              </w:rPr>
            </w:pPr>
          </w:p>
        </w:tc>
        <w:tc>
          <w:tcPr>
            <w:tcW w:w="1103" w:type="dxa"/>
            <w:vAlign w:val="center"/>
          </w:tcPr>
          <w:p w14:paraId="0E6CA10A">
            <w:pPr>
              <w:pStyle w:val="371"/>
              <w:spacing w:line="560" w:lineRule="exact"/>
              <w:jc w:val="center"/>
              <w:rPr>
                <w:rFonts w:ascii="仿宋_GB2312" w:eastAsia="仿宋_GB2312"/>
                <w:color w:val="auto"/>
                <w:sz w:val="24"/>
                <w:highlight w:val="none"/>
              </w:rPr>
            </w:pPr>
          </w:p>
        </w:tc>
        <w:tc>
          <w:tcPr>
            <w:tcW w:w="1949" w:type="dxa"/>
          </w:tcPr>
          <w:p w14:paraId="786AAB03">
            <w:pPr>
              <w:pStyle w:val="371"/>
              <w:widowControl/>
              <w:spacing w:line="560" w:lineRule="exact"/>
              <w:jc w:val="center"/>
              <w:rPr>
                <w:rFonts w:ascii="仿宋_GB2312" w:eastAsia="仿宋_GB2312"/>
                <w:color w:val="auto"/>
                <w:sz w:val="24"/>
                <w:highlight w:val="none"/>
              </w:rPr>
            </w:pPr>
          </w:p>
        </w:tc>
        <w:tc>
          <w:tcPr>
            <w:tcW w:w="2023" w:type="dxa"/>
            <w:vAlign w:val="center"/>
          </w:tcPr>
          <w:p w14:paraId="4BCD5E71">
            <w:pPr>
              <w:pStyle w:val="371"/>
              <w:spacing w:line="560" w:lineRule="exact"/>
              <w:jc w:val="center"/>
              <w:rPr>
                <w:rFonts w:ascii="仿宋_GB2312" w:eastAsia="仿宋_GB2312"/>
                <w:color w:val="auto"/>
                <w:sz w:val="24"/>
                <w:highlight w:val="none"/>
              </w:rPr>
            </w:pPr>
          </w:p>
        </w:tc>
      </w:tr>
      <w:tr w14:paraId="5F4B9A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5" w:hRule="atLeast"/>
          <w:jc w:val="center"/>
        </w:trPr>
        <w:tc>
          <w:tcPr>
            <w:tcW w:w="656" w:type="dxa"/>
            <w:vAlign w:val="center"/>
          </w:tcPr>
          <w:p w14:paraId="279CF840">
            <w:pPr>
              <w:pStyle w:val="371"/>
              <w:spacing w:line="560" w:lineRule="exact"/>
              <w:jc w:val="center"/>
              <w:rPr>
                <w:rFonts w:ascii="仿宋_GB2312" w:eastAsia="仿宋_GB2312"/>
                <w:i/>
                <w:iCs/>
                <w:color w:val="auto"/>
                <w:sz w:val="28"/>
                <w:szCs w:val="28"/>
                <w:highlight w:val="none"/>
              </w:rPr>
            </w:pPr>
            <w:r>
              <w:rPr>
                <w:rFonts w:hint="eastAsia" w:ascii="仿宋_GB2312" w:eastAsia="仿宋_GB2312"/>
                <w:i/>
                <w:iCs/>
                <w:color w:val="auto"/>
                <w:sz w:val="28"/>
                <w:szCs w:val="28"/>
                <w:highlight w:val="none"/>
              </w:rPr>
              <w:t>…</w:t>
            </w:r>
          </w:p>
        </w:tc>
        <w:tc>
          <w:tcPr>
            <w:tcW w:w="1793" w:type="dxa"/>
            <w:vAlign w:val="center"/>
          </w:tcPr>
          <w:p w14:paraId="4BEC69B2">
            <w:pPr>
              <w:pStyle w:val="371"/>
              <w:spacing w:line="560" w:lineRule="exact"/>
              <w:jc w:val="center"/>
              <w:rPr>
                <w:rFonts w:ascii="仿宋_GB2312" w:eastAsia="仿宋_GB2312"/>
                <w:iCs/>
                <w:color w:val="auto"/>
                <w:sz w:val="24"/>
                <w:highlight w:val="none"/>
              </w:rPr>
            </w:pPr>
            <w:r>
              <w:rPr>
                <w:rFonts w:hint="eastAsia" w:ascii="仿宋_GB2312" w:eastAsia="仿宋_GB2312"/>
                <w:iCs/>
                <w:color w:val="auto"/>
                <w:sz w:val="24"/>
                <w:highlight w:val="none"/>
              </w:rPr>
              <w:t>税金</w:t>
            </w:r>
          </w:p>
        </w:tc>
        <w:tc>
          <w:tcPr>
            <w:tcW w:w="2200" w:type="dxa"/>
            <w:vAlign w:val="center"/>
          </w:tcPr>
          <w:p w14:paraId="479F9F37">
            <w:pPr>
              <w:pStyle w:val="371"/>
              <w:spacing w:line="560" w:lineRule="exact"/>
              <w:jc w:val="center"/>
              <w:rPr>
                <w:rFonts w:ascii="仿宋_GB2312" w:eastAsia="仿宋_GB2312"/>
                <w:i/>
                <w:iCs/>
                <w:color w:val="auto"/>
                <w:sz w:val="24"/>
                <w:highlight w:val="none"/>
              </w:rPr>
            </w:pPr>
          </w:p>
        </w:tc>
        <w:tc>
          <w:tcPr>
            <w:tcW w:w="1103" w:type="dxa"/>
            <w:vAlign w:val="center"/>
          </w:tcPr>
          <w:p w14:paraId="51ABDABE">
            <w:pPr>
              <w:pStyle w:val="371"/>
              <w:spacing w:line="560" w:lineRule="exact"/>
              <w:jc w:val="center"/>
              <w:rPr>
                <w:rFonts w:ascii="仿宋_GB2312" w:eastAsia="仿宋_GB2312"/>
                <w:color w:val="auto"/>
                <w:sz w:val="24"/>
                <w:highlight w:val="none"/>
              </w:rPr>
            </w:pPr>
          </w:p>
        </w:tc>
        <w:tc>
          <w:tcPr>
            <w:tcW w:w="1949" w:type="dxa"/>
            <w:vAlign w:val="center"/>
          </w:tcPr>
          <w:p w14:paraId="48F39C17">
            <w:pPr>
              <w:pStyle w:val="371"/>
              <w:spacing w:line="560" w:lineRule="exact"/>
              <w:jc w:val="center"/>
              <w:rPr>
                <w:rFonts w:ascii="仿宋_GB2312" w:eastAsia="仿宋_GB2312"/>
                <w:color w:val="auto"/>
                <w:sz w:val="24"/>
                <w:highlight w:val="none"/>
              </w:rPr>
            </w:pPr>
          </w:p>
        </w:tc>
        <w:tc>
          <w:tcPr>
            <w:tcW w:w="2023" w:type="dxa"/>
            <w:vAlign w:val="center"/>
          </w:tcPr>
          <w:p w14:paraId="6146417F">
            <w:pPr>
              <w:pStyle w:val="371"/>
              <w:spacing w:line="560" w:lineRule="exact"/>
              <w:jc w:val="center"/>
              <w:rPr>
                <w:rFonts w:ascii="仿宋_GB2312" w:eastAsia="仿宋_GB2312"/>
                <w:color w:val="auto"/>
                <w:sz w:val="24"/>
                <w:highlight w:val="none"/>
              </w:rPr>
            </w:pPr>
          </w:p>
        </w:tc>
      </w:tr>
      <w:tr w14:paraId="3B9F10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5" w:hRule="atLeast"/>
          <w:jc w:val="center"/>
        </w:trPr>
        <w:tc>
          <w:tcPr>
            <w:tcW w:w="656" w:type="dxa"/>
            <w:vAlign w:val="center"/>
          </w:tcPr>
          <w:p w14:paraId="727D7E82">
            <w:pPr>
              <w:pStyle w:val="371"/>
              <w:spacing w:line="560" w:lineRule="exact"/>
              <w:jc w:val="center"/>
              <w:rPr>
                <w:rFonts w:ascii="仿宋_GB2312" w:eastAsia="仿宋_GB2312"/>
                <w:i/>
                <w:iCs/>
                <w:color w:val="auto"/>
                <w:sz w:val="28"/>
                <w:szCs w:val="28"/>
                <w:highlight w:val="none"/>
              </w:rPr>
            </w:pPr>
          </w:p>
        </w:tc>
        <w:tc>
          <w:tcPr>
            <w:tcW w:w="3993" w:type="dxa"/>
            <w:gridSpan w:val="2"/>
            <w:vAlign w:val="center"/>
          </w:tcPr>
          <w:p w14:paraId="536B4699">
            <w:pPr>
              <w:pStyle w:val="371"/>
              <w:spacing w:line="560" w:lineRule="exact"/>
              <w:jc w:val="center"/>
              <w:rPr>
                <w:rFonts w:ascii="仿宋_GB2312" w:eastAsia="仿宋_GB2312"/>
                <w:color w:val="auto"/>
                <w:sz w:val="24"/>
                <w:highlight w:val="none"/>
              </w:rPr>
            </w:pPr>
            <w:r>
              <w:rPr>
                <w:rFonts w:hint="eastAsia" w:ascii="仿宋_GB2312" w:eastAsia="仿宋_GB2312"/>
                <w:iCs/>
                <w:color w:val="auto"/>
                <w:sz w:val="24"/>
                <w:highlight w:val="none"/>
              </w:rPr>
              <w:t>合计</w:t>
            </w:r>
          </w:p>
        </w:tc>
        <w:tc>
          <w:tcPr>
            <w:tcW w:w="5075" w:type="dxa"/>
            <w:gridSpan w:val="3"/>
            <w:vAlign w:val="center"/>
          </w:tcPr>
          <w:p w14:paraId="5434BA1F">
            <w:pPr>
              <w:pStyle w:val="371"/>
              <w:spacing w:line="560" w:lineRule="exact"/>
              <w:jc w:val="center"/>
              <w:rPr>
                <w:rFonts w:ascii="仿宋_GB2312" w:eastAsia="仿宋_GB2312"/>
                <w:color w:val="auto"/>
                <w:sz w:val="24"/>
                <w:highlight w:val="none"/>
              </w:rPr>
            </w:pPr>
          </w:p>
        </w:tc>
      </w:tr>
      <w:tr w14:paraId="22CEB4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0" w:hRule="atLeast"/>
          <w:jc w:val="center"/>
        </w:trPr>
        <w:tc>
          <w:tcPr>
            <w:tcW w:w="2449" w:type="dxa"/>
            <w:gridSpan w:val="2"/>
            <w:vAlign w:val="center"/>
          </w:tcPr>
          <w:p w14:paraId="46085863">
            <w:pPr>
              <w:pStyle w:val="371"/>
              <w:spacing w:line="560" w:lineRule="exact"/>
              <w:jc w:val="center"/>
              <w:rPr>
                <w:rFonts w:ascii="仿宋_GB2312" w:eastAsia="仿宋_GB2312"/>
                <w:b/>
                <w:bCs/>
                <w:color w:val="auto"/>
                <w:sz w:val="24"/>
                <w:highlight w:val="none"/>
              </w:rPr>
            </w:pPr>
            <w:r>
              <w:rPr>
                <w:rFonts w:hint="eastAsia" w:ascii="仿宋_GB2312" w:eastAsia="仿宋_GB2312"/>
                <w:b/>
                <w:bCs/>
                <w:color w:val="auto"/>
                <w:sz w:val="28"/>
                <w:szCs w:val="28"/>
                <w:highlight w:val="none"/>
              </w:rPr>
              <w:t>投标</w:t>
            </w:r>
            <w:r>
              <w:rPr>
                <w:rFonts w:hint="eastAsia" w:ascii="仿宋_GB2312" w:eastAsia="仿宋_GB2312"/>
                <w:b/>
                <w:bCs/>
                <w:color w:val="auto"/>
                <w:sz w:val="28"/>
                <w:szCs w:val="28"/>
                <w:highlight w:val="none"/>
                <w:lang w:val="en-US" w:eastAsia="zh-CN"/>
              </w:rPr>
              <w:t>报价</w:t>
            </w:r>
            <w:r>
              <w:rPr>
                <w:rFonts w:hint="eastAsia" w:ascii="仿宋_GB2312" w:eastAsia="仿宋_GB2312"/>
                <w:b/>
                <w:bCs/>
                <w:color w:val="auto"/>
                <w:sz w:val="28"/>
                <w:szCs w:val="28"/>
                <w:highlight w:val="none"/>
              </w:rPr>
              <w:t>总计</w:t>
            </w:r>
          </w:p>
        </w:tc>
        <w:tc>
          <w:tcPr>
            <w:tcW w:w="7275" w:type="dxa"/>
            <w:gridSpan w:val="4"/>
            <w:vAlign w:val="center"/>
          </w:tcPr>
          <w:p w14:paraId="493396A5">
            <w:pPr>
              <w:pStyle w:val="371"/>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w:t>
            </w:r>
            <w:r>
              <w:rPr>
                <w:rFonts w:hint="eastAsia" w:ascii="仿宋_GB2312" w:eastAsia="仿宋_GB2312"/>
                <w:b/>
                <w:bCs/>
                <w:color w:val="auto"/>
                <w:sz w:val="24"/>
                <w:highlight w:val="none"/>
                <w:u w:val="single"/>
              </w:rPr>
              <w:t xml:space="preserve">                          </w:t>
            </w:r>
          </w:p>
          <w:p w14:paraId="5B27191F">
            <w:pPr>
              <w:pStyle w:val="371"/>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人民币（大写）：</w:t>
            </w:r>
          </w:p>
          <w:p w14:paraId="05FBAAA8">
            <w:pPr>
              <w:pStyle w:val="371"/>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分</w:t>
            </w:r>
          </w:p>
        </w:tc>
      </w:tr>
      <w:tr w14:paraId="2FEB0C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0" w:hRule="atLeast"/>
          <w:jc w:val="center"/>
        </w:trPr>
        <w:tc>
          <w:tcPr>
            <w:tcW w:w="9724" w:type="dxa"/>
            <w:gridSpan w:val="6"/>
            <w:vAlign w:val="center"/>
          </w:tcPr>
          <w:p w14:paraId="57699C49">
            <w:pPr>
              <w:pStyle w:val="371"/>
              <w:spacing w:line="560" w:lineRule="exact"/>
              <w:rPr>
                <w:rFonts w:hint="eastAsia" w:ascii="仿宋_GB2312" w:eastAsia="仿宋_GB2312"/>
                <w:b/>
                <w:bCs/>
                <w:color w:val="auto"/>
                <w:sz w:val="24"/>
                <w:highlight w:val="none"/>
                <w:u w:val="single"/>
              </w:rPr>
            </w:pPr>
            <w:r>
              <w:rPr>
                <w:rFonts w:hint="eastAsia" w:hAnsi="宋体"/>
                <w:bCs/>
                <w:color w:val="auto"/>
                <w:kern w:val="2"/>
                <w:sz w:val="24"/>
                <w:szCs w:val="28"/>
                <w:highlight w:val="none"/>
              </w:rPr>
              <w:t>本采购包中提供的符合本国产品标准的产品成本之和占该采购包提供的全部产品成本之和的比例为***%。</w:t>
            </w:r>
          </w:p>
        </w:tc>
      </w:tr>
    </w:tbl>
    <w:p w14:paraId="20E9B9A5">
      <w:pPr>
        <w:pStyle w:val="365"/>
        <w:ind w:firstLine="629"/>
        <w:rPr>
          <w:rFonts w:ascii="仿宋_GB2312" w:eastAsia="仿宋_GB2312"/>
          <w:color w:val="auto"/>
          <w:sz w:val="24"/>
          <w:highlight w:val="none"/>
        </w:rPr>
      </w:pPr>
    </w:p>
    <w:p w14:paraId="29F3BD24">
      <w:pPr>
        <w:pStyle w:val="365"/>
        <w:keepNext w:val="0"/>
        <w:keepLines w:val="0"/>
        <w:pageBreakBefore w:val="0"/>
        <w:widowControl w:val="0"/>
        <w:kinsoku/>
        <w:wordWrap/>
        <w:overflowPunct/>
        <w:topLinePunct w:val="0"/>
        <w:autoSpaceDE/>
        <w:autoSpaceDN/>
        <w:bidi w:val="0"/>
        <w:adjustRightInd/>
        <w:snapToGrid/>
        <w:spacing w:line="40" w:lineRule="atLeast"/>
        <w:ind w:firstLine="560" w:firstLineChars="200"/>
        <w:textAlignment w:val="auto"/>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p>
    <w:p w14:paraId="06ABE812">
      <w:pPr>
        <w:pStyle w:val="365"/>
        <w:keepNext w:val="0"/>
        <w:keepLines w:val="0"/>
        <w:pageBreakBefore w:val="0"/>
        <w:widowControl w:val="0"/>
        <w:kinsoku/>
        <w:wordWrap/>
        <w:overflowPunct/>
        <w:topLinePunct w:val="0"/>
        <w:autoSpaceDE/>
        <w:autoSpaceDN/>
        <w:bidi w:val="0"/>
        <w:adjustRightInd/>
        <w:snapToGrid/>
        <w:spacing w:line="40" w:lineRule="atLeast"/>
        <w:ind w:firstLine="560" w:firstLineChars="200"/>
        <w:textAlignment w:val="auto"/>
        <w:rPr>
          <w:rFonts w:ascii="仿宋_GB2312" w:eastAsia="仿宋_GB2312"/>
          <w:color w:val="auto"/>
          <w:sz w:val="28"/>
          <w:szCs w:val="21"/>
          <w:highlight w:val="none"/>
        </w:rPr>
      </w:pPr>
      <w:r>
        <w:rPr>
          <w:rFonts w:hint="eastAsia" w:ascii="仿宋_GB2312" w:eastAsia="仿宋_GB2312"/>
          <w:color w:val="auto"/>
          <w:sz w:val="28"/>
          <w:szCs w:val="21"/>
          <w:highlight w:val="none"/>
        </w:rPr>
        <w:t>法定代表人（或授权代表）：（签字或盖章）</w:t>
      </w:r>
      <w:r>
        <w:rPr>
          <w:rFonts w:hint="eastAsia" w:ascii="仿宋_GB2312" w:eastAsia="仿宋_GB2312"/>
          <w:color w:val="auto"/>
          <w:sz w:val="28"/>
          <w:szCs w:val="21"/>
          <w:highlight w:val="none"/>
          <w:u w:val="single"/>
        </w:rPr>
        <w:t xml:space="preserve">              </w:t>
      </w:r>
    </w:p>
    <w:p w14:paraId="1700B7B3">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after="120" w:line="40" w:lineRule="atLeast"/>
        <w:ind w:leftChars="0" w:firstLine="480" w:firstLineChars="200"/>
        <w:textAlignment w:val="auto"/>
        <w:rPr>
          <w:rFonts w:hint="eastAsia" w:ascii="Times New Roman" w:hAnsi="宋体" w:eastAsia="宋体" w:cs="Times New Roman"/>
          <w:bCs/>
          <w:color w:val="auto"/>
          <w:kern w:val="2"/>
          <w:sz w:val="24"/>
          <w:szCs w:val="28"/>
          <w:highlight w:val="none"/>
          <w:lang w:val="en-US" w:eastAsia="zh-CN" w:bidi="ar-SA"/>
        </w:rPr>
      </w:pPr>
      <w:bookmarkStart w:id="209" w:name="_Toc10632"/>
      <w:bookmarkStart w:id="210" w:name="_Toc27976"/>
    </w:p>
    <w:p w14:paraId="23DE8A87">
      <w:pPr>
        <w:keepNext w:val="0"/>
        <w:keepLines w:val="0"/>
        <w:pageBreakBefore w:val="0"/>
        <w:widowControl w:val="0"/>
        <w:tabs>
          <w:tab w:val="left" w:pos="840"/>
        </w:tabs>
        <w:kinsoku/>
        <w:wordWrap/>
        <w:overflowPunct/>
        <w:topLinePunct w:val="0"/>
        <w:autoSpaceDE/>
        <w:autoSpaceDN/>
        <w:bidi w:val="0"/>
        <w:adjustRightInd/>
        <w:snapToGrid/>
        <w:spacing w:after="120" w:line="300" w:lineRule="auto"/>
        <w:ind w:firstLine="480" w:firstLineChars="200"/>
        <w:textAlignment w:val="auto"/>
        <w:rPr>
          <w:rFonts w:hAnsi="宋体" w:cs="宋体"/>
          <w:bCs/>
          <w:color w:val="auto"/>
          <w:kern w:val="2"/>
          <w:sz w:val="24"/>
          <w:szCs w:val="24"/>
          <w:highlight w:val="none"/>
        </w:rPr>
      </w:pPr>
      <w:r>
        <w:rPr>
          <w:rFonts w:hint="eastAsia" w:hAnsi="宋体" w:cs="宋体"/>
          <w:bCs/>
          <w:color w:val="auto"/>
          <w:kern w:val="2"/>
          <w:sz w:val="24"/>
          <w:szCs w:val="24"/>
          <w:highlight w:val="none"/>
        </w:rPr>
        <w:t>注：</w:t>
      </w:r>
    </w:p>
    <w:p w14:paraId="2B752FB1">
      <w:pPr>
        <w:keepNext w:val="0"/>
        <w:keepLines w:val="0"/>
        <w:pageBreakBefore w:val="0"/>
        <w:widowControl w:val="0"/>
        <w:tabs>
          <w:tab w:val="left" w:pos="840"/>
        </w:tabs>
        <w:kinsoku/>
        <w:wordWrap/>
        <w:overflowPunct/>
        <w:topLinePunct w:val="0"/>
        <w:autoSpaceDE/>
        <w:autoSpaceDN/>
        <w:bidi w:val="0"/>
        <w:adjustRightInd/>
        <w:snapToGrid/>
        <w:spacing w:after="120" w:line="300" w:lineRule="auto"/>
        <w:ind w:firstLine="480" w:firstLineChars="200"/>
        <w:textAlignment w:val="auto"/>
        <w:rPr>
          <w:rFonts w:hAnsi="宋体" w:cs="宋体"/>
          <w:bCs/>
          <w:color w:val="auto"/>
          <w:kern w:val="2"/>
          <w:sz w:val="24"/>
          <w:szCs w:val="24"/>
          <w:highlight w:val="none"/>
        </w:rPr>
      </w:pPr>
      <w:r>
        <w:rPr>
          <w:rFonts w:hint="eastAsia" w:hAnsi="宋体" w:cs="宋体"/>
          <w:bCs/>
          <w:color w:val="auto"/>
          <w:kern w:val="2"/>
          <w:sz w:val="24"/>
          <w:szCs w:val="24"/>
          <w:highlight w:val="none"/>
        </w:rPr>
        <w:t>1、“分项报价表”中“</w:t>
      </w:r>
      <w:r>
        <w:rPr>
          <w:rFonts w:hint="eastAsia" w:ascii="仿宋_GB2312" w:eastAsia="仿宋_GB2312"/>
          <w:b/>
          <w:bCs/>
          <w:color w:val="auto"/>
          <w:sz w:val="28"/>
          <w:szCs w:val="28"/>
          <w:highlight w:val="none"/>
        </w:rPr>
        <w:t>投标</w:t>
      </w:r>
      <w:r>
        <w:rPr>
          <w:rFonts w:hint="eastAsia" w:ascii="仿宋_GB2312" w:eastAsia="仿宋_GB2312"/>
          <w:b/>
          <w:bCs/>
          <w:color w:val="auto"/>
          <w:sz w:val="28"/>
          <w:szCs w:val="28"/>
          <w:highlight w:val="none"/>
          <w:lang w:val="en-US" w:eastAsia="zh-CN"/>
        </w:rPr>
        <w:t>报价</w:t>
      </w:r>
      <w:r>
        <w:rPr>
          <w:rFonts w:hint="eastAsia" w:ascii="仿宋_GB2312" w:eastAsia="仿宋_GB2312"/>
          <w:b/>
          <w:bCs/>
          <w:color w:val="auto"/>
          <w:sz w:val="28"/>
          <w:szCs w:val="28"/>
          <w:highlight w:val="none"/>
        </w:rPr>
        <w:t>总计</w:t>
      </w:r>
      <w:r>
        <w:rPr>
          <w:rFonts w:hint="eastAsia" w:hAnsi="宋体" w:cs="宋体"/>
          <w:bCs/>
          <w:color w:val="auto"/>
          <w:kern w:val="2"/>
          <w:sz w:val="24"/>
          <w:szCs w:val="24"/>
          <w:highlight w:val="none"/>
        </w:rPr>
        <w:t>”金额应当与“开标一览表”中“投标报价”金额一致。</w:t>
      </w:r>
    </w:p>
    <w:p w14:paraId="183EA783">
      <w:pPr>
        <w:keepNext w:val="0"/>
        <w:keepLines w:val="0"/>
        <w:pageBreakBefore w:val="0"/>
        <w:widowControl w:val="0"/>
        <w:tabs>
          <w:tab w:val="left" w:pos="840"/>
        </w:tabs>
        <w:kinsoku/>
        <w:wordWrap/>
        <w:overflowPunct/>
        <w:topLinePunct w:val="0"/>
        <w:autoSpaceDE/>
        <w:autoSpaceDN/>
        <w:bidi w:val="0"/>
        <w:adjustRightInd/>
        <w:snapToGrid/>
        <w:spacing w:after="120" w:line="300" w:lineRule="auto"/>
        <w:ind w:firstLine="480" w:firstLineChars="200"/>
        <w:textAlignment w:val="auto"/>
        <w:rPr>
          <w:rFonts w:hint="eastAsia" w:hAnsi="宋体"/>
          <w:bCs/>
          <w:color w:val="auto"/>
          <w:kern w:val="2"/>
          <w:sz w:val="24"/>
          <w:szCs w:val="24"/>
          <w:highlight w:val="none"/>
        </w:rPr>
      </w:pPr>
      <w:r>
        <w:rPr>
          <w:rFonts w:hint="eastAsia" w:hAnsi="宋体" w:cs="宋体"/>
          <w:bCs/>
          <w:color w:val="auto"/>
          <w:kern w:val="2"/>
          <w:sz w:val="24"/>
          <w:szCs w:val="24"/>
          <w:highlight w:val="none"/>
        </w:rPr>
        <w:t>2、</w:t>
      </w:r>
      <w:r>
        <w:rPr>
          <w:rFonts w:hint="eastAsia" w:hAnsi="宋体"/>
          <w:bCs/>
          <w:color w:val="auto"/>
          <w:kern w:val="2"/>
          <w:sz w:val="24"/>
          <w:szCs w:val="24"/>
          <w:highlight w:val="none"/>
        </w:rPr>
        <w:t>涉及小型、微型、节能产品、环境标志等</w:t>
      </w:r>
      <w:r>
        <w:rPr>
          <w:rFonts w:hAnsi="宋体"/>
          <w:bCs/>
          <w:color w:val="auto"/>
          <w:kern w:val="2"/>
          <w:sz w:val="24"/>
          <w:szCs w:val="24"/>
          <w:highlight w:val="none"/>
        </w:rPr>
        <w:t>享受</w:t>
      </w:r>
      <w:r>
        <w:rPr>
          <w:rFonts w:hint="eastAsia" w:hAnsi="宋体"/>
          <w:bCs/>
          <w:color w:val="auto"/>
          <w:kern w:val="2"/>
          <w:sz w:val="24"/>
          <w:szCs w:val="24"/>
          <w:highlight w:val="none"/>
        </w:rPr>
        <w:t>政府</w:t>
      </w:r>
      <w:r>
        <w:rPr>
          <w:rFonts w:hAnsi="宋体"/>
          <w:bCs/>
          <w:color w:val="auto"/>
          <w:kern w:val="2"/>
          <w:sz w:val="24"/>
          <w:szCs w:val="24"/>
          <w:highlight w:val="none"/>
        </w:rPr>
        <w:t>采购</w:t>
      </w:r>
      <w:r>
        <w:rPr>
          <w:rFonts w:hint="eastAsia" w:hAnsi="宋体"/>
          <w:bCs/>
          <w:color w:val="auto"/>
          <w:kern w:val="2"/>
          <w:sz w:val="24"/>
          <w:szCs w:val="24"/>
          <w:highlight w:val="none"/>
        </w:rPr>
        <w:t>扶持</w:t>
      </w:r>
      <w:r>
        <w:rPr>
          <w:rFonts w:hAnsi="宋体"/>
          <w:bCs/>
          <w:color w:val="auto"/>
          <w:kern w:val="2"/>
          <w:sz w:val="24"/>
          <w:szCs w:val="24"/>
          <w:highlight w:val="none"/>
        </w:rPr>
        <w:t>政策</w:t>
      </w:r>
      <w:r>
        <w:rPr>
          <w:rFonts w:hint="eastAsia" w:hAnsi="宋体"/>
          <w:bCs/>
          <w:color w:val="auto"/>
          <w:kern w:val="2"/>
          <w:sz w:val="24"/>
          <w:szCs w:val="24"/>
          <w:highlight w:val="none"/>
        </w:rPr>
        <w:t>的</w:t>
      </w:r>
      <w:r>
        <w:rPr>
          <w:rFonts w:hAnsi="宋体"/>
          <w:bCs/>
          <w:color w:val="auto"/>
          <w:kern w:val="2"/>
          <w:sz w:val="24"/>
          <w:szCs w:val="24"/>
          <w:highlight w:val="none"/>
        </w:rPr>
        <w:t>项目，需在</w:t>
      </w:r>
      <w:r>
        <w:rPr>
          <w:rFonts w:hint="eastAsia" w:hAnsi="宋体"/>
          <w:bCs/>
          <w:color w:val="auto"/>
          <w:kern w:val="2"/>
          <w:sz w:val="24"/>
          <w:szCs w:val="24"/>
          <w:highlight w:val="none"/>
        </w:rPr>
        <w:t>备注中分别明确注明。</w:t>
      </w:r>
    </w:p>
    <w:p w14:paraId="408A108F">
      <w:pPr>
        <w:keepNext w:val="0"/>
        <w:keepLines w:val="0"/>
        <w:pageBreakBefore w:val="0"/>
        <w:widowControl w:val="0"/>
        <w:tabs>
          <w:tab w:val="left" w:pos="840"/>
        </w:tabs>
        <w:kinsoku/>
        <w:wordWrap/>
        <w:overflowPunct/>
        <w:topLinePunct w:val="0"/>
        <w:autoSpaceDE/>
        <w:autoSpaceDN/>
        <w:bidi w:val="0"/>
        <w:adjustRightInd/>
        <w:snapToGrid/>
        <w:spacing w:after="120" w:line="300" w:lineRule="auto"/>
        <w:ind w:firstLine="480" w:firstLineChars="200"/>
        <w:textAlignment w:val="auto"/>
        <w:rPr>
          <w:rFonts w:hint="eastAsia" w:hAnsi="宋体"/>
          <w:bCs/>
          <w:color w:val="auto"/>
          <w:kern w:val="2"/>
          <w:sz w:val="24"/>
          <w:szCs w:val="24"/>
          <w:highlight w:val="none"/>
        </w:rPr>
      </w:pPr>
      <w:r>
        <w:rPr>
          <w:rFonts w:hint="eastAsia" w:hAnsi="宋体"/>
          <w:bCs/>
          <w:color w:val="auto"/>
          <w:kern w:val="2"/>
          <w:sz w:val="24"/>
          <w:szCs w:val="24"/>
          <w:highlight w:val="none"/>
          <w:lang w:val="en-US" w:eastAsia="zh-CN"/>
        </w:rPr>
        <w:t>3、</w:t>
      </w:r>
      <w:r>
        <w:rPr>
          <w:rFonts w:hint="eastAsia" w:hAnsi="宋体"/>
          <w:bCs/>
          <w:color w:val="auto"/>
          <w:kern w:val="2"/>
          <w:sz w:val="24"/>
          <w:szCs w:val="24"/>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6C6ACAA5">
      <w:pPr>
        <w:widowControl w:val="0"/>
        <w:numPr>
          <w:ilvl w:val="0"/>
          <w:numId w:val="0"/>
        </w:numPr>
        <w:tabs>
          <w:tab w:val="left" w:pos="840"/>
        </w:tabs>
        <w:spacing w:after="120" w:line="300" w:lineRule="auto"/>
        <w:jc w:val="both"/>
        <w:rPr>
          <w:rFonts w:hint="eastAsia" w:hAnsi="宋体"/>
          <w:bCs/>
          <w:color w:val="auto"/>
          <w:kern w:val="2"/>
          <w:highlight w:val="none"/>
        </w:rPr>
      </w:pPr>
    </w:p>
    <w:p w14:paraId="78E7F72A">
      <w:pPr>
        <w:pStyle w:val="526"/>
        <w:outlineLvl w:val="1"/>
        <w:rPr>
          <w:rFonts w:hint="eastAsia"/>
          <w:color w:val="auto"/>
          <w:highlight w:val="none"/>
        </w:rPr>
      </w:pPr>
      <w:bookmarkStart w:id="211" w:name="_Toc26570"/>
      <w:bookmarkStart w:id="212" w:name="_Toc164203481"/>
      <w:bookmarkStart w:id="213" w:name="_Toc18680"/>
      <w:bookmarkStart w:id="214" w:name="_Toc22253"/>
      <w:r>
        <w:rPr>
          <w:color w:val="auto"/>
          <w:highlight w:val="none"/>
        </w:rPr>
        <w:t>十</w:t>
      </w:r>
      <w:r>
        <w:rPr>
          <w:rFonts w:hint="eastAsia"/>
          <w:color w:val="auto"/>
          <w:highlight w:val="none"/>
        </w:rPr>
        <w:t>二</w:t>
      </w:r>
      <w:r>
        <w:rPr>
          <w:color w:val="auto"/>
          <w:highlight w:val="none"/>
        </w:rPr>
        <w:t>、中小企业声明函</w:t>
      </w:r>
      <w:bookmarkEnd w:id="209"/>
      <w:bookmarkEnd w:id="210"/>
      <w:bookmarkEnd w:id="211"/>
      <w:bookmarkEnd w:id="212"/>
      <w:bookmarkEnd w:id="213"/>
      <w:bookmarkEnd w:id="214"/>
    </w:p>
    <w:p w14:paraId="7601FB98">
      <w:pPr>
        <w:pStyle w:val="563"/>
        <w:spacing w:line="600" w:lineRule="exact"/>
        <w:jc w:val="center"/>
        <w:rPr>
          <w:rFonts w:hint="eastAsia" w:ascii="宋体" w:hAnsi="宋体" w:cs="宋体"/>
          <w:b/>
          <w:bCs/>
          <w:color w:val="auto"/>
          <w:sz w:val="32"/>
          <w:szCs w:val="32"/>
          <w:highlight w:val="none"/>
        </w:rPr>
      </w:pPr>
      <w:bookmarkStart w:id="215" w:name="_Toc6995_WPSOffice_Level2"/>
      <w:bookmarkStart w:id="216" w:name="_Toc12023"/>
      <w:bookmarkStart w:id="217" w:name="_Toc16234"/>
      <w:r>
        <w:rPr>
          <w:rFonts w:hint="eastAsia" w:ascii="宋体" w:hAnsi="宋体" w:cs="宋体"/>
          <w:b/>
          <w:bCs/>
          <w:color w:val="auto"/>
          <w:sz w:val="32"/>
          <w:szCs w:val="32"/>
          <w:highlight w:val="none"/>
        </w:rPr>
        <w:t>中小企业声明函</w:t>
      </w:r>
      <w:bookmarkEnd w:id="215"/>
      <w:r>
        <w:rPr>
          <w:rFonts w:hint="eastAsia" w:ascii="宋体" w:hAnsi="宋体" w:cs="宋体"/>
          <w:b/>
          <w:bCs/>
          <w:color w:val="auto"/>
          <w:sz w:val="32"/>
          <w:szCs w:val="32"/>
          <w:highlight w:val="none"/>
        </w:rPr>
        <w:t>（货物）</w:t>
      </w:r>
    </w:p>
    <w:p w14:paraId="451DE171">
      <w:pPr>
        <w:pStyle w:val="15"/>
        <w:tabs>
          <w:tab w:val="left" w:pos="7098"/>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 号）的规定，本公司 （联合体）参加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采购活动，提供的货物全部由符合政策要求的中小企业制造。相关企业 （含联合体中的中小企业、签订分包意向协议的中小企业） 的具体情况如下：</w:t>
      </w:r>
    </w:p>
    <w:p w14:paraId="265E8332">
      <w:pPr>
        <w:pStyle w:val="15"/>
        <w:tabs>
          <w:tab w:val="left" w:pos="7098"/>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行业；制造商为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12DBD229">
      <w:pPr>
        <w:pStyle w:val="15"/>
        <w:tabs>
          <w:tab w:val="left" w:pos="7098"/>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行业；制造商为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 企业、□微型企业）</w:t>
      </w:r>
      <w:r>
        <w:rPr>
          <w:rFonts w:hint="eastAsia" w:ascii="宋体" w:hAnsi="宋体" w:eastAsia="宋体" w:cs="宋体"/>
          <w:color w:val="auto"/>
          <w:sz w:val="24"/>
          <w:szCs w:val="24"/>
          <w:highlight w:val="none"/>
        </w:rPr>
        <w:t>；</w:t>
      </w:r>
    </w:p>
    <w:p w14:paraId="161A1CD4">
      <w:pPr>
        <w:pStyle w:val="15"/>
        <w:tabs>
          <w:tab w:val="left" w:pos="7098"/>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02D0B1C2">
      <w:pPr>
        <w:pStyle w:val="15"/>
        <w:tabs>
          <w:tab w:val="left" w:pos="7098"/>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1B40108F">
      <w:pPr>
        <w:pStyle w:val="15"/>
        <w:tabs>
          <w:tab w:val="left" w:pos="7098"/>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6E98DE8C">
      <w:pPr>
        <w:spacing w:line="400" w:lineRule="exact"/>
        <w:ind w:right="180" w:firstLine="360" w:firstLineChars="150"/>
        <w:jc w:val="right"/>
        <w:rPr>
          <w:rFonts w:hint="eastAsia" w:ascii="宋体" w:hAnsi="宋体"/>
          <w:color w:val="auto"/>
          <w:sz w:val="24"/>
          <w:szCs w:val="24"/>
          <w:highlight w:val="none"/>
        </w:rPr>
      </w:pPr>
      <w:r>
        <w:rPr>
          <w:rFonts w:hint="eastAsia" w:ascii="宋体" w:hAnsi="宋体"/>
          <w:color w:val="auto"/>
          <w:sz w:val="24"/>
          <w:szCs w:val="24"/>
          <w:highlight w:val="none"/>
        </w:rPr>
        <w:t>单位名称：（</w:t>
      </w:r>
      <w:r>
        <w:rPr>
          <w:rFonts w:hint="eastAsia" w:ascii="宋体" w:hAnsi="宋体" w:eastAsia="宋体"/>
          <w:color w:val="auto"/>
          <w:sz w:val="24"/>
          <w:szCs w:val="24"/>
          <w:highlight w:val="none"/>
        </w:rPr>
        <w:t>加盖CA电子公章</w:t>
      </w:r>
      <w:r>
        <w:rPr>
          <w:rFonts w:hint="eastAsia" w:ascii="宋体" w:hAnsi="宋体"/>
          <w:color w:val="auto"/>
          <w:sz w:val="24"/>
          <w:szCs w:val="24"/>
          <w:highlight w:val="none"/>
        </w:rPr>
        <w:t xml:space="preserve">）                 </w:t>
      </w:r>
    </w:p>
    <w:p w14:paraId="3E949138">
      <w:pPr>
        <w:spacing w:line="400" w:lineRule="exact"/>
        <w:ind w:right="180" w:firstLine="360" w:firstLineChars="150"/>
        <w:jc w:val="right"/>
        <w:rPr>
          <w:rFonts w:hint="eastAsia" w:ascii="宋体" w:hAnsi="宋体"/>
          <w:color w:val="auto"/>
          <w:sz w:val="24"/>
          <w:szCs w:val="24"/>
          <w:highlight w:val="none"/>
        </w:rPr>
      </w:pPr>
    </w:p>
    <w:p w14:paraId="271F30F7">
      <w:pPr>
        <w:spacing w:line="400" w:lineRule="exact"/>
        <w:ind w:right="480" w:firstLine="6000" w:firstLineChars="2500"/>
        <w:rPr>
          <w:rFonts w:hint="eastAsia" w:ascii="宋体" w:hAnsi="宋体"/>
          <w:color w:val="auto"/>
          <w:sz w:val="24"/>
          <w:szCs w:val="24"/>
          <w:highlight w:val="none"/>
        </w:rPr>
      </w:pPr>
      <w:r>
        <w:rPr>
          <w:rFonts w:hint="eastAsia" w:ascii="宋体" w:hAnsi="宋体"/>
          <w:color w:val="auto"/>
          <w:sz w:val="24"/>
          <w:szCs w:val="24"/>
          <w:highlight w:val="none"/>
        </w:rPr>
        <w:t>日  期：</w:t>
      </w:r>
    </w:p>
    <w:p w14:paraId="717D5063">
      <w:pPr>
        <w:spacing w:line="4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备注：</w:t>
      </w:r>
    </w:p>
    <w:p w14:paraId="6CFF5C48">
      <w:pPr>
        <w:spacing w:line="40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1.从业人员、营业收入、资产总额填报上一年度数据，无上一年度数据的新成立企业可不填报。</w:t>
      </w:r>
    </w:p>
    <w:p w14:paraId="11DBE1E3">
      <w:pPr>
        <w:spacing w:line="4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2.专门</w:t>
      </w:r>
      <w:r>
        <w:rPr>
          <w:rFonts w:ascii="宋体" w:hAnsi="宋体"/>
          <w:color w:val="auto"/>
          <w:sz w:val="24"/>
          <w:szCs w:val="24"/>
          <w:highlight w:val="none"/>
        </w:rPr>
        <w:t>面向中小微型企业</w:t>
      </w:r>
      <w:r>
        <w:rPr>
          <w:rFonts w:hint="eastAsia" w:ascii="宋体" w:hAnsi="宋体"/>
          <w:color w:val="auto"/>
          <w:sz w:val="24"/>
          <w:szCs w:val="24"/>
          <w:highlight w:val="none"/>
        </w:rPr>
        <w:t>采购</w:t>
      </w:r>
      <w:r>
        <w:rPr>
          <w:rFonts w:ascii="宋体" w:hAnsi="宋体"/>
          <w:color w:val="auto"/>
          <w:sz w:val="24"/>
          <w:szCs w:val="24"/>
          <w:highlight w:val="none"/>
        </w:rPr>
        <w:t>的项目，</w:t>
      </w:r>
      <w:r>
        <w:rPr>
          <w:rFonts w:hint="eastAsia" w:ascii="宋体" w:hAnsi="宋体"/>
          <w:color w:val="auto"/>
          <w:sz w:val="24"/>
          <w:szCs w:val="24"/>
          <w:highlight w:val="none"/>
        </w:rPr>
        <w:t>供应商如不提供此声明函，则</w:t>
      </w:r>
      <w:r>
        <w:rPr>
          <w:rFonts w:ascii="宋体" w:hAnsi="宋体"/>
          <w:color w:val="auto"/>
          <w:sz w:val="24"/>
          <w:szCs w:val="24"/>
          <w:highlight w:val="none"/>
        </w:rPr>
        <w:t>不能通过资格审查；</w:t>
      </w:r>
      <w:r>
        <w:rPr>
          <w:rFonts w:hint="eastAsia" w:ascii="宋体" w:hAnsi="宋体"/>
          <w:color w:val="auto"/>
          <w:sz w:val="24"/>
          <w:szCs w:val="24"/>
          <w:highlight w:val="none"/>
        </w:rPr>
        <w:t>非专门</w:t>
      </w:r>
      <w:r>
        <w:rPr>
          <w:rFonts w:ascii="宋体" w:hAnsi="宋体"/>
          <w:color w:val="auto"/>
          <w:sz w:val="24"/>
          <w:szCs w:val="24"/>
          <w:highlight w:val="none"/>
        </w:rPr>
        <w:t>面向中小微型企业</w:t>
      </w:r>
      <w:r>
        <w:rPr>
          <w:rFonts w:hint="eastAsia" w:ascii="宋体" w:hAnsi="宋体"/>
          <w:color w:val="auto"/>
          <w:sz w:val="24"/>
          <w:szCs w:val="24"/>
          <w:highlight w:val="none"/>
        </w:rPr>
        <w:t>采购</w:t>
      </w:r>
      <w:r>
        <w:rPr>
          <w:rFonts w:ascii="宋体" w:hAnsi="宋体"/>
          <w:color w:val="auto"/>
          <w:sz w:val="24"/>
          <w:szCs w:val="24"/>
          <w:highlight w:val="none"/>
        </w:rPr>
        <w:t>的项目，</w:t>
      </w:r>
      <w:r>
        <w:rPr>
          <w:rFonts w:hint="eastAsia" w:ascii="宋体" w:hAnsi="宋体"/>
          <w:color w:val="auto"/>
          <w:sz w:val="24"/>
          <w:szCs w:val="24"/>
          <w:highlight w:val="none"/>
        </w:rPr>
        <w:t>供应商如不提供此声明函，价格将不做相应扣除。</w:t>
      </w:r>
    </w:p>
    <w:p w14:paraId="0F6C812B">
      <w:pPr>
        <w:spacing w:line="400" w:lineRule="exact"/>
        <w:ind w:left="540" w:leftChars="200" w:hanging="120" w:hangingChars="50"/>
        <w:rPr>
          <w:rFonts w:ascii="宋体" w:hAnsi="宋体"/>
          <w:color w:val="auto"/>
          <w:sz w:val="24"/>
          <w:szCs w:val="24"/>
          <w:highlight w:val="none"/>
        </w:rPr>
      </w:pPr>
      <w:r>
        <w:rPr>
          <w:rFonts w:hint="eastAsia" w:ascii="宋体" w:hAnsi="宋体"/>
          <w:color w:val="auto"/>
          <w:sz w:val="24"/>
          <w:szCs w:val="24"/>
          <w:highlight w:val="none"/>
        </w:rPr>
        <w:t>3.供应商应对照《工业和信息化部、国家统计局、国家发展和改革委员会、</w:t>
      </w:r>
    </w:p>
    <w:p w14:paraId="5AB7A628">
      <w:pPr>
        <w:autoSpaceDE w:val="0"/>
        <w:autoSpaceDN w:val="0"/>
        <w:adjustRightInd w:val="0"/>
        <w:snapToGrid w:val="0"/>
        <w:spacing w:line="360" w:lineRule="auto"/>
        <w:ind w:firstLine="480" w:firstLineChars="200"/>
        <w:contextualSpacing/>
        <w:rPr>
          <w:rFonts w:hint="eastAsia" w:hAnsi="宋体" w:cs="宋体"/>
          <w:color w:val="auto"/>
          <w:highlight w:val="none"/>
        </w:rPr>
      </w:pPr>
      <w:r>
        <w:rPr>
          <w:rFonts w:hint="eastAsia" w:ascii="宋体" w:hAnsi="宋体"/>
          <w:color w:val="auto"/>
          <w:sz w:val="24"/>
          <w:szCs w:val="24"/>
          <w:highlight w:val="none"/>
        </w:rPr>
        <w:t>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自行勾选</w:t>
      </w:r>
      <w:r>
        <w:rPr>
          <w:rFonts w:hint="eastAsia" w:ascii="宋体" w:hAnsi="宋体"/>
          <w:color w:val="auto"/>
          <w:sz w:val="24"/>
          <w:szCs w:val="24"/>
          <w:highlight w:val="none"/>
        </w:rPr>
        <w:t>制造商</w:t>
      </w:r>
      <w:r>
        <w:rPr>
          <w:rFonts w:ascii="宋体" w:hAnsi="宋体"/>
          <w:color w:val="auto"/>
          <w:sz w:val="24"/>
          <w:szCs w:val="24"/>
          <w:highlight w:val="none"/>
        </w:rPr>
        <w:t>的企业</w:t>
      </w:r>
      <w:r>
        <w:rPr>
          <w:rFonts w:hint="eastAsia" w:ascii="宋体" w:hAnsi="宋体"/>
          <w:color w:val="auto"/>
          <w:sz w:val="24"/>
          <w:szCs w:val="24"/>
          <w:highlight w:val="none"/>
        </w:rPr>
        <w:t>规模类型</w:t>
      </w:r>
      <w:r>
        <w:rPr>
          <w:rFonts w:ascii="宋体" w:hAnsi="宋体"/>
          <w:color w:val="auto"/>
          <w:sz w:val="24"/>
          <w:szCs w:val="24"/>
          <w:highlight w:val="none"/>
        </w:rPr>
        <w:t>。</w:t>
      </w:r>
      <w:r>
        <w:rPr>
          <w:rFonts w:hint="eastAsia" w:ascii="宋体" w:hAnsi="宋体"/>
          <w:color w:val="auto"/>
          <w:sz w:val="24"/>
          <w:szCs w:val="24"/>
          <w:highlight w:val="none"/>
        </w:rPr>
        <w:t xml:space="preserve">  </w:t>
      </w:r>
    </w:p>
    <w:p w14:paraId="526E45C4">
      <w:pPr>
        <w:pStyle w:val="15"/>
        <w:tabs>
          <w:tab w:val="left" w:pos="7098"/>
        </w:tabs>
        <w:spacing w:line="360" w:lineRule="auto"/>
        <w:ind w:firstLine="480" w:firstLineChars="200"/>
        <w:rPr>
          <w:rFonts w:hint="eastAsia" w:ascii="宋体" w:hAnsi="宋体" w:eastAsia="宋体" w:cs="宋体"/>
          <w:color w:val="auto"/>
          <w:sz w:val="24"/>
          <w:szCs w:val="24"/>
          <w:highlight w:val="none"/>
        </w:rPr>
      </w:pPr>
    </w:p>
    <w:p w14:paraId="6B7745FE">
      <w:pPr>
        <w:ind w:firstLine="4620"/>
        <w:jc w:val="left"/>
        <w:rPr>
          <w:rFonts w:cs="宋体"/>
          <w:color w:val="auto"/>
          <w:highlight w:val="none"/>
        </w:rPr>
      </w:pPr>
    </w:p>
    <w:p w14:paraId="59C520A6">
      <w:pPr>
        <w:pStyle w:val="204"/>
        <w:widowControl/>
        <w:spacing w:before="300" w:after="300" w:line="360" w:lineRule="auto"/>
        <w:jc w:val="center"/>
        <w:rPr>
          <w:rFonts w:hint="eastAsia" w:ascii="宋体" w:hAnsi="宋体" w:cs="宋体"/>
          <w:color w:val="auto"/>
          <w:sz w:val="21"/>
          <w:szCs w:val="21"/>
          <w:highlight w:val="none"/>
        </w:rPr>
      </w:pPr>
      <w:bookmarkStart w:id="218" w:name="_Toc109304977"/>
      <w:bookmarkStart w:id="219" w:name="_Toc32196"/>
      <w:r>
        <w:rPr>
          <w:rFonts w:hint="eastAsia" w:ascii="宋体" w:hAnsi="宋体" w:cs="宋体"/>
          <w:color w:val="auto"/>
          <w:sz w:val="21"/>
          <w:szCs w:val="21"/>
          <w:highlight w:val="none"/>
        </w:rPr>
        <w:t>中小微企业划型标准</w:t>
      </w:r>
      <w:bookmarkEnd w:id="218"/>
      <w:r>
        <w:rPr>
          <w:rFonts w:hint="eastAsia" w:ascii="宋体" w:hAnsi="宋体" w:cs="宋体"/>
          <w:color w:val="auto"/>
          <w:sz w:val="21"/>
          <w:szCs w:val="21"/>
          <w:highlight w:val="none"/>
        </w:rPr>
        <w:t> </w:t>
      </w:r>
      <w:bookmarkEnd w:id="219"/>
    </w:p>
    <w:p w14:paraId="7A827869">
      <w:pPr>
        <w:pStyle w:val="268"/>
        <w:spacing w:before="300" w:after="452" w:line="360" w:lineRule="auto"/>
        <w:ind w:firstLine="420"/>
        <w:rPr>
          <w:rFonts w:hint="eastAsia" w:hAnsi="宋体" w:cs="宋体"/>
          <w:color w:val="auto"/>
          <w:sz w:val="21"/>
          <w:szCs w:val="21"/>
          <w:highlight w:val="none"/>
        </w:rPr>
      </w:pPr>
      <w:r>
        <w:rPr>
          <w:rStyle w:val="276"/>
          <w:rFonts w:hint="eastAsia" w:hAnsi="宋体" w:cs="宋体"/>
          <w:color w:val="auto"/>
          <w:sz w:val="21"/>
          <w:szCs w:val="21"/>
          <w:highlight w:val="none"/>
        </w:rPr>
        <w:t>中小微企业划型标准如下：</w:t>
      </w:r>
    </w:p>
    <w:tbl>
      <w:tblPr>
        <w:tblStyle w:val="34"/>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top w:w="0" w:type="dxa"/>
          <w:left w:w="105" w:type="dxa"/>
          <w:bottom w:w="0" w:type="dxa"/>
          <w:right w:w="105" w:type="dxa"/>
        </w:tblCellMar>
      </w:tblPr>
      <w:tblGrid>
        <w:gridCol w:w="1564"/>
        <w:gridCol w:w="1884"/>
        <w:gridCol w:w="543"/>
        <w:gridCol w:w="2264"/>
        <w:gridCol w:w="1852"/>
        <w:gridCol w:w="1622"/>
      </w:tblGrid>
      <w:tr w14:paraId="2C1D3F8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85" w:hRule="atLeast"/>
          <w:tblCellSpacing w:w="15" w:type="dxa"/>
          <w:jc w:val="center"/>
        </w:trPr>
        <w:tc>
          <w:tcPr>
            <w:tcW w:w="1325" w:type="dxa"/>
            <w:tcMar>
              <w:top w:w="0" w:type="dxa"/>
              <w:left w:w="105" w:type="dxa"/>
              <w:bottom w:w="0" w:type="dxa"/>
              <w:right w:w="105" w:type="dxa"/>
            </w:tcMar>
            <w:vAlign w:val="center"/>
          </w:tcPr>
          <w:p w14:paraId="7A525ADD">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行业名称</w:t>
            </w:r>
          </w:p>
        </w:tc>
        <w:tc>
          <w:tcPr>
            <w:tcW w:w="1618" w:type="dxa"/>
            <w:tcMar>
              <w:top w:w="0" w:type="dxa"/>
              <w:left w:w="105" w:type="dxa"/>
              <w:bottom w:w="0" w:type="dxa"/>
              <w:right w:w="105" w:type="dxa"/>
            </w:tcMar>
            <w:vAlign w:val="center"/>
          </w:tcPr>
          <w:p w14:paraId="4474C0E7">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指标名称</w:t>
            </w:r>
          </w:p>
        </w:tc>
        <w:tc>
          <w:tcPr>
            <w:tcW w:w="448" w:type="dxa"/>
            <w:tcMar>
              <w:top w:w="0" w:type="dxa"/>
              <w:left w:w="105" w:type="dxa"/>
              <w:bottom w:w="0" w:type="dxa"/>
              <w:right w:w="105" w:type="dxa"/>
            </w:tcMar>
            <w:vAlign w:val="center"/>
          </w:tcPr>
          <w:p w14:paraId="4E19380E">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计量单位</w:t>
            </w:r>
          </w:p>
        </w:tc>
        <w:tc>
          <w:tcPr>
            <w:tcW w:w="1949" w:type="dxa"/>
            <w:tcMar>
              <w:top w:w="0" w:type="dxa"/>
              <w:left w:w="105" w:type="dxa"/>
              <w:bottom w:w="0" w:type="dxa"/>
              <w:right w:w="105" w:type="dxa"/>
            </w:tcMar>
            <w:vAlign w:val="center"/>
          </w:tcPr>
          <w:p w14:paraId="38885EA2">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中型</w:t>
            </w:r>
          </w:p>
        </w:tc>
        <w:tc>
          <w:tcPr>
            <w:tcW w:w="1590" w:type="dxa"/>
            <w:tcMar>
              <w:top w:w="0" w:type="dxa"/>
              <w:left w:w="105" w:type="dxa"/>
              <w:bottom w:w="0" w:type="dxa"/>
              <w:right w:w="105" w:type="dxa"/>
            </w:tcMar>
            <w:vAlign w:val="center"/>
          </w:tcPr>
          <w:p w14:paraId="62A335C1">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小型</w:t>
            </w:r>
          </w:p>
        </w:tc>
        <w:tc>
          <w:tcPr>
            <w:tcW w:w="1376" w:type="dxa"/>
            <w:tcMar>
              <w:top w:w="0" w:type="dxa"/>
              <w:left w:w="105" w:type="dxa"/>
              <w:bottom w:w="0" w:type="dxa"/>
              <w:right w:w="105" w:type="dxa"/>
            </w:tcMar>
            <w:vAlign w:val="center"/>
          </w:tcPr>
          <w:p w14:paraId="2A522334">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微型</w:t>
            </w:r>
          </w:p>
        </w:tc>
      </w:tr>
      <w:tr w14:paraId="1FC2450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tcMar>
              <w:top w:w="0" w:type="dxa"/>
              <w:left w:w="105" w:type="dxa"/>
              <w:bottom w:w="0" w:type="dxa"/>
              <w:right w:w="105" w:type="dxa"/>
            </w:tcMar>
            <w:vAlign w:val="center"/>
          </w:tcPr>
          <w:p w14:paraId="791C173B">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农、林、牧、渔</w:t>
            </w:r>
          </w:p>
        </w:tc>
        <w:tc>
          <w:tcPr>
            <w:tcW w:w="1618" w:type="dxa"/>
            <w:tcMar>
              <w:top w:w="0" w:type="dxa"/>
              <w:left w:w="105" w:type="dxa"/>
              <w:bottom w:w="0" w:type="dxa"/>
              <w:right w:w="105" w:type="dxa"/>
            </w:tcMar>
            <w:vAlign w:val="center"/>
          </w:tcPr>
          <w:p w14:paraId="45B41ACF">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29755217">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14DAFC7F">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500≤Y＜20000</w:t>
            </w:r>
          </w:p>
        </w:tc>
        <w:tc>
          <w:tcPr>
            <w:tcW w:w="1590" w:type="dxa"/>
            <w:tcMar>
              <w:top w:w="0" w:type="dxa"/>
              <w:left w:w="105" w:type="dxa"/>
              <w:bottom w:w="0" w:type="dxa"/>
              <w:right w:w="105" w:type="dxa"/>
            </w:tcMar>
            <w:vAlign w:val="center"/>
          </w:tcPr>
          <w:p w14:paraId="30155A32">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50≤Y＜500</w:t>
            </w:r>
          </w:p>
        </w:tc>
        <w:tc>
          <w:tcPr>
            <w:tcW w:w="1376" w:type="dxa"/>
            <w:tcMar>
              <w:top w:w="0" w:type="dxa"/>
              <w:left w:w="105" w:type="dxa"/>
              <w:bottom w:w="0" w:type="dxa"/>
              <w:right w:w="105" w:type="dxa"/>
            </w:tcMar>
            <w:vAlign w:val="center"/>
          </w:tcPr>
          <w:p w14:paraId="3E3203A2">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Y＜50</w:t>
            </w:r>
          </w:p>
        </w:tc>
      </w:tr>
      <w:tr w14:paraId="4D15719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7ADEFBF3">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工业</w:t>
            </w:r>
          </w:p>
        </w:tc>
        <w:tc>
          <w:tcPr>
            <w:tcW w:w="1618" w:type="dxa"/>
            <w:tcMar>
              <w:top w:w="0" w:type="dxa"/>
              <w:left w:w="105" w:type="dxa"/>
              <w:bottom w:w="0" w:type="dxa"/>
              <w:right w:w="105" w:type="dxa"/>
            </w:tcMar>
            <w:vAlign w:val="center"/>
          </w:tcPr>
          <w:p w14:paraId="57749462">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2E6D5E3A">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34C49CC1">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300≤X＜1000</w:t>
            </w:r>
          </w:p>
        </w:tc>
        <w:tc>
          <w:tcPr>
            <w:tcW w:w="1590" w:type="dxa"/>
            <w:tcMar>
              <w:top w:w="0" w:type="dxa"/>
              <w:left w:w="105" w:type="dxa"/>
              <w:bottom w:w="0" w:type="dxa"/>
              <w:right w:w="105" w:type="dxa"/>
            </w:tcMar>
            <w:vAlign w:val="center"/>
          </w:tcPr>
          <w:p w14:paraId="75BE6F1A">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20≤X＜300</w:t>
            </w:r>
          </w:p>
        </w:tc>
        <w:tc>
          <w:tcPr>
            <w:tcW w:w="1376" w:type="dxa"/>
            <w:tcMar>
              <w:top w:w="0" w:type="dxa"/>
              <w:left w:w="105" w:type="dxa"/>
              <w:bottom w:w="0" w:type="dxa"/>
              <w:right w:w="105" w:type="dxa"/>
            </w:tcMar>
            <w:vAlign w:val="center"/>
          </w:tcPr>
          <w:p w14:paraId="25B9343B">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X＜20</w:t>
            </w:r>
          </w:p>
        </w:tc>
      </w:tr>
      <w:tr w14:paraId="1DA07EC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4AB42DA9">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7D488AE0">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6304B573">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46B1E334">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2000≤Y＜40000</w:t>
            </w:r>
          </w:p>
        </w:tc>
        <w:tc>
          <w:tcPr>
            <w:tcW w:w="1590" w:type="dxa"/>
            <w:tcMar>
              <w:top w:w="0" w:type="dxa"/>
              <w:left w:w="105" w:type="dxa"/>
              <w:bottom w:w="0" w:type="dxa"/>
              <w:right w:w="105" w:type="dxa"/>
            </w:tcMar>
            <w:vAlign w:val="center"/>
          </w:tcPr>
          <w:p w14:paraId="31662758">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300≤Y＜2000</w:t>
            </w:r>
          </w:p>
        </w:tc>
        <w:tc>
          <w:tcPr>
            <w:tcW w:w="1376" w:type="dxa"/>
            <w:tcMar>
              <w:top w:w="0" w:type="dxa"/>
              <w:left w:w="105" w:type="dxa"/>
              <w:bottom w:w="0" w:type="dxa"/>
              <w:right w:w="105" w:type="dxa"/>
            </w:tcMar>
            <w:vAlign w:val="center"/>
          </w:tcPr>
          <w:p w14:paraId="37003290">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Y＜300</w:t>
            </w:r>
          </w:p>
        </w:tc>
      </w:tr>
      <w:tr w14:paraId="43CEB4A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312B6DAF">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建筑业</w:t>
            </w:r>
          </w:p>
        </w:tc>
        <w:tc>
          <w:tcPr>
            <w:tcW w:w="1618" w:type="dxa"/>
            <w:tcMar>
              <w:top w:w="0" w:type="dxa"/>
              <w:left w:w="105" w:type="dxa"/>
              <w:bottom w:w="0" w:type="dxa"/>
              <w:right w:w="105" w:type="dxa"/>
            </w:tcMar>
            <w:vAlign w:val="center"/>
          </w:tcPr>
          <w:p w14:paraId="6A1B958F">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3F4577A0">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670B0572">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6000≤Y＜80000</w:t>
            </w:r>
          </w:p>
        </w:tc>
        <w:tc>
          <w:tcPr>
            <w:tcW w:w="1590" w:type="dxa"/>
            <w:tcMar>
              <w:top w:w="0" w:type="dxa"/>
              <w:left w:w="105" w:type="dxa"/>
              <w:bottom w:w="0" w:type="dxa"/>
              <w:right w:w="105" w:type="dxa"/>
            </w:tcMar>
            <w:vAlign w:val="center"/>
          </w:tcPr>
          <w:p w14:paraId="2CDCDBD4">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300≤Y＜6000</w:t>
            </w:r>
          </w:p>
        </w:tc>
        <w:tc>
          <w:tcPr>
            <w:tcW w:w="1376" w:type="dxa"/>
            <w:tcMar>
              <w:top w:w="0" w:type="dxa"/>
              <w:left w:w="105" w:type="dxa"/>
              <w:bottom w:w="0" w:type="dxa"/>
              <w:right w:w="105" w:type="dxa"/>
            </w:tcMar>
            <w:vAlign w:val="center"/>
          </w:tcPr>
          <w:p w14:paraId="2FEA1FB2">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Y＜300</w:t>
            </w:r>
          </w:p>
        </w:tc>
      </w:tr>
      <w:tr w14:paraId="273092B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6BF60F7C">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59BD028E">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资产总额（Z）</w:t>
            </w:r>
          </w:p>
        </w:tc>
        <w:tc>
          <w:tcPr>
            <w:tcW w:w="448" w:type="dxa"/>
            <w:tcMar>
              <w:top w:w="0" w:type="dxa"/>
              <w:left w:w="105" w:type="dxa"/>
              <w:bottom w:w="0" w:type="dxa"/>
              <w:right w:w="105" w:type="dxa"/>
            </w:tcMar>
            <w:vAlign w:val="center"/>
          </w:tcPr>
          <w:p w14:paraId="4317DAD3">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0532B74F">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5000≤Z＜80000</w:t>
            </w:r>
          </w:p>
        </w:tc>
        <w:tc>
          <w:tcPr>
            <w:tcW w:w="1590" w:type="dxa"/>
            <w:tcMar>
              <w:top w:w="0" w:type="dxa"/>
              <w:left w:w="105" w:type="dxa"/>
              <w:bottom w:w="0" w:type="dxa"/>
              <w:right w:w="105" w:type="dxa"/>
            </w:tcMar>
            <w:vAlign w:val="center"/>
          </w:tcPr>
          <w:p w14:paraId="05AEFF56">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300≤Z＜5000</w:t>
            </w:r>
          </w:p>
        </w:tc>
        <w:tc>
          <w:tcPr>
            <w:tcW w:w="1376" w:type="dxa"/>
            <w:tcMar>
              <w:top w:w="0" w:type="dxa"/>
              <w:left w:w="105" w:type="dxa"/>
              <w:bottom w:w="0" w:type="dxa"/>
              <w:right w:w="105" w:type="dxa"/>
            </w:tcMar>
            <w:vAlign w:val="center"/>
          </w:tcPr>
          <w:p w14:paraId="25862B1C">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Z＜300</w:t>
            </w:r>
          </w:p>
        </w:tc>
      </w:tr>
      <w:tr w14:paraId="1263065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0D7A0DAB">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批发业</w:t>
            </w:r>
          </w:p>
        </w:tc>
        <w:tc>
          <w:tcPr>
            <w:tcW w:w="1618" w:type="dxa"/>
            <w:tcMar>
              <w:top w:w="0" w:type="dxa"/>
              <w:left w:w="105" w:type="dxa"/>
              <w:bottom w:w="0" w:type="dxa"/>
              <w:right w:w="105" w:type="dxa"/>
            </w:tcMar>
            <w:vAlign w:val="center"/>
          </w:tcPr>
          <w:p w14:paraId="1E6B04A8">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0A9E68F7">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7A2D8D97">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20≤X＜200</w:t>
            </w:r>
          </w:p>
        </w:tc>
        <w:tc>
          <w:tcPr>
            <w:tcW w:w="1590" w:type="dxa"/>
            <w:tcMar>
              <w:top w:w="0" w:type="dxa"/>
              <w:left w:w="105" w:type="dxa"/>
              <w:bottom w:w="0" w:type="dxa"/>
              <w:right w:w="105" w:type="dxa"/>
            </w:tcMar>
            <w:vAlign w:val="center"/>
          </w:tcPr>
          <w:p w14:paraId="409DCD18">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5≤X＜20</w:t>
            </w:r>
          </w:p>
        </w:tc>
        <w:tc>
          <w:tcPr>
            <w:tcW w:w="1376" w:type="dxa"/>
            <w:tcMar>
              <w:top w:w="0" w:type="dxa"/>
              <w:left w:w="105" w:type="dxa"/>
              <w:bottom w:w="0" w:type="dxa"/>
              <w:right w:w="105" w:type="dxa"/>
            </w:tcMar>
            <w:vAlign w:val="center"/>
          </w:tcPr>
          <w:p w14:paraId="00D1F9A6">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X＜5</w:t>
            </w:r>
          </w:p>
        </w:tc>
      </w:tr>
      <w:tr w14:paraId="1764BD1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7BF5D698">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21367F04">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42B38D00">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7D351CF3">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5000≤Y＜40000</w:t>
            </w:r>
          </w:p>
        </w:tc>
        <w:tc>
          <w:tcPr>
            <w:tcW w:w="1590" w:type="dxa"/>
            <w:tcMar>
              <w:top w:w="0" w:type="dxa"/>
              <w:left w:w="105" w:type="dxa"/>
              <w:bottom w:w="0" w:type="dxa"/>
              <w:right w:w="105" w:type="dxa"/>
            </w:tcMar>
            <w:vAlign w:val="center"/>
          </w:tcPr>
          <w:p w14:paraId="79A4A251">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1000≤Y＜5000</w:t>
            </w:r>
          </w:p>
        </w:tc>
        <w:tc>
          <w:tcPr>
            <w:tcW w:w="1376" w:type="dxa"/>
            <w:tcMar>
              <w:top w:w="0" w:type="dxa"/>
              <w:left w:w="105" w:type="dxa"/>
              <w:bottom w:w="0" w:type="dxa"/>
              <w:right w:w="105" w:type="dxa"/>
            </w:tcMar>
            <w:vAlign w:val="center"/>
          </w:tcPr>
          <w:p w14:paraId="3BF3E9FF">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Y＜1000</w:t>
            </w:r>
          </w:p>
        </w:tc>
      </w:tr>
      <w:tr w14:paraId="08729C9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0EB80DCE">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零售业</w:t>
            </w:r>
          </w:p>
        </w:tc>
        <w:tc>
          <w:tcPr>
            <w:tcW w:w="1618" w:type="dxa"/>
            <w:tcMar>
              <w:top w:w="0" w:type="dxa"/>
              <w:left w:w="105" w:type="dxa"/>
              <w:bottom w:w="0" w:type="dxa"/>
              <w:right w:w="105" w:type="dxa"/>
            </w:tcMar>
            <w:vAlign w:val="center"/>
          </w:tcPr>
          <w:p w14:paraId="45F64C83">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14E20BAB">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3EE65CF0">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50≤X＜300</w:t>
            </w:r>
          </w:p>
        </w:tc>
        <w:tc>
          <w:tcPr>
            <w:tcW w:w="1590" w:type="dxa"/>
            <w:tcMar>
              <w:top w:w="0" w:type="dxa"/>
              <w:left w:w="105" w:type="dxa"/>
              <w:bottom w:w="0" w:type="dxa"/>
              <w:right w:w="105" w:type="dxa"/>
            </w:tcMar>
            <w:vAlign w:val="center"/>
          </w:tcPr>
          <w:p w14:paraId="26883769">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10≤X＜50</w:t>
            </w:r>
          </w:p>
        </w:tc>
        <w:tc>
          <w:tcPr>
            <w:tcW w:w="1376" w:type="dxa"/>
            <w:tcMar>
              <w:top w:w="0" w:type="dxa"/>
              <w:left w:w="105" w:type="dxa"/>
              <w:bottom w:w="0" w:type="dxa"/>
              <w:right w:w="105" w:type="dxa"/>
            </w:tcMar>
            <w:vAlign w:val="center"/>
          </w:tcPr>
          <w:p w14:paraId="52C270EA">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X＜10</w:t>
            </w:r>
          </w:p>
        </w:tc>
      </w:tr>
      <w:tr w14:paraId="5508617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2FED6588">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415CD9BD">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2219FE81">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5A456258">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500≤Y＜20000</w:t>
            </w:r>
          </w:p>
        </w:tc>
        <w:tc>
          <w:tcPr>
            <w:tcW w:w="1590" w:type="dxa"/>
            <w:tcMar>
              <w:top w:w="0" w:type="dxa"/>
              <w:left w:w="105" w:type="dxa"/>
              <w:bottom w:w="0" w:type="dxa"/>
              <w:right w:w="105" w:type="dxa"/>
            </w:tcMar>
            <w:vAlign w:val="center"/>
          </w:tcPr>
          <w:p w14:paraId="32DAAEC0">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100≤Y＜500</w:t>
            </w:r>
          </w:p>
        </w:tc>
        <w:tc>
          <w:tcPr>
            <w:tcW w:w="1376" w:type="dxa"/>
            <w:tcMar>
              <w:top w:w="0" w:type="dxa"/>
              <w:left w:w="105" w:type="dxa"/>
              <w:bottom w:w="0" w:type="dxa"/>
              <w:right w:w="105" w:type="dxa"/>
            </w:tcMar>
            <w:vAlign w:val="center"/>
          </w:tcPr>
          <w:p w14:paraId="0A6EBAFE">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Y＜100</w:t>
            </w:r>
          </w:p>
        </w:tc>
      </w:tr>
      <w:tr w14:paraId="43A2D62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3D8EE43F">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交通运输业</w:t>
            </w:r>
          </w:p>
        </w:tc>
        <w:tc>
          <w:tcPr>
            <w:tcW w:w="1618" w:type="dxa"/>
            <w:tcMar>
              <w:top w:w="0" w:type="dxa"/>
              <w:left w:w="105" w:type="dxa"/>
              <w:bottom w:w="0" w:type="dxa"/>
              <w:right w:w="105" w:type="dxa"/>
            </w:tcMar>
            <w:vAlign w:val="center"/>
          </w:tcPr>
          <w:p w14:paraId="2DD72792">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3215C7FC">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08A5CE04">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300≤X＜1000</w:t>
            </w:r>
          </w:p>
        </w:tc>
        <w:tc>
          <w:tcPr>
            <w:tcW w:w="1590" w:type="dxa"/>
            <w:tcMar>
              <w:top w:w="0" w:type="dxa"/>
              <w:left w:w="105" w:type="dxa"/>
              <w:bottom w:w="0" w:type="dxa"/>
              <w:right w:w="105" w:type="dxa"/>
            </w:tcMar>
            <w:vAlign w:val="center"/>
          </w:tcPr>
          <w:p w14:paraId="5BDD1D28">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20≤X＜300</w:t>
            </w:r>
          </w:p>
        </w:tc>
        <w:tc>
          <w:tcPr>
            <w:tcW w:w="1376" w:type="dxa"/>
            <w:tcMar>
              <w:top w:w="0" w:type="dxa"/>
              <w:left w:w="105" w:type="dxa"/>
              <w:bottom w:w="0" w:type="dxa"/>
              <w:right w:w="105" w:type="dxa"/>
            </w:tcMar>
            <w:vAlign w:val="center"/>
          </w:tcPr>
          <w:p w14:paraId="4CB48017">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X＜20</w:t>
            </w:r>
          </w:p>
        </w:tc>
      </w:tr>
      <w:tr w14:paraId="3D73324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58FEBAA2">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3F4ACD97">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33BDF38C">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19350599">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3000≤Y＜30000</w:t>
            </w:r>
          </w:p>
        </w:tc>
        <w:tc>
          <w:tcPr>
            <w:tcW w:w="1590" w:type="dxa"/>
            <w:tcMar>
              <w:top w:w="0" w:type="dxa"/>
              <w:left w:w="105" w:type="dxa"/>
              <w:bottom w:w="0" w:type="dxa"/>
              <w:right w:w="105" w:type="dxa"/>
            </w:tcMar>
            <w:vAlign w:val="center"/>
          </w:tcPr>
          <w:p w14:paraId="222479DA">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200≤Y＜3000</w:t>
            </w:r>
          </w:p>
        </w:tc>
        <w:tc>
          <w:tcPr>
            <w:tcW w:w="1376" w:type="dxa"/>
            <w:tcMar>
              <w:top w:w="0" w:type="dxa"/>
              <w:left w:w="105" w:type="dxa"/>
              <w:bottom w:w="0" w:type="dxa"/>
              <w:right w:w="105" w:type="dxa"/>
            </w:tcMar>
            <w:vAlign w:val="center"/>
          </w:tcPr>
          <w:p w14:paraId="6C636DAB">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Y＜200</w:t>
            </w:r>
          </w:p>
        </w:tc>
      </w:tr>
      <w:tr w14:paraId="52E7BF9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075CC30F">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仓储业</w:t>
            </w:r>
          </w:p>
        </w:tc>
        <w:tc>
          <w:tcPr>
            <w:tcW w:w="1618" w:type="dxa"/>
            <w:tcMar>
              <w:top w:w="0" w:type="dxa"/>
              <w:left w:w="105" w:type="dxa"/>
              <w:bottom w:w="0" w:type="dxa"/>
              <w:right w:w="105" w:type="dxa"/>
            </w:tcMar>
            <w:vAlign w:val="center"/>
          </w:tcPr>
          <w:p w14:paraId="0CB3D432">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69E0290D">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5793BBFA">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100≤X＜200</w:t>
            </w:r>
          </w:p>
        </w:tc>
        <w:tc>
          <w:tcPr>
            <w:tcW w:w="1590" w:type="dxa"/>
            <w:tcMar>
              <w:top w:w="0" w:type="dxa"/>
              <w:left w:w="105" w:type="dxa"/>
              <w:bottom w:w="0" w:type="dxa"/>
              <w:right w:w="105" w:type="dxa"/>
            </w:tcMar>
            <w:vAlign w:val="center"/>
          </w:tcPr>
          <w:p w14:paraId="599F4102">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20≤X＜100</w:t>
            </w:r>
          </w:p>
        </w:tc>
        <w:tc>
          <w:tcPr>
            <w:tcW w:w="1376" w:type="dxa"/>
            <w:tcMar>
              <w:top w:w="0" w:type="dxa"/>
              <w:left w:w="105" w:type="dxa"/>
              <w:bottom w:w="0" w:type="dxa"/>
              <w:right w:w="105" w:type="dxa"/>
            </w:tcMar>
            <w:vAlign w:val="center"/>
          </w:tcPr>
          <w:p w14:paraId="4D8DC5BD">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X＜20</w:t>
            </w:r>
          </w:p>
        </w:tc>
      </w:tr>
      <w:tr w14:paraId="202422C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1FAE258E">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76E36B4F">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0D98B4C8">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365C1288">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1000≤Y＜30000</w:t>
            </w:r>
          </w:p>
        </w:tc>
        <w:tc>
          <w:tcPr>
            <w:tcW w:w="1590" w:type="dxa"/>
            <w:tcMar>
              <w:top w:w="0" w:type="dxa"/>
              <w:left w:w="105" w:type="dxa"/>
              <w:bottom w:w="0" w:type="dxa"/>
              <w:right w:w="105" w:type="dxa"/>
            </w:tcMar>
            <w:vAlign w:val="center"/>
          </w:tcPr>
          <w:p w14:paraId="053FB5E4">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100≤Y＜1000</w:t>
            </w:r>
          </w:p>
        </w:tc>
        <w:tc>
          <w:tcPr>
            <w:tcW w:w="1376" w:type="dxa"/>
            <w:tcMar>
              <w:top w:w="0" w:type="dxa"/>
              <w:left w:w="105" w:type="dxa"/>
              <w:bottom w:w="0" w:type="dxa"/>
              <w:right w:w="105" w:type="dxa"/>
            </w:tcMar>
            <w:vAlign w:val="center"/>
          </w:tcPr>
          <w:p w14:paraId="78318E11">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Y＜100</w:t>
            </w:r>
          </w:p>
        </w:tc>
      </w:tr>
      <w:tr w14:paraId="579D9F2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25561444">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邮政业</w:t>
            </w:r>
          </w:p>
        </w:tc>
        <w:tc>
          <w:tcPr>
            <w:tcW w:w="1618" w:type="dxa"/>
            <w:tcMar>
              <w:top w:w="0" w:type="dxa"/>
              <w:left w:w="105" w:type="dxa"/>
              <w:bottom w:w="0" w:type="dxa"/>
              <w:right w:w="105" w:type="dxa"/>
            </w:tcMar>
            <w:vAlign w:val="center"/>
          </w:tcPr>
          <w:p w14:paraId="7254397C">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242E4083">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1D6D9BD0">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300≤X＜1000</w:t>
            </w:r>
          </w:p>
        </w:tc>
        <w:tc>
          <w:tcPr>
            <w:tcW w:w="1590" w:type="dxa"/>
            <w:tcMar>
              <w:top w:w="0" w:type="dxa"/>
              <w:left w:w="105" w:type="dxa"/>
              <w:bottom w:w="0" w:type="dxa"/>
              <w:right w:w="105" w:type="dxa"/>
            </w:tcMar>
            <w:vAlign w:val="center"/>
          </w:tcPr>
          <w:p w14:paraId="10FF3336">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20≤X＜300</w:t>
            </w:r>
          </w:p>
        </w:tc>
        <w:tc>
          <w:tcPr>
            <w:tcW w:w="1376" w:type="dxa"/>
            <w:tcMar>
              <w:top w:w="0" w:type="dxa"/>
              <w:left w:w="105" w:type="dxa"/>
              <w:bottom w:w="0" w:type="dxa"/>
              <w:right w:w="105" w:type="dxa"/>
            </w:tcMar>
            <w:vAlign w:val="center"/>
          </w:tcPr>
          <w:p w14:paraId="295C5E62">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X＜20</w:t>
            </w:r>
          </w:p>
        </w:tc>
      </w:tr>
      <w:tr w14:paraId="6439DC5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54F08FC9">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2BC8F753">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57C4F4CE">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39F071E1">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2000≤Y＜30000</w:t>
            </w:r>
          </w:p>
        </w:tc>
        <w:tc>
          <w:tcPr>
            <w:tcW w:w="1590" w:type="dxa"/>
            <w:tcMar>
              <w:top w:w="0" w:type="dxa"/>
              <w:left w:w="105" w:type="dxa"/>
              <w:bottom w:w="0" w:type="dxa"/>
              <w:right w:w="105" w:type="dxa"/>
            </w:tcMar>
            <w:vAlign w:val="center"/>
          </w:tcPr>
          <w:p w14:paraId="584DA5EB">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100≤Y＜2000</w:t>
            </w:r>
          </w:p>
        </w:tc>
        <w:tc>
          <w:tcPr>
            <w:tcW w:w="1376" w:type="dxa"/>
            <w:tcMar>
              <w:top w:w="0" w:type="dxa"/>
              <w:left w:w="105" w:type="dxa"/>
              <w:bottom w:w="0" w:type="dxa"/>
              <w:right w:w="105" w:type="dxa"/>
            </w:tcMar>
            <w:vAlign w:val="center"/>
          </w:tcPr>
          <w:p w14:paraId="35E318C4">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Y＜100</w:t>
            </w:r>
          </w:p>
        </w:tc>
      </w:tr>
      <w:tr w14:paraId="4FACE98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1AC7A85D">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住宿业</w:t>
            </w:r>
          </w:p>
        </w:tc>
        <w:tc>
          <w:tcPr>
            <w:tcW w:w="1618" w:type="dxa"/>
            <w:tcMar>
              <w:top w:w="0" w:type="dxa"/>
              <w:left w:w="105" w:type="dxa"/>
              <w:bottom w:w="0" w:type="dxa"/>
              <w:right w:w="105" w:type="dxa"/>
            </w:tcMar>
            <w:vAlign w:val="center"/>
          </w:tcPr>
          <w:p w14:paraId="7892C3AF">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316A10DA">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4D1553D6">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100≤X＜300</w:t>
            </w:r>
          </w:p>
        </w:tc>
        <w:tc>
          <w:tcPr>
            <w:tcW w:w="1590" w:type="dxa"/>
            <w:tcMar>
              <w:top w:w="0" w:type="dxa"/>
              <w:left w:w="105" w:type="dxa"/>
              <w:bottom w:w="0" w:type="dxa"/>
              <w:right w:w="105" w:type="dxa"/>
            </w:tcMar>
            <w:vAlign w:val="center"/>
          </w:tcPr>
          <w:p w14:paraId="463E0E03">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10≤X＜100</w:t>
            </w:r>
          </w:p>
        </w:tc>
        <w:tc>
          <w:tcPr>
            <w:tcW w:w="1376" w:type="dxa"/>
            <w:tcMar>
              <w:top w:w="0" w:type="dxa"/>
              <w:left w:w="105" w:type="dxa"/>
              <w:bottom w:w="0" w:type="dxa"/>
              <w:right w:w="105" w:type="dxa"/>
            </w:tcMar>
            <w:vAlign w:val="center"/>
          </w:tcPr>
          <w:p w14:paraId="55AC57B0">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X＜10</w:t>
            </w:r>
          </w:p>
        </w:tc>
      </w:tr>
      <w:tr w14:paraId="368976A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3787E424">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73481BD5">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3060A3A8">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06731F74">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2000≤Y＜10000</w:t>
            </w:r>
          </w:p>
        </w:tc>
        <w:tc>
          <w:tcPr>
            <w:tcW w:w="1590" w:type="dxa"/>
            <w:tcMar>
              <w:top w:w="0" w:type="dxa"/>
              <w:left w:w="105" w:type="dxa"/>
              <w:bottom w:w="0" w:type="dxa"/>
              <w:right w:w="105" w:type="dxa"/>
            </w:tcMar>
            <w:vAlign w:val="center"/>
          </w:tcPr>
          <w:p w14:paraId="098A5A32">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100≤Y＜2000</w:t>
            </w:r>
          </w:p>
        </w:tc>
        <w:tc>
          <w:tcPr>
            <w:tcW w:w="1376" w:type="dxa"/>
            <w:tcMar>
              <w:top w:w="0" w:type="dxa"/>
              <w:left w:w="105" w:type="dxa"/>
              <w:bottom w:w="0" w:type="dxa"/>
              <w:right w:w="105" w:type="dxa"/>
            </w:tcMar>
            <w:vAlign w:val="center"/>
          </w:tcPr>
          <w:p w14:paraId="1BB2D45B">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Y＜100</w:t>
            </w:r>
          </w:p>
        </w:tc>
      </w:tr>
      <w:tr w14:paraId="5F9B2FC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5298FAF2">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餐饮业</w:t>
            </w:r>
          </w:p>
        </w:tc>
        <w:tc>
          <w:tcPr>
            <w:tcW w:w="1618" w:type="dxa"/>
            <w:tcMar>
              <w:top w:w="0" w:type="dxa"/>
              <w:left w:w="105" w:type="dxa"/>
              <w:bottom w:w="0" w:type="dxa"/>
              <w:right w:w="105" w:type="dxa"/>
            </w:tcMar>
            <w:vAlign w:val="center"/>
          </w:tcPr>
          <w:p w14:paraId="51DFE470">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154B8451">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0D1FD2EC">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100≤X＜300</w:t>
            </w:r>
          </w:p>
        </w:tc>
        <w:tc>
          <w:tcPr>
            <w:tcW w:w="1590" w:type="dxa"/>
            <w:tcMar>
              <w:top w:w="0" w:type="dxa"/>
              <w:left w:w="105" w:type="dxa"/>
              <w:bottom w:w="0" w:type="dxa"/>
              <w:right w:w="105" w:type="dxa"/>
            </w:tcMar>
            <w:vAlign w:val="center"/>
          </w:tcPr>
          <w:p w14:paraId="18EB63C1">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10≤X＜100</w:t>
            </w:r>
          </w:p>
        </w:tc>
        <w:tc>
          <w:tcPr>
            <w:tcW w:w="1376" w:type="dxa"/>
            <w:tcMar>
              <w:top w:w="0" w:type="dxa"/>
              <w:left w:w="105" w:type="dxa"/>
              <w:bottom w:w="0" w:type="dxa"/>
              <w:right w:w="105" w:type="dxa"/>
            </w:tcMar>
            <w:vAlign w:val="center"/>
          </w:tcPr>
          <w:p w14:paraId="195EA98C">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X＜10</w:t>
            </w:r>
          </w:p>
        </w:tc>
      </w:tr>
      <w:tr w14:paraId="68E4FC3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5F85EAC5">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2F8C67DA">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3878D955">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0F366221">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2000≤Y＜10000</w:t>
            </w:r>
          </w:p>
        </w:tc>
        <w:tc>
          <w:tcPr>
            <w:tcW w:w="1590" w:type="dxa"/>
            <w:tcMar>
              <w:top w:w="0" w:type="dxa"/>
              <w:left w:w="105" w:type="dxa"/>
              <w:bottom w:w="0" w:type="dxa"/>
              <w:right w:w="105" w:type="dxa"/>
            </w:tcMar>
            <w:vAlign w:val="center"/>
          </w:tcPr>
          <w:p w14:paraId="345F5412">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100≤Y＜2000</w:t>
            </w:r>
          </w:p>
        </w:tc>
        <w:tc>
          <w:tcPr>
            <w:tcW w:w="1376" w:type="dxa"/>
            <w:tcMar>
              <w:top w:w="0" w:type="dxa"/>
              <w:left w:w="105" w:type="dxa"/>
              <w:bottom w:w="0" w:type="dxa"/>
              <w:right w:w="105" w:type="dxa"/>
            </w:tcMar>
            <w:vAlign w:val="center"/>
          </w:tcPr>
          <w:p w14:paraId="48290656">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Y＜100</w:t>
            </w:r>
          </w:p>
        </w:tc>
      </w:tr>
      <w:tr w14:paraId="25C8A0A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33AD98B0">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信息传输业</w:t>
            </w:r>
          </w:p>
        </w:tc>
        <w:tc>
          <w:tcPr>
            <w:tcW w:w="1618" w:type="dxa"/>
            <w:tcMar>
              <w:top w:w="0" w:type="dxa"/>
              <w:left w:w="105" w:type="dxa"/>
              <w:bottom w:w="0" w:type="dxa"/>
              <w:right w:w="105" w:type="dxa"/>
            </w:tcMar>
            <w:vAlign w:val="center"/>
          </w:tcPr>
          <w:p w14:paraId="25C75A53">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6BE0F971">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30CE5558">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100≤X＜2000</w:t>
            </w:r>
          </w:p>
        </w:tc>
        <w:tc>
          <w:tcPr>
            <w:tcW w:w="1590" w:type="dxa"/>
            <w:tcMar>
              <w:top w:w="0" w:type="dxa"/>
              <w:left w:w="105" w:type="dxa"/>
              <w:bottom w:w="0" w:type="dxa"/>
              <w:right w:w="105" w:type="dxa"/>
            </w:tcMar>
            <w:vAlign w:val="center"/>
          </w:tcPr>
          <w:p w14:paraId="76ACDD05">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10≤X＜100</w:t>
            </w:r>
          </w:p>
        </w:tc>
        <w:tc>
          <w:tcPr>
            <w:tcW w:w="1376" w:type="dxa"/>
            <w:tcMar>
              <w:top w:w="0" w:type="dxa"/>
              <w:left w:w="105" w:type="dxa"/>
              <w:bottom w:w="0" w:type="dxa"/>
              <w:right w:w="105" w:type="dxa"/>
            </w:tcMar>
            <w:vAlign w:val="center"/>
          </w:tcPr>
          <w:p w14:paraId="60A7F0AA">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X＜10</w:t>
            </w:r>
          </w:p>
        </w:tc>
      </w:tr>
      <w:tr w14:paraId="6541461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1CC8A414">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584B5294">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5CABE443">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4960B8C7">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1000≤Y＜100000</w:t>
            </w:r>
          </w:p>
        </w:tc>
        <w:tc>
          <w:tcPr>
            <w:tcW w:w="1590" w:type="dxa"/>
            <w:tcMar>
              <w:top w:w="0" w:type="dxa"/>
              <w:left w:w="105" w:type="dxa"/>
              <w:bottom w:w="0" w:type="dxa"/>
              <w:right w:w="105" w:type="dxa"/>
            </w:tcMar>
            <w:vAlign w:val="center"/>
          </w:tcPr>
          <w:p w14:paraId="1E9D8D5A">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100≤Y＜1000</w:t>
            </w:r>
          </w:p>
        </w:tc>
        <w:tc>
          <w:tcPr>
            <w:tcW w:w="1376" w:type="dxa"/>
            <w:tcMar>
              <w:top w:w="0" w:type="dxa"/>
              <w:left w:w="105" w:type="dxa"/>
              <w:bottom w:w="0" w:type="dxa"/>
              <w:right w:w="105" w:type="dxa"/>
            </w:tcMar>
            <w:vAlign w:val="center"/>
          </w:tcPr>
          <w:p w14:paraId="1D446E1E">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Y＜100</w:t>
            </w:r>
          </w:p>
        </w:tc>
      </w:tr>
      <w:tr w14:paraId="3E5997F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142BE935">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软件和信息技术服务业</w:t>
            </w:r>
          </w:p>
        </w:tc>
        <w:tc>
          <w:tcPr>
            <w:tcW w:w="1618" w:type="dxa"/>
            <w:tcMar>
              <w:top w:w="0" w:type="dxa"/>
              <w:left w:w="105" w:type="dxa"/>
              <w:bottom w:w="0" w:type="dxa"/>
              <w:right w:w="105" w:type="dxa"/>
            </w:tcMar>
            <w:vAlign w:val="center"/>
          </w:tcPr>
          <w:p w14:paraId="739E56D7">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1C7665FA">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0532E2A5">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100≤X＜300</w:t>
            </w:r>
          </w:p>
        </w:tc>
        <w:tc>
          <w:tcPr>
            <w:tcW w:w="1590" w:type="dxa"/>
            <w:tcMar>
              <w:top w:w="0" w:type="dxa"/>
              <w:left w:w="105" w:type="dxa"/>
              <w:bottom w:w="0" w:type="dxa"/>
              <w:right w:w="105" w:type="dxa"/>
            </w:tcMar>
            <w:vAlign w:val="center"/>
          </w:tcPr>
          <w:p w14:paraId="0C2D779C">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10≤X＜100</w:t>
            </w:r>
          </w:p>
        </w:tc>
        <w:tc>
          <w:tcPr>
            <w:tcW w:w="1376" w:type="dxa"/>
            <w:tcMar>
              <w:top w:w="0" w:type="dxa"/>
              <w:left w:w="105" w:type="dxa"/>
              <w:bottom w:w="0" w:type="dxa"/>
              <w:right w:w="105" w:type="dxa"/>
            </w:tcMar>
            <w:vAlign w:val="center"/>
          </w:tcPr>
          <w:p w14:paraId="475260D5">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X＜10</w:t>
            </w:r>
          </w:p>
        </w:tc>
      </w:tr>
      <w:tr w14:paraId="4F70739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0E275DE9">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174A6733">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1C65C1CF">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06C8D11C">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1000≤Y＜10000</w:t>
            </w:r>
          </w:p>
        </w:tc>
        <w:tc>
          <w:tcPr>
            <w:tcW w:w="1590" w:type="dxa"/>
            <w:tcMar>
              <w:top w:w="0" w:type="dxa"/>
              <w:left w:w="105" w:type="dxa"/>
              <w:bottom w:w="0" w:type="dxa"/>
              <w:right w:w="105" w:type="dxa"/>
            </w:tcMar>
            <w:vAlign w:val="center"/>
          </w:tcPr>
          <w:p w14:paraId="610AC768">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50≤Y＜1000</w:t>
            </w:r>
          </w:p>
        </w:tc>
        <w:tc>
          <w:tcPr>
            <w:tcW w:w="1376" w:type="dxa"/>
            <w:tcMar>
              <w:top w:w="0" w:type="dxa"/>
              <w:left w:w="105" w:type="dxa"/>
              <w:bottom w:w="0" w:type="dxa"/>
              <w:right w:w="105" w:type="dxa"/>
            </w:tcMar>
            <w:vAlign w:val="center"/>
          </w:tcPr>
          <w:p w14:paraId="7590CF5F">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Y＜50</w:t>
            </w:r>
          </w:p>
        </w:tc>
      </w:tr>
      <w:tr w14:paraId="7566B09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28100A81">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房地产开发经营</w:t>
            </w:r>
          </w:p>
        </w:tc>
        <w:tc>
          <w:tcPr>
            <w:tcW w:w="1618" w:type="dxa"/>
            <w:tcMar>
              <w:top w:w="0" w:type="dxa"/>
              <w:left w:w="105" w:type="dxa"/>
              <w:bottom w:w="0" w:type="dxa"/>
              <w:right w:w="105" w:type="dxa"/>
            </w:tcMar>
            <w:vAlign w:val="center"/>
          </w:tcPr>
          <w:p w14:paraId="0A6FC0BF">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7C42169B">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0E6A337E">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1000≤Y＜200000</w:t>
            </w:r>
          </w:p>
        </w:tc>
        <w:tc>
          <w:tcPr>
            <w:tcW w:w="1590" w:type="dxa"/>
            <w:tcMar>
              <w:top w:w="0" w:type="dxa"/>
              <w:left w:w="105" w:type="dxa"/>
              <w:bottom w:w="0" w:type="dxa"/>
              <w:right w:w="105" w:type="dxa"/>
            </w:tcMar>
            <w:vAlign w:val="center"/>
          </w:tcPr>
          <w:p w14:paraId="1B4633EE">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100≤X＜1000</w:t>
            </w:r>
          </w:p>
        </w:tc>
        <w:tc>
          <w:tcPr>
            <w:tcW w:w="1376" w:type="dxa"/>
            <w:tcMar>
              <w:top w:w="0" w:type="dxa"/>
              <w:left w:w="105" w:type="dxa"/>
              <w:bottom w:w="0" w:type="dxa"/>
              <w:right w:w="105" w:type="dxa"/>
            </w:tcMar>
            <w:vAlign w:val="center"/>
          </w:tcPr>
          <w:p w14:paraId="6F42EC0D">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X＜100</w:t>
            </w:r>
          </w:p>
        </w:tc>
      </w:tr>
      <w:tr w14:paraId="5798B0C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7F90C8FF">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707BD77E">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资产总额（Z）</w:t>
            </w:r>
          </w:p>
        </w:tc>
        <w:tc>
          <w:tcPr>
            <w:tcW w:w="448" w:type="dxa"/>
            <w:tcMar>
              <w:top w:w="0" w:type="dxa"/>
              <w:left w:w="105" w:type="dxa"/>
              <w:bottom w:w="0" w:type="dxa"/>
              <w:right w:w="105" w:type="dxa"/>
            </w:tcMar>
            <w:vAlign w:val="center"/>
          </w:tcPr>
          <w:p w14:paraId="5A06FC86">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59129558">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5000≤Z＜10000</w:t>
            </w:r>
          </w:p>
        </w:tc>
        <w:tc>
          <w:tcPr>
            <w:tcW w:w="1590" w:type="dxa"/>
            <w:tcMar>
              <w:top w:w="0" w:type="dxa"/>
              <w:left w:w="105" w:type="dxa"/>
              <w:bottom w:w="0" w:type="dxa"/>
              <w:right w:w="105" w:type="dxa"/>
            </w:tcMar>
            <w:vAlign w:val="center"/>
          </w:tcPr>
          <w:p w14:paraId="38F823B1">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2000≤Y＜5000</w:t>
            </w:r>
          </w:p>
        </w:tc>
        <w:tc>
          <w:tcPr>
            <w:tcW w:w="1376" w:type="dxa"/>
            <w:tcMar>
              <w:top w:w="0" w:type="dxa"/>
              <w:left w:w="105" w:type="dxa"/>
              <w:bottom w:w="0" w:type="dxa"/>
              <w:right w:w="105" w:type="dxa"/>
            </w:tcMar>
            <w:vAlign w:val="center"/>
          </w:tcPr>
          <w:p w14:paraId="227E0529">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Y＜2000</w:t>
            </w:r>
          </w:p>
        </w:tc>
      </w:tr>
      <w:tr w14:paraId="134A429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17C30662">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物业管理</w:t>
            </w:r>
          </w:p>
        </w:tc>
        <w:tc>
          <w:tcPr>
            <w:tcW w:w="1618" w:type="dxa"/>
            <w:tcMar>
              <w:top w:w="0" w:type="dxa"/>
              <w:left w:w="105" w:type="dxa"/>
              <w:bottom w:w="0" w:type="dxa"/>
              <w:right w:w="105" w:type="dxa"/>
            </w:tcMar>
            <w:vAlign w:val="center"/>
          </w:tcPr>
          <w:p w14:paraId="2FD89EA4">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244AC688">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63AF17C9">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300≤X＜1000</w:t>
            </w:r>
          </w:p>
        </w:tc>
        <w:tc>
          <w:tcPr>
            <w:tcW w:w="1590" w:type="dxa"/>
            <w:tcMar>
              <w:top w:w="0" w:type="dxa"/>
              <w:left w:w="105" w:type="dxa"/>
              <w:bottom w:w="0" w:type="dxa"/>
              <w:right w:w="105" w:type="dxa"/>
            </w:tcMar>
            <w:vAlign w:val="center"/>
          </w:tcPr>
          <w:p w14:paraId="4F3065B1">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100≤X＜300</w:t>
            </w:r>
          </w:p>
        </w:tc>
        <w:tc>
          <w:tcPr>
            <w:tcW w:w="1376" w:type="dxa"/>
            <w:tcMar>
              <w:top w:w="0" w:type="dxa"/>
              <w:left w:w="105" w:type="dxa"/>
              <w:bottom w:w="0" w:type="dxa"/>
              <w:right w:w="105" w:type="dxa"/>
            </w:tcMar>
            <w:vAlign w:val="center"/>
          </w:tcPr>
          <w:p w14:paraId="0EBA11D1">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X＜100</w:t>
            </w:r>
          </w:p>
        </w:tc>
      </w:tr>
      <w:tr w14:paraId="5C53BFF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22E94F28">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6B8E8320">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55495B69">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7A449D7D">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1000≤Y＜5000</w:t>
            </w:r>
          </w:p>
        </w:tc>
        <w:tc>
          <w:tcPr>
            <w:tcW w:w="1590" w:type="dxa"/>
            <w:tcMar>
              <w:top w:w="0" w:type="dxa"/>
              <w:left w:w="105" w:type="dxa"/>
              <w:bottom w:w="0" w:type="dxa"/>
              <w:right w:w="105" w:type="dxa"/>
            </w:tcMar>
            <w:vAlign w:val="center"/>
          </w:tcPr>
          <w:p w14:paraId="355AB627">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500≤Y＜1000</w:t>
            </w:r>
          </w:p>
        </w:tc>
        <w:tc>
          <w:tcPr>
            <w:tcW w:w="1376" w:type="dxa"/>
            <w:tcMar>
              <w:top w:w="0" w:type="dxa"/>
              <w:left w:w="105" w:type="dxa"/>
              <w:bottom w:w="0" w:type="dxa"/>
              <w:right w:w="105" w:type="dxa"/>
            </w:tcMar>
            <w:vAlign w:val="center"/>
          </w:tcPr>
          <w:p w14:paraId="740AC5D0">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Y＜500</w:t>
            </w:r>
          </w:p>
        </w:tc>
      </w:tr>
      <w:tr w14:paraId="1BDAB17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13F91778">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租赁和商务服务业</w:t>
            </w:r>
          </w:p>
        </w:tc>
        <w:tc>
          <w:tcPr>
            <w:tcW w:w="1618" w:type="dxa"/>
            <w:tcMar>
              <w:top w:w="0" w:type="dxa"/>
              <w:left w:w="105" w:type="dxa"/>
              <w:bottom w:w="0" w:type="dxa"/>
              <w:right w:w="105" w:type="dxa"/>
            </w:tcMar>
            <w:vAlign w:val="center"/>
          </w:tcPr>
          <w:p w14:paraId="5605FFCE">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3F3357EE">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2FC113FD">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100≤X＜300</w:t>
            </w:r>
          </w:p>
        </w:tc>
        <w:tc>
          <w:tcPr>
            <w:tcW w:w="1590" w:type="dxa"/>
            <w:tcMar>
              <w:top w:w="0" w:type="dxa"/>
              <w:left w:w="105" w:type="dxa"/>
              <w:bottom w:w="0" w:type="dxa"/>
              <w:right w:w="105" w:type="dxa"/>
            </w:tcMar>
            <w:vAlign w:val="center"/>
          </w:tcPr>
          <w:p w14:paraId="1D28922D">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10≤X＜100</w:t>
            </w:r>
          </w:p>
        </w:tc>
        <w:tc>
          <w:tcPr>
            <w:tcW w:w="1376" w:type="dxa"/>
            <w:tcMar>
              <w:top w:w="0" w:type="dxa"/>
              <w:left w:w="105" w:type="dxa"/>
              <w:bottom w:w="0" w:type="dxa"/>
              <w:right w:w="105" w:type="dxa"/>
            </w:tcMar>
            <w:vAlign w:val="center"/>
          </w:tcPr>
          <w:p w14:paraId="387C83D7">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X＜10</w:t>
            </w:r>
          </w:p>
        </w:tc>
      </w:tr>
      <w:tr w14:paraId="44FDB87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2FD7CED8">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0527046C">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资产总额（Z）</w:t>
            </w:r>
          </w:p>
        </w:tc>
        <w:tc>
          <w:tcPr>
            <w:tcW w:w="448" w:type="dxa"/>
            <w:tcMar>
              <w:top w:w="0" w:type="dxa"/>
              <w:left w:w="105" w:type="dxa"/>
              <w:bottom w:w="0" w:type="dxa"/>
              <w:right w:w="105" w:type="dxa"/>
            </w:tcMar>
            <w:vAlign w:val="center"/>
          </w:tcPr>
          <w:p w14:paraId="44E14F71">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12B18256">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8000≤Z＜120000</w:t>
            </w:r>
          </w:p>
        </w:tc>
        <w:tc>
          <w:tcPr>
            <w:tcW w:w="1590" w:type="dxa"/>
            <w:tcMar>
              <w:top w:w="0" w:type="dxa"/>
              <w:left w:w="105" w:type="dxa"/>
              <w:bottom w:w="0" w:type="dxa"/>
              <w:right w:w="105" w:type="dxa"/>
            </w:tcMar>
            <w:vAlign w:val="center"/>
          </w:tcPr>
          <w:p w14:paraId="3EE1E061">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100≤Z＜8000</w:t>
            </w:r>
          </w:p>
        </w:tc>
        <w:tc>
          <w:tcPr>
            <w:tcW w:w="1376" w:type="dxa"/>
            <w:tcMar>
              <w:top w:w="0" w:type="dxa"/>
              <w:left w:w="105" w:type="dxa"/>
              <w:bottom w:w="0" w:type="dxa"/>
              <w:right w:w="105" w:type="dxa"/>
            </w:tcMar>
            <w:vAlign w:val="center"/>
          </w:tcPr>
          <w:p w14:paraId="7A69B97C">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Y＜100</w:t>
            </w:r>
          </w:p>
        </w:tc>
      </w:tr>
      <w:tr w14:paraId="1E64A84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tcMar>
              <w:top w:w="0" w:type="dxa"/>
              <w:left w:w="105" w:type="dxa"/>
              <w:bottom w:w="0" w:type="dxa"/>
              <w:right w:w="105" w:type="dxa"/>
            </w:tcMar>
            <w:vAlign w:val="center"/>
          </w:tcPr>
          <w:p w14:paraId="549B89B9">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其他未列明行业</w:t>
            </w:r>
          </w:p>
        </w:tc>
        <w:tc>
          <w:tcPr>
            <w:tcW w:w="1618" w:type="dxa"/>
            <w:tcMar>
              <w:top w:w="0" w:type="dxa"/>
              <w:left w:w="105" w:type="dxa"/>
              <w:bottom w:w="0" w:type="dxa"/>
              <w:right w:w="105" w:type="dxa"/>
            </w:tcMar>
            <w:vAlign w:val="center"/>
          </w:tcPr>
          <w:p w14:paraId="6DFF50C7">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76CAC293">
            <w:pPr>
              <w:pStyle w:val="268"/>
              <w:spacing w:line="360" w:lineRule="auto"/>
              <w:rPr>
                <w:rFonts w:hint="eastAsia" w:hAnsi="宋体" w:cs="宋体"/>
                <w:color w:val="auto"/>
                <w:sz w:val="21"/>
                <w:szCs w:val="21"/>
                <w:highlight w:val="none"/>
              </w:rPr>
            </w:pPr>
            <w:r>
              <w:rPr>
                <w:rStyle w:val="276"/>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5B976AFA">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100≤X＜300</w:t>
            </w:r>
          </w:p>
        </w:tc>
        <w:tc>
          <w:tcPr>
            <w:tcW w:w="1590" w:type="dxa"/>
            <w:tcMar>
              <w:top w:w="0" w:type="dxa"/>
              <w:left w:w="105" w:type="dxa"/>
              <w:bottom w:w="0" w:type="dxa"/>
              <w:right w:w="105" w:type="dxa"/>
            </w:tcMar>
            <w:vAlign w:val="center"/>
          </w:tcPr>
          <w:p w14:paraId="5AEFD01C">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10≤X＜100</w:t>
            </w:r>
          </w:p>
        </w:tc>
        <w:tc>
          <w:tcPr>
            <w:tcW w:w="1376" w:type="dxa"/>
            <w:tcMar>
              <w:top w:w="0" w:type="dxa"/>
              <w:left w:w="105" w:type="dxa"/>
              <w:bottom w:w="0" w:type="dxa"/>
              <w:right w:w="105" w:type="dxa"/>
            </w:tcMar>
            <w:vAlign w:val="center"/>
          </w:tcPr>
          <w:p w14:paraId="3D0FB377">
            <w:pPr>
              <w:pStyle w:val="268"/>
              <w:spacing w:line="360" w:lineRule="auto"/>
              <w:jc w:val="center"/>
              <w:rPr>
                <w:rFonts w:hint="eastAsia" w:hAnsi="宋体" w:cs="宋体"/>
                <w:color w:val="auto"/>
                <w:sz w:val="21"/>
                <w:szCs w:val="21"/>
                <w:highlight w:val="none"/>
              </w:rPr>
            </w:pPr>
            <w:r>
              <w:rPr>
                <w:rStyle w:val="276"/>
                <w:rFonts w:hint="eastAsia" w:hAnsi="宋体" w:cs="宋体"/>
                <w:color w:val="auto"/>
                <w:sz w:val="21"/>
                <w:szCs w:val="21"/>
                <w:highlight w:val="none"/>
              </w:rPr>
              <w:t>X＜10</w:t>
            </w:r>
          </w:p>
        </w:tc>
      </w:tr>
    </w:tbl>
    <w:p w14:paraId="1698BA02">
      <w:pPr>
        <w:pStyle w:val="268"/>
        <w:spacing w:before="300" w:after="452" w:line="360" w:lineRule="auto"/>
        <w:ind w:firstLine="420"/>
        <w:rPr>
          <w:rStyle w:val="276"/>
          <w:rFonts w:hint="eastAsia" w:hAnsi="宋体" w:cs="宋体"/>
          <w:color w:val="auto"/>
          <w:sz w:val="21"/>
          <w:szCs w:val="21"/>
          <w:highlight w:val="none"/>
        </w:rPr>
      </w:pPr>
      <w:r>
        <w:rPr>
          <w:rStyle w:val="276"/>
          <w:rFonts w:hint="eastAsia" w:hAnsi="宋体" w:cs="宋体"/>
          <w:color w:val="auto"/>
          <w:sz w:val="21"/>
          <w:szCs w:val="21"/>
          <w:highlight w:val="none"/>
        </w:rPr>
        <w:t>说明：上述标准参照《关于印发中小企业划型标准规定的通知》（工信部联企业[2011]300号），大型、中型和小型企业须同时满足所列指标的下限，否则下划一档；微型企业只须满足所列指标中的一项即可。</w:t>
      </w:r>
    </w:p>
    <w:p w14:paraId="7C24AF1F">
      <w:pPr>
        <w:widowControl/>
        <w:jc w:val="left"/>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r>
    </w:p>
    <w:p w14:paraId="265F34A5">
      <w:pPr>
        <w:jc w:val="center"/>
        <w:rPr>
          <w:color w:val="auto"/>
          <w:highlight w:val="none"/>
        </w:rPr>
      </w:pPr>
      <w:r>
        <w:rPr>
          <w:rFonts w:hint="eastAsia" w:ascii="黑体" w:hAnsi="黑体" w:eastAsia="黑体"/>
          <w:b/>
          <w:color w:val="auto"/>
          <w:sz w:val="32"/>
          <w:szCs w:val="24"/>
          <w:highlight w:val="none"/>
        </w:rPr>
        <w:t>属于监狱企业的证明文件</w:t>
      </w:r>
    </w:p>
    <w:p w14:paraId="2D736580">
      <w:pPr>
        <w:rPr>
          <w:color w:val="auto"/>
          <w:highlight w:val="none"/>
        </w:rPr>
      </w:pPr>
      <w:r>
        <w:rPr>
          <w:rFonts w:hint="eastAsia"/>
          <w:color w:val="auto"/>
          <w:highlight w:val="none"/>
        </w:rPr>
        <w:t>（提供由省级以上监狱管理局、戒毒管理局(含新疆生产建设兵团)出具的属于监狱企业的证明文件）</w:t>
      </w:r>
    </w:p>
    <w:p w14:paraId="3F09A4E2">
      <w:pPr>
        <w:rPr>
          <w:color w:val="auto"/>
          <w:highlight w:val="none"/>
        </w:rPr>
      </w:pPr>
      <w:r>
        <w:rPr>
          <w:rFonts w:hint="eastAsia"/>
          <w:color w:val="auto"/>
          <w:highlight w:val="none"/>
        </w:rPr>
        <w:t xml:space="preserve"> </w:t>
      </w:r>
    </w:p>
    <w:p w14:paraId="70075395">
      <w:pPr>
        <w:rPr>
          <w:color w:val="auto"/>
          <w:highlight w:val="none"/>
        </w:rPr>
      </w:pPr>
      <w:r>
        <w:rPr>
          <w:rFonts w:hint="eastAsia"/>
          <w:color w:val="auto"/>
          <w:highlight w:val="none"/>
        </w:rPr>
        <w:t xml:space="preserve"> </w:t>
      </w:r>
    </w:p>
    <w:p w14:paraId="641E6108">
      <w:pPr>
        <w:rPr>
          <w:color w:val="auto"/>
          <w:highlight w:val="none"/>
        </w:rPr>
      </w:pPr>
      <w:r>
        <w:rPr>
          <w:rFonts w:hint="eastAsia"/>
          <w:color w:val="auto"/>
          <w:highlight w:val="none"/>
        </w:rPr>
        <w:t xml:space="preserve"> </w:t>
      </w:r>
    </w:p>
    <w:p w14:paraId="7C7D4AF1">
      <w:pPr>
        <w:jc w:val="center"/>
        <w:rPr>
          <w:color w:val="auto"/>
          <w:highlight w:val="none"/>
        </w:rPr>
      </w:pPr>
    </w:p>
    <w:p w14:paraId="6DB0F3FD">
      <w:pPr>
        <w:jc w:val="center"/>
        <w:rPr>
          <w:color w:val="auto"/>
          <w:highlight w:val="none"/>
        </w:rPr>
      </w:pPr>
    </w:p>
    <w:p w14:paraId="388D153D">
      <w:pPr>
        <w:jc w:val="center"/>
        <w:rPr>
          <w:rFonts w:hint="eastAsia" w:ascii="黑体" w:hAnsi="黑体" w:eastAsia="黑体"/>
          <w:b/>
          <w:color w:val="auto"/>
          <w:sz w:val="32"/>
          <w:szCs w:val="24"/>
          <w:highlight w:val="none"/>
        </w:rPr>
      </w:pPr>
      <w:bookmarkStart w:id="220" w:name="_Toc5876"/>
      <w:bookmarkEnd w:id="220"/>
      <w:r>
        <w:rPr>
          <w:rFonts w:hint="eastAsia" w:ascii="黑体" w:hAnsi="黑体" w:eastAsia="黑体"/>
          <w:b/>
          <w:color w:val="auto"/>
          <w:sz w:val="32"/>
          <w:szCs w:val="24"/>
          <w:highlight w:val="none"/>
        </w:rPr>
        <w:t>节能产品认证证书</w:t>
      </w:r>
    </w:p>
    <w:p w14:paraId="1774A765">
      <w:pPr>
        <w:rPr>
          <w:color w:val="auto"/>
          <w:highlight w:val="none"/>
        </w:rPr>
      </w:pPr>
      <w:r>
        <w:rPr>
          <w:rFonts w:hint="eastAsia"/>
          <w:color w:val="auto"/>
          <w:highlight w:val="none"/>
        </w:rPr>
        <w:t>（提供国家确定的认证机构出具的、处于有效期之内的产品认证证书）</w:t>
      </w:r>
    </w:p>
    <w:p w14:paraId="7146862F">
      <w:pPr>
        <w:rPr>
          <w:color w:val="auto"/>
          <w:highlight w:val="none"/>
        </w:rPr>
      </w:pPr>
      <w:r>
        <w:rPr>
          <w:rFonts w:hint="eastAsia"/>
          <w:color w:val="auto"/>
          <w:highlight w:val="none"/>
        </w:rPr>
        <w:t xml:space="preserve"> </w:t>
      </w:r>
    </w:p>
    <w:p w14:paraId="3996B7A1">
      <w:pPr>
        <w:rPr>
          <w:color w:val="auto"/>
          <w:highlight w:val="none"/>
        </w:rPr>
      </w:pPr>
      <w:r>
        <w:rPr>
          <w:rFonts w:hint="eastAsia"/>
          <w:color w:val="auto"/>
          <w:highlight w:val="none"/>
        </w:rPr>
        <w:t xml:space="preserve"> </w:t>
      </w:r>
    </w:p>
    <w:p w14:paraId="660F6D62">
      <w:pPr>
        <w:rPr>
          <w:color w:val="auto"/>
          <w:highlight w:val="none"/>
        </w:rPr>
      </w:pPr>
      <w:r>
        <w:rPr>
          <w:rFonts w:hint="eastAsia"/>
          <w:color w:val="auto"/>
          <w:highlight w:val="none"/>
        </w:rPr>
        <w:t xml:space="preserve"> </w:t>
      </w:r>
    </w:p>
    <w:p w14:paraId="78E436E5">
      <w:pPr>
        <w:rPr>
          <w:color w:val="auto"/>
          <w:highlight w:val="none"/>
        </w:rPr>
      </w:pPr>
      <w:r>
        <w:rPr>
          <w:rFonts w:hint="eastAsia"/>
          <w:color w:val="auto"/>
          <w:highlight w:val="none"/>
        </w:rPr>
        <w:t xml:space="preserve"> </w:t>
      </w:r>
    </w:p>
    <w:p w14:paraId="661AD76A">
      <w:pPr>
        <w:jc w:val="center"/>
        <w:rPr>
          <w:rFonts w:hint="eastAsia" w:ascii="黑体" w:hAnsi="黑体" w:eastAsia="黑体"/>
          <w:b/>
          <w:color w:val="auto"/>
          <w:sz w:val="32"/>
          <w:szCs w:val="24"/>
          <w:highlight w:val="none"/>
        </w:rPr>
      </w:pPr>
    </w:p>
    <w:p w14:paraId="2EC6F0D3">
      <w:pPr>
        <w:jc w:val="center"/>
        <w:rPr>
          <w:rFonts w:hint="eastAsia" w:ascii="黑体" w:hAnsi="黑体" w:eastAsia="黑体"/>
          <w:b/>
          <w:color w:val="auto"/>
          <w:sz w:val="32"/>
          <w:szCs w:val="24"/>
          <w:highlight w:val="none"/>
        </w:rPr>
      </w:pPr>
      <w:bookmarkStart w:id="221" w:name="_Toc16386"/>
      <w:bookmarkEnd w:id="221"/>
      <w:r>
        <w:rPr>
          <w:rFonts w:hint="eastAsia" w:ascii="黑体" w:hAnsi="黑体" w:eastAsia="黑体"/>
          <w:b/>
          <w:color w:val="auto"/>
          <w:sz w:val="32"/>
          <w:szCs w:val="24"/>
          <w:highlight w:val="none"/>
        </w:rPr>
        <w:t>环境标志产品认证证书</w:t>
      </w:r>
    </w:p>
    <w:p w14:paraId="21119709">
      <w:pPr>
        <w:rPr>
          <w:color w:val="auto"/>
          <w:highlight w:val="none"/>
        </w:rPr>
      </w:pPr>
      <w:r>
        <w:rPr>
          <w:rFonts w:hint="eastAsia"/>
          <w:color w:val="auto"/>
          <w:highlight w:val="none"/>
        </w:rPr>
        <w:t>（提供国家确定的认证机构出具的、处于有效期之内的产品认证证书）</w:t>
      </w:r>
    </w:p>
    <w:p w14:paraId="3ADBF994">
      <w:pPr>
        <w:rPr>
          <w:color w:val="auto"/>
          <w:highlight w:val="none"/>
        </w:rPr>
      </w:pPr>
      <w:r>
        <w:rPr>
          <w:rFonts w:hint="eastAsia"/>
          <w:color w:val="auto"/>
          <w:highlight w:val="none"/>
        </w:rPr>
        <w:t xml:space="preserve"> </w:t>
      </w:r>
    </w:p>
    <w:p w14:paraId="24027D48">
      <w:pPr>
        <w:rPr>
          <w:color w:val="auto"/>
          <w:highlight w:val="none"/>
        </w:rPr>
      </w:pPr>
      <w:r>
        <w:rPr>
          <w:rFonts w:hint="eastAsia"/>
          <w:color w:val="auto"/>
          <w:highlight w:val="none"/>
        </w:rPr>
        <w:t xml:space="preserve"> </w:t>
      </w:r>
    </w:p>
    <w:p w14:paraId="0E8CF6D2">
      <w:pPr>
        <w:rPr>
          <w:color w:val="auto"/>
          <w:highlight w:val="none"/>
        </w:rPr>
      </w:pPr>
      <w:r>
        <w:rPr>
          <w:rFonts w:hint="eastAsia"/>
          <w:color w:val="auto"/>
          <w:highlight w:val="none"/>
        </w:rPr>
        <w:t xml:space="preserve"> </w:t>
      </w:r>
    </w:p>
    <w:p w14:paraId="50E58A97">
      <w:pPr>
        <w:rPr>
          <w:color w:val="auto"/>
          <w:highlight w:val="none"/>
        </w:rPr>
      </w:pPr>
      <w:r>
        <w:rPr>
          <w:rFonts w:hint="eastAsia"/>
          <w:color w:val="auto"/>
          <w:highlight w:val="none"/>
        </w:rPr>
        <w:t xml:space="preserve"> </w:t>
      </w:r>
    </w:p>
    <w:p w14:paraId="11029475">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p>
    <w:p w14:paraId="2B05F890">
      <w:pPr>
        <w:jc w:val="center"/>
        <w:rPr>
          <w:rFonts w:hint="eastAsia" w:ascii="黑体" w:hAnsi="黑体" w:eastAsia="黑体"/>
          <w:b/>
          <w:color w:val="auto"/>
          <w:sz w:val="32"/>
          <w:szCs w:val="24"/>
          <w:highlight w:val="none"/>
        </w:rPr>
      </w:pPr>
      <w:bookmarkStart w:id="222" w:name="_Toc1060"/>
      <w:bookmarkEnd w:id="222"/>
      <w:r>
        <w:rPr>
          <w:rFonts w:hint="eastAsia" w:ascii="黑体" w:hAnsi="黑体" w:eastAsia="黑体"/>
          <w:b/>
          <w:color w:val="auto"/>
          <w:sz w:val="32"/>
          <w:szCs w:val="24"/>
          <w:highlight w:val="none"/>
        </w:rPr>
        <w:t>进口产品转让技术、消化吸收再创新方案</w:t>
      </w:r>
    </w:p>
    <w:p w14:paraId="1F1D7EA9">
      <w:pPr>
        <w:rPr>
          <w:color w:val="auto"/>
          <w:highlight w:val="none"/>
        </w:rPr>
      </w:pPr>
      <w:r>
        <w:rPr>
          <w:rFonts w:hint="eastAsia"/>
          <w:color w:val="auto"/>
          <w:highlight w:val="none"/>
        </w:rPr>
        <w:t>（对于允许进口产品参加的项目）</w:t>
      </w:r>
    </w:p>
    <w:p w14:paraId="4990E4C6">
      <w:pPr>
        <w:rPr>
          <w:rFonts w:hint="eastAsia" w:ascii="黑体" w:hAnsi="黑体" w:eastAsia="黑体"/>
          <w:color w:val="auto"/>
          <w:sz w:val="32"/>
          <w:highlight w:val="none"/>
        </w:rPr>
      </w:pPr>
      <w:r>
        <w:rPr>
          <w:color w:val="auto"/>
          <w:highlight w:val="none"/>
        </w:rPr>
        <w:br w:type="page" w:clear="all"/>
      </w:r>
    </w:p>
    <w:p w14:paraId="771D7FF6">
      <w:pPr>
        <w:pStyle w:val="526"/>
        <w:outlineLvl w:val="1"/>
        <w:rPr>
          <w:rFonts w:hint="eastAsia" w:cs="Times New Roman"/>
          <w:color w:val="auto"/>
          <w:highlight w:val="none"/>
        </w:rPr>
      </w:pPr>
      <w:bookmarkStart w:id="223" w:name="_Toc164203482"/>
      <w:bookmarkStart w:id="224" w:name="_Toc4596"/>
      <w:bookmarkStart w:id="225" w:name="_Toc15535"/>
      <w:bookmarkStart w:id="226" w:name="_Toc356"/>
      <w:r>
        <w:rPr>
          <w:rFonts w:hint="eastAsia" w:cs="Times New Roman"/>
          <w:color w:val="auto"/>
          <w:highlight w:val="none"/>
          <w:lang w:val="en-US" w:eastAsia="zh-CN"/>
        </w:rPr>
        <w:t>十三、</w:t>
      </w:r>
      <w:r>
        <w:rPr>
          <w:rFonts w:hint="eastAsia" w:cs="Times New Roman"/>
          <w:color w:val="auto"/>
          <w:highlight w:val="none"/>
        </w:rPr>
        <w:t>关于符合本国产品标准的声明函（采购包号：</w:t>
      </w:r>
      <w:r>
        <w:rPr>
          <w:rFonts w:hint="eastAsia" w:cs="Times New Roman"/>
          <w:color w:val="auto"/>
          <w:highlight w:val="none"/>
          <w:lang w:val="en-US" w:eastAsia="zh-CN"/>
        </w:rPr>
        <w:t>如有</w:t>
      </w:r>
      <w:r>
        <w:rPr>
          <w:rFonts w:hint="eastAsia" w:cs="Times New Roman"/>
          <w:color w:val="auto"/>
          <w:highlight w:val="none"/>
        </w:rPr>
        <w:t>）</w:t>
      </w:r>
    </w:p>
    <w:p w14:paraId="36CBDF32">
      <w:pPr>
        <w:pStyle w:val="32"/>
        <w:spacing w:before="0" w:beforeAutospacing="0" w:after="0" w:afterAutospacing="0" w:line="0" w:lineRule="atLeast"/>
        <w:ind w:firstLine="420"/>
        <w:rPr>
          <w:rFonts w:ascii="方正魏碑_GBK" w:hAnsi="方正魏碑_GBK" w:eastAsia="方正魏碑_GBK" w:cs="方正魏碑_GBK"/>
          <w:color w:val="auto"/>
          <w:highlight w:val="none"/>
        </w:rPr>
      </w:pPr>
    </w:p>
    <w:p w14:paraId="019153FA">
      <w:pPr>
        <w:pStyle w:val="32"/>
        <w:spacing w:before="0" w:beforeAutospacing="0" w:after="0" w:afterAutospacing="0" w:line="0" w:lineRule="atLeast"/>
        <w:ind w:firstLine="420"/>
        <w:rPr>
          <w:rFonts w:ascii="方正魏碑_GBK" w:hAnsi="方正魏碑_GBK" w:eastAsia="方正魏碑_GBK" w:cs="方正魏碑_GBK"/>
          <w:color w:val="auto"/>
          <w:highlight w:val="none"/>
        </w:rPr>
      </w:pPr>
    </w:p>
    <w:p w14:paraId="46AD3C50">
      <w:pPr>
        <w:pStyle w:val="32"/>
        <w:spacing w:before="0" w:beforeAutospacing="0" w:after="0" w:afterAutospacing="0" w:line="360" w:lineRule="exact"/>
        <w:ind w:firstLine="420"/>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本公司（单位）郑重声明，根据《国务院办公厅关于在政府采购中实施本国产品标准及相关政策的通知》（国办发〔2025〕34号）的规定，本公司（单位）提供的以下产品属于本国产品。具体情况如下：</w:t>
      </w:r>
    </w:p>
    <w:p w14:paraId="6D47B209">
      <w:pPr>
        <w:pStyle w:val="32"/>
        <w:numPr>
          <w:ilvl w:val="0"/>
          <w:numId w:val="12"/>
        </w:numPr>
        <w:spacing w:before="30" w:beforeAutospacing="0" w:after="30" w:afterAutospacing="0" w:line="360" w:lineRule="exact"/>
        <w:ind w:firstLine="420"/>
        <w:rPr>
          <w:rFonts w:hint="eastAsia" w:ascii="方正魏碑_GBK" w:hAnsi="方正魏碑_GBK" w:eastAsia="方正魏碑_GBK" w:cs="方正魏碑_GBK"/>
          <w:color w:val="auto"/>
          <w:highlight w:val="none"/>
          <w:shd w:val="clear" w:color="auto" w:fill="FFFFFF"/>
        </w:rPr>
      </w:pPr>
      <w:r>
        <w:rPr>
          <w:rStyle w:val="39"/>
          <w:rFonts w:hint="eastAsia" w:ascii="方正魏碑_GBK" w:hAnsi="方正魏碑_GBK" w:eastAsia="方正魏碑_GBK" w:cs="方正魏碑_GBK"/>
          <w:i w:val="0"/>
          <w:color w:val="auto"/>
          <w:highlight w:val="none"/>
          <w:u w:val="single"/>
          <w:shd w:val="clear" w:color="auto" w:fill="FFFFFF"/>
        </w:rPr>
        <w:t>（产品名称1）</w:t>
      </w:r>
      <w:r>
        <w:rPr>
          <w:rStyle w:val="39"/>
          <w:rFonts w:hint="eastAsia" w:ascii="方正魏碑_GBK" w:hAnsi="方正魏碑_GBK" w:eastAsia="方正魏碑_GBK" w:cs="方正魏碑_GBK"/>
          <w:i w:val="0"/>
          <w:color w:val="auto"/>
          <w:highlight w:val="none"/>
          <w:shd w:val="clear" w:color="auto" w:fill="FFFFFF"/>
          <w:vertAlign w:val="superscript"/>
        </w:rPr>
        <w:t>1</w:t>
      </w:r>
      <w:r>
        <w:rPr>
          <w:rFonts w:hint="eastAsia" w:ascii="方正魏碑_GBK" w:hAnsi="方正魏碑_GBK" w:eastAsia="方正魏碑_GBK" w:cs="方正魏碑_GBK"/>
          <w:color w:val="auto"/>
          <w:highlight w:val="none"/>
          <w:shd w:val="clear" w:color="auto" w:fill="FFFFFF"/>
        </w:rPr>
        <w:t>，生产厂为</w:t>
      </w:r>
      <w:r>
        <w:rPr>
          <w:rStyle w:val="39"/>
          <w:rFonts w:hint="eastAsia" w:ascii="方正魏碑_GBK" w:hAnsi="方正魏碑_GBK" w:eastAsia="方正魏碑_GBK" w:cs="方正魏碑_GBK"/>
          <w:i w:val="0"/>
          <w:color w:val="auto"/>
          <w:highlight w:val="none"/>
          <w:u w:val="single"/>
          <w:shd w:val="clear" w:color="auto" w:fill="FFFFFF"/>
        </w:rPr>
        <w:t>（厂名）</w:t>
      </w:r>
      <w:r>
        <w:rPr>
          <w:rStyle w:val="39"/>
          <w:rFonts w:hint="eastAsia" w:ascii="方正魏碑_GBK" w:hAnsi="方正魏碑_GBK" w:eastAsia="方正魏碑_GBK" w:cs="方正魏碑_GBK"/>
          <w:i w:val="0"/>
          <w:color w:val="auto"/>
          <w:highlight w:val="none"/>
          <w:shd w:val="clear" w:color="auto" w:fill="FFFFFF"/>
          <w:vertAlign w:val="superscript"/>
        </w:rPr>
        <w:t>2</w:t>
      </w:r>
      <w:r>
        <w:rPr>
          <w:rFonts w:hint="eastAsia" w:ascii="方正魏碑_GBK" w:hAnsi="方正魏碑_GBK" w:eastAsia="方正魏碑_GBK" w:cs="方正魏碑_GBK"/>
          <w:color w:val="auto"/>
          <w:highlight w:val="none"/>
          <w:shd w:val="clear" w:color="auto" w:fill="FFFFFF"/>
        </w:rPr>
        <w:t>，厂址为</w:t>
      </w:r>
      <w:r>
        <w:rPr>
          <w:rStyle w:val="39"/>
          <w:rFonts w:hint="eastAsia" w:ascii="方正魏碑_GBK" w:hAnsi="方正魏碑_GBK" w:eastAsia="方正魏碑_GBK" w:cs="方正魏碑_GBK"/>
          <w:i w:val="0"/>
          <w:color w:val="auto"/>
          <w:highlight w:val="none"/>
          <w:u w:val="single"/>
          <w:shd w:val="clear" w:color="auto" w:fill="FFFFFF"/>
        </w:rPr>
        <w:t>（生产厂址）</w:t>
      </w:r>
      <w:r>
        <w:rPr>
          <w:rFonts w:hint="eastAsia" w:ascii="方正魏碑_GBK" w:hAnsi="方正魏碑_GBK" w:eastAsia="方正魏碑_GBK" w:cs="方正魏碑_GBK"/>
          <w:color w:val="auto"/>
          <w:highlight w:val="none"/>
          <w:shd w:val="clear" w:color="auto" w:fill="FFFFFF"/>
        </w:rPr>
        <w:t>。</w:t>
      </w:r>
      <w:r>
        <w:rPr>
          <w:rFonts w:hint="eastAsia" w:ascii="方正魏碑_GBK" w:hAnsi="方正魏碑_GBK" w:eastAsia="方正魏碑_GBK" w:cs="方正魏碑_GBK"/>
          <w:color w:val="auto"/>
          <w:highlight w:val="none"/>
          <w:u w:val="single"/>
          <w:shd w:val="clear" w:color="auto" w:fill="FFFFFF"/>
        </w:rPr>
        <w:t xml:space="preserve"> </w:t>
      </w:r>
      <w:r>
        <w:rPr>
          <w:rStyle w:val="39"/>
          <w:rFonts w:hint="eastAsia" w:ascii="方正魏碑_GBK" w:hAnsi="方正魏碑_GBK" w:eastAsia="方正魏碑_GBK" w:cs="方正魏碑_GBK"/>
          <w:i w:val="0"/>
          <w:color w:val="auto"/>
          <w:highlight w:val="none"/>
          <w:u w:val="single"/>
          <w:shd w:val="clear" w:color="auto" w:fill="FFFFFF"/>
        </w:rPr>
        <w:t>（</w:t>
      </w:r>
      <w:r>
        <w:rPr>
          <w:rStyle w:val="39"/>
          <w:rFonts w:hint="eastAsia" w:ascii="方正魏碑_GBK" w:hAnsi="方正魏碑_GBK" w:eastAsia="方正魏碑_GBK" w:cs="方正魏碑_GBK"/>
          <w:i w:val="0"/>
          <w:strike/>
          <w:color w:val="auto"/>
          <w:highlight w:val="none"/>
          <w:u w:val="single"/>
          <w:shd w:val="clear" w:color="auto" w:fill="FFFFFF"/>
        </w:rPr>
        <w:t>产品名称1</w:t>
      </w:r>
      <w:r>
        <w:rPr>
          <w:rStyle w:val="39"/>
          <w:rFonts w:hint="eastAsia" w:ascii="方正魏碑_GBK" w:hAnsi="方正魏碑_GBK" w:eastAsia="方正魏碑_GBK" w:cs="方正魏碑_GBK"/>
          <w:i w:val="0"/>
          <w:color w:val="auto"/>
          <w:highlight w:val="none"/>
          <w:u w:val="single"/>
          <w:shd w:val="clear" w:color="auto" w:fill="FFFFFF"/>
        </w:rPr>
        <w:t xml:space="preserve">） </w:t>
      </w:r>
      <w:r>
        <w:rPr>
          <w:rFonts w:hint="eastAsia" w:ascii="方正魏碑_GBK" w:hAnsi="方正魏碑_GBK" w:eastAsia="方正魏碑_GBK" w:cs="方正魏碑_GBK"/>
          <w:color w:val="auto"/>
          <w:highlight w:val="none"/>
          <w:shd w:val="clear" w:color="auto" w:fill="FFFFFF"/>
        </w:rPr>
        <w:t>的中国境内生产的组件成本占比≥</w:t>
      </w:r>
      <w:r>
        <w:rPr>
          <w:rStyle w:val="39"/>
          <w:rFonts w:hint="eastAsia" w:ascii="方正魏碑_GBK" w:hAnsi="方正魏碑_GBK" w:eastAsia="方正魏碑_GBK" w:cs="方正魏碑_GBK"/>
          <w:i w:val="0"/>
          <w:color w:val="auto"/>
          <w:highlight w:val="none"/>
          <w:u w:val="single"/>
          <w:shd w:val="clear" w:color="auto" w:fill="FFFFFF"/>
        </w:rPr>
        <w:t>（</w:t>
      </w:r>
      <w:r>
        <w:rPr>
          <w:rStyle w:val="39"/>
          <w:rFonts w:hint="eastAsia" w:ascii="方正魏碑_GBK" w:hAnsi="方正魏碑_GBK" w:eastAsia="方正魏碑_GBK" w:cs="方正魏碑_GBK"/>
          <w:i w:val="0"/>
          <w:strike/>
          <w:color w:val="auto"/>
          <w:highlight w:val="none"/>
          <w:u w:val="single"/>
          <w:shd w:val="clear" w:color="auto" w:fill="FFFFFF"/>
        </w:rPr>
        <w:t>规定</w:t>
      </w:r>
      <w:r>
        <w:rPr>
          <w:rStyle w:val="39"/>
          <w:rFonts w:ascii="方正魏碑_GBK" w:hAnsi="方正魏碑_GBK" w:eastAsia="方正魏碑_GBK" w:cs="方正魏碑_GBK"/>
          <w:i w:val="0"/>
          <w:strike/>
          <w:color w:val="auto"/>
          <w:highlight w:val="none"/>
          <w:u w:val="single"/>
          <w:shd w:val="clear" w:color="auto" w:fill="FFFFFF"/>
        </w:rPr>
        <w:t>比例</w:t>
      </w:r>
      <w:r>
        <w:rPr>
          <w:rStyle w:val="39"/>
          <w:rFonts w:hint="eastAsia" w:ascii="方正魏碑_GBK" w:hAnsi="方正魏碑_GBK" w:eastAsia="方正魏碑_GBK" w:cs="方正魏碑_GBK"/>
          <w:i w:val="0"/>
          <w:color w:val="auto"/>
          <w:highlight w:val="none"/>
          <w:u w:val="single"/>
          <w:shd w:val="clear" w:color="auto" w:fill="FFFFFF"/>
        </w:rPr>
        <w:t>）</w:t>
      </w:r>
      <w:r>
        <w:rPr>
          <w:rStyle w:val="39"/>
          <w:rFonts w:hint="eastAsia" w:ascii="方正魏碑_GBK" w:hAnsi="方正魏碑_GBK" w:eastAsia="方正魏碑_GBK" w:cs="方正魏碑_GBK"/>
          <w:i w:val="0"/>
          <w:color w:val="auto"/>
          <w:highlight w:val="none"/>
          <w:shd w:val="clear" w:color="auto" w:fill="FFFFFF"/>
          <w:vertAlign w:val="superscript"/>
        </w:rPr>
        <w:t>3</w:t>
      </w:r>
      <w:r>
        <w:rPr>
          <w:rFonts w:hint="eastAsia" w:ascii="方正魏碑_GBK" w:hAnsi="方正魏碑_GBK" w:eastAsia="方正魏碑_GBK" w:cs="方正魏碑_GBK"/>
          <w:color w:val="auto"/>
          <w:highlight w:val="none"/>
          <w:shd w:val="clear" w:color="auto" w:fill="FFFFFF"/>
        </w:rPr>
        <w:t>。</w:t>
      </w:r>
      <w:r>
        <w:rPr>
          <w:rStyle w:val="39"/>
          <w:rFonts w:hint="eastAsia" w:ascii="方正魏碑_GBK" w:hAnsi="方正魏碑_GBK" w:eastAsia="方正魏碑_GBK" w:cs="方正魏碑_GBK"/>
          <w:i w:val="0"/>
          <w:color w:val="auto"/>
          <w:highlight w:val="none"/>
          <w:u w:val="single"/>
          <w:shd w:val="clear" w:color="auto" w:fill="FFFFFF"/>
        </w:rPr>
        <w:t>（</w:t>
      </w:r>
      <w:r>
        <w:rPr>
          <w:rStyle w:val="39"/>
          <w:rFonts w:hint="eastAsia" w:ascii="方正魏碑_GBK" w:hAnsi="方正魏碑_GBK" w:eastAsia="方正魏碑_GBK" w:cs="方正魏碑_GBK"/>
          <w:i w:val="0"/>
          <w:strike/>
          <w:color w:val="auto"/>
          <w:highlight w:val="none"/>
          <w:u w:val="single"/>
          <w:shd w:val="clear" w:color="auto" w:fill="FFFFFF"/>
        </w:rPr>
        <w:t>产品名称1</w:t>
      </w:r>
      <w:r>
        <w:rPr>
          <w:rStyle w:val="39"/>
          <w:rFonts w:hint="eastAsia" w:ascii="方正魏碑_GBK" w:hAnsi="方正魏碑_GBK" w:eastAsia="方正魏碑_GBK" w:cs="方正魏碑_GBK"/>
          <w:i w:val="0"/>
          <w:color w:val="auto"/>
          <w:highlight w:val="none"/>
          <w:u w:val="single"/>
          <w:shd w:val="clear" w:color="auto" w:fill="FFFFFF"/>
        </w:rPr>
        <w:t>）</w:t>
      </w:r>
      <w:r>
        <w:rPr>
          <w:rFonts w:hint="eastAsia" w:ascii="方正魏碑_GBK" w:hAnsi="方正魏碑_GBK" w:eastAsia="方正魏碑_GBK" w:cs="方正魏碑_GBK"/>
          <w:color w:val="auto"/>
          <w:highlight w:val="none"/>
          <w:shd w:val="clear" w:color="auto" w:fill="FFFFFF"/>
        </w:rPr>
        <w:t>的</w:t>
      </w:r>
      <w:r>
        <w:rPr>
          <w:rStyle w:val="39"/>
          <w:rFonts w:hint="eastAsia" w:ascii="方正魏碑_GBK" w:hAnsi="方正魏碑_GBK" w:eastAsia="方正魏碑_GBK" w:cs="方正魏碑_GBK"/>
          <w:i w:val="0"/>
          <w:color w:val="auto"/>
          <w:highlight w:val="none"/>
          <w:u w:val="single"/>
          <w:shd w:val="clear" w:color="auto" w:fill="FFFFFF"/>
        </w:rPr>
        <w:t>（</w:t>
      </w:r>
      <w:r>
        <w:rPr>
          <w:rStyle w:val="39"/>
          <w:rFonts w:hint="eastAsia" w:ascii="方正魏碑_GBK" w:hAnsi="方正魏碑_GBK" w:eastAsia="方正魏碑_GBK" w:cs="方正魏碑_GBK"/>
          <w:i w:val="0"/>
          <w:strike/>
          <w:color w:val="auto"/>
          <w:highlight w:val="none"/>
          <w:u w:val="single"/>
          <w:shd w:val="clear" w:color="auto" w:fill="FFFFFF"/>
        </w:rPr>
        <w:t>关键</w:t>
      </w:r>
      <w:r>
        <w:rPr>
          <w:rStyle w:val="39"/>
          <w:rFonts w:ascii="方正魏碑_GBK" w:hAnsi="方正魏碑_GBK" w:eastAsia="方正魏碑_GBK" w:cs="方正魏碑_GBK"/>
          <w:i w:val="0"/>
          <w:strike/>
          <w:color w:val="auto"/>
          <w:highlight w:val="none"/>
          <w:u w:val="single"/>
          <w:shd w:val="clear" w:color="auto" w:fill="FFFFFF"/>
        </w:rPr>
        <w:t>组件</w:t>
      </w:r>
      <w:r>
        <w:rPr>
          <w:rStyle w:val="39"/>
          <w:rFonts w:hint="eastAsia" w:ascii="方正魏碑_GBK" w:hAnsi="方正魏碑_GBK" w:eastAsia="方正魏碑_GBK" w:cs="方正魏碑_GBK"/>
          <w:i w:val="0"/>
          <w:color w:val="auto"/>
          <w:highlight w:val="none"/>
          <w:u w:val="single"/>
          <w:shd w:val="clear" w:color="auto" w:fill="FFFFFF"/>
        </w:rPr>
        <w:t>）</w:t>
      </w:r>
      <w:r>
        <w:rPr>
          <w:rStyle w:val="39"/>
          <w:rFonts w:hint="eastAsia" w:ascii="方正魏碑_GBK" w:hAnsi="方正魏碑_GBK" w:eastAsia="方正魏碑_GBK" w:cs="方正魏碑_GBK"/>
          <w:i w:val="0"/>
          <w:color w:val="auto"/>
          <w:highlight w:val="none"/>
          <w:shd w:val="clear" w:color="auto" w:fill="FFFFFF"/>
          <w:vertAlign w:val="superscript"/>
        </w:rPr>
        <w:t>4</w:t>
      </w:r>
      <w:r>
        <w:rPr>
          <w:rFonts w:hint="eastAsia" w:ascii="方正魏碑_GBK" w:hAnsi="方正魏碑_GBK" w:eastAsia="方正魏碑_GBK" w:cs="方正魏碑_GBK"/>
          <w:color w:val="auto"/>
          <w:highlight w:val="none"/>
          <w:shd w:val="clear" w:color="auto" w:fill="FFFFFF"/>
        </w:rPr>
        <w:t>在中国境内生产。</w:t>
      </w:r>
      <w:r>
        <w:rPr>
          <w:rStyle w:val="39"/>
          <w:rFonts w:hint="eastAsia" w:ascii="方正魏碑_GBK" w:hAnsi="方正魏碑_GBK" w:eastAsia="方正魏碑_GBK" w:cs="方正魏碑_GBK"/>
          <w:i w:val="0"/>
          <w:color w:val="auto"/>
          <w:highlight w:val="none"/>
          <w:u w:val="single"/>
          <w:shd w:val="clear" w:color="auto" w:fill="FFFFFF"/>
        </w:rPr>
        <w:t>（</w:t>
      </w:r>
      <w:r>
        <w:rPr>
          <w:rStyle w:val="39"/>
          <w:rFonts w:hint="eastAsia" w:ascii="方正魏碑_GBK" w:hAnsi="方正魏碑_GBK" w:eastAsia="方正魏碑_GBK" w:cs="方正魏碑_GBK"/>
          <w:i w:val="0"/>
          <w:strike/>
          <w:color w:val="auto"/>
          <w:highlight w:val="none"/>
          <w:u w:val="single"/>
          <w:shd w:val="clear" w:color="auto" w:fill="FFFFFF"/>
        </w:rPr>
        <w:t>产品名称1</w:t>
      </w:r>
      <w:r>
        <w:rPr>
          <w:rStyle w:val="39"/>
          <w:rFonts w:hint="eastAsia" w:ascii="方正魏碑_GBK" w:hAnsi="方正魏碑_GBK" w:eastAsia="方正魏碑_GBK" w:cs="方正魏碑_GBK"/>
          <w:i w:val="0"/>
          <w:color w:val="auto"/>
          <w:highlight w:val="none"/>
          <w:u w:val="single"/>
          <w:shd w:val="clear" w:color="auto" w:fill="FFFFFF"/>
        </w:rPr>
        <w:t>）</w:t>
      </w:r>
      <w:r>
        <w:rPr>
          <w:rFonts w:hint="eastAsia" w:ascii="方正魏碑_GBK" w:hAnsi="方正魏碑_GBK" w:eastAsia="方正魏碑_GBK" w:cs="方正魏碑_GBK"/>
          <w:color w:val="auto"/>
          <w:highlight w:val="none"/>
          <w:shd w:val="clear" w:color="auto" w:fill="FFFFFF"/>
        </w:rPr>
        <w:t>的</w:t>
      </w:r>
      <w:r>
        <w:rPr>
          <w:rStyle w:val="39"/>
          <w:rFonts w:hint="eastAsia" w:ascii="方正魏碑_GBK" w:hAnsi="方正魏碑_GBK" w:eastAsia="方正魏碑_GBK" w:cs="方正魏碑_GBK"/>
          <w:i w:val="0"/>
          <w:color w:val="auto"/>
          <w:highlight w:val="none"/>
          <w:u w:val="single"/>
          <w:shd w:val="clear" w:color="auto" w:fill="FFFFFF"/>
        </w:rPr>
        <w:t>（</w:t>
      </w:r>
      <w:r>
        <w:rPr>
          <w:rStyle w:val="39"/>
          <w:rFonts w:hint="eastAsia" w:ascii="方正魏碑_GBK" w:hAnsi="方正魏碑_GBK" w:eastAsia="方正魏碑_GBK" w:cs="方正魏碑_GBK"/>
          <w:i w:val="0"/>
          <w:strike/>
          <w:color w:val="auto"/>
          <w:highlight w:val="none"/>
          <w:u w:val="single"/>
          <w:shd w:val="clear" w:color="auto" w:fill="FFFFFF"/>
        </w:rPr>
        <w:t>关键工序</w:t>
      </w:r>
      <w:r>
        <w:rPr>
          <w:rStyle w:val="39"/>
          <w:rFonts w:hint="eastAsia" w:ascii="方正魏碑_GBK" w:hAnsi="方正魏碑_GBK" w:eastAsia="方正魏碑_GBK" w:cs="方正魏碑_GBK"/>
          <w:i w:val="0"/>
          <w:color w:val="auto"/>
          <w:highlight w:val="none"/>
          <w:u w:val="single"/>
          <w:shd w:val="clear" w:color="auto" w:fill="FFFFFF"/>
        </w:rPr>
        <w:t>）</w:t>
      </w:r>
      <w:r>
        <w:rPr>
          <w:rStyle w:val="39"/>
          <w:rFonts w:hint="eastAsia" w:ascii="方正魏碑_GBK" w:hAnsi="方正魏碑_GBK" w:eastAsia="方正魏碑_GBK" w:cs="方正魏碑_GBK"/>
          <w:i w:val="0"/>
          <w:color w:val="auto"/>
          <w:highlight w:val="none"/>
          <w:shd w:val="clear" w:color="auto" w:fill="FFFFFF"/>
          <w:vertAlign w:val="superscript"/>
        </w:rPr>
        <w:t>5</w:t>
      </w:r>
      <w:r>
        <w:rPr>
          <w:rFonts w:hint="eastAsia" w:ascii="方正魏碑_GBK" w:hAnsi="方正魏碑_GBK" w:eastAsia="方正魏碑_GBK" w:cs="方正魏碑_GBK"/>
          <w:color w:val="auto"/>
          <w:highlight w:val="none"/>
          <w:shd w:val="clear" w:color="auto" w:fill="FFFFFF"/>
        </w:rPr>
        <w:t>在中国境内完成。</w:t>
      </w:r>
    </w:p>
    <w:p w14:paraId="47082041">
      <w:pPr>
        <w:pStyle w:val="32"/>
        <w:numPr>
          <w:ilvl w:val="-1"/>
          <w:numId w:val="0"/>
        </w:numPr>
        <w:spacing w:before="30" w:beforeAutospacing="0" w:after="30" w:afterAutospacing="0" w:line="360" w:lineRule="exact"/>
        <w:ind w:firstLine="0"/>
        <w:rPr>
          <w:rFonts w:hint="eastAsia" w:ascii="方正魏碑_GBK" w:hAnsi="方正魏碑_GBK" w:eastAsia="方正魏碑_GBK" w:cs="方正魏碑_GBK"/>
          <w:color w:val="auto"/>
          <w:highlight w:val="none"/>
          <w:shd w:val="clear" w:color="auto" w:fill="FFFFFF"/>
        </w:rPr>
      </w:pPr>
    </w:p>
    <w:p w14:paraId="5DB24C14">
      <w:pPr>
        <w:pStyle w:val="32"/>
        <w:spacing w:before="30" w:beforeAutospacing="0" w:after="30" w:afterAutospacing="0" w:line="360" w:lineRule="exact"/>
        <w:ind w:firstLine="420"/>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2.</w:t>
      </w:r>
      <w:r>
        <w:rPr>
          <w:rStyle w:val="39"/>
          <w:rFonts w:hint="eastAsia" w:ascii="方正魏碑_GBK" w:hAnsi="方正魏碑_GBK" w:eastAsia="方正魏碑_GBK" w:cs="方正魏碑_GBK"/>
          <w:i w:val="0"/>
          <w:color w:val="auto"/>
          <w:highlight w:val="none"/>
          <w:u w:val="single"/>
          <w:shd w:val="clear" w:color="auto" w:fill="FFFFFF"/>
        </w:rPr>
        <w:t>（产品名称2）</w:t>
      </w:r>
      <w:r>
        <w:rPr>
          <w:rFonts w:hint="eastAsia" w:ascii="方正魏碑_GBK" w:hAnsi="方正魏碑_GBK" w:eastAsia="方正魏碑_GBK" w:cs="方正魏碑_GBK"/>
          <w:color w:val="auto"/>
          <w:highlight w:val="none"/>
          <w:shd w:val="clear" w:color="auto" w:fill="FFFFFF"/>
        </w:rPr>
        <w:t>，生产厂为</w:t>
      </w:r>
      <w:r>
        <w:rPr>
          <w:rStyle w:val="39"/>
          <w:rFonts w:hint="eastAsia" w:ascii="方正魏碑_GBK" w:hAnsi="方正魏碑_GBK" w:eastAsia="方正魏碑_GBK" w:cs="方正魏碑_GBK"/>
          <w:i w:val="0"/>
          <w:color w:val="auto"/>
          <w:highlight w:val="none"/>
          <w:u w:val="single"/>
          <w:shd w:val="clear" w:color="auto" w:fill="FFFFFF"/>
        </w:rPr>
        <w:t>（厂名）</w:t>
      </w:r>
      <w:r>
        <w:rPr>
          <w:rFonts w:hint="eastAsia" w:ascii="方正魏碑_GBK" w:hAnsi="方正魏碑_GBK" w:eastAsia="方正魏碑_GBK" w:cs="方正魏碑_GBK"/>
          <w:color w:val="auto"/>
          <w:highlight w:val="none"/>
          <w:shd w:val="clear" w:color="auto" w:fill="FFFFFF"/>
        </w:rPr>
        <w:t>，厂址为</w:t>
      </w:r>
      <w:r>
        <w:rPr>
          <w:rStyle w:val="39"/>
          <w:rFonts w:hint="eastAsia" w:ascii="方正魏碑_GBK" w:hAnsi="方正魏碑_GBK" w:eastAsia="方正魏碑_GBK" w:cs="方正魏碑_GBK"/>
          <w:i w:val="0"/>
          <w:color w:val="auto"/>
          <w:highlight w:val="none"/>
          <w:u w:val="single"/>
          <w:shd w:val="clear" w:color="auto" w:fill="FFFFFF"/>
        </w:rPr>
        <w:t>（生产厂址）</w:t>
      </w:r>
      <w:r>
        <w:rPr>
          <w:rFonts w:hint="eastAsia" w:ascii="方正魏碑_GBK" w:hAnsi="方正魏碑_GBK" w:eastAsia="方正魏碑_GBK" w:cs="方正魏碑_GBK"/>
          <w:color w:val="auto"/>
          <w:highlight w:val="none"/>
          <w:shd w:val="clear" w:color="auto" w:fill="FFFFFF"/>
        </w:rPr>
        <w:t>。</w:t>
      </w:r>
      <w:r>
        <w:rPr>
          <w:rStyle w:val="39"/>
          <w:rFonts w:hint="eastAsia" w:ascii="方正魏碑_GBK" w:hAnsi="方正魏碑_GBK" w:eastAsia="方正魏碑_GBK" w:cs="方正魏碑_GBK"/>
          <w:i w:val="0"/>
          <w:color w:val="auto"/>
          <w:highlight w:val="none"/>
          <w:u w:val="single"/>
          <w:shd w:val="clear" w:color="auto" w:fill="FFFFFF"/>
        </w:rPr>
        <w:t>（</w:t>
      </w:r>
      <w:r>
        <w:rPr>
          <w:rStyle w:val="39"/>
          <w:rFonts w:hint="eastAsia" w:ascii="方正魏碑_GBK" w:hAnsi="方正魏碑_GBK" w:eastAsia="方正魏碑_GBK" w:cs="方正魏碑_GBK"/>
          <w:i w:val="0"/>
          <w:strike/>
          <w:color w:val="auto"/>
          <w:highlight w:val="none"/>
          <w:u w:val="single"/>
          <w:shd w:val="clear" w:color="auto" w:fill="FFFFFF"/>
        </w:rPr>
        <w:t>产品名称2</w:t>
      </w:r>
      <w:r>
        <w:rPr>
          <w:rStyle w:val="39"/>
          <w:rFonts w:hint="eastAsia" w:ascii="方正魏碑_GBK" w:hAnsi="方正魏碑_GBK" w:eastAsia="方正魏碑_GBK" w:cs="方正魏碑_GBK"/>
          <w:i w:val="0"/>
          <w:color w:val="auto"/>
          <w:highlight w:val="none"/>
          <w:u w:val="single"/>
          <w:shd w:val="clear" w:color="auto" w:fill="FFFFFF"/>
        </w:rPr>
        <w:t>）</w:t>
      </w:r>
      <w:r>
        <w:rPr>
          <w:rFonts w:hint="eastAsia" w:ascii="方正魏碑_GBK" w:hAnsi="方正魏碑_GBK" w:eastAsia="方正魏碑_GBK" w:cs="方正魏碑_GBK"/>
          <w:color w:val="auto"/>
          <w:highlight w:val="none"/>
          <w:shd w:val="clear" w:color="auto" w:fill="FFFFFF"/>
        </w:rPr>
        <w:t>的中国境内生产的组件成本占比≥</w:t>
      </w:r>
      <w:r>
        <w:rPr>
          <w:rStyle w:val="39"/>
          <w:rFonts w:hint="eastAsia" w:ascii="方正魏碑_GBK" w:hAnsi="方正魏碑_GBK" w:eastAsia="方正魏碑_GBK" w:cs="方正魏碑_GBK"/>
          <w:i w:val="0"/>
          <w:color w:val="auto"/>
          <w:highlight w:val="none"/>
          <w:u w:val="single"/>
          <w:shd w:val="clear" w:color="auto" w:fill="FFFFFF"/>
        </w:rPr>
        <w:t>（</w:t>
      </w:r>
      <w:r>
        <w:rPr>
          <w:rStyle w:val="39"/>
          <w:rFonts w:hint="eastAsia" w:ascii="方正魏碑_GBK" w:hAnsi="方正魏碑_GBK" w:eastAsia="方正魏碑_GBK" w:cs="方正魏碑_GBK"/>
          <w:i w:val="0"/>
          <w:strike/>
          <w:color w:val="auto"/>
          <w:highlight w:val="none"/>
          <w:u w:val="single"/>
          <w:shd w:val="clear" w:color="auto" w:fill="FFFFFF"/>
        </w:rPr>
        <w:t>规定</w:t>
      </w:r>
      <w:r>
        <w:rPr>
          <w:rStyle w:val="39"/>
          <w:rFonts w:ascii="方正魏碑_GBK" w:hAnsi="方正魏碑_GBK" w:eastAsia="方正魏碑_GBK" w:cs="方正魏碑_GBK"/>
          <w:i w:val="0"/>
          <w:strike/>
          <w:color w:val="auto"/>
          <w:highlight w:val="none"/>
          <w:u w:val="single"/>
          <w:shd w:val="clear" w:color="auto" w:fill="FFFFFF"/>
        </w:rPr>
        <w:t>比例</w:t>
      </w:r>
      <w:r>
        <w:rPr>
          <w:rStyle w:val="39"/>
          <w:rFonts w:hint="eastAsia" w:ascii="方正魏碑_GBK" w:hAnsi="方正魏碑_GBK" w:eastAsia="方正魏碑_GBK" w:cs="方正魏碑_GBK"/>
          <w:i w:val="0"/>
          <w:color w:val="auto"/>
          <w:highlight w:val="none"/>
          <w:u w:val="single"/>
          <w:shd w:val="clear" w:color="auto" w:fill="FFFFFF"/>
        </w:rPr>
        <w:t>）</w:t>
      </w:r>
      <w:r>
        <w:rPr>
          <w:rFonts w:hint="eastAsia" w:ascii="方正魏碑_GBK" w:hAnsi="方正魏碑_GBK" w:eastAsia="方正魏碑_GBK" w:cs="方正魏碑_GBK"/>
          <w:color w:val="auto"/>
          <w:highlight w:val="none"/>
          <w:shd w:val="clear" w:color="auto" w:fill="FFFFFF"/>
        </w:rPr>
        <w:t>。</w:t>
      </w:r>
      <w:r>
        <w:rPr>
          <w:rStyle w:val="39"/>
          <w:rFonts w:hint="eastAsia" w:ascii="方正魏碑_GBK" w:hAnsi="方正魏碑_GBK" w:eastAsia="方正魏碑_GBK" w:cs="方正魏碑_GBK"/>
          <w:i w:val="0"/>
          <w:color w:val="auto"/>
          <w:highlight w:val="none"/>
          <w:u w:val="single"/>
          <w:shd w:val="clear" w:color="auto" w:fill="FFFFFF"/>
        </w:rPr>
        <w:t>（</w:t>
      </w:r>
      <w:r>
        <w:rPr>
          <w:rStyle w:val="39"/>
          <w:rFonts w:hint="eastAsia" w:ascii="方正魏碑_GBK" w:hAnsi="方正魏碑_GBK" w:eastAsia="方正魏碑_GBK" w:cs="方正魏碑_GBK"/>
          <w:i w:val="0"/>
          <w:strike/>
          <w:color w:val="auto"/>
          <w:highlight w:val="none"/>
          <w:u w:val="single"/>
          <w:shd w:val="clear" w:color="auto" w:fill="FFFFFF"/>
        </w:rPr>
        <w:t>产品名称2</w:t>
      </w:r>
      <w:r>
        <w:rPr>
          <w:rStyle w:val="39"/>
          <w:rFonts w:hint="eastAsia" w:ascii="方正魏碑_GBK" w:hAnsi="方正魏碑_GBK" w:eastAsia="方正魏碑_GBK" w:cs="方正魏碑_GBK"/>
          <w:i w:val="0"/>
          <w:color w:val="auto"/>
          <w:highlight w:val="none"/>
          <w:u w:val="single"/>
          <w:shd w:val="clear" w:color="auto" w:fill="FFFFFF"/>
        </w:rPr>
        <w:t>）</w:t>
      </w:r>
      <w:r>
        <w:rPr>
          <w:rFonts w:hint="eastAsia" w:ascii="方正魏碑_GBK" w:hAnsi="方正魏碑_GBK" w:eastAsia="方正魏碑_GBK" w:cs="方正魏碑_GBK"/>
          <w:color w:val="auto"/>
          <w:highlight w:val="none"/>
          <w:shd w:val="clear" w:color="auto" w:fill="FFFFFF"/>
        </w:rPr>
        <w:t>的</w:t>
      </w:r>
      <w:r>
        <w:rPr>
          <w:rStyle w:val="39"/>
          <w:rFonts w:hint="eastAsia" w:ascii="方正魏碑_GBK" w:hAnsi="方正魏碑_GBK" w:eastAsia="方正魏碑_GBK" w:cs="方正魏碑_GBK"/>
          <w:i w:val="0"/>
          <w:color w:val="auto"/>
          <w:highlight w:val="none"/>
          <w:u w:val="single"/>
          <w:shd w:val="clear" w:color="auto" w:fill="FFFFFF"/>
        </w:rPr>
        <w:t>（</w:t>
      </w:r>
      <w:r>
        <w:rPr>
          <w:rStyle w:val="39"/>
          <w:rFonts w:hint="eastAsia" w:ascii="方正魏碑_GBK" w:hAnsi="方正魏碑_GBK" w:eastAsia="方正魏碑_GBK" w:cs="方正魏碑_GBK"/>
          <w:i w:val="0"/>
          <w:strike/>
          <w:color w:val="auto"/>
          <w:highlight w:val="none"/>
          <w:u w:val="single"/>
          <w:shd w:val="clear" w:color="auto" w:fill="FFFFFF"/>
        </w:rPr>
        <w:t>关键</w:t>
      </w:r>
      <w:r>
        <w:rPr>
          <w:rStyle w:val="39"/>
          <w:rFonts w:ascii="方正魏碑_GBK" w:hAnsi="方正魏碑_GBK" w:eastAsia="方正魏碑_GBK" w:cs="方正魏碑_GBK"/>
          <w:i w:val="0"/>
          <w:strike/>
          <w:color w:val="auto"/>
          <w:highlight w:val="none"/>
          <w:u w:val="single"/>
          <w:shd w:val="clear" w:color="auto" w:fill="FFFFFF"/>
        </w:rPr>
        <w:t>组件</w:t>
      </w:r>
      <w:r>
        <w:rPr>
          <w:rStyle w:val="39"/>
          <w:rFonts w:hint="eastAsia" w:ascii="方正魏碑_GBK" w:hAnsi="方正魏碑_GBK" w:eastAsia="方正魏碑_GBK" w:cs="方正魏碑_GBK"/>
          <w:i w:val="0"/>
          <w:color w:val="auto"/>
          <w:highlight w:val="none"/>
          <w:u w:val="single"/>
          <w:shd w:val="clear" w:color="auto" w:fill="FFFFFF"/>
        </w:rPr>
        <w:t>）</w:t>
      </w:r>
      <w:r>
        <w:rPr>
          <w:rFonts w:hint="eastAsia" w:ascii="方正魏碑_GBK" w:hAnsi="方正魏碑_GBK" w:eastAsia="方正魏碑_GBK" w:cs="方正魏碑_GBK"/>
          <w:color w:val="auto"/>
          <w:highlight w:val="none"/>
          <w:shd w:val="clear" w:color="auto" w:fill="FFFFFF"/>
        </w:rPr>
        <w:t>在中国境内生产。</w:t>
      </w:r>
      <w:r>
        <w:rPr>
          <w:rStyle w:val="39"/>
          <w:rFonts w:hint="eastAsia" w:ascii="方正魏碑_GBK" w:hAnsi="方正魏碑_GBK" w:eastAsia="方正魏碑_GBK" w:cs="方正魏碑_GBK"/>
          <w:i w:val="0"/>
          <w:color w:val="auto"/>
          <w:highlight w:val="none"/>
          <w:u w:val="single"/>
          <w:shd w:val="clear" w:color="auto" w:fill="FFFFFF"/>
        </w:rPr>
        <w:t>（</w:t>
      </w:r>
      <w:r>
        <w:rPr>
          <w:rStyle w:val="39"/>
          <w:rFonts w:hint="eastAsia" w:ascii="方正魏碑_GBK" w:hAnsi="方正魏碑_GBK" w:eastAsia="方正魏碑_GBK" w:cs="方正魏碑_GBK"/>
          <w:i w:val="0"/>
          <w:strike/>
          <w:color w:val="auto"/>
          <w:highlight w:val="none"/>
          <w:u w:val="single"/>
          <w:shd w:val="clear" w:color="auto" w:fill="FFFFFF"/>
        </w:rPr>
        <w:t>产品名称1</w:t>
      </w:r>
      <w:r>
        <w:rPr>
          <w:rStyle w:val="39"/>
          <w:rFonts w:hint="eastAsia" w:ascii="方正魏碑_GBK" w:hAnsi="方正魏碑_GBK" w:eastAsia="方正魏碑_GBK" w:cs="方正魏碑_GBK"/>
          <w:i w:val="0"/>
          <w:color w:val="auto"/>
          <w:highlight w:val="none"/>
          <w:u w:val="single"/>
          <w:shd w:val="clear" w:color="auto" w:fill="FFFFFF"/>
        </w:rPr>
        <w:t>）</w:t>
      </w:r>
      <w:r>
        <w:rPr>
          <w:rFonts w:hint="eastAsia" w:ascii="方正魏碑_GBK" w:hAnsi="方正魏碑_GBK" w:eastAsia="方正魏碑_GBK" w:cs="方正魏碑_GBK"/>
          <w:color w:val="auto"/>
          <w:highlight w:val="none"/>
          <w:shd w:val="clear" w:color="auto" w:fill="FFFFFF"/>
        </w:rPr>
        <w:t>的</w:t>
      </w:r>
      <w:r>
        <w:rPr>
          <w:rStyle w:val="39"/>
          <w:rFonts w:hint="eastAsia" w:ascii="方正魏碑_GBK" w:hAnsi="方正魏碑_GBK" w:eastAsia="方正魏碑_GBK" w:cs="方正魏碑_GBK"/>
          <w:i w:val="0"/>
          <w:color w:val="auto"/>
          <w:highlight w:val="none"/>
          <w:u w:val="single"/>
          <w:shd w:val="clear" w:color="auto" w:fill="FFFFFF"/>
        </w:rPr>
        <w:t>（</w:t>
      </w:r>
      <w:r>
        <w:rPr>
          <w:rStyle w:val="39"/>
          <w:rFonts w:hint="eastAsia" w:ascii="方正魏碑_GBK" w:hAnsi="方正魏碑_GBK" w:eastAsia="方正魏碑_GBK" w:cs="方正魏碑_GBK"/>
          <w:i w:val="0"/>
          <w:strike/>
          <w:color w:val="auto"/>
          <w:highlight w:val="none"/>
          <w:u w:val="single"/>
          <w:shd w:val="clear" w:color="auto" w:fill="FFFFFF"/>
        </w:rPr>
        <w:t>关键工序</w:t>
      </w:r>
      <w:r>
        <w:rPr>
          <w:rStyle w:val="39"/>
          <w:rFonts w:hint="eastAsia" w:ascii="方正魏碑_GBK" w:hAnsi="方正魏碑_GBK" w:eastAsia="方正魏碑_GBK" w:cs="方正魏碑_GBK"/>
          <w:i w:val="0"/>
          <w:color w:val="auto"/>
          <w:highlight w:val="none"/>
          <w:u w:val="single"/>
          <w:shd w:val="clear" w:color="auto" w:fill="FFFFFF"/>
        </w:rPr>
        <w:t>）</w:t>
      </w:r>
      <w:r>
        <w:rPr>
          <w:rFonts w:hint="eastAsia" w:ascii="方正魏碑_GBK" w:hAnsi="方正魏碑_GBK" w:eastAsia="方正魏碑_GBK" w:cs="方正魏碑_GBK"/>
          <w:color w:val="auto"/>
          <w:highlight w:val="none"/>
          <w:shd w:val="clear" w:color="auto" w:fill="FFFFFF"/>
        </w:rPr>
        <w:t>在中国境内完成。</w:t>
      </w:r>
    </w:p>
    <w:p w14:paraId="14ACE266">
      <w:pPr>
        <w:pStyle w:val="32"/>
        <w:spacing w:before="30" w:beforeAutospacing="0" w:after="30" w:afterAutospacing="0" w:line="360" w:lineRule="exact"/>
        <w:ind w:firstLine="420"/>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w:t>
      </w:r>
    </w:p>
    <w:p w14:paraId="0D553918">
      <w:pPr>
        <w:pStyle w:val="32"/>
        <w:spacing w:before="30" w:beforeAutospacing="0" w:after="30" w:afterAutospacing="0" w:line="360" w:lineRule="exact"/>
        <w:ind w:firstLine="420"/>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本公司（单位）对上述声明内容的真实性负责。如有虚假，愿承担相应法律责任。</w:t>
      </w:r>
    </w:p>
    <w:p w14:paraId="30558079">
      <w:pPr>
        <w:pStyle w:val="32"/>
        <w:spacing w:before="30" w:beforeAutospacing="0" w:after="30" w:afterAutospacing="0" w:line="360" w:lineRule="exact"/>
        <w:rPr>
          <w:rFonts w:hint="eastAsia" w:ascii="方正魏碑_GBK" w:hAnsi="方正魏碑_GBK" w:eastAsia="方正魏碑_GBK" w:cs="方正魏碑_GBK"/>
          <w:color w:val="auto"/>
          <w:highlight w:val="none"/>
        </w:rPr>
      </w:pPr>
    </w:p>
    <w:p w14:paraId="135D9E5E">
      <w:pPr>
        <w:pStyle w:val="32"/>
        <w:spacing w:before="30" w:beforeAutospacing="0" w:after="30" w:afterAutospacing="0" w:line="360" w:lineRule="exact"/>
        <w:ind w:right="480" w:firstLine="4200" w:firstLineChars="1750"/>
        <w:rPr>
          <w:rFonts w:hint="eastAsia" w:ascii="宋体" w:hAnsi="宋体"/>
          <w:color w:val="auto"/>
          <w:sz w:val="24"/>
          <w:szCs w:val="24"/>
          <w:highlight w:val="none"/>
        </w:rPr>
      </w:pPr>
      <w:r>
        <w:rPr>
          <w:rFonts w:hint="eastAsia" w:ascii="方正魏碑_GBK" w:hAnsi="方正魏碑_GBK" w:eastAsia="方正魏碑_GBK" w:cs="方正魏碑_GBK"/>
          <w:color w:val="auto"/>
          <w:highlight w:val="none"/>
          <w:shd w:val="clear" w:color="auto" w:fill="FFFFFF"/>
        </w:rPr>
        <w:t>公司（单位）名称：　</w:t>
      </w:r>
      <w:r>
        <w:rPr>
          <w:rFonts w:hint="eastAsia" w:ascii="宋体" w:hAnsi="宋体"/>
          <w:color w:val="auto"/>
          <w:sz w:val="24"/>
          <w:szCs w:val="24"/>
          <w:highlight w:val="none"/>
        </w:rPr>
        <w:t>（</w:t>
      </w:r>
      <w:r>
        <w:rPr>
          <w:rFonts w:hint="eastAsia" w:ascii="宋体" w:hAnsi="宋体" w:eastAsia="宋体"/>
          <w:color w:val="auto"/>
          <w:sz w:val="24"/>
          <w:szCs w:val="24"/>
          <w:highlight w:val="none"/>
        </w:rPr>
        <w:t>加盖CA电子公章</w:t>
      </w:r>
      <w:r>
        <w:rPr>
          <w:rFonts w:hint="eastAsia" w:ascii="宋体" w:hAnsi="宋体"/>
          <w:color w:val="auto"/>
          <w:sz w:val="24"/>
          <w:szCs w:val="24"/>
          <w:highlight w:val="none"/>
        </w:rPr>
        <w:t xml:space="preserve">）  </w:t>
      </w:r>
    </w:p>
    <w:p w14:paraId="4DA9BB2E">
      <w:pPr>
        <w:pStyle w:val="32"/>
        <w:spacing w:before="30" w:beforeAutospacing="0" w:after="30" w:afterAutospacing="0" w:line="360" w:lineRule="exact"/>
        <w:ind w:right="480" w:firstLine="3720" w:firstLineChars="1550"/>
        <w:rPr>
          <w:rFonts w:hint="eastAsia" w:ascii="宋体" w:hAnsi="宋体"/>
          <w:color w:val="auto"/>
          <w:sz w:val="24"/>
          <w:szCs w:val="24"/>
          <w:highlight w:val="none"/>
        </w:rPr>
      </w:pPr>
    </w:p>
    <w:p w14:paraId="29B0F993">
      <w:pPr>
        <w:pStyle w:val="32"/>
        <w:spacing w:before="30" w:beforeAutospacing="0" w:after="30" w:afterAutospacing="0" w:line="360" w:lineRule="exact"/>
        <w:jc w:val="center"/>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日期：　   年　  月　  日         </w:t>
      </w:r>
    </w:p>
    <w:p w14:paraId="67077FF7">
      <w:pPr>
        <w:pStyle w:val="32"/>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__________________</w:t>
      </w:r>
    </w:p>
    <w:p w14:paraId="4F3854A9">
      <w:pPr>
        <w:pStyle w:val="32"/>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1.产品如有型号，请在“产品名称”栏一并填写。</w:t>
      </w:r>
    </w:p>
    <w:p w14:paraId="35911A86">
      <w:pPr>
        <w:pStyle w:val="32"/>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2.生产厂名与厂址应与生产厂营业执照载明的相关信息保持一致。</w:t>
      </w:r>
    </w:p>
    <w:p w14:paraId="738C6C2F">
      <w:pPr>
        <w:pStyle w:val="32"/>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3.该产品的中国境内生产的组件成本占比相关要求实施前，“规定比例”栏可不填，下同。</w:t>
      </w:r>
    </w:p>
    <w:p w14:paraId="009F7D3C">
      <w:pPr>
        <w:pStyle w:val="32"/>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4.该产品的关键组件要求实施前，“关键组件”栏可不填，下同。</w:t>
      </w:r>
    </w:p>
    <w:p w14:paraId="6EFA9C17">
      <w:pPr>
        <w:pStyle w:val="32"/>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5.该产品的关键工序要求实施前，“关键工序”栏可不填，下同。</w:t>
      </w:r>
    </w:p>
    <w:p w14:paraId="263AF243">
      <w:pPr>
        <w:pStyle w:val="3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6.用</w:t>
      </w:r>
      <w:r>
        <w:rPr>
          <w:rFonts w:hint="eastAsia" w:ascii="方正魏碑_GBK" w:hAnsi="方正魏碑_GBK" w:eastAsia="方正魏碑_GBK" w:cs="方正魏碑_GBK"/>
          <w:color w:val="auto"/>
          <w:sz w:val="22"/>
          <w:highlight w:val="none"/>
          <w:shd w:val="clear" w:color="auto" w:fill="FFFFFF"/>
          <w:lang w:val="en-US" w:eastAsia="zh-CN"/>
        </w:rPr>
        <w:t>横线</w:t>
      </w:r>
      <w:r>
        <w:rPr>
          <w:rFonts w:hint="eastAsia" w:ascii="方正魏碑_GBK" w:hAnsi="方正魏碑_GBK" w:eastAsia="方正魏碑_GBK" w:cs="方正魏碑_GBK"/>
          <w:strike/>
          <w:dstrike w:val="0"/>
          <w:color w:val="auto"/>
          <w:sz w:val="22"/>
          <w:highlight w:val="none"/>
          <w:shd w:val="clear" w:color="auto" w:fill="FFFFFF"/>
          <w:lang w:val="en-US" w:eastAsia="zh-CN"/>
        </w:rPr>
        <w:t xml:space="preserve">     </w:t>
      </w:r>
      <w:r>
        <w:rPr>
          <w:rFonts w:hint="eastAsia" w:ascii="方正魏碑_GBK" w:hAnsi="方正魏碑_GBK" w:eastAsia="方正魏碑_GBK" w:cs="方正魏碑_GBK"/>
          <w:color w:val="auto"/>
          <w:sz w:val="22"/>
          <w:highlight w:val="none"/>
          <w:shd w:val="clear" w:color="auto" w:fill="FFFFFF"/>
        </w:rPr>
        <w:t>划除的地方无需填写。</w:t>
      </w:r>
    </w:p>
    <w:p w14:paraId="235DE8C2">
      <w:pPr>
        <w:pStyle w:val="3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6A64F1A9">
      <w:pPr>
        <w:pStyle w:val="3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3F736A6C">
      <w:pPr>
        <w:pStyle w:val="3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3FAD1377">
      <w:pPr>
        <w:pStyle w:val="3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40516140">
      <w:pPr>
        <w:pStyle w:val="3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0FCA4B69">
      <w:pPr>
        <w:pStyle w:val="3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6A28857E">
      <w:pPr>
        <w:pStyle w:val="3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6E1F7958">
      <w:pPr>
        <w:pStyle w:val="3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08E728DD">
      <w:pPr>
        <w:pStyle w:val="3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15EEA3AA">
      <w:pPr>
        <w:pStyle w:val="3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183CAF45">
      <w:pPr>
        <w:pStyle w:val="3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221AB417">
      <w:pPr>
        <w:pStyle w:val="3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0918DA0F">
      <w:pPr>
        <w:pStyle w:val="3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29030DA7">
      <w:pPr>
        <w:pStyle w:val="3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099596BC">
      <w:pPr>
        <w:pStyle w:val="3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2C2F4090">
      <w:pPr>
        <w:pStyle w:val="3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27660526">
      <w:pPr>
        <w:pStyle w:val="3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385258BA">
      <w:pPr>
        <w:pStyle w:val="3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6BBFBC49">
      <w:pPr>
        <w:pStyle w:val="3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56A54F6D">
      <w:pPr>
        <w:pStyle w:val="493"/>
        <w:outlineLvl w:val="1"/>
        <w:rPr>
          <w:rFonts w:hint="eastAsia"/>
          <w:color w:val="auto"/>
          <w:highlight w:val="none"/>
        </w:rPr>
      </w:pPr>
      <w:r>
        <w:rPr>
          <w:color w:val="auto"/>
          <w:highlight w:val="none"/>
        </w:rPr>
        <w:t>十</w:t>
      </w:r>
      <w:r>
        <w:rPr>
          <w:rFonts w:hint="eastAsia"/>
          <w:color w:val="auto"/>
          <w:highlight w:val="none"/>
          <w:lang w:val="en-US" w:eastAsia="zh-CN"/>
        </w:rPr>
        <w:t>四</w:t>
      </w:r>
      <w:r>
        <w:rPr>
          <w:color w:val="auto"/>
          <w:highlight w:val="none"/>
        </w:rPr>
        <w:t>、响应偏差表</w:t>
      </w:r>
      <w:bookmarkEnd w:id="216"/>
      <w:bookmarkEnd w:id="217"/>
      <w:bookmarkEnd w:id="223"/>
      <w:bookmarkEnd w:id="224"/>
      <w:bookmarkEnd w:id="225"/>
      <w:bookmarkEnd w:id="226"/>
    </w:p>
    <w:p w14:paraId="1EE4FE16">
      <w:pPr>
        <w:pStyle w:val="304"/>
        <w:jc w:val="center"/>
        <w:rPr>
          <w:color w:val="auto"/>
          <w:sz w:val="32"/>
          <w:szCs w:val="32"/>
          <w:highlight w:val="none"/>
        </w:rPr>
      </w:pPr>
      <w:r>
        <w:rPr>
          <w:rFonts w:hint="eastAsia"/>
          <w:color w:val="auto"/>
          <w:sz w:val="32"/>
          <w:szCs w:val="32"/>
          <w:highlight w:val="none"/>
        </w:rPr>
        <w:t>（一）技术响应偏差表</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898"/>
        <w:gridCol w:w="2100"/>
        <w:gridCol w:w="2232"/>
        <w:gridCol w:w="1790"/>
      </w:tblGrid>
      <w:tr w14:paraId="75411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51F464A3">
            <w:pPr>
              <w:pStyle w:val="304"/>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序号</w:t>
            </w:r>
          </w:p>
        </w:tc>
        <w:tc>
          <w:tcPr>
            <w:tcW w:w="1898" w:type="dxa"/>
            <w:tcBorders>
              <w:top w:val="single" w:color="auto" w:sz="4" w:space="0"/>
              <w:left w:val="single" w:color="auto" w:sz="4" w:space="0"/>
              <w:bottom w:val="single" w:color="auto" w:sz="4" w:space="0"/>
              <w:right w:val="single" w:color="auto" w:sz="4" w:space="0"/>
            </w:tcBorders>
            <w:vAlign w:val="center"/>
          </w:tcPr>
          <w:p w14:paraId="27C5A878">
            <w:pPr>
              <w:pStyle w:val="304"/>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招标文件内容</w:t>
            </w:r>
          </w:p>
        </w:tc>
        <w:tc>
          <w:tcPr>
            <w:tcW w:w="2100" w:type="dxa"/>
            <w:tcBorders>
              <w:top w:val="single" w:color="auto" w:sz="4" w:space="0"/>
              <w:left w:val="single" w:color="auto" w:sz="4" w:space="0"/>
              <w:bottom w:val="single" w:color="auto" w:sz="4" w:space="0"/>
              <w:right w:val="single" w:color="auto" w:sz="4" w:space="0"/>
            </w:tcBorders>
            <w:vAlign w:val="center"/>
          </w:tcPr>
          <w:p w14:paraId="64DCC29B">
            <w:pPr>
              <w:pStyle w:val="304"/>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投标文件内容</w:t>
            </w:r>
          </w:p>
        </w:tc>
        <w:tc>
          <w:tcPr>
            <w:tcW w:w="2232" w:type="dxa"/>
            <w:tcBorders>
              <w:top w:val="single" w:color="auto" w:sz="4" w:space="0"/>
              <w:left w:val="single" w:color="auto" w:sz="4" w:space="0"/>
              <w:bottom w:val="single" w:color="auto" w:sz="4" w:space="0"/>
              <w:right w:val="single" w:color="auto" w:sz="4" w:space="0"/>
            </w:tcBorders>
            <w:vAlign w:val="center"/>
          </w:tcPr>
          <w:p w14:paraId="0422AB4C">
            <w:pPr>
              <w:pStyle w:val="304"/>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偏差内容及说明</w:t>
            </w:r>
          </w:p>
        </w:tc>
        <w:tc>
          <w:tcPr>
            <w:tcW w:w="1790" w:type="dxa"/>
            <w:tcBorders>
              <w:top w:val="single" w:color="auto" w:sz="4" w:space="0"/>
              <w:left w:val="single" w:color="auto" w:sz="4" w:space="0"/>
              <w:bottom w:val="single" w:color="auto" w:sz="4" w:space="0"/>
              <w:right w:val="single" w:color="auto" w:sz="4" w:space="0"/>
            </w:tcBorders>
            <w:vAlign w:val="center"/>
          </w:tcPr>
          <w:p w14:paraId="4112472B">
            <w:pPr>
              <w:pStyle w:val="304"/>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备注</w:t>
            </w:r>
          </w:p>
        </w:tc>
      </w:tr>
      <w:tr w14:paraId="40B64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5E2F9138">
            <w:pPr>
              <w:pStyle w:val="304"/>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61E2E855">
            <w:pPr>
              <w:pStyle w:val="304"/>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58F800A9">
            <w:pPr>
              <w:pStyle w:val="304"/>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3D3E2FEE">
            <w:pPr>
              <w:pStyle w:val="304"/>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15C1A3D1">
            <w:pPr>
              <w:pStyle w:val="304"/>
              <w:spacing w:line="560" w:lineRule="exact"/>
              <w:jc w:val="center"/>
              <w:rPr>
                <w:rFonts w:ascii="仿宋_GB2312" w:eastAsia="仿宋_GB2312"/>
                <w:color w:val="auto"/>
                <w:sz w:val="24"/>
                <w:highlight w:val="none"/>
              </w:rPr>
            </w:pPr>
          </w:p>
        </w:tc>
      </w:tr>
      <w:tr w14:paraId="2FC8F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2AEA4513">
            <w:pPr>
              <w:pStyle w:val="304"/>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7868A9F7">
            <w:pPr>
              <w:pStyle w:val="304"/>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624D4E2E">
            <w:pPr>
              <w:pStyle w:val="304"/>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4ABD38D1">
            <w:pPr>
              <w:pStyle w:val="304"/>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5839784D">
            <w:pPr>
              <w:pStyle w:val="304"/>
              <w:spacing w:line="560" w:lineRule="exact"/>
              <w:jc w:val="center"/>
              <w:rPr>
                <w:rFonts w:ascii="仿宋_GB2312" w:eastAsia="仿宋_GB2312"/>
                <w:color w:val="auto"/>
                <w:sz w:val="24"/>
                <w:highlight w:val="none"/>
              </w:rPr>
            </w:pPr>
          </w:p>
        </w:tc>
      </w:tr>
      <w:tr w14:paraId="3FF31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4C6B6C7E">
            <w:pPr>
              <w:pStyle w:val="304"/>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502DFF68">
            <w:pPr>
              <w:pStyle w:val="304"/>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0FAC0643">
            <w:pPr>
              <w:pStyle w:val="304"/>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5578E4C5">
            <w:pPr>
              <w:pStyle w:val="304"/>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19ED4EC2">
            <w:pPr>
              <w:pStyle w:val="304"/>
              <w:spacing w:line="560" w:lineRule="exact"/>
              <w:jc w:val="center"/>
              <w:rPr>
                <w:rFonts w:ascii="仿宋_GB2312" w:eastAsia="仿宋_GB2312"/>
                <w:color w:val="auto"/>
                <w:sz w:val="24"/>
                <w:highlight w:val="none"/>
              </w:rPr>
            </w:pPr>
          </w:p>
        </w:tc>
      </w:tr>
      <w:tr w14:paraId="11E85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6D02AB9F">
            <w:pPr>
              <w:pStyle w:val="304"/>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1A7ED6A5">
            <w:pPr>
              <w:pStyle w:val="304"/>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0EFD305E">
            <w:pPr>
              <w:pStyle w:val="304"/>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22353102">
            <w:pPr>
              <w:pStyle w:val="304"/>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6DA5EFAB">
            <w:pPr>
              <w:pStyle w:val="304"/>
              <w:spacing w:line="560" w:lineRule="exact"/>
              <w:jc w:val="center"/>
              <w:rPr>
                <w:rFonts w:ascii="仿宋_GB2312" w:eastAsia="仿宋_GB2312"/>
                <w:color w:val="auto"/>
                <w:sz w:val="24"/>
                <w:highlight w:val="none"/>
              </w:rPr>
            </w:pPr>
          </w:p>
        </w:tc>
      </w:tr>
      <w:tr w14:paraId="6546C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19D4548F">
            <w:pPr>
              <w:pStyle w:val="304"/>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01BCBAA2">
            <w:pPr>
              <w:pStyle w:val="304"/>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405093AC">
            <w:pPr>
              <w:pStyle w:val="304"/>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6E3DF783">
            <w:pPr>
              <w:pStyle w:val="304"/>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5A4D5F1D">
            <w:pPr>
              <w:pStyle w:val="304"/>
              <w:spacing w:line="560" w:lineRule="exact"/>
              <w:jc w:val="center"/>
              <w:rPr>
                <w:rFonts w:ascii="仿宋_GB2312" w:eastAsia="仿宋_GB2312"/>
                <w:color w:val="auto"/>
                <w:sz w:val="24"/>
                <w:highlight w:val="none"/>
              </w:rPr>
            </w:pPr>
          </w:p>
        </w:tc>
      </w:tr>
      <w:tr w14:paraId="177AD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6715D99C">
            <w:pPr>
              <w:pStyle w:val="304"/>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4C4A2DA2">
            <w:pPr>
              <w:pStyle w:val="304"/>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54C57246">
            <w:pPr>
              <w:pStyle w:val="304"/>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35BDB9C7">
            <w:pPr>
              <w:pStyle w:val="304"/>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4A8CD2AC">
            <w:pPr>
              <w:pStyle w:val="304"/>
              <w:spacing w:line="560" w:lineRule="exact"/>
              <w:jc w:val="center"/>
              <w:rPr>
                <w:rFonts w:ascii="仿宋_GB2312" w:eastAsia="仿宋_GB2312"/>
                <w:color w:val="auto"/>
                <w:sz w:val="24"/>
                <w:highlight w:val="none"/>
              </w:rPr>
            </w:pPr>
          </w:p>
        </w:tc>
      </w:tr>
      <w:tr w14:paraId="5D26C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5FEF95AB">
            <w:pPr>
              <w:pStyle w:val="304"/>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054DBA22">
            <w:pPr>
              <w:pStyle w:val="304"/>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11EA6B3E">
            <w:pPr>
              <w:pStyle w:val="304"/>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6920E889">
            <w:pPr>
              <w:pStyle w:val="304"/>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2E85C6C2">
            <w:pPr>
              <w:pStyle w:val="304"/>
              <w:spacing w:line="560" w:lineRule="exact"/>
              <w:jc w:val="center"/>
              <w:rPr>
                <w:rFonts w:ascii="仿宋_GB2312" w:eastAsia="仿宋_GB2312"/>
                <w:color w:val="auto"/>
                <w:sz w:val="24"/>
                <w:highlight w:val="none"/>
              </w:rPr>
            </w:pPr>
          </w:p>
        </w:tc>
      </w:tr>
      <w:tr w14:paraId="430FF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3361CBD4">
            <w:pPr>
              <w:pStyle w:val="304"/>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49D54A86">
            <w:pPr>
              <w:pStyle w:val="304"/>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1698CD99">
            <w:pPr>
              <w:pStyle w:val="304"/>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7F143507">
            <w:pPr>
              <w:pStyle w:val="304"/>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45435490">
            <w:pPr>
              <w:pStyle w:val="304"/>
              <w:spacing w:line="560" w:lineRule="exact"/>
              <w:jc w:val="center"/>
              <w:rPr>
                <w:rFonts w:ascii="仿宋_GB2312" w:eastAsia="仿宋_GB2312"/>
                <w:color w:val="auto"/>
                <w:sz w:val="24"/>
                <w:highlight w:val="none"/>
              </w:rPr>
            </w:pPr>
          </w:p>
        </w:tc>
      </w:tr>
      <w:tr w14:paraId="68AF7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57A0FEA1">
            <w:pPr>
              <w:pStyle w:val="304"/>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56554E90">
            <w:pPr>
              <w:pStyle w:val="304"/>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21B3CF9E">
            <w:pPr>
              <w:pStyle w:val="304"/>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0A30AA0E">
            <w:pPr>
              <w:pStyle w:val="304"/>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07F8A3C5">
            <w:pPr>
              <w:pStyle w:val="304"/>
              <w:spacing w:line="560" w:lineRule="exact"/>
              <w:jc w:val="center"/>
              <w:rPr>
                <w:rFonts w:ascii="仿宋_GB2312" w:eastAsia="仿宋_GB2312"/>
                <w:color w:val="auto"/>
                <w:sz w:val="24"/>
                <w:highlight w:val="none"/>
              </w:rPr>
            </w:pPr>
          </w:p>
        </w:tc>
      </w:tr>
      <w:tr w14:paraId="07A67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2E83DAFF">
            <w:pPr>
              <w:pStyle w:val="304"/>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13752DCC">
            <w:pPr>
              <w:pStyle w:val="304"/>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116AB7B0">
            <w:pPr>
              <w:pStyle w:val="304"/>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4615A6D7">
            <w:pPr>
              <w:pStyle w:val="304"/>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47AE6005">
            <w:pPr>
              <w:pStyle w:val="304"/>
              <w:spacing w:line="560" w:lineRule="exact"/>
              <w:jc w:val="center"/>
              <w:rPr>
                <w:rFonts w:ascii="仿宋_GB2312" w:eastAsia="仿宋_GB2312"/>
                <w:color w:val="auto"/>
                <w:sz w:val="24"/>
                <w:highlight w:val="none"/>
              </w:rPr>
            </w:pPr>
          </w:p>
        </w:tc>
      </w:tr>
    </w:tbl>
    <w:p w14:paraId="1867F5C6">
      <w:pPr>
        <w:pStyle w:val="365"/>
        <w:spacing w:line="700" w:lineRule="exact"/>
        <w:ind w:firstLine="629"/>
        <w:rPr>
          <w:rFonts w:ascii="仿宋_GB2312" w:eastAsia="仿宋_GB2312"/>
          <w:color w:val="auto"/>
          <w:sz w:val="24"/>
          <w:highlight w:val="none"/>
          <w:u w:val="single"/>
        </w:rPr>
      </w:pPr>
      <w:r>
        <w:rPr>
          <w:rFonts w:hint="eastAsia" w:ascii="仿宋_GB2312" w:eastAsia="仿宋_GB2312"/>
          <w:color w:val="auto"/>
          <w:sz w:val="24"/>
          <w:highlight w:val="none"/>
        </w:rPr>
        <w:t>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14:paraId="674C7B87">
      <w:pPr>
        <w:pStyle w:val="365"/>
        <w:spacing w:line="700" w:lineRule="exact"/>
        <w:ind w:firstLine="629"/>
        <w:rPr>
          <w:rFonts w:ascii="仿宋_GB2312" w:eastAsia="仿宋_GB2312"/>
          <w:color w:val="auto"/>
          <w:sz w:val="24"/>
          <w:highlight w:val="none"/>
        </w:rPr>
      </w:pPr>
      <w:r>
        <w:rPr>
          <w:rFonts w:hint="eastAsia" w:ascii="仿宋_GB2312" w:eastAsia="仿宋_GB2312"/>
          <w:color w:val="auto"/>
          <w:sz w:val="24"/>
          <w:highlight w:val="none"/>
        </w:rPr>
        <w:t>法定代表人（或授权代表）：（签字</w:t>
      </w:r>
      <w:r>
        <w:rPr>
          <w:rFonts w:hint="eastAsia" w:ascii="仿宋_GB2312" w:eastAsia="仿宋_GB2312"/>
          <w:color w:val="auto"/>
          <w:sz w:val="24"/>
          <w:highlight w:val="none"/>
          <w:lang w:val="en-US" w:eastAsia="zh-CN"/>
        </w:rPr>
        <w:t>或盖章</w:t>
      </w:r>
      <w:r>
        <w:rPr>
          <w:rFonts w:hint="eastAsia" w:ascii="仿宋_GB2312" w:eastAsia="仿宋_GB2312"/>
          <w:color w:val="auto"/>
          <w:sz w:val="24"/>
          <w:highlight w:val="none"/>
        </w:rPr>
        <w:t>）</w:t>
      </w:r>
      <w:r>
        <w:rPr>
          <w:rFonts w:hint="eastAsia" w:ascii="仿宋_GB2312" w:eastAsia="仿宋_GB2312"/>
          <w:color w:val="auto"/>
          <w:sz w:val="24"/>
          <w:highlight w:val="none"/>
          <w:u w:val="single"/>
        </w:rPr>
        <w:t xml:space="preserve">              </w:t>
      </w:r>
    </w:p>
    <w:p w14:paraId="7C2BD8A2">
      <w:pPr>
        <w:pStyle w:val="303"/>
        <w:ind w:firstLine="482"/>
        <w:rPr>
          <w:rFonts w:hint="eastAsia" w:hAnsi="宋体"/>
          <w:b/>
          <w:bCs/>
          <w:color w:val="auto"/>
          <w:sz w:val="24"/>
          <w:szCs w:val="28"/>
          <w:highlight w:val="none"/>
        </w:rPr>
      </w:pPr>
    </w:p>
    <w:p w14:paraId="3922C2F3">
      <w:pPr>
        <w:pStyle w:val="303"/>
        <w:rPr>
          <w:rFonts w:hint="eastAsia" w:hAnsi="宋体"/>
          <w:b/>
          <w:bCs/>
          <w:color w:val="auto"/>
          <w:sz w:val="24"/>
          <w:szCs w:val="28"/>
          <w:highlight w:val="none"/>
        </w:rPr>
      </w:pPr>
      <w:r>
        <w:rPr>
          <w:rFonts w:hint="eastAsia" w:hAnsi="宋体"/>
          <w:b/>
          <w:bCs/>
          <w:color w:val="auto"/>
          <w:sz w:val="24"/>
          <w:szCs w:val="28"/>
          <w:highlight w:val="none"/>
        </w:rPr>
        <w:t>1、凡投标文件中所投货物或服务与招标文件有偏差的（包括正偏差，负偏差），均应在此表中详细列出并说明理由。第四部分采购需求须逐条应答。</w:t>
      </w:r>
    </w:p>
    <w:p w14:paraId="059DC71D">
      <w:pPr>
        <w:pStyle w:val="304"/>
        <w:spacing w:line="360" w:lineRule="auto"/>
        <w:rPr>
          <w:rFonts w:hint="eastAsia" w:ascii="宋体" w:hAnsi="宋体"/>
          <w:b/>
          <w:bCs/>
          <w:color w:val="auto"/>
          <w:sz w:val="24"/>
          <w:szCs w:val="28"/>
          <w:highlight w:val="none"/>
        </w:rPr>
      </w:pPr>
      <w:r>
        <w:rPr>
          <w:rFonts w:hint="eastAsia" w:ascii="宋体" w:hAnsi="宋体"/>
          <w:b/>
          <w:bCs/>
          <w:color w:val="auto"/>
          <w:sz w:val="24"/>
          <w:szCs w:val="28"/>
          <w:highlight w:val="none"/>
        </w:rPr>
        <w:t>2、投标人所投产品如与招标文件要求的规格及配置不一致，则须在上表偏离说明中详细注明。</w:t>
      </w:r>
    </w:p>
    <w:p w14:paraId="10EC470E">
      <w:pPr>
        <w:pStyle w:val="510"/>
        <w:rPr>
          <w:color w:val="auto"/>
          <w:highlight w:val="none"/>
        </w:rPr>
      </w:pPr>
      <w:r>
        <w:rPr>
          <w:rFonts w:hint="eastAsia" w:ascii="宋体" w:hAnsi="宋体"/>
          <w:b/>
          <w:bCs/>
          <w:color w:val="auto"/>
          <w:sz w:val="24"/>
          <w:szCs w:val="28"/>
          <w:highlight w:val="none"/>
        </w:rPr>
        <w:t>3、响应部分可后附详细说明及技术资料，并注明投标文件中对应的页码范围。</w:t>
      </w:r>
    </w:p>
    <w:p w14:paraId="536E9B4F">
      <w:pPr>
        <w:pStyle w:val="631"/>
        <w:jc w:val="center"/>
        <w:rPr>
          <w:rFonts w:hint="eastAsia"/>
          <w:color w:val="auto"/>
          <w:highlight w:val="none"/>
        </w:rPr>
      </w:pPr>
    </w:p>
    <w:p w14:paraId="5548FA84">
      <w:pPr>
        <w:rPr>
          <w:color w:val="auto"/>
          <w:highlight w:val="none"/>
        </w:rPr>
      </w:pPr>
      <w:bookmarkStart w:id="227" w:name="_Toc8566"/>
      <w:bookmarkStart w:id="228" w:name="_Toc9396"/>
      <w:r>
        <w:rPr>
          <w:color w:val="auto"/>
          <w:highlight w:val="none"/>
        </w:rPr>
        <w:br w:type="page" w:clear="all"/>
      </w:r>
    </w:p>
    <w:p w14:paraId="6BBF8B78">
      <w:pPr>
        <w:pStyle w:val="304"/>
        <w:jc w:val="center"/>
        <w:rPr>
          <w:color w:val="auto"/>
          <w:sz w:val="32"/>
          <w:szCs w:val="32"/>
          <w:highlight w:val="none"/>
        </w:rPr>
      </w:pPr>
      <w:r>
        <w:rPr>
          <w:rFonts w:hint="eastAsia"/>
          <w:color w:val="auto"/>
          <w:sz w:val="32"/>
          <w:szCs w:val="32"/>
          <w:highlight w:val="none"/>
        </w:rPr>
        <w:t>（二）投标商务偏离表</w:t>
      </w:r>
      <w:bookmarkEnd w:id="227"/>
      <w:bookmarkEnd w:id="228"/>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43"/>
        <w:gridCol w:w="2682"/>
        <w:gridCol w:w="2682"/>
      </w:tblGrid>
      <w:tr w14:paraId="5A707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42030BDC">
            <w:pPr>
              <w:pStyle w:val="304"/>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招标文件内容</w:t>
            </w:r>
          </w:p>
        </w:tc>
        <w:tc>
          <w:tcPr>
            <w:tcW w:w="2682" w:type="dxa"/>
            <w:tcBorders>
              <w:top w:val="single" w:color="auto" w:sz="4" w:space="0"/>
              <w:left w:val="single" w:color="auto" w:sz="4" w:space="0"/>
              <w:bottom w:val="single" w:color="auto" w:sz="4" w:space="0"/>
              <w:right w:val="single" w:color="auto" w:sz="4" w:space="0"/>
            </w:tcBorders>
            <w:vAlign w:val="center"/>
          </w:tcPr>
          <w:p w14:paraId="09EAD662">
            <w:pPr>
              <w:pStyle w:val="304"/>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投标文件内容</w:t>
            </w:r>
          </w:p>
        </w:tc>
        <w:tc>
          <w:tcPr>
            <w:tcW w:w="2682" w:type="dxa"/>
            <w:tcBorders>
              <w:top w:val="single" w:color="auto" w:sz="4" w:space="0"/>
              <w:left w:val="single" w:color="auto" w:sz="4" w:space="0"/>
              <w:bottom w:val="single" w:color="auto" w:sz="4" w:space="0"/>
              <w:right w:val="single" w:color="auto" w:sz="4" w:space="0"/>
            </w:tcBorders>
            <w:vAlign w:val="center"/>
          </w:tcPr>
          <w:p w14:paraId="112F30D1">
            <w:pPr>
              <w:pStyle w:val="304"/>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偏差内容及说明</w:t>
            </w:r>
          </w:p>
        </w:tc>
      </w:tr>
      <w:tr w14:paraId="55C32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26F0269E">
            <w:pPr>
              <w:pStyle w:val="304"/>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66064B92">
            <w:pPr>
              <w:pStyle w:val="304"/>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1A8E0785">
            <w:pPr>
              <w:pStyle w:val="304"/>
              <w:spacing w:line="560" w:lineRule="exact"/>
              <w:jc w:val="center"/>
              <w:rPr>
                <w:rFonts w:ascii="仿宋_GB2312" w:eastAsia="仿宋_GB2312"/>
                <w:color w:val="auto"/>
                <w:sz w:val="24"/>
                <w:highlight w:val="none"/>
              </w:rPr>
            </w:pPr>
          </w:p>
        </w:tc>
      </w:tr>
      <w:tr w14:paraId="26EF1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3AB723A3">
            <w:pPr>
              <w:pStyle w:val="304"/>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1EDEE9E7">
            <w:pPr>
              <w:pStyle w:val="304"/>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68BFF38B">
            <w:pPr>
              <w:pStyle w:val="304"/>
              <w:spacing w:line="560" w:lineRule="exact"/>
              <w:jc w:val="center"/>
              <w:rPr>
                <w:rFonts w:ascii="仿宋_GB2312" w:eastAsia="仿宋_GB2312"/>
                <w:color w:val="auto"/>
                <w:sz w:val="24"/>
                <w:highlight w:val="none"/>
              </w:rPr>
            </w:pPr>
          </w:p>
        </w:tc>
      </w:tr>
      <w:tr w14:paraId="2E7D4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3D5CDB54">
            <w:pPr>
              <w:pStyle w:val="304"/>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2E570BDE">
            <w:pPr>
              <w:pStyle w:val="304"/>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5C6F2222">
            <w:pPr>
              <w:pStyle w:val="304"/>
              <w:spacing w:line="560" w:lineRule="exact"/>
              <w:jc w:val="center"/>
              <w:rPr>
                <w:rFonts w:ascii="仿宋_GB2312" w:eastAsia="仿宋_GB2312"/>
                <w:color w:val="auto"/>
                <w:sz w:val="24"/>
                <w:highlight w:val="none"/>
              </w:rPr>
            </w:pPr>
          </w:p>
        </w:tc>
      </w:tr>
      <w:tr w14:paraId="5A9C4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1828A23E">
            <w:pPr>
              <w:pStyle w:val="304"/>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69E4E39C">
            <w:pPr>
              <w:pStyle w:val="304"/>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0CFCD5A1">
            <w:pPr>
              <w:pStyle w:val="304"/>
              <w:spacing w:line="560" w:lineRule="exact"/>
              <w:jc w:val="center"/>
              <w:rPr>
                <w:rFonts w:ascii="仿宋_GB2312" w:eastAsia="仿宋_GB2312"/>
                <w:color w:val="auto"/>
                <w:sz w:val="24"/>
                <w:highlight w:val="none"/>
              </w:rPr>
            </w:pPr>
          </w:p>
        </w:tc>
      </w:tr>
      <w:tr w14:paraId="303C7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379A0308">
            <w:pPr>
              <w:pStyle w:val="304"/>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2A730CE5">
            <w:pPr>
              <w:pStyle w:val="304"/>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1AC26F81">
            <w:pPr>
              <w:pStyle w:val="304"/>
              <w:spacing w:line="560" w:lineRule="exact"/>
              <w:jc w:val="center"/>
              <w:rPr>
                <w:rFonts w:ascii="仿宋_GB2312" w:eastAsia="仿宋_GB2312"/>
                <w:color w:val="auto"/>
                <w:sz w:val="24"/>
                <w:highlight w:val="none"/>
              </w:rPr>
            </w:pPr>
          </w:p>
        </w:tc>
      </w:tr>
      <w:tr w14:paraId="009EC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1ADB987D">
            <w:pPr>
              <w:pStyle w:val="304"/>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7575BF16">
            <w:pPr>
              <w:pStyle w:val="304"/>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41309A5D">
            <w:pPr>
              <w:pStyle w:val="304"/>
              <w:spacing w:line="560" w:lineRule="exact"/>
              <w:jc w:val="center"/>
              <w:rPr>
                <w:rFonts w:ascii="仿宋_GB2312" w:eastAsia="仿宋_GB2312"/>
                <w:color w:val="auto"/>
                <w:sz w:val="24"/>
                <w:highlight w:val="none"/>
              </w:rPr>
            </w:pPr>
          </w:p>
        </w:tc>
      </w:tr>
      <w:tr w14:paraId="275ED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663FE765">
            <w:pPr>
              <w:pStyle w:val="304"/>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3C9D091A">
            <w:pPr>
              <w:pStyle w:val="304"/>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6F72EF9A">
            <w:pPr>
              <w:pStyle w:val="304"/>
              <w:spacing w:line="560" w:lineRule="exact"/>
              <w:jc w:val="center"/>
              <w:rPr>
                <w:rFonts w:ascii="仿宋_GB2312" w:eastAsia="仿宋_GB2312"/>
                <w:color w:val="auto"/>
                <w:sz w:val="24"/>
                <w:highlight w:val="none"/>
              </w:rPr>
            </w:pPr>
          </w:p>
        </w:tc>
      </w:tr>
      <w:tr w14:paraId="6CF8C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7CD9A584">
            <w:pPr>
              <w:pStyle w:val="304"/>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44AFA0CE">
            <w:pPr>
              <w:pStyle w:val="304"/>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20B8CF63">
            <w:pPr>
              <w:pStyle w:val="304"/>
              <w:spacing w:line="560" w:lineRule="exact"/>
              <w:jc w:val="center"/>
              <w:rPr>
                <w:rFonts w:ascii="仿宋_GB2312" w:eastAsia="仿宋_GB2312"/>
                <w:color w:val="auto"/>
                <w:sz w:val="24"/>
                <w:highlight w:val="none"/>
              </w:rPr>
            </w:pPr>
          </w:p>
        </w:tc>
      </w:tr>
      <w:tr w14:paraId="76EF9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1EE61B44">
            <w:pPr>
              <w:pStyle w:val="304"/>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7CB0C5E8">
            <w:pPr>
              <w:pStyle w:val="304"/>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24A55D0E">
            <w:pPr>
              <w:pStyle w:val="304"/>
              <w:spacing w:line="560" w:lineRule="exact"/>
              <w:jc w:val="center"/>
              <w:rPr>
                <w:rFonts w:ascii="仿宋_GB2312" w:eastAsia="仿宋_GB2312"/>
                <w:color w:val="auto"/>
                <w:sz w:val="24"/>
                <w:highlight w:val="none"/>
              </w:rPr>
            </w:pPr>
          </w:p>
        </w:tc>
      </w:tr>
      <w:tr w14:paraId="38606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610CFE30">
            <w:pPr>
              <w:pStyle w:val="304"/>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4A806BA7">
            <w:pPr>
              <w:pStyle w:val="304"/>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3BAEB4F1">
            <w:pPr>
              <w:pStyle w:val="304"/>
              <w:spacing w:line="560" w:lineRule="exact"/>
              <w:jc w:val="center"/>
              <w:rPr>
                <w:rFonts w:ascii="仿宋_GB2312" w:eastAsia="仿宋_GB2312"/>
                <w:color w:val="auto"/>
                <w:sz w:val="24"/>
                <w:highlight w:val="none"/>
              </w:rPr>
            </w:pPr>
          </w:p>
        </w:tc>
      </w:tr>
    </w:tbl>
    <w:p w14:paraId="64A1915C">
      <w:pPr>
        <w:pStyle w:val="365"/>
        <w:spacing w:line="700" w:lineRule="exact"/>
        <w:ind w:firstLine="629"/>
        <w:rPr>
          <w:rFonts w:ascii="仿宋_GB2312" w:eastAsia="仿宋_GB2312"/>
          <w:color w:val="auto"/>
          <w:sz w:val="24"/>
          <w:highlight w:val="none"/>
          <w:u w:val="single"/>
        </w:rPr>
      </w:pPr>
      <w:r>
        <w:rPr>
          <w:rFonts w:hint="eastAsia" w:ascii="仿宋_GB2312" w:eastAsia="仿宋_GB2312"/>
          <w:color w:val="auto"/>
          <w:sz w:val="24"/>
          <w:highlight w:val="none"/>
        </w:rPr>
        <w:t>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14:paraId="25525C8D">
      <w:pPr>
        <w:pStyle w:val="365"/>
        <w:spacing w:line="700" w:lineRule="exact"/>
        <w:ind w:firstLine="629"/>
        <w:rPr>
          <w:rFonts w:ascii="仿宋_GB2312" w:eastAsia="仿宋_GB2312"/>
          <w:color w:val="auto"/>
          <w:sz w:val="24"/>
          <w:highlight w:val="none"/>
        </w:rPr>
      </w:pPr>
      <w:r>
        <w:rPr>
          <w:rFonts w:hint="eastAsia" w:ascii="仿宋_GB2312" w:eastAsia="仿宋_GB2312"/>
          <w:color w:val="auto"/>
          <w:sz w:val="24"/>
          <w:highlight w:val="none"/>
        </w:rPr>
        <w:t>法定代表人（或授权代表）：（签字</w:t>
      </w:r>
      <w:r>
        <w:rPr>
          <w:rFonts w:hint="eastAsia" w:ascii="仿宋_GB2312" w:eastAsia="仿宋_GB2312"/>
          <w:color w:val="auto"/>
          <w:sz w:val="24"/>
          <w:highlight w:val="none"/>
          <w:lang w:val="en-US" w:eastAsia="zh-CN"/>
        </w:rPr>
        <w:t>或盖章</w:t>
      </w:r>
      <w:r>
        <w:rPr>
          <w:rFonts w:hint="eastAsia" w:ascii="仿宋_GB2312" w:eastAsia="仿宋_GB2312"/>
          <w:color w:val="auto"/>
          <w:sz w:val="24"/>
          <w:highlight w:val="none"/>
        </w:rPr>
        <w:t>）</w:t>
      </w:r>
      <w:r>
        <w:rPr>
          <w:rFonts w:hint="eastAsia" w:ascii="仿宋_GB2312" w:eastAsia="仿宋_GB2312"/>
          <w:color w:val="auto"/>
          <w:sz w:val="24"/>
          <w:highlight w:val="none"/>
          <w:u w:val="single"/>
        </w:rPr>
        <w:t xml:space="preserve">              </w:t>
      </w:r>
    </w:p>
    <w:p w14:paraId="63B556CD">
      <w:pPr>
        <w:pStyle w:val="303"/>
        <w:ind w:firstLine="482"/>
        <w:rPr>
          <w:rFonts w:hint="eastAsia" w:hAnsi="宋体"/>
          <w:b/>
          <w:bCs/>
          <w:color w:val="auto"/>
          <w:sz w:val="24"/>
          <w:szCs w:val="28"/>
          <w:highlight w:val="none"/>
        </w:rPr>
      </w:pPr>
    </w:p>
    <w:p w14:paraId="3ECFDE8C">
      <w:pPr>
        <w:pStyle w:val="303"/>
        <w:rPr>
          <w:rFonts w:hint="eastAsia" w:hAnsi="宋体"/>
          <w:b/>
          <w:bCs/>
          <w:color w:val="auto"/>
          <w:sz w:val="24"/>
          <w:szCs w:val="28"/>
          <w:highlight w:val="none"/>
        </w:rPr>
      </w:pPr>
      <w:r>
        <w:rPr>
          <w:rFonts w:hint="eastAsia" w:hAnsi="宋体"/>
          <w:b/>
          <w:bCs/>
          <w:color w:val="auto"/>
          <w:sz w:val="24"/>
          <w:szCs w:val="28"/>
          <w:highlight w:val="none"/>
        </w:rPr>
        <w:t>1、凡投标文件中所投货物或服务与招标文件有偏差的（包括正偏差，负偏差），均应在此表中详细列出并说明理由，须点对点应答。</w:t>
      </w:r>
    </w:p>
    <w:p w14:paraId="4799862A">
      <w:pPr>
        <w:pStyle w:val="304"/>
        <w:spacing w:line="360" w:lineRule="auto"/>
        <w:rPr>
          <w:rFonts w:hint="eastAsia" w:ascii="宋体" w:hAnsi="宋体"/>
          <w:b/>
          <w:bCs/>
          <w:color w:val="auto"/>
          <w:sz w:val="24"/>
          <w:szCs w:val="28"/>
          <w:highlight w:val="none"/>
        </w:rPr>
      </w:pPr>
      <w:r>
        <w:rPr>
          <w:rFonts w:hint="eastAsia" w:ascii="宋体" w:hAnsi="宋体"/>
          <w:b/>
          <w:bCs/>
          <w:color w:val="auto"/>
          <w:sz w:val="24"/>
          <w:szCs w:val="28"/>
          <w:highlight w:val="none"/>
        </w:rPr>
        <w:t>2、投标人商务条件如与招标文件要求的不一致，则须在上表偏离说明中详细注明。</w:t>
      </w:r>
    </w:p>
    <w:p w14:paraId="67BCC2E9">
      <w:pPr>
        <w:pStyle w:val="631"/>
        <w:outlineLvl w:val="9"/>
        <w:rPr>
          <w:rFonts w:hint="eastAsia"/>
          <w:color w:val="auto"/>
          <w:highlight w:val="none"/>
        </w:rPr>
      </w:pPr>
      <w:r>
        <w:rPr>
          <w:color w:val="auto"/>
          <w:highlight w:val="none"/>
        </w:rPr>
        <w:br w:type="page" w:clear="all"/>
      </w:r>
      <w:bookmarkStart w:id="229" w:name="_Toc26943"/>
      <w:bookmarkStart w:id="230" w:name="_Toc15828"/>
    </w:p>
    <w:bookmarkEnd w:id="229"/>
    <w:bookmarkEnd w:id="230"/>
    <w:p w14:paraId="4F8E53B0">
      <w:pPr>
        <w:pStyle w:val="601"/>
        <w:outlineLvl w:val="1"/>
        <w:rPr>
          <w:rFonts w:hint="eastAsia"/>
          <w:color w:val="auto"/>
          <w:highlight w:val="none"/>
        </w:rPr>
      </w:pPr>
      <w:bookmarkStart w:id="231" w:name="_Toc20188"/>
      <w:bookmarkStart w:id="232" w:name="_Toc25001_WPSOffice_Level2"/>
      <w:bookmarkStart w:id="233" w:name="_Toc514054502"/>
      <w:bookmarkStart w:id="234" w:name="_Toc21179"/>
      <w:bookmarkStart w:id="235" w:name="_Toc109"/>
      <w:bookmarkStart w:id="236" w:name="_Toc164203484"/>
      <w:bookmarkStart w:id="237" w:name="_Toc5519"/>
      <w:bookmarkStart w:id="238" w:name="_Toc7579"/>
      <w:r>
        <w:rPr>
          <w:color w:val="auto"/>
          <w:highlight w:val="none"/>
        </w:rPr>
        <w:t>十</w:t>
      </w:r>
      <w:r>
        <w:rPr>
          <w:rFonts w:hint="eastAsia"/>
          <w:color w:val="auto"/>
          <w:highlight w:val="none"/>
          <w:lang w:val="en-US" w:eastAsia="zh-CN"/>
        </w:rPr>
        <w:t>五</w:t>
      </w:r>
      <w:r>
        <w:rPr>
          <w:color w:val="auto"/>
          <w:highlight w:val="none"/>
        </w:rPr>
        <w:t>、</w:t>
      </w:r>
      <w:r>
        <w:rPr>
          <w:rFonts w:hint="eastAsia"/>
          <w:color w:val="auto"/>
          <w:highlight w:val="none"/>
        </w:rPr>
        <w:t>服务</w:t>
      </w:r>
      <w:r>
        <w:rPr>
          <w:color w:val="auto"/>
          <w:highlight w:val="none"/>
        </w:rPr>
        <w:t>方案</w:t>
      </w:r>
      <w:bookmarkEnd w:id="231"/>
      <w:bookmarkEnd w:id="232"/>
      <w:bookmarkEnd w:id="233"/>
    </w:p>
    <w:p w14:paraId="222D681F">
      <w:pPr>
        <w:pStyle w:val="439"/>
        <w:spacing w:line="560" w:lineRule="exact"/>
        <w:jc w:val="center"/>
        <w:rPr>
          <w:rFonts w:ascii="宋体"/>
          <w:b/>
          <w:bCs/>
          <w:color w:val="auto"/>
          <w:sz w:val="32"/>
          <w:szCs w:val="32"/>
          <w:highlight w:val="none"/>
        </w:rPr>
      </w:pPr>
      <w:bookmarkStart w:id="239" w:name="_Toc2882_WPSOffice_Level2"/>
      <w:r>
        <w:rPr>
          <w:rFonts w:hint="eastAsia" w:ascii="宋体"/>
          <w:b/>
          <w:bCs/>
          <w:color w:val="auto"/>
          <w:sz w:val="32"/>
          <w:szCs w:val="32"/>
          <w:highlight w:val="none"/>
        </w:rPr>
        <w:t>按照招标文件要求，格式自拟</w:t>
      </w:r>
      <w:bookmarkEnd w:id="239"/>
    </w:p>
    <w:p w14:paraId="4300374A">
      <w:pPr>
        <w:widowControl/>
        <w:jc w:val="left"/>
        <w:rPr>
          <w:rFonts w:hint="eastAsia" w:ascii="黑体" w:hAnsi="黑体" w:eastAsia="黑体"/>
          <w:b/>
          <w:color w:val="auto"/>
          <w:sz w:val="32"/>
          <w:szCs w:val="24"/>
          <w:highlight w:val="none"/>
        </w:rPr>
      </w:pPr>
      <w:r>
        <w:rPr>
          <w:rFonts w:hint="eastAsia"/>
          <w:color w:val="auto"/>
          <w:highlight w:val="none"/>
        </w:rPr>
        <w:br w:type="page"/>
      </w:r>
    </w:p>
    <w:p w14:paraId="7A55FD67">
      <w:pPr>
        <w:pStyle w:val="569"/>
        <w:outlineLvl w:val="1"/>
        <w:rPr>
          <w:rFonts w:hint="eastAsia"/>
          <w:color w:val="auto"/>
          <w:highlight w:val="none"/>
        </w:rPr>
      </w:pPr>
      <w:bookmarkStart w:id="240" w:name="_Toc14378"/>
      <w:r>
        <w:rPr>
          <w:color w:val="auto"/>
          <w:highlight w:val="none"/>
        </w:rPr>
        <w:t>十</w:t>
      </w:r>
      <w:r>
        <w:rPr>
          <w:rFonts w:hint="eastAsia"/>
          <w:color w:val="auto"/>
          <w:highlight w:val="none"/>
          <w:lang w:val="en-US" w:eastAsia="zh-CN"/>
        </w:rPr>
        <w:t>六</w:t>
      </w:r>
      <w:r>
        <w:rPr>
          <w:color w:val="auto"/>
          <w:highlight w:val="none"/>
        </w:rPr>
        <w:t>、类似项目业绩一览表</w:t>
      </w:r>
      <w:bookmarkEnd w:id="234"/>
      <w:bookmarkEnd w:id="235"/>
      <w:bookmarkEnd w:id="236"/>
      <w:bookmarkEnd w:id="237"/>
      <w:bookmarkEnd w:id="238"/>
      <w:bookmarkEnd w:id="240"/>
    </w:p>
    <w:p w14:paraId="4FE74B5B">
      <w:pPr>
        <w:pStyle w:val="482"/>
        <w:jc w:val="center"/>
        <w:rPr>
          <w:b/>
          <w:color w:val="auto"/>
          <w:sz w:val="32"/>
          <w:szCs w:val="32"/>
          <w:highlight w:val="none"/>
        </w:rPr>
      </w:pPr>
      <w:r>
        <w:rPr>
          <w:rFonts w:hint="eastAsia"/>
          <w:b/>
          <w:color w:val="auto"/>
          <w:sz w:val="32"/>
          <w:szCs w:val="32"/>
          <w:highlight w:val="none"/>
        </w:rPr>
        <w:t>类似项目业绩一览表</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29"/>
        <w:gridCol w:w="3827"/>
        <w:gridCol w:w="2433"/>
        <w:gridCol w:w="1395"/>
      </w:tblGrid>
      <w:tr w14:paraId="31CA0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229" w:type="dxa"/>
          </w:tcPr>
          <w:p w14:paraId="7742D479">
            <w:pPr>
              <w:pStyle w:val="522"/>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序号</w:t>
            </w:r>
          </w:p>
        </w:tc>
        <w:tc>
          <w:tcPr>
            <w:tcW w:w="3827" w:type="dxa"/>
            <w:vAlign w:val="center"/>
          </w:tcPr>
          <w:p w14:paraId="59DE0DCE">
            <w:pPr>
              <w:pStyle w:val="522"/>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项目名称</w:t>
            </w:r>
          </w:p>
        </w:tc>
        <w:tc>
          <w:tcPr>
            <w:tcW w:w="2433" w:type="dxa"/>
            <w:vAlign w:val="center"/>
          </w:tcPr>
          <w:p w14:paraId="36C48EBF">
            <w:pPr>
              <w:pStyle w:val="522"/>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采购单位</w:t>
            </w:r>
          </w:p>
        </w:tc>
        <w:tc>
          <w:tcPr>
            <w:tcW w:w="1395" w:type="dxa"/>
            <w:vAlign w:val="center"/>
          </w:tcPr>
          <w:p w14:paraId="2DA51958">
            <w:pPr>
              <w:pStyle w:val="522"/>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合同金额</w:t>
            </w:r>
          </w:p>
        </w:tc>
      </w:tr>
      <w:tr w14:paraId="4663F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tcPr>
          <w:p w14:paraId="2E132AA7">
            <w:pPr>
              <w:pStyle w:val="522"/>
              <w:spacing w:line="560" w:lineRule="exact"/>
              <w:jc w:val="center"/>
              <w:rPr>
                <w:rFonts w:ascii="仿宋_GB2312" w:eastAsia="仿宋_GB2312"/>
                <w:color w:val="auto"/>
                <w:sz w:val="28"/>
                <w:highlight w:val="none"/>
              </w:rPr>
            </w:pPr>
          </w:p>
        </w:tc>
        <w:tc>
          <w:tcPr>
            <w:tcW w:w="3827" w:type="dxa"/>
            <w:vAlign w:val="center"/>
          </w:tcPr>
          <w:p w14:paraId="3058231C">
            <w:pPr>
              <w:pStyle w:val="522"/>
              <w:spacing w:line="560" w:lineRule="exact"/>
              <w:jc w:val="center"/>
              <w:rPr>
                <w:rFonts w:ascii="仿宋_GB2312" w:eastAsia="仿宋_GB2312"/>
                <w:color w:val="auto"/>
                <w:sz w:val="28"/>
                <w:highlight w:val="none"/>
              </w:rPr>
            </w:pPr>
          </w:p>
        </w:tc>
        <w:tc>
          <w:tcPr>
            <w:tcW w:w="2433" w:type="dxa"/>
            <w:vAlign w:val="center"/>
          </w:tcPr>
          <w:p w14:paraId="4047A5DD">
            <w:pPr>
              <w:pStyle w:val="522"/>
              <w:spacing w:line="560" w:lineRule="exact"/>
              <w:jc w:val="center"/>
              <w:rPr>
                <w:rFonts w:ascii="仿宋_GB2312" w:eastAsia="仿宋_GB2312"/>
                <w:color w:val="auto"/>
                <w:sz w:val="28"/>
                <w:highlight w:val="none"/>
              </w:rPr>
            </w:pPr>
          </w:p>
        </w:tc>
        <w:tc>
          <w:tcPr>
            <w:tcW w:w="1395" w:type="dxa"/>
            <w:vAlign w:val="center"/>
          </w:tcPr>
          <w:p w14:paraId="17B2EE12">
            <w:pPr>
              <w:pStyle w:val="522"/>
              <w:spacing w:line="560" w:lineRule="exact"/>
              <w:jc w:val="center"/>
              <w:rPr>
                <w:rFonts w:ascii="仿宋_GB2312" w:eastAsia="仿宋_GB2312"/>
                <w:color w:val="auto"/>
                <w:sz w:val="28"/>
                <w:highlight w:val="none"/>
              </w:rPr>
            </w:pPr>
          </w:p>
        </w:tc>
      </w:tr>
      <w:tr w14:paraId="32AF5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tcPr>
          <w:p w14:paraId="047183C9">
            <w:pPr>
              <w:pStyle w:val="522"/>
              <w:spacing w:line="560" w:lineRule="exact"/>
              <w:jc w:val="center"/>
              <w:rPr>
                <w:rFonts w:ascii="仿宋_GB2312" w:eastAsia="仿宋_GB2312"/>
                <w:color w:val="auto"/>
                <w:sz w:val="28"/>
                <w:highlight w:val="none"/>
              </w:rPr>
            </w:pPr>
          </w:p>
        </w:tc>
        <w:tc>
          <w:tcPr>
            <w:tcW w:w="3827" w:type="dxa"/>
            <w:vAlign w:val="center"/>
          </w:tcPr>
          <w:p w14:paraId="11D9769C">
            <w:pPr>
              <w:pStyle w:val="522"/>
              <w:spacing w:line="560" w:lineRule="exact"/>
              <w:jc w:val="center"/>
              <w:rPr>
                <w:rFonts w:ascii="仿宋_GB2312" w:eastAsia="仿宋_GB2312"/>
                <w:color w:val="auto"/>
                <w:sz w:val="28"/>
                <w:highlight w:val="none"/>
              </w:rPr>
            </w:pPr>
          </w:p>
        </w:tc>
        <w:tc>
          <w:tcPr>
            <w:tcW w:w="2433" w:type="dxa"/>
            <w:vAlign w:val="center"/>
          </w:tcPr>
          <w:p w14:paraId="5EA8082D">
            <w:pPr>
              <w:pStyle w:val="522"/>
              <w:spacing w:line="560" w:lineRule="exact"/>
              <w:jc w:val="center"/>
              <w:rPr>
                <w:rFonts w:ascii="仿宋_GB2312" w:eastAsia="仿宋_GB2312"/>
                <w:color w:val="auto"/>
                <w:sz w:val="28"/>
                <w:highlight w:val="none"/>
              </w:rPr>
            </w:pPr>
          </w:p>
        </w:tc>
        <w:tc>
          <w:tcPr>
            <w:tcW w:w="1395" w:type="dxa"/>
            <w:vAlign w:val="center"/>
          </w:tcPr>
          <w:p w14:paraId="6F4E8774">
            <w:pPr>
              <w:pStyle w:val="522"/>
              <w:spacing w:line="560" w:lineRule="exact"/>
              <w:jc w:val="center"/>
              <w:rPr>
                <w:rFonts w:ascii="仿宋_GB2312" w:eastAsia="仿宋_GB2312"/>
                <w:color w:val="auto"/>
                <w:sz w:val="28"/>
                <w:highlight w:val="none"/>
              </w:rPr>
            </w:pPr>
          </w:p>
        </w:tc>
      </w:tr>
      <w:tr w14:paraId="55151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tcPr>
          <w:p w14:paraId="0B98C209">
            <w:pPr>
              <w:pStyle w:val="522"/>
              <w:spacing w:line="560" w:lineRule="exact"/>
              <w:jc w:val="center"/>
              <w:rPr>
                <w:rFonts w:ascii="仿宋_GB2312" w:eastAsia="仿宋_GB2312"/>
                <w:color w:val="auto"/>
                <w:sz w:val="28"/>
                <w:highlight w:val="none"/>
              </w:rPr>
            </w:pPr>
          </w:p>
        </w:tc>
        <w:tc>
          <w:tcPr>
            <w:tcW w:w="3827" w:type="dxa"/>
            <w:vAlign w:val="center"/>
          </w:tcPr>
          <w:p w14:paraId="7E588013">
            <w:pPr>
              <w:pStyle w:val="522"/>
              <w:spacing w:line="560" w:lineRule="exact"/>
              <w:jc w:val="center"/>
              <w:rPr>
                <w:rFonts w:ascii="仿宋_GB2312" w:eastAsia="仿宋_GB2312"/>
                <w:color w:val="auto"/>
                <w:sz w:val="28"/>
                <w:highlight w:val="none"/>
              </w:rPr>
            </w:pPr>
          </w:p>
        </w:tc>
        <w:tc>
          <w:tcPr>
            <w:tcW w:w="2433" w:type="dxa"/>
            <w:vAlign w:val="center"/>
          </w:tcPr>
          <w:p w14:paraId="24364A92">
            <w:pPr>
              <w:pStyle w:val="522"/>
              <w:spacing w:line="560" w:lineRule="exact"/>
              <w:jc w:val="center"/>
              <w:rPr>
                <w:rFonts w:ascii="仿宋_GB2312" w:eastAsia="仿宋_GB2312"/>
                <w:color w:val="auto"/>
                <w:sz w:val="28"/>
                <w:highlight w:val="none"/>
              </w:rPr>
            </w:pPr>
          </w:p>
        </w:tc>
        <w:tc>
          <w:tcPr>
            <w:tcW w:w="1395" w:type="dxa"/>
            <w:vAlign w:val="center"/>
          </w:tcPr>
          <w:p w14:paraId="51D78BA5">
            <w:pPr>
              <w:pStyle w:val="522"/>
              <w:spacing w:line="560" w:lineRule="exact"/>
              <w:jc w:val="center"/>
              <w:rPr>
                <w:rFonts w:ascii="仿宋_GB2312" w:eastAsia="仿宋_GB2312"/>
                <w:color w:val="auto"/>
                <w:sz w:val="28"/>
                <w:highlight w:val="none"/>
              </w:rPr>
            </w:pPr>
          </w:p>
        </w:tc>
      </w:tr>
      <w:tr w14:paraId="11988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25" w:hRule="atLeast"/>
          <w:jc w:val="center"/>
        </w:trPr>
        <w:tc>
          <w:tcPr>
            <w:tcW w:w="1229" w:type="dxa"/>
          </w:tcPr>
          <w:p w14:paraId="248CB3AF">
            <w:pPr>
              <w:pStyle w:val="522"/>
              <w:spacing w:line="560" w:lineRule="exact"/>
              <w:jc w:val="center"/>
              <w:rPr>
                <w:rFonts w:ascii="仿宋_GB2312" w:eastAsia="仿宋_GB2312"/>
                <w:color w:val="auto"/>
                <w:sz w:val="28"/>
                <w:highlight w:val="none"/>
              </w:rPr>
            </w:pPr>
          </w:p>
        </w:tc>
        <w:tc>
          <w:tcPr>
            <w:tcW w:w="3827" w:type="dxa"/>
            <w:vAlign w:val="center"/>
          </w:tcPr>
          <w:p w14:paraId="44D6055C">
            <w:pPr>
              <w:pStyle w:val="522"/>
              <w:spacing w:line="560" w:lineRule="exact"/>
              <w:jc w:val="center"/>
              <w:rPr>
                <w:rFonts w:ascii="仿宋_GB2312" w:eastAsia="仿宋_GB2312"/>
                <w:color w:val="auto"/>
                <w:sz w:val="28"/>
                <w:highlight w:val="none"/>
              </w:rPr>
            </w:pPr>
          </w:p>
        </w:tc>
        <w:tc>
          <w:tcPr>
            <w:tcW w:w="2433" w:type="dxa"/>
            <w:vAlign w:val="center"/>
          </w:tcPr>
          <w:p w14:paraId="61986A85">
            <w:pPr>
              <w:pStyle w:val="522"/>
              <w:spacing w:line="560" w:lineRule="exact"/>
              <w:jc w:val="center"/>
              <w:rPr>
                <w:rFonts w:ascii="仿宋_GB2312" w:eastAsia="仿宋_GB2312"/>
                <w:color w:val="auto"/>
                <w:sz w:val="28"/>
                <w:highlight w:val="none"/>
              </w:rPr>
            </w:pPr>
          </w:p>
        </w:tc>
        <w:tc>
          <w:tcPr>
            <w:tcW w:w="1395" w:type="dxa"/>
            <w:vAlign w:val="center"/>
          </w:tcPr>
          <w:p w14:paraId="2F3B50D3">
            <w:pPr>
              <w:pStyle w:val="522"/>
              <w:spacing w:line="560" w:lineRule="exact"/>
              <w:jc w:val="center"/>
              <w:rPr>
                <w:rFonts w:ascii="仿宋_GB2312" w:eastAsia="仿宋_GB2312"/>
                <w:color w:val="auto"/>
                <w:sz w:val="28"/>
                <w:highlight w:val="none"/>
              </w:rPr>
            </w:pPr>
          </w:p>
        </w:tc>
      </w:tr>
    </w:tbl>
    <w:p w14:paraId="59CCF4AE">
      <w:pPr>
        <w:pStyle w:val="469"/>
        <w:outlineLvl w:val="9"/>
        <w:rPr>
          <w:color w:val="auto"/>
          <w:highlight w:val="none"/>
        </w:rPr>
      </w:pPr>
      <w:r>
        <w:rPr>
          <w:color w:val="auto"/>
          <w:highlight w:val="none"/>
        </w:rPr>
        <w:br w:type="page" w:clear="all"/>
      </w:r>
      <w:bookmarkStart w:id="241" w:name="_Toc14046"/>
      <w:bookmarkStart w:id="242" w:name="_Toc6607"/>
      <w:bookmarkStart w:id="243" w:name="_Toc15753"/>
      <w:bookmarkStart w:id="244" w:name="_Toc164203485"/>
      <w:bookmarkStart w:id="245" w:name="_Toc5295"/>
      <w:bookmarkStart w:id="246" w:name="_Toc20255"/>
    </w:p>
    <w:p w14:paraId="23741E8D">
      <w:pPr>
        <w:pStyle w:val="469"/>
        <w:outlineLvl w:val="1"/>
        <w:rPr>
          <w:rFonts w:hint="eastAsia"/>
          <w:color w:val="auto"/>
          <w:highlight w:val="none"/>
        </w:rPr>
      </w:pPr>
      <w:r>
        <w:rPr>
          <w:color w:val="auto"/>
          <w:highlight w:val="none"/>
        </w:rPr>
        <w:t>十</w:t>
      </w:r>
      <w:r>
        <w:rPr>
          <w:rFonts w:hint="eastAsia"/>
          <w:color w:val="auto"/>
          <w:highlight w:val="none"/>
          <w:lang w:val="en-US" w:eastAsia="zh-CN"/>
        </w:rPr>
        <w:t>七</w:t>
      </w:r>
      <w:r>
        <w:rPr>
          <w:color w:val="auto"/>
          <w:highlight w:val="none"/>
        </w:rPr>
        <w:t>、投标所需其他材料</w:t>
      </w:r>
      <w:bookmarkEnd w:id="241"/>
      <w:bookmarkEnd w:id="242"/>
      <w:bookmarkEnd w:id="243"/>
      <w:bookmarkEnd w:id="244"/>
      <w:bookmarkEnd w:id="245"/>
      <w:bookmarkEnd w:id="246"/>
    </w:p>
    <w:p w14:paraId="38C4D06E">
      <w:pPr>
        <w:pStyle w:val="606"/>
        <w:spacing w:line="360" w:lineRule="auto"/>
        <w:ind w:firstLine="420"/>
        <w:rPr>
          <w:color w:val="auto"/>
          <w:highlight w:val="none"/>
        </w:rPr>
      </w:pPr>
      <w:r>
        <w:rPr>
          <w:rFonts w:hint="eastAsia"/>
          <w:color w:val="auto"/>
          <w:highlight w:val="none"/>
        </w:rPr>
        <w:t>请在此文档中增加投标所需其他相关内容（包括资格要求、评分办法、采购需求中涉及的证件证明及其它投标人认为有必要提供的资料），如没有请空置。</w:t>
      </w:r>
    </w:p>
    <w:p w14:paraId="717CD131">
      <w:pPr>
        <w:rPr>
          <w:rFonts w:hint="eastAsia" w:ascii="宋体" w:hAnsi="宋体" w:cs="宋体"/>
          <w:color w:val="auto"/>
          <w:sz w:val="20"/>
          <w:highlight w:val="none"/>
        </w:rPr>
      </w:pPr>
    </w:p>
    <w:p w14:paraId="7BC2C878">
      <w:pPr>
        <w:rPr>
          <w:rFonts w:hint="eastAsia" w:ascii="宋体" w:hAnsi="宋体" w:cs="宋体"/>
          <w:color w:val="auto"/>
          <w:sz w:val="20"/>
          <w:highlight w:val="none"/>
        </w:rPr>
      </w:pPr>
    </w:p>
    <w:p w14:paraId="2E314F5C">
      <w:pPr>
        <w:rPr>
          <w:rFonts w:hint="eastAsia" w:ascii="宋体" w:hAnsi="宋体" w:cs="宋体"/>
          <w:color w:val="auto"/>
          <w:sz w:val="20"/>
          <w:highlight w:val="none"/>
        </w:rPr>
      </w:pPr>
    </w:p>
    <w:p w14:paraId="29C38450">
      <w:pPr>
        <w:rPr>
          <w:rFonts w:hint="eastAsia" w:ascii="宋体" w:hAnsi="宋体" w:cs="宋体"/>
          <w:color w:val="auto"/>
          <w:sz w:val="20"/>
          <w:highlight w:val="none"/>
        </w:rPr>
      </w:pPr>
    </w:p>
    <w:p w14:paraId="10919860">
      <w:pPr>
        <w:rPr>
          <w:rFonts w:hint="eastAsia" w:ascii="宋体" w:hAnsi="宋体" w:cs="宋体"/>
          <w:color w:val="auto"/>
          <w:sz w:val="20"/>
          <w:highlight w:val="none"/>
        </w:rPr>
      </w:pPr>
    </w:p>
    <w:p w14:paraId="1BA0DCB9">
      <w:pPr>
        <w:rPr>
          <w:rFonts w:hint="eastAsia" w:ascii="宋体" w:hAnsi="宋体" w:cs="宋体"/>
          <w:color w:val="auto"/>
          <w:sz w:val="20"/>
          <w:highlight w:val="none"/>
        </w:rPr>
      </w:pPr>
    </w:p>
    <w:p w14:paraId="66B1268E">
      <w:pPr>
        <w:rPr>
          <w:rFonts w:hint="eastAsia" w:ascii="宋体" w:hAnsi="宋体" w:cs="宋体"/>
          <w:color w:val="auto"/>
          <w:sz w:val="20"/>
          <w:highlight w:val="none"/>
        </w:rPr>
      </w:pPr>
    </w:p>
    <w:p w14:paraId="21F24C98">
      <w:pPr>
        <w:rPr>
          <w:rFonts w:hint="eastAsia" w:ascii="宋体" w:hAnsi="宋体" w:cs="宋体"/>
          <w:color w:val="auto"/>
          <w:sz w:val="20"/>
          <w:highlight w:val="none"/>
        </w:rPr>
      </w:pPr>
    </w:p>
    <w:p w14:paraId="3C76D37E">
      <w:pPr>
        <w:rPr>
          <w:rFonts w:hint="eastAsia" w:ascii="宋体" w:hAnsi="宋体" w:cs="宋体"/>
          <w:color w:val="auto"/>
          <w:sz w:val="20"/>
          <w:highlight w:val="none"/>
        </w:rPr>
      </w:pPr>
    </w:p>
    <w:p w14:paraId="01160216">
      <w:pPr>
        <w:rPr>
          <w:rFonts w:hint="eastAsia" w:ascii="宋体" w:hAnsi="宋体" w:cs="宋体"/>
          <w:color w:val="auto"/>
          <w:sz w:val="20"/>
          <w:highlight w:val="none"/>
        </w:rPr>
      </w:pPr>
    </w:p>
    <w:p w14:paraId="46526A56">
      <w:pPr>
        <w:rPr>
          <w:rFonts w:hint="eastAsia" w:ascii="宋体" w:hAnsi="宋体" w:cs="宋体"/>
          <w:color w:val="auto"/>
          <w:sz w:val="20"/>
          <w:highlight w:val="none"/>
        </w:rPr>
      </w:pPr>
    </w:p>
    <w:p w14:paraId="2B48D8C3">
      <w:pPr>
        <w:rPr>
          <w:rFonts w:hint="eastAsia" w:ascii="宋体" w:hAnsi="宋体" w:cs="宋体"/>
          <w:color w:val="auto"/>
          <w:sz w:val="20"/>
          <w:highlight w:val="none"/>
        </w:rPr>
      </w:pPr>
    </w:p>
    <w:p w14:paraId="2EE44208">
      <w:pPr>
        <w:rPr>
          <w:rFonts w:hint="eastAsia" w:ascii="宋体" w:hAnsi="宋体" w:cs="宋体"/>
          <w:color w:val="auto"/>
          <w:sz w:val="20"/>
          <w:highlight w:val="none"/>
        </w:rPr>
      </w:pPr>
    </w:p>
    <w:p w14:paraId="2C63D0E3">
      <w:pPr>
        <w:rPr>
          <w:rFonts w:hint="eastAsia" w:ascii="宋体" w:hAnsi="宋体" w:cs="宋体"/>
          <w:color w:val="auto"/>
          <w:sz w:val="20"/>
          <w:highlight w:val="none"/>
        </w:rPr>
      </w:pPr>
    </w:p>
    <w:p w14:paraId="581A24D7">
      <w:pPr>
        <w:rPr>
          <w:rFonts w:hint="eastAsia" w:ascii="宋体" w:hAnsi="宋体" w:cs="宋体"/>
          <w:color w:val="auto"/>
          <w:sz w:val="20"/>
          <w:highlight w:val="none"/>
        </w:rPr>
      </w:pPr>
    </w:p>
    <w:p w14:paraId="57744064">
      <w:pPr>
        <w:rPr>
          <w:rFonts w:hint="eastAsia" w:ascii="宋体" w:hAnsi="宋体" w:cs="宋体"/>
          <w:color w:val="auto"/>
          <w:sz w:val="20"/>
          <w:highlight w:val="none"/>
        </w:rPr>
      </w:pPr>
    </w:p>
    <w:p w14:paraId="6E0D1300">
      <w:pPr>
        <w:rPr>
          <w:rFonts w:hint="eastAsia" w:ascii="宋体" w:hAnsi="宋体" w:cs="宋体"/>
          <w:color w:val="auto"/>
          <w:sz w:val="20"/>
          <w:highlight w:val="none"/>
        </w:rPr>
      </w:pPr>
    </w:p>
    <w:p w14:paraId="704A3036">
      <w:pPr>
        <w:rPr>
          <w:rFonts w:hint="eastAsia" w:ascii="宋体" w:hAnsi="宋体" w:cs="宋体"/>
          <w:color w:val="auto"/>
          <w:sz w:val="20"/>
          <w:highlight w:val="none"/>
        </w:rPr>
      </w:pPr>
    </w:p>
    <w:p w14:paraId="39AFC182">
      <w:pPr>
        <w:rPr>
          <w:rFonts w:hint="eastAsia" w:ascii="宋体" w:hAnsi="宋体" w:cs="宋体"/>
          <w:color w:val="auto"/>
          <w:sz w:val="20"/>
          <w:highlight w:val="none"/>
        </w:rPr>
      </w:pPr>
    </w:p>
    <w:p w14:paraId="00A04871">
      <w:pPr>
        <w:rPr>
          <w:rFonts w:hint="eastAsia" w:ascii="宋体" w:hAnsi="宋体" w:cs="宋体"/>
          <w:color w:val="auto"/>
          <w:sz w:val="20"/>
          <w:highlight w:val="none"/>
        </w:rPr>
      </w:pPr>
    </w:p>
    <w:p w14:paraId="43B4BEC0">
      <w:pPr>
        <w:rPr>
          <w:rFonts w:hint="eastAsia" w:ascii="宋体" w:hAnsi="宋体" w:cs="宋体"/>
          <w:color w:val="auto"/>
          <w:sz w:val="20"/>
          <w:highlight w:val="none"/>
        </w:rPr>
      </w:pPr>
    </w:p>
    <w:p w14:paraId="2486D0FE">
      <w:pPr>
        <w:rPr>
          <w:rFonts w:hint="eastAsia" w:ascii="宋体" w:hAnsi="宋体" w:cs="宋体"/>
          <w:color w:val="auto"/>
          <w:sz w:val="20"/>
          <w:highlight w:val="none"/>
        </w:rPr>
      </w:pPr>
    </w:p>
    <w:p w14:paraId="5DF1FC2E">
      <w:pPr>
        <w:rPr>
          <w:rFonts w:hint="eastAsia" w:ascii="宋体" w:hAnsi="宋体" w:cs="宋体"/>
          <w:color w:val="auto"/>
          <w:sz w:val="20"/>
          <w:highlight w:val="none"/>
        </w:rPr>
      </w:pPr>
    </w:p>
    <w:p w14:paraId="40747C5E">
      <w:pPr>
        <w:rPr>
          <w:rFonts w:hint="eastAsia" w:ascii="宋体" w:hAnsi="宋体" w:cs="宋体"/>
          <w:color w:val="auto"/>
          <w:sz w:val="20"/>
          <w:highlight w:val="none"/>
        </w:rPr>
      </w:pPr>
    </w:p>
    <w:p w14:paraId="34C4EC57">
      <w:pPr>
        <w:rPr>
          <w:rFonts w:hint="eastAsia" w:ascii="宋体" w:hAnsi="宋体" w:cs="宋体"/>
          <w:color w:val="auto"/>
          <w:sz w:val="20"/>
          <w:highlight w:val="none"/>
        </w:rPr>
      </w:pPr>
    </w:p>
    <w:p w14:paraId="1174E831">
      <w:pPr>
        <w:rPr>
          <w:rFonts w:hint="eastAsia" w:ascii="宋体" w:hAnsi="宋体" w:cs="宋体"/>
          <w:color w:val="auto"/>
          <w:sz w:val="20"/>
          <w:highlight w:val="none"/>
        </w:rPr>
      </w:pPr>
    </w:p>
    <w:p w14:paraId="4ADBA2CC">
      <w:pPr>
        <w:rPr>
          <w:rFonts w:hint="eastAsia" w:ascii="宋体" w:hAnsi="宋体" w:cs="宋体"/>
          <w:color w:val="auto"/>
          <w:sz w:val="20"/>
          <w:highlight w:val="none"/>
        </w:rPr>
      </w:pPr>
    </w:p>
    <w:p w14:paraId="6D78728C">
      <w:pPr>
        <w:rPr>
          <w:rFonts w:hint="eastAsia" w:ascii="宋体" w:hAnsi="宋体" w:cs="宋体"/>
          <w:color w:val="auto"/>
          <w:sz w:val="20"/>
          <w:highlight w:val="none"/>
        </w:rPr>
      </w:pPr>
    </w:p>
    <w:p w14:paraId="2FF8A9F3">
      <w:pPr>
        <w:rPr>
          <w:rFonts w:hint="eastAsia" w:ascii="宋体" w:hAnsi="宋体" w:cs="宋体"/>
          <w:color w:val="auto"/>
          <w:sz w:val="20"/>
          <w:highlight w:val="none"/>
        </w:rPr>
      </w:pPr>
    </w:p>
    <w:p w14:paraId="3B0FD849">
      <w:pPr>
        <w:rPr>
          <w:rFonts w:hint="eastAsia" w:ascii="宋体" w:hAnsi="宋体" w:cs="宋体"/>
          <w:color w:val="auto"/>
          <w:sz w:val="20"/>
          <w:highlight w:val="none"/>
        </w:rPr>
      </w:pPr>
    </w:p>
    <w:p w14:paraId="59F4BAD7">
      <w:pPr>
        <w:rPr>
          <w:rFonts w:hint="eastAsia" w:ascii="宋体" w:hAnsi="宋体" w:cs="宋体"/>
          <w:color w:val="auto"/>
          <w:sz w:val="20"/>
          <w:highlight w:val="none"/>
        </w:rPr>
      </w:pPr>
    </w:p>
    <w:p w14:paraId="4D4CD3DE">
      <w:pPr>
        <w:rPr>
          <w:rFonts w:hint="eastAsia" w:ascii="宋体" w:hAnsi="宋体" w:cs="宋体"/>
          <w:color w:val="auto"/>
          <w:sz w:val="20"/>
          <w:highlight w:val="none"/>
        </w:rPr>
      </w:pPr>
    </w:p>
    <w:p w14:paraId="312879C4">
      <w:pPr>
        <w:rPr>
          <w:rFonts w:hint="eastAsia" w:ascii="宋体" w:hAnsi="宋体" w:cs="宋体"/>
          <w:color w:val="auto"/>
          <w:sz w:val="20"/>
          <w:highlight w:val="none"/>
        </w:rPr>
      </w:pPr>
    </w:p>
    <w:p w14:paraId="5503BCA4">
      <w:pPr>
        <w:rPr>
          <w:rFonts w:hint="eastAsia" w:ascii="宋体" w:hAnsi="宋体" w:cs="宋体"/>
          <w:color w:val="auto"/>
          <w:sz w:val="20"/>
          <w:highlight w:val="none"/>
        </w:rPr>
      </w:pPr>
    </w:p>
    <w:p w14:paraId="464ECF38">
      <w:pPr>
        <w:rPr>
          <w:rFonts w:hint="eastAsia" w:ascii="宋体" w:hAnsi="宋体" w:cs="宋体"/>
          <w:color w:val="auto"/>
          <w:sz w:val="20"/>
          <w:highlight w:val="none"/>
        </w:rPr>
      </w:pPr>
    </w:p>
    <w:p w14:paraId="00B9DCBF">
      <w:pPr>
        <w:rPr>
          <w:rFonts w:hint="eastAsia" w:ascii="宋体" w:hAnsi="宋体" w:cs="宋体"/>
          <w:color w:val="auto"/>
          <w:sz w:val="20"/>
          <w:highlight w:val="none"/>
        </w:rPr>
      </w:pPr>
    </w:p>
    <w:p w14:paraId="5F043200">
      <w:pPr>
        <w:rPr>
          <w:rFonts w:hint="eastAsia" w:ascii="宋体" w:hAnsi="宋体" w:cs="宋体"/>
          <w:color w:val="auto"/>
          <w:sz w:val="20"/>
          <w:highlight w:val="none"/>
        </w:rPr>
      </w:pPr>
    </w:p>
    <w:p w14:paraId="72DF415D">
      <w:pPr>
        <w:rPr>
          <w:rFonts w:hint="eastAsia" w:ascii="宋体" w:hAnsi="宋体" w:cs="宋体"/>
          <w:color w:val="auto"/>
          <w:sz w:val="20"/>
          <w:highlight w:val="none"/>
        </w:rPr>
      </w:pPr>
    </w:p>
    <w:p w14:paraId="7DAD05D3">
      <w:pPr>
        <w:rPr>
          <w:rFonts w:hint="eastAsia" w:ascii="宋体" w:hAnsi="宋体" w:cs="宋体"/>
          <w:color w:val="auto"/>
          <w:sz w:val="20"/>
          <w:highlight w:val="none"/>
        </w:rPr>
      </w:pPr>
    </w:p>
    <w:p w14:paraId="673E6D92">
      <w:pPr>
        <w:rPr>
          <w:rFonts w:hint="eastAsia" w:ascii="宋体" w:hAnsi="宋体" w:cs="宋体"/>
          <w:color w:val="auto"/>
          <w:sz w:val="20"/>
          <w:highlight w:val="none"/>
        </w:rPr>
      </w:pPr>
    </w:p>
    <w:p w14:paraId="328B9770">
      <w:pPr>
        <w:rPr>
          <w:rFonts w:hint="eastAsia" w:ascii="宋体" w:hAnsi="宋体" w:cs="宋体"/>
          <w:color w:val="auto"/>
          <w:sz w:val="20"/>
          <w:highlight w:val="none"/>
        </w:rPr>
      </w:pPr>
    </w:p>
    <w:p w14:paraId="24DF09E0">
      <w:pPr>
        <w:rPr>
          <w:rFonts w:hint="eastAsia" w:ascii="宋体" w:hAnsi="宋体" w:cs="宋体"/>
          <w:color w:val="auto"/>
          <w:sz w:val="20"/>
          <w:highlight w:val="none"/>
        </w:rPr>
      </w:pPr>
    </w:p>
    <w:p w14:paraId="317BC04E">
      <w:pPr>
        <w:rPr>
          <w:rFonts w:hint="eastAsia" w:ascii="宋体" w:hAnsi="宋体" w:cs="宋体"/>
          <w:color w:val="auto"/>
          <w:sz w:val="20"/>
          <w:highlight w:val="none"/>
        </w:rPr>
      </w:pPr>
    </w:p>
    <w:p w14:paraId="47C91A7A">
      <w:pPr>
        <w:rPr>
          <w:rFonts w:hint="eastAsia" w:ascii="宋体" w:hAnsi="宋体" w:cs="宋体"/>
          <w:color w:val="auto"/>
          <w:sz w:val="20"/>
          <w:highlight w:val="none"/>
        </w:rPr>
      </w:pPr>
    </w:p>
    <w:p w14:paraId="2B9172EB">
      <w:pPr>
        <w:rPr>
          <w:rFonts w:hint="eastAsia" w:ascii="宋体" w:hAnsi="宋体" w:cs="宋体"/>
          <w:color w:val="auto"/>
          <w:sz w:val="20"/>
          <w:highlight w:val="none"/>
        </w:rPr>
      </w:pPr>
    </w:p>
    <w:p w14:paraId="4379B0B5">
      <w:pPr>
        <w:rPr>
          <w:rFonts w:hint="eastAsia" w:ascii="宋体" w:hAnsi="宋体" w:cs="宋体"/>
          <w:color w:val="auto"/>
          <w:sz w:val="20"/>
          <w:highlight w:val="none"/>
        </w:rPr>
      </w:pPr>
    </w:p>
    <w:p w14:paraId="791EE7B9">
      <w:pPr>
        <w:rPr>
          <w:rFonts w:hint="eastAsia" w:ascii="宋体" w:hAnsi="宋体" w:cs="宋体"/>
          <w:color w:val="auto"/>
          <w:sz w:val="20"/>
          <w:highlight w:val="none"/>
        </w:rPr>
      </w:pPr>
    </w:p>
    <w:p w14:paraId="7E35DC36">
      <w:pPr>
        <w:rPr>
          <w:rFonts w:hint="eastAsia" w:ascii="宋体" w:hAnsi="宋体" w:cs="宋体"/>
          <w:color w:val="auto"/>
          <w:sz w:val="20"/>
          <w:highlight w:val="none"/>
        </w:rPr>
      </w:pPr>
    </w:p>
    <w:p w14:paraId="417F28E5">
      <w:pPr>
        <w:spacing w:line="360" w:lineRule="auto"/>
        <w:jc w:val="center"/>
        <w:outlineLvl w:val="0"/>
        <w:rPr>
          <w:rFonts w:hAnsi="宋体" w:cs="宋体"/>
          <w:bCs/>
          <w:color w:val="auto"/>
          <w:kern w:val="2"/>
          <w:sz w:val="44"/>
          <w:szCs w:val="44"/>
          <w:highlight w:val="none"/>
        </w:rPr>
      </w:pPr>
      <w:bookmarkStart w:id="247" w:name="_Toc27737"/>
      <w:r>
        <w:rPr>
          <w:rFonts w:hint="eastAsia" w:hAnsi="宋体" w:cs="宋体"/>
          <w:bCs/>
          <w:color w:val="auto"/>
          <w:kern w:val="2"/>
          <w:sz w:val="44"/>
          <w:szCs w:val="44"/>
          <w:highlight w:val="none"/>
        </w:rPr>
        <w:t>第</w:t>
      </w:r>
      <w:r>
        <w:rPr>
          <w:rFonts w:hint="eastAsia" w:hAnsi="宋体" w:cs="宋体"/>
          <w:bCs/>
          <w:color w:val="auto"/>
          <w:kern w:val="2"/>
          <w:sz w:val="44"/>
          <w:szCs w:val="44"/>
          <w:highlight w:val="none"/>
          <w:lang w:val="en-US" w:eastAsia="zh-CN"/>
        </w:rPr>
        <w:t>七部分</w:t>
      </w:r>
      <w:r>
        <w:rPr>
          <w:rFonts w:hint="eastAsia" w:hAnsi="宋体" w:cs="宋体"/>
          <w:bCs/>
          <w:color w:val="auto"/>
          <w:kern w:val="2"/>
          <w:sz w:val="44"/>
          <w:szCs w:val="44"/>
          <w:highlight w:val="none"/>
        </w:rPr>
        <w:t>：特别提醒</w:t>
      </w:r>
      <w:bookmarkEnd w:id="247"/>
    </w:p>
    <w:p w14:paraId="4650B0A2">
      <w:pPr>
        <w:spacing w:line="360" w:lineRule="auto"/>
        <w:jc w:val="center"/>
        <w:outlineLvl w:val="9"/>
        <w:rPr>
          <w:rFonts w:hAnsi="宋体" w:cs="宋体"/>
          <w:bCs/>
          <w:color w:val="auto"/>
          <w:kern w:val="2"/>
          <w:sz w:val="44"/>
          <w:szCs w:val="44"/>
          <w:highlight w:val="none"/>
        </w:rPr>
      </w:pPr>
      <w:bookmarkStart w:id="248" w:name="_Toc28731"/>
      <w:r>
        <w:rPr>
          <w:rFonts w:hint="eastAsia" w:hAnsi="宋体" w:cs="宋体"/>
          <w:bCs/>
          <w:color w:val="auto"/>
          <w:kern w:val="2"/>
          <w:sz w:val="44"/>
          <w:szCs w:val="44"/>
          <w:highlight w:val="none"/>
        </w:rPr>
        <w:t>（有关围标串标情形的判定）</w:t>
      </w:r>
      <w:bookmarkEnd w:id="248"/>
    </w:p>
    <w:p w14:paraId="20950FB8">
      <w:pPr>
        <w:spacing w:line="360" w:lineRule="auto"/>
        <w:rPr>
          <w:rFonts w:hAnsi="宋体"/>
          <w:bCs/>
          <w:color w:val="auto"/>
          <w:sz w:val="32"/>
          <w:szCs w:val="32"/>
          <w:highlight w:val="none"/>
        </w:rPr>
      </w:pPr>
    </w:p>
    <w:p w14:paraId="1188C9A8">
      <w:pPr>
        <w:spacing w:line="360" w:lineRule="auto"/>
        <w:rPr>
          <w:rFonts w:hAnsi="宋体"/>
          <w:bCs/>
          <w:color w:val="auto"/>
          <w:sz w:val="32"/>
          <w:szCs w:val="32"/>
          <w:highlight w:val="none"/>
        </w:rPr>
      </w:pPr>
      <w:r>
        <w:rPr>
          <w:rFonts w:hint="eastAsia" w:hAnsi="宋体"/>
          <w:bCs/>
          <w:color w:val="auto"/>
          <w:sz w:val="32"/>
          <w:szCs w:val="32"/>
          <w:highlight w:val="none"/>
        </w:rPr>
        <w:t>各投标人：</w:t>
      </w:r>
    </w:p>
    <w:p w14:paraId="47ACF445">
      <w:pPr>
        <w:spacing w:line="360" w:lineRule="auto"/>
        <w:ind w:firstLine="480"/>
        <w:rPr>
          <w:rFonts w:hAnsi="宋体"/>
          <w:color w:val="auto"/>
          <w:highlight w:val="none"/>
        </w:rPr>
      </w:pPr>
      <w:r>
        <w:rPr>
          <w:rFonts w:hint="eastAsia" w:hAnsi="宋体"/>
          <w:color w:val="auto"/>
          <w:highlight w:val="none"/>
        </w:rPr>
        <w:t>评标委员会将对投标人提交的投标/响应文件进行评审，在评审过程中如发现投标人存在以下情形：</w:t>
      </w:r>
    </w:p>
    <w:p w14:paraId="5123C46C">
      <w:pPr>
        <w:spacing w:line="360" w:lineRule="auto"/>
        <w:ind w:firstLine="420" w:firstLineChars="200"/>
        <w:rPr>
          <w:rFonts w:hAnsi="宋体" w:cs="宋体"/>
          <w:color w:val="auto"/>
          <w:highlight w:val="none"/>
        </w:rPr>
      </w:pPr>
      <w:r>
        <w:rPr>
          <w:rFonts w:hint="eastAsia" w:hAnsi="宋体" w:cs="宋体"/>
          <w:color w:val="auto"/>
          <w:highlight w:val="none"/>
        </w:rPr>
        <w:t>1.</w:t>
      </w:r>
      <w:r>
        <w:rPr>
          <w:rFonts w:hAnsi="宋体" w:cs="宋体"/>
          <w:color w:val="auto"/>
          <w:highlight w:val="none"/>
        </w:rPr>
        <w:t>投标人之间协商投标报价</w:t>
      </w:r>
      <w:r>
        <w:rPr>
          <w:rFonts w:hint="eastAsia" w:hAnsi="宋体" w:cs="宋体"/>
          <w:color w:val="auto"/>
          <w:highlight w:val="none"/>
        </w:rPr>
        <w:t>、技术方案</w:t>
      </w:r>
      <w:r>
        <w:rPr>
          <w:rFonts w:hAnsi="宋体" w:cs="宋体"/>
          <w:color w:val="auto"/>
          <w:highlight w:val="none"/>
        </w:rPr>
        <w:t>等投标文件的实质性内容；</w:t>
      </w:r>
    </w:p>
    <w:p w14:paraId="64333667">
      <w:pPr>
        <w:spacing w:line="360" w:lineRule="auto"/>
        <w:ind w:firstLine="420" w:firstLineChars="200"/>
        <w:rPr>
          <w:rFonts w:hAnsi="宋体" w:cs="宋体"/>
          <w:color w:val="auto"/>
          <w:highlight w:val="none"/>
        </w:rPr>
      </w:pPr>
      <w:r>
        <w:rPr>
          <w:rFonts w:hint="eastAsia" w:hAnsi="宋体" w:cs="宋体"/>
          <w:color w:val="auto"/>
          <w:highlight w:val="none"/>
        </w:rPr>
        <w:t>2.</w:t>
      </w:r>
      <w:r>
        <w:rPr>
          <w:rFonts w:hAnsi="宋体" w:cs="宋体"/>
          <w:color w:val="auto"/>
          <w:highlight w:val="none"/>
        </w:rPr>
        <w:t>属于同一集团、协会、商会等组织成员的投标人按照该组织要求协同</w:t>
      </w:r>
      <w:r>
        <w:rPr>
          <w:rFonts w:hint="eastAsia" w:hAnsi="宋体" w:cs="宋体"/>
          <w:color w:val="auto"/>
          <w:highlight w:val="none"/>
        </w:rPr>
        <w:t>参加投标</w:t>
      </w:r>
      <w:r>
        <w:rPr>
          <w:rFonts w:hAnsi="宋体" w:cs="宋体"/>
          <w:color w:val="auto"/>
          <w:highlight w:val="none"/>
        </w:rPr>
        <w:t>；</w:t>
      </w:r>
    </w:p>
    <w:p w14:paraId="1BBAFF16">
      <w:pPr>
        <w:spacing w:line="360" w:lineRule="auto"/>
        <w:ind w:firstLine="420" w:firstLineChars="200"/>
        <w:rPr>
          <w:rFonts w:hAnsi="宋体" w:cs="宋体"/>
          <w:color w:val="auto"/>
          <w:highlight w:val="none"/>
        </w:rPr>
      </w:pPr>
      <w:r>
        <w:rPr>
          <w:rFonts w:hint="eastAsia" w:hAnsi="宋体" w:cs="宋体"/>
          <w:color w:val="auto"/>
          <w:highlight w:val="none"/>
        </w:rPr>
        <w:t>3.</w:t>
      </w:r>
      <w:r>
        <w:rPr>
          <w:rFonts w:hAnsi="宋体" w:cs="宋体"/>
          <w:color w:val="auto"/>
          <w:highlight w:val="none"/>
        </w:rPr>
        <w:t>投标人之间</w:t>
      </w:r>
      <w:r>
        <w:rPr>
          <w:rFonts w:hint="eastAsia" w:hAnsi="宋体" w:cs="宋体"/>
          <w:color w:val="auto"/>
          <w:highlight w:val="none"/>
        </w:rPr>
        <w:t>事先约定由某一特定投标人</w:t>
      </w:r>
      <w:r>
        <w:rPr>
          <w:rFonts w:hAnsi="宋体" w:cs="宋体"/>
          <w:color w:val="auto"/>
          <w:highlight w:val="none"/>
        </w:rPr>
        <w:t xml:space="preserve">中标； </w:t>
      </w:r>
    </w:p>
    <w:p w14:paraId="6FD8B785">
      <w:pPr>
        <w:spacing w:line="360" w:lineRule="auto"/>
        <w:ind w:firstLine="420" w:firstLineChars="200"/>
        <w:rPr>
          <w:rFonts w:hAnsi="宋体" w:cs="宋体"/>
          <w:color w:val="auto"/>
          <w:highlight w:val="none"/>
        </w:rPr>
      </w:pPr>
      <w:r>
        <w:rPr>
          <w:rFonts w:hint="eastAsia" w:hAnsi="宋体" w:cs="宋体"/>
          <w:color w:val="auto"/>
          <w:highlight w:val="none"/>
        </w:rPr>
        <w:t>4.</w:t>
      </w:r>
      <w:r>
        <w:rPr>
          <w:rFonts w:hint="eastAsia"/>
          <w:color w:val="auto"/>
          <w:highlight w:val="none"/>
        </w:rPr>
        <w:t>投标人</w:t>
      </w:r>
      <w:r>
        <w:rPr>
          <w:rFonts w:hint="eastAsia" w:hAnsi="宋体" w:cs="宋体"/>
          <w:color w:val="auto"/>
          <w:highlight w:val="none"/>
        </w:rPr>
        <w:t>之间商定部分投标人放弃参加投标或者放弃中标</w:t>
      </w:r>
      <w:r>
        <w:rPr>
          <w:rFonts w:hAnsi="宋体" w:cs="宋体"/>
          <w:color w:val="auto"/>
          <w:highlight w:val="none"/>
        </w:rPr>
        <w:t xml:space="preserve">； </w:t>
      </w:r>
    </w:p>
    <w:p w14:paraId="680562EC">
      <w:pPr>
        <w:spacing w:line="360" w:lineRule="auto"/>
        <w:ind w:firstLine="420" w:firstLineChars="200"/>
        <w:rPr>
          <w:rFonts w:hAnsi="宋体" w:cs="Arial"/>
          <w:color w:val="auto"/>
          <w:highlight w:val="none"/>
        </w:rPr>
      </w:pPr>
      <w:r>
        <w:rPr>
          <w:rFonts w:hint="eastAsia" w:hAnsi="宋体" w:cs="宋体"/>
          <w:color w:val="auto"/>
          <w:highlight w:val="none"/>
        </w:rPr>
        <w:t>5.</w:t>
      </w:r>
      <w:r>
        <w:rPr>
          <w:rFonts w:hAnsi="宋体" w:cs="宋体"/>
          <w:color w:val="auto"/>
          <w:highlight w:val="none"/>
        </w:rPr>
        <w:t>投标人之间为谋取中标或者排斥特定投标人而采取的其他联合行动。</w:t>
      </w:r>
    </w:p>
    <w:p w14:paraId="31B0F072">
      <w:pPr>
        <w:spacing w:line="360" w:lineRule="auto"/>
        <w:ind w:firstLine="420" w:firstLineChars="200"/>
        <w:rPr>
          <w:rFonts w:hAnsi="宋体" w:cs="Arial"/>
          <w:color w:val="auto"/>
          <w:highlight w:val="none"/>
        </w:rPr>
      </w:pPr>
      <w:r>
        <w:rPr>
          <w:rFonts w:hint="eastAsia" w:hAnsi="宋体" w:cs="Arial"/>
          <w:color w:val="auto"/>
          <w:highlight w:val="none"/>
        </w:rPr>
        <w:t>6.</w:t>
      </w:r>
      <w:r>
        <w:rPr>
          <w:rFonts w:hAnsi="宋体" w:cs="Arial"/>
          <w:color w:val="auto"/>
          <w:highlight w:val="none"/>
        </w:rPr>
        <w:t>不同投标人的投标文件由同一单位或者个人编制；</w:t>
      </w:r>
    </w:p>
    <w:p w14:paraId="6C0510CA">
      <w:pPr>
        <w:spacing w:line="360" w:lineRule="auto"/>
        <w:ind w:firstLine="420" w:firstLineChars="200"/>
        <w:rPr>
          <w:rFonts w:hAnsi="宋体" w:cs="Arial"/>
          <w:color w:val="auto"/>
          <w:highlight w:val="none"/>
        </w:rPr>
      </w:pPr>
      <w:r>
        <w:rPr>
          <w:rFonts w:hint="eastAsia" w:hAnsi="宋体" w:cs="Arial"/>
          <w:color w:val="auto"/>
          <w:highlight w:val="none"/>
        </w:rPr>
        <w:t>7.</w:t>
      </w:r>
      <w:r>
        <w:rPr>
          <w:rFonts w:hAnsi="宋体" w:cs="Arial"/>
          <w:color w:val="auto"/>
          <w:highlight w:val="none"/>
        </w:rPr>
        <w:t xml:space="preserve">不同投标人委托同一单位或者个人办理投标事宜； </w:t>
      </w:r>
    </w:p>
    <w:p w14:paraId="19620B3F">
      <w:pPr>
        <w:spacing w:line="360" w:lineRule="auto"/>
        <w:ind w:firstLine="420" w:firstLineChars="200"/>
        <w:rPr>
          <w:rFonts w:hAnsi="宋体" w:cs="Arial"/>
          <w:color w:val="auto"/>
          <w:highlight w:val="none"/>
        </w:rPr>
      </w:pPr>
      <w:r>
        <w:rPr>
          <w:rFonts w:hint="eastAsia" w:hAnsi="宋体" w:cs="Arial"/>
          <w:color w:val="auto"/>
          <w:highlight w:val="none"/>
        </w:rPr>
        <w:t>8.</w:t>
      </w:r>
      <w:r>
        <w:rPr>
          <w:rFonts w:hAnsi="宋体" w:cs="Arial"/>
          <w:color w:val="auto"/>
          <w:highlight w:val="none"/>
        </w:rPr>
        <w:t>不同投标人的投标文件载明的项目管理成员或者联系人员为同一人；</w:t>
      </w:r>
    </w:p>
    <w:p w14:paraId="61563F16">
      <w:pPr>
        <w:spacing w:line="360" w:lineRule="auto"/>
        <w:ind w:firstLine="420" w:firstLineChars="200"/>
        <w:rPr>
          <w:rFonts w:hAnsi="宋体" w:cs="Arial"/>
          <w:color w:val="auto"/>
          <w:highlight w:val="none"/>
        </w:rPr>
      </w:pPr>
      <w:r>
        <w:rPr>
          <w:rFonts w:hint="eastAsia" w:hAnsi="宋体" w:cs="Arial"/>
          <w:color w:val="auto"/>
          <w:highlight w:val="none"/>
        </w:rPr>
        <w:t>9.</w:t>
      </w:r>
      <w:r>
        <w:rPr>
          <w:rFonts w:hAnsi="宋体" w:cs="Arial"/>
          <w:color w:val="auto"/>
          <w:highlight w:val="none"/>
        </w:rPr>
        <w:t xml:space="preserve">不同投标人的投标文件异常一致或者投标报价呈规律性差异； </w:t>
      </w:r>
    </w:p>
    <w:p w14:paraId="44BF089B">
      <w:pPr>
        <w:spacing w:line="360" w:lineRule="auto"/>
        <w:ind w:firstLine="420" w:firstLineChars="200"/>
        <w:rPr>
          <w:rFonts w:hAnsi="宋体" w:cs="Arial"/>
          <w:color w:val="auto"/>
          <w:highlight w:val="none"/>
        </w:rPr>
      </w:pPr>
      <w:r>
        <w:rPr>
          <w:rFonts w:hint="eastAsia" w:hAnsi="宋体" w:cs="Arial"/>
          <w:color w:val="auto"/>
          <w:highlight w:val="none"/>
        </w:rPr>
        <w:t>10.</w:t>
      </w:r>
      <w:r>
        <w:rPr>
          <w:rFonts w:hAnsi="宋体" w:cs="Arial"/>
          <w:color w:val="auto"/>
          <w:highlight w:val="none"/>
        </w:rPr>
        <w:t>不同投标人的投标文件相互混装；</w:t>
      </w:r>
    </w:p>
    <w:p w14:paraId="6FBA0570">
      <w:pPr>
        <w:spacing w:line="360" w:lineRule="auto"/>
        <w:ind w:firstLine="420" w:firstLineChars="200"/>
        <w:rPr>
          <w:rFonts w:hAnsi="宋体" w:cs="Arial"/>
          <w:color w:val="auto"/>
          <w:highlight w:val="none"/>
        </w:rPr>
      </w:pPr>
      <w:r>
        <w:rPr>
          <w:rFonts w:hint="eastAsia" w:hAnsi="宋体" w:cs="Arial"/>
          <w:color w:val="auto"/>
          <w:highlight w:val="none"/>
        </w:rPr>
        <w:t>11.</w:t>
      </w:r>
      <w:r>
        <w:rPr>
          <w:rFonts w:hAnsi="宋体" w:cs="Arial"/>
          <w:color w:val="auto"/>
          <w:highlight w:val="none"/>
        </w:rPr>
        <w:t>不同投标人的投标保证金从同一单位或者个人的账户转出。</w:t>
      </w:r>
    </w:p>
    <w:p w14:paraId="4E6F7F71">
      <w:pPr>
        <w:spacing w:line="360" w:lineRule="auto"/>
        <w:rPr>
          <w:rFonts w:hAnsi="宋体" w:cs="Arial"/>
          <w:color w:val="auto"/>
          <w:highlight w:val="none"/>
        </w:rPr>
      </w:pPr>
    </w:p>
    <w:p w14:paraId="2678DF4E">
      <w:pPr>
        <w:spacing w:line="360" w:lineRule="auto"/>
        <w:rPr>
          <w:rFonts w:hAnsi="宋体"/>
          <w:color w:val="auto"/>
          <w:highlight w:val="none"/>
        </w:rPr>
      </w:pPr>
      <w:r>
        <w:rPr>
          <w:rFonts w:hint="eastAsia" w:hAnsi="宋体" w:cs="Arial"/>
          <w:color w:val="auto"/>
          <w:highlight w:val="none"/>
        </w:rPr>
        <w:t>将被判定为存在围标串标情形，相关投标文件均将被否决。</w:t>
      </w:r>
      <w:r>
        <w:rPr>
          <w:rFonts w:hAnsi="宋体" w:cs="Arial"/>
          <w:color w:val="auto"/>
          <w:highlight w:val="none"/>
        </w:rPr>
        <w:br w:type="textWrapping"/>
      </w:r>
    </w:p>
    <w:p w14:paraId="061B713B">
      <w:pPr>
        <w:rPr>
          <w:color w:val="auto"/>
          <w:sz w:val="20"/>
          <w:highlight w:val="none"/>
        </w:rPr>
      </w:pPr>
    </w:p>
    <w:p w14:paraId="375CA8B6">
      <w:pPr>
        <w:rPr>
          <w:rFonts w:hint="eastAsia" w:ascii="宋体" w:hAnsi="宋体" w:cs="宋体"/>
          <w:color w:val="auto"/>
          <w:sz w:val="20"/>
          <w:highlight w:val="none"/>
        </w:rPr>
      </w:pPr>
    </w:p>
    <w:sectPr>
      <w:pgSz w:w="11906" w:h="16838"/>
      <w:pgMar w:top="1440" w:right="1083" w:bottom="1440" w:left="1083"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DB17BE5-4969-463D-B443-194B7F3AEAAC}"/>
  </w:font>
  <w:font w:name="黑体">
    <w:panose1 w:val="02010609060101010101"/>
    <w:charset w:val="86"/>
    <w:family w:val="auto"/>
    <w:pitch w:val="default"/>
    <w:sig w:usb0="800002BF" w:usb1="38CF7CFA" w:usb2="00000016" w:usb3="00000000" w:csb0="00040001" w:csb1="00000000"/>
    <w:embedRegular r:id="rId2" w:fontKey="{A288B7E3-EE5D-4934-B2D9-4B3E59F8966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24C3D0FD-859A-4A61-9D0A-6619A6F88885}"/>
  </w:font>
  <w:font w:name="幼圆">
    <w:altName w:val="宋体"/>
    <w:panose1 w:val="02010509060101010101"/>
    <w:charset w:val="86"/>
    <w:family w:val="modern"/>
    <w:pitch w:val="default"/>
    <w:sig w:usb0="00000000" w:usb1="00000000" w:usb2="00000000" w:usb3="00000000" w:csb0="00040000" w:csb1="00000000"/>
  </w:font>
  <w:font w:name="仿宋_GB2312">
    <w:panose1 w:val="02010609030101010101"/>
    <w:charset w:val="86"/>
    <w:family w:val="roman"/>
    <w:pitch w:val="default"/>
    <w:sig w:usb0="00000001" w:usb1="080E0000" w:usb2="00000000" w:usb3="00000000" w:csb0="00040000" w:csb1="00000000"/>
    <w:embedRegular r:id="rId4" w:fontKey="{5FF5C9F0-4FA6-43F4-BB1A-B97FA4B867AC}"/>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Univers LT Std 45 Light">
    <w:altName w:val="宋体"/>
    <w:panose1 w:val="00000000000000000000"/>
    <w:charset w:val="00"/>
    <w:family w:val="roman"/>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
    <w:altName w:val="宋体"/>
    <w:panose1 w:val="00000000000000000000"/>
    <w:charset w:val="00"/>
    <w:family w:val="roman"/>
    <w:pitch w:val="default"/>
    <w:sig w:usb0="00000000" w:usb1="00000000" w:usb2="00000000" w:usb3="00000000" w:csb0="00000000" w:csb1="00000000"/>
  </w:font>
  <w:font w:name="Times">
    <w:altName w:val="Times New Roman"/>
    <w:panose1 w:val="02020603050405020304"/>
    <w:charset w:val="00"/>
    <w:family w:val="roman"/>
    <w:pitch w:val="default"/>
    <w:sig w:usb0="00000000" w:usb1="00000000" w:usb2="00000000" w:usb3="00000000" w:csb0="00000000" w:csb1="00000000"/>
  </w:font>
  <w:font w:name="Arial Unicode MS">
    <w:altName w:val="宋体"/>
    <w:panose1 w:val="020B0604020202020204"/>
    <w:charset w:val="86"/>
    <w:family w:val="roman"/>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Helvetica-Light">
    <w:altName w:val="Arial"/>
    <w:panose1 w:val="00000000000000000000"/>
    <w:charset w:val="00"/>
    <w:family w:val="roman"/>
    <w:pitch w:val="default"/>
    <w:sig w:usb0="00000000" w:usb1="00000000" w:usb2="00000000" w:usb3="00000000" w:csb0="00000000" w:csb1="00000000"/>
  </w:font>
  <w:font w:name="Book Antiqua">
    <w:altName w:val="Segoe Print"/>
    <w:panose1 w:val="02040602050305030304"/>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Kingsoft Phonetic Plain">
    <w:altName w:val="Times New Roman"/>
    <w:panose1 w:val="00000000000000000000"/>
    <w:charset w:val="00"/>
    <w:family w:val="roman"/>
    <w:pitch w:val="default"/>
    <w:sig w:usb0="00000000" w:usb1="00000000" w:usb2="00000000" w:usb3="00000000" w:csb0="00000000" w:csb1="00000000"/>
  </w:font>
  <w:font w:name="Helvetica">
    <w:altName w:val="Arial"/>
    <w:panose1 w:val="020B0504020202020204"/>
    <w:charset w:val="00"/>
    <w:family w:val="swiss"/>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仿宋">
    <w:panose1 w:val="02010609060101010101"/>
    <w:charset w:val="86"/>
    <w:family w:val="modern"/>
    <w:pitch w:val="default"/>
    <w:sig w:usb0="800002BF" w:usb1="38CF7CFA" w:usb2="00000016" w:usb3="00000000" w:csb0="00040001" w:csb1="00000000"/>
    <w:embedRegular r:id="rId5" w:fontKey="{F1DD3909-D1CB-4A16-A859-97095427ABBC}"/>
  </w:font>
  <w:font w:name="WPSEMBED7">
    <w:panose1 w:val="02010609030101010101"/>
    <w:charset w:val="86"/>
    <w:family w:val="auto"/>
    <w:pitch w:val="default"/>
    <w:sig w:usb0="00000001" w:usb1="080E0000" w:usb2="00000000" w:usb3="00000000" w:csb0="00040000" w:csb1="00000000"/>
  </w:font>
  <w:font w:name="方正大标宋简体">
    <w:altName w:val="微软雅黑"/>
    <w:panose1 w:val="02000000000000000000"/>
    <w:charset w:val="86"/>
    <w:family w:val="script"/>
    <w:pitch w:val="default"/>
    <w:sig w:usb0="00000000" w:usb1="00000000" w:usb2="00000012" w:usb3="00000000" w:csb0="00040001" w:csb1="00000000"/>
    <w:embedRegular r:id="rId6" w:fontKey="{CE4C2F36-538C-4E3D-AB43-6CBCC646EBEE}"/>
  </w:font>
  <w:font w:name="微软雅黑">
    <w:panose1 w:val="020B0503020204020204"/>
    <w:charset w:val="86"/>
    <w:family w:val="auto"/>
    <w:pitch w:val="default"/>
    <w:sig w:usb0="80000287" w:usb1="2ACF3C50" w:usb2="00000016" w:usb3="00000000" w:csb0="0004001F" w:csb1="00000000"/>
  </w:font>
  <w:font w:name="方正小标宋简体">
    <w:panose1 w:val="02000000000000000000"/>
    <w:charset w:val="86"/>
    <w:family w:val="auto"/>
    <w:pitch w:val="default"/>
    <w:sig w:usb0="00000001" w:usb1="08000000" w:usb2="00000000" w:usb3="00000000" w:csb0="00040000" w:csb1="00000000"/>
    <w:embedRegular r:id="rId7" w:fontKey="{1269566A-B430-4CC5-A932-2FC7B98F7AE9}"/>
  </w:font>
  <w:font w:name="方正魏碑_GBK">
    <w:altName w:val="宋体"/>
    <w:panose1 w:val="03000509000000000000"/>
    <w:charset w:val="86"/>
    <w:family w:val="script"/>
    <w:pitch w:val="default"/>
    <w:sig w:usb0="00000000" w:usb1="00000000" w:usb2="00000010" w:usb3="00000000" w:csb0="00040000" w:csb1="00000000"/>
    <w:embedRegular r:id="rId8" w:fontKey="{382BDC35-9569-4A45-95E2-D7F43692EF19}"/>
  </w:font>
  <w:font w:name="WPSEMBED8">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9C2335">
    <w:pPr>
      <w:pStyle w:val="248"/>
      <w:jc w:val="center"/>
    </w:pPr>
  </w:p>
  <w:p w14:paraId="41FF7A00">
    <w:pPr>
      <w:pStyle w:val="24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1C4331">
    <w:pPr>
      <w:pStyle w:val="248"/>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599520">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E599520">
                    <w:pPr>
                      <w:pStyle w:val="22"/>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DCCFFB9"/>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KEcXdQBAACnAwAADgAAAGRycy9lMm9Eb2MueG1srVNLjtswDN0X6B0E&#10;7Rs7AaY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NShHF3UAQAApwMAAA4AAAAAAAAAAQAgAAAAHgEA&#10;AGRycy9lMm9Eb2MueG1sUEsFBgAAAAAGAAYAWQEAAGQFAAAAAA==&#10;">
              <v:fill on="f" focussize="0,0"/>
              <v:stroke on="f"/>
              <v:imagedata o:title=""/>
              <o:lock v:ext="edit" aspectratio="f"/>
              <v:textbox inset="0mm,0mm,0mm,0mm" style="mso-fit-shape-to-text:t;">
                <w:txbxContent>
                  <w:p w14:paraId="7DCCFFB9"/>
                </w:txbxContent>
              </v:textbox>
            </v:shape>
          </w:pict>
        </mc:Fallback>
      </mc:AlternateContent>
    </w:r>
  </w:p>
  <w:p w14:paraId="60F73677">
    <w:pPr>
      <w:pStyle w:val="248"/>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40DB2F"/>
    <w:multiLevelType w:val="singleLevel"/>
    <w:tmpl w:val="C140DB2F"/>
    <w:lvl w:ilvl="0" w:tentative="0">
      <w:start w:val="4"/>
      <w:numFmt w:val="chineseCounting"/>
      <w:suff w:val="space"/>
      <w:lvlText w:val="第%1部分"/>
      <w:lvlJc w:val="left"/>
      <w:pPr>
        <w:ind w:left="3270" w:leftChars="0" w:firstLine="0" w:firstLineChars="0"/>
      </w:pPr>
      <w:rPr>
        <w:rFonts w:hint="eastAsia"/>
      </w:rPr>
    </w:lvl>
  </w:abstractNum>
  <w:abstractNum w:abstractNumId="1">
    <w:nsid w:val="DCF873AA"/>
    <w:multiLevelType w:val="singleLevel"/>
    <w:tmpl w:val="DCF873AA"/>
    <w:lvl w:ilvl="0" w:tentative="0">
      <w:start w:val="6"/>
      <w:numFmt w:val="chineseCounting"/>
      <w:suff w:val="nothing"/>
      <w:lvlText w:val="%1、"/>
      <w:lvlJc w:val="left"/>
      <w:rPr>
        <w:rFonts w:hint="eastAsia"/>
      </w:rPr>
    </w:lvl>
  </w:abstractNum>
  <w:abstractNum w:abstractNumId="2">
    <w:nsid w:val="E1DDD29A"/>
    <w:multiLevelType w:val="singleLevel"/>
    <w:tmpl w:val="E1DDD29A"/>
    <w:lvl w:ilvl="0" w:tentative="0">
      <w:start w:val="1"/>
      <w:numFmt w:val="decimal"/>
      <w:lvlText w:val="%1."/>
      <w:lvlJc w:val="left"/>
      <w:pPr>
        <w:tabs>
          <w:tab w:val="left" w:pos="312"/>
        </w:tabs>
      </w:pPr>
    </w:lvl>
  </w:abstractNum>
  <w:abstractNum w:abstractNumId="3">
    <w:nsid w:val="00000001"/>
    <w:multiLevelType w:val="multilevel"/>
    <w:tmpl w:val="00000001"/>
    <w:lvl w:ilvl="0" w:tentative="0">
      <w:start w:val="1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000003"/>
    <w:multiLevelType w:val="multilevel"/>
    <w:tmpl w:val="00000003"/>
    <w:lvl w:ilvl="0" w:tentative="0">
      <w:start w:val="1"/>
      <w:numFmt w:val="decimal"/>
      <w:pStyle w:val="643"/>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tentative="0">
      <w:start w:val="1"/>
      <w:numFmt w:val="decimal"/>
      <w:pStyle w:val="642"/>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tentative="0">
      <w:start w:val="1"/>
      <w:numFmt w:val="decimal"/>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tentative="0">
      <w:start w:val="1"/>
      <w:numFmt w:val="decimal"/>
      <w:lvlText w:val="%1.%2.%3.%4."/>
      <w:lvlJc w:val="left"/>
      <w:pPr>
        <w:ind w:left="1418" w:hanging="1021"/>
      </w:pPr>
      <w:rPr>
        <w:rFonts w:ascii="Arial Narrow" w:hAnsi="Arial Narrow" w:eastAsia="宋体" w:cs="宋体"/>
        <w:b w:val="0"/>
      </w:rPr>
    </w:lvl>
    <w:lvl w:ilvl="4" w:tentative="0">
      <w:start w:val="1"/>
      <w:numFmt w:val="decimal"/>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tentative="0">
      <w:start w:val="1"/>
      <w:numFmt w:val="decimal"/>
      <w:lvlText w:val="%1.%2.%3.%4.%5.%6."/>
      <w:lvlJc w:val="left"/>
      <w:pPr>
        <w:ind w:left="1418" w:hanging="1021"/>
      </w:pPr>
    </w:lvl>
    <w:lvl w:ilvl="6" w:tentative="0">
      <w:start w:val="1"/>
      <w:numFmt w:val="decimal"/>
      <w:lvlText w:val="%1.%2.%3.%4.%5.%6.%7."/>
      <w:lvlJc w:val="left"/>
      <w:pPr>
        <w:ind w:left="1418" w:hanging="1021"/>
      </w:pPr>
    </w:lvl>
    <w:lvl w:ilvl="7" w:tentative="0">
      <w:start w:val="1"/>
      <w:numFmt w:val="decimal"/>
      <w:lvlText w:val="%1.%2.%3.%4.%5.%6.%7.%8."/>
      <w:lvlJc w:val="left"/>
      <w:pPr>
        <w:ind w:left="1418" w:hanging="1021"/>
      </w:pPr>
    </w:lvl>
    <w:lvl w:ilvl="8" w:tentative="0">
      <w:start w:val="1"/>
      <w:numFmt w:val="decimal"/>
      <w:lvlText w:val="%1.%2.%3.%4.%5.%6.%7.%8.%9."/>
      <w:lvlJc w:val="left"/>
      <w:pPr>
        <w:ind w:left="1418" w:hanging="1021"/>
      </w:pPr>
    </w:lvl>
  </w:abstractNum>
  <w:abstractNum w:abstractNumId="5">
    <w:nsid w:val="00000004"/>
    <w:multiLevelType w:val="multilevel"/>
    <w:tmpl w:val="00000004"/>
    <w:lvl w:ilvl="0" w:tentative="0">
      <w:start w:val="1"/>
      <w:numFmt w:val="bullet"/>
      <w:lvlText w:val=""/>
      <w:lvlJc w:val="left"/>
      <w:pPr>
        <w:tabs>
          <w:tab w:val="left" w:pos="900"/>
        </w:tabs>
        <w:ind w:left="900" w:hanging="420"/>
      </w:pPr>
      <w:rPr>
        <w:rFonts w:ascii="Wingdings" w:hAnsi="Wingdings"/>
      </w:rPr>
    </w:lvl>
    <w:lvl w:ilvl="1" w:tentative="0">
      <w:start w:val="1"/>
      <w:numFmt w:val="bullet"/>
      <w:lvlText w:val=""/>
      <w:lvlJc w:val="left"/>
      <w:pPr>
        <w:tabs>
          <w:tab w:val="left" w:pos="0"/>
        </w:tabs>
        <w:ind w:left="1320" w:hanging="420"/>
      </w:pPr>
      <w:rPr>
        <w:rFonts w:ascii="Wingdings" w:hAnsi="Wingdings"/>
      </w:rPr>
    </w:lvl>
    <w:lvl w:ilvl="2" w:tentative="0">
      <w:start w:val="1"/>
      <w:numFmt w:val="bullet"/>
      <w:pStyle w:val="453"/>
      <w:lvlText w:val=""/>
      <w:lvlJc w:val="left"/>
      <w:pPr>
        <w:tabs>
          <w:tab w:val="left" w:pos="0"/>
        </w:tabs>
        <w:ind w:left="1740" w:hanging="420"/>
      </w:pPr>
      <w:rPr>
        <w:rFonts w:ascii="Wingdings" w:hAnsi="Wingdings"/>
      </w:rPr>
    </w:lvl>
    <w:lvl w:ilvl="3" w:tentative="0">
      <w:start w:val="1"/>
      <w:numFmt w:val="bullet"/>
      <w:lvlText w:val=""/>
      <w:lvlJc w:val="left"/>
      <w:pPr>
        <w:tabs>
          <w:tab w:val="left" w:pos="0"/>
        </w:tabs>
        <w:ind w:left="2160" w:hanging="420"/>
      </w:pPr>
      <w:rPr>
        <w:rFonts w:ascii="Wingdings" w:hAnsi="Wingdings"/>
      </w:rPr>
    </w:lvl>
    <w:lvl w:ilvl="4" w:tentative="0">
      <w:start w:val="1"/>
      <w:numFmt w:val="bullet"/>
      <w:lvlText w:val=""/>
      <w:lvlJc w:val="left"/>
      <w:pPr>
        <w:tabs>
          <w:tab w:val="left" w:pos="0"/>
        </w:tabs>
        <w:ind w:left="2580" w:hanging="420"/>
      </w:pPr>
      <w:rPr>
        <w:rFonts w:ascii="Wingdings" w:hAnsi="Wingdings"/>
      </w:rPr>
    </w:lvl>
    <w:lvl w:ilvl="5" w:tentative="0">
      <w:start w:val="1"/>
      <w:numFmt w:val="bullet"/>
      <w:lvlText w:val=""/>
      <w:lvlJc w:val="left"/>
      <w:pPr>
        <w:tabs>
          <w:tab w:val="left" w:pos="0"/>
        </w:tabs>
        <w:ind w:left="3000" w:hanging="420"/>
      </w:pPr>
      <w:rPr>
        <w:rFonts w:ascii="Wingdings" w:hAnsi="Wingdings"/>
      </w:rPr>
    </w:lvl>
    <w:lvl w:ilvl="6" w:tentative="0">
      <w:start w:val="1"/>
      <w:numFmt w:val="bullet"/>
      <w:lvlText w:val=""/>
      <w:lvlJc w:val="left"/>
      <w:pPr>
        <w:tabs>
          <w:tab w:val="left" w:pos="0"/>
        </w:tabs>
        <w:ind w:left="3420" w:hanging="420"/>
      </w:pPr>
      <w:rPr>
        <w:rFonts w:ascii="Wingdings" w:hAnsi="Wingdings"/>
      </w:rPr>
    </w:lvl>
    <w:lvl w:ilvl="7" w:tentative="0">
      <w:start w:val="1"/>
      <w:numFmt w:val="bullet"/>
      <w:lvlText w:val=""/>
      <w:lvlJc w:val="left"/>
      <w:pPr>
        <w:tabs>
          <w:tab w:val="left" w:pos="0"/>
        </w:tabs>
        <w:ind w:left="3840" w:hanging="420"/>
      </w:pPr>
      <w:rPr>
        <w:rFonts w:ascii="Wingdings" w:hAnsi="Wingdings"/>
      </w:rPr>
    </w:lvl>
    <w:lvl w:ilvl="8" w:tentative="0">
      <w:start w:val="1"/>
      <w:numFmt w:val="bullet"/>
      <w:lvlText w:val=""/>
      <w:lvlJc w:val="left"/>
      <w:pPr>
        <w:tabs>
          <w:tab w:val="left" w:pos="0"/>
        </w:tabs>
        <w:ind w:left="4260" w:hanging="420"/>
      </w:pPr>
      <w:rPr>
        <w:rFonts w:ascii="Wingdings" w:hAnsi="Wingdings"/>
      </w:rPr>
    </w:lvl>
  </w:abstractNum>
  <w:abstractNum w:abstractNumId="6">
    <w:nsid w:val="00000005"/>
    <w:multiLevelType w:val="multilevel"/>
    <w:tmpl w:val="00000005"/>
    <w:lvl w:ilvl="0" w:tentative="0">
      <w:start w:val="1"/>
      <w:numFmt w:val="decimal"/>
      <w:lvlText w:val="%1、"/>
      <w:lvlJc w:val="left"/>
      <w:pPr>
        <w:tabs>
          <w:tab w:val="left" w:pos="840"/>
        </w:tabs>
        <w:ind w:left="840" w:hanging="420"/>
      </w:pPr>
      <w:rPr>
        <w:rFonts w:hint="eastAsia"/>
      </w:rPr>
    </w:lvl>
    <w:lvl w:ilvl="1" w:tentative="0">
      <w:start w:val="1"/>
      <w:numFmt w:val="lowerLetter"/>
      <w:lvlText w:val="%2)"/>
      <w:lvlJc w:val="left"/>
      <w:pPr>
        <w:tabs>
          <w:tab w:val="left" w:pos="1260"/>
        </w:tabs>
        <w:ind w:left="1260" w:hanging="420"/>
      </w:pPr>
    </w:lvl>
    <w:lvl w:ilvl="2" w:tentative="0">
      <w:start w:val="1"/>
      <w:numFmt w:val="lowerRoman"/>
      <w:pStyle w:val="452"/>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7">
    <w:nsid w:val="00000007"/>
    <w:multiLevelType w:val="multilevel"/>
    <w:tmpl w:val="00000007"/>
    <w:lvl w:ilvl="0" w:tentative="0">
      <w:start w:val="29"/>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00000008"/>
    <w:multiLevelType w:val="multilevel"/>
    <w:tmpl w:val="00000008"/>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00000009"/>
    <w:multiLevelType w:val="multilevel"/>
    <w:tmpl w:val="00000009"/>
    <w:lvl w:ilvl="0" w:tentative="0">
      <w:start w:val="1"/>
      <w:numFmt w:val="decimal"/>
      <w:suff w:val="nothing"/>
      <w:lvlText w:val="%1．"/>
      <w:lvlJc w:val="left"/>
      <w:pPr>
        <w:ind w:left="0" w:firstLine="40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0000000A"/>
    <w:multiLevelType w:val="multilevel"/>
    <w:tmpl w:val="0000000A"/>
    <w:lvl w:ilvl="0" w:tentative="0">
      <w:start w:val="1"/>
      <w:numFmt w:val="bullet"/>
      <w:pStyle w:val="494"/>
      <w:lvlText w:val="◆"/>
      <w:lvlJc w:val="left"/>
      <w:pPr>
        <w:tabs>
          <w:tab w:val="left" w:pos="930"/>
        </w:tabs>
        <w:ind w:left="930" w:hanging="210"/>
      </w:pPr>
      <w:rPr>
        <w:rFonts w:hint="eastAsia" w:ascii="宋体" w:hAnsi="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0000000B"/>
    <w:multiLevelType w:val="multilevel"/>
    <w:tmpl w:val="0000000B"/>
    <w:lvl w:ilvl="0" w:tentative="0">
      <w:start w:val="5"/>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10"/>
  </w:num>
  <w:num w:numId="4">
    <w:abstractNumId w:val="4"/>
  </w:num>
  <w:num w:numId="5">
    <w:abstractNumId w:val="1"/>
  </w:num>
  <w:num w:numId="6">
    <w:abstractNumId w:val="3"/>
  </w:num>
  <w:num w:numId="7">
    <w:abstractNumId w:val="7"/>
  </w:num>
  <w:num w:numId="8">
    <w:abstractNumId w:val="0"/>
  </w:num>
  <w:num w:numId="9">
    <w:abstractNumId w:val="11"/>
  </w:num>
  <w:num w:numId="10">
    <w:abstractNumId w:val="9"/>
    <w:lvlOverride w:ilvl="0">
      <w:startOverride w:val="1"/>
    </w:lvlOverride>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29A"/>
    <w:rsid w:val="00006D06"/>
    <w:rsid w:val="0001003E"/>
    <w:rsid w:val="00194EE5"/>
    <w:rsid w:val="002270A3"/>
    <w:rsid w:val="002C0AC5"/>
    <w:rsid w:val="003F77F2"/>
    <w:rsid w:val="004F529A"/>
    <w:rsid w:val="005D3B35"/>
    <w:rsid w:val="00630CAE"/>
    <w:rsid w:val="00684A25"/>
    <w:rsid w:val="0069043E"/>
    <w:rsid w:val="008E4EBB"/>
    <w:rsid w:val="00A255D7"/>
    <w:rsid w:val="00A6244D"/>
    <w:rsid w:val="00AA22E8"/>
    <w:rsid w:val="00BC1B9A"/>
    <w:rsid w:val="00CD6E18"/>
    <w:rsid w:val="00DF3269"/>
    <w:rsid w:val="00F657B1"/>
    <w:rsid w:val="017B3FF0"/>
    <w:rsid w:val="01E13FA6"/>
    <w:rsid w:val="01F9035B"/>
    <w:rsid w:val="03D33559"/>
    <w:rsid w:val="03F51722"/>
    <w:rsid w:val="051756C8"/>
    <w:rsid w:val="05263B5D"/>
    <w:rsid w:val="062D40F8"/>
    <w:rsid w:val="070A5FF1"/>
    <w:rsid w:val="073B3E66"/>
    <w:rsid w:val="082422EC"/>
    <w:rsid w:val="0849203C"/>
    <w:rsid w:val="08760957"/>
    <w:rsid w:val="091361A6"/>
    <w:rsid w:val="098C0C91"/>
    <w:rsid w:val="098F0092"/>
    <w:rsid w:val="0A935BBD"/>
    <w:rsid w:val="0B732F2C"/>
    <w:rsid w:val="0CEB1914"/>
    <w:rsid w:val="0CF462EF"/>
    <w:rsid w:val="0D49488C"/>
    <w:rsid w:val="0DD24162"/>
    <w:rsid w:val="0EDB520B"/>
    <w:rsid w:val="0EE7435D"/>
    <w:rsid w:val="0EE74839"/>
    <w:rsid w:val="0FE63B23"/>
    <w:rsid w:val="100C2074"/>
    <w:rsid w:val="10B70EC0"/>
    <w:rsid w:val="10B9797C"/>
    <w:rsid w:val="11421D1E"/>
    <w:rsid w:val="11812847"/>
    <w:rsid w:val="119A14B6"/>
    <w:rsid w:val="11BE40F6"/>
    <w:rsid w:val="12977E48"/>
    <w:rsid w:val="130F5C30"/>
    <w:rsid w:val="1439793E"/>
    <w:rsid w:val="14572E89"/>
    <w:rsid w:val="156B3533"/>
    <w:rsid w:val="15897F1C"/>
    <w:rsid w:val="15D53161"/>
    <w:rsid w:val="17D31922"/>
    <w:rsid w:val="185A794E"/>
    <w:rsid w:val="18EA1860"/>
    <w:rsid w:val="19BB16BF"/>
    <w:rsid w:val="19C332D1"/>
    <w:rsid w:val="1AD4462B"/>
    <w:rsid w:val="1BBA200E"/>
    <w:rsid w:val="1CEF6CCD"/>
    <w:rsid w:val="1D1125A5"/>
    <w:rsid w:val="1D8A2A83"/>
    <w:rsid w:val="1DDB1D29"/>
    <w:rsid w:val="1E7E7ACB"/>
    <w:rsid w:val="1F0D396C"/>
    <w:rsid w:val="1F233BCD"/>
    <w:rsid w:val="1F443106"/>
    <w:rsid w:val="1FB01B57"/>
    <w:rsid w:val="1FB47E5A"/>
    <w:rsid w:val="20A53730"/>
    <w:rsid w:val="21E351C0"/>
    <w:rsid w:val="22AC4A6F"/>
    <w:rsid w:val="23126EFB"/>
    <w:rsid w:val="23BD17E3"/>
    <w:rsid w:val="23E82104"/>
    <w:rsid w:val="24194B61"/>
    <w:rsid w:val="243948BB"/>
    <w:rsid w:val="248A1E01"/>
    <w:rsid w:val="24AE34FB"/>
    <w:rsid w:val="254A443E"/>
    <w:rsid w:val="263F23CC"/>
    <w:rsid w:val="268358FB"/>
    <w:rsid w:val="27AE3812"/>
    <w:rsid w:val="27B8643F"/>
    <w:rsid w:val="27CB6172"/>
    <w:rsid w:val="27CB7F20"/>
    <w:rsid w:val="28081174"/>
    <w:rsid w:val="28CB797A"/>
    <w:rsid w:val="28CE644C"/>
    <w:rsid w:val="29144155"/>
    <w:rsid w:val="299D769A"/>
    <w:rsid w:val="29AC1FD3"/>
    <w:rsid w:val="2A202079"/>
    <w:rsid w:val="2A7A6113"/>
    <w:rsid w:val="2AAE2702"/>
    <w:rsid w:val="2B512E32"/>
    <w:rsid w:val="2C1F6A8C"/>
    <w:rsid w:val="2E277E7A"/>
    <w:rsid w:val="2E3F0BEE"/>
    <w:rsid w:val="2E5642BC"/>
    <w:rsid w:val="2E6D7F83"/>
    <w:rsid w:val="2EE45BBD"/>
    <w:rsid w:val="2EE75FC0"/>
    <w:rsid w:val="2FD73D42"/>
    <w:rsid w:val="30442F65"/>
    <w:rsid w:val="31BC077C"/>
    <w:rsid w:val="320769C1"/>
    <w:rsid w:val="327F64D7"/>
    <w:rsid w:val="33087E99"/>
    <w:rsid w:val="33125987"/>
    <w:rsid w:val="333A53BA"/>
    <w:rsid w:val="335A65FC"/>
    <w:rsid w:val="341B3FDD"/>
    <w:rsid w:val="341E4033"/>
    <w:rsid w:val="360040A7"/>
    <w:rsid w:val="3674681F"/>
    <w:rsid w:val="36851E1B"/>
    <w:rsid w:val="36A23F29"/>
    <w:rsid w:val="36AF3861"/>
    <w:rsid w:val="38A327F3"/>
    <w:rsid w:val="38CD2279"/>
    <w:rsid w:val="393001E0"/>
    <w:rsid w:val="393D67A4"/>
    <w:rsid w:val="3A053765"/>
    <w:rsid w:val="3A483652"/>
    <w:rsid w:val="3A500759"/>
    <w:rsid w:val="3A986B49"/>
    <w:rsid w:val="3AA03137"/>
    <w:rsid w:val="3AF44AC4"/>
    <w:rsid w:val="3C016074"/>
    <w:rsid w:val="3D3C7832"/>
    <w:rsid w:val="3DEE62BF"/>
    <w:rsid w:val="3E594080"/>
    <w:rsid w:val="3F516B05"/>
    <w:rsid w:val="3F76656C"/>
    <w:rsid w:val="3FCC6AD3"/>
    <w:rsid w:val="403B0B6F"/>
    <w:rsid w:val="407D392A"/>
    <w:rsid w:val="417608CD"/>
    <w:rsid w:val="41AA2E44"/>
    <w:rsid w:val="42F00D2B"/>
    <w:rsid w:val="431D1A82"/>
    <w:rsid w:val="443C4228"/>
    <w:rsid w:val="45D16BF2"/>
    <w:rsid w:val="483A7FA2"/>
    <w:rsid w:val="48FD7CFE"/>
    <w:rsid w:val="49647D7D"/>
    <w:rsid w:val="498E0956"/>
    <w:rsid w:val="4A6A4F1F"/>
    <w:rsid w:val="4AE7656F"/>
    <w:rsid w:val="4AFE1FCE"/>
    <w:rsid w:val="4BFA0524"/>
    <w:rsid w:val="4C417657"/>
    <w:rsid w:val="4C586E50"/>
    <w:rsid w:val="4C6562E6"/>
    <w:rsid w:val="4CD64AED"/>
    <w:rsid w:val="4CE20586"/>
    <w:rsid w:val="4DA4611B"/>
    <w:rsid w:val="4E487C6D"/>
    <w:rsid w:val="4E557C94"/>
    <w:rsid w:val="4F1A6654"/>
    <w:rsid w:val="4FB21842"/>
    <w:rsid w:val="50055E16"/>
    <w:rsid w:val="500D00E6"/>
    <w:rsid w:val="50D43A3A"/>
    <w:rsid w:val="5187285A"/>
    <w:rsid w:val="52065E75"/>
    <w:rsid w:val="522D1654"/>
    <w:rsid w:val="539A1CC6"/>
    <w:rsid w:val="555B3843"/>
    <w:rsid w:val="557C1FAA"/>
    <w:rsid w:val="55943104"/>
    <w:rsid w:val="56290384"/>
    <w:rsid w:val="56C35564"/>
    <w:rsid w:val="56C92E12"/>
    <w:rsid w:val="572C1D1B"/>
    <w:rsid w:val="57AA1051"/>
    <w:rsid w:val="57F6575D"/>
    <w:rsid w:val="580F7106"/>
    <w:rsid w:val="58443253"/>
    <w:rsid w:val="58575AE7"/>
    <w:rsid w:val="59352B9C"/>
    <w:rsid w:val="5A0918AF"/>
    <w:rsid w:val="5AC34E7F"/>
    <w:rsid w:val="5AE90FB3"/>
    <w:rsid w:val="5B804AA7"/>
    <w:rsid w:val="5B995E09"/>
    <w:rsid w:val="5C272C70"/>
    <w:rsid w:val="5C5B0B6B"/>
    <w:rsid w:val="5C757E7F"/>
    <w:rsid w:val="5CBB785C"/>
    <w:rsid w:val="5CD31049"/>
    <w:rsid w:val="5D041203"/>
    <w:rsid w:val="5D1D1ECF"/>
    <w:rsid w:val="5D481CFD"/>
    <w:rsid w:val="5D753EAF"/>
    <w:rsid w:val="5EAE1F6A"/>
    <w:rsid w:val="5F0A2231"/>
    <w:rsid w:val="5F3009E4"/>
    <w:rsid w:val="5F3833E6"/>
    <w:rsid w:val="5FD27396"/>
    <w:rsid w:val="60A53C58"/>
    <w:rsid w:val="60D86C2E"/>
    <w:rsid w:val="6110461A"/>
    <w:rsid w:val="61D218D0"/>
    <w:rsid w:val="62056281"/>
    <w:rsid w:val="6208709F"/>
    <w:rsid w:val="63117482"/>
    <w:rsid w:val="63E47698"/>
    <w:rsid w:val="648A46E4"/>
    <w:rsid w:val="650E0E71"/>
    <w:rsid w:val="65EB7404"/>
    <w:rsid w:val="665D1B75"/>
    <w:rsid w:val="666F1DE3"/>
    <w:rsid w:val="67362901"/>
    <w:rsid w:val="6796514D"/>
    <w:rsid w:val="69252C2D"/>
    <w:rsid w:val="69713E8B"/>
    <w:rsid w:val="6B735ED1"/>
    <w:rsid w:val="6C72786C"/>
    <w:rsid w:val="6C933009"/>
    <w:rsid w:val="6CC22541"/>
    <w:rsid w:val="6CF35147"/>
    <w:rsid w:val="6D3D5539"/>
    <w:rsid w:val="6DA46816"/>
    <w:rsid w:val="6DC960AE"/>
    <w:rsid w:val="6EE51773"/>
    <w:rsid w:val="6FD64C81"/>
    <w:rsid w:val="70AB7EBB"/>
    <w:rsid w:val="70ED7A47"/>
    <w:rsid w:val="710A268A"/>
    <w:rsid w:val="71327C95"/>
    <w:rsid w:val="717E112C"/>
    <w:rsid w:val="724D0D96"/>
    <w:rsid w:val="725B1516"/>
    <w:rsid w:val="73CD2219"/>
    <w:rsid w:val="75907680"/>
    <w:rsid w:val="75A0590A"/>
    <w:rsid w:val="763F450F"/>
    <w:rsid w:val="76C83BD2"/>
    <w:rsid w:val="770C35E3"/>
    <w:rsid w:val="775C1F10"/>
    <w:rsid w:val="775D3592"/>
    <w:rsid w:val="77AE5625"/>
    <w:rsid w:val="78777055"/>
    <w:rsid w:val="787943FB"/>
    <w:rsid w:val="788A2425"/>
    <w:rsid w:val="789D27E0"/>
    <w:rsid w:val="79001555"/>
    <w:rsid w:val="799040F2"/>
    <w:rsid w:val="7A67535F"/>
    <w:rsid w:val="7B560A24"/>
    <w:rsid w:val="7C547659"/>
    <w:rsid w:val="7C63164A"/>
    <w:rsid w:val="7D6507AA"/>
    <w:rsid w:val="7DC9372F"/>
    <w:rsid w:val="7DF734B5"/>
    <w:rsid w:val="7E200B07"/>
    <w:rsid w:val="7E786F03"/>
    <w:rsid w:val="7EAA3560"/>
    <w:rsid w:val="7F8F6BFA"/>
    <w:rsid w:val="7FE00C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nhideWhenUsed="0" w:uiPriority="99" w:semiHidden="0"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uiPriority="99" w:name="page number"/>
    <w:lsdException w:qFormat="1" w:unhideWhenUsed="0" w:uiPriority="99" w:semiHidden="0" w:name="endnote reference"/>
    <w:lsdException w:qFormat="1" w:unhideWhenUsed="0"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lang w:val="en-US" w:eastAsia="zh-CN" w:bidi="ar-SA"/>
    </w:rPr>
  </w:style>
  <w:style w:type="paragraph" w:styleId="2">
    <w:name w:val="heading 1"/>
    <w:basedOn w:val="1"/>
    <w:next w:val="1"/>
    <w:link w:val="8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4"/>
    <w:semiHidden/>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semiHidden/>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semiHidden/>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81"/>
    <w:semiHidden/>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82"/>
    <w:semiHidden/>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83"/>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link w:val="84"/>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85"/>
    <w:qFormat/>
    <w:uiPriority w:val="9"/>
    <w:pPr>
      <w:keepNext/>
      <w:keepLines/>
      <w:spacing w:before="320" w:after="200"/>
      <w:outlineLvl w:val="8"/>
    </w:pPr>
    <w:rPr>
      <w:rFonts w:ascii="Arial" w:hAnsi="Arial" w:eastAsia="Arial" w:cs="Arial"/>
      <w:i/>
      <w:iCs/>
      <w:szCs w:val="21"/>
    </w:rPr>
  </w:style>
  <w:style w:type="character" w:default="1" w:styleId="36">
    <w:name w:val="Default Paragraph Font"/>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pPr>
  </w:style>
  <w:style w:type="paragraph" w:styleId="12">
    <w:name w:val="toc 7"/>
    <w:basedOn w:val="1"/>
    <w:next w:val="1"/>
    <w:qFormat/>
    <w:uiPriority w:val="39"/>
    <w:pPr>
      <w:spacing w:after="57"/>
      <w:ind w:left="1701"/>
    </w:pPr>
  </w:style>
  <w:style w:type="paragraph" w:styleId="13">
    <w:name w:val="caption"/>
    <w:basedOn w:val="1"/>
    <w:next w:val="1"/>
    <w:qFormat/>
    <w:uiPriority w:val="35"/>
    <w:pPr>
      <w:spacing w:line="276" w:lineRule="auto"/>
    </w:pPr>
    <w:rPr>
      <w:b/>
      <w:bCs/>
      <w:color w:val="4F81BD"/>
      <w:sz w:val="18"/>
      <w:szCs w:val="18"/>
    </w:rPr>
  </w:style>
  <w:style w:type="paragraph" w:styleId="14">
    <w:name w:val="annotation text"/>
    <w:basedOn w:val="1"/>
    <w:qFormat/>
    <w:uiPriority w:val="99"/>
    <w:pPr>
      <w:jc w:val="left"/>
    </w:pPr>
  </w:style>
  <w:style w:type="paragraph" w:styleId="15">
    <w:name w:val="Body Text"/>
    <w:basedOn w:val="1"/>
    <w:next w:val="1"/>
    <w:qFormat/>
    <w:uiPriority w:val="0"/>
    <w:pPr>
      <w:spacing w:after="120"/>
    </w:pPr>
    <w:rPr>
      <w:rFonts w:eastAsia="Times New Roman"/>
    </w:rPr>
  </w:style>
  <w:style w:type="paragraph" w:styleId="16">
    <w:name w:val="Body Text Indent"/>
    <w:basedOn w:val="1"/>
    <w:link w:val="654"/>
    <w:qFormat/>
    <w:uiPriority w:val="99"/>
    <w:pPr>
      <w:spacing w:after="120"/>
      <w:ind w:left="420" w:leftChars="200"/>
    </w:pPr>
  </w:style>
  <w:style w:type="paragraph" w:styleId="17">
    <w:name w:val="toc 5"/>
    <w:basedOn w:val="1"/>
    <w:next w:val="1"/>
    <w:qFormat/>
    <w:uiPriority w:val="39"/>
    <w:pPr>
      <w:spacing w:after="57"/>
      <w:ind w:left="1134"/>
    </w:pPr>
  </w:style>
  <w:style w:type="paragraph" w:styleId="18">
    <w:name w:val="toc 3"/>
    <w:basedOn w:val="1"/>
    <w:next w:val="1"/>
    <w:qFormat/>
    <w:uiPriority w:val="39"/>
    <w:pPr>
      <w:spacing w:after="57"/>
      <w:ind w:left="567"/>
    </w:pPr>
  </w:style>
  <w:style w:type="paragraph" w:styleId="19">
    <w:name w:val="toc 8"/>
    <w:basedOn w:val="1"/>
    <w:next w:val="1"/>
    <w:qFormat/>
    <w:uiPriority w:val="39"/>
    <w:pPr>
      <w:spacing w:after="57"/>
      <w:ind w:left="1984"/>
    </w:pPr>
  </w:style>
  <w:style w:type="paragraph" w:styleId="20">
    <w:name w:val="Date"/>
    <w:basedOn w:val="1"/>
    <w:next w:val="1"/>
    <w:link w:val="652"/>
    <w:qFormat/>
    <w:uiPriority w:val="99"/>
    <w:pPr>
      <w:ind w:left="100"/>
    </w:pPr>
  </w:style>
  <w:style w:type="paragraph" w:styleId="21">
    <w:name w:val="endnote text"/>
    <w:basedOn w:val="1"/>
    <w:link w:val="201"/>
    <w:qFormat/>
    <w:uiPriority w:val="99"/>
    <w:rPr>
      <w:sz w:val="20"/>
    </w:rPr>
  </w:style>
  <w:style w:type="paragraph" w:styleId="22">
    <w:name w:val="footer"/>
    <w:basedOn w:val="1"/>
    <w:link w:val="93"/>
    <w:qFormat/>
    <w:uiPriority w:val="99"/>
    <w:pPr>
      <w:tabs>
        <w:tab w:val="center" w:pos="7143"/>
        <w:tab w:val="right" w:pos="14287"/>
      </w:tabs>
    </w:pPr>
  </w:style>
  <w:style w:type="paragraph" w:styleId="23">
    <w:name w:val="header"/>
    <w:basedOn w:val="1"/>
    <w:qFormat/>
    <w:uiPriority w:val="99"/>
    <w:pPr>
      <w:tabs>
        <w:tab w:val="center" w:pos="7143"/>
        <w:tab w:val="right" w:pos="14287"/>
      </w:tabs>
    </w:pPr>
  </w:style>
  <w:style w:type="paragraph" w:styleId="24">
    <w:name w:val="toc 1"/>
    <w:basedOn w:val="1"/>
    <w:next w:val="1"/>
    <w:qFormat/>
    <w:uiPriority w:val="39"/>
    <w:pPr>
      <w:spacing w:after="57"/>
    </w:pPr>
  </w:style>
  <w:style w:type="paragraph" w:styleId="25">
    <w:name w:val="toc 4"/>
    <w:basedOn w:val="1"/>
    <w:next w:val="1"/>
    <w:qFormat/>
    <w:uiPriority w:val="39"/>
    <w:pPr>
      <w:spacing w:after="57"/>
      <w:ind w:left="850"/>
    </w:pPr>
  </w:style>
  <w:style w:type="paragraph" w:styleId="26">
    <w:name w:val="Subtitle"/>
    <w:basedOn w:val="1"/>
    <w:next w:val="1"/>
    <w:link w:val="88"/>
    <w:qFormat/>
    <w:uiPriority w:val="11"/>
    <w:pPr>
      <w:spacing w:before="200" w:after="200"/>
    </w:pPr>
    <w:rPr>
      <w:sz w:val="24"/>
      <w:szCs w:val="24"/>
    </w:rPr>
  </w:style>
  <w:style w:type="paragraph" w:styleId="27">
    <w:name w:val="footnote text"/>
    <w:basedOn w:val="1"/>
    <w:link w:val="200"/>
    <w:qFormat/>
    <w:uiPriority w:val="0"/>
    <w:pPr>
      <w:spacing w:after="40"/>
    </w:pPr>
    <w:rPr>
      <w:sz w:val="18"/>
    </w:rPr>
  </w:style>
  <w:style w:type="paragraph" w:styleId="28">
    <w:name w:val="toc 6"/>
    <w:basedOn w:val="1"/>
    <w:next w:val="1"/>
    <w:qFormat/>
    <w:uiPriority w:val="39"/>
    <w:pPr>
      <w:spacing w:after="57"/>
      <w:ind w:left="1417"/>
    </w:pPr>
  </w:style>
  <w:style w:type="paragraph" w:styleId="29">
    <w:name w:val="table of figures"/>
    <w:basedOn w:val="1"/>
    <w:next w:val="1"/>
    <w:qFormat/>
    <w:uiPriority w:val="99"/>
  </w:style>
  <w:style w:type="paragraph" w:styleId="30">
    <w:name w:val="toc 2"/>
    <w:basedOn w:val="1"/>
    <w:next w:val="1"/>
    <w:qFormat/>
    <w:uiPriority w:val="39"/>
    <w:pPr>
      <w:spacing w:after="57"/>
      <w:ind w:left="283"/>
    </w:pPr>
  </w:style>
  <w:style w:type="paragraph" w:styleId="31">
    <w:name w:val="toc 9"/>
    <w:basedOn w:val="1"/>
    <w:next w:val="1"/>
    <w:qFormat/>
    <w:uiPriority w:val="39"/>
    <w:pPr>
      <w:spacing w:after="57"/>
      <w:ind w:left="2268"/>
    </w:pPr>
  </w:style>
  <w:style w:type="paragraph" w:styleId="32">
    <w:name w:val="Normal (Web)"/>
    <w:basedOn w:val="1"/>
    <w:qFormat/>
    <w:uiPriority w:val="0"/>
    <w:pPr>
      <w:widowControl/>
      <w:spacing w:before="100" w:beforeAutospacing="1" w:after="100" w:afterAutospacing="1"/>
      <w:jc w:val="left"/>
    </w:pPr>
    <w:rPr>
      <w:rFonts w:ascii="宋体" w:eastAsia="Times New Roman"/>
      <w:sz w:val="24"/>
      <w:szCs w:val="20"/>
    </w:rPr>
  </w:style>
  <w:style w:type="paragraph" w:styleId="33">
    <w:name w:val="Title"/>
    <w:basedOn w:val="1"/>
    <w:next w:val="1"/>
    <w:link w:val="87"/>
    <w:qFormat/>
    <w:uiPriority w:val="10"/>
    <w:pPr>
      <w:spacing w:before="300" w:after="200"/>
      <w:contextualSpacing/>
    </w:pPr>
    <w:rPr>
      <w:sz w:val="48"/>
      <w:szCs w:val="48"/>
    </w:rPr>
  </w:style>
  <w:style w:type="table" w:styleId="35">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Strong"/>
    <w:basedOn w:val="36"/>
    <w:qFormat/>
    <w:uiPriority w:val="0"/>
    <w:rPr>
      <w:b/>
    </w:rPr>
  </w:style>
  <w:style w:type="character" w:styleId="38">
    <w:name w:val="endnote reference"/>
    <w:qFormat/>
    <w:uiPriority w:val="99"/>
    <w:rPr>
      <w:vertAlign w:val="superscript"/>
    </w:rPr>
  </w:style>
  <w:style w:type="character" w:styleId="39">
    <w:name w:val="Emphasis"/>
    <w:qFormat/>
    <w:uiPriority w:val="0"/>
    <w:rPr>
      <w:i/>
    </w:rPr>
  </w:style>
  <w:style w:type="character" w:styleId="40">
    <w:name w:val="Hyperlink"/>
    <w:qFormat/>
    <w:uiPriority w:val="99"/>
    <w:rPr>
      <w:color w:val="0000FF"/>
      <w:u w:val="single"/>
    </w:rPr>
  </w:style>
  <w:style w:type="character" w:styleId="41">
    <w:name w:val="annotation reference"/>
    <w:basedOn w:val="36"/>
    <w:qFormat/>
    <w:uiPriority w:val="99"/>
    <w:rPr>
      <w:sz w:val="21"/>
      <w:szCs w:val="21"/>
    </w:rPr>
  </w:style>
  <w:style w:type="character" w:styleId="42">
    <w:name w:val="footnote reference"/>
    <w:qFormat/>
    <w:uiPriority w:val="0"/>
    <w:rPr>
      <w:vertAlign w:val="superscript"/>
    </w:rPr>
  </w:style>
  <w:style w:type="paragraph" w:customStyle="1" w:styleId="43">
    <w:name w:val="样式1"/>
    <w:basedOn w:val="44"/>
    <w:next w:val="1"/>
    <w:qFormat/>
    <w:uiPriority w:val="0"/>
    <w:pPr>
      <w:tabs>
        <w:tab w:val="left" w:pos="0"/>
        <w:tab w:val="left" w:pos="840"/>
      </w:tabs>
    </w:pPr>
    <w:rPr>
      <w:rFonts w:ascii="Arial" w:hAnsi="Arial" w:eastAsia="幼圆" w:cs="Arial"/>
      <w:sz w:val="24"/>
      <w:szCs w:val="20"/>
    </w:rPr>
  </w:style>
  <w:style w:type="paragraph" w:customStyle="1" w:styleId="44">
    <w:name w:val="列表编号1"/>
    <w:basedOn w:val="1"/>
    <w:qFormat/>
    <w:uiPriority w:val="0"/>
    <w:pPr>
      <w:tabs>
        <w:tab w:val="left" w:pos="0"/>
        <w:tab w:val="left" w:pos="840"/>
      </w:tabs>
      <w:spacing w:line="360" w:lineRule="auto"/>
    </w:pPr>
  </w:style>
  <w:style w:type="table" w:customStyle="1" w:styleId="45">
    <w:name w:val="无格式表格 11"/>
    <w:basedOn w:val="34"/>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2F2F2" w:fill="F2F2F2"/>
      </w:tcPr>
    </w:tblStylePr>
    <w:tblStylePr w:type="band1Horz">
      <w:tcPr>
        <w:shd w:val="clear" w:color="F2F2F2" w:fill="F2F2F2"/>
      </w:tcPr>
    </w:tblStylePr>
  </w:style>
  <w:style w:type="table" w:customStyle="1" w:styleId="46">
    <w:name w:val="无格式表格 21"/>
    <w:basedOn w:val="34"/>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47">
    <w:name w:val="无格式表格 31"/>
    <w:basedOn w:val="34"/>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48">
    <w:name w:val="无格式表格 41"/>
    <w:basedOn w:val="34"/>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49">
    <w:name w:val="无格式表格 51"/>
    <w:basedOn w:val="34"/>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50">
    <w:name w:val="网格表 1 浅色1"/>
    <w:basedOn w:val="34"/>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firstRow">
      <w:rPr>
        <w:b/>
        <w:color w:val="404040"/>
      </w:rPr>
      <w:tcPr>
        <w:tcBorders>
          <w:bottom w:val="single" w:color="6A6A6A"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style>
  <w:style w:type="table" w:customStyle="1" w:styleId="51">
    <w:name w:val="网格表 21"/>
    <w:basedOn w:val="34"/>
    <w:qFormat/>
    <w:uiPriority w:val="99"/>
    <w:tblPr>
      <w:tblBorders>
        <w:bottom w:val="single" w:color="6A6A6A" w:sz="4" w:space="0"/>
        <w:insideH w:val="single" w:color="6A6A6A" w:sz="4" w:space="0"/>
        <w:insideV w:val="single" w:color="6A6A6A" w:sz="4" w:space="0"/>
      </w:tblBorders>
      <w:tblCellMar>
        <w:left w:w="0" w:type="dxa"/>
        <w:right w:w="0" w:type="dxa"/>
      </w:tblCellMar>
    </w:tblPr>
    <w:tblStylePr w:type="firstRow">
      <w:rPr>
        <w:b/>
        <w:color w:val="404040"/>
      </w:rPr>
      <w:tcPr>
        <w:tcBorders>
          <w:top w:val="nil"/>
          <w:left w:val="nil"/>
          <w:bottom w:val="single" w:color="6A6A6A" w:sz="12" w:space="0"/>
          <w:right w:val="nil"/>
        </w:tcBorders>
        <w:shd w:val="clear" w:color="FFFFFF" w:fill="auto"/>
      </w:tcPr>
    </w:tblStylePr>
    <w:tblStylePr w:type="lastRow">
      <w:rPr>
        <w:b/>
        <w:color w:val="404040"/>
      </w:rPr>
      <w:tcPr>
        <w:tcBorders>
          <w:top w:val="single" w:color="6A6A6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52">
    <w:name w:val="网格表 31"/>
    <w:basedOn w:val="34"/>
    <w:qFormat/>
    <w:uiPriority w:val="99"/>
    <w:tblPr>
      <w:tblBorders>
        <w:bottom w:val="single" w:color="6A6A6A" w:sz="4" w:space="0"/>
        <w:insideH w:val="single" w:color="6A6A6A" w:sz="4" w:space="0"/>
        <w:insideV w:val="single" w:color="6A6A6A"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53">
    <w:name w:val="网格表 41"/>
    <w:basedOn w:val="34"/>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54">
    <w:name w:val="网格表 5 深色1"/>
    <w:basedOn w:val="3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A8A8A" w:fill="8A8A8A"/>
      </w:tcPr>
    </w:tblStylePr>
    <w:tblStylePr w:type="band1Horz">
      <w:tcPr>
        <w:shd w:val="clear" w:color="8A8A8A" w:fill="8A8A8A"/>
      </w:tcPr>
    </w:tblStylePr>
  </w:style>
  <w:style w:type="table" w:customStyle="1" w:styleId="55">
    <w:name w:val="网格表 6 彩色1"/>
    <w:basedOn w:val="34"/>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firstRow">
      <w:rPr>
        <w:b/>
        <w:color w:val="7F7F7F"/>
      </w:rPr>
      <w:tcPr>
        <w:tcBorders>
          <w:bottom w:val="single" w:color="7F7F7F"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BCBCB" w:fill="CBCBCB"/>
      </w:tcPr>
    </w:tblStylePr>
    <w:tblStylePr w:type="band1Horz">
      <w:rPr>
        <w:rFonts w:ascii="Arial" w:hAnsi="Arial"/>
        <w:color w:val="7F7F7F"/>
        <w:sz w:val="22"/>
      </w:rPr>
      <w:tcPr>
        <w:shd w:val="clear" w:color="CBCBCB" w:fill="CBCBCB"/>
      </w:tcPr>
    </w:tblStylePr>
    <w:tblStylePr w:type="band2Horz">
      <w:rPr>
        <w:rFonts w:ascii="Arial" w:hAnsi="Arial"/>
        <w:color w:val="7F7F7F"/>
        <w:sz w:val="22"/>
      </w:rPr>
    </w:tblStylePr>
  </w:style>
  <w:style w:type="table" w:customStyle="1" w:styleId="56">
    <w:name w:val="网格表 7 彩色1"/>
    <w:basedOn w:val="34"/>
    <w:qFormat/>
    <w:uiPriority w:val="99"/>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style>
  <w:style w:type="table" w:customStyle="1" w:styleId="57">
    <w:name w:val="清单表 1 浅色1"/>
    <w:basedOn w:val="34"/>
    <w:qFormat/>
    <w:uiPriority w:val="99"/>
    <w:tblPr>
      <w:tblCellMar>
        <w:left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FBFBF" w:fill="BFBFBF"/>
      </w:tcPr>
    </w:tblStylePr>
    <w:tblStylePr w:type="band1Horz">
      <w:tcPr>
        <w:shd w:val="clear" w:color="BFBFBF" w:fill="BFBFBF"/>
      </w:tcPr>
    </w:tblStylePr>
  </w:style>
  <w:style w:type="table" w:customStyle="1" w:styleId="58">
    <w:name w:val="清单表 21"/>
    <w:basedOn w:val="34"/>
    <w:qFormat/>
    <w:uiPriority w:val="99"/>
    <w:tblPr>
      <w:tblBorders>
        <w:top w:val="single" w:color="6F6F6F" w:sz="4" w:space="0"/>
        <w:bottom w:val="single" w:color="6F6F6F" w:sz="4" w:space="0"/>
        <w:insideH w:val="single" w:color="6F6F6F" w:sz="4" w:space="0"/>
      </w:tblBorders>
      <w:tblCellMar>
        <w:left w:w="0" w:type="dxa"/>
        <w:right w:w="0" w:type="dxa"/>
      </w:tblCellMar>
    </w:tblPr>
    <w:tblStylePr w:type="firstRow">
      <w:rPr>
        <w:rFonts w:ascii="Arial" w:hAnsi="Arial"/>
        <w:b/>
        <w:color w:val="404040"/>
        <w:sz w:val="22"/>
      </w:rPr>
      <w:tcPr>
        <w:tcBorders>
          <w:top w:val="single" w:color="6F6F6F" w:sz="4" w:space="0"/>
          <w:left w:val="nil"/>
          <w:bottom w:val="single" w:color="6F6F6F" w:sz="4" w:space="0"/>
          <w:right w:val="nil"/>
        </w:tcBorders>
      </w:tcPr>
    </w:tblStylePr>
    <w:tblStylePr w:type="lastRow">
      <w:rPr>
        <w:rFonts w:ascii="Arial" w:hAnsi="Arial"/>
        <w:b/>
        <w:color w:val="404040"/>
        <w:sz w:val="22"/>
      </w:rPr>
      <w:tcPr>
        <w:tcBorders>
          <w:top w:val="single" w:color="6F6F6F" w:sz="4" w:space="0"/>
          <w:left w:val="nil"/>
          <w:bottom w:val="single" w:color="6F6F6F"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59">
    <w:name w:val="清单表 31"/>
    <w:basedOn w:val="34"/>
    <w:qFormat/>
    <w:uiPriority w:val="99"/>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60">
    <w:name w:val="清单表 41"/>
    <w:basedOn w:val="3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61">
    <w:name w:val="清单表 5 深色1"/>
    <w:basedOn w:val="34"/>
    <w:qFormat/>
    <w:uiPriority w:val="99"/>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firstRow">
      <w:rPr>
        <w:rFonts w:ascii="Arial" w:hAnsi="Arial"/>
        <w:b/>
        <w:color w:val="FFFFFF"/>
        <w:sz w:val="22"/>
      </w:rPr>
      <w:tcPr>
        <w:tcBorders>
          <w:top w:val="single" w:color="7F7F7F" w:sz="32" w:space="0"/>
          <w:bottom w:val="single" w:color="FFFFFF" w:sz="12" w:space="0"/>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cPr>
        <w:tcBorders>
          <w:left w:val="single" w:color="7F7F7F" w:sz="32" w:space="0"/>
          <w:right w:val="single" w:color="FFFFFF" w:sz="4" w:space="0"/>
        </w:tcBorders>
      </w:tcPr>
    </w:tblStylePr>
    <w:tblStylePr w:type="lastCol">
      <w:tcPr>
        <w:tcBorders>
          <w:left w:val="single" w:color="FFFFFF" w:sz="4" w:space="0"/>
          <w:right w:val="single" w:color="7F7F7F" w:sz="32" w:space="0"/>
        </w:tcBorders>
      </w:tcPr>
    </w:tblStylePr>
    <w:tblStylePr w:type="band1Vert">
      <w:tcPr>
        <w:tcBorders>
          <w:left w:val="single" w:color="FFFFFF" w:sz="4" w:space="0"/>
          <w:right w:val="single" w:color="FFFFFF" w:sz="4" w:space="0"/>
        </w:tcBorders>
        <w:shd w:val="clear" w:color="7F7F7F" w:fill="7F7F7F"/>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F7F7F" w:fill="7F7F7F"/>
      </w:tcPr>
    </w:tblStylePr>
    <w:tblStylePr w:type="band2Horz">
      <w:tcPr>
        <w:tcBorders>
          <w:top w:val="single" w:color="FFFFFF" w:sz="4" w:space="0"/>
          <w:bottom w:val="single" w:color="FFFFFF" w:sz="4" w:space="0"/>
        </w:tcBorders>
        <w:shd w:val="clear" w:color="7F7F7F" w:fill="7F7F7F"/>
      </w:tcPr>
    </w:tblStylePr>
  </w:style>
  <w:style w:type="table" w:customStyle="1" w:styleId="62">
    <w:name w:val="清单表 6 彩色1"/>
    <w:basedOn w:val="34"/>
    <w:qFormat/>
    <w:uiPriority w:val="99"/>
    <w:tblPr>
      <w:tblBorders>
        <w:top w:val="single" w:color="7F7F7F" w:sz="4" w:space="0"/>
        <w:bottom w:val="single" w:color="7F7F7F" w:sz="4" w:space="0"/>
      </w:tblBorders>
      <w:tblCellMar>
        <w:left w:w="0" w:type="dxa"/>
        <w:right w:w="0" w:type="dxa"/>
      </w:tblCellMar>
    </w:tblPr>
    <w:tblStylePr w:type="firstRow">
      <w:rPr>
        <w:b/>
        <w:color w:val="000000"/>
      </w:rPr>
      <w:tcPr>
        <w:tcBorders>
          <w:bottom w:val="single" w:color="7F7F7F" w:sz="4" w:space="0"/>
        </w:tcBorders>
      </w:tcPr>
    </w:tblStylePr>
    <w:tblStylePr w:type="lastRow">
      <w:rPr>
        <w:b/>
        <w:color w:val="000000"/>
      </w:rPr>
      <w:tcPr>
        <w:tcBorders>
          <w:top w:val="single" w:color="7F7F7F" w:sz="4" w:space="0"/>
        </w:tcBorders>
      </w:tcPr>
    </w:tblStylePr>
    <w:tblStylePr w:type="firstCol">
      <w:rPr>
        <w:b/>
        <w:color w:val="000000"/>
      </w:rPr>
    </w:tblStylePr>
    <w:tblStylePr w:type="lastCol">
      <w:rPr>
        <w:b/>
        <w:color w:val="000000"/>
      </w:rPr>
    </w:tblStylePr>
    <w:tblStylePr w:type="band1Vert">
      <w:tcPr>
        <w:shd w:val="clear" w:color="BFBFBF" w:fill="BFBFBF"/>
      </w:tcPr>
    </w:tblStylePr>
    <w:tblStylePr w:type="band1Horz">
      <w:rPr>
        <w:rFonts w:ascii="Arial" w:hAnsi="Arial"/>
        <w:color w:val="000000"/>
        <w:sz w:val="22"/>
      </w:rPr>
      <w:tcPr>
        <w:shd w:val="clear" w:color="BFBFBF" w:fill="BFBFBF"/>
      </w:tcPr>
    </w:tblStylePr>
    <w:tblStylePr w:type="band2Horz">
      <w:rPr>
        <w:rFonts w:ascii="Arial" w:hAnsi="Arial"/>
        <w:color w:val="000000"/>
        <w:sz w:val="22"/>
      </w:rPr>
    </w:tblStylePr>
  </w:style>
  <w:style w:type="table" w:customStyle="1" w:styleId="63">
    <w:name w:val="清单表 7 彩色1"/>
    <w:basedOn w:val="34"/>
    <w:qFormat/>
    <w:uiPriority w:val="99"/>
    <w:tblPr>
      <w:tblBorders>
        <w:right w:val="single" w:color="7F7F7F" w:sz="4" w:space="0"/>
      </w:tblBorders>
      <w:tblCellMar>
        <w:left w:w="0" w:type="dxa"/>
        <w:right w:w="0" w:type="dxa"/>
      </w:tblCellMar>
    </w:tblPr>
    <w:tblStylePr w:type="firstRow">
      <w:rPr>
        <w:rFonts w:ascii="Arial" w:hAnsi="Arial"/>
        <w:i/>
        <w:color w:val="7F7F7F"/>
        <w:sz w:val="22"/>
      </w:rPr>
      <w:tcPr>
        <w:tcBorders>
          <w:top w:val="nil"/>
          <w:left w:val="nil"/>
          <w:bottom w:val="single" w:color="7F7F7F" w:sz="4" w:space="0"/>
          <w:right w:val="nil"/>
        </w:tcBorders>
        <w:shd w:val="clear" w:color="FFFFFF" w:fill="FFFFFF"/>
      </w:tcPr>
    </w:tblStylePr>
    <w:tblStylePr w:type="lastRow">
      <w:rPr>
        <w:rFonts w:ascii="Arial" w:hAnsi="Arial"/>
        <w:i/>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BFBFBF" w:fill="BFBFBF"/>
      </w:tcPr>
    </w:tblStylePr>
    <w:tblStylePr w:type="band1Horz">
      <w:rPr>
        <w:rFonts w:ascii="Arial" w:hAnsi="Arial"/>
        <w:color w:val="7F7F7F"/>
        <w:sz w:val="22"/>
      </w:rPr>
      <w:tcPr>
        <w:shd w:val="clear" w:color="BFBFBF" w:fill="BFBFBF"/>
      </w:tcPr>
    </w:tblStylePr>
    <w:tblStylePr w:type="band2Horz">
      <w:rPr>
        <w:rFonts w:ascii="Arial" w:hAnsi="Arial"/>
        <w:color w:val="7F7F7F"/>
        <w:sz w:val="22"/>
      </w:rPr>
    </w:tblStylePr>
  </w:style>
  <w:style w:type="paragraph" w:customStyle="1" w:styleId="64">
    <w:name w:val="TOC 标题1"/>
    <w:qFormat/>
    <w:uiPriority w:val="39"/>
    <w:rPr>
      <w:rFonts w:ascii="Times New Roman" w:hAnsi="Times New Roman" w:eastAsia="宋体" w:cs="Times New Roman"/>
      <w:lang w:val="en-US" w:eastAsia="zh-CN" w:bidi="ar-SA"/>
    </w:rPr>
  </w:style>
  <w:style w:type="character" w:customStyle="1" w:styleId="65">
    <w:name w:val="Heading 1 Char_434700aa-fe40-4ee6-9069-0a69300fd62b"/>
    <w:basedOn w:val="36"/>
    <w:qFormat/>
    <w:uiPriority w:val="9"/>
    <w:rPr>
      <w:rFonts w:ascii="Arial" w:hAnsi="Arial" w:eastAsia="Arial" w:cs="Arial"/>
      <w:sz w:val="40"/>
      <w:szCs w:val="40"/>
    </w:rPr>
  </w:style>
  <w:style w:type="character" w:customStyle="1" w:styleId="66">
    <w:name w:val="Heading 5 Char_925b8ece-8082-461d-ae29-1d41b41a7251"/>
    <w:basedOn w:val="36"/>
    <w:qFormat/>
    <w:uiPriority w:val="9"/>
    <w:rPr>
      <w:rFonts w:ascii="Arial" w:hAnsi="Arial" w:eastAsia="Arial" w:cs="Arial"/>
      <w:b/>
      <w:bCs/>
      <w:sz w:val="24"/>
      <w:szCs w:val="24"/>
    </w:rPr>
  </w:style>
  <w:style w:type="character" w:customStyle="1" w:styleId="67">
    <w:name w:val="Heading 6 Char_a35ea97a-1ce8-4d9b-8930-2f6c61bf63ec"/>
    <w:basedOn w:val="36"/>
    <w:qFormat/>
    <w:uiPriority w:val="9"/>
    <w:rPr>
      <w:rFonts w:ascii="Arial" w:hAnsi="Arial" w:eastAsia="Arial" w:cs="Arial"/>
      <w:b/>
      <w:bCs/>
      <w:sz w:val="22"/>
      <w:szCs w:val="22"/>
    </w:rPr>
  </w:style>
  <w:style w:type="character" w:customStyle="1" w:styleId="68">
    <w:name w:val="Heading 7 Char_187ddb87-c7bc-4839-9585-67a43c484026"/>
    <w:basedOn w:val="36"/>
    <w:qFormat/>
    <w:uiPriority w:val="9"/>
    <w:rPr>
      <w:rFonts w:ascii="Arial" w:hAnsi="Arial" w:eastAsia="Arial" w:cs="Arial"/>
      <w:b/>
      <w:bCs/>
      <w:i/>
      <w:iCs/>
      <w:sz w:val="22"/>
      <w:szCs w:val="22"/>
    </w:rPr>
  </w:style>
  <w:style w:type="character" w:customStyle="1" w:styleId="69">
    <w:name w:val="Heading 8 Char_f86cc6f1-e07f-46cd-8999-b4d6f395b7ab"/>
    <w:basedOn w:val="36"/>
    <w:qFormat/>
    <w:uiPriority w:val="9"/>
    <w:rPr>
      <w:rFonts w:ascii="Arial" w:hAnsi="Arial" w:eastAsia="Arial" w:cs="Arial"/>
      <w:i/>
      <w:iCs/>
      <w:sz w:val="22"/>
      <w:szCs w:val="22"/>
    </w:rPr>
  </w:style>
  <w:style w:type="character" w:customStyle="1" w:styleId="70">
    <w:name w:val="Heading 9 Char_78d770f5-7fe8-45f8-a379-5ea7765ab889"/>
    <w:basedOn w:val="36"/>
    <w:qFormat/>
    <w:uiPriority w:val="9"/>
    <w:rPr>
      <w:rFonts w:ascii="Arial" w:hAnsi="Arial" w:eastAsia="Arial" w:cs="Arial"/>
      <w:i/>
      <w:iCs/>
      <w:sz w:val="21"/>
      <w:szCs w:val="21"/>
    </w:rPr>
  </w:style>
  <w:style w:type="character" w:customStyle="1" w:styleId="71">
    <w:name w:val="Title Char_cba70f7b-6b0c-40c3-9c1d-79b000d9620e"/>
    <w:basedOn w:val="36"/>
    <w:qFormat/>
    <w:uiPriority w:val="10"/>
    <w:rPr>
      <w:sz w:val="48"/>
      <w:szCs w:val="48"/>
    </w:rPr>
  </w:style>
  <w:style w:type="character" w:customStyle="1" w:styleId="72">
    <w:name w:val="Subtitle Char"/>
    <w:basedOn w:val="36"/>
    <w:qFormat/>
    <w:uiPriority w:val="11"/>
    <w:rPr>
      <w:sz w:val="24"/>
      <w:szCs w:val="24"/>
    </w:rPr>
  </w:style>
  <w:style w:type="character" w:customStyle="1" w:styleId="73">
    <w:name w:val="Quote Char_7b531250-58de-49b9-9d0c-04cfbc5a8719"/>
    <w:qFormat/>
    <w:uiPriority w:val="29"/>
    <w:rPr>
      <w:i/>
    </w:rPr>
  </w:style>
  <w:style w:type="character" w:customStyle="1" w:styleId="74">
    <w:name w:val="Intense Quote Char_0c2ead29-d2a6-4ac5-8f7c-28c2f003bdba"/>
    <w:qFormat/>
    <w:uiPriority w:val="30"/>
    <w:rPr>
      <w:i/>
    </w:rPr>
  </w:style>
  <w:style w:type="character" w:customStyle="1" w:styleId="75">
    <w:name w:val="Caption Char"/>
    <w:qFormat/>
    <w:uiPriority w:val="99"/>
  </w:style>
  <w:style w:type="character" w:customStyle="1" w:styleId="76">
    <w:name w:val="Footnote Text Char"/>
    <w:qFormat/>
    <w:uiPriority w:val="99"/>
    <w:rPr>
      <w:sz w:val="18"/>
    </w:rPr>
  </w:style>
  <w:style w:type="character" w:customStyle="1" w:styleId="77">
    <w:name w:val="Endnote Text Char"/>
    <w:qFormat/>
    <w:uiPriority w:val="99"/>
    <w:rPr>
      <w:sz w:val="20"/>
    </w:rPr>
  </w:style>
  <w:style w:type="paragraph" w:customStyle="1" w:styleId="78">
    <w:name w:val="TOC 标题111"/>
    <w:qFormat/>
    <w:uiPriority w:val="39"/>
    <w:rPr>
      <w:rFonts w:ascii="Times New Roman" w:hAnsi="Times New Roman" w:eastAsia="宋体" w:cs="Times New Roman"/>
      <w:lang w:val="en-US" w:eastAsia="zh-CN" w:bidi="ar-SA"/>
    </w:rPr>
  </w:style>
  <w:style w:type="paragraph" w:customStyle="1" w:styleId="79">
    <w:name w:val="正文文本1"/>
    <w:basedOn w:val="1"/>
    <w:next w:val="1"/>
    <w:link w:val="214"/>
    <w:qFormat/>
    <w:uiPriority w:val="0"/>
    <w:pPr>
      <w:spacing w:line="60" w:lineRule="auto"/>
    </w:pPr>
    <w:rPr>
      <w:rFonts w:ascii="仿宋_GB2312" w:eastAsia="仿宋_GB2312"/>
      <w:sz w:val="32"/>
    </w:rPr>
  </w:style>
  <w:style w:type="character" w:customStyle="1" w:styleId="80">
    <w:name w:val="标题 1 字符1"/>
    <w:link w:val="2"/>
    <w:qFormat/>
    <w:uiPriority w:val="9"/>
    <w:rPr>
      <w:rFonts w:ascii="Arial" w:hAnsi="Arial" w:eastAsia="Arial" w:cs="Arial"/>
      <w:sz w:val="40"/>
      <w:szCs w:val="40"/>
    </w:rPr>
  </w:style>
  <w:style w:type="character" w:customStyle="1" w:styleId="81">
    <w:name w:val="标题 5 字符"/>
    <w:link w:val="7"/>
    <w:qFormat/>
    <w:uiPriority w:val="9"/>
    <w:rPr>
      <w:rFonts w:ascii="Arial" w:hAnsi="Arial" w:eastAsia="Arial" w:cs="Arial"/>
      <w:b/>
      <w:bCs/>
      <w:sz w:val="24"/>
      <w:szCs w:val="24"/>
    </w:rPr>
  </w:style>
  <w:style w:type="character" w:customStyle="1" w:styleId="82">
    <w:name w:val="标题 6 字符"/>
    <w:link w:val="8"/>
    <w:qFormat/>
    <w:uiPriority w:val="9"/>
    <w:rPr>
      <w:rFonts w:ascii="Arial" w:hAnsi="Arial" w:eastAsia="Arial" w:cs="Arial"/>
      <w:b/>
      <w:bCs/>
      <w:sz w:val="22"/>
      <w:szCs w:val="22"/>
    </w:rPr>
  </w:style>
  <w:style w:type="character" w:customStyle="1" w:styleId="83">
    <w:name w:val="标题 7 字符"/>
    <w:link w:val="9"/>
    <w:qFormat/>
    <w:uiPriority w:val="9"/>
    <w:rPr>
      <w:rFonts w:ascii="Arial" w:hAnsi="Arial" w:eastAsia="Arial" w:cs="Arial"/>
      <w:b/>
      <w:bCs/>
      <w:i/>
      <w:iCs/>
      <w:sz w:val="22"/>
      <w:szCs w:val="22"/>
    </w:rPr>
  </w:style>
  <w:style w:type="character" w:customStyle="1" w:styleId="84">
    <w:name w:val="标题 8 字符"/>
    <w:link w:val="10"/>
    <w:qFormat/>
    <w:uiPriority w:val="9"/>
    <w:rPr>
      <w:rFonts w:ascii="Arial" w:hAnsi="Arial" w:eastAsia="Arial" w:cs="Arial"/>
      <w:i/>
      <w:iCs/>
      <w:sz w:val="22"/>
      <w:szCs w:val="22"/>
    </w:rPr>
  </w:style>
  <w:style w:type="character" w:customStyle="1" w:styleId="85">
    <w:name w:val="标题 9 字符"/>
    <w:link w:val="11"/>
    <w:qFormat/>
    <w:uiPriority w:val="9"/>
    <w:rPr>
      <w:rFonts w:ascii="Arial" w:hAnsi="Arial" w:eastAsia="Arial" w:cs="Arial"/>
      <w:i/>
      <w:iCs/>
      <w:sz w:val="21"/>
      <w:szCs w:val="21"/>
    </w:rPr>
  </w:style>
  <w:style w:type="paragraph" w:styleId="86">
    <w:name w:val="No Spacing"/>
    <w:qFormat/>
    <w:uiPriority w:val="1"/>
    <w:rPr>
      <w:rFonts w:ascii="Times New Roman" w:hAnsi="Times New Roman" w:eastAsia="宋体" w:cs="Times New Roman"/>
      <w:lang w:val="en-US" w:eastAsia="zh-CN" w:bidi="ar-SA"/>
    </w:rPr>
  </w:style>
  <w:style w:type="character" w:customStyle="1" w:styleId="87">
    <w:name w:val="标题 字符"/>
    <w:link w:val="33"/>
    <w:qFormat/>
    <w:uiPriority w:val="10"/>
    <w:rPr>
      <w:sz w:val="48"/>
      <w:szCs w:val="48"/>
    </w:rPr>
  </w:style>
  <w:style w:type="character" w:customStyle="1" w:styleId="88">
    <w:name w:val="副标题 字符"/>
    <w:link w:val="26"/>
    <w:qFormat/>
    <w:uiPriority w:val="11"/>
    <w:rPr>
      <w:sz w:val="24"/>
      <w:szCs w:val="24"/>
    </w:rPr>
  </w:style>
  <w:style w:type="paragraph" w:styleId="89">
    <w:name w:val="Quote"/>
    <w:basedOn w:val="1"/>
    <w:next w:val="1"/>
    <w:link w:val="90"/>
    <w:qFormat/>
    <w:uiPriority w:val="29"/>
    <w:pPr>
      <w:ind w:left="720" w:right="720"/>
    </w:pPr>
    <w:rPr>
      <w:i/>
    </w:rPr>
  </w:style>
  <w:style w:type="character" w:customStyle="1" w:styleId="90">
    <w:name w:val="引用 字符"/>
    <w:link w:val="89"/>
    <w:qFormat/>
    <w:uiPriority w:val="29"/>
    <w:rPr>
      <w:i/>
    </w:rPr>
  </w:style>
  <w:style w:type="paragraph" w:styleId="91">
    <w:name w:val="Intense Quote"/>
    <w:basedOn w:val="1"/>
    <w:next w:val="1"/>
    <w:link w:val="9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2">
    <w:name w:val="明显引用 字符"/>
    <w:link w:val="91"/>
    <w:qFormat/>
    <w:uiPriority w:val="30"/>
    <w:rPr>
      <w:i/>
    </w:rPr>
  </w:style>
  <w:style w:type="character" w:customStyle="1" w:styleId="93">
    <w:name w:val="页脚 字符1"/>
    <w:link w:val="22"/>
    <w:qFormat/>
    <w:uiPriority w:val="99"/>
  </w:style>
  <w:style w:type="table" w:customStyle="1" w:styleId="94">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95">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b/>
        <w:color w:val="404040"/>
      </w:rPr>
      <w:tcPr>
        <w:tcBorders>
          <w:bottom w:val="single" w:color="97B4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96">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97">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98">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99">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100">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101">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single" w:color="5D8AC2" w:sz="12" w:space="0"/>
          <w:right w:val="nil"/>
        </w:tcBorders>
        <w:shd w:val="clear" w:color="FFFFFF" w:fill="auto"/>
      </w:tcPr>
    </w:tblStylePr>
    <w:tblStylePr w:type="lastRow">
      <w:rPr>
        <w:b/>
        <w:color w:val="404040"/>
      </w:rPr>
      <w:tcPr>
        <w:tcBorders>
          <w:top w:val="single" w:color="5D8A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102">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single" w:color="D99695" w:sz="12" w:space="0"/>
          <w:right w:val="nil"/>
        </w:tcBorders>
        <w:shd w:val="clear" w:color="FFFFFF" w:fill="auto"/>
      </w:tcPr>
    </w:tblStylePr>
    <w:tblStylePr w:type="lastRow">
      <w:rPr>
        <w:b/>
        <w:color w:val="404040"/>
      </w:rPr>
      <w:tcPr>
        <w:tcBorders>
          <w:top w:val="single" w:color="D996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03">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single" w:color="9ABB59" w:sz="12" w:space="0"/>
          <w:right w:val="nil"/>
        </w:tcBorders>
        <w:shd w:val="clear" w:color="FFFFFF" w:fill="auto"/>
      </w:tcPr>
    </w:tblStylePr>
    <w:tblStylePr w:type="lastRow">
      <w:rPr>
        <w:b/>
        <w:color w:val="404040"/>
      </w:rPr>
      <w:tcPr>
        <w:tcBorders>
          <w:top w:val="single" w:color="9A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104">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05">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06">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107">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108">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09">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110">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11">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12">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113">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AC2" w:sz="4" w:space="0"/>
          <w:left w:val="single" w:color="5D8AC2" w:sz="4" w:space="0"/>
          <w:bottom w:val="single" w:color="5D8AC2" w:sz="4" w:space="0"/>
          <w:right w:val="single" w:color="5D8AC2" w:sz="4" w:space="0"/>
        </w:tcBorders>
        <w:shd w:val="clear" w:color="5D8AC2" w:fill="5D8AC2"/>
      </w:tcPr>
    </w:tblStylePr>
    <w:tblStylePr w:type="lastRow">
      <w:rPr>
        <w:b/>
        <w:color w:val="404040"/>
      </w:rPr>
      <w:tcPr>
        <w:tcBorders>
          <w:top w:val="single" w:color="5D8A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114">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tblStylePr w:type="firstRow">
      <w:rPr>
        <w:rFonts w:ascii="Arial" w:hAnsi="Arial"/>
        <w:b/>
        <w:color w:val="FFFFFF"/>
        <w:sz w:val="22"/>
      </w:rPr>
      <w:tcPr>
        <w:tcBorders>
          <w:top w:val="single" w:color="D99695" w:sz="4" w:space="0"/>
          <w:left w:val="single" w:color="D99695" w:sz="4" w:space="0"/>
          <w:bottom w:val="single" w:color="D99695" w:sz="4" w:space="0"/>
          <w:right w:val="single" w:color="D99695" w:sz="4" w:space="0"/>
        </w:tcBorders>
        <w:shd w:val="clear" w:color="D99695" w:fill="D99695"/>
      </w:tcPr>
    </w:tblStylePr>
    <w:tblStylePr w:type="lastRow">
      <w:rPr>
        <w:b/>
        <w:color w:val="404040"/>
      </w:rPr>
      <w:tcPr>
        <w:tcBorders>
          <w:top w:val="single" w:color="D996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15">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ABB59" w:sz="4" w:space="0"/>
          <w:left w:val="single" w:color="9ABB59" w:sz="4" w:space="0"/>
          <w:bottom w:val="single" w:color="9ABB59" w:sz="4" w:space="0"/>
          <w:right w:val="single" w:color="9ABB59" w:sz="4" w:space="0"/>
        </w:tcBorders>
        <w:shd w:val="clear" w:color="9ABB59" w:fill="9ABB59"/>
      </w:tcPr>
    </w:tblStylePr>
    <w:tblStylePr w:type="lastRow">
      <w:rPr>
        <w:b/>
        <w:color w:val="404040"/>
      </w:rPr>
      <w:tcPr>
        <w:tcBorders>
          <w:top w:val="single" w:color="9A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116">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17">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18">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119">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4E0" w:fill="AEC4E0"/>
      </w:tcPr>
    </w:tblStylePr>
    <w:tblStylePr w:type="band1Horz">
      <w:tcPr>
        <w:shd w:val="clear" w:color="AEC4E0" w:fill="AEC4E0"/>
      </w:tcPr>
    </w:tblStylePr>
  </w:style>
  <w:style w:type="table" w:customStyle="1" w:styleId="120">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121">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0DFB2" w:fill="D0DFB2"/>
      </w:tcPr>
    </w:tblStylePr>
    <w:tblStylePr w:type="band1Horz">
      <w:tcPr>
        <w:shd w:val="clear" w:color="D0DFB2" w:fill="D0DFB2"/>
      </w:tcPr>
    </w:tblStylePr>
  </w:style>
  <w:style w:type="table" w:customStyle="1" w:styleId="122">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23">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124">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25">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6BFDD"/>
      </w:rPr>
      <w:tcPr>
        <w:tcBorders>
          <w:bottom w:val="single" w:color="A6BFDD" w:sz="12" w:space="0"/>
        </w:tcBorders>
      </w:tcPr>
    </w:tblStylePr>
    <w:tblStylePr w:type="lastRow">
      <w:rPr>
        <w:b/>
        <w:color w:val="A6BFDD"/>
      </w:rPr>
    </w:tblStylePr>
    <w:tblStylePr w:type="firstCol">
      <w:rPr>
        <w:b/>
        <w:color w:val="A6BFDD"/>
      </w:rPr>
    </w:tblStylePr>
    <w:tblStylePr w:type="lastCol">
      <w:rPr>
        <w:b/>
        <w:color w:val="A6BFDD"/>
      </w:r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126">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DA9796"/>
      </w:rPr>
      <w:tcPr>
        <w:tcBorders>
          <w:bottom w:val="single" w:color="D99695" w:sz="12" w:space="0"/>
        </w:tcBorders>
      </w:tcPr>
    </w:tblStylePr>
    <w:tblStylePr w:type="lastRow">
      <w:rPr>
        <w:b/>
        <w:color w:val="DA9796"/>
      </w:rPr>
    </w:tblStylePr>
    <w:tblStylePr w:type="firstCol">
      <w:rPr>
        <w:b/>
        <w:color w:val="DA9796"/>
      </w:rPr>
    </w:tblStylePr>
    <w:tblStylePr w:type="lastCol">
      <w:rPr>
        <w:b/>
        <w:color w:val="DA9796"/>
      </w:r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127">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9BBB59"/>
      </w:rPr>
      <w:tcPr>
        <w:tcBorders>
          <w:bottom w:val="single" w:color="9A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128">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7"/>
      </w:rPr>
      <w:tcPr>
        <w:tcBorders>
          <w:bottom w:val="single" w:color="B2A1C6" w:sz="12" w:space="0"/>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29">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678"/>
      </w:rPr>
      <w:tcPr>
        <w:tcBorders>
          <w:bottom w:val="single" w:color="4BACC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130">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678"/>
      </w:rPr>
      <w:tcPr>
        <w:tcBorders>
          <w:bottom w:val="single" w:color="F7964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FDE9D8" w:fill="FDE9D8"/>
      </w:tcPr>
    </w:tblStylePr>
    <w:tblStylePr w:type="band1Horz">
      <w:rPr>
        <w:rFonts w:ascii="Arial" w:hAnsi="Arial"/>
        <w:color w:val="266678"/>
        <w:sz w:val="22"/>
      </w:rPr>
      <w:tcPr>
        <w:shd w:val="clear" w:color="FDE9D8" w:fill="FDE9D8"/>
      </w:tcPr>
    </w:tblStylePr>
    <w:tblStylePr w:type="band2Horz">
      <w:rPr>
        <w:rFonts w:ascii="Arial" w:hAnsi="Arial"/>
        <w:color w:val="266678"/>
        <w:sz w:val="22"/>
      </w:rPr>
    </w:tblStylePr>
  </w:style>
  <w:style w:type="table" w:customStyle="1" w:styleId="131">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6BFDD"/>
        <w:sz w:val="22"/>
      </w:rPr>
      <w:tcPr>
        <w:tcBorders>
          <w:top w:val="nil"/>
          <w:left w:val="nil"/>
          <w:bottom w:val="single" w:color="A6BFDD" w:sz="4" w:space="0"/>
          <w:right w:val="nil"/>
        </w:tcBorders>
        <w:shd w:val="clear" w:color="FFFFFF" w:fill="FFFFFF"/>
      </w:tcPr>
    </w:tblStylePr>
    <w:tblStylePr w:type="lastRow">
      <w:rPr>
        <w:rFonts w:ascii="Arial" w:hAnsi="Arial"/>
        <w:b/>
        <w:color w:val="A6BFDD"/>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6BFDD"/>
        <w:sz w:val="22"/>
      </w:rPr>
      <w:tcPr>
        <w:tcBorders>
          <w:top w:val="nil"/>
          <w:left w:val="nil"/>
          <w:bottom w:val="nil"/>
          <w:right w:val="single" w:color="A6BFDD" w:sz="4" w:space="0"/>
        </w:tcBorders>
        <w:shd w:val="clear" w:color="FFFFFF" w:fill="auto"/>
      </w:tcPr>
    </w:tblStylePr>
    <w:tblStylePr w:type="lastCol">
      <w:rPr>
        <w:rFonts w:ascii="Arial" w:hAnsi="Arial"/>
        <w:i/>
        <w:color w:val="A6BFDD"/>
        <w:sz w:val="22"/>
      </w:rPr>
      <w:tcPr>
        <w:tcBorders>
          <w:top w:val="nil"/>
          <w:left w:val="single" w:color="A6BFDD" w:sz="4" w:space="0"/>
          <w:bottom w:val="nil"/>
          <w:right w:val="nil"/>
        </w:tcBorders>
        <w:shd w:val="clear" w:color="FFFFFF" w:fill="auto"/>
      </w:tc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132">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rFonts w:ascii="Arial" w:hAnsi="Arial"/>
        <w:b/>
        <w:color w:val="DA9796"/>
        <w:sz w:val="22"/>
      </w:rPr>
      <w:tcPr>
        <w:tcBorders>
          <w:top w:val="nil"/>
          <w:left w:val="nil"/>
          <w:bottom w:val="single" w:color="D99695" w:sz="4" w:space="0"/>
          <w:right w:val="nil"/>
        </w:tcBorders>
        <w:shd w:val="clear" w:color="FFFFFF" w:fill="FFFFFF"/>
      </w:tcPr>
    </w:tblStylePr>
    <w:tblStylePr w:type="lastRow">
      <w:rPr>
        <w:rFonts w:ascii="Arial" w:hAnsi="Arial"/>
        <w:b/>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133">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ABB59" w:sz="4" w:space="0"/>
          <w:right w:val="nil"/>
        </w:tcBorders>
        <w:shd w:val="clear" w:color="FFFFFF" w:fill="FFFFFF"/>
      </w:tcPr>
    </w:tblStylePr>
    <w:tblStylePr w:type="lastRow">
      <w:rPr>
        <w:rFonts w:ascii="Arial" w:hAnsi="Arial"/>
        <w:b/>
        <w:color w:val="9BBB59"/>
        <w:sz w:val="22"/>
      </w:rPr>
      <w:tcPr>
        <w:tcBorders>
          <w:top w:val="single" w:color="9A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ABB59" w:sz="4" w:space="0"/>
        </w:tcBorders>
        <w:shd w:val="clear" w:color="FFFFFF" w:fill="auto"/>
      </w:tcPr>
    </w:tblStylePr>
    <w:tblStylePr w:type="lastCol">
      <w:rPr>
        <w:rFonts w:ascii="Arial" w:hAnsi="Arial"/>
        <w:i/>
        <w:color w:val="9BBB59"/>
        <w:sz w:val="22"/>
      </w:rPr>
      <w:tcPr>
        <w:tcBorders>
          <w:top w:val="nil"/>
          <w:left w:val="single" w:color="9ABB59" w:sz="4" w:space="0"/>
          <w:bottom w:val="nil"/>
          <w:right w:val="nil"/>
        </w:tcBorders>
        <w:shd w:val="clear" w:color="FFFFFF" w:fill="auto"/>
      </w:tc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134">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35">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678"/>
        <w:sz w:val="22"/>
      </w:rPr>
      <w:tcPr>
        <w:tcBorders>
          <w:top w:val="nil"/>
          <w:left w:val="nil"/>
          <w:bottom w:val="single" w:color="99D0DE" w:sz="4" w:space="0"/>
          <w:right w:val="nil"/>
        </w:tcBorders>
        <w:shd w:val="clear" w:color="FFFFFF" w:fill="FFFFFF"/>
      </w:tcPr>
    </w:tblStylePr>
    <w:tblStylePr w:type="lastRow">
      <w:rPr>
        <w:rFonts w:ascii="Arial" w:hAnsi="Arial"/>
        <w:b/>
        <w:color w:val="2666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678"/>
        <w:sz w:val="22"/>
      </w:rPr>
      <w:tcPr>
        <w:tcBorders>
          <w:top w:val="nil"/>
          <w:left w:val="nil"/>
          <w:bottom w:val="nil"/>
          <w:right w:val="single" w:color="99D0DE" w:sz="4" w:space="0"/>
        </w:tcBorders>
        <w:shd w:val="clear" w:color="FFFFFF" w:fill="auto"/>
      </w:tcPr>
    </w:tblStylePr>
    <w:tblStylePr w:type="lastCol">
      <w:rPr>
        <w:rFonts w:ascii="Arial" w:hAnsi="Arial"/>
        <w:i/>
        <w:color w:val="2666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136">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05307"/>
        <w:sz w:val="22"/>
      </w:rPr>
      <w:tcPr>
        <w:tcBorders>
          <w:top w:val="nil"/>
          <w:left w:val="nil"/>
          <w:bottom w:val="single" w:color="FAC396" w:sz="4" w:space="0"/>
          <w:right w:val="nil"/>
        </w:tcBorders>
        <w:shd w:val="clear" w:color="FFFFFF" w:fill="FFFFFF"/>
      </w:tcPr>
    </w:tblStylePr>
    <w:tblStylePr w:type="lastRow">
      <w:rPr>
        <w:rFonts w:ascii="Arial" w:hAnsi="Arial"/>
        <w:b/>
        <w:color w:val="B05307"/>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307"/>
        <w:sz w:val="22"/>
      </w:rPr>
      <w:tcPr>
        <w:tcBorders>
          <w:top w:val="nil"/>
          <w:left w:val="nil"/>
          <w:bottom w:val="nil"/>
          <w:right w:val="single" w:color="FAC396" w:sz="4" w:space="0"/>
        </w:tcBorders>
        <w:shd w:val="clear" w:color="FFFFFF" w:fill="auto"/>
      </w:tcPr>
    </w:tblStylePr>
    <w:tblStylePr w:type="lastCol">
      <w:rPr>
        <w:rFonts w:ascii="Arial" w:hAnsi="Arial"/>
        <w:i/>
        <w:color w:val="B05307"/>
        <w:sz w:val="22"/>
      </w:rPr>
      <w:tcPr>
        <w:tcBorders>
          <w:top w:val="nil"/>
          <w:left w:val="single" w:color="FAC396" w:sz="4" w:space="0"/>
          <w:bottom w:val="nil"/>
          <w:right w:val="nil"/>
        </w:tcBorders>
        <w:shd w:val="clear" w:color="FFFFFF" w:fill="auto"/>
      </w:tcPr>
    </w:tblStylePr>
    <w:tblStylePr w:type="band1Vert">
      <w:tcPr>
        <w:shd w:val="clear" w:color="FDE9D8" w:fill="FDE9D8"/>
      </w:tcPr>
    </w:tblStylePr>
    <w:tblStylePr w:type="band1Horz">
      <w:rPr>
        <w:rFonts w:ascii="Arial" w:hAnsi="Arial"/>
        <w:color w:val="B05307"/>
        <w:sz w:val="22"/>
      </w:rPr>
      <w:tcPr>
        <w:shd w:val="clear" w:color="FDE9D8" w:fill="FDE9D8"/>
      </w:tcPr>
    </w:tblStylePr>
    <w:tblStylePr w:type="band2Horz">
      <w:rPr>
        <w:rFonts w:ascii="Arial" w:hAnsi="Arial"/>
        <w:color w:val="B05307"/>
        <w:sz w:val="22"/>
      </w:rPr>
    </w:tblStylePr>
  </w:style>
  <w:style w:type="table" w:customStyle="1" w:styleId="137">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38">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2D2" w:fill="EFD2D2"/>
      </w:tcPr>
    </w:tblStylePr>
    <w:tblStylePr w:type="band1Horz">
      <w:tcPr>
        <w:shd w:val="clear" w:color="EFD2D2" w:fill="EFD2D2"/>
      </w:tcPr>
    </w:tblStylePr>
  </w:style>
  <w:style w:type="table" w:customStyle="1" w:styleId="139">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ED5" w:fill="E5EED5"/>
      </w:tcPr>
    </w:tblStylePr>
    <w:tblStylePr w:type="band1Horz">
      <w:tcPr>
        <w:shd w:val="clear" w:color="E5EED5" w:fill="E5EED5"/>
      </w:tcPr>
    </w:tblStylePr>
  </w:style>
  <w:style w:type="table" w:customStyle="1" w:styleId="140">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41">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42">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DE4D0" w:fill="FDE4D0"/>
      </w:tcPr>
    </w:tblStylePr>
    <w:tblStylePr w:type="band1Horz">
      <w:tcPr>
        <w:shd w:val="clear" w:color="FDE4D0" w:fill="FDE4D0"/>
      </w:tcPr>
    </w:tblStylePr>
  </w:style>
  <w:style w:type="table" w:customStyle="1" w:styleId="143">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44">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404040"/>
        <w:sz w:val="22"/>
      </w:rPr>
      <w:tcPr>
        <w:tcBorders>
          <w:top w:val="single" w:color="DB9B9A" w:sz="4" w:space="0"/>
          <w:left w:val="nil"/>
          <w:bottom w:val="single" w:color="DB9B9A" w:sz="4" w:space="0"/>
          <w:right w:val="nil"/>
        </w:tcBorders>
      </w:tcPr>
    </w:tblStylePr>
    <w:tblStylePr w:type="lastRow">
      <w:rPr>
        <w:rFonts w:ascii="Arial" w:hAnsi="Arial"/>
        <w:b/>
        <w:color w:val="404040"/>
        <w:sz w:val="22"/>
      </w:rPr>
      <w:tcPr>
        <w:tcBorders>
          <w:top w:val="single" w:color="DB9B9A" w:sz="4" w:space="0"/>
          <w:left w:val="nil"/>
          <w:bottom w:val="single" w:color="DB9B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145">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146">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47">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48">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149">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150">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tblStylePr w:type="firstRow">
      <w:rPr>
        <w:rFonts w:ascii="Arial" w:hAnsi="Arial"/>
        <w:b/>
        <w:color w:val="FFFFFF"/>
        <w:sz w:val="22"/>
      </w:r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695" w:sz="4" w:space="0"/>
          <w:right w:val="single" w:color="D99695" w:sz="4" w:space="0"/>
        </w:tcBorders>
      </w:tcPr>
    </w:tblStylePr>
    <w:tblStylePr w:type="band1Horz">
      <w:rPr>
        <w:rFonts w:ascii="Arial" w:hAnsi="Arial"/>
        <w:color w:val="404040"/>
        <w:sz w:val="22"/>
      </w:rPr>
      <w:tcPr>
        <w:tcBorders>
          <w:top w:val="single" w:color="D99695" w:sz="4" w:space="0"/>
          <w:bottom w:val="single" w:color="D99695" w:sz="4" w:space="0"/>
        </w:tcBorders>
      </w:tcPr>
    </w:tblStylePr>
  </w:style>
  <w:style w:type="table" w:customStyle="1" w:styleId="151">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tblStylePr w:type="firstRow">
      <w:rPr>
        <w:rFonts w:ascii="Arial" w:hAnsi="Arial"/>
        <w:b/>
        <w:color w:val="FFFFFF"/>
        <w:sz w:val="22"/>
      </w:r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B" w:sz="4" w:space="0"/>
          <w:right w:val="single" w:color="C3D69B" w:sz="4" w:space="0"/>
        </w:tcBorders>
      </w:tcPr>
    </w:tblStylePr>
    <w:tblStylePr w:type="band1Horz">
      <w:rPr>
        <w:rFonts w:ascii="Arial" w:hAnsi="Arial"/>
        <w:color w:val="404040"/>
        <w:sz w:val="22"/>
      </w:rPr>
      <w:tcPr>
        <w:tcBorders>
          <w:top w:val="single" w:color="C3D69B" w:sz="4" w:space="0"/>
          <w:bottom w:val="single" w:color="C3D69B" w:sz="4" w:space="0"/>
        </w:tcBorders>
      </w:tcPr>
    </w:tblStylePr>
  </w:style>
  <w:style w:type="table" w:customStyle="1" w:styleId="152">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153">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154">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155">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56">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157">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158">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59">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60">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161">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162">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695" w:sz="32" w:space="0"/>
          <w:bottom w:val="single" w:color="FFFFFF" w:sz="12" w:space="0"/>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cPr>
        <w:tcBorders>
          <w:left w:val="single" w:color="D99695" w:sz="32" w:space="0"/>
          <w:right w:val="single" w:color="FFFFFF" w:sz="4" w:space="0"/>
        </w:tcBorders>
      </w:tcPr>
    </w:tblStylePr>
    <w:tblStylePr w:type="lastCol">
      <w:tcPr>
        <w:tcBorders>
          <w:left w:val="single" w:color="FFFFFF" w:sz="4" w:space="0"/>
          <w:right w:val="single" w:color="D99695" w:sz="32" w:space="0"/>
        </w:tcBorders>
      </w:tcPr>
    </w:tblStylePr>
    <w:tblStylePr w:type="band1Vert">
      <w:tcPr>
        <w:tcBorders>
          <w:left w:val="single" w:color="FFFFFF" w:sz="4" w:space="0"/>
          <w:right w:val="single" w:color="FFFFFF" w:sz="4" w:space="0"/>
        </w:tcBorders>
        <w:shd w:val="clear" w:color="D99695" w:fill="D996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695" w:fill="D99695"/>
      </w:tcPr>
    </w:tblStylePr>
    <w:tblStylePr w:type="band2Horz">
      <w:tcPr>
        <w:tcBorders>
          <w:top w:val="single" w:color="FFFFFF" w:sz="4" w:space="0"/>
          <w:bottom w:val="single" w:color="FFFFFF" w:sz="4" w:space="0"/>
        </w:tcBorders>
        <w:shd w:val="clear" w:color="D99695" w:fill="D99695"/>
      </w:tcPr>
    </w:tblStylePr>
  </w:style>
  <w:style w:type="table" w:customStyle="1" w:styleId="163">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B" w:sz="32" w:space="0"/>
          <w:bottom w:val="single" w:color="FFFFFF" w:sz="12" w:space="0"/>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cPr>
        <w:tcBorders>
          <w:left w:val="single" w:color="C3D69B" w:sz="32" w:space="0"/>
          <w:right w:val="single" w:color="FFFFFF" w:sz="4" w:space="0"/>
        </w:tcBorders>
      </w:tcPr>
    </w:tblStylePr>
    <w:tblStylePr w:type="lastCol">
      <w:tcPr>
        <w:tcBorders>
          <w:left w:val="single" w:color="FFFFFF" w:sz="4" w:space="0"/>
          <w:right w:val="single" w:color="C3D69B" w:sz="32" w:space="0"/>
        </w:tcBorders>
      </w:tcPr>
    </w:tblStylePr>
    <w:tblStylePr w:type="band1Vert">
      <w:tcPr>
        <w:tcBorders>
          <w:left w:val="single" w:color="FFFFFF" w:sz="4" w:space="0"/>
          <w:right w:val="single" w:color="FFFFFF" w:sz="4" w:space="0"/>
        </w:tcBorders>
        <w:shd w:val="clear" w:color="C3D69B" w:fill="C3D69B"/>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B" w:fill="C3D69B"/>
      </w:tcPr>
    </w:tblStylePr>
    <w:tblStylePr w:type="band2Horz">
      <w:tcPr>
        <w:tcBorders>
          <w:top w:val="single" w:color="FFFFFF" w:sz="4" w:space="0"/>
          <w:bottom w:val="single" w:color="FFFFFF" w:sz="4" w:space="0"/>
        </w:tcBorders>
        <w:shd w:val="clear" w:color="C3D69B" w:fill="C3D69B"/>
      </w:tcPr>
    </w:tblStylePr>
  </w:style>
  <w:style w:type="table" w:customStyle="1" w:styleId="164">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165">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166">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167">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A70"/>
      </w:rPr>
      <w:tcPr>
        <w:tcBorders>
          <w:bottom w:val="single" w:color="4F81BD" w:sz="4" w:space="0"/>
        </w:tcBorders>
      </w:tcPr>
    </w:tblStylePr>
    <w:tblStylePr w:type="lastRow">
      <w:rPr>
        <w:b/>
        <w:color w:val="2A4A70"/>
      </w:rPr>
      <w:tcPr>
        <w:tcBorders>
          <w:top w:val="single" w:color="4F81BD" w:sz="4" w:space="0"/>
        </w:tcBorders>
      </w:tcPr>
    </w:tblStylePr>
    <w:tblStylePr w:type="firstCol">
      <w:rPr>
        <w:b/>
        <w:color w:val="2A4A70"/>
      </w:rPr>
    </w:tblStylePr>
    <w:tblStylePr w:type="lastCol">
      <w:rPr>
        <w:b/>
        <w:color w:val="2A4A70"/>
      </w:r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168">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tblStylePr w:type="firstRow">
      <w:rPr>
        <w:b/>
        <w:color w:val="DA9796"/>
      </w:rPr>
      <w:tcPr>
        <w:tcBorders>
          <w:bottom w:val="single" w:color="D99695" w:sz="4" w:space="0"/>
        </w:tcBorders>
      </w:tcPr>
    </w:tblStylePr>
    <w:tblStylePr w:type="lastRow">
      <w:rPr>
        <w:b/>
        <w:color w:val="DA9796"/>
      </w:rPr>
      <w:tcPr>
        <w:tcBorders>
          <w:top w:val="single" w:color="D99695" w:sz="4" w:space="0"/>
        </w:tcBorders>
      </w:tcPr>
    </w:tblStylePr>
    <w:tblStylePr w:type="firstCol">
      <w:rPr>
        <w:b/>
        <w:color w:val="DA9796"/>
      </w:rPr>
    </w:tblStylePr>
    <w:tblStylePr w:type="lastCol">
      <w:rPr>
        <w:b/>
        <w:color w:val="DA9796"/>
      </w:r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169">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tblStylePr w:type="firstRow">
      <w:rPr>
        <w:b/>
        <w:color w:val="C2D69B"/>
      </w:rPr>
      <w:tcPr>
        <w:tcBorders>
          <w:bottom w:val="single" w:color="C3D69B" w:sz="4" w:space="0"/>
        </w:tcBorders>
      </w:tcPr>
    </w:tblStylePr>
    <w:tblStylePr w:type="lastRow">
      <w:rPr>
        <w:b/>
        <w:color w:val="C2D69B"/>
      </w:rPr>
      <w:tcPr>
        <w:tcBorders>
          <w:top w:val="single" w:color="C3D69B" w:sz="4" w:space="0"/>
        </w:tcBorders>
      </w:tcPr>
    </w:tblStylePr>
    <w:tblStylePr w:type="firstCol">
      <w:rPr>
        <w:b/>
        <w:color w:val="C2D69B"/>
      </w:rPr>
    </w:tblStylePr>
    <w:tblStylePr w:type="lastCol">
      <w:rPr>
        <w:b/>
        <w:color w:val="C2D69B"/>
      </w:r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170">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2A1C7"/>
      </w:rPr>
      <w:tcPr>
        <w:tcBorders>
          <w:bottom w:val="single" w:color="B2A1C6" w:sz="4" w:space="0"/>
        </w:tcBorders>
      </w:tcPr>
    </w:tblStylePr>
    <w:tblStylePr w:type="lastRow">
      <w:rPr>
        <w:b/>
        <w:color w:val="B2A1C7"/>
      </w:rPr>
      <w:tcPr>
        <w:tcBorders>
          <w:top w:val="single" w:color="B2A1C6" w:sz="4" w:space="0"/>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71">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2CDDC"/>
      </w:rPr>
      <w:tcPr>
        <w:tcBorders>
          <w:bottom w:val="single" w:color="92CCDC" w:sz="4" w:space="0"/>
        </w:tcBorders>
      </w:tcPr>
    </w:tblStylePr>
    <w:tblStylePr w:type="lastRow">
      <w:rPr>
        <w:b/>
        <w:color w:val="92CDDC"/>
      </w:rPr>
      <w:tcPr>
        <w:tcBorders>
          <w:top w:val="single" w:color="92CCDC" w:sz="4" w:space="0"/>
        </w:tcBorders>
      </w:tcPr>
    </w:tblStylePr>
    <w:tblStylePr w:type="firstCol">
      <w:rPr>
        <w:b/>
        <w:color w:val="92CDDC"/>
      </w:rPr>
    </w:tblStylePr>
    <w:tblStylePr w:type="lastCol">
      <w:rPr>
        <w:b/>
        <w:color w:val="92CDDC"/>
      </w:r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172">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BF8F"/>
      </w:rPr>
      <w:tcPr>
        <w:tcBorders>
          <w:bottom w:val="single" w:color="FAC090" w:sz="4" w:space="0"/>
        </w:tcBorders>
      </w:tcPr>
    </w:tblStylePr>
    <w:tblStylePr w:type="lastRow">
      <w:rPr>
        <w:b/>
        <w:color w:val="FABF8F"/>
      </w:rPr>
      <w:tcPr>
        <w:tcBorders>
          <w:top w:val="single" w:color="FAC090" w:sz="4" w:space="0"/>
        </w:tcBorders>
      </w:tcPr>
    </w:tblStylePr>
    <w:tblStylePr w:type="firstCol">
      <w:rPr>
        <w:b/>
        <w:color w:val="FABF8F"/>
      </w:rPr>
    </w:tblStylePr>
    <w:tblStylePr w:type="lastCol">
      <w:rPr>
        <w:b/>
        <w:color w:val="FABF8F"/>
      </w:r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173">
    <w:name w:val="List Table 7 Colorful - Accent 1"/>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A70"/>
        <w:sz w:val="22"/>
      </w:rPr>
      <w:tcPr>
        <w:tcBorders>
          <w:top w:val="nil"/>
          <w:left w:val="nil"/>
          <w:bottom w:val="single" w:color="4F81BD" w:sz="4" w:space="0"/>
          <w:right w:val="nil"/>
        </w:tcBorders>
        <w:shd w:val="clear" w:color="FFFFFF" w:fill="FFFFFF"/>
      </w:tcPr>
    </w:tblStylePr>
    <w:tblStylePr w:type="lastRow">
      <w:rPr>
        <w:rFonts w:ascii="Arial" w:hAnsi="Arial"/>
        <w:i/>
        <w:color w:val="2A4A70"/>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A70"/>
        <w:sz w:val="22"/>
      </w:rPr>
      <w:tcPr>
        <w:tcBorders>
          <w:top w:val="nil"/>
          <w:left w:val="nil"/>
          <w:bottom w:val="nil"/>
          <w:right w:val="single" w:color="4F81BD" w:sz="4" w:space="0"/>
        </w:tcBorders>
        <w:shd w:val="clear" w:color="FFFFFF" w:fill="auto"/>
      </w:tcPr>
    </w:tblStylePr>
    <w:tblStylePr w:type="lastCol">
      <w:rPr>
        <w:rFonts w:ascii="Arial" w:hAnsi="Arial"/>
        <w:i/>
        <w:color w:val="2A4A70"/>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174">
    <w:name w:val="List Table 7 Colorful - Accent 2"/>
    <w:qFormat/>
    <w:uiPriority w:val="99"/>
    <w:tblPr>
      <w:tblBorders>
        <w:right w:val="single" w:color="D99695" w:sz="4" w:space="0"/>
      </w:tblBorders>
      <w:tblCellMar>
        <w:top w:w="0" w:type="dxa"/>
        <w:left w:w="0" w:type="dxa"/>
        <w:bottom w:w="0" w:type="dxa"/>
        <w:right w:w="0" w:type="dxa"/>
      </w:tblCellMar>
    </w:tblPr>
    <w:tblStylePr w:type="firstRow">
      <w:rPr>
        <w:rFonts w:ascii="Arial" w:hAnsi="Arial"/>
        <w:i/>
        <w:color w:val="DA9796"/>
        <w:sz w:val="22"/>
      </w:rPr>
      <w:tcPr>
        <w:tcBorders>
          <w:top w:val="nil"/>
          <w:left w:val="nil"/>
          <w:bottom w:val="single" w:color="D99695" w:sz="4" w:space="0"/>
          <w:right w:val="nil"/>
        </w:tcBorders>
        <w:shd w:val="clear" w:color="FFFFFF" w:fill="FFFFFF"/>
      </w:tcPr>
    </w:tblStylePr>
    <w:tblStylePr w:type="lastRow">
      <w:rPr>
        <w:rFonts w:ascii="Arial" w:hAnsi="Arial"/>
        <w:i/>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175">
    <w:name w:val="List Table 7 Colorful - Accent 3"/>
    <w:qFormat/>
    <w:uiPriority w:val="99"/>
    <w:tblPr>
      <w:tblBorders>
        <w:right w:val="single" w:color="C3D69B" w:sz="4" w:space="0"/>
      </w:tblBorders>
      <w:tblCellMar>
        <w:top w:w="0" w:type="dxa"/>
        <w:left w:w="0" w:type="dxa"/>
        <w:bottom w:w="0" w:type="dxa"/>
        <w:right w:w="0" w:type="dxa"/>
      </w:tblCellMar>
    </w:tblPr>
    <w:tblStylePr w:type="firstRow">
      <w:rPr>
        <w:rFonts w:ascii="Arial" w:hAnsi="Arial"/>
        <w:i/>
        <w:color w:val="C2D69B"/>
        <w:sz w:val="22"/>
      </w:rPr>
      <w:tcPr>
        <w:tcBorders>
          <w:top w:val="nil"/>
          <w:left w:val="nil"/>
          <w:bottom w:val="single" w:color="C3D69B" w:sz="4" w:space="0"/>
          <w:right w:val="nil"/>
        </w:tcBorders>
        <w:shd w:val="clear" w:color="FFFFFF" w:fill="FFFFFF"/>
      </w:tcPr>
    </w:tblStylePr>
    <w:tblStylePr w:type="lastRow">
      <w:rPr>
        <w:rFonts w:ascii="Arial" w:hAnsi="Arial"/>
        <w:i/>
        <w:color w:val="C2D69B"/>
        <w:sz w:val="22"/>
      </w:rPr>
      <w:tcPr>
        <w:tcBorders>
          <w:top w:val="single" w:color="C3D69B" w:sz="4" w:space="0"/>
          <w:left w:val="nil"/>
          <w:bottom w:val="nil"/>
          <w:right w:val="nil"/>
        </w:tcBorders>
        <w:shd w:val="clear" w:color="FFFFFF" w:fill="FFFFFF"/>
      </w:tcPr>
    </w:tblStylePr>
    <w:tblStylePr w:type="firstCol">
      <w:pPr>
        <w:jc w:val="right"/>
      </w:pPr>
      <w:rPr>
        <w:rFonts w:ascii="Arial" w:hAnsi="Arial"/>
        <w:i/>
        <w:color w:val="C2D69B"/>
        <w:sz w:val="22"/>
      </w:rPr>
      <w:tcPr>
        <w:tcBorders>
          <w:top w:val="nil"/>
          <w:left w:val="nil"/>
          <w:bottom w:val="nil"/>
          <w:right w:val="single" w:color="C3D69B" w:sz="4" w:space="0"/>
        </w:tcBorders>
        <w:shd w:val="clear" w:color="FFFFFF" w:fill="auto"/>
      </w:tcPr>
    </w:tblStylePr>
    <w:tblStylePr w:type="lastCol">
      <w:rPr>
        <w:rFonts w:ascii="Arial" w:hAnsi="Arial"/>
        <w:i/>
        <w:color w:val="C2D69B"/>
        <w:sz w:val="22"/>
      </w:rPr>
      <w:tcPr>
        <w:tcBorders>
          <w:top w:val="nil"/>
          <w:left w:val="single" w:color="C3D69B" w:sz="4" w:space="0"/>
          <w:bottom w:val="nil"/>
          <w:right w:val="nil"/>
        </w:tcBorders>
        <w:shd w:val="clear" w:color="FFFFFF" w:fill="auto"/>
      </w:tc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176">
    <w:name w:val="List Table 7 Colorful - Accent 4"/>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77">
    <w:name w:val="List Table 7 Colorful - Accent 5"/>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2CDDC"/>
        <w:sz w:val="22"/>
      </w:rPr>
      <w:tcPr>
        <w:tcBorders>
          <w:top w:val="nil"/>
          <w:left w:val="nil"/>
          <w:bottom w:val="single" w:color="92CCDC" w:sz="4" w:space="0"/>
          <w:right w:val="nil"/>
        </w:tcBorders>
        <w:shd w:val="clear" w:color="FFFFFF" w:fill="FFFFFF"/>
      </w:tcPr>
    </w:tblStylePr>
    <w:tblStylePr w:type="lastRow">
      <w:rPr>
        <w:rFonts w:ascii="Arial" w:hAnsi="Arial"/>
        <w:i/>
        <w:color w:val="92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2CDDC"/>
        <w:sz w:val="22"/>
      </w:rPr>
      <w:tcPr>
        <w:tcBorders>
          <w:top w:val="nil"/>
          <w:left w:val="nil"/>
          <w:bottom w:val="nil"/>
          <w:right w:val="single" w:color="92CCDC" w:sz="4" w:space="0"/>
        </w:tcBorders>
        <w:shd w:val="clear" w:color="FFFFFF" w:fill="auto"/>
      </w:tcPr>
    </w:tblStylePr>
    <w:tblStylePr w:type="lastCol">
      <w:rPr>
        <w:rFonts w:ascii="Arial" w:hAnsi="Arial"/>
        <w:i/>
        <w:color w:val="92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178">
    <w:name w:val="List Table 7 Colorful - Accent 6"/>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BF8F"/>
        <w:sz w:val="22"/>
      </w:rPr>
      <w:tcPr>
        <w:tcBorders>
          <w:top w:val="nil"/>
          <w:left w:val="nil"/>
          <w:bottom w:val="single" w:color="FAC090" w:sz="4" w:space="0"/>
          <w:right w:val="nil"/>
        </w:tcBorders>
        <w:shd w:val="clear" w:color="FFFFFF" w:fill="FFFFFF"/>
      </w:tcPr>
    </w:tblStylePr>
    <w:tblStylePr w:type="lastRow">
      <w:rPr>
        <w:rFonts w:ascii="Arial" w:hAnsi="Arial"/>
        <w:i/>
        <w:color w:val="FABF8F"/>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BF8F"/>
        <w:sz w:val="22"/>
      </w:rPr>
      <w:tcPr>
        <w:tcBorders>
          <w:top w:val="nil"/>
          <w:left w:val="nil"/>
          <w:bottom w:val="nil"/>
          <w:right w:val="single" w:color="FAC090" w:sz="4" w:space="0"/>
        </w:tcBorders>
        <w:shd w:val="clear" w:color="FFFFFF" w:fill="auto"/>
      </w:tcPr>
    </w:tblStylePr>
    <w:tblStylePr w:type="lastCol">
      <w:rPr>
        <w:rFonts w:ascii="Arial" w:hAnsi="Arial"/>
        <w:i/>
        <w:color w:val="FABF8F"/>
        <w:sz w:val="22"/>
      </w:rPr>
      <w:tcPr>
        <w:tcBorders>
          <w:top w:val="nil"/>
          <w:left w:val="single" w:color="FAC090" w:sz="4" w:space="0"/>
          <w:bottom w:val="nil"/>
          <w:right w:val="nil"/>
        </w:tcBorders>
        <w:shd w:val="clear" w:color="FFFFFF" w:fill="auto"/>
      </w:tc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17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18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8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8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18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8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8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186">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187">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88">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89">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190">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91">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92">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193">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tblStylePr w:type="firstRow">
      <w:rPr>
        <w:rFonts w:ascii="Arial" w:hAnsi="Arial"/>
        <w:color w:val="404040"/>
        <w:sz w:val="22"/>
      </w:rPr>
      <w:tcPr>
        <w:tcBorders>
          <w:bottom w:val="single" w:color="7F7F7F" w:sz="12" w:space="0"/>
        </w:tcBorders>
      </w:tcPr>
    </w:tblStylePr>
    <w:tblStylePr w:type="lastRow">
      <w:rPr>
        <w:rFonts w:ascii="Arial" w:hAnsi="Arial"/>
        <w:color w:val="404040"/>
        <w:sz w:val="22"/>
      </w:rPr>
      <w:tcPr>
        <w:tcBorders>
          <w:top w:val="single" w:color="7F7F7F"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F7F7F" w:sz="12" w:space="0"/>
        </w:tcBorders>
      </w:tcPr>
    </w:tblStyle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style>
  <w:style w:type="table" w:customStyle="1" w:styleId="194">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195">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rFonts w:ascii="Arial" w:hAnsi="Arial"/>
        <w:color w:val="404040"/>
        <w:sz w:val="22"/>
      </w:rPr>
      <w:tcPr>
        <w:tcBorders>
          <w:bottom w:val="single" w:color="D99695" w:sz="12" w:space="0"/>
        </w:tcBorders>
      </w:tcPr>
    </w:tblStylePr>
    <w:tblStylePr w:type="lastRow">
      <w:rPr>
        <w:rFonts w:ascii="Arial" w:hAnsi="Arial"/>
        <w:color w:val="404040"/>
        <w:sz w:val="22"/>
      </w:rPr>
      <w:tcPr>
        <w:tcBorders>
          <w:top w:val="single" w:color="D996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695" w:sz="12" w:space="0"/>
        </w:tcBorders>
      </w:tc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196">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B" w:sz="12" w:space="0"/>
        </w:tcBorders>
      </w:tcPr>
    </w:tblStylePr>
    <w:tblStylePr w:type="lastRow">
      <w:rPr>
        <w:rFonts w:ascii="Arial" w:hAnsi="Arial"/>
        <w:color w:val="404040"/>
        <w:sz w:val="22"/>
      </w:rPr>
      <w:tcPr>
        <w:tcBorders>
          <w:top w:val="single" w:color="C3D69B"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B"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197">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198">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199">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character" w:customStyle="1" w:styleId="200">
    <w:name w:val="脚注文本 字符"/>
    <w:link w:val="27"/>
    <w:qFormat/>
    <w:uiPriority w:val="0"/>
    <w:rPr>
      <w:sz w:val="18"/>
    </w:rPr>
  </w:style>
  <w:style w:type="character" w:customStyle="1" w:styleId="201">
    <w:name w:val="尾注文本 字符"/>
    <w:link w:val="21"/>
    <w:qFormat/>
    <w:uiPriority w:val="99"/>
    <w:rPr>
      <w:sz w:val="20"/>
    </w:rPr>
  </w:style>
  <w:style w:type="paragraph" w:customStyle="1" w:styleId="202">
    <w:name w:val="TOC 标题11"/>
    <w:qFormat/>
    <w:uiPriority w:val="39"/>
    <w:rPr>
      <w:rFonts w:ascii="Times New Roman" w:hAnsi="Times New Roman" w:eastAsia="宋体" w:cs="Times New Roman"/>
      <w:lang w:val="en-US" w:eastAsia="zh-CN" w:bidi="ar-SA"/>
    </w:rPr>
  </w:style>
  <w:style w:type="paragraph" w:customStyle="1" w:styleId="203">
    <w:name w:val="标题 11"/>
    <w:basedOn w:val="1"/>
    <w:next w:val="1"/>
    <w:link w:val="215"/>
    <w:qFormat/>
    <w:uiPriority w:val="0"/>
    <w:pPr>
      <w:keepNext/>
      <w:keepLines/>
      <w:spacing w:before="340" w:after="330" w:line="576" w:lineRule="auto"/>
      <w:outlineLvl w:val="0"/>
    </w:pPr>
    <w:rPr>
      <w:b/>
      <w:sz w:val="44"/>
      <w:szCs w:val="20"/>
    </w:rPr>
  </w:style>
  <w:style w:type="paragraph" w:customStyle="1" w:styleId="204">
    <w:name w:val="标题 21"/>
    <w:basedOn w:val="1"/>
    <w:next w:val="1"/>
    <w:link w:val="216"/>
    <w:qFormat/>
    <w:uiPriority w:val="0"/>
    <w:pPr>
      <w:keepNext/>
      <w:keepLines/>
      <w:spacing w:before="260" w:after="260" w:line="413" w:lineRule="auto"/>
      <w:outlineLvl w:val="1"/>
    </w:pPr>
    <w:rPr>
      <w:rFonts w:ascii="Arial" w:hAnsi="Arial" w:eastAsia="黑体"/>
      <w:b/>
      <w:sz w:val="32"/>
      <w:szCs w:val="20"/>
    </w:rPr>
  </w:style>
  <w:style w:type="paragraph" w:customStyle="1" w:styleId="205">
    <w:name w:val="标题 31"/>
    <w:basedOn w:val="1"/>
    <w:next w:val="1"/>
    <w:link w:val="217"/>
    <w:qFormat/>
    <w:uiPriority w:val="0"/>
    <w:pPr>
      <w:keepNext/>
      <w:keepLines/>
      <w:spacing w:before="260" w:after="260" w:line="413" w:lineRule="auto"/>
      <w:outlineLvl w:val="2"/>
    </w:pPr>
    <w:rPr>
      <w:b/>
      <w:sz w:val="32"/>
      <w:szCs w:val="20"/>
    </w:rPr>
  </w:style>
  <w:style w:type="paragraph" w:customStyle="1" w:styleId="206">
    <w:name w:val="标题 41"/>
    <w:basedOn w:val="1"/>
    <w:next w:val="1"/>
    <w:link w:val="218"/>
    <w:qFormat/>
    <w:uiPriority w:val="0"/>
    <w:pPr>
      <w:keepNext/>
      <w:keepLines/>
      <w:tabs>
        <w:tab w:val="left" w:pos="1134"/>
        <w:tab w:val="right" w:pos="7371"/>
      </w:tabs>
      <w:spacing w:line="360" w:lineRule="auto"/>
      <w:outlineLvl w:val="3"/>
    </w:pPr>
    <w:rPr>
      <w:rFonts w:ascii="宋体"/>
      <w:color w:val="800000"/>
      <w:sz w:val="28"/>
      <w:szCs w:val="20"/>
    </w:rPr>
  </w:style>
  <w:style w:type="paragraph" w:customStyle="1" w:styleId="207">
    <w:name w:val="标题 51"/>
    <w:basedOn w:val="1"/>
    <w:next w:val="1"/>
    <w:qFormat/>
    <w:uiPriority w:val="0"/>
    <w:pPr>
      <w:keepNext/>
      <w:keepLines/>
      <w:tabs>
        <w:tab w:val="left" w:pos="1134"/>
        <w:tab w:val="right" w:pos="7371"/>
      </w:tabs>
      <w:spacing w:line="360" w:lineRule="auto"/>
      <w:jc w:val="left"/>
      <w:outlineLvl w:val="4"/>
    </w:pPr>
    <w:rPr>
      <w:rFonts w:ascii="宋体"/>
      <w:color w:val="008000"/>
      <w:sz w:val="28"/>
      <w:szCs w:val="20"/>
    </w:rPr>
  </w:style>
  <w:style w:type="paragraph" w:customStyle="1" w:styleId="208">
    <w:name w:val="标题 61"/>
    <w:basedOn w:val="1"/>
    <w:next w:val="1"/>
    <w:qFormat/>
    <w:uiPriority w:val="0"/>
    <w:pPr>
      <w:keepNext/>
      <w:keepLines/>
      <w:tabs>
        <w:tab w:val="left" w:pos="1134"/>
        <w:tab w:val="right" w:pos="7371"/>
      </w:tabs>
      <w:spacing w:before="240" w:after="64" w:line="316" w:lineRule="auto"/>
      <w:jc w:val="left"/>
      <w:outlineLvl w:val="5"/>
    </w:pPr>
    <w:rPr>
      <w:rFonts w:ascii="Arial" w:hAnsi="Arial" w:eastAsia="黑体"/>
      <w:b/>
      <w:color w:val="000000"/>
      <w:sz w:val="24"/>
      <w:szCs w:val="20"/>
    </w:rPr>
  </w:style>
  <w:style w:type="paragraph" w:customStyle="1" w:styleId="209">
    <w:name w:val="标题 71"/>
    <w:basedOn w:val="1"/>
    <w:next w:val="1"/>
    <w:qFormat/>
    <w:uiPriority w:val="0"/>
    <w:pPr>
      <w:keepNext/>
      <w:keepLines/>
      <w:tabs>
        <w:tab w:val="left" w:pos="1134"/>
        <w:tab w:val="right" w:pos="7371"/>
      </w:tabs>
      <w:spacing w:before="240" w:after="64" w:line="316" w:lineRule="auto"/>
      <w:jc w:val="left"/>
      <w:outlineLvl w:val="6"/>
    </w:pPr>
    <w:rPr>
      <w:rFonts w:ascii="宋体"/>
      <w:b/>
      <w:color w:val="000000"/>
      <w:sz w:val="24"/>
      <w:szCs w:val="20"/>
    </w:rPr>
  </w:style>
  <w:style w:type="paragraph" w:customStyle="1" w:styleId="210">
    <w:name w:val="标题 81"/>
    <w:basedOn w:val="1"/>
    <w:next w:val="1"/>
    <w:qFormat/>
    <w:uiPriority w:val="0"/>
    <w:pPr>
      <w:keepNext/>
      <w:keepLines/>
      <w:tabs>
        <w:tab w:val="left" w:pos="1134"/>
        <w:tab w:val="right" w:pos="7371"/>
      </w:tabs>
      <w:spacing w:before="240" w:after="64" w:line="316" w:lineRule="auto"/>
      <w:jc w:val="left"/>
      <w:outlineLvl w:val="7"/>
    </w:pPr>
    <w:rPr>
      <w:rFonts w:ascii="Arial" w:hAnsi="Arial" w:eastAsia="黑体"/>
      <w:color w:val="000000"/>
      <w:sz w:val="24"/>
      <w:szCs w:val="20"/>
    </w:rPr>
  </w:style>
  <w:style w:type="paragraph" w:customStyle="1" w:styleId="211">
    <w:name w:val="标题 91"/>
    <w:basedOn w:val="1"/>
    <w:next w:val="1"/>
    <w:qFormat/>
    <w:uiPriority w:val="0"/>
    <w:pPr>
      <w:keepNext/>
      <w:spacing w:line="600" w:lineRule="exact"/>
      <w:jc w:val="center"/>
      <w:outlineLvl w:val="8"/>
    </w:pPr>
    <w:rPr>
      <w:rFonts w:ascii="仿宋_GB2312" w:eastAsia="仿宋_GB2312"/>
      <w:sz w:val="32"/>
    </w:rPr>
  </w:style>
  <w:style w:type="character" w:customStyle="1" w:styleId="212">
    <w:name w:val="默认段落字体1"/>
    <w:qFormat/>
    <w:uiPriority w:val="1"/>
  </w:style>
  <w:style w:type="table" w:customStyle="1" w:styleId="213">
    <w:name w:val="普通表格1"/>
    <w:qFormat/>
    <w:uiPriority w:val="0"/>
    <w:tblPr>
      <w:tblCellMar>
        <w:top w:w="0" w:type="dxa"/>
        <w:left w:w="0" w:type="dxa"/>
        <w:bottom w:w="0" w:type="dxa"/>
        <w:right w:w="0" w:type="dxa"/>
      </w:tblCellMar>
    </w:tblPr>
  </w:style>
  <w:style w:type="character" w:customStyle="1" w:styleId="214">
    <w:name w:val="正文文本 字符"/>
    <w:link w:val="79"/>
    <w:qFormat/>
    <w:uiPriority w:val="0"/>
    <w:rPr>
      <w:rFonts w:ascii="仿宋_GB2312" w:eastAsia="仿宋_GB2312"/>
      <w:sz w:val="32"/>
      <w:szCs w:val="22"/>
    </w:rPr>
  </w:style>
  <w:style w:type="character" w:customStyle="1" w:styleId="215">
    <w:name w:val="标题 1 字符"/>
    <w:link w:val="203"/>
    <w:qFormat/>
    <w:uiPriority w:val="0"/>
    <w:rPr>
      <w:b/>
      <w:sz w:val="44"/>
    </w:rPr>
  </w:style>
  <w:style w:type="character" w:customStyle="1" w:styleId="216">
    <w:name w:val="标题 2 字符"/>
    <w:link w:val="204"/>
    <w:qFormat/>
    <w:uiPriority w:val="0"/>
    <w:rPr>
      <w:rFonts w:ascii="Arial" w:hAnsi="Arial" w:eastAsia="黑体"/>
      <w:b/>
      <w:sz w:val="32"/>
    </w:rPr>
  </w:style>
  <w:style w:type="character" w:customStyle="1" w:styleId="217">
    <w:name w:val="标题 3 字符"/>
    <w:link w:val="205"/>
    <w:qFormat/>
    <w:uiPriority w:val="0"/>
    <w:rPr>
      <w:b/>
      <w:sz w:val="32"/>
    </w:rPr>
  </w:style>
  <w:style w:type="character" w:customStyle="1" w:styleId="218">
    <w:name w:val="标题 4 字符"/>
    <w:link w:val="206"/>
    <w:qFormat/>
    <w:uiPriority w:val="0"/>
    <w:rPr>
      <w:rFonts w:ascii="宋体" w:eastAsia="宋体"/>
      <w:color w:val="800000"/>
      <w:sz w:val="28"/>
      <w:lang w:val="en-US" w:eastAsia="zh-CN" w:bidi="ar-SA"/>
    </w:rPr>
  </w:style>
  <w:style w:type="paragraph" w:customStyle="1" w:styleId="219">
    <w:name w:val="目录 71"/>
    <w:basedOn w:val="1"/>
    <w:next w:val="1"/>
    <w:qFormat/>
    <w:uiPriority w:val="0"/>
    <w:pPr>
      <w:ind w:left="1260"/>
      <w:jc w:val="left"/>
    </w:pPr>
    <w:rPr>
      <w:rFonts w:ascii="Calibri" w:hAnsi="Calibri" w:cs="Calibri"/>
      <w:sz w:val="18"/>
      <w:szCs w:val="18"/>
    </w:rPr>
  </w:style>
  <w:style w:type="paragraph" w:customStyle="1" w:styleId="220">
    <w:name w:val="列表项目符号 41"/>
    <w:basedOn w:val="1"/>
    <w:qFormat/>
    <w:uiPriority w:val="0"/>
    <w:pPr>
      <w:tabs>
        <w:tab w:val="left" w:pos="360"/>
      </w:tabs>
      <w:spacing w:line="380" w:lineRule="exact"/>
      <w:ind w:left="360" w:hanging="360"/>
    </w:pPr>
    <w:rPr>
      <w:rFonts w:ascii="Calibri" w:hAnsi="Calibri"/>
      <w:sz w:val="28"/>
    </w:rPr>
  </w:style>
  <w:style w:type="paragraph" w:customStyle="1" w:styleId="221">
    <w:name w:val="索引 81"/>
    <w:basedOn w:val="1"/>
    <w:next w:val="1"/>
    <w:qFormat/>
    <w:uiPriority w:val="0"/>
    <w:pPr>
      <w:ind w:left="1400"/>
    </w:pPr>
    <w:rPr>
      <w:rFonts w:ascii="Calibri" w:hAnsi="Calibri"/>
    </w:rPr>
  </w:style>
  <w:style w:type="paragraph" w:customStyle="1" w:styleId="222">
    <w:name w:val="正文缩进11"/>
    <w:basedOn w:val="1"/>
    <w:qFormat/>
    <w:uiPriority w:val="0"/>
    <w:pPr>
      <w:ind w:firstLine="420"/>
    </w:pPr>
    <w:rPr>
      <w:rFonts w:ascii="宋体"/>
      <w:color w:val="000000"/>
      <w:sz w:val="24"/>
      <w:szCs w:val="20"/>
    </w:rPr>
  </w:style>
  <w:style w:type="paragraph" w:customStyle="1" w:styleId="223">
    <w:name w:val="题注1"/>
    <w:basedOn w:val="1"/>
    <w:next w:val="1"/>
    <w:link w:val="224"/>
    <w:qFormat/>
    <w:uiPriority w:val="0"/>
    <w:pPr>
      <w:tabs>
        <w:tab w:val="left" w:pos="0"/>
      </w:tabs>
      <w:spacing w:line="360" w:lineRule="auto"/>
    </w:pPr>
    <w:rPr>
      <w:rFonts w:ascii="Arial" w:hAnsi="Arial" w:eastAsia="黑体"/>
      <w:sz w:val="20"/>
      <w:szCs w:val="20"/>
    </w:rPr>
  </w:style>
  <w:style w:type="character" w:customStyle="1" w:styleId="224">
    <w:name w:val="题注 字符"/>
    <w:link w:val="223"/>
    <w:qFormat/>
    <w:uiPriority w:val="0"/>
    <w:rPr>
      <w:rFonts w:ascii="Arial" w:hAnsi="Arial" w:eastAsia="黑体" w:cs="Arial"/>
    </w:rPr>
  </w:style>
  <w:style w:type="paragraph" w:customStyle="1" w:styleId="225">
    <w:name w:val="索引 51"/>
    <w:basedOn w:val="1"/>
    <w:next w:val="1"/>
    <w:qFormat/>
    <w:uiPriority w:val="0"/>
    <w:pPr>
      <w:ind w:left="800"/>
    </w:pPr>
    <w:rPr>
      <w:rFonts w:ascii="Calibri" w:hAnsi="Calibri"/>
    </w:rPr>
  </w:style>
  <w:style w:type="paragraph" w:customStyle="1" w:styleId="226">
    <w:name w:val="列表项目符号1"/>
    <w:basedOn w:val="1"/>
    <w:qFormat/>
    <w:uiPriority w:val="0"/>
    <w:pPr>
      <w:tabs>
        <w:tab w:val="left" w:pos="840"/>
      </w:tabs>
      <w:spacing w:line="360" w:lineRule="auto"/>
      <w:ind w:left="962" w:hanging="480"/>
    </w:pPr>
    <w:rPr>
      <w:sz w:val="24"/>
    </w:rPr>
  </w:style>
  <w:style w:type="paragraph" w:customStyle="1" w:styleId="227">
    <w:name w:val="文档结构图1"/>
    <w:basedOn w:val="1"/>
    <w:qFormat/>
    <w:uiPriority w:val="0"/>
    <w:pPr>
      <w:shd w:val="clear" w:color="auto" w:fill="000080"/>
    </w:pPr>
  </w:style>
  <w:style w:type="paragraph" w:customStyle="1" w:styleId="228">
    <w:name w:val="批注文字1"/>
    <w:basedOn w:val="1"/>
    <w:link w:val="229"/>
    <w:qFormat/>
    <w:uiPriority w:val="99"/>
    <w:pPr>
      <w:jc w:val="left"/>
    </w:pPr>
    <w:rPr>
      <w:rFonts w:ascii="Calibri" w:hAnsi="Calibri"/>
      <w:szCs w:val="20"/>
    </w:rPr>
  </w:style>
  <w:style w:type="character" w:customStyle="1" w:styleId="229">
    <w:name w:val="批注文字 字符"/>
    <w:link w:val="228"/>
    <w:qFormat/>
    <w:uiPriority w:val="99"/>
    <w:rPr>
      <w:rFonts w:ascii="Calibri" w:hAnsi="Calibri" w:eastAsia="宋体" w:cs="Times New Roman"/>
      <w:sz w:val="21"/>
    </w:rPr>
  </w:style>
  <w:style w:type="paragraph" w:customStyle="1" w:styleId="230">
    <w:name w:val="索引 61"/>
    <w:basedOn w:val="1"/>
    <w:next w:val="1"/>
    <w:qFormat/>
    <w:uiPriority w:val="0"/>
    <w:pPr>
      <w:ind w:left="1000"/>
    </w:pPr>
    <w:rPr>
      <w:rFonts w:ascii="Calibri" w:hAnsi="Calibri"/>
    </w:rPr>
  </w:style>
  <w:style w:type="paragraph" w:customStyle="1" w:styleId="231">
    <w:name w:val="正文文本 31"/>
    <w:basedOn w:val="1"/>
    <w:qFormat/>
    <w:uiPriority w:val="0"/>
    <w:rPr>
      <w:color w:val="000000"/>
    </w:rPr>
  </w:style>
  <w:style w:type="paragraph" w:customStyle="1" w:styleId="232">
    <w:name w:val="列表项目符号 31"/>
    <w:basedOn w:val="1"/>
    <w:qFormat/>
    <w:uiPriority w:val="0"/>
    <w:pPr>
      <w:tabs>
        <w:tab w:val="left" w:pos="1200"/>
      </w:tabs>
      <w:spacing w:line="380" w:lineRule="exact"/>
      <w:ind w:left="1200" w:hanging="360"/>
    </w:pPr>
    <w:rPr>
      <w:rFonts w:ascii="Calibri" w:hAnsi="Calibri"/>
      <w:sz w:val="28"/>
    </w:rPr>
  </w:style>
  <w:style w:type="paragraph" w:customStyle="1" w:styleId="233">
    <w:name w:val="正文文本缩进11"/>
    <w:basedOn w:val="1"/>
    <w:next w:val="1"/>
    <w:qFormat/>
    <w:uiPriority w:val="0"/>
    <w:pPr>
      <w:ind w:firstLine="225"/>
    </w:pPr>
    <w:rPr>
      <w:rFonts w:ascii="仿宋_GB2312" w:eastAsia="仿宋_GB2312"/>
      <w:sz w:val="32"/>
    </w:rPr>
  </w:style>
  <w:style w:type="paragraph" w:customStyle="1" w:styleId="234">
    <w:name w:val="文本块1"/>
    <w:basedOn w:val="1"/>
    <w:qFormat/>
    <w:uiPriority w:val="0"/>
    <w:pPr>
      <w:spacing w:line="360" w:lineRule="exact"/>
      <w:ind w:left="1548" w:right="12" w:hanging="2405"/>
    </w:pPr>
    <w:rPr>
      <w:rFonts w:ascii="宋体"/>
      <w:bCs/>
      <w:sz w:val="28"/>
    </w:rPr>
  </w:style>
  <w:style w:type="paragraph" w:customStyle="1" w:styleId="235">
    <w:name w:val="列表项目符号 21"/>
    <w:basedOn w:val="1"/>
    <w:qFormat/>
    <w:uiPriority w:val="0"/>
    <w:pPr>
      <w:tabs>
        <w:tab w:val="left" w:pos="720"/>
      </w:tabs>
      <w:spacing w:line="360" w:lineRule="auto"/>
      <w:ind w:left="720" w:hanging="360"/>
    </w:pPr>
    <w:rPr>
      <w:sz w:val="24"/>
    </w:rPr>
  </w:style>
  <w:style w:type="paragraph" w:customStyle="1" w:styleId="236">
    <w:name w:val="HTML 地址1"/>
    <w:basedOn w:val="1"/>
    <w:qFormat/>
    <w:uiPriority w:val="0"/>
    <w:rPr>
      <w:i/>
      <w:iCs/>
    </w:rPr>
  </w:style>
  <w:style w:type="paragraph" w:customStyle="1" w:styleId="237">
    <w:name w:val="索引 41"/>
    <w:basedOn w:val="1"/>
    <w:next w:val="1"/>
    <w:qFormat/>
    <w:uiPriority w:val="0"/>
    <w:pPr>
      <w:ind w:left="600"/>
    </w:pPr>
    <w:rPr>
      <w:rFonts w:ascii="Calibri" w:hAnsi="Calibri"/>
    </w:rPr>
  </w:style>
  <w:style w:type="paragraph" w:customStyle="1" w:styleId="238">
    <w:name w:val="目录 51"/>
    <w:basedOn w:val="1"/>
    <w:next w:val="1"/>
    <w:qFormat/>
    <w:uiPriority w:val="0"/>
    <w:pPr>
      <w:ind w:left="840"/>
      <w:jc w:val="left"/>
    </w:pPr>
    <w:rPr>
      <w:rFonts w:ascii="Calibri" w:hAnsi="Calibri" w:cs="Calibri"/>
      <w:sz w:val="18"/>
      <w:szCs w:val="18"/>
    </w:rPr>
  </w:style>
  <w:style w:type="paragraph" w:customStyle="1" w:styleId="239">
    <w:name w:val="目录 31"/>
    <w:basedOn w:val="1"/>
    <w:next w:val="1"/>
    <w:qFormat/>
    <w:uiPriority w:val="39"/>
    <w:pPr>
      <w:ind w:left="420"/>
      <w:jc w:val="left"/>
    </w:pPr>
    <w:rPr>
      <w:rFonts w:ascii="Calibri" w:hAnsi="Calibri" w:cs="Calibri"/>
      <w:i/>
      <w:iCs/>
      <w:sz w:val="20"/>
      <w:szCs w:val="20"/>
    </w:rPr>
  </w:style>
  <w:style w:type="paragraph" w:customStyle="1" w:styleId="240">
    <w:name w:val="纯文本11"/>
    <w:basedOn w:val="1"/>
    <w:qFormat/>
    <w:uiPriority w:val="0"/>
    <w:rPr>
      <w:rFonts w:ascii="宋体"/>
      <w:szCs w:val="21"/>
    </w:rPr>
  </w:style>
  <w:style w:type="paragraph" w:customStyle="1" w:styleId="241">
    <w:name w:val="列表项目符号 51"/>
    <w:basedOn w:val="1"/>
    <w:qFormat/>
    <w:uiPriority w:val="0"/>
    <w:pPr>
      <w:tabs>
        <w:tab w:val="left" w:pos="720"/>
      </w:tabs>
      <w:spacing w:line="380" w:lineRule="exact"/>
      <w:ind w:left="720" w:hanging="360"/>
    </w:pPr>
    <w:rPr>
      <w:rFonts w:ascii="Calibri" w:hAnsi="Calibri"/>
      <w:sz w:val="28"/>
    </w:rPr>
  </w:style>
  <w:style w:type="paragraph" w:customStyle="1" w:styleId="242">
    <w:name w:val="目录 81"/>
    <w:basedOn w:val="1"/>
    <w:next w:val="1"/>
    <w:qFormat/>
    <w:uiPriority w:val="0"/>
    <w:pPr>
      <w:ind w:left="1470"/>
      <w:jc w:val="left"/>
    </w:pPr>
    <w:rPr>
      <w:rFonts w:ascii="Calibri" w:hAnsi="Calibri" w:cs="Calibri"/>
      <w:sz w:val="18"/>
      <w:szCs w:val="18"/>
    </w:rPr>
  </w:style>
  <w:style w:type="paragraph" w:customStyle="1" w:styleId="243">
    <w:name w:val="索引 31"/>
    <w:basedOn w:val="1"/>
    <w:next w:val="1"/>
    <w:qFormat/>
    <w:uiPriority w:val="0"/>
    <w:pPr>
      <w:ind w:left="400"/>
    </w:pPr>
    <w:rPr>
      <w:rFonts w:ascii="Calibri" w:hAnsi="Calibri"/>
    </w:rPr>
  </w:style>
  <w:style w:type="paragraph" w:customStyle="1" w:styleId="244">
    <w:name w:val="日期1"/>
    <w:basedOn w:val="1"/>
    <w:next w:val="1"/>
    <w:qFormat/>
    <w:uiPriority w:val="0"/>
    <w:pPr>
      <w:ind w:left="2500"/>
    </w:pPr>
  </w:style>
  <w:style w:type="paragraph" w:customStyle="1" w:styleId="245">
    <w:name w:val="正文文本缩进 21"/>
    <w:basedOn w:val="1"/>
    <w:qFormat/>
    <w:uiPriority w:val="0"/>
    <w:pPr>
      <w:spacing w:line="540" w:lineRule="exact"/>
      <w:ind w:firstLine="225"/>
      <w:jc w:val="left"/>
    </w:pPr>
    <w:rPr>
      <w:rFonts w:ascii="仿宋_GB2312" w:eastAsia="仿宋_GB2312"/>
      <w:sz w:val="32"/>
    </w:rPr>
  </w:style>
  <w:style w:type="paragraph" w:customStyle="1" w:styleId="246">
    <w:name w:val="尾注文本1"/>
    <w:basedOn w:val="1"/>
    <w:qFormat/>
    <w:uiPriority w:val="0"/>
    <w:pPr>
      <w:widowControl/>
      <w:jc w:val="left"/>
    </w:pPr>
    <w:rPr>
      <w:rFonts w:ascii="宋体"/>
      <w:bCs/>
      <w:szCs w:val="21"/>
    </w:rPr>
  </w:style>
  <w:style w:type="paragraph" w:customStyle="1" w:styleId="247">
    <w:name w:val="批注框文本1"/>
    <w:basedOn w:val="1"/>
    <w:qFormat/>
    <w:uiPriority w:val="0"/>
    <w:rPr>
      <w:sz w:val="18"/>
      <w:szCs w:val="20"/>
    </w:rPr>
  </w:style>
  <w:style w:type="paragraph" w:customStyle="1" w:styleId="248">
    <w:name w:val="页脚1"/>
    <w:basedOn w:val="1"/>
    <w:link w:val="249"/>
    <w:qFormat/>
    <w:uiPriority w:val="99"/>
    <w:pPr>
      <w:tabs>
        <w:tab w:val="center" w:pos="4153"/>
        <w:tab w:val="right" w:pos="8306"/>
      </w:tabs>
      <w:jc w:val="left"/>
    </w:pPr>
    <w:rPr>
      <w:rFonts w:ascii="Calibri" w:hAnsi="Calibri"/>
      <w:sz w:val="18"/>
      <w:szCs w:val="18"/>
    </w:rPr>
  </w:style>
  <w:style w:type="character" w:customStyle="1" w:styleId="249">
    <w:name w:val="页脚 字符"/>
    <w:link w:val="248"/>
    <w:qFormat/>
    <w:uiPriority w:val="99"/>
    <w:rPr>
      <w:rFonts w:ascii="Calibri" w:hAnsi="Calibri" w:eastAsia="宋体" w:cs="Times New Roman"/>
      <w:sz w:val="18"/>
      <w:szCs w:val="18"/>
    </w:rPr>
  </w:style>
  <w:style w:type="paragraph" w:customStyle="1" w:styleId="250">
    <w:name w:val="寄信人地址11"/>
    <w:basedOn w:val="1"/>
    <w:qFormat/>
    <w:uiPriority w:val="0"/>
    <w:rPr>
      <w:rFonts w:ascii="Arial" w:hAnsi="Arial"/>
    </w:rPr>
  </w:style>
  <w:style w:type="paragraph" w:customStyle="1" w:styleId="251">
    <w:name w:val="页眉1"/>
    <w:basedOn w:val="1"/>
    <w:link w:val="252"/>
    <w:qFormat/>
    <w:uiPriority w:val="99"/>
    <w:pPr>
      <w:pBdr>
        <w:bottom w:val="single" w:color="000000" w:sz="6" w:space="1"/>
      </w:pBdr>
      <w:tabs>
        <w:tab w:val="center" w:pos="4153"/>
        <w:tab w:val="right" w:pos="8306"/>
      </w:tabs>
      <w:jc w:val="center"/>
    </w:pPr>
    <w:rPr>
      <w:sz w:val="18"/>
      <w:szCs w:val="18"/>
    </w:rPr>
  </w:style>
  <w:style w:type="character" w:customStyle="1" w:styleId="252">
    <w:name w:val="页眉 字符"/>
    <w:link w:val="251"/>
    <w:qFormat/>
    <w:uiPriority w:val="99"/>
    <w:rPr>
      <w:sz w:val="18"/>
      <w:szCs w:val="18"/>
    </w:rPr>
  </w:style>
  <w:style w:type="paragraph" w:customStyle="1" w:styleId="253">
    <w:name w:val="目录 11"/>
    <w:basedOn w:val="1"/>
    <w:next w:val="1"/>
    <w:qFormat/>
    <w:uiPriority w:val="39"/>
    <w:pPr>
      <w:spacing w:before="120" w:after="120"/>
      <w:jc w:val="left"/>
    </w:pPr>
    <w:rPr>
      <w:rFonts w:ascii="Calibri" w:hAnsi="Calibri" w:cs="Calibri"/>
      <w:b/>
      <w:bCs/>
      <w:caps/>
      <w:sz w:val="20"/>
      <w:szCs w:val="20"/>
    </w:rPr>
  </w:style>
  <w:style w:type="paragraph" w:customStyle="1" w:styleId="254">
    <w:name w:val="目录 41"/>
    <w:basedOn w:val="1"/>
    <w:next w:val="1"/>
    <w:qFormat/>
    <w:uiPriority w:val="0"/>
    <w:pPr>
      <w:ind w:left="630"/>
      <w:jc w:val="left"/>
    </w:pPr>
    <w:rPr>
      <w:rFonts w:ascii="Calibri" w:hAnsi="Calibri" w:cs="Calibri"/>
      <w:sz w:val="18"/>
      <w:szCs w:val="18"/>
    </w:rPr>
  </w:style>
  <w:style w:type="paragraph" w:customStyle="1" w:styleId="255">
    <w:name w:val="索引标题1"/>
    <w:basedOn w:val="1"/>
    <w:next w:val="256"/>
    <w:qFormat/>
    <w:uiPriority w:val="0"/>
    <w:rPr>
      <w:rFonts w:ascii="Calibri" w:hAnsi="Calibri"/>
    </w:rPr>
  </w:style>
  <w:style w:type="paragraph" w:customStyle="1" w:styleId="256">
    <w:name w:val="索引 11"/>
    <w:basedOn w:val="1"/>
    <w:next w:val="1"/>
    <w:qFormat/>
    <w:uiPriority w:val="0"/>
    <w:rPr>
      <w:rFonts w:ascii="Calibri" w:hAnsi="Calibri"/>
    </w:rPr>
  </w:style>
  <w:style w:type="paragraph" w:customStyle="1" w:styleId="257">
    <w:name w:val="脚注文本1"/>
    <w:basedOn w:val="1"/>
    <w:qFormat/>
    <w:uiPriority w:val="0"/>
    <w:pPr>
      <w:jc w:val="left"/>
    </w:pPr>
    <w:rPr>
      <w:rFonts w:ascii="宋体"/>
      <w:bCs/>
      <w:sz w:val="18"/>
      <w:szCs w:val="18"/>
    </w:rPr>
  </w:style>
  <w:style w:type="paragraph" w:customStyle="1" w:styleId="258">
    <w:name w:val="目录 61"/>
    <w:basedOn w:val="1"/>
    <w:next w:val="1"/>
    <w:qFormat/>
    <w:uiPriority w:val="0"/>
    <w:pPr>
      <w:ind w:left="1050"/>
      <w:jc w:val="left"/>
    </w:pPr>
    <w:rPr>
      <w:rFonts w:ascii="Calibri" w:hAnsi="Calibri" w:cs="Calibri"/>
      <w:sz w:val="18"/>
      <w:szCs w:val="18"/>
    </w:rPr>
  </w:style>
  <w:style w:type="paragraph" w:customStyle="1" w:styleId="259">
    <w:name w:val="正文文本缩进 31"/>
    <w:basedOn w:val="1"/>
    <w:qFormat/>
    <w:uiPriority w:val="0"/>
    <w:pPr>
      <w:ind w:firstLine="213"/>
    </w:pPr>
    <w:rPr>
      <w:rFonts w:ascii="仿宋_GB2312" w:eastAsia="仿宋_GB2312"/>
      <w:sz w:val="30"/>
    </w:rPr>
  </w:style>
  <w:style w:type="paragraph" w:customStyle="1" w:styleId="260">
    <w:name w:val="索引 71"/>
    <w:basedOn w:val="1"/>
    <w:next w:val="1"/>
    <w:qFormat/>
    <w:uiPriority w:val="0"/>
    <w:pPr>
      <w:ind w:left="1200"/>
    </w:pPr>
    <w:rPr>
      <w:rFonts w:ascii="Calibri" w:hAnsi="Calibri"/>
    </w:rPr>
  </w:style>
  <w:style w:type="paragraph" w:customStyle="1" w:styleId="261">
    <w:name w:val="索引 91"/>
    <w:basedOn w:val="1"/>
    <w:next w:val="1"/>
    <w:qFormat/>
    <w:uiPriority w:val="0"/>
    <w:pPr>
      <w:ind w:left="1600"/>
    </w:pPr>
    <w:rPr>
      <w:rFonts w:ascii="Calibri" w:hAnsi="Calibri"/>
    </w:rPr>
  </w:style>
  <w:style w:type="paragraph" w:customStyle="1" w:styleId="262">
    <w:name w:val="图表目录11"/>
    <w:basedOn w:val="1"/>
    <w:next w:val="1"/>
    <w:qFormat/>
    <w:uiPriority w:val="0"/>
    <w:pPr>
      <w:widowControl/>
      <w:ind w:left="400" w:hanging="200"/>
      <w:jc w:val="left"/>
    </w:pPr>
    <w:rPr>
      <w:rFonts w:ascii="宋体"/>
      <w:bCs/>
      <w:szCs w:val="21"/>
    </w:rPr>
  </w:style>
  <w:style w:type="paragraph" w:customStyle="1" w:styleId="263">
    <w:name w:val="目录 21"/>
    <w:basedOn w:val="1"/>
    <w:next w:val="1"/>
    <w:qFormat/>
    <w:uiPriority w:val="39"/>
    <w:pPr>
      <w:ind w:left="210"/>
      <w:jc w:val="left"/>
    </w:pPr>
    <w:rPr>
      <w:rFonts w:ascii="Calibri" w:hAnsi="Calibri" w:cs="Calibri"/>
      <w:smallCaps/>
      <w:sz w:val="20"/>
      <w:szCs w:val="20"/>
    </w:rPr>
  </w:style>
  <w:style w:type="paragraph" w:customStyle="1" w:styleId="264">
    <w:name w:val="目录 91"/>
    <w:basedOn w:val="1"/>
    <w:next w:val="1"/>
    <w:qFormat/>
    <w:uiPriority w:val="0"/>
    <w:pPr>
      <w:ind w:left="1680"/>
      <w:jc w:val="left"/>
    </w:pPr>
    <w:rPr>
      <w:rFonts w:ascii="Calibri" w:hAnsi="Calibri" w:cs="Calibri"/>
      <w:sz w:val="18"/>
      <w:szCs w:val="18"/>
    </w:rPr>
  </w:style>
  <w:style w:type="paragraph" w:customStyle="1" w:styleId="265">
    <w:name w:val="正文文本 21"/>
    <w:basedOn w:val="1"/>
    <w:qFormat/>
    <w:uiPriority w:val="0"/>
    <w:pPr>
      <w:spacing w:line="560" w:lineRule="exact"/>
    </w:pPr>
    <w:rPr>
      <w:rFonts w:ascii="仿宋_GB2312" w:eastAsia="仿宋_GB2312"/>
      <w:sz w:val="28"/>
      <w:szCs w:val="30"/>
    </w:rPr>
  </w:style>
  <w:style w:type="paragraph" w:customStyle="1" w:styleId="266">
    <w:name w:val="列表接续 21"/>
    <w:basedOn w:val="1"/>
    <w:qFormat/>
    <w:uiPriority w:val="0"/>
    <w:pPr>
      <w:spacing w:after="120"/>
      <w:ind w:left="840"/>
    </w:pPr>
  </w:style>
  <w:style w:type="paragraph" w:customStyle="1" w:styleId="267">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rPr>
  </w:style>
  <w:style w:type="paragraph" w:customStyle="1" w:styleId="268">
    <w:name w:val="普通(网站)1"/>
    <w:basedOn w:val="1"/>
    <w:qFormat/>
    <w:uiPriority w:val="0"/>
    <w:pPr>
      <w:widowControl/>
      <w:spacing w:before="100" w:beforeAutospacing="1" w:after="100" w:afterAutospacing="1"/>
      <w:jc w:val="left"/>
    </w:pPr>
    <w:rPr>
      <w:rFonts w:ascii="宋体"/>
      <w:sz w:val="24"/>
      <w:szCs w:val="20"/>
    </w:rPr>
  </w:style>
  <w:style w:type="paragraph" w:customStyle="1" w:styleId="269">
    <w:name w:val="索引 21"/>
    <w:basedOn w:val="1"/>
    <w:next w:val="1"/>
    <w:qFormat/>
    <w:uiPriority w:val="0"/>
    <w:pPr>
      <w:ind w:left="200"/>
    </w:pPr>
    <w:rPr>
      <w:rFonts w:ascii="Calibri" w:hAnsi="Calibri"/>
    </w:rPr>
  </w:style>
  <w:style w:type="paragraph" w:customStyle="1" w:styleId="270">
    <w:name w:val="标题1"/>
    <w:basedOn w:val="1"/>
    <w:qFormat/>
    <w:uiPriority w:val="0"/>
    <w:pPr>
      <w:spacing w:before="240" w:after="60"/>
      <w:jc w:val="center"/>
      <w:outlineLvl w:val="0"/>
    </w:pPr>
    <w:rPr>
      <w:rFonts w:ascii="Cambria" w:hAnsi="Cambria"/>
      <w:b/>
      <w:bCs/>
      <w:sz w:val="32"/>
      <w:szCs w:val="32"/>
    </w:rPr>
  </w:style>
  <w:style w:type="paragraph" w:customStyle="1" w:styleId="271">
    <w:name w:val="批注主题1"/>
    <w:basedOn w:val="228"/>
    <w:next w:val="228"/>
    <w:qFormat/>
    <w:uiPriority w:val="0"/>
    <w:rPr>
      <w:b/>
    </w:rPr>
  </w:style>
  <w:style w:type="paragraph" w:customStyle="1" w:styleId="272">
    <w:name w:val="正文首行缩进1"/>
    <w:basedOn w:val="1"/>
    <w:next w:val="1"/>
    <w:qFormat/>
    <w:uiPriority w:val="0"/>
    <w:pPr>
      <w:spacing w:after="120"/>
      <w:ind w:firstLine="100"/>
    </w:pPr>
  </w:style>
  <w:style w:type="paragraph" w:customStyle="1" w:styleId="273">
    <w:name w:val="正文首行缩进 21"/>
    <w:basedOn w:val="233"/>
    <w:link w:val="274"/>
    <w:qFormat/>
    <w:uiPriority w:val="0"/>
    <w:pPr>
      <w:spacing w:after="120"/>
      <w:ind w:left="200" w:firstLine="200"/>
    </w:pPr>
    <w:rPr>
      <w:rFonts w:ascii="Times New Roman"/>
      <w:sz w:val="24"/>
      <w:szCs w:val="24"/>
    </w:rPr>
  </w:style>
  <w:style w:type="character" w:customStyle="1" w:styleId="274">
    <w:name w:val="正文文本首行缩进 2 字符"/>
    <w:link w:val="273"/>
    <w:qFormat/>
    <w:uiPriority w:val="0"/>
    <w:rPr>
      <w:rFonts w:eastAsia="仿宋_GB2312"/>
      <w:sz w:val="24"/>
      <w:szCs w:val="24"/>
      <w:lang w:bidi="ar-SA"/>
    </w:rPr>
  </w:style>
  <w:style w:type="table" w:customStyle="1" w:styleId="275">
    <w:name w:val="网格型1"/>
    <w:basedOn w:val="213"/>
    <w:qFormat/>
    <w:uiPriority w:val="0"/>
  </w:style>
  <w:style w:type="character" w:customStyle="1" w:styleId="276">
    <w:name w:val="要点1"/>
    <w:qFormat/>
    <w:uiPriority w:val="0"/>
    <w:rPr>
      <w:b/>
    </w:rPr>
  </w:style>
  <w:style w:type="character" w:customStyle="1" w:styleId="277">
    <w:name w:val="尾注引用1"/>
    <w:qFormat/>
    <w:uiPriority w:val="0"/>
    <w:rPr>
      <w:vertAlign w:val="superscript"/>
    </w:rPr>
  </w:style>
  <w:style w:type="character" w:customStyle="1" w:styleId="278">
    <w:name w:val="页码1"/>
    <w:qFormat/>
    <w:uiPriority w:val="0"/>
  </w:style>
  <w:style w:type="character" w:customStyle="1" w:styleId="279">
    <w:name w:val="已访问的超链接1"/>
    <w:qFormat/>
    <w:uiPriority w:val="0"/>
    <w:rPr>
      <w:color w:val="800080"/>
      <w:u w:val="single"/>
    </w:rPr>
  </w:style>
  <w:style w:type="character" w:customStyle="1" w:styleId="280">
    <w:name w:val="强调1"/>
    <w:qFormat/>
    <w:uiPriority w:val="0"/>
    <w:rPr>
      <w:color w:val="CC0033"/>
    </w:rPr>
  </w:style>
  <w:style w:type="character" w:customStyle="1" w:styleId="281">
    <w:name w:val="HTML 打字机1"/>
    <w:qFormat/>
    <w:uiPriority w:val="0"/>
    <w:rPr>
      <w:rFonts w:ascii="宋体" w:eastAsia="宋体" w:cs="宋体"/>
      <w:sz w:val="24"/>
      <w:szCs w:val="24"/>
      <w:lang w:bidi="ar-SA"/>
    </w:rPr>
  </w:style>
  <w:style w:type="character" w:customStyle="1" w:styleId="282">
    <w:name w:val="超链接1"/>
    <w:qFormat/>
    <w:uiPriority w:val="99"/>
    <w:rPr>
      <w:color w:val="0000FF"/>
      <w:u w:val="single"/>
    </w:rPr>
  </w:style>
  <w:style w:type="character" w:customStyle="1" w:styleId="283">
    <w:name w:val="批注引用1"/>
    <w:qFormat/>
    <w:uiPriority w:val="0"/>
    <w:rPr>
      <w:sz w:val="21"/>
    </w:rPr>
  </w:style>
  <w:style w:type="character" w:customStyle="1" w:styleId="284">
    <w:name w:val="脚注引用1"/>
    <w:qFormat/>
    <w:uiPriority w:val="0"/>
    <w:rPr>
      <w:vertAlign w:val="superscript"/>
    </w:rPr>
  </w:style>
  <w:style w:type="paragraph" w:customStyle="1" w:styleId="285">
    <w:name w:val="样式 正文首行缩进 2 + Arial"/>
    <w:basedOn w:val="1"/>
    <w:next w:val="1"/>
    <w:qFormat/>
    <w:uiPriority w:val="0"/>
    <w:pPr>
      <w:spacing w:after="120" w:line="320" w:lineRule="atLeast"/>
      <w:ind w:firstLine="200"/>
    </w:pPr>
    <w:rPr>
      <w:rFonts w:ascii="Arial" w:hAnsi="Arial"/>
    </w:rPr>
  </w:style>
  <w:style w:type="character" w:customStyle="1" w:styleId="286">
    <w:name w:val="Comment Text Char"/>
    <w:qFormat/>
    <w:uiPriority w:val="0"/>
    <w:rPr>
      <w:rFonts w:cs="Times New Roman"/>
      <w:sz w:val="21"/>
      <w:szCs w:val="21"/>
      <w:lang w:bidi="ar-SA"/>
    </w:rPr>
  </w:style>
  <w:style w:type="character" w:customStyle="1" w:styleId="287">
    <w:name w:val="纯文本 Char_0"/>
    <w:link w:val="288"/>
    <w:qFormat/>
    <w:uiPriority w:val="0"/>
    <w:rPr>
      <w:rFonts w:ascii="宋体" w:hAnsi="Courier New" w:cs="Courier New"/>
      <w:sz w:val="21"/>
      <w:szCs w:val="21"/>
    </w:rPr>
  </w:style>
  <w:style w:type="paragraph" w:customStyle="1" w:styleId="288">
    <w:name w:val="纯文本_0"/>
    <w:basedOn w:val="289"/>
    <w:link w:val="287"/>
    <w:qFormat/>
    <w:uiPriority w:val="0"/>
    <w:rPr>
      <w:rFonts w:ascii="宋体" w:hAnsi="Courier New"/>
      <w:szCs w:val="21"/>
    </w:rPr>
  </w:style>
  <w:style w:type="paragraph" w:customStyle="1" w:styleId="289">
    <w:name w:val="正文_7"/>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290">
    <w:name w:val="ca-51"/>
    <w:qFormat/>
    <w:uiPriority w:val="0"/>
    <w:rPr>
      <w:rFonts w:ascii="楷体_GB2312" w:eastAsia="楷体_GB2312"/>
      <w:b/>
      <w:bCs/>
      <w:spacing w:val="-20"/>
      <w:sz w:val="24"/>
      <w:szCs w:val="24"/>
    </w:rPr>
  </w:style>
  <w:style w:type="character" w:customStyle="1" w:styleId="291">
    <w:name w:val="Heading 4 Char_de27d71f-764f-47bd-84d1-49c3f4abdbf0"/>
    <w:qFormat/>
    <w:uiPriority w:val="0"/>
    <w:rPr>
      <w:rFonts w:ascii="Cambria" w:hAnsi="Cambria" w:eastAsia="宋体" w:cs="Cambria"/>
      <w:b/>
      <w:bCs/>
      <w:sz w:val="28"/>
      <w:szCs w:val="28"/>
      <w:lang w:bidi="ar-SA"/>
    </w:rPr>
  </w:style>
  <w:style w:type="character" w:customStyle="1" w:styleId="292">
    <w:name w:val="正文缩进 Char1_0"/>
    <w:link w:val="293"/>
    <w:qFormat/>
    <w:uiPriority w:val="0"/>
    <w:rPr>
      <w:sz w:val="21"/>
      <w:szCs w:val="22"/>
    </w:rPr>
  </w:style>
  <w:style w:type="paragraph" w:customStyle="1" w:styleId="293">
    <w:name w:val="正文缩进_0"/>
    <w:basedOn w:val="289"/>
    <w:link w:val="292"/>
    <w:qFormat/>
    <w:uiPriority w:val="0"/>
    <w:pPr>
      <w:ind w:firstLine="420"/>
    </w:pPr>
    <w:rPr>
      <w:szCs w:val="22"/>
    </w:rPr>
  </w:style>
  <w:style w:type="character" w:customStyle="1" w:styleId="294">
    <w:name w:val="Header Char1"/>
    <w:qFormat/>
    <w:uiPriority w:val="0"/>
    <w:rPr>
      <w:rFonts w:cs="Times New Roman"/>
      <w:sz w:val="18"/>
      <w:szCs w:val="18"/>
      <w:lang w:bidi="ar-SA"/>
    </w:rPr>
  </w:style>
  <w:style w:type="character" w:customStyle="1" w:styleId="295">
    <w:name w:val="正文文本缩进 2 Char"/>
    <w:link w:val="296"/>
    <w:qFormat/>
    <w:uiPriority w:val="0"/>
    <w:rPr>
      <w:rFonts w:hAnsi="Times New Roman"/>
      <w:sz w:val="21"/>
      <w:szCs w:val="20"/>
    </w:rPr>
  </w:style>
  <w:style w:type="paragraph" w:customStyle="1" w:styleId="296">
    <w:name w:val="正文文本缩进 2_0"/>
    <w:basedOn w:val="297"/>
    <w:link w:val="295"/>
    <w:qFormat/>
    <w:uiPriority w:val="0"/>
    <w:pPr>
      <w:spacing w:line="420" w:lineRule="exact"/>
      <w:ind w:firstLine="525"/>
    </w:pPr>
  </w:style>
  <w:style w:type="paragraph" w:customStyle="1" w:styleId="297">
    <w:name w:val="正文_2"/>
    <w:qFormat/>
    <w:uiPriority w:val="0"/>
    <w:pPr>
      <w:widowControl w:val="0"/>
      <w:jc w:val="both"/>
    </w:pPr>
    <w:rPr>
      <w:rFonts w:ascii="Times New Roman" w:hAnsi="Times New Roman" w:eastAsia="宋体" w:cs="Times New Roman"/>
      <w:sz w:val="21"/>
      <w:lang w:val="en-US" w:eastAsia="zh-CN" w:bidi="ar-SA"/>
    </w:rPr>
  </w:style>
  <w:style w:type="character" w:customStyle="1" w:styleId="298">
    <w:name w:val="Heading 3 Char_a5a6c394-65ab-4144-8017-81f81103df3a"/>
    <w:qFormat/>
    <w:uiPriority w:val="0"/>
    <w:rPr>
      <w:rFonts w:cs="Times New Roman"/>
      <w:b/>
      <w:bCs/>
      <w:sz w:val="32"/>
      <w:szCs w:val="32"/>
      <w:lang w:bidi="ar-SA"/>
    </w:rPr>
  </w:style>
  <w:style w:type="character" w:customStyle="1" w:styleId="299">
    <w:name w:val="ca-21"/>
    <w:qFormat/>
    <w:uiPriority w:val="0"/>
    <w:rPr>
      <w:rFonts w:ascii="宋体" w:eastAsia="宋体"/>
      <w:sz w:val="21"/>
    </w:rPr>
  </w:style>
  <w:style w:type="character" w:customStyle="1" w:styleId="300">
    <w:name w:val="Plain Text Char"/>
    <w:qFormat/>
    <w:uiPriority w:val="0"/>
    <w:rPr>
      <w:rFonts w:ascii="宋体" w:eastAsia="宋体"/>
      <w:sz w:val="21"/>
      <w:lang w:val="en-US" w:eastAsia="zh-CN"/>
    </w:rPr>
  </w:style>
  <w:style w:type="character" w:customStyle="1" w:styleId="301">
    <w:name w:val="maywed421"/>
    <w:qFormat/>
    <w:uiPriority w:val="0"/>
    <w:rPr>
      <w:color w:val="366FB6"/>
      <w:u w:val="none"/>
    </w:rPr>
  </w:style>
  <w:style w:type="character" w:customStyle="1" w:styleId="302">
    <w:name w:val="纯文本 Char_0_0"/>
    <w:link w:val="303"/>
    <w:qFormat/>
    <w:uiPriority w:val="0"/>
    <w:rPr>
      <w:rFonts w:ascii="宋体" w:hAnsi="Courier New"/>
      <w:sz w:val="21"/>
      <w:szCs w:val="21"/>
    </w:rPr>
  </w:style>
  <w:style w:type="paragraph" w:customStyle="1" w:styleId="303">
    <w:name w:val="纯文本_0_0"/>
    <w:basedOn w:val="304"/>
    <w:link w:val="302"/>
    <w:qFormat/>
    <w:uiPriority w:val="0"/>
    <w:rPr>
      <w:rFonts w:ascii="宋体" w:hAnsi="Courier New"/>
      <w:szCs w:val="21"/>
    </w:rPr>
  </w:style>
  <w:style w:type="paragraph" w:customStyle="1" w:styleId="304">
    <w:name w:val="正文_7_1_0"/>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305">
    <w:name w:val="style15"/>
    <w:qFormat/>
    <w:uiPriority w:val="0"/>
  </w:style>
  <w:style w:type="character" w:customStyle="1" w:styleId="306">
    <w:name w:val="正文（标记） Char2"/>
    <w:link w:val="307"/>
    <w:qFormat/>
    <w:uiPriority w:val="0"/>
    <w:rPr>
      <w:sz w:val="24"/>
      <w:szCs w:val="24"/>
    </w:rPr>
  </w:style>
  <w:style w:type="paragraph" w:customStyle="1" w:styleId="307">
    <w:name w:val="正文（标记）"/>
    <w:basedOn w:val="1"/>
    <w:link w:val="306"/>
    <w:qFormat/>
    <w:uiPriority w:val="0"/>
    <w:pPr>
      <w:tabs>
        <w:tab w:val="left" w:pos="0"/>
        <w:tab w:val="left" w:pos="840"/>
      </w:tabs>
      <w:spacing w:before="50" w:after="50"/>
    </w:pPr>
    <w:rPr>
      <w:sz w:val="24"/>
      <w:szCs w:val="24"/>
    </w:rPr>
  </w:style>
  <w:style w:type="character" w:customStyle="1" w:styleId="308">
    <w:name w:val="段落 Char"/>
    <w:qFormat/>
    <w:uiPriority w:val="0"/>
    <w:rPr>
      <w:rFonts w:ascii="仿宋_GB2312" w:eastAsia="仿宋_GB2312"/>
      <w:sz w:val="24"/>
      <w:szCs w:val="24"/>
      <w:lang w:val="en-US" w:eastAsia="zh-CN" w:bidi="ar-SA"/>
    </w:rPr>
  </w:style>
  <w:style w:type="character" w:customStyle="1" w:styleId="309">
    <w:name w:val="Char Char2"/>
    <w:qFormat/>
    <w:uiPriority w:val="0"/>
    <w:rPr>
      <w:sz w:val="18"/>
      <w:szCs w:val="18"/>
    </w:rPr>
  </w:style>
  <w:style w:type="character" w:customStyle="1" w:styleId="310">
    <w:name w:val="style91"/>
    <w:qFormat/>
    <w:uiPriority w:val="0"/>
    <w:rPr>
      <w:color w:val="2060C0"/>
      <w:sz w:val="24"/>
      <w:szCs w:val="24"/>
    </w:rPr>
  </w:style>
  <w:style w:type="character" w:customStyle="1" w:styleId="311">
    <w:name w:val="普通文字1 Char"/>
    <w:qFormat/>
    <w:uiPriority w:val="0"/>
    <w:rPr>
      <w:rFonts w:ascii="宋体" w:eastAsia="宋体" w:cs="Courier New"/>
      <w:sz w:val="21"/>
      <w:szCs w:val="21"/>
      <w:lang w:val="en-US" w:eastAsia="zh-CN" w:bidi="ar-SA"/>
    </w:rPr>
  </w:style>
  <w:style w:type="character" w:customStyle="1" w:styleId="312">
    <w:name w:val="正文文本缩进 Char"/>
    <w:link w:val="313"/>
    <w:qFormat/>
    <w:uiPriority w:val="0"/>
    <w:rPr>
      <w:rFonts w:hAnsi="Times New Roman"/>
      <w:szCs w:val="20"/>
    </w:rPr>
  </w:style>
  <w:style w:type="paragraph" w:customStyle="1" w:styleId="313">
    <w:name w:val="正文文本缩进_0"/>
    <w:basedOn w:val="297"/>
    <w:link w:val="312"/>
    <w:qFormat/>
    <w:uiPriority w:val="0"/>
    <w:pPr>
      <w:spacing w:line="360" w:lineRule="auto"/>
      <w:ind w:firstLine="420"/>
    </w:pPr>
    <w:rPr>
      <w:sz w:val="20"/>
    </w:rPr>
  </w:style>
  <w:style w:type="character" w:customStyle="1" w:styleId="314">
    <w:name w:val="Char Char21"/>
    <w:qFormat/>
    <w:uiPriority w:val="0"/>
    <w:rPr>
      <w:sz w:val="18"/>
      <w:szCs w:val="18"/>
    </w:rPr>
  </w:style>
  <w:style w:type="character" w:customStyle="1" w:styleId="315">
    <w:name w:val="ca-41"/>
    <w:qFormat/>
    <w:uiPriority w:val="0"/>
    <w:rPr>
      <w:rFonts w:ascii="宋体" w:eastAsia="宋体"/>
      <w:b/>
      <w:bCs/>
      <w:color w:val="000000"/>
      <w:spacing w:val="-20"/>
      <w:sz w:val="21"/>
      <w:szCs w:val="21"/>
    </w:rPr>
  </w:style>
  <w:style w:type="character" w:customStyle="1" w:styleId="316">
    <w:name w:val="question-title"/>
    <w:qFormat/>
    <w:uiPriority w:val="0"/>
  </w:style>
  <w:style w:type="character" w:customStyle="1" w:styleId="317">
    <w:name w:val="A1"/>
    <w:qFormat/>
    <w:uiPriority w:val="0"/>
    <w:rPr>
      <w:rFonts w:ascii="Univers LT Std 45 Light" w:hAnsi="宋体" w:eastAsia="Univers LT Std 45 Light" w:cs="Univers LT Std 45 Light"/>
      <w:color w:val="221E1F"/>
      <w:sz w:val="10"/>
      <w:szCs w:val="10"/>
    </w:rPr>
  </w:style>
  <w:style w:type="character" w:customStyle="1" w:styleId="318">
    <w:name w:val="style161"/>
    <w:qFormat/>
    <w:uiPriority w:val="0"/>
    <w:rPr>
      <w:rFonts w:ascii="Verdana" w:hAnsi="Verdana" w:eastAsia="宋体"/>
      <w:b/>
      <w:color w:val="0A246A"/>
      <w:sz w:val="24"/>
      <w:szCs w:val="24"/>
      <w:lang w:val="en-US" w:eastAsia="zh-CN" w:bidi="ar-SA"/>
    </w:rPr>
  </w:style>
  <w:style w:type="character" w:customStyle="1" w:styleId="319">
    <w:name w:val="ca-31"/>
    <w:qFormat/>
    <w:uiPriority w:val="0"/>
    <w:rPr>
      <w:rFonts w:ascii="宋体" w:eastAsia="宋体"/>
      <w:color w:val="000000"/>
      <w:sz w:val="21"/>
      <w:szCs w:val="21"/>
    </w:rPr>
  </w:style>
  <w:style w:type="character" w:customStyle="1" w:styleId="320">
    <w:name w:val="apple-converted-space"/>
    <w:qFormat/>
    <w:uiPriority w:val="0"/>
  </w:style>
  <w:style w:type="character" w:customStyle="1" w:styleId="321">
    <w:name w:val="Footer Char1"/>
    <w:qFormat/>
    <w:uiPriority w:val="0"/>
    <w:rPr>
      <w:rFonts w:cs="Times New Roman"/>
      <w:sz w:val="18"/>
      <w:szCs w:val="18"/>
      <w:lang w:bidi="ar-SA"/>
    </w:rPr>
  </w:style>
  <w:style w:type="character" w:customStyle="1" w:styleId="322">
    <w:name w:val="A0"/>
    <w:qFormat/>
    <w:uiPriority w:val="0"/>
    <w:rPr>
      <w:rFonts w:ascii=".....?." w:hAnsi="宋体" w:eastAsia=".....?."/>
      <w:color w:val="000000"/>
      <w:sz w:val="22"/>
    </w:rPr>
  </w:style>
  <w:style w:type="character" w:customStyle="1" w:styleId="323">
    <w:name w:val="Char Char23"/>
    <w:qFormat/>
    <w:uiPriority w:val="0"/>
    <w:rPr>
      <w:sz w:val="24"/>
      <w:szCs w:val="21"/>
      <w:lang w:bidi="ar-SA"/>
    </w:rPr>
  </w:style>
  <w:style w:type="character" w:customStyle="1" w:styleId="324">
    <w:name w:val="Char Char1"/>
    <w:qFormat/>
    <w:uiPriority w:val="0"/>
    <w:rPr>
      <w:rFonts w:ascii="宋体" w:eastAsia="宋体"/>
      <w:sz w:val="21"/>
      <w:lang w:val="en-US" w:eastAsia="zh-CN"/>
    </w:rPr>
  </w:style>
  <w:style w:type="character" w:customStyle="1" w:styleId="325">
    <w:name w:val="apple-style-span"/>
    <w:qFormat/>
    <w:uiPriority w:val="0"/>
    <w:rPr>
      <w:rFonts w:ascii="宋体" w:hAnsi="宋体" w:cs="Times New Roman"/>
    </w:rPr>
  </w:style>
  <w:style w:type="character" w:customStyle="1" w:styleId="326">
    <w:name w:val="无间隔 字符"/>
    <w:link w:val="327"/>
    <w:qFormat/>
    <w:uiPriority w:val="0"/>
    <w:rPr>
      <w:sz w:val="22"/>
      <w:lang w:val="en-US" w:eastAsia="zh-CN" w:bidi="ar-SA"/>
    </w:rPr>
  </w:style>
  <w:style w:type="paragraph" w:customStyle="1" w:styleId="327">
    <w:name w:val="无间隔1"/>
    <w:link w:val="326"/>
    <w:qFormat/>
    <w:uiPriority w:val="0"/>
    <w:rPr>
      <w:rFonts w:ascii="Times New Roman" w:hAnsi="Times New Roman" w:eastAsia="宋体" w:cs="Times New Roman"/>
      <w:sz w:val="22"/>
      <w:lang w:val="en-US" w:eastAsia="zh-CN" w:bidi="ar-SA"/>
    </w:rPr>
  </w:style>
  <w:style w:type="character" w:customStyle="1" w:styleId="328">
    <w:name w:val="Char Char3"/>
    <w:qFormat/>
    <w:uiPriority w:val="0"/>
    <w:rPr>
      <w:rFonts w:ascii="宋体" w:eastAsia="宋体"/>
      <w:sz w:val="18"/>
      <w:szCs w:val="18"/>
      <w:lang w:val="en-US" w:eastAsia="zh-CN" w:bidi="ar-SA"/>
    </w:rPr>
  </w:style>
  <w:style w:type="character" w:customStyle="1" w:styleId="329">
    <w:name w:val="z12 style23"/>
    <w:qFormat/>
    <w:uiPriority w:val="0"/>
  </w:style>
  <w:style w:type="character" w:customStyle="1" w:styleId="330">
    <w:name w:val="font41"/>
    <w:qFormat/>
    <w:uiPriority w:val="0"/>
    <w:rPr>
      <w:rFonts w:hint="eastAsia" w:ascii="宋体" w:hAnsi="宋体" w:eastAsia="宋体" w:cs="宋体"/>
      <w:color w:val="000000"/>
      <w:sz w:val="24"/>
      <w:szCs w:val="24"/>
      <w:u w:val="none"/>
    </w:rPr>
  </w:style>
  <w:style w:type="character" w:customStyle="1" w:styleId="331">
    <w:name w:val="font11"/>
    <w:qFormat/>
    <w:uiPriority w:val="0"/>
    <w:rPr>
      <w:rFonts w:ascii="Times" w:hAnsi="Times" w:eastAsia="Times" w:cs="Times"/>
      <w:color w:val="000000"/>
      <w:sz w:val="24"/>
      <w:szCs w:val="24"/>
      <w:u w:val="none"/>
    </w:rPr>
  </w:style>
  <w:style w:type="character" w:customStyle="1" w:styleId="332">
    <w:name w:val="Plain Text Char1"/>
    <w:qFormat/>
    <w:uiPriority w:val="0"/>
    <w:rPr>
      <w:rFonts w:ascii="宋体" w:eastAsia="宋体"/>
      <w:sz w:val="21"/>
      <w:szCs w:val="21"/>
      <w:lang w:val="en-US" w:eastAsia="zh-CN" w:bidi="ar-SA"/>
    </w:rPr>
  </w:style>
  <w:style w:type="character" w:customStyle="1" w:styleId="333">
    <w:name w:val="Char Char"/>
    <w:qFormat/>
    <w:uiPriority w:val="0"/>
    <w:rPr>
      <w:rFonts w:eastAsia="宋体"/>
      <w:sz w:val="18"/>
      <w:lang w:val="en-US" w:eastAsia="zh-CN"/>
    </w:rPr>
  </w:style>
  <w:style w:type="character" w:customStyle="1" w:styleId="334">
    <w:name w:val="wj1"/>
    <w:qFormat/>
    <w:uiPriority w:val="0"/>
    <w:rPr>
      <w:color w:val="000000"/>
      <w:sz w:val="18"/>
      <w:szCs w:val="18"/>
      <w:u w:val="none"/>
    </w:rPr>
  </w:style>
  <w:style w:type="character" w:customStyle="1" w:styleId="335">
    <w:name w:val="Heading 2 Char_e7971b2e-95ff-491d-afd8-0e6cfcc6c1b2"/>
    <w:qFormat/>
    <w:uiPriority w:val="0"/>
    <w:rPr>
      <w:rFonts w:ascii="Arial" w:hAnsi="Arial" w:eastAsia="黑体"/>
      <w:b/>
      <w:bCs/>
      <w:sz w:val="32"/>
      <w:szCs w:val="32"/>
      <w:lang w:val="en-US" w:eastAsia="zh-CN" w:bidi="ar-SA"/>
    </w:rPr>
  </w:style>
  <w:style w:type="character" w:customStyle="1" w:styleId="336">
    <w:name w:val="z1"/>
    <w:qFormat/>
    <w:uiPriority w:val="0"/>
  </w:style>
  <w:style w:type="character" w:customStyle="1" w:styleId="337">
    <w:name w:val="font01"/>
    <w:qFormat/>
    <w:uiPriority w:val="0"/>
    <w:rPr>
      <w:rFonts w:hint="eastAsia" w:ascii="宋体" w:hAnsi="宋体" w:eastAsia="宋体" w:cs="宋体"/>
      <w:color w:val="000000"/>
      <w:sz w:val="24"/>
      <w:szCs w:val="24"/>
      <w:u w:val="none"/>
    </w:rPr>
  </w:style>
  <w:style w:type="character" w:customStyle="1" w:styleId="338">
    <w:name w:val="Footer Char_f0e3e3bf-5b2e-454d-aedf-db4c0b3a23ed"/>
    <w:qFormat/>
    <w:uiPriority w:val="0"/>
    <w:rPr>
      <w:rFonts w:eastAsia="宋体"/>
      <w:sz w:val="18"/>
      <w:lang w:val="en-US" w:eastAsia="zh-CN"/>
    </w:rPr>
  </w:style>
  <w:style w:type="character" w:customStyle="1" w:styleId="339">
    <w:name w:val="Header Char_9800ef60-2583-47c5-8652-b7f35f90c311"/>
    <w:qFormat/>
    <w:uiPriority w:val="0"/>
    <w:rPr>
      <w:rFonts w:eastAsia="宋体"/>
      <w:sz w:val="18"/>
      <w:lang w:val="en-US" w:eastAsia="zh-CN"/>
    </w:rPr>
  </w:style>
  <w:style w:type="character" w:customStyle="1" w:styleId="340">
    <w:name w:val="ca-01"/>
    <w:qFormat/>
    <w:uiPriority w:val="0"/>
    <w:rPr>
      <w:rFonts w:ascii="宋体" w:eastAsia="宋体"/>
      <w:b/>
      <w:bCs/>
      <w:spacing w:val="-20"/>
      <w:sz w:val="24"/>
      <w:szCs w:val="24"/>
    </w:rPr>
  </w:style>
  <w:style w:type="character" w:customStyle="1" w:styleId="341">
    <w:name w:val="font51"/>
    <w:qFormat/>
    <w:uiPriority w:val="99"/>
    <w:rPr>
      <w:rFonts w:ascii="宋体" w:hAnsi="宋体" w:eastAsia="宋体" w:cs="宋体"/>
      <w:color w:val="000000"/>
      <w:sz w:val="22"/>
      <w:szCs w:val="22"/>
    </w:rPr>
  </w:style>
  <w:style w:type="character" w:customStyle="1" w:styleId="342">
    <w:name w:val="font21"/>
    <w:qFormat/>
    <w:uiPriority w:val="0"/>
    <w:rPr>
      <w:rFonts w:ascii="Times New Roman" w:hAnsi="Times New Roman"/>
      <w:color w:val="000000"/>
      <w:sz w:val="20"/>
      <w:u w:val="none"/>
    </w:rPr>
  </w:style>
  <w:style w:type="character" w:customStyle="1" w:styleId="343">
    <w:name w:val="font31"/>
    <w:qFormat/>
    <w:uiPriority w:val="0"/>
    <w:rPr>
      <w:rFonts w:ascii="Arial" w:hAnsi="Arial" w:cs="Arial"/>
      <w:color w:val="000000"/>
      <w:sz w:val="22"/>
      <w:szCs w:val="22"/>
      <w:u w:val="none"/>
    </w:rPr>
  </w:style>
  <w:style w:type="character" w:customStyle="1" w:styleId="344">
    <w:name w:val="正文（编号） Char Char"/>
    <w:link w:val="345"/>
    <w:qFormat/>
    <w:uiPriority w:val="0"/>
    <w:rPr>
      <w:sz w:val="24"/>
      <w:szCs w:val="24"/>
    </w:rPr>
  </w:style>
  <w:style w:type="paragraph" w:customStyle="1" w:styleId="345">
    <w:name w:val="正文（编号）"/>
    <w:basedOn w:val="346"/>
    <w:link w:val="344"/>
    <w:qFormat/>
    <w:uiPriority w:val="0"/>
    <w:pPr>
      <w:tabs>
        <w:tab w:val="left" w:pos="720"/>
        <w:tab w:val="left" w:pos="780"/>
      </w:tabs>
      <w:ind w:left="720" w:firstLine="0"/>
    </w:pPr>
    <w:rPr>
      <w:szCs w:val="24"/>
    </w:rPr>
  </w:style>
  <w:style w:type="paragraph" w:customStyle="1" w:styleId="346">
    <w:name w:val="正文（缩进）"/>
    <w:basedOn w:val="1"/>
    <w:qFormat/>
    <w:uiPriority w:val="0"/>
    <w:pPr>
      <w:spacing w:before="50" w:after="50" w:line="360" w:lineRule="auto"/>
      <w:ind w:firstLine="200"/>
    </w:pPr>
    <w:rPr>
      <w:sz w:val="24"/>
    </w:rPr>
  </w:style>
  <w:style w:type="character" w:customStyle="1" w:styleId="347">
    <w:name w:val="marklong"/>
    <w:qFormat/>
    <w:uiPriority w:val="0"/>
  </w:style>
  <w:style w:type="character" w:customStyle="1" w:styleId="348">
    <w:name w:val="标题 2 Char Char Char"/>
    <w:qFormat/>
    <w:uiPriority w:val="0"/>
    <w:rPr>
      <w:rFonts w:ascii="Arial" w:hAnsi="Arial" w:eastAsia="宋体" w:cs="Arial"/>
      <w:b/>
      <w:bCs/>
      <w:i/>
      <w:iCs/>
      <w:sz w:val="28"/>
      <w:szCs w:val="28"/>
      <w:lang w:val="en-US" w:eastAsia="zh-CN" w:bidi="ar-SA"/>
    </w:rPr>
  </w:style>
  <w:style w:type="character" w:customStyle="1" w:styleId="349">
    <w:name w:val="ca-1"/>
    <w:qFormat/>
    <w:uiPriority w:val="0"/>
  </w:style>
  <w:style w:type="character" w:customStyle="1" w:styleId="350">
    <w:name w:val="ca-11"/>
    <w:qFormat/>
    <w:uiPriority w:val="0"/>
    <w:rPr>
      <w:rFonts w:ascii="宋体" w:eastAsia="宋体"/>
      <w:b/>
      <w:bCs/>
      <w:color w:val="000000"/>
      <w:spacing w:val="-20"/>
      <w:sz w:val="28"/>
      <w:szCs w:val="28"/>
    </w:rPr>
  </w:style>
  <w:style w:type="character" w:customStyle="1" w:styleId="351">
    <w:name w:val="正文（缩进） Char Char"/>
    <w:qFormat/>
    <w:uiPriority w:val="0"/>
    <w:rPr>
      <w:rFonts w:eastAsia="宋体"/>
      <w:sz w:val="24"/>
      <w:szCs w:val="24"/>
      <w:lang w:val="en-US" w:eastAsia="zh-CN" w:bidi="ar-SA"/>
    </w:rPr>
  </w:style>
  <w:style w:type="character" w:customStyle="1" w:styleId="352">
    <w:name w:val="Char Char31"/>
    <w:qFormat/>
    <w:uiPriority w:val="0"/>
    <w:rPr>
      <w:rFonts w:ascii="Arial" w:hAnsi="Arial" w:eastAsia="黑体" w:cs="Times New Roman"/>
      <w:b/>
      <w:bCs/>
      <w:sz w:val="32"/>
      <w:szCs w:val="32"/>
      <w:lang w:val="en-US" w:eastAsia="zh-CN" w:bidi="ar-SA"/>
    </w:rPr>
  </w:style>
  <w:style w:type="paragraph" w:customStyle="1" w:styleId="353">
    <w:name w:val="表文1"/>
    <w:basedOn w:val="1"/>
    <w:qFormat/>
    <w:uiPriority w:val="0"/>
    <w:pPr>
      <w:widowControl/>
      <w:spacing w:line="360" w:lineRule="auto"/>
      <w:ind w:firstLine="196"/>
    </w:pPr>
    <w:rPr>
      <w:rFonts w:ascii="宋体"/>
      <w:sz w:val="24"/>
    </w:rPr>
  </w:style>
  <w:style w:type="paragraph" w:customStyle="1" w:styleId="354">
    <w:name w:val="Normal_6_0"/>
    <w:qFormat/>
    <w:uiPriority w:val="0"/>
    <w:rPr>
      <w:rFonts w:ascii="黑体" w:hAnsi="黑体" w:eastAsia="黑体" w:cs="Times New Roman"/>
      <w:b/>
      <w:sz w:val="32"/>
      <w:szCs w:val="24"/>
      <w:lang w:val="en-US" w:eastAsia="zh-CN" w:bidi="ar-SA"/>
    </w:rPr>
  </w:style>
  <w:style w:type="paragraph" w:customStyle="1" w:styleId="355">
    <w:name w:val="正文文本缩进1"/>
    <w:basedOn w:val="356"/>
    <w:qFormat/>
    <w:uiPriority w:val="99"/>
    <w:pPr>
      <w:spacing w:after="120"/>
      <w:ind w:left="420"/>
    </w:pPr>
    <w:rPr>
      <w:rFonts w:ascii="Calibri" w:hAnsi="Calibri" w:cs="Calibri"/>
    </w:rPr>
  </w:style>
  <w:style w:type="paragraph" w:customStyle="1" w:styleId="356">
    <w:name w:val="正文11"/>
    <w:qFormat/>
    <w:uiPriority w:val="99"/>
    <w:pPr>
      <w:widowControl w:val="0"/>
    </w:pPr>
    <w:rPr>
      <w:rFonts w:ascii="Times New Roman" w:hAnsi="Times New Roman" w:eastAsia="宋体" w:cs="Times New Roman"/>
      <w:sz w:val="21"/>
      <w:szCs w:val="21"/>
      <w:lang w:val="en-US" w:eastAsia="zh-CN" w:bidi="ar-SA"/>
    </w:rPr>
  </w:style>
  <w:style w:type="paragraph" w:customStyle="1" w:styleId="357">
    <w:name w:val="Char Char Char"/>
    <w:basedOn w:val="1"/>
    <w:qFormat/>
    <w:uiPriority w:val="0"/>
    <w:rPr>
      <w:rFonts w:ascii="Calibri" w:hAnsi="Calibri"/>
      <w:szCs w:val="21"/>
    </w:rPr>
  </w:style>
  <w:style w:type="paragraph" w:customStyle="1" w:styleId="358">
    <w:name w:val="标题二、"/>
    <w:basedOn w:val="1"/>
    <w:qFormat/>
    <w:uiPriority w:val="99"/>
    <w:pPr>
      <w:spacing w:line="360" w:lineRule="auto"/>
      <w:ind w:firstLine="200"/>
      <w:outlineLvl w:val="2"/>
    </w:pPr>
    <w:rPr>
      <w:rFonts w:ascii="宋体" w:hAnsi="宋体"/>
      <w:b/>
      <w:szCs w:val="21"/>
    </w:rPr>
  </w:style>
  <w:style w:type="paragraph" w:customStyle="1" w:styleId="359">
    <w:name w:val="无标题正文 Char Char Char Char Char Char Char Char Char Char Char Char Char Char Char Char Char Char Char Char Char Char Char Char Char Char Char1 Char"/>
    <w:basedOn w:val="1"/>
    <w:qFormat/>
    <w:uiPriority w:val="0"/>
    <w:pPr>
      <w:widowControl/>
      <w:spacing w:after="160" w:line="240" w:lineRule="exact"/>
      <w:jc w:val="center"/>
    </w:pPr>
    <w:rPr>
      <w:rFonts w:ascii="Arial" w:hAnsi="Arial"/>
      <w:sz w:val="20"/>
      <w:szCs w:val="20"/>
      <w:lang w:eastAsia="en-US"/>
    </w:rPr>
  </w:style>
  <w:style w:type="paragraph" w:customStyle="1" w:styleId="360">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361">
    <w:name w:val="Normal_9_0"/>
    <w:qFormat/>
    <w:uiPriority w:val="0"/>
    <w:rPr>
      <w:rFonts w:ascii="Times New Roman" w:hAnsi="Times New Roman" w:eastAsia="Times New Roman" w:cs="Times New Roman"/>
      <w:sz w:val="24"/>
      <w:szCs w:val="24"/>
      <w:lang w:val="en-US" w:eastAsia="zh-CN" w:bidi="ar-SA"/>
    </w:rPr>
  </w:style>
  <w:style w:type="paragraph" w:customStyle="1" w:styleId="362">
    <w:name w:val="正文_15"/>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63">
    <w:name w:val="pa-6"/>
    <w:basedOn w:val="1"/>
    <w:qFormat/>
    <w:uiPriority w:val="0"/>
    <w:pPr>
      <w:widowControl/>
      <w:spacing w:line="360" w:lineRule="atLeast"/>
    </w:pPr>
    <w:rPr>
      <w:rFonts w:ascii="宋体"/>
      <w:sz w:val="24"/>
      <w:szCs w:val="20"/>
    </w:rPr>
  </w:style>
  <w:style w:type="paragraph" w:customStyle="1" w:styleId="364">
    <w:name w:val="正文_2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65">
    <w:name w:val="正文_4_0_0"/>
    <w:qFormat/>
    <w:uiPriority w:val="0"/>
    <w:pPr>
      <w:widowControl w:val="0"/>
      <w:jc w:val="both"/>
    </w:pPr>
    <w:rPr>
      <w:rFonts w:ascii="Times New Roman" w:hAnsi="Times New Roman" w:eastAsia="宋体" w:cs="Times New Roman"/>
      <w:sz w:val="21"/>
      <w:lang w:val="en-US" w:eastAsia="zh-CN" w:bidi="ar-SA"/>
    </w:rPr>
  </w:style>
  <w:style w:type="paragraph" w:customStyle="1" w:styleId="366">
    <w:name w:val="正文_13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67">
    <w:name w:val="正文_0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68">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369">
    <w:name w:val="Char Char Char Char Char Char Char Char Char Char"/>
    <w:basedOn w:val="1"/>
    <w:qFormat/>
    <w:uiPriority w:val="0"/>
    <w:rPr>
      <w:rFonts w:ascii="Tahoma" w:hAnsi="Tahoma"/>
      <w:sz w:val="24"/>
      <w:szCs w:val="20"/>
    </w:rPr>
  </w:style>
  <w:style w:type="paragraph" w:customStyle="1" w:styleId="370">
    <w:name w:val="篇名"/>
    <w:next w:val="203"/>
    <w:qFormat/>
    <w:uiPriority w:val="0"/>
    <w:pPr>
      <w:pageBreakBefore/>
      <w:spacing w:before="480" w:after="480"/>
      <w:jc w:val="center"/>
    </w:pPr>
    <w:rPr>
      <w:rFonts w:ascii="Times New Roman" w:hAnsi="Times New Roman" w:eastAsia="黑体" w:cs="Times New Roman"/>
      <w:b/>
      <w:sz w:val="44"/>
      <w:szCs w:val="24"/>
      <w:lang w:val="en-US" w:eastAsia="zh-CN" w:bidi="ar-SA"/>
    </w:rPr>
  </w:style>
  <w:style w:type="paragraph" w:customStyle="1" w:styleId="371">
    <w:name w:val="正文_6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72">
    <w:name w:val="正文_3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73">
    <w:name w:val="正文_9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74">
    <w:name w:val="WPSOffice手动目录 1"/>
    <w:qFormat/>
    <w:uiPriority w:val="0"/>
    <w:rPr>
      <w:rFonts w:ascii="Times New Roman" w:hAnsi="Times New Roman" w:eastAsia="宋体" w:cs="Times New Roman"/>
      <w:lang w:val="en-US" w:eastAsia="zh-CN" w:bidi="ar-SA"/>
    </w:rPr>
  </w:style>
  <w:style w:type="paragraph" w:customStyle="1" w:styleId="375">
    <w:name w:val="正文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76">
    <w:name w:val="参考资料清单+倾斜+蓝色"/>
    <w:basedOn w:val="1"/>
    <w:qFormat/>
    <w:uiPriority w:val="0"/>
    <w:pPr>
      <w:spacing w:line="360" w:lineRule="auto"/>
    </w:pPr>
    <w:rPr>
      <w:rFonts w:ascii="Arial" w:hAnsi="Arial"/>
      <w:i/>
      <w:iCs/>
      <w:color w:val="0000FF"/>
      <w:szCs w:val="21"/>
    </w:rPr>
  </w:style>
  <w:style w:type="paragraph" w:customStyle="1" w:styleId="377">
    <w:name w:val="Normal_8"/>
    <w:qFormat/>
    <w:uiPriority w:val="0"/>
    <w:rPr>
      <w:rFonts w:ascii="Times New Roman" w:hAnsi="Times New Roman" w:eastAsia="Times New Roman" w:cs="Times New Roman"/>
      <w:sz w:val="24"/>
      <w:szCs w:val="24"/>
      <w:lang w:val="en-US" w:eastAsia="zh-CN" w:bidi="ar-SA"/>
    </w:rPr>
  </w:style>
  <w:style w:type="paragraph" w:customStyle="1" w:styleId="378">
    <w:name w:val="缩进正文"/>
    <w:basedOn w:val="1"/>
    <w:qFormat/>
    <w:uiPriority w:val="0"/>
    <w:pPr>
      <w:widowControl/>
      <w:spacing w:after="200" w:line="400" w:lineRule="exact"/>
      <w:ind w:left="1418" w:firstLine="425"/>
      <w:jc w:val="left"/>
    </w:pPr>
    <w:rPr>
      <w:rFonts w:ascii="宋体"/>
      <w:sz w:val="24"/>
      <w:szCs w:val="20"/>
    </w:rPr>
  </w:style>
  <w:style w:type="paragraph" w:customStyle="1" w:styleId="379">
    <w:name w:val="Normal_2"/>
    <w:qFormat/>
    <w:uiPriority w:val="0"/>
    <w:rPr>
      <w:rFonts w:ascii="黑体" w:hAnsi="黑体" w:eastAsia="黑体" w:cs="Times New Roman"/>
      <w:b/>
      <w:sz w:val="32"/>
      <w:szCs w:val="24"/>
      <w:lang w:val="en-US" w:eastAsia="zh-CN" w:bidi="ar-SA"/>
    </w:rPr>
  </w:style>
  <w:style w:type="paragraph" w:customStyle="1" w:styleId="380">
    <w:name w:val="Normal_1_2"/>
    <w:qFormat/>
    <w:uiPriority w:val="0"/>
    <w:rPr>
      <w:rFonts w:ascii="Times New Roman" w:hAnsi="Times New Roman" w:eastAsia="Times New Roman" w:cs="Times New Roman"/>
      <w:sz w:val="24"/>
      <w:szCs w:val="24"/>
      <w:lang w:val="en-US" w:eastAsia="zh-CN" w:bidi="ar-SA"/>
    </w:rPr>
  </w:style>
  <w:style w:type="paragraph" w:customStyle="1" w:styleId="381">
    <w:name w:val="默认段落字体 Para Char Char Char Char Char Char Char Char Char1"/>
    <w:basedOn w:val="1"/>
    <w:qFormat/>
    <w:uiPriority w:val="0"/>
    <w:rPr>
      <w:rFonts w:ascii="Tahoma" w:hAnsi="Tahoma"/>
      <w:sz w:val="24"/>
      <w:szCs w:val="20"/>
    </w:rPr>
  </w:style>
  <w:style w:type="paragraph" w:customStyle="1" w:styleId="382">
    <w:name w:val="样式 序号----------- + 仿宋_GB2312"/>
    <w:basedOn w:val="383"/>
    <w:qFormat/>
    <w:uiPriority w:val="0"/>
    <w:pPr>
      <w:spacing w:line="360" w:lineRule="auto"/>
      <w:ind w:firstLine="200"/>
    </w:pPr>
    <w:rPr>
      <w:rFonts w:ascii="仿宋_GB2312" w:eastAsia="仿宋_GB2312"/>
      <w:bCs w:val="0"/>
    </w:rPr>
  </w:style>
  <w:style w:type="paragraph" w:customStyle="1" w:styleId="383">
    <w:name w:val="序号-----------"/>
    <w:basedOn w:val="1"/>
    <w:qFormat/>
    <w:uiPriority w:val="0"/>
    <w:pPr>
      <w:widowControl/>
      <w:jc w:val="left"/>
    </w:pPr>
    <w:rPr>
      <w:rFonts w:ascii="宋体"/>
      <w:bCs/>
      <w:szCs w:val="21"/>
    </w:rPr>
  </w:style>
  <w:style w:type="paragraph" w:customStyle="1" w:styleId="384">
    <w:name w:val="pa-8"/>
    <w:basedOn w:val="1"/>
    <w:qFormat/>
    <w:uiPriority w:val="0"/>
    <w:pPr>
      <w:widowControl/>
      <w:spacing w:line="280" w:lineRule="atLeast"/>
      <w:ind w:firstLine="480"/>
    </w:pPr>
    <w:rPr>
      <w:rFonts w:ascii="宋体" w:cs="宋体"/>
      <w:sz w:val="24"/>
    </w:rPr>
  </w:style>
  <w:style w:type="paragraph" w:customStyle="1" w:styleId="385">
    <w:name w:val="Indent Normal"/>
    <w:basedOn w:val="1"/>
    <w:qFormat/>
    <w:uiPriority w:val="0"/>
    <w:pPr>
      <w:ind w:firstLine="150"/>
    </w:pPr>
    <w:rPr>
      <w:sz w:val="24"/>
      <w:szCs w:val="20"/>
    </w:rPr>
  </w:style>
  <w:style w:type="paragraph" w:customStyle="1" w:styleId="386">
    <w:name w:val="Normal_3"/>
    <w:qFormat/>
    <w:uiPriority w:val="0"/>
    <w:rPr>
      <w:rFonts w:ascii="黑体" w:hAnsi="黑体" w:eastAsia="黑体" w:cs="Times New Roman"/>
      <w:b/>
      <w:sz w:val="32"/>
      <w:szCs w:val="24"/>
      <w:lang w:val="en-US" w:eastAsia="zh-CN" w:bidi="ar-SA"/>
    </w:rPr>
  </w:style>
  <w:style w:type="paragraph" w:customStyle="1" w:styleId="387">
    <w:name w:val="寄信人地址1"/>
    <w:basedOn w:val="356"/>
    <w:qFormat/>
    <w:uiPriority w:val="99"/>
    <w:rPr>
      <w:rFonts w:ascii="Arial" w:hAnsi="Arial" w:cs="Arial"/>
    </w:rPr>
  </w:style>
  <w:style w:type="paragraph" w:customStyle="1" w:styleId="388">
    <w:name w:val="标题2"/>
    <w:basedOn w:val="1"/>
    <w:qFormat/>
    <w:uiPriority w:val="0"/>
    <w:pPr>
      <w:tabs>
        <w:tab w:val="left" w:pos="0"/>
      </w:tabs>
    </w:pPr>
    <w:rPr>
      <w:rFonts w:ascii="黑体" w:eastAsia="黑体"/>
      <w:sz w:val="24"/>
    </w:rPr>
  </w:style>
  <w:style w:type="paragraph" w:customStyle="1" w:styleId="389">
    <w:name w:val="Normal_10"/>
    <w:qFormat/>
    <w:uiPriority w:val="0"/>
    <w:rPr>
      <w:rFonts w:ascii="黑体" w:hAnsi="黑体" w:eastAsia="黑体" w:cs="Times New Roman"/>
      <w:b/>
      <w:sz w:val="32"/>
      <w:szCs w:val="24"/>
      <w:lang w:val="en-US" w:eastAsia="zh-CN" w:bidi="ar-SA"/>
    </w:rPr>
  </w:style>
  <w:style w:type="paragraph" w:customStyle="1" w:styleId="390">
    <w:name w:val="样式3"/>
    <w:basedOn w:val="205"/>
    <w:qFormat/>
    <w:uiPriority w:val="0"/>
    <w:pPr>
      <w:spacing w:line="415" w:lineRule="auto"/>
    </w:pPr>
    <w:rPr>
      <w:rFonts w:ascii="Calibri" w:hAnsi="Calibri"/>
      <w:bCs/>
      <w:color w:val="000000"/>
      <w:sz w:val="28"/>
      <w:szCs w:val="28"/>
    </w:rPr>
  </w:style>
  <w:style w:type="paragraph" w:customStyle="1" w:styleId="391">
    <w:name w:val="样式6"/>
    <w:basedOn w:val="43"/>
    <w:qFormat/>
    <w:uiPriority w:val="0"/>
    <w:pPr>
      <w:keepNext/>
      <w:keepLines/>
      <w:spacing w:before="260" w:after="260" w:line="415" w:lineRule="auto"/>
      <w:outlineLvl w:val="1"/>
    </w:pPr>
    <w:rPr>
      <w:rFonts w:ascii="Times New Roman" w:hAnsi="Times New Roman" w:eastAsia="宋体" w:cs="Times New Roman"/>
      <w:b/>
      <w:bCs/>
      <w:sz w:val="32"/>
      <w:szCs w:val="32"/>
    </w:rPr>
  </w:style>
  <w:style w:type="paragraph" w:customStyle="1" w:styleId="392">
    <w:name w:val="Char1 Char Char Char"/>
    <w:basedOn w:val="1"/>
    <w:qFormat/>
    <w:uiPriority w:val="0"/>
    <w:rPr>
      <w:szCs w:val="20"/>
    </w:rPr>
  </w:style>
  <w:style w:type="paragraph" w:customStyle="1" w:styleId="393">
    <w:name w:val="纯文本2"/>
    <w:basedOn w:val="1"/>
    <w:qFormat/>
    <w:uiPriority w:val="0"/>
    <w:rPr>
      <w:rFonts w:ascii="宋体" w:hAnsi="Courier New" w:eastAsia="楷体_GB2312"/>
      <w:sz w:val="26"/>
      <w:szCs w:val="20"/>
    </w:rPr>
  </w:style>
  <w:style w:type="paragraph" w:customStyle="1" w:styleId="394">
    <w:name w:val="Normal_4_0"/>
    <w:qFormat/>
    <w:uiPriority w:val="0"/>
    <w:rPr>
      <w:rFonts w:ascii="黑体" w:hAnsi="黑体" w:eastAsia="黑体" w:cs="Times New Roman"/>
      <w:b/>
      <w:sz w:val="32"/>
      <w:szCs w:val="24"/>
      <w:lang w:val="en-US" w:eastAsia="zh-CN" w:bidi="ar-SA"/>
    </w:rPr>
  </w:style>
  <w:style w:type="paragraph" w:customStyle="1" w:styleId="395">
    <w:name w:val="三级条标题"/>
    <w:basedOn w:val="396"/>
    <w:next w:val="398"/>
    <w:qFormat/>
    <w:uiPriority w:val="0"/>
    <w:pPr>
      <w:ind w:left="1050"/>
      <w:outlineLvl w:val="4"/>
    </w:pPr>
  </w:style>
  <w:style w:type="paragraph" w:customStyle="1" w:styleId="396">
    <w:name w:val="二级条标题"/>
    <w:basedOn w:val="397"/>
    <w:next w:val="398"/>
    <w:qFormat/>
    <w:uiPriority w:val="0"/>
    <w:pPr>
      <w:ind w:left="360"/>
      <w:outlineLvl w:val="3"/>
    </w:pPr>
  </w:style>
  <w:style w:type="paragraph" w:customStyle="1" w:styleId="397">
    <w:name w:val="一级条标题"/>
    <w:next w:val="398"/>
    <w:qFormat/>
    <w:uiPriority w:val="0"/>
    <w:pPr>
      <w:outlineLvl w:val="2"/>
    </w:pPr>
    <w:rPr>
      <w:rFonts w:ascii="Times New Roman" w:hAnsi="Times New Roman" w:eastAsia="黑体" w:cs="Times New Roman"/>
      <w:sz w:val="21"/>
      <w:lang w:val="en-US" w:eastAsia="zh-CN" w:bidi="ar-SA"/>
    </w:rPr>
  </w:style>
  <w:style w:type="paragraph" w:customStyle="1" w:styleId="398">
    <w:name w:val="段"/>
    <w:qFormat/>
    <w:uiPriority w:val="0"/>
    <w:pPr>
      <w:ind w:firstLine="200"/>
      <w:jc w:val="both"/>
    </w:pPr>
    <w:rPr>
      <w:rFonts w:ascii="宋体" w:hAnsi="Times New Roman" w:eastAsia="宋体" w:cs="Times New Roman"/>
      <w:sz w:val="21"/>
      <w:lang w:val="en-US" w:eastAsia="zh-CN" w:bidi="ar-SA"/>
    </w:rPr>
  </w:style>
  <w:style w:type="paragraph" w:customStyle="1" w:styleId="399">
    <w:name w:val="Normal_5_0"/>
    <w:qFormat/>
    <w:uiPriority w:val="0"/>
    <w:rPr>
      <w:rFonts w:ascii="黑体" w:hAnsi="黑体" w:eastAsia="黑体" w:cs="Times New Roman"/>
      <w:b/>
      <w:sz w:val="32"/>
      <w:szCs w:val="24"/>
      <w:lang w:val="en-US" w:eastAsia="zh-CN" w:bidi="ar-SA"/>
    </w:rPr>
  </w:style>
  <w:style w:type="paragraph" w:customStyle="1" w:styleId="400">
    <w:name w:val="Normal_14_0"/>
    <w:qFormat/>
    <w:uiPriority w:val="0"/>
    <w:rPr>
      <w:rFonts w:ascii="黑体" w:hAnsi="黑体" w:eastAsia="黑体" w:cs="Times New Roman"/>
      <w:b/>
      <w:sz w:val="32"/>
      <w:szCs w:val="24"/>
      <w:lang w:val="en-US" w:eastAsia="zh-CN" w:bidi="ar-SA"/>
    </w:rPr>
  </w:style>
  <w:style w:type="paragraph" w:customStyle="1" w:styleId="401">
    <w:name w:val="技术方案2"/>
    <w:basedOn w:val="1"/>
    <w:qFormat/>
    <w:uiPriority w:val="0"/>
    <w:pPr>
      <w:spacing w:line="480" w:lineRule="auto"/>
    </w:pPr>
    <w:rPr>
      <w:rFonts w:ascii="宋体"/>
      <w:b/>
      <w:bCs/>
      <w:sz w:val="36"/>
    </w:rPr>
  </w:style>
  <w:style w:type="paragraph" w:customStyle="1" w:styleId="402">
    <w:name w:val="表格样式居左"/>
    <w:qFormat/>
    <w:uiPriority w:val="0"/>
    <w:pPr>
      <w:spacing w:before="120" w:after="120" w:line="400" w:lineRule="exact"/>
      <w:jc w:val="both"/>
    </w:pPr>
    <w:rPr>
      <w:rFonts w:ascii="Times New Roman" w:hAnsi="Times New Roman" w:eastAsia="仿宋_GB2312" w:cs="Times New Roman"/>
      <w:bCs/>
      <w:sz w:val="21"/>
      <w:szCs w:val="21"/>
      <w:lang w:val="en-US" w:eastAsia="zh-CN" w:bidi="ar-SA"/>
    </w:rPr>
  </w:style>
  <w:style w:type="paragraph" w:customStyle="1" w:styleId="403">
    <w:name w:val="Normal_0_0"/>
    <w:qFormat/>
    <w:uiPriority w:val="0"/>
    <w:rPr>
      <w:rFonts w:ascii="黑体" w:hAnsi="黑体" w:eastAsia="黑体" w:cs="Times New Roman"/>
      <w:b/>
      <w:sz w:val="40"/>
      <w:szCs w:val="24"/>
      <w:lang w:val="en-US" w:eastAsia="zh-CN" w:bidi="ar-SA"/>
    </w:rPr>
  </w:style>
  <w:style w:type="paragraph" w:customStyle="1" w:styleId="404">
    <w:name w:val="表格标题"/>
    <w:basedOn w:val="1"/>
    <w:qFormat/>
    <w:uiPriority w:val="0"/>
    <w:pPr>
      <w:jc w:val="center"/>
    </w:pPr>
    <w:rPr>
      <w:b/>
    </w:rPr>
  </w:style>
  <w:style w:type="paragraph" w:customStyle="1" w:styleId="405">
    <w:name w:val="表中文字"/>
    <w:basedOn w:val="1"/>
    <w:qFormat/>
    <w:uiPriority w:val="0"/>
    <w:pPr>
      <w:widowControl/>
    </w:pPr>
    <w:rPr>
      <w:rFonts w:ascii="Calibri" w:hAnsi="Calibri"/>
      <w:szCs w:val="20"/>
    </w:rPr>
  </w:style>
  <w:style w:type="paragraph" w:customStyle="1" w:styleId="406">
    <w:name w:val="Char"/>
    <w:basedOn w:val="1"/>
    <w:qFormat/>
    <w:uiPriority w:val="0"/>
    <w:pPr>
      <w:widowControl/>
      <w:spacing w:after="160" w:line="240" w:lineRule="exact"/>
      <w:jc w:val="left"/>
    </w:pPr>
    <w:rPr>
      <w:rFonts w:ascii="Verdana" w:hAnsi="Verdana"/>
      <w:sz w:val="20"/>
      <w:szCs w:val="20"/>
      <w:lang w:eastAsia="en-US"/>
    </w:rPr>
  </w:style>
  <w:style w:type="paragraph" w:customStyle="1" w:styleId="407">
    <w:name w:val="pbody"/>
    <w:basedOn w:val="1"/>
    <w:qFormat/>
    <w:uiPriority w:val="0"/>
    <w:pPr>
      <w:widowControl/>
      <w:spacing w:before="100" w:beforeAutospacing="1" w:after="100" w:afterAutospacing="1" w:line="360" w:lineRule="auto"/>
      <w:jc w:val="left"/>
    </w:pPr>
    <w:rPr>
      <w:rFonts w:ascii="宋体" w:cs="宋体"/>
      <w:sz w:val="24"/>
    </w:rPr>
  </w:style>
  <w:style w:type="paragraph" w:customStyle="1" w:styleId="408">
    <w:name w:val="正文_1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09">
    <w:name w:val="Normal_9"/>
    <w:qFormat/>
    <w:uiPriority w:val="0"/>
    <w:rPr>
      <w:rFonts w:ascii="黑体" w:hAnsi="黑体" w:eastAsia="黑体" w:cs="Times New Roman"/>
      <w:b/>
      <w:sz w:val="32"/>
      <w:szCs w:val="24"/>
      <w:lang w:val="en-US" w:eastAsia="zh-CN" w:bidi="ar-SA"/>
    </w:rPr>
  </w:style>
  <w:style w:type="paragraph" w:customStyle="1" w:styleId="410">
    <w:name w:val="表格正文"/>
    <w:basedOn w:val="1"/>
    <w:qFormat/>
    <w:uiPriority w:val="0"/>
    <w:pPr>
      <w:tabs>
        <w:tab w:val="left" w:pos="420"/>
      </w:tabs>
      <w:spacing w:line="300" w:lineRule="auto"/>
    </w:pPr>
  </w:style>
  <w:style w:type="paragraph" w:customStyle="1" w:styleId="411">
    <w:name w:val="目录 1_0"/>
    <w:basedOn w:val="297"/>
    <w:next w:val="297"/>
    <w:qFormat/>
    <w:uiPriority w:val="0"/>
    <w:pPr>
      <w:jc w:val="left"/>
    </w:pPr>
    <w:rPr>
      <w:rFonts w:hint="eastAsia" w:ascii="宋体" w:hAnsi="宋体"/>
      <w:b/>
      <w:sz w:val="24"/>
    </w:rPr>
  </w:style>
  <w:style w:type="paragraph" w:customStyle="1" w:styleId="412">
    <w:name w:val="正文_1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13">
    <w:name w:val="正文_1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14">
    <w:name w:val="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15">
    <w:name w:val="正文_5"/>
    <w:qFormat/>
    <w:uiPriority w:val="0"/>
    <w:pPr>
      <w:widowControl w:val="0"/>
      <w:jc w:val="both"/>
    </w:pPr>
    <w:rPr>
      <w:rFonts w:ascii="Times New Roman" w:hAnsi="Times New Roman" w:eastAsia="宋体" w:cs="Times New Roman"/>
      <w:sz w:val="21"/>
      <w:lang w:val="en-US" w:eastAsia="zh-CN" w:bidi="ar-SA"/>
    </w:rPr>
  </w:style>
  <w:style w:type="paragraph" w:customStyle="1" w:styleId="416">
    <w:name w:val="标书2"/>
    <w:next w:val="417"/>
    <w:qFormat/>
    <w:uiPriority w:val="0"/>
    <w:rPr>
      <w:rFonts w:ascii="Times New Roman" w:hAnsi="Times New Roman" w:eastAsia="黑体" w:cs="宋体"/>
      <w:b/>
      <w:sz w:val="44"/>
      <w:lang w:val="en-US" w:eastAsia="zh-CN" w:bidi="ar-SA"/>
    </w:rPr>
  </w:style>
  <w:style w:type="paragraph" w:customStyle="1" w:styleId="417">
    <w:name w:val="段落"/>
    <w:qFormat/>
    <w:uiPriority w:val="0"/>
    <w:pPr>
      <w:spacing w:before="120" w:after="120" w:line="360" w:lineRule="auto"/>
      <w:ind w:firstLine="420"/>
      <w:jc w:val="both"/>
    </w:pPr>
    <w:rPr>
      <w:rFonts w:ascii="Times New Roman" w:hAnsi="Times New Roman" w:eastAsia="仿宋_GB2312" w:cs="Times New Roman"/>
      <w:sz w:val="24"/>
      <w:szCs w:val="24"/>
      <w:lang w:val="en-US" w:eastAsia="zh-CN" w:bidi="ar-SA"/>
    </w:rPr>
  </w:style>
  <w:style w:type="paragraph" w:customStyle="1" w:styleId="418">
    <w:name w:val="xl3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19">
    <w:name w:val="p0"/>
    <w:basedOn w:val="1"/>
    <w:qFormat/>
    <w:uiPriority w:val="0"/>
    <w:pPr>
      <w:widowControl/>
    </w:pPr>
    <w:rPr>
      <w:szCs w:val="21"/>
    </w:rPr>
  </w:style>
  <w:style w:type="paragraph" w:customStyle="1" w:styleId="420">
    <w:name w:val="ibm-list-next"/>
    <w:basedOn w:val="1"/>
    <w:qFormat/>
    <w:uiPriority w:val="0"/>
    <w:pPr>
      <w:widowControl/>
      <w:spacing w:before="100" w:beforeAutospacing="1" w:after="100" w:afterAutospacing="1"/>
      <w:jc w:val="left"/>
    </w:pPr>
    <w:rPr>
      <w:rFonts w:ascii="宋体" w:cs="宋体"/>
      <w:sz w:val="24"/>
    </w:rPr>
  </w:style>
  <w:style w:type="paragraph" w:customStyle="1" w:styleId="421">
    <w:name w:val="WPSOffice手动目录 2"/>
    <w:qFormat/>
    <w:uiPriority w:val="0"/>
    <w:rPr>
      <w:rFonts w:ascii="Times New Roman" w:hAnsi="Times New Roman" w:eastAsia="宋体" w:cs="Times New Roman"/>
      <w:lang w:val="en-US" w:eastAsia="zh-CN" w:bidi="ar-SA"/>
    </w:rPr>
  </w:style>
  <w:style w:type="paragraph" w:customStyle="1" w:styleId="422">
    <w:name w:val="正文文字缩进 3"/>
    <w:basedOn w:val="1"/>
    <w:qFormat/>
    <w:uiPriority w:val="0"/>
    <w:pPr>
      <w:spacing w:line="312" w:lineRule="auto"/>
      <w:ind w:left="420" w:firstLine="420"/>
    </w:pPr>
    <w:rPr>
      <w:rFonts w:ascii="黑体" w:hAnsi="黑体" w:cs="宋体"/>
      <w:bCs/>
      <w:color w:val="000000"/>
      <w:sz w:val="24"/>
    </w:rPr>
  </w:style>
  <w:style w:type="paragraph" w:customStyle="1" w:styleId="423">
    <w:name w:val="pa-9"/>
    <w:basedOn w:val="1"/>
    <w:qFormat/>
    <w:uiPriority w:val="0"/>
    <w:pPr>
      <w:widowControl/>
      <w:spacing w:line="360" w:lineRule="atLeast"/>
      <w:jc w:val="center"/>
    </w:pPr>
    <w:rPr>
      <w:rFonts w:ascii="宋体" w:cs="宋体"/>
      <w:sz w:val="24"/>
    </w:rPr>
  </w:style>
  <w:style w:type="paragraph" w:customStyle="1" w:styleId="424">
    <w:name w:val="表格文字"/>
    <w:basedOn w:val="1"/>
    <w:qFormat/>
    <w:uiPriority w:val="0"/>
    <w:pPr>
      <w:jc w:val="left"/>
    </w:pPr>
    <w:rPr>
      <w:sz w:val="18"/>
    </w:rPr>
  </w:style>
  <w:style w:type="paragraph" w:customStyle="1" w:styleId="425">
    <w:name w:val="Figure and Table Title"/>
    <w:basedOn w:val="1"/>
    <w:qFormat/>
    <w:uiPriority w:val="0"/>
    <w:pPr>
      <w:widowControl/>
      <w:ind w:left="2160"/>
      <w:jc w:val="left"/>
    </w:pPr>
    <w:rPr>
      <w:rFonts w:ascii="Helvetica-Light" w:hAnsi="Helvetica-Light"/>
      <w:b/>
      <w:bCs/>
      <w:sz w:val="20"/>
      <w:lang w:eastAsia="en-US"/>
    </w:rPr>
  </w:style>
  <w:style w:type="paragraph" w:customStyle="1" w:styleId="426">
    <w:name w:val="正文_9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27">
    <w:name w:val="正文_1_1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28">
    <w:name w:val="首页小标题"/>
    <w:next w:val="429"/>
    <w:qFormat/>
    <w:uiPriority w:val="0"/>
    <w:pPr>
      <w:jc w:val="center"/>
    </w:pPr>
    <w:rPr>
      <w:rFonts w:ascii="Times New Roman" w:hAnsi="Times New Roman" w:eastAsia="宋体" w:cs="宋体"/>
      <w:sz w:val="44"/>
      <w:lang w:val="en-US" w:eastAsia="zh-CN" w:bidi="ar-SA"/>
    </w:rPr>
  </w:style>
  <w:style w:type="paragraph" w:customStyle="1" w:styleId="429">
    <w:name w:val="首页空格"/>
    <w:qFormat/>
    <w:uiPriority w:val="0"/>
    <w:pPr>
      <w:jc w:val="center"/>
    </w:pPr>
    <w:rPr>
      <w:rFonts w:ascii="Times New Roman" w:hAnsi="Times New Roman" w:eastAsia="宋体" w:cs="宋体"/>
      <w:sz w:val="72"/>
      <w:lang w:val="en-US" w:eastAsia="zh-CN" w:bidi="ar-SA"/>
    </w:rPr>
  </w:style>
  <w:style w:type="paragraph" w:customStyle="1" w:styleId="430">
    <w:name w:val="纯文本1"/>
    <w:basedOn w:val="1"/>
    <w:qFormat/>
    <w:uiPriority w:val="0"/>
    <w:rPr>
      <w:rFonts w:ascii="宋体" w:hAnsi="Courier New" w:eastAsia="楷体_GB2312"/>
      <w:sz w:val="26"/>
      <w:szCs w:val="20"/>
    </w:rPr>
  </w:style>
  <w:style w:type="paragraph" w:customStyle="1" w:styleId="431">
    <w:name w:val="xl41"/>
    <w:basedOn w:val="1"/>
    <w:qFormat/>
    <w:uiPriority w:val="0"/>
    <w:pPr>
      <w:widowControl/>
      <w:pBdr>
        <w:bottom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32">
    <w:name w:val="表头"/>
    <w:basedOn w:val="433"/>
    <w:qFormat/>
    <w:uiPriority w:val="0"/>
    <w:pPr>
      <w:spacing w:line="240" w:lineRule="auto"/>
      <w:ind w:left="0" w:firstLine="0"/>
    </w:pPr>
    <w:rPr>
      <w:sz w:val="20"/>
    </w:rPr>
  </w:style>
  <w:style w:type="paragraph" w:customStyle="1" w:styleId="433">
    <w:name w:val="正文1"/>
    <w:basedOn w:val="1"/>
    <w:qFormat/>
    <w:uiPriority w:val="0"/>
    <w:pPr>
      <w:widowControl/>
      <w:spacing w:line="360" w:lineRule="auto"/>
      <w:ind w:left="357" w:firstLine="420"/>
      <w:jc w:val="left"/>
    </w:pPr>
    <w:rPr>
      <w:rFonts w:cs="Arial"/>
      <w:szCs w:val="20"/>
    </w:rPr>
  </w:style>
  <w:style w:type="paragraph" w:customStyle="1" w:styleId="434">
    <w:name w:val="正文_0_0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35">
    <w:name w:val="表格序号"/>
    <w:qFormat/>
    <w:uiPriority w:val="0"/>
    <w:rPr>
      <w:rFonts w:ascii="Times New Roman" w:hAnsi="Times New Roman" w:eastAsia="仿宋_GB2312" w:cs="宋体"/>
      <w:sz w:val="21"/>
      <w:lang w:val="en-US" w:eastAsia="zh-CN" w:bidi="ar-SA"/>
    </w:rPr>
  </w:style>
  <w:style w:type="paragraph" w:customStyle="1" w:styleId="436">
    <w:name w:val="正文_16"/>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37">
    <w:name w:val="Normal_15"/>
    <w:qFormat/>
    <w:uiPriority w:val="0"/>
    <w:rPr>
      <w:rFonts w:ascii="黑体" w:hAnsi="黑体" w:eastAsia="黑体" w:cs="Times New Roman"/>
      <w:b/>
      <w:sz w:val="32"/>
      <w:szCs w:val="24"/>
      <w:lang w:val="en-US" w:eastAsia="zh-CN" w:bidi="ar-SA"/>
    </w:rPr>
  </w:style>
  <w:style w:type="paragraph" w:styleId="438">
    <w:name w:val="List Paragraph"/>
    <w:basedOn w:val="1"/>
    <w:link w:val="653"/>
    <w:qFormat/>
    <w:uiPriority w:val="34"/>
    <w:pPr>
      <w:ind w:firstLine="200"/>
    </w:pPr>
    <w:rPr>
      <w:rFonts w:ascii="Calibri" w:hAnsi="Calibri"/>
    </w:rPr>
  </w:style>
  <w:style w:type="paragraph" w:customStyle="1" w:styleId="439">
    <w:name w:val="正文_10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40">
    <w:name w:val="正文（首行缩进）"/>
    <w:basedOn w:val="1"/>
    <w:qFormat/>
    <w:uiPriority w:val="0"/>
    <w:pPr>
      <w:widowControl/>
      <w:spacing w:before="120" w:line="360" w:lineRule="auto"/>
      <w:ind w:firstLine="482"/>
    </w:pPr>
    <w:rPr>
      <w:rFonts w:ascii="Calibri" w:hAnsi="Calibri"/>
      <w:sz w:val="24"/>
      <w:szCs w:val="20"/>
    </w:rPr>
  </w:style>
  <w:style w:type="paragraph" w:customStyle="1" w:styleId="441">
    <w:name w:val="Normal_19"/>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42">
    <w:name w:val="技术方案3"/>
    <w:basedOn w:val="1"/>
    <w:qFormat/>
    <w:uiPriority w:val="0"/>
    <w:pPr>
      <w:spacing w:line="360" w:lineRule="auto"/>
    </w:pPr>
    <w:rPr>
      <w:rFonts w:ascii="宋体"/>
      <w:b/>
      <w:bCs/>
      <w:sz w:val="32"/>
    </w:rPr>
  </w:style>
  <w:style w:type="paragraph" w:customStyle="1" w:styleId="443">
    <w:name w:val="默认段落字体 Para Char Char Char Char Char"/>
    <w:basedOn w:val="1"/>
    <w:qFormat/>
    <w:uiPriority w:val="0"/>
    <w:pPr>
      <w:spacing w:before="100" w:beforeAutospacing="1" w:after="100" w:afterAutospacing="1" w:line="360" w:lineRule="auto"/>
      <w:ind w:firstLine="200"/>
      <w:jc w:val="left"/>
    </w:pPr>
    <w:rPr>
      <w:rFonts w:ascii="Arial" w:hAnsi="Arial"/>
      <w:sz w:val="24"/>
      <w:lang w:eastAsia="en-US"/>
    </w:rPr>
  </w:style>
  <w:style w:type="paragraph" w:customStyle="1" w:styleId="444">
    <w:name w:val="正文_17"/>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45">
    <w:name w:val="pa-10"/>
    <w:basedOn w:val="1"/>
    <w:qFormat/>
    <w:uiPriority w:val="0"/>
    <w:pPr>
      <w:widowControl/>
      <w:spacing w:line="240" w:lineRule="atLeast"/>
    </w:pPr>
    <w:rPr>
      <w:rFonts w:ascii="宋体" w:cs="宋体"/>
      <w:sz w:val="24"/>
    </w:rPr>
  </w:style>
  <w:style w:type="paragraph" w:customStyle="1" w:styleId="446">
    <w:name w:val="pa-5"/>
    <w:basedOn w:val="1"/>
    <w:qFormat/>
    <w:uiPriority w:val="0"/>
    <w:pPr>
      <w:widowControl/>
      <w:spacing w:line="280" w:lineRule="atLeast"/>
    </w:pPr>
    <w:rPr>
      <w:rFonts w:ascii="宋体" w:cs="宋体"/>
      <w:sz w:val="24"/>
    </w:rPr>
  </w:style>
  <w:style w:type="paragraph" w:customStyle="1" w:styleId="447">
    <w:name w:val="封面标准号1"/>
    <w:qFormat/>
    <w:uiPriority w:val="0"/>
    <w:pPr>
      <w:widowControl w:val="0"/>
      <w:spacing w:before="308"/>
      <w:jc w:val="right"/>
    </w:pPr>
    <w:rPr>
      <w:rFonts w:ascii="Times New Roman" w:hAnsi="Times New Roman" w:eastAsia="宋体" w:cs="Times New Roman"/>
      <w:sz w:val="28"/>
      <w:lang w:val="en-US" w:eastAsia="zh-CN" w:bidi="ar-SA"/>
    </w:rPr>
  </w:style>
  <w:style w:type="paragraph" w:customStyle="1" w:styleId="448">
    <w:name w:val="新段落缩进"/>
    <w:basedOn w:val="1"/>
    <w:qFormat/>
    <w:uiPriority w:val="0"/>
    <w:pPr>
      <w:spacing w:line="400" w:lineRule="exact"/>
      <w:ind w:firstLine="200"/>
    </w:pPr>
    <w:rPr>
      <w:rFonts w:ascii="仿宋_GB2312" w:eastAsia="仿宋_GB2312"/>
      <w:sz w:val="24"/>
    </w:rPr>
  </w:style>
  <w:style w:type="paragraph" w:customStyle="1" w:styleId="449">
    <w:name w:val="正文_8"/>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50">
    <w:name w:val="pa-2"/>
    <w:basedOn w:val="1"/>
    <w:qFormat/>
    <w:uiPriority w:val="0"/>
    <w:pPr>
      <w:widowControl/>
      <w:spacing w:line="360" w:lineRule="atLeast"/>
    </w:pPr>
    <w:rPr>
      <w:rFonts w:ascii="宋体" w:cs="宋体"/>
      <w:sz w:val="24"/>
    </w:rPr>
  </w:style>
  <w:style w:type="paragraph" w:customStyle="1" w:styleId="451">
    <w:name w:val="列出段落1"/>
    <w:basedOn w:val="1"/>
    <w:qFormat/>
    <w:uiPriority w:val="99"/>
    <w:pPr>
      <w:ind w:firstLine="200"/>
    </w:pPr>
    <w:rPr>
      <w:rFonts w:ascii="Calibri" w:hAnsi="Calibri"/>
    </w:rPr>
  </w:style>
  <w:style w:type="paragraph" w:customStyle="1" w:styleId="452">
    <w:name w:val="说明书2级标题"/>
    <w:basedOn w:val="1"/>
    <w:next w:val="453"/>
    <w:qFormat/>
    <w:uiPriority w:val="0"/>
    <w:pPr>
      <w:numPr>
        <w:ilvl w:val="2"/>
        <w:numId w:val="1"/>
      </w:numPr>
      <w:spacing w:before="100"/>
    </w:pPr>
    <w:rPr>
      <w:rFonts w:ascii="Calibri" w:hAnsi="Calibri" w:eastAsia="黑体"/>
      <w:sz w:val="28"/>
      <w:szCs w:val="28"/>
    </w:rPr>
  </w:style>
  <w:style w:type="paragraph" w:customStyle="1" w:styleId="453">
    <w:name w:val="说明书3级标题"/>
    <w:basedOn w:val="1"/>
    <w:next w:val="1"/>
    <w:qFormat/>
    <w:uiPriority w:val="0"/>
    <w:pPr>
      <w:numPr>
        <w:ilvl w:val="2"/>
        <w:numId w:val="2"/>
      </w:numPr>
      <w:spacing w:line="360" w:lineRule="auto"/>
    </w:pPr>
    <w:rPr>
      <w:rFonts w:ascii="Calibri" w:hAnsi="Calibri" w:eastAsia="黑体"/>
      <w:sz w:val="24"/>
    </w:rPr>
  </w:style>
  <w:style w:type="paragraph" w:customStyle="1" w:styleId="454">
    <w:name w:val="Char Char1 Char Char Char Char Char Char Char Char"/>
    <w:basedOn w:val="1"/>
    <w:qFormat/>
    <w:uiPriority w:val="0"/>
    <w:pPr>
      <w:widowControl/>
      <w:spacing w:after="160" w:line="240" w:lineRule="exact"/>
      <w:jc w:val="left"/>
    </w:pPr>
  </w:style>
  <w:style w:type="paragraph" w:customStyle="1" w:styleId="455">
    <w:name w:val="Normal_11_0"/>
    <w:qFormat/>
    <w:uiPriority w:val="0"/>
    <w:rPr>
      <w:rFonts w:ascii="黑体" w:hAnsi="黑体" w:eastAsia="黑体" w:cs="Times New Roman"/>
      <w:b/>
      <w:sz w:val="32"/>
      <w:szCs w:val="24"/>
      <w:lang w:val="en-US" w:eastAsia="zh-CN" w:bidi="ar-SA"/>
    </w:rPr>
  </w:style>
  <w:style w:type="paragraph" w:customStyle="1" w:styleId="456">
    <w:name w:val="首页标题小初"/>
    <w:qFormat/>
    <w:uiPriority w:val="0"/>
    <w:pPr>
      <w:jc w:val="center"/>
    </w:pPr>
    <w:rPr>
      <w:rFonts w:ascii="黑体" w:hAnsi="Times New Roman" w:eastAsia="黑体" w:cs="宋体"/>
      <w:sz w:val="72"/>
      <w:lang w:val="en-US" w:eastAsia="zh-CN" w:bidi="ar-SA"/>
    </w:rPr>
  </w:style>
  <w:style w:type="paragraph" w:customStyle="1" w:styleId="457">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58">
    <w:name w:val="正文_6_0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59">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460">
    <w:name w:val="附图标题"/>
    <w:basedOn w:val="223"/>
    <w:next w:val="222"/>
    <w:qFormat/>
    <w:uiPriority w:val="0"/>
    <w:pPr>
      <w:tabs>
        <w:tab w:val="left" w:pos="780"/>
      </w:tabs>
      <w:spacing w:after="100"/>
      <w:ind w:left="780" w:hanging="480"/>
      <w:jc w:val="center"/>
    </w:pPr>
    <w:rPr>
      <w:b/>
      <w:sz w:val="21"/>
    </w:rPr>
  </w:style>
  <w:style w:type="paragraph" w:customStyle="1" w:styleId="461">
    <w:name w:val="Normal_7"/>
    <w:qFormat/>
    <w:uiPriority w:val="0"/>
    <w:rPr>
      <w:rFonts w:ascii="黑体" w:hAnsi="黑体" w:eastAsia="黑体" w:cs="Times New Roman"/>
      <w:b/>
      <w:sz w:val="32"/>
      <w:szCs w:val="24"/>
      <w:lang w:val="en-US" w:eastAsia="zh-CN" w:bidi="ar-SA"/>
    </w:rPr>
  </w:style>
  <w:style w:type="paragraph" w:customStyle="1" w:styleId="462">
    <w:name w:val="正文_10_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63">
    <w:name w:val="五级条标题"/>
    <w:basedOn w:val="464"/>
    <w:next w:val="398"/>
    <w:qFormat/>
    <w:uiPriority w:val="0"/>
    <w:pPr>
      <w:outlineLvl w:val="6"/>
    </w:pPr>
  </w:style>
  <w:style w:type="paragraph" w:customStyle="1" w:styleId="464">
    <w:name w:val="四级条标题"/>
    <w:basedOn w:val="395"/>
    <w:next w:val="398"/>
    <w:qFormat/>
    <w:uiPriority w:val="0"/>
    <w:pPr>
      <w:ind w:left="0"/>
      <w:outlineLvl w:val="5"/>
    </w:pPr>
  </w:style>
  <w:style w:type="paragraph" w:customStyle="1" w:styleId="465">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66">
    <w:name w:val="正文_0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67">
    <w:name w:val="标准小四"/>
    <w:basedOn w:val="1"/>
    <w:qFormat/>
    <w:uiPriority w:val="0"/>
    <w:pPr>
      <w:spacing w:line="360" w:lineRule="auto"/>
      <w:ind w:firstLine="200"/>
    </w:pPr>
    <w:rPr>
      <w:rFonts w:ascii="Arial" w:hAnsi="Arial"/>
      <w:sz w:val="24"/>
      <w:szCs w:val="21"/>
    </w:rPr>
  </w:style>
  <w:style w:type="paragraph" w:customStyle="1" w:styleId="468">
    <w:name w:val="图表目录1"/>
    <w:qFormat/>
    <w:uiPriority w:val="0"/>
    <w:pPr>
      <w:ind w:left="840" w:hanging="420"/>
    </w:pPr>
    <w:rPr>
      <w:rFonts w:ascii="Times New Roman" w:hAnsi="Times New Roman" w:eastAsia="宋体" w:cs="宋体"/>
      <w:sz w:val="21"/>
      <w:lang w:val="en-US" w:eastAsia="zh-CN" w:bidi="ar-SA"/>
    </w:rPr>
  </w:style>
  <w:style w:type="paragraph" w:customStyle="1" w:styleId="469">
    <w:name w:val="Normal_18_0"/>
    <w:qFormat/>
    <w:uiPriority w:val="0"/>
    <w:rPr>
      <w:rFonts w:ascii="黑体" w:hAnsi="黑体" w:eastAsia="黑体" w:cs="Times New Roman"/>
      <w:b/>
      <w:sz w:val="32"/>
      <w:szCs w:val="24"/>
      <w:lang w:val="en-US" w:eastAsia="zh-CN" w:bidi="ar-SA"/>
    </w:rPr>
  </w:style>
  <w:style w:type="paragraph" w:customStyle="1" w:styleId="470">
    <w:name w:val="a0"/>
    <w:basedOn w:val="1"/>
    <w:qFormat/>
    <w:uiPriority w:val="0"/>
    <w:pPr>
      <w:widowControl/>
      <w:spacing w:before="100" w:beforeAutospacing="1" w:after="100" w:afterAutospacing="1"/>
      <w:jc w:val="left"/>
    </w:pPr>
    <w:rPr>
      <w:rFonts w:ascii="宋体"/>
      <w:sz w:val="24"/>
    </w:rPr>
  </w:style>
  <w:style w:type="paragraph" w:customStyle="1" w:styleId="471">
    <w:name w:val="正文（黑体）"/>
    <w:basedOn w:val="1"/>
    <w:next w:val="1"/>
    <w:qFormat/>
    <w:uiPriority w:val="0"/>
    <w:pPr>
      <w:spacing w:before="50" w:after="50" w:line="360" w:lineRule="auto"/>
      <w:ind w:firstLine="200"/>
    </w:pPr>
    <w:rPr>
      <w:rFonts w:ascii="黑体" w:eastAsia="黑体"/>
      <w:color w:val="000080"/>
      <w:sz w:val="24"/>
    </w:rPr>
  </w:style>
  <w:style w:type="paragraph" w:customStyle="1" w:styleId="472">
    <w:name w:val="正文_14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73">
    <w:name w:val="加点正文缩进"/>
    <w:basedOn w:val="1"/>
    <w:qFormat/>
    <w:uiPriority w:val="0"/>
    <w:pPr>
      <w:tabs>
        <w:tab w:val="left" w:pos="840"/>
      </w:tabs>
      <w:spacing w:line="300" w:lineRule="auto"/>
      <w:ind w:left="962" w:hanging="480"/>
    </w:pPr>
    <w:rPr>
      <w:sz w:val="24"/>
    </w:rPr>
  </w:style>
  <w:style w:type="paragraph" w:customStyle="1" w:styleId="474">
    <w:name w:val="正文_13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75">
    <w:name w:val="Normal_1_1"/>
    <w:qFormat/>
    <w:uiPriority w:val="0"/>
    <w:rPr>
      <w:rFonts w:ascii="黑体" w:hAnsi="黑体" w:eastAsia="黑体" w:cs="Times New Roman"/>
      <w:b/>
      <w:sz w:val="32"/>
      <w:szCs w:val="24"/>
      <w:lang w:val="en-US" w:eastAsia="zh-CN" w:bidi="ar-SA"/>
    </w:rPr>
  </w:style>
  <w:style w:type="paragraph" w:customStyle="1" w:styleId="476">
    <w:name w:val="技术方案正文样式"/>
    <w:basedOn w:val="1"/>
    <w:qFormat/>
    <w:uiPriority w:val="0"/>
    <w:pPr>
      <w:spacing w:line="400" w:lineRule="exact"/>
      <w:ind w:firstLine="200"/>
    </w:pPr>
    <w:rPr>
      <w:rFonts w:ascii="宋体" w:cs="宋体"/>
      <w:sz w:val="24"/>
      <w:szCs w:val="21"/>
    </w:rPr>
  </w:style>
  <w:style w:type="paragraph" w:customStyle="1" w:styleId="477">
    <w:name w:val="首页标题 一号"/>
    <w:basedOn w:val="456"/>
    <w:qFormat/>
    <w:uiPriority w:val="0"/>
    <w:rPr>
      <w:sz w:val="52"/>
    </w:rPr>
  </w:style>
  <w:style w:type="paragraph" w:customStyle="1" w:styleId="478">
    <w:name w:val="样式 正文2 + 首行缩进:  0 厘米 段后: 1.5 行"/>
    <w:basedOn w:val="1"/>
    <w:qFormat/>
    <w:uiPriority w:val="0"/>
    <w:pPr>
      <w:widowControl/>
      <w:tabs>
        <w:tab w:val="left" w:pos="987"/>
      </w:tabs>
      <w:spacing w:line="360" w:lineRule="auto"/>
      <w:ind w:left="985" w:hanging="567"/>
      <w:jc w:val="left"/>
    </w:pPr>
    <w:rPr>
      <w:rFonts w:ascii="Calibri" w:hAnsi="Calibri" w:eastAsia="楷体_GB2312"/>
      <w:sz w:val="24"/>
      <w:szCs w:val="20"/>
      <w:lang w:eastAsia="en-US"/>
    </w:rPr>
  </w:style>
  <w:style w:type="paragraph" w:customStyle="1" w:styleId="479">
    <w:name w:val="Table Text/Title"/>
    <w:basedOn w:val="1"/>
    <w:qFormat/>
    <w:uiPriority w:val="0"/>
    <w:pPr>
      <w:widowControl/>
      <w:jc w:val="left"/>
    </w:pPr>
    <w:rPr>
      <w:rFonts w:ascii="宋体"/>
      <w:b/>
      <w:bCs/>
      <w:sz w:val="20"/>
      <w:szCs w:val="20"/>
      <w:lang w:eastAsia="en-US"/>
    </w:rPr>
  </w:style>
  <w:style w:type="paragraph" w:customStyle="1" w:styleId="480">
    <w:name w:val="样式 序号----------- + 仿宋_GB23121"/>
    <w:basedOn w:val="383"/>
    <w:qFormat/>
    <w:uiPriority w:val="0"/>
    <w:pPr>
      <w:spacing w:line="360" w:lineRule="auto"/>
    </w:pPr>
    <w:rPr>
      <w:rFonts w:ascii="仿宋_GB2312" w:eastAsia="仿宋_GB2312"/>
      <w:bCs w:val="0"/>
    </w:rPr>
  </w:style>
  <w:style w:type="paragraph" w:customStyle="1" w:styleId="481">
    <w:name w:val="Char Char Char Char1"/>
    <w:basedOn w:val="1"/>
    <w:qFormat/>
    <w:uiPriority w:val="0"/>
    <w:pPr>
      <w:spacing w:line="360" w:lineRule="auto"/>
      <w:ind w:firstLine="200"/>
    </w:pPr>
    <w:rPr>
      <w:sz w:val="24"/>
      <w:szCs w:val="20"/>
    </w:rPr>
  </w:style>
  <w:style w:type="paragraph" w:customStyle="1" w:styleId="482">
    <w:name w:val="正文_18"/>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83">
    <w:name w:val="Char1"/>
    <w:basedOn w:val="1"/>
    <w:qFormat/>
    <w:uiPriority w:val="0"/>
    <w:pPr>
      <w:tabs>
        <w:tab w:val="left" w:pos="360"/>
      </w:tabs>
      <w:spacing w:line="480" w:lineRule="auto"/>
      <w:ind w:left="360" w:right="202" w:firstLine="360"/>
    </w:pPr>
    <w:rPr>
      <w:sz w:val="24"/>
    </w:rPr>
  </w:style>
  <w:style w:type="paragraph" w:customStyle="1" w:styleId="484">
    <w:name w:val="正文_1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85">
    <w:name w:val="章标题"/>
    <w:next w:val="398"/>
    <w:qFormat/>
    <w:uiPriority w:val="0"/>
    <w:pPr>
      <w:tabs>
        <w:tab w:val="left" w:pos="1200"/>
      </w:tabs>
      <w:spacing w:before="50" w:after="50"/>
      <w:ind w:left="1320" w:hanging="420"/>
      <w:jc w:val="both"/>
      <w:outlineLvl w:val="1"/>
    </w:pPr>
    <w:rPr>
      <w:rFonts w:ascii="黑体" w:hAnsi="Times New Roman" w:eastAsia="黑体" w:cs="Times New Roman"/>
      <w:sz w:val="21"/>
      <w:lang w:val="en-US" w:eastAsia="zh-CN" w:bidi="ar-SA"/>
    </w:rPr>
  </w:style>
  <w:style w:type="paragraph" w:customStyle="1" w:styleId="486">
    <w:name w:val="正文_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87">
    <w:name w:val="Normal_0_1"/>
    <w:qFormat/>
    <w:uiPriority w:val="0"/>
    <w:rPr>
      <w:rFonts w:ascii="黑体" w:hAnsi="黑体" w:eastAsia="黑体" w:cs="Times New Roman"/>
      <w:b/>
      <w:sz w:val="32"/>
      <w:szCs w:val="24"/>
      <w:lang w:val="en-US" w:eastAsia="zh-CN" w:bidi="ar-SA"/>
    </w:rPr>
  </w:style>
  <w:style w:type="paragraph" w:customStyle="1" w:styleId="488">
    <w:name w:val="列表段落1"/>
    <w:basedOn w:val="1"/>
    <w:qFormat/>
    <w:uiPriority w:val="34"/>
    <w:pPr>
      <w:ind w:firstLine="420"/>
    </w:pPr>
  </w:style>
  <w:style w:type="paragraph" w:customStyle="1" w:styleId="489">
    <w:name w:val="默认段落字体 Para Char Char Char Char Char Char Char Char Char1 Char Char Char Char Char Char Char Char"/>
    <w:basedOn w:val="227"/>
    <w:qFormat/>
    <w:uiPriority w:val="0"/>
    <w:rPr>
      <w:rFonts w:ascii="Calibri" w:hAnsi="Calibri"/>
    </w:rPr>
  </w:style>
  <w:style w:type="paragraph" w:customStyle="1" w:styleId="490">
    <w:name w:val="Normal_7_0"/>
    <w:qFormat/>
    <w:uiPriority w:val="0"/>
    <w:rPr>
      <w:rFonts w:ascii="黑体" w:hAnsi="黑体" w:eastAsia="黑体" w:cs="Times New Roman"/>
      <w:b/>
      <w:sz w:val="32"/>
      <w:szCs w:val="24"/>
      <w:lang w:val="en-US" w:eastAsia="zh-CN" w:bidi="ar-SA"/>
    </w:rPr>
  </w:style>
  <w:style w:type="paragraph" w:customStyle="1" w:styleId="491">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92">
    <w:name w:val="正文_1_0_0_0"/>
    <w:qFormat/>
    <w:uiPriority w:val="0"/>
    <w:pPr>
      <w:widowControl w:val="0"/>
      <w:jc w:val="both"/>
    </w:pPr>
    <w:rPr>
      <w:rFonts w:ascii="Times New Roman" w:hAnsi="Times New Roman" w:eastAsia="宋体" w:cs="Times New Roman"/>
      <w:sz w:val="21"/>
      <w:lang w:val="en-US" w:eastAsia="zh-CN" w:bidi="ar-SA"/>
    </w:rPr>
  </w:style>
  <w:style w:type="paragraph" w:customStyle="1" w:styleId="493">
    <w:name w:val="Normal_12_0"/>
    <w:qFormat/>
    <w:uiPriority w:val="0"/>
    <w:rPr>
      <w:rFonts w:ascii="黑体" w:hAnsi="黑体" w:eastAsia="黑体" w:cs="Times New Roman"/>
      <w:b/>
      <w:sz w:val="32"/>
      <w:szCs w:val="24"/>
      <w:lang w:val="en-US" w:eastAsia="zh-CN" w:bidi="ar-SA"/>
    </w:rPr>
  </w:style>
  <w:style w:type="paragraph" w:customStyle="1" w:styleId="494">
    <w:name w:val="ul"/>
    <w:basedOn w:val="1"/>
    <w:qFormat/>
    <w:uiPriority w:val="0"/>
    <w:pPr>
      <w:widowControl/>
      <w:numPr>
        <w:ilvl w:val="0"/>
        <w:numId w:val="3"/>
      </w:numPr>
      <w:tabs>
        <w:tab w:val="left" w:pos="842"/>
      </w:tabs>
      <w:spacing w:line="360" w:lineRule="auto"/>
      <w:ind w:left="567" w:hanging="85"/>
      <w:jc w:val="left"/>
    </w:pPr>
    <w:rPr>
      <w:rFonts w:ascii="Calibri" w:hAnsi="Calibri"/>
      <w:sz w:val="24"/>
    </w:rPr>
  </w:style>
  <w:style w:type="paragraph" w:customStyle="1" w:styleId="495">
    <w:name w:val="正文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96">
    <w:name w:val="表格样式居中"/>
    <w:qFormat/>
    <w:uiPriority w:val="0"/>
    <w:pPr>
      <w:jc w:val="center"/>
    </w:pPr>
    <w:rPr>
      <w:rFonts w:ascii="Times New Roman" w:hAnsi="Times New Roman" w:eastAsia="仿宋_GB2312" w:cs="Times New Roman"/>
      <w:bCs/>
      <w:sz w:val="21"/>
      <w:szCs w:val="44"/>
      <w:lang w:val="en-US" w:eastAsia="zh-CN" w:bidi="ar-SA"/>
    </w:rPr>
  </w:style>
  <w:style w:type="paragraph" w:customStyle="1" w:styleId="497">
    <w:name w:val="Normal_18"/>
    <w:qFormat/>
    <w:uiPriority w:val="0"/>
    <w:rPr>
      <w:rFonts w:ascii="黑体" w:hAnsi="黑体" w:eastAsia="黑体" w:cs="Times New Roman"/>
      <w:b/>
      <w:sz w:val="32"/>
      <w:szCs w:val="24"/>
      <w:lang w:val="en-US" w:eastAsia="zh-CN" w:bidi="ar-SA"/>
    </w:rPr>
  </w:style>
  <w:style w:type="paragraph" w:customStyle="1" w:styleId="498">
    <w:name w:val="xl34"/>
    <w:basedOn w:val="1"/>
    <w:qFormat/>
    <w:uiPriority w:val="0"/>
    <w:pPr>
      <w:widowControl/>
      <w:spacing w:before="100" w:beforeAutospacing="1" w:after="100" w:afterAutospacing="1"/>
      <w:jc w:val="center"/>
    </w:pPr>
    <w:rPr>
      <w:rFonts w:ascii="Arial Unicode MS" w:hAnsi="Arial Unicode MS" w:eastAsia="Arial Unicode MS"/>
      <w:sz w:val="24"/>
    </w:rPr>
  </w:style>
  <w:style w:type="paragraph" w:customStyle="1" w:styleId="499">
    <w:name w:val="Normal_0_3"/>
    <w:qFormat/>
    <w:uiPriority w:val="0"/>
    <w:rPr>
      <w:rFonts w:ascii="黑体" w:hAnsi="黑体" w:eastAsia="黑体" w:cs="Times New Roman"/>
      <w:b/>
      <w:sz w:val="32"/>
      <w:szCs w:val="24"/>
      <w:lang w:val="en-US" w:eastAsia="zh-CN" w:bidi="ar-SA"/>
    </w:rPr>
  </w:style>
  <w:style w:type="paragraph" w:customStyle="1" w:styleId="500">
    <w:name w:val="正文_0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01">
    <w:name w:val="修订1"/>
    <w:qFormat/>
    <w:uiPriority w:val="0"/>
    <w:rPr>
      <w:rFonts w:ascii="Times New Roman" w:hAnsi="Times New Roman" w:eastAsia="宋体" w:cs="Times New Roman"/>
      <w:sz w:val="21"/>
      <w:szCs w:val="24"/>
      <w:lang w:val="en-US" w:eastAsia="zh-CN" w:bidi="ar-SA"/>
    </w:rPr>
  </w:style>
  <w:style w:type="paragraph" w:customStyle="1" w:styleId="502">
    <w:name w:val="Char11"/>
    <w:basedOn w:val="1"/>
    <w:qFormat/>
    <w:uiPriority w:val="0"/>
    <w:rPr>
      <w:szCs w:val="21"/>
    </w:rPr>
  </w:style>
  <w:style w:type="paragraph" w:customStyle="1" w:styleId="503">
    <w:name w:val="编号2"/>
    <w:qFormat/>
    <w:uiPriority w:val="0"/>
    <w:pPr>
      <w:tabs>
        <w:tab w:val="left" w:pos="-40"/>
      </w:tabs>
      <w:spacing w:before="120" w:after="120" w:line="360" w:lineRule="auto"/>
      <w:ind w:left="720" w:hanging="360"/>
    </w:pPr>
    <w:rPr>
      <w:rFonts w:ascii="仿宋_GB2312" w:hAnsi="Times New Roman" w:eastAsia="仿宋_GB2312" w:cs="Times New Roman"/>
      <w:color w:val="FF0000"/>
      <w:sz w:val="24"/>
      <w:szCs w:val="24"/>
      <w:lang w:val="en-US" w:eastAsia="zh-CN" w:bidi="ar-SA"/>
    </w:rPr>
  </w:style>
  <w:style w:type="paragraph" w:customStyle="1" w:styleId="504">
    <w:name w:val="Normal_12"/>
    <w:qFormat/>
    <w:uiPriority w:val="0"/>
    <w:rPr>
      <w:rFonts w:ascii="黑体" w:hAnsi="黑体" w:eastAsia="黑体" w:cs="Times New Roman"/>
      <w:b/>
      <w:sz w:val="32"/>
      <w:szCs w:val="24"/>
      <w:lang w:val="en-US" w:eastAsia="zh-CN" w:bidi="ar-SA"/>
    </w:rPr>
  </w:style>
  <w:style w:type="paragraph" w:customStyle="1" w:styleId="505">
    <w:name w:val="Normal_8_0"/>
    <w:qFormat/>
    <w:uiPriority w:val="0"/>
    <w:rPr>
      <w:rFonts w:ascii="黑体" w:hAnsi="黑体" w:eastAsia="黑体" w:cs="Times New Roman"/>
      <w:b/>
      <w:sz w:val="32"/>
      <w:szCs w:val="24"/>
      <w:lang w:val="en-US" w:eastAsia="zh-CN" w:bidi="ar-SA"/>
    </w:rPr>
  </w:style>
  <w:style w:type="paragraph" w:customStyle="1" w:styleId="506">
    <w:name w:val="文档正文"/>
    <w:basedOn w:val="1"/>
    <w:qFormat/>
    <w:uiPriority w:val="0"/>
    <w:rPr>
      <w:rFonts w:ascii="宋体"/>
      <w:szCs w:val="20"/>
    </w:rPr>
  </w:style>
  <w:style w:type="paragraph" w:customStyle="1" w:styleId="507">
    <w:name w:val="技术方案正文"/>
    <w:basedOn w:val="1"/>
    <w:qFormat/>
    <w:uiPriority w:val="0"/>
    <w:pPr>
      <w:spacing w:line="360" w:lineRule="auto"/>
      <w:ind w:firstLine="480"/>
    </w:pPr>
    <w:rPr>
      <w:rFonts w:ascii="宋体"/>
      <w:sz w:val="24"/>
    </w:rPr>
  </w:style>
  <w:style w:type="paragraph" w:customStyle="1" w:styleId="508">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509">
    <w:name w:val="普通正文"/>
    <w:basedOn w:val="1"/>
    <w:qFormat/>
    <w:uiPriority w:val="0"/>
    <w:pPr>
      <w:ind w:firstLine="425"/>
      <w:jc w:val="left"/>
    </w:pPr>
    <w:rPr>
      <w:rFonts w:ascii="宋体"/>
      <w:sz w:val="20"/>
      <w:szCs w:val="20"/>
    </w:rPr>
  </w:style>
  <w:style w:type="paragraph" w:customStyle="1" w:styleId="510">
    <w:name w:val="正文_12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11">
    <w:name w:val="Normal_0_2"/>
    <w:qFormat/>
    <w:uiPriority w:val="0"/>
    <w:rPr>
      <w:rFonts w:ascii="黑体" w:hAnsi="黑体" w:eastAsia="黑体" w:cs="Times New Roman"/>
      <w:b/>
      <w:sz w:val="32"/>
      <w:szCs w:val="24"/>
      <w:lang w:val="en-US" w:eastAsia="zh-CN" w:bidi="ar-SA"/>
    </w:rPr>
  </w:style>
  <w:style w:type="paragraph" w:customStyle="1" w:styleId="512">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513">
    <w:name w:val="正文_4"/>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14">
    <w:name w:val="样式4"/>
    <w:basedOn w:val="205"/>
    <w:qFormat/>
    <w:uiPriority w:val="0"/>
    <w:pPr>
      <w:spacing w:line="415" w:lineRule="auto"/>
    </w:pPr>
    <w:rPr>
      <w:rFonts w:ascii="Calibri" w:hAnsi="Calibri"/>
      <w:bCs/>
      <w:color w:val="000000"/>
      <w:sz w:val="28"/>
      <w:szCs w:val="28"/>
    </w:rPr>
  </w:style>
  <w:style w:type="paragraph" w:customStyle="1" w:styleId="515">
    <w:name w:val="pa-4"/>
    <w:basedOn w:val="1"/>
    <w:qFormat/>
    <w:uiPriority w:val="0"/>
    <w:pPr>
      <w:widowControl/>
      <w:spacing w:line="280" w:lineRule="atLeast"/>
      <w:jc w:val="center"/>
    </w:pPr>
    <w:rPr>
      <w:rFonts w:ascii="宋体" w:cs="宋体"/>
      <w:sz w:val="24"/>
    </w:rPr>
  </w:style>
  <w:style w:type="paragraph" w:customStyle="1" w:styleId="516">
    <w:name w:val="Normal_1"/>
    <w:qFormat/>
    <w:uiPriority w:val="0"/>
    <w:rPr>
      <w:rFonts w:ascii="黑体" w:hAnsi="黑体" w:eastAsia="黑体" w:cs="Times New Roman"/>
      <w:b/>
      <w:sz w:val="32"/>
      <w:szCs w:val="24"/>
      <w:lang w:val="en-US" w:eastAsia="zh-CN" w:bidi="ar-SA"/>
    </w:rPr>
  </w:style>
  <w:style w:type="paragraph" w:customStyle="1" w:styleId="517">
    <w:name w:val="标书3"/>
    <w:next w:val="417"/>
    <w:qFormat/>
    <w:uiPriority w:val="0"/>
    <w:pPr>
      <w:widowControl w:val="0"/>
      <w:jc w:val="center"/>
    </w:pPr>
    <w:rPr>
      <w:rFonts w:ascii="Times New Roman" w:hAnsi="Times New Roman" w:eastAsia="黑体" w:cs="Times New Roman"/>
      <w:b/>
      <w:sz w:val="44"/>
      <w:szCs w:val="24"/>
      <w:lang w:val="en-US" w:eastAsia="zh-CN" w:bidi="ar-SA"/>
    </w:rPr>
  </w:style>
  <w:style w:type="paragraph" w:customStyle="1" w:styleId="518">
    <w:name w:val="Char2"/>
    <w:basedOn w:val="1"/>
    <w:qFormat/>
    <w:uiPriority w:val="0"/>
    <w:pPr>
      <w:tabs>
        <w:tab w:val="left" w:pos="360"/>
      </w:tabs>
    </w:pPr>
    <w:rPr>
      <w:rFonts w:ascii="仿宋_GB2312" w:eastAsia="仿宋_GB2312"/>
      <w:b/>
      <w:sz w:val="24"/>
    </w:rPr>
  </w:style>
  <w:style w:type="paragraph" w:customStyle="1" w:styleId="519">
    <w:name w:val="正文_0_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20">
    <w:name w:val="正文（首行缩进两字）"/>
    <w:basedOn w:val="1"/>
    <w:qFormat/>
    <w:uiPriority w:val="0"/>
    <w:pPr>
      <w:spacing w:line="312" w:lineRule="auto"/>
    </w:pPr>
    <w:rPr>
      <w:rFonts w:ascii="宋体" w:cs="宋体"/>
      <w:sz w:val="24"/>
    </w:rPr>
  </w:style>
  <w:style w:type="paragraph" w:customStyle="1" w:styleId="521">
    <w:name w:val="首页标题"/>
    <w:qFormat/>
    <w:uiPriority w:val="0"/>
    <w:pPr>
      <w:jc w:val="center"/>
    </w:pPr>
    <w:rPr>
      <w:rFonts w:ascii="宋体" w:hAnsi="Times New Roman" w:eastAsia="宋体" w:cs="宋体"/>
      <w:sz w:val="72"/>
      <w:szCs w:val="72"/>
      <w:lang w:val="en-US" w:eastAsia="zh-CN" w:bidi="ar-SA"/>
    </w:rPr>
  </w:style>
  <w:style w:type="paragraph" w:customStyle="1" w:styleId="522">
    <w:name w:val="正文_14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23">
    <w:name w:val="正文_11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24">
    <w:name w:val="pa-3"/>
    <w:basedOn w:val="1"/>
    <w:qFormat/>
    <w:uiPriority w:val="0"/>
    <w:pPr>
      <w:widowControl/>
      <w:spacing w:before="150" w:after="150"/>
      <w:jc w:val="left"/>
    </w:pPr>
    <w:rPr>
      <w:rFonts w:ascii="宋体" w:cs="宋体"/>
      <w:sz w:val="24"/>
    </w:rPr>
  </w:style>
  <w:style w:type="paragraph" w:customStyle="1" w:styleId="525">
    <w:name w:val="图号"/>
    <w:basedOn w:val="1"/>
    <w:qFormat/>
    <w:uiPriority w:val="0"/>
    <w:pPr>
      <w:keepNext/>
      <w:tabs>
        <w:tab w:val="left" w:pos="0"/>
        <w:tab w:val="left" w:pos="3360"/>
      </w:tabs>
      <w:spacing w:before="105" w:line="360" w:lineRule="auto"/>
      <w:jc w:val="center"/>
    </w:pPr>
    <w:rPr>
      <w:rFonts w:ascii="Arial" w:hAnsi="Arial"/>
      <w:sz w:val="18"/>
      <w:szCs w:val="18"/>
    </w:rPr>
  </w:style>
  <w:style w:type="paragraph" w:customStyle="1" w:styleId="526">
    <w:name w:val="Normal_10_0"/>
    <w:qFormat/>
    <w:uiPriority w:val="0"/>
    <w:rPr>
      <w:rFonts w:ascii="黑体" w:hAnsi="黑体" w:eastAsia="黑体" w:cs="Times New Roman"/>
      <w:b/>
      <w:sz w:val="32"/>
      <w:szCs w:val="24"/>
      <w:lang w:val="en-US" w:eastAsia="zh-CN" w:bidi="ar-SA"/>
    </w:rPr>
  </w:style>
  <w:style w:type="paragraph" w:customStyle="1" w:styleId="527">
    <w:name w:val="Normal_6"/>
    <w:qFormat/>
    <w:uiPriority w:val="0"/>
    <w:rPr>
      <w:rFonts w:ascii="黑体" w:hAnsi="黑体" w:eastAsia="黑体" w:cs="Times New Roman"/>
      <w:b/>
      <w:sz w:val="32"/>
      <w:szCs w:val="24"/>
      <w:lang w:val="en-US" w:eastAsia="zh-CN" w:bidi="ar-SA"/>
    </w:rPr>
  </w:style>
  <w:style w:type="paragraph" w:customStyle="1" w:styleId="528">
    <w:name w:val="Char Char Char Char"/>
    <w:basedOn w:val="1"/>
    <w:qFormat/>
    <w:uiPriority w:val="0"/>
    <w:pPr>
      <w:widowControl/>
      <w:spacing w:after="120" w:line="360" w:lineRule="auto"/>
      <w:ind w:left="560" w:firstLine="200"/>
      <w:jc w:val="left"/>
    </w:pPr>
    <w:rPr>
      <w:rFonts w:ascii="Verdana" w:hAnsi="Verdana"/>
      <w:sz w:val="24"/>
    </w:rPr>
  </w:style>
  <w:style w:type="paragraph" w:customStyle="1" w:styleId="529">
    <w:name w:val="font9"/>
    <w:basedOn w:val="1"/>
    <w:qFormat/>
    <w:uiPriority w:val="0"/>
    <w:pPr>
      <w:widowControl/>
      <w:spacing w:before="100" w:beforeAutospacing="1" w:after="100" w:afterAutospacing="1"/>
      <w:jc w:val="left"/>
    </w:pPr>
    <w:rPr>
      <w:rFonts w:ascii="宋体"/>
      <w:color w:val="000000"/>
      <w:sz w:val="18"/>
      <w:szCs w:val="18"/>
    </w:rPr>
  </w:style>
  <w:style w:type="paragraph" w:customStyle="1" w:styleId="530">
    <w:name w:val="Body Text First Indent 21"/>
    <w:basedOn w:val="233"/>
    <w:qFormat/>
    <w:uiPriority w:val="99"/>
    <w:pPr>
      <w:ind w:firstLine="420"/>
    </w:pPr>
  </w:style>
  <w:style w:type="paragraph" w:customStyle="1" w:styleId="531">
    <w:name w:val="CM17"/>
    <w:basedOn w:val="1"/>
    <w:next w:val="1"/>
    <w:qFormat/>
    <w:uiPriority w:val="0"/>
    <w:pPr>
      <w:spacing w:after="273" w:line="360" w:lineRule="auto"/>
      <w:jc w:val="left"/>
    </w:pPr>
    <w:rPr>
      <w:rFonts w:ascii="宋体"/>
      <w:sz w:val="24"/>
    </w:rPr>
  </w:style>
  <w:style w:type="paragraph" w:customStyle="1" w:styleId="532">
    <w:name w:val="pa-0"/>
    <w:basedOn w:val="1"/>
    <w:qFormat/>
    <w:uiPriority w:val="0"/>
    <w:pPr>
      <w:widowControl/>
      <w:spacing w:line="360" w:lineRule="atLeast"/>
      <w:ind w:firstLine="480"/>
    </w:pPr>
    <w:rPr>
      <w:rFonts w:ascii="宋体" w:cs="宋体"/>
      <w:sz w:val="24"/>
    </w:rPr>
  </w:style>
  <w:style w:type="paragraph" w:customStyle="1" w:styleId="533">
    <w:name w:val="正文_9"/>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34">
    <w:name w:val="D&amp;L"/>
    <w:basedOn w:val="251"/>
    <w:qFormat/>
    <w:uiPriority w:val="0"/>
    <w:pPr>
      <w:pBdr>
        <w:bottom w:val="single" w:color="000000" w:sz="18" w:space="1"/>
      </w:pBdr>
      <w:spacing w:line="240" w:lineRule="atLeast"/>
    </w:pPr>
    <w:rPr>
      <w:sz w:val="24"/>
      <w:szCs w:val="20"/>
    </w:rPr>
  </w:style>
  <w:style w:type="paragraph" w:customStyle="1" w:styleId="535">
    <w:name w:val="Normal_16"/>
    <w:qFormat/>
    <w:uiPriority w:val="0"/>
    <w:rPr>
      <w:rFonts w:ascii="黑体" w:hAnsi="黑体" w:eastAsia="黑体" w:cs="Times New Roman"/>
      <w:b/>
      <w:sz w:val="32"/>
      <w:szCs w:val="24"/>
      <w:lang w:val="en-US" w:eastAsia="zh-CN" w:bidi="ar-SA"/>
    </w:rPr>
  </w:style>
  <w:style w:type="paragraph" w:customStyle="1" w:styleId="536">
    <w:name w:val="正文_6_0_0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37">
    <w:name w:val="font5"/>
    <w:basedOn w:val="1"/>
    <w:qFormat/>
    <w:uiPriority w:val="0"/>
    <w:pPr>
      <w:widowControl/>
      <w:spacing w:before="100" w:beforeAutospacing="1" w:after="100" w:afterAutospacing="1"/>
      <w:jc w:val="left"/>
    </w:pPr>
    <w:rPr>
      <w:rFonts w:ascii="宋体"/>
      <w:sz w:val="18"/>
      <w:szCs w:val="18"/>
    </w:rPr>
  </w:style>
  <w:style w:type="paragraph" w:customStyle="1" w:styleId="538">
    <w:name w:val="正文_6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39">
    <w:name w:val="大汉方案正文 Char"/>
    <w:basedOn w:val="1"/>
    <w:qFormat/>
    <w:uiPriority w:val="0"/>
    <w:pPr>
      <w:spacing w:line="360" w:lineRule="auto"/>
      <w:ind w:firstLine="200"/>
    </w:pPr>
    <w:rPr>
      <w:rFonts w:ascii="Arial" w:hAnsi="Arial"/>
      <w:sz w:val="24"/>
    </w:rPr>
  </w:style>
  <w:style w:type="paragraph" w:customStyle="1" w:styleId="540">
    <w:name w:val="样式2"/>
    <w:basedOn w:val="205"/>
    <w:qFormat/>
    <w:uiPriority w:val="0"/>
    <w:pPr>
      <w:spacing w:line="415" w:lineRule="auto"/>
    </w:pPr>
    <w:rPr>
      <w:rFonts w:ascii="Calibri" w:hAnsi="Calibri"/>
      <w:bCs/>
      <w:color w:val="000000"/>
      <w:sz w:val="28"/>
      <w:szCs w:val="28"/>
    </w:rPr>
  </w:style>
  <w:style w:type="paragraph" w:customStyle="1" w:styleId="541">
    <w:name w:val="Normal_2_0"/>
    <w:qFormat/>
    <w:uiPriority w:val="0"/>
    <w:rPr>
      <w:rFonts w:ascii="黑体" w:hAnsi="黑体" w:eastAsia="黑体" w:cs="Times New Roman"/>
      <w:b/>
      <w:sz w:val="32"/>
      <w:szCs w:val="24"/>
      <w:lang w:val="en-US" w:eastAsia="zh-CN" w:bidi="ar-SA"/>
    </w:rPr>
  </w:style>
  <w:style w:type="paragraph" w:customStyle="1" w:styleId="542">
    <w:name w:val="序号"/>
    <w:next w:val="1"/>
    <w:qFormat/>
    <w:uiPriority w:val="0"/>
    <w:pPr>
      <w:jc w:val="center"/>
    </w:pPr>
    <w:rPr>
      <w:rFonts w:ascii="Times New Roman" w:hAnsi="Times New Roman" w:eastAsia="仿宋_GB2312" w:cs="Times New Roman"/>
      <w:bCs/>
      <w:sz w:val="21"/>
      <w:szCs w:val="44"/>
      <w:lang w:val="en-US" w:eastAsia="zh-CN" w:bidi="ar-SA"/>
    </w:rPr>
  </w:style>
  <w:style w:type="paragraph" w:customStyle="1" w:styleId="543">
    <w:name w:val="Normal_4"/>
    <w:qFormat/>
    <w:uiPriority w:val="0"/>
    <w:rPr>
      <w:rFonts w:ascii="黑体" w:hAnsi="黑体" w:eastAsia="黑体" w:cs="Times New Roman"/>
      <w:b/>
      <w:sz w:val="32"/>
      <w:szCs w:val="24"/>
      <w:lang w:val="en-US" w:eastAsia="zh-CN" w:bidi="ar-SA"/>
    </w:rPr>
  </w:style>
  <w:style w:type="paragraph" w:customStyle="1" w:styleId="544">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45">
    <w:name w:val="txt"/>
    <w:basedOn w:val="1"/>
    <w:qFormat/>
    <w:uiPriority w:val="0"/>
    <w:pPr>
      <w:widowControl/>
      <w:spacing w:before="100" w:beforeAutospacing="1" w:after="100" w:afterAutospacing="1"/>
      <w:jc w:val="left"/>
    </w:pPr>
    <w:rPr>
      <w:rFonts w:ascii="宋体" w:cs="宋体"/>
      <w:sz w:val="24"/>
    </w:rPr>
  </w:style>
  <w:style w:type="paragraph" w:customStyle="1" w:styleId="546">
    <w:name w:val="样式5"/>
    <w:basedOn w:val="205"/>
    <w:qFormat/>
    <w:uiPriority w:val="0"/>
    <w:pPr>
      <w:spacing w:line="415" w:lineRule="auto"/>
    </w:pPr>
    <w:rPr>
      <w:rFonts w:ascii="Calibri" w:hAnsi="Calibri"/>
      <w:bCs/>
      <w:color w:val="000000"/>
      <w:sz w:val="28"/>
      <w:szCs w:val="28"/>
    </w:rPr>
  </w:style>
  <w:style w:type="paragraph" w:customStyle="1" w:styleId="547">
    <w:name w:val="font7"/>
    <w:basedOn w:val="1"/>
    <w:qFormat/>
    <w:uiPriority w:val="0"/>
    <w:pPr>
      <w:widowControl/>
      <w:spacing w:before="100" w:beforeAutospacing="1" w:after="100" w:afterAutospacing="1"/>
      <w:jc w:val="left"/>
    </w:pPr>
    <w:rPr>
      <w:rFonts w:ascii="宋体"/>
      <w:sz w:val="20"/>
      <w:szCs w:val="20"/>
    </w:rPr>
  </w:style>
  <w:style w:type="paragraph" w:customStyle="1" w:styleId="548">
    <w:name w:val="正文_4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49">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550">
    <w:name w:val="编号"/>
    <w:basedOn w:val="1"/>
    <w:next w:val="417"/>
    <w:qFormat/>
    <w:uiPriority w:val="0"/>
    <w:pPr>
      <w:widowControl/>
      <w:tabs>
        <w:tab w:val="left" w:pos="420"/>
      </w:tabs>
      <w:ind w:left="420" w:right="-136" w:hanging="420"/>
    </w:pPr>
    <w:rPr>
      <w:rFonts w:ascii="仿宋_GB2312" w:eastAsia="仿宋_GB2312"/>
      <w:b/>
      <w:bCs/>
      <w:sz w:val="24"/>
      <w:szCs w:val="21"/>
    </w:rPr>
  </w:style>
  <w:style w:type="paragraph" w:customStyle="1" w:styleId="551">
    <w:name w:val="TOC 标题2"/>
    <w:basedOn w:val="203"/>
    <w:next w:val="1"/>
    <w:qFormat/>
    <w:uiPriority w:val="0"/>
    <w:pPr>
      <w:widowControl/>
      <w:spacing w:before="480" w:after="0" w:line="276" w:lineRule="auto"/>
      <w:outlineLvl w:val="9"/>
    </w:pPr>
    <w:rPr>
      <w:rFonts w:ascii="Cambria" w:hAnsi="Cambria"/>
      <w:color w:val="365F91"/>
      <w:sz w:val="28"/>
    </w:rPr>
  </w:style>
  <w:style w:type="paragraph" w:customStyle="1" w:styleId="552">
    <w:name w:val="Sourcetext bullet"/>
    <w:basedOn w:val="1"/>
    <w:qFormat/>
    <w:uiPriority w:val="0"/>
    <w:pPr>
      <w:widowControl/>
      <w:tabs>
        <w:tab w:val="left" w:pos="360"/>
      </w:tabs>
      <w:spacing w:after="120"/>
      <w:ind w:left="2160" w:hanging="360"/>
      <w:jc w:val="left"/>
    </w:pPr>
    <w:rPr>
      <w:rFonts w:ascii="Book Antiqua" w:hAnsi="Book Antiqua"/>
      <w:sz w:val="20"/>
      <w:szCs w:val="20"/>
      <w:lang w:eastAsia="en-US"/>
    </w:rPr>
  </w:style>
  <w:style w:type="paragraph" w:customStyle="1" w:styleId="553">
    <w:name w:val="xl40"/>
    <w:basedOn w:val="1"/>
    <w:qFormat/>
    <w:uiPriority w:val="0"/>
    <w:pPr>
      <w:widowControl/>
      <w:pBdr>
        <w:right w:val="single" w:color="000000" w:sz="4" w:space="0"/>
      </w:pBdr>
      <w:spacing w:before="100" w:beforeAutospacing="1" w:after="100" w:afterAutospacing="1"/>
      <w:jc w:val="left"/>
    </w:pPr>
    <w:rPr>
      <w:rFonts w:ascii="Arial Unicode MS" w:hAnsi="Arial Unicode MS"/>
      <w:sz w:val="24"/>
    </w:rPr>
  </w:style>
  <w:style w:type="paragraph" w:customStyle="1" w:styleId="554">
    <w:name w:val="font8"/>
    <w:basedOn w:val="1"/>
    <w:qFormat/>
    <w:uiPriority w:val="0"/>
    <w:pPr>
      <w:widowControl/>
      <w:spacing w:before="100" w:beforeAutospacing="1" w:after="100" w:afterAutospacing="1"/>
      <w:jc w:val="left"/>
    </w:pPr>
    <w:rPr>
      <w:rFonts w:ascii="Arial" w:hAnsi="Arial" w:cs="Arial"/>
      <w:color w:val="000000"/>
      <w:sz w:val="18"/>
      <w:szCs w:val="18"/>
    </w:rPr>
  </w:style>
  <w:style w:type="paragraph" w:customStyle="1" w:styleId="555">
    <w:name w:val="Char Char Char Char Char Char Char Char Char Char1"/>
    <w:basedOn w:val="1"/>
    <w:qFormat/>
    <w:uiPriority w:val="0"/>
    <w:rPr>
      <w:rFonts w:ascii="Tahoma" w:hAnsi="Tahoma" w:cs="Tahoma"/>
      <w:sz w:val="24"/>
    </w:rPr>
  </w:style>
  <w:style w:type="paragraph" w:customStyle="1" w:styleId="556">
    <w:name w:val="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557">
    <w:name w:val="xl31"/>
    <w:basedOn w:val="1"/>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Arial Unicode MS" w:hAnsi="Arial Unicode MS"/>
      <w:color w:val="000000"/>
      <w:sz w:val="18"/>
      <w:szCs w:val="18"/>
    </w:rPr>
  </w:style>
  <w:style w:type="paragraph" w:customStyle="1" w:styleId="558">
    <w:name w:val="正文_14"/>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59">
    <w:name w:val="Normal_11"/>
    <w:qFormat/>
    <w:uiPriority w:val="0"/>
    <w:rPr>
      <w:rFonts w:ascii="黑体" w:hAnsi="黑体" w:eastAsia="黑体" w:cs="Times New Roman"/>
      <w:b/>
      <w:sz w:val="32"/>
      <w:szCs w:val="24"/>
      <w:lang w:val="en-US" w:eastAsia="zh-CN" w:bidi="ar-SA"/>
    </w:rPr>
  </w:style>
  <w:style w:type="paragraph" w:customStyle="1" w:styleId="560">
    <w:name w:val="Char12"/>
    <w:basedOn w:val="1"/>
    <w:qFormat/>
    <w:uiPriority w:val="0"/>
    <w:pPr>
      <w:tabs>
        <w:tab w:val="left" w:pos="360"/>
      </w:tabs>
      <w:spacing w:line="480" w:lineRule="auto"/>
      <w:ind w:left="360" w:right="202" w:firstLine="360"/>
    </w:pPr>
    <w:rPr>
      <w:sz w:val="24"/>
    </w:rPr>
  </w:style>
  <w:style w:type="paragraph" w:customStyle="1" w:styleId="561">
    <w:name w:val="英文音标"/>
    <w:qFormat/>
    <w:uiPriority w:val="0"/>
    <w:rPr>
      <w:rFonts w:ascii="Kingsoft Phonetic Plain" w:hAnsi="Kingsoft Phonetic Plain" w:eastAsia="Kingsoft Phonetic Plain" w:cs="Times New Roman"/>
      <w:sz w:val="24"/>
      <w:szCs w:val="24"/>
      <w:lang w:val="en-US" w:eastAsia="zh-CN" w:bidi="ar-SA"/>
    </w:rPr>
  </w:style>
  <w:style w:type="paragraph" w:customStyle="1" w:styleId="562">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63">
    <w:name w:val="正文_11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64">
    <w:name w:val="style42"/>
    <w:basedOn w:val="1"/>
    <w:qFormat/>
    <w:uiPriority w:val="0"/>
    <w:pPr>
      <w:widowControl/>
      <w:spacing w:before="100" w:beforeAutospacing="1" w:after="100" w:afterAutospacing="1"/>
      <w:jc w:val="left"/>
    </w:pPr>
    <w:rPr>
      <w:rFonts w:ascii="宋体" w:cs="宋体"/>
      <w:color w:val="000000"/>
      <w:sz w:val="15"/>
      <w:szCs w:val="15"/>
    </w:rPr>
  </w:style>
  <w:style w:type="paragraph" w:customStyle="1" w:styleId="565">
    <w:name w:val="样式 标题 2 + Times New Roman 四号 非加粗 段前: 5 磅 段后: 0 磅 行距: 固定值 20..."/>
    <w:basedOn w:val="204"/>
    <w:qFormat/>
    <w:uiPriority w:val="0"/>
    <w:pPr>
      <w:spacing w:before="100" w:after="0" w:line="400" w:lineRule="exact"/>
    </w:pPr>
    <w:rPr>
      <w:rFonts w:ascii="Times New Roman" w:hAnsi="Times New Roman" w:cs="宋体"/>
      <w:b w:val="0"/>
      <w:sz w:val="28"/>
    </w:rPr>
  </w:style>
  <w:style w:type="paragraph" w:customStyle="1" w:styleId="566">
    <w:name w:val="font6"/>
    <w:basedOn w:val="1"/>
    <w:qFormat/>
    <w:uiPriority w:val="0"/>
    <w:pPr>
      <w:widowControl/>
      <w:spacing w:before="100" w:beforeAutospacing="1" w:after="100" w:afterAutospacing="1"/>
      <w:jc w:val="left"/>
    </w:pPr>
    <w:rPr>
      <w:sz w:val="20"/>
      <w:szCs w:val="20"/>
    </w:rPr>
  </w:style>
  <w:style w:type="paragraph" w:customStyle="1" w:styleId="567">
    <w:name w:val="样式 正文首行缩进 + 宋体 首行缩进:  0.74 厘米"/>
    <w:basedOn w:val="272"/>
    <w:qFormat/>
    <w:uiPriority w:val="0"/>
    <w:pPr>
      <w:spacing w:before="120" w:after="0" w:line="380" w:lineRule="exact"/>
      <w:ind w:firstLine="210"/>
    </w:pPr>
    <w:rPr>
      <w:rFonts w:ascii="宋体" w:cs="宋体"/>
      <w:sz w:val="24"/>
      <w:szCs w:val="20"/>
    </w:rPr>
  </w:style>
  <w:style w:type="paragraph" w:customStyle="1" w:styleId="568">
    <w:name w:val="正文_7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69">
    <w:name w:val="Normal_17_0"/>
    <w:qFormat/>
    <w:uiPriority w:val="0"/>
    <w:rPr>
      <w:rFonts w:ascii="黑体" w:hAnsi="黑体" w:eastAsia="黑体" w:cs="Times New Roman"/>
      <w:b/>
      <w:sz w:val="32"/>
      <w:szCs w:val="24"/>
      <w:lang w:val="en-US" w:eastAsia="zh-CN" w:bidi="ar-SA"/>
    </w:rPr>
  </w:style>
  <w:style w:type="paragraph" w:customStyle="1" w:styleId="570">
    <w:name w:val="Char Char Char Char Char Char Char Char Char Char2"/>
    <w:basedOn w:val="1"/>
    <w:qFormat/>
    <w:uiPriority w:val="0"/>
    <w:rPr>
      <w:rFonts w:ascii="Tahoma" w:hAnsi="Tahoma"/>
      <w:sz w:val="24"/>
      <w:szCs w:val="20"/>
    </w:rPr>
  </w:style>
  <w:style w:type="paragraph" w:customStyle="1" w:styleId="571">
    <w:name w:val="一级缩进"/>
    <w:qFormat/>
    <w:uiPriority w:val="0"/>
    <w:pPr>
      <w:tabs>
        <w:tab w:val="left" w:pos="0"/>
        <w:tab w:val="left" w:pos="568"/>
      </w:tabs>
      <w:spacing w:before="120" w:after="120" w:line="360" w:lineRule="auto"/>
      <w:jc w:val="both"/>
    </w:pPr>
    <w:rPr>
      <w:rFonts w:ascii="Times New Roman" w:hAnsi="Times New Roman" w:eastAsia="仿宋_GB2312" w:cs="Times New Roman"/>
      <w:sz w:val="24"/>
      <w:szCs w:val="24"/>
      <w:lang w:val="en-US" w:eastAsia="zh-CN" w:bidi="ar-SA"/>
    </w:rPr>
  </w:style>
  <w:style w:type="paragraph" w:customStyle="1" w:styleId="572">
    <w:name w:val="编号3"/>
    <w:qFormat/>
    <w:uiPriority w:val="0"/>
    <w:pPr>
      <w:tabs>
        <w:tab w:val="left" w:pos="771"/>
      </w:tabs>
      <w:spacing w:before="120" w:after="120" w:line="360" w:lineRule="auto"/>
      <w:ind w:left="1021" w:hanging="250"/>
      <w:jc w:val="both"/>
    </w:pPr>
    <w:rPr>
      <w:rFonts w:ascii="Times New Roman" w:hAnsi="Times New Roman" w:eastAsia="仿宋_GB2312" w:cs="Times New Roman"/>
      <w:sz w:val="24"/>
      <w:szCs w:val="24"/>
      <w:lang w:val="en-US" w:eastAsia="zh-CN" w:bidi="ar-SA"/>
    </w:rPr>
  </w:style>
  <w:style w:type="paragraph" w:customStyle="1" w:styleId="573">
    <w:name w:val="Char Char Char Char Char Char Char1 Char"/>
    <w:basedOn w:val="1"/>
    <w:qFormat/>
    <w:uiPriority w:val="0"/>
    <w:rPr>
      <w:rFonts w:ascii="Tahoma" w:hAnsi="Tahoma"/>
      <w:sz w:val="24"/>
      <w:szCs w:val="20"/>
    </w:rPr>
  </w:style>
  <w:style w:type="paragraph" w:customStyle="1" w:styleId="574">
    <w:name w:val="Char Char1 Char Char Char Char Char Char"/>
    <w:basedOn w:val="1"/>
    <w:qFormat/>
    <w:uiPriority w:val="0"/>
    <w:pPr>
      <w:widowControl/>
      <w:jc w:val="center"/>
    </w:pPr>
    <w:rPr>
      <w:szCs w:val="20"/>
    </w:rPr>
  </w:style>
  <w:style w:type="paragraph" w:customStyle="1" w:styleId="575">
    <w:name w:val="Normal Paragraph Char"/>
    <w:basedOn w:val="1"/>
    <w:qFormat/>
    <w:uiPriority w:val="0"/>
    <w:pPr>
      <w:widowControl/>
      <w:spacing w:before="120" w:line="360" w:lineRule="auto"/>
      <w:ind w:firstLine="425"/>
    </w:pPr>
    <w:rPr>
      <w:rFonts w:ascii="Calibri" w:hAnsi="Calibri"/>
      <w:sz w:val="24"/>
    </w:rPr>
  </w:style>
  <w:style w:type="paragraph" w:customStyle="1" w:styleId="576">
    <w:name w:val="Char Char Char Char Char Char Char Char Char Char Char Char Char1"/>
    <w:basedOn w:val="1"/>
    <w:qFormat/>
    <w:uiPriority w:val="0"/>
    <w:pPr>
      <w:widowControl/>
      <w:spacing w:after="160" w:line="240" w:lineRule="exact"/>
      <w:jc w:val="left"/>
    </w:pPr>
    <w:rPr>
      <w:rFonts w:ascii="Arial" w:hAnsi="Arial" w:eastAsia="Times New Roman" w:cs="Verdana"/>
      <w:b/>
      <w:sz w:val="24"/>
      <w:szCs w:val="32"/>
      <w:lang w:eastAsia="en-US"/>
    </w:rPr>
  </w:style>
  <w:style w:type="paragraph" w:customStyle="1" w:styleId="577">
    <w:name w:val="默认段落字体 Para Char"/>
    <w:basedOn w:val="1"/>
    <w:qFormat/>
    <w:uiPriority w:val="0"/>
    <w:rPr>
      <w:rFonts w:ascii="宋体"/>
      <w:b/>
      <w:sz w:val="28"/>
      <w:szCs w:val="28"/>
    </w:rPr>
  </w:style>
  <w:style w:type="paragraph" w:customStyle="1" w:styleId="578">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79">
    <w:name w:val="Normal_1_0"/>
    <w:qFormat/>
    <w:uiPriority w:val="0"/>
    <w:rPr>
      <w:rFonts w:ascii="Times New Roman" w:hAnsi="Times New Roman" w:eastAsia="Times New Roman" w:cs="Times New Roman"/>
      <w:sz w:val="24"/>
      <w:szCs w:val="24"/>
      <w:lang w:val="en-US" w:eastAsia="zh-CN" w:bidi="ar-SA"/>
    </w:rPr>
  </w:style>
  <w:style w:type="paragraph" w:customStyle="1" w:styleId="580">
    <w:name w:val="Char Char Char1"/>
    <w:basedOn w:val="1"/>
    <w:qFormat/>
    <w:uiPriority w:val="0"/>
    <w:rPr>
      <w:rFonts w:ascii="Tahoma" w:hAnsi="Tahoma"/>
      <w:sz w:val="24"/>
      <w:szCs w:val="20"/>
    </w:rPr>
  </w:style>
  <w:style w:type="paragraph" w:customStyle="1" w:styleId="581">
    <w:name w:val="Normal1"/>
    <w:qFormat/>
    <w:uiPriority w:val="0"/>
    <w:rPr>
      <w:rFonts w:ascii="Times New Roman" w:hAnsi="Times New Roman" w:eastAsia="Times New Roman" w:cs="Times New Roman"/>
      <w:sz w:val="24"/>
      <w:szCs w:val="24"/>
      <w:lang w:val="en-US" w:eastAsia="zh-CN" w:bidi="ar-SA"/>
    </w:rPr>
  </w:style>
  <w:style w:type="paragraph" w:customStyle="1" w:styleId="582">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sz w:val="20"/>
      <w:szCs w:val="20"/>
    </w:rPr>
  </w:style>
  <w:style w:type="paragraph" w:customStyle="1" w:styleId="583">
    <w:name w:val="表格"/>
    <w:basedOn w:val="1"/>
    <w:qFormat/>
    <w:uiPriority w:val="0"/>
    <w:pPr>
      <w:ind w:firstLine="21"/>
    </w:pPr>
    <w:rPr>
      <w:rFonts w:ascii="宋体"/>
      <w:szCs w:val="20"/>
    </w:rPr>
  </w:style>
  <w:style w:type="paragraph" w:customStyle="1" w:styleId="584">
    <w:name w:val="正文_10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85">
    <w:name w:val="正文_1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86">
    <w:name w:val="正文_6"/>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87">
    <w:name w:val="xl39"/>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88">
    <w:name w:val="项目"/>
    <w:basedOn w:val="1"/>
    <w:qFormat/>
    <w:uiPriority w:val="0"/>
    <w:pPr>
      <w:tabs>
        <w:tab w:val="left" w:pos="840"/>
      </w:tabs>
      <w:spacing w:before="60" w:after="60" w:line="360" w:lineRule="auto"/>
      <w:ind w:left="840" w:hanging="420"/>
    </w:pPr>
    <w:rPr>
      <w:rFonts w:ascii="宋体"/>
      <w:szCs w:val="20"/>
    </w:rPr>
  </w:style>
  <w:style w:type="paragraph" w:customStyle="1" w:styleId="589">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90">
    <w:name w:val="Bullet"/>
    <w:basedOn w:val="1"/>
    <w:qFormat/>
    <w:uiPriority w:val="0"/>
    <w:pPr>
      <w:widowControl/>
      <w:tabs>
        <w:tab w:val="left" w:pos="360"/>
        <w:tab w:val="left" w:pos="720"/>
      </w:tabs>
      <w:spacing w:before="120" w:after="60" w:line="387" w:lineRule="atLeast"/>
      <w:ind w:left="720" w:right="360" w:hanging="360"/>
    </w:pPr>
    <w:rPr>
      <w:rFonts w:ascii="Book Antiqua" w:hAnsi="Book Antiqua"/>
      <w:sz w:val="24"/>
      <w:szCs w:val="20"/>
    </w:rPr>
  </w:style>
  <w:style w:type="paragraph" w:customStyle="1" w:styleId="591">
    <w:name w:val="保密事宜内容"/>
    <w:basedOn w:val="1"/>
    <w:qFormat/>
    <w:uiPriority w:val="0"/>
    <w:pPr>
      <w:pBdr>
        <w:top w:val="single" w:color="000000" w:sz="4" w:space="1"/>
        <w:left w:val="single" w:color="000000" w:sz="4" w:space="4"/>
        <w:bottom w:val="single" w:color="000000" w:sz="4" w:space="1"/>
        <w:right w:val="single" w:color="000000" w:sz="4" w:space="4"/>
      </w:pBdr>
      <w:spacing w:line="360" w:lineRule="auto"/>
      <w:ind w:firstLine="200"/>
    </w:pPr>
    <w:rPr>
      <w:rFonts w:ascii="Tahoma" w:hAnsi="Tahoma" w:eastAsia="楷体_GB2312" w:cs="宋体"/>
      <w:bCs/>
      <w:sz w:val="24"/>
      <w:szCs w:val="20"/>
    </w:rPr>
  </w:style>
  <w:style w:type="paragraph" w:customStyle="1" w:styleId="592">
    <w:name w:val="正文_9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93">
    <w:name w:val="规范正文"/>
    <w:basedOn w:val="1"/>
    <w:qFormat/>
    <w:uiPriority w:val="0"/>
    <w:pPr>
      <w:spacing w:line="360" w:lineRule="auto"/>
      <w:ind w:left="480"/>
    </w:pPr>
    <w:rPr>
      <w:sz w:val="24"/>
      <w:szCs w:val="20"/>
    </w:rPr>
  </w:style>
  <w:style w:type="paragraph" w:customStyle="1" w:styleId="594">
    <w:name w:val="封面标准名称"/>
    <w:qFormat/>
    <w:uiPriority w:val="0"/>
    <w:pPr>
      <w:widowControl w:val="0"/>
      <w:spacing w:line="680" w:lineRule="exact"/>
      <w:jc w:val="center"/>
    </w:pPr>
    <w:rPr>
      <w:rFonts w:ascii="黑体" w:hAnsi="Times New Roman" w:eastAsia="黑体" w:cs="Times New Roman"/>
      <w:sz w:val="52"/>
      <w:lang w:val="en-US" w:eastAsia="zh-CN" w:bidi="ar-SA"/>
    </w:rPr>
  </w:style>
  <w:style w:type="paragraph" w:customStyle="1" w:styleId="595">
    <w:name w:val="正文_8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96">
    <w:name w:val="正文_4_0"/>
    <w:qFormat/>
    <w:uiPriority w:val="0"/>
    <w:pPr>
      <w:widowControl w:val="0"/>
      <w:jc w:val="both"/>
    </w:pPr>
    <w:rPr>
      <w:rFonts w:ascii="Times New Roman" w:hAnsi="Times New Roman" w:eastAsia="宋体" w:cs="Times New Roman"/>
      <w:sz w:val="21"/>
      <w:lang w:val="en-US" w:eastAsia="zh-CN" w:bidi="ar-SA"/>
    </w:rPr>
  </w:style>
  <w:style w:type="paragraph" w:customStyle="1" w:styleId="597">
    <w:name w:val="正文_1_0_0"/>
    <w:qFormat/>
    <w:uiPriority w:val="0"/>
    <w:pPr>
      <w:widowControl w:val="0"/>
      <w:jc w:val="both"/>
    </w:pPr>
    <w:rPr>
      <w:rFonts w:ascii="Times New Roman" w:hAnsi="Times New Roman" w:eastAsia="宋体" w:cs="Times New Roman"/>
      <w:sz w:val="21"/>
      <w:lang w:val="en-US" w:eastAsia="zh-CN" w:bidi="ar-SA"/>
    </w:rPr>
  </w:style>
  <w:style w:type="paragraph" w:customStyle="1" w:styleId="598">
    <w:name w:val="正文_2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99">
    <w:name w:val="特点"/>
    <w:basedOn w:val="1"/>
    <w:next w:val="1"/>
    <w:qFormat/>
    <w:uiPriority w:val="0"/>
    <w:pPr>
      <w:spacing w:line="360" w:lineRule="auto"/>
      <w:jc w:val="center"/>
    </w:pPr>
    <w:rPr>
      <w:rFonts w:ascii="Arial" w:hAnsi="Arial"/>
      <w:sz w:val="24"/>
      <w:szCs w:val="20"/>
    </w:rPr>
  </w:style>
  <w:style w:type="paragraph" w:customStyle="1" w:styleId="600">
    <w:name w:val="正文小四"/>
    <w:basedOn w:val="1"/>
    <w:qFormat/>
    <w:uiPriority w:val="0"/>
    <w:pPr>
      <w:spacing w:line="312" w:lineRule="auto"/>
    </w:pPr>
    <w:rPr>
      <w:rFonts w:ascii="Calibri" w:hAnsi="Calibri"/>
      <w:sz w:val="24"/>
    </w:rPr>
  </w:style>
  <w:style w:type="paragraph" w:customStyle="1" w:styleId="601">
    <w:name w:val="Normal_15_0"/>
    <w:qFormat/>
    <w:uiPriority w:val="0"/>
    <w:rPr>
      <w:rFonts w:ascii="黑体" w:hAnsi="黑体" w:eastAsia="黑体" w:cs="Times New Roman"/>
      <w:b/>
      <w:sz w:val="32"/>
      <w:szCs w:val="24"/>
      <w:lang w:val="en-US" w:eastAsia="zh-CN" w:bidi="ar-SA"/>
    </w:rPr>
  </w:style>
  <w:style w:type="paragraph" w:customStyle="1" w:styleId="602">
    <w:name w:val="tabletext"/>
    <w:basedOn w:val="1"/>
    <w:qFormat/>
    <w:uiPriority w:val="0"/>
    <w:pPr>
      <w:widowControl/>
      <w:spacing w:before="100" w:beforeAutospacing="1" w:after="100" w:afterAutospacing="1"/>
      <w:jc w:val="left"/>
    </w:pPr>
    <w:rPr>
      <w:rFonts w:ascii="宋体"/>
      <w:sz w:val="24"/>
    </w:rPr>
  </w:style>
  <w:style w:type="paragraph" w:customStyle="1" w:styleId="603">
    <w:name w:val="表内容"/>
    <w:basedOn w:val="433"/>
    <w:qFormat/>
    <w:uiPriority w:val="0"/>
    <w:pPr>
      <w:spacing w:line="320" w:lineRule="exact"/>
      <w:ind w:left="0" w:firstLine="0"/>
    </w:pPr>
    <w:rPr>
      <w:sz w:val="20"/>
    </w:rPr>
  </w:style>
  <w:style w:type="paragraph" w:customStyle="1" w:styleId="604">
    <w:name w:val="Char13"/>
    <w:basedOn w:val="1"/>
    <w:qFormat/>
    <w:uiPriority w:val="0"/>
  </w:style>
  <w:style w:type="paragraph" w:customStyle="1" w:styleId="605">
    <w:name w:val="我的样式"/>
    <w:basedOn w:val="1"/>
    <w:qFormat/>
    <w:uiPriority w:val="0"/>
    <w:pPr>
      <w:widowControl/>
      <w:spacing w:after="120"/>
      <w:ind w:firstLine="420"/>
      <w:jc w:val="left"/>
    </w:pPr>
    <w:rPr>
      <w:rFonts w:ascii="宋体"/>
      <w:color w:val="000000"/>
      <w:sz w:val="24"/>
      <w:szCs w:val="16"/>
    </w:rPr>
  </w:style>
  <w:style w:type="paragraph" w:customStyle="1" w:styleId="606">
    <w:name w:val="正文_19"/>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07">
    <w:name w:val="编号1"/>
    <w:next w:val="417"/>
    <w:qFormat/>
    <w:uiPriority w:val="0"/>
    <w:pPr>
      <w:tabs>
        <w:tab w:val="left" w:pos="420"/>
      </w:tabs>
      <w:spacing w:before="120" w:after="120" w:line="360" w:lineRule="auto"/>
      <w:ind w:left="720" w:hanging="360"/>
    </w:pPr>
    <w:rPr>
      <w:rFonts w:ascii="Times New Roman" w:hAnsi="Times New Roman" w:eastAsia="宋体" w:cs="Times New Roman"/>
      <w:sz w:val="24"/>
      <w:szCs w:val="24"/>
      <w:lang w:val="en-US" w:eastAsia="zh-CN" w:bidi="ar-SA"/>
    </w:rPr>
  </w:style>
  <w:style w:type="paragraph" w:customStyle="1" w:styleId="608">
    <w:name w:val="Normal_0"/>
    <w:qFormat/>
    <w:uiPriority w:val="0"/>
    <w:rPr>
      <w:rFonts w:ascii="黑体" w:hAnsi="黑体" w:eastAsia="黑体" w:cs="Times New Roman"/>
      <w:b/>
      <w:sz w:val="32"/>
      <w:szCs w:val="24"/>
      <w:lang w:val="en-US" w:eastAsia="zh-CN" w:bidi="ar-SA"/>
    </w:rPr>
  </w:style>
  <w:style w:type="paragraph" w:customStyle="1" w:styleId="609">
    <w:name w:val="首页单位日期"/>
    <w:basedOn w:val="1"/>
    <w:qFormat/>
    <w:uiPriority w:val="0"/>
    <w:pPr>
      <w:widowControl/>
      <w:jc w:val="center"/>
    </w:pPr>
    <w:rPr>
      <w:rFonts w:ascii="宋体" w:cs="宋体"/>
      <w:bCs/>
      <w:sz w:val="28"/>
      <w:szCs w:val="20"/>
    </w:rPr>
  </w:style>
  <w:style w:type="paragraph" w:customStyle="1" w:styleId="610">
    <w:name w:val="Normal Paragraph"/>
    <w:basedOn w:val="1"/>
    <w:qFormat/>
    <w:uiPriority w:val="0"/>
    <w:pPr>
      <w:widowControl/>
      <w:spacing w:before="120" w:line="360" w:lineRule="auto"/>
      <w:ind w:firstLine="425"/>
    </w:pPr>
    <w:rPr>
      <w:rFonts w:ascii="Calibri" w:hAnsi="Calibri"/>
      <w:sz w:val="24"/>
      <w:szCs w:val="20"/>
    </w:rPr>
  </w:style>
  <w:style w:type="paragraph" w:customStyle="1" w:styleId="611">
    <w:name w:val="xl36"/>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612">
    <w:name w:val="È±Ê¡ÎÄ±¾"/>
    <w:basedOn w:val="1"/>
    <w:qFormat/>
    <w:uiPriority w:val="0"/>
    <w:pPr>
      <w:widowControl/>
      <w:spacing w:line="360" w:lineRule="auto"/>
      <w:jc w:val="left"/>
    </w:pPr>
    <w:rPr>
      <w:sz w:val="24"/>
      <w:szCs w:val="20"/>
    </w:rPr>
  </w:style>
  <w:style w:type="paragraph" w:customStyle="1" w:styleId="613">
    <w:name w:val="Char Char Char Char Char Char Char Char Char Char3"/>
    <w:basedOn w:val="1"/>
    <w:qFormat/>
    <w:uiPriority w:val="0"/>
    <w:rPr>
      <w:rFonts w:ascii="Tahoma" w:hAnsi="Tahoma"/>
      <w:sz w:val="24"/>
      <w:szCs w:val="20"/>
    </w:rPr>
  </w:style>
  <w:style w:type="paragraph" w:customStyle="1" w:styleId="614">
    <w:name w:val="a1"/>
    <w:basedOn w:val="1"/>
    <w:qFormat/>
    <w:uiPriority w:val="0"/>
    <w:pPr>
      <w:widowControl/>
      <w:spacing w:before="100" w:beforeAutospacing="1" w:after="100" w:afterAutospacing="1"/>
      <w:jc w:val="left"/>
    </w:pPr>
    <w:rPr>
      <w:rFonts w:ascii="宋体"/>
      <w:sz w:val="24"/>
    </w:rPr>
  </w:style>
  <w:style w:type="paragraph" w:customStyle="1" w:styleId="615">
    <w:name w:val="正文_1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16">
    <w:name w:val="正文_11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17">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618">
    <w:name w:val="正文段"/>
    <w:basedOn w:val="1"/>
    <w:qFormat/>
    <w:uiPriority w:val="0"/>
    <w:pPr>
      <w:widowControl/>
      <w:spacing w:after="240" w:line="240" w:lineRule="atLeast"/>
      <w:ind w:firstLine="425"/>
    </w:pPr>
    <w:rPr>
      <w:sz w:val="24"/>
      <w:szCs w:val="20"/>
    </w:rPr>
  </w:style>
  <w:style w:type="paragraph" w:customStyle="1" w:styleId="619">
    <w:name w:val="Normal_16_0"/>
    <w:qFormat/>
    <w:uiPriority w:val="0"/>
    <w:rPr>
      <w:rFonts w:ascii="黑体" w:hAnsi="黑体" w:eastAsia="黑体" w:cs="Times New Roman"/>
      <w:b/>
      <w:sz w:val="32"/>
      <w:szCs w:val="24"/>
      <w:lang w:val="en-US" w:eastAsia="zh-CN" w:bidi="ar-SA"/>
    </w:rPr>
  </w:style>
  <w:style w:type="paragraph" w:customStyle="1" w:styleId="620">
    <w:name w:val="Normal_17"/>
    <w:qFormat/>
    <w:uiPriority w:val="0"/>
    <w:rPr>
      <w:rFonts w:ascii="黑体" w:hAnsi="黑体" w:eastAsia="黑体" w:cs="Times New Roman"/>
      <w:b/>
      <w:sz w:val="32"/>
      <w:szCs w:val="24"/>
      <w:lang w:val="en-US" w:eastAsia="zh-CN" w:bidi="ar-SA"/>
    </w:rPr>
  </w:style>
  <w:style w:type="paragraph" w:customStyle="1" w:styleId="621">
    <w:name w:val="xl42"/>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622">
    <w:name w:val="列出段落[858D7CFB-ED40-4347-BF05-701D383B685F][858D7CFB-ED40-4347-BF05-701D383B685F]"/>
    <w:basedOn w:val="1"/>
    <w:qFormat/>
    <w:uiPriority w:val="0"/>
    <w:pPr>
      <w:ind w:firstLine="200"/>
    </w:pPr>
    <w:rPr>
      <w:rFonts w:ascii="Calibri" w:hAnsi="Calibri"/>
    </w:rPr>
  </w:style>
  <w:style w:type="paragraph" w:customStyle="1" w:styleId="623">
    <w:name w:val="缺省文本"/>
    <w:basedOn w:val="1"/>
    <w:qFormat/>
    <w:uiPriority w:val="0"/>
    <w:pPr>
      <w:jc w:val="left"/>
    </w:pPr>
    <w:rPr>
      <w:sz w:val="24"/>
      <w:szCs w:val="20"/>
    </w:rPr>
  </w:style>
  <w:style w:type="paragraph" w:customStyle="1" w:styleId="624">
    <w:name w:val="Normal_13"/>
    <w:qFormat/>
    <w:uiPriority w:val="0"/>
    <w:rPr>
      <w:rFonts w:ascii="黑体" w:hAnsi="黑体" w:eastAsia="黑体" w:cs="Times New Roman"/>
      <w:b/>
      <w:sz w:val="32"/>
      <w:szCs w:val="24"/>
      <w:lang w:val="en-US" w:eastAsia="zh-CN" w:bidi="ar-SA"/>
    </w:rPr>
  </w:style>
  <w:style w:type="paragraph" w:customStyle="1" w:styleId="625">
    <w:name w:val="SFClearBullets"/>
    <w:qFormat/>
    <w:uiPriority w:val="0"/>
    <w:pPr>
      <w:tabs>
        <w:tab w:val="left" w:pos="1440"/>
      </w:tabs>
      <w:ind w:left="1440" w:hanging="360"/>
    </w:pPr>
    <w:rPr>
      <w:rFonts w:ascii="Helvetica" w:hAnsi="Helvetica" w:eastAsia="宋体" w:cs="Times New Roman"/>
      <w:szCs w:val="24"/>
      <w:lang w:val="en-US" w:eastAsia="en-US" w:bidi="ar-SA"/>
    </w:rPr>
  </w:style>
  <w:style w:type="paragraph" w:customStyle="1" w:styleId="626">
    <w:name w:val="FA正文+标号"/>
    <w:basedOn w:val="1"/>
    <w:qFormat/>
    <w:uiPriority w:val="0"/>
    <w:pPr>
      <w:tabs>
        <w:tab w:val="left" w:pos="907"/>
        <w:tab w:val="left" w:pos="3375"/>
      </w:tabs>
      <w:spacing w:line="400" w:lineRule="exact"/>
      <w:ind w:left="900" w:hanging="420"/>
    </w:pPr>
    <w:rPr>
      <w:rFonts w:ascii="仿宋_GB2312" w:eastAsia="仿宋_GB2312"/>
      <w:sz w:val="24"/>
      <w:szCs w:val="20"/>
    </w:rPr>
  </w:style>
  <w:style w:type="paragraph" w:customStyle="1" w:styleId="627">
    <w:name w:val="附图居中"/>
    <w:basedOn w:val="1"/>
    <w:next w:val="460"/>
    <w:qFormat/>
    <w:uiPriority w:val="0"/>
    <w:pPr>
      <w:keepNext/>
      <w:tabs>
        <w:tab w:val="left" w:pos="0"/>
      </w:tabs>
      <w:spacing w:line="360" w:lineRule="auto"/>
      <w:ind w:left="1271" w:hanging="420"/>
      <w:jc w:val="center"/>
    </w:pPr>
    <w:rPr>
      <w:caps/>
      <w:sz w:val="24"/>
    </w:rPr>
  </w:style>
  <w:style w:type="paragraph" w:customStyle="1" w:styleId="628">
    <w:name w:val="正文_0_0_0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29">
    <w:name w:val="正文 + 宋体"/>
    <w:basedOn w:val="1"/>
    <w:qFormat/>
    <w:uiPriority w:val="0"/>
    <w:pPr>
      <w:ind w:firstLine="250"/>
    </w:pPr>
    <w:rPr>
      <w:rFonts w:ascii="宋体"/>
      <w:szCs w:val="21"/>
    </w:rPr>
  </w:style>
  <w:style w:type="paragraph" w:customStyle="1" w:styleId="630">
    <w:name w:val="Normal_5"/>
    <w:qFormat/>
    <w:uiPriority w:val="0"/>
    <w:rPr>
      <w:rFonts w:ascii="黑体" w:hAnsi="黑体" w:eastAsia="黑体" w:cs="Times New Roman"/>
      <w:b/>
      <w:sz w:val="32"/>
      <w:szCs w:val="24"/>
      <w:lang w:val="en-US" w:eastAsia="zh-CN" w:bidi="ar-SA"/>
    </w:rPr>
  </w:style>
  <w:style w:type="paragraph" w:customStyle="1" w:styleId="631">
    <w:name w:val="Normal_13_0"/>
    <w:qFormat/>
    <w:uiPriority w:val="0"/>
    <w:rPr>
      <w:rFonts w:ascii="黑体" w:hAnsi="黑体" w:eastAsia="黑体" w:cs="Times New Roman"/>
      <w:b/>
      <w:sz w:val="32"/>
      <w:szCs w:val="24"/>
      <w:lang w:val="en-US" w:eastAsia="zh-CN" w:bidi="ar-SA"/>
    </w:rPr>
  </w:style>
  <w:style w:type="paragraph" w:customStyle="1" w:styleId="632">
    <w:name w:val="Normal_14"/>
    <w:qFormat/>
    <w:uiPriority w:val="0"/>
    <w:rPr>
      <w:rFonts w:ascii="黑体" w:hAnsi="黑体" w:eastAsia="黑体" w:cs="Times New Roman"/>
      <w:b/>
      <w:sz w:val="32"/>
      <w:szCs w:val="24"/>
      <w:lang w:val="en-US" w:eastAsia="zh-CN" w:bidi="ar-SA"/>
    </w:rPr>
  </w:style>
  <w:style w:type="paragraph" w:customStyle="1" w:styleId="633">
    <w:name w:val="正文_1_0_0_0_0"/>
    <w:qFormat/>
    <w:uiPriority w:val="0"/>
    <w:pPr>
      <w:widowControl w:val="0"/>
      <w:jc w:val="both"/>
    </w:pPr>
    <w:rPr>
      <w:rFonts w:ascii="Times New Roman" w:hAnsi="Times New Roman" w:eastAsia="宋体" w:cs="Times New Roman"/>
      <w:sz w:val="21"/>
      <w:lang w:val="en-US" w:eastAsia="zh-CN" w:bidi="ar-SA"/>
    </w:rPr>
  </w:style>
  <w:style w:type="paragraph" w:customStyle="1" w:styleId="634">
    <w:name w:val="正文_7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35">
    <w:name w:val="Normal_3_0"/>
    <w:qFormat/>
    <w:uiPriority w:val="0"/>
    <w:rPr>
      <w:rFonts w:ascii="黑体" w:hAnsi="黑体" w:eastAsia="黑体" w:cs="Times New Roman"/>
      <w:b/>
      <w:sz w:val="32"/>
      <w:szCs w:val="24"/>
      <w:lang w:val="en-US" w:eastAsia="zh-CN" w:bidi="ar-SA"/>
    </w:rPr>
  </w:style>
  <w:style w:type="paragraph" w:customStyle="1" w:styleId="636">
    <w:name w:val="保密事宜格式"/>
    <w:basedOn w:val="223"/>
    <w:qFormat/>
    <w:uiPriority w:val="0"/>
    <w:pPr>
      <w:pBdr>
        <w:top w:val="single" w:color="000000" w:sz="4" w:space="1"/>
        <w:left w:val="single" w:color="000000" w:sz="4" w:space="4"/>
        <w:bottom w:val="single" w:color="000000" w:sz="4" w:space="1"/>
        <w:right w:val="single" w:color="000000" w:sz="4" w:space="4"/>
      </w:pBdr>
      <w:shd w:val="clear" w:color="auto" w:fill="E6E6E6"/>
      <w:spacing w:before="152" w:after="160"/>
    </w:pPr>
    <w:rPr>
      <w:rFonts w:ascii="Tahoma" w:hAnsi="Tahoma" w:eastAsia="楷体_GB2312" w:cs="宋体"/>
      <w:b/>
      <w:sz w:val="32"/>
    </w:rPr>
  </w:style>
  <w:style w:type="paragraph" w:customStyle="1" w:styleId="637">
    <w:name w:val="样式 正文缩进 + (中文) 仿宋_GB2312 小四 Char"/>
    <w:basedOn w:val="222"/>
    <w:qFormat/>
    <w:uiPriority w:val="0"/>
    <w:pPr>
      <w:spacing w:line="360" w:lineRule="auto"/>
      <w:ind w:firstLine="200"/>
    </w:pPr>
    <w:rPr>
      <w:szCs w:val="24"/>
    </w:rPr>
  </w:style>
  <w:style w:type="paragraph" w:customStyle="1" w:styleId="638">
    <w:name w:val="默认段落字体 Para Char Char Char Char Char Char Char Char Char Char Char Char Char Char"/>
    <w:basedOn w:val="227"/>
    <w:qFormat/>
    <w:uiPriority w:val="0"/>
    <w:rPr>
      <w:rFonts w:ascii="Tahoma" w:hAnsi="Tahoma"/>
      <w:sz w:val="24"/>
    </w:rPr>
  </w:style>
  <w:style w:type="character" w:customStyle="1" w:styleId="639">
    <w:name w:val="font71"/>
    <w:qFormat/>
    <w:uiPriority w:val="0"/>
    <w:rPr>
      <w:rFonts w:hint="eastAsia" w:ascii="宋体" w:hAnsi="宋体" w:eastAsia="宋体" w:cs="宋体"/>
      <w:color w:val="FF0000"/>
      <w:sz w:val="24"/>
      <w:szCs w:val="24"/>
      <w:u w:val="none"/>
    </w:rPr>
  </w:style>
  <w:style w:type="paragraph" w:customStyle="1" w:styleId="640">
    <w:name w:val="正文缩进1"/>
    <w:basedOn w:val="1"/>
    <w:qFormat/>
    <w:uiPriority w:val="0"/>
    <w:pPr>
      <w:ind w:firstLine="420"/>
    </w:pPr>
    <w:rPr>
      <w:szCs w:val="20"/>
    </w:rPr>
  </w:style>
  <w:style w:type="character" w:customStyle="1" w:styleId="641">
    <w:name w:val="占位符文本1"/>
    <w:qFormat/>
    <w:uiPriority w:val="99"/>
    <w:rPr>
      <w:color w:val="808080"/>
    </w:rPr>
  </w:style>
  <w:style w:type="paragraph" w:customStyle="1" w:styleId="642">
    <w:name w:val="B2"/>
    <w:basedOn w:val="1"/>
    <w:qFormat/>
    <w:uiPriority w:val="0"/>
    <w:pPr>
      <w:numPr>
        <w:ilvl w:val="1"/>
        <w:numId w:val="4"/>
      </w:numPr>
      <w:tabs>
        <w:tab w:val="left" w:pos="1418"/>
      </w:tabs>
      <w:outlineLvl w:val="1"/>
    </w:pPr>
    <w:rPr>
      <w:rFonts w:ascii="Arial Narrow" w:hAnsi="Arial Narrow" w:eastAsia="仿宋"/>
      <w:sz w:val="24"/>
      <w:szCs w:val="24"/>
    </w:rPr>
  </w:style>
  <w:style w:type="paragraph" w:customStyle="1" w:styleId="643">
    <w:name w:val="B1"/>
    <w:basedOn w:val="1"/>
    <w:qFormat/>
    <w:uiPriority w:val="0"/>
    <w:pPr>
      <w:numPr>
        <w:ilvl w:val="0"/>
        <w:numId w:val="4"/>
      </w:numPr>
      <w:tabs>
        <w:tab w:val="left" w:pos="1418"/>
      </w:tabs>
      <w:jc w:val="left"/>
      <w:outlineLvl w:val="0"/>
    </w:pPr>
    <w:rPr>
      <w:rFonts w:ascii="Arial Narrow" w:hAnsi="Arial Narrow" w:eastAsia="仿宋"/>
      <w:b/>
      <w:sz w:val="28"/>
      <w:szCs w:val="24"/>
    </w:rPr>
  </w:style>
  <w:style w:type="paragraph" w:customStyle="1" w:styleId="644">
    <w:name w:val="正文文本11"/>
    <w:basedOn w:val="1"/>
    <w:next w:val="1"/>
    <w:qFormat/>
    <w:uiPriority w:val="0"/>
    <w:rPr>
      <w:rFonts w:ascii="楷体_GB2312" w:hAnsi="Arial" w:eastAsia="楷体_GB2312"/>
      <w:sz w:val="28"/>
      <w:szCs w:val="28"/>
    </w:rPr>
  </w:style>
  <w:style w:type="paragraph" w:customStyle="1" w:styleId="645">
    <w:name w:val="Table Text"/>
    <w:basedOn w:val="1"/>
    <w:qFormat/>
    <w:uiPriority w:val="0"/>
    <w:rPr>
      <w:rFonts w:ascii="宋体" w:hAnsi="宋体" w:cs="宋体"/>
      <w:sz w:val="17"/>
      <w:szCs w:val="17"/>
      <w:lang w:eastAsia="en-US"/>
    </w:rPr>
  </w:style>
  <w:style w:type="table" w:customStyle="1" w:styleId="646">
    <w:name w:val="Table Normal"/>
    <w:qFormat/>
    <w:uiPriority w:val="0"/>
    <w:tblPr>
      <w:tblCellMar>
        <w:top w:w="0" w:type="dxa"/>
        <w:left w:w="0" w:type="dxa"/>
        <w:bottom w:w="0" w:type="dxa"/>
        <w:right w:w="0" w:type="dxa"/>
      </w:tblCellMar>
    </w:tblPr>
  </w:style>
  <w:style w:type="character" w:customStyle="1" w:styleId="647">
    <w:name w:val="mark"/>
    <w:qFormat/>
    <w:uiPriority w:val="0"/>
    <w:rPr>
      <w:rFonts w:ascii="Times New Roman" w:hAnsi="Times New Roman" w:eastAsia="宋体" w:cs="Times New Roman"/>
    </w:rPr>
  </w:style>
  <w:style w:type="paragraph" w:customStyle="1" w:styleId="648">
    <w:name w:val="标题 311"/>
    <w:basedOn w:val="1"/>
    <w:next w:val="1"/>
    <w:qFormat/>
    <w:uiPriority w:val="0"/>
    <w:pPr>
      <w:keepNext/>
      <w:keepLines/>
      <w:spacing w:before="260" w:after="260" w:line="416" w:lineRule="auto"/>
      <w:outlineLvl w:val="2"/>
    </w:pPr>
    <w:rPr>
      <w:b/>
      <w:sz w:val="32"/>
      <w:szCs w:val="20"/>
    </w:rPr>
  </w:style>
  <w:style w:type="paragraph" w:customStyle="1" w:styleId="649">
    <w:name w:val="p16"/>
    <w:basedOn w:val="1"/>
    <w:qFormat/>
    <w:uiPriority w:val="0"/>
    <w:pPr>
      <w:widowControl/>
    </w:pPr>
    <w:rPr>
      <w:rFonts w:ascii="宋体" w:hAnsi="宋体" w:cs="宋体"/>
      <w:b/>
      <w:color w:val="000000"/>
      <w:position w:val="-10"/>
      <w:sz w:val="28"/>
      <w:szCs w:val="28"/>
    </w:rPr>
  </w:style>
  <w:style w:type="paragraph" w:customStyle="1" w:styleId="650">
    <w:name w:val="p19"/>
    <w:basedOn w:val="1"/>
    <w:qFormat/>
    <w:uiPriority w:val="0"/>
    <w:pPr>
      <w:widowControl/>
    </w:pPr>
    <w:rPr>
      <w:rFonts w:ascii="宋体" w:hAnsi="宋体" w:cs="宋体"/>
      <w:b/>
      <w:color w:val="000000"/>
      <w:position w:val="-10"/>
      <w:sz w:val="28"/>
      <w:szCs w:val="28"/>
    </w:rPr>
  </w:style>
  <w:style w:type="paragraph" w:customStyle="1" w:styleId="651">
    <w:name w:val="修订2"/>
    <w:qFormat/>
    <w:uiPriority w:val="99"/>
    <w:rPr>
      <w:rFonts w:ascii="Times New Roman" w:hAnsi="Times New Roman" w:eastAsia="宋体" w:cs="Times New Roman"/>
      <w:sz w:val="21"/>
      <w:szCs w:val="22"/>
      <w:lang w:val="en-US" w:eastAsia="zh-CN" w:bidi="ar-SA"/>
    </w:rPr>
  </w:style>
  <w:style w:type="character" w:customStyle="1" w:styleId="652">
    <w:name w:val="日期 字符"/>
    <w:basedOn w:val="36"/>
    <w:link w:val="20"/>
    <w:qFormat/>
    <w:uiPriority w:val="99"/>
    <w:rPr>
      <w:sz w:val="21"/>
      <w:szCs w:val="22"/>
    </w:rPr>
  </w:style>
  <w:style w:type="character" w:customStyle="1" w:styleId="653">
    <w:name w:val="列表段落 字符"/>
    <w:link w:val="438"/>
    <w:qFormat/>
    <w:uiPriority w:val="34"/>
    <w:rPr>
      <w:rFonts w:ascii="Calibri" w:hAnsi="Calibri"/>
      <w:sz w:val="21"/>
      <w:szCs w:val="22"/>
    </w:rPr>
  </w:style>
  <w:style w:type="character" w:customStyle="1" w:styleId="654">
    <w:name w:val="正文文本缩进 字符"/>
    <w:basedOn w:val="36"/>
    <w:link w:val="16"/>
    <w:qFormat/>
    <w:uiPriority w:val="99"/>
    <w:rPr>
      <w:sz w:val="21"/>
      <w:szCs w:val="22"/>
    </w:rPr>
  </w:style>
  <w:style w:type="character" w:customStyle="1" w:styleId="655">
    <w:name w:val="标题 2 Char"/>
    <w:qFormat/>
    <w:uiPriority w:val="0"/>
    <w:rPr>
      <w:rFonts w:ascii="Cambria" w:hAnsi="Cambria" w:eastAsia="宋体" w:cs="Times New Roman"/>
      <w:b/>
      <w:bCs/>
      <w:sz w:val="32"/>
      <w:szCs w:val="32"/>
    </w:rPr>
  </w:style>
  <w:style w:type="paragraph" w:customStyle="1" w:styleId="656">
    <w:name w:val="列表段落2"/>
    <w:basedOn w:val="1"/>
    <w:qFormat/>
    <w:uiPriority w:val="34"/>
    <w:pPr>
      <w:ind w:firstLine="420"/>
    </w:pPr>
  </w:style>
  <w:style w:type="table" w:customStyle="1" w:styleId="657">
    <w:name w:val="table"/>
    <w:basedOn w:val="34"/>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 (Beij</Company>
  <Pages>72</Pages>
  <Words>2111</Words>
  <Characters>2378</Characters>
  <Lines>1168</Lines>
  <Paragraphs>1250</Paragraphs>
  <TotalTime>27</TotalTime>
  <ScaleCrop>false</ScaleCrop>
  <LinksUpToDate>false</LinksUpToDate>
  <CharactersWithSpaces>2446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2025-04-14T07:55:00Z</dcterms:created>
  <dc:creator>Adminis</dc:creator>
  <cp:lastModifiedBy>Hollyitc</cp:lastModifiedBy>
  <cp:lastPrinted>2025-11-26T08:35:00Z</cp:lastPrinted>
  <dcterms:modified xsi:type="dcterms:W3CDTF">2026-10-21T06:59:26Z</dcterms:modified>
  <cp:revision>92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4B16B286B24D487BA2C238CDD31EF837_13</vt:lpwstr>
  </property>
  <property fmtid="{D5CDD505-2E9C-101B-9397-08002B2CF9AE}" pid="4" name="KSOTemplateDocerSaveRecord">
    <vt:lpwstr>eyJoZGlkIjoiZjNiZDY4OTBhODY2ZDhmN2E0MTMwYjBmMGY2NzYzNWEifQ==</vt:lpwstr>
  </property>
</Properties>
</file>