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734"/>
        <w:jc w:val="center"/>
        <w:spacing w:before="120" w:after="120" w:line="400" w:lineRule="exact"/>
        <w:rPr>
          <w:rFonts w:hint="eastAsia" w:ascii="方正小标宋_GBK" w:hAnsi="方正小标宋_GBK" w:eastAsia="方正小标宋_GBK" w:cs="方正小标宋_GBK"/>
          <w:color w:val="000000"/>
          <w:sz w:val="28"/>
          <w:szCs w:val="28"/>
        </w:rPr>
      </w:pPr>
      <w:r>
        <w:rPr>
          <w:rFonts w:hint="eastAsia" w:ascii="方正小标宋_GBK" w:hAnsi="方正小标宋_GBK" w:eastAsia="方正小标宋_GBK" w:cs="方正小标宋_GBK"/>
          <w:color w:val="000000"/>
          <w:sz w:val="28"/>
          <w:szCs w:val="28"/>
        </w:rPr>
        <w:t xml:space="preserve">招　标　文　件</w:t>
      </w:r>
      <w:r>
        <w:rPr>
          <w:rFonts w:hint="eastAsia" w:ascii="方正小标宋_GBK" w:hAnsi="方正小标宋_GBK" w:eastAsia="方正小标宋_GBK" w:cs="方正小标宋_GBK"/>
          <w:color w:val="000000"/>
          <w:sz w:val="28"/>
          <w:szCs w:val="28"/>
        </w:rPr>
      </w:r>
      <w:r/>
    </w:p>
    <w:p>
      <w:pPr>
        <w:pStyle w:val="734"/>
        <w:ind w:firstLine="560"/>
        <w:jc w:val="left"/>
        <w:spacing w:before="120" w:after="120" w:line="400" w:lineRule="exact"/>
        <w:rPr>
          <w:rFonts w:hint="eastAsia" w:ascii="Arial" w:hAnsi="Arial"/>
          <w:b/>
          <w:bCs/>
          <w:color w:val="000000"/>
          <w:sz w:val="28"/>
          <w:szCs w:val="28"/>
        </w:rPr>
      </w:pPr>
      <w:r>
        <w:rPr>
          <w:rFonts w:hint="eastAsia" w:ascii="Arial" w:hAnsi="Arial"/>
          <w:b/>
          <w:bCs/>
          <w:color w:val="000000"/>
          <w:sz w:val="28"/>
          <w:szCs w:val="28"/>
        </w:rPr>
      </w:r>
      <w:r/>
    </w:p>
    <w:p>
      <w:pPr>
        <w:pStyle w:val="734"/>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项目名称：江苏省中医院2026年度台式计算机</w:t>
      </w:r>
      <w:r>
        <w:rPr>
          <w:rFonts w:hint="eastAsia" w:ascii="方正黑体_GBK" w:hAnsi="方正黑体_GBK" w:eastAsia="方正黑体_GBK" w:cs="方正黑体_GBK"/>
          <w:color w:val="000000"/>
          <w:sz w:val="28"/>
          <w:szCs w:val="28"/>
        </w:rPr>
      </w:r>
      <w:r/>
    </w:p>
    <w:p>
      <w:pPr>
        <w:pStyle w:val="734"/>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JSZC-320000-SCZX-G2026-0493</w:t>
      </w:r>
      <w:r>
        <w:rPr>
          <w:rFonts w:hint="eastAsia" w:ascii="方正黑体_GBK" w:hAnsi="方正黑体_GBK" w:eastAsia="方正黑体_GBK" w:cs="方正黑体_GBK"/>
          <w:color w:val="000000"/>
          <w:sz w:val="28"/>
          <w:szCs w:val="28"/>
        </w:rPr>
      </w:r>
      <w:r/>
    </w:p>
    <w:p>
      <w:pPr>
        <w:pStyle w:val="734"/>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（全流程电子化-货物类项目，适用于“苏采云”系统）</w:t>
      </w:r>
      <w:r>
        <w:rPr>
          <w:rFonts w:hint="eastAsia" w:ascii="方正黑体_GBK" w:hAnsi="方正黑体_GBK" w:eastAsia="方正黑体_GBK" w:cs="方正黑体_GBK"/>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4"/>
        <w:jc w:val="left"/>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34"/>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734"/>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2026年10月</w:t>
      </w:r>
      <w:r>
        <w:rPr>
          <w:rFonts w:hint="eastAsia" w:ascii="方正黑体_GBK" w:hAnsi="方正黑体_GBK" w:eastAsia="方正黑体_GBK" w:cs="方正黑体_GBK"/>
          <w:color w:val="000000"/>
          <w:sz w:val="28"/>
          <w:szCs w:val="28"/>
        </w:rPr>
      </w:r>
      <w:r/>
    </w:p>
    <w:p>
      <w:pPr>
        <w:pStyle w:val="73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4"/>
        <w:jc w:val="center"/>
        <w:spacing w:line="660" w:lineRule="exact"/>
        <w:rPr>
          <w:rFonts w:hint="eastAsia" w:ascii="黑体" w:hAnsi="Arial" w:eastAsia="黑体"/>
          <w:b/>
          <w:color w:val="000000"/>
          <w:sz w:val="28"/>
          <w:szCs w:val="28"/>
        </w:rPr>
        <w:outlineLvl w:val="0"/>
      </w:pPr>
      <w:r>
        <w:rPr>
          <w:color w:val="000000"/>
          <w:szCs w:val="21"/>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color w:val="000000"/>
          <w:sz w:val="28"/>
          <w:szCs w:val="28"/>
        </w:rPr>
      </w:r>
      <w:r/>
    </w:p>
    <w:p>
      <w:pPr>
        <w:pStyle w:val="734"/>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lang w:val="en-US" w:eastAsia="zh-CN"/>
        </w:rPr>
        <w:t xml:space="preserve">03</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06</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37</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50</w:t>
      </w:r>
      <w:r>
        <w:rPr>
          <w:rFonts w:ascii="方正黑体_GBK" w:hAnsi="方正黑体_GBK" w:eastAsia="方正黑体_GBK" w:cs="方正黑体_GBK"/>
          <w:color w:val="000000"/>
          <w:sz w:val="28"/>
          <w:szCs w:val="28"/>
          <w:lang w:val="en-US" w:eastAsia="zh-CN"/>
        </w:rPr>
      </w:r>
      <w:r/>
    </w:p>
    <w:p>
      <w:pPr>
        <w:pStyle w:val="734"/>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55</w:t>
      </w:r>
      <w:r>
        <w:rPr>
          <w:rFonts w:ascii="方正黑体_GBK" w:hAnsi="方正黑体_GBK" w:eastAsia="方正黑体_GBK" w:cs="方正黑体_GBK"/>
          <w:color w:val="000000"/>
          <w:sz w:val="28"/>
          <w:szCs w:val="28"/>
          <w:lang w:val="en-US" w:eastAsia="zh-CN"/>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rPr>
          <w:rFonts w:hint="eastAsia"/>
          <w:color w:val="000000"/>
          <w:szCs w:val="21"/>
        </w:rPr>
      </w:pPr>
      <w:r>
        <w:rPr>
          <w:rFonts w:hint="eastAsia"/>
          <w:color w:val="000000"/>
          <w:szCs w:val="21"/>
        </w:rPr>
      </w:r>
      <w:r/>
    </w:p>
    <w:p>
      <w:pPr>
        <w:pStyle w:val="734"/>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受江苏省中医院的委托，江苏省政府采购中心就江苏省中医院2026年度台式计算机(JSZC-320000-SCZX-G2026-0493)项目进行公开招标采购，欢迎符合条件的供应商投标。</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江苏省中医院2026年度台式计算机</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11</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6</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eastAsia="方正仿宋_GBK"/>
          <w:color w:val="000000"/>
          <w:sz w:val="28"/>
          <w:szCs w:val="28"/>
        </w:rPr>
        <w:t xml:space="preserve">JSZC-320000-SCZX-G2026-0493</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eastAsia="方正仿宋_GBK"/>
          <w:color w:val="000000"/>
          <w:sz w:val="28"/>
          <w:szCs w:val="28"/>
        </w:rPr>
        <w:t xml:space="preserve">江苏省中医院2026年度台式计算机</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4"/>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150</w:t>
            </w:r>
            <w:r>
              <w:rPr>
                <w:rFonts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8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734"/>
              <w:jc w:val="center"/>
              <w:spacing w:line="400" w:lineRule="exact"/>
              <w:rPr>
                <w:rFonts w:hint="eastAsia" w:eastAsia="等线"/>
                <w:sz w:val="28"/>
                <w:szCs w:val="28"/>
              </w:rPr>
            </w:pPr>
            <w:r>
              <w:rPr>
                <w:rFonts w:hint="eastAsia" w:eastAsia="等线"/>
                <w:sz w:val="28"/>
                <w:szCs w:val="28"/>
              </w:rPr>
              <w:t xml:space="preserve">148.5</w:t>
            </w:r>
            <w:r>
              <w:rPr>
                <w:rFonts w:hint="eastAsia" w:eastAsia="等线"/>
                <w:sz w:val="28"/>
                <w:szCs w:val="28"/>
              </w:rPr>
            </w:r>
            <w:r/>
          </w:p>
        </w:tc>
      </w:tr>
    </w:tbl>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5.采购需求(简介)：</w:t>
      </w:r>
      <w:r>
        <w:rPr>
          <w:rFonts w:hint="eastAsia" w:ascii="等线" w:hAnsi="等线" w:eastAsia="等线"/>
          <w:sz w:val="28"/>
          <w:szCs w:val="28"/>
        </w:rPr>
        <w:t xml:space="preserve">为江苏省中医院正常工作需要，采购台式计算机</w:t>
      </w:r>
      <w:r>
        <w:rPr>
          <w:rFonts w:hint="eastAsia" w:eastAsia="等线"/>
          <w:sz w:val="28"/>
          <w:szCs w:val="28"/>
        </w:rPr>
        <w:t xml:space="preserve">300台。</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等线"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ascii="等线" w:hAnsi="等线" w:eastAsia="等线"/>
          <w:sz w:val="28"/>
          <w:szCs w:val="28"/>
        </w:rPr>
        <w:t xml:space="preserve">分批送货，收到通知后</w:t>
      </w:r>
      <w:r>
        <w:rPr>
          <w:rFonts w:hint="eastAsia" w:eastAsia="等线"/>
          <w:sz w:val="28"/>
          <w:szCs w:val="28"/>
        </w:rPr>
        <w:t xml:space="preserve">7天内交货。</w:t>
      </w:r>
      <w:r>
        <w:rPr>
          <w:rFonts w:hint="eastAsia" w:ascii="方正仿宋_GBK" w:hAnsi="方正仿宋_GBK" w:eastAsia="等线" w:cs="方正仿宋_GBK"/>
          <w:sz w:val="28"/>
          <w:szCs w:val="28"/>
          <w:u w:val="single"/>
        </w:rPr>
      </w:r>
      <w:r/>
    </w:p>
    <w:p>
      <w:pPr>
        <w:pStyle w:val="734"/>
        <w:jc w:val="left"/>
        <w:keepNext/>
        <w:spacing w:line="400" w:lineRule="exact"/>
        <w:rPr>
          <w:rFonts w:hint="eastAsia" w:ascii="方正黑体_GBK" w:hAnsi="方正黑体_GBK" w:eastAsia="方正黑体_GBK" w:cs="方正黑体_GBK"/>
          <w:sz w:val="28"/>
          <w:szCs w:val="28"/>
        </w:rPr>
        <w:outlineLvl w:val="0"/>
      </w:pPr>
      <w:r/>
      <w:bookmarkStart w:id="12" w:name="_Toc28359080"/>
      <w:r/>
      <w:bookmarkStart w:id="13" w:name="_Toc35393622"/>
      <w:r/>
      <w:bookmarkStart w:id="14" w:name="_Toc38985264"/>
      <w:r/>
      <w:bookmarkStart w:id="15" w:name="_Toc35393791"/>
      <w:r/>
      <w:bookmarkStart w:id="16" w:name="_Toc28359003"/>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734"/>
        <w:ind w:firstLine="560"/>
        <w:spacing w:line="400" w:lineRule="exact"/>
        <w:rPr>
          <w:rFonts w:hint="eastAsia" w:ascii="方正楷体_GBK" w:hAnsi="方正楷体_GBK" w:eastAsia="方正楷体_GBK" w:cs="方正楷体_GBK"/>
          <w:color w:val="000000"/>
          <w:sz w:val="28"/>
          <w:szCs w:val="28"/>
        </w:rPr>
      </w:pPr>
      <w:r/>
      <w:bookmarkStart w:id="17" w:name="_Toc38985265"/>
      <w:r/>
      <w:bookmarkStart w:id="18" w:name="_Toc35393623"/>
      <w:r/>
      <w:bookmarkStart w:id="19" w:name="_Toc28359004"/>
      <w:r/>
      <w:bookmarkStart w:id="20" w:name="_Toc28359081"/>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等线" w:hAnsi="等线" w:eastAsia="等线"/>
                <w:sz w:val="28"/>
                <w:szCs w:val="28"/>
              </w:rPr>
              <w:t xml:space="preserve">无</w:t>
            </w:r>
            <w:r>
              <w:rPr>
                <w:rFonts w:hint="eastAsia" w:ascii="方正仿宋_GBK" w:hAnsi="方正仿宋_GBK" w:eastAsia="方正仿宋_GBK" w:cs="方正仿宋_GBK"/>
                <w:sz w:val="28"/>
                <w:szCs w:val="28"/>
              </w:rPr>
            </w:r>
            <w:r/>
          </w:p>
        </w:tc>
      </w:tr>
    </w:tbl>
    <w:p>
      <w:pPr>
        <w:pStyle w:val="734"/>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734"/>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11</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lang w:val="en-US" w:eastAsia="zh-CN"/>
        </w:rPr>
        <w:t xml:space="preserve">6</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w:t>
      </w:r>
      <w:r>
        <w:rPr>
          <w:rFonts w:hint="eastAsia" w:ascii="方正仿宋_GBK" w:hAnsi="方正仿宋_GBK" w:eastAsia="方正仿宋_GBK" w:cs="方正仿宋_GBK"/>
          <w:bCs/>
          <w:color w:val="000000"/>
          <w:sz w:val="28"/>
          <w:szCs w:val="28"/>
        </w:rPr>
        <w:t xml:space="preserve">（北京时间）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27" w:name="_Toc35393625"/>
      <w:r/>
      <w:bookmarkStart w:id="28" w:name="_Toc28359007"/>
      <w:r/>
      <w:bookmarkStart w:id="29" w:name="_Toc38985267"/>
      <w:r/>
      <w:bookmarkStart w:id="30" w:name="_Toc35393794"/>
      <w:r/>
      <w:bookmarkStart w:id="31" w:name="_Toc2835908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35" w:name="_Toc38985269"/>
      <w:r/>
      <w:bookmarkStart w:id="36" w:name="_Toc35393796"/>
      <w:r/>
      <w:bookmarkStart w:id="37" w:name="_Toc28359085"/>
      <w:r/>
      <w:bookmarkStart w:id="38" w:name="_Toc28359008"/>
      <w:r/>
      <w:bookmarkStart w:id="39" w:name="_Toc35393627"/>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734"/>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江苏省中医院</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汉中路155号</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宋体" w:hAnsi="宋体" w:cs="宋体"/>
          <w:color w:val="000000"/>
          <w:sz w:val="28"/>
          <w:szCs w:val="28"/>
          <w:u w:val="single"/>
        </w:rPr>
        <w:t xml:space="preserve">诸老师</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0" w:name="_Toc28359086"/>
      <w:r/>
      <w:bookmarkStart w:id="41" w:name="_Toc28359009"/>
      <w:r>
        <w:rPr>
          <w:rFonts w:hint="eastAsia" w:ascii="方正仿宋_GBK" w:hAnsi="方正仿宋_GBK" w:eastAsia="方正仿宋_GBK" w:cs="方正仿宋_GBK"/>
          <w:color w:val="000000"/>
          <w:sz w:val="28"/>
          <w:szCs w:val="28"/>
          <w:u w:val="single"/>
        </w:rPr>
        <w:t xml:space="preserve">025-86558915</w:t>
      </w:r>
      <w:r>
        <w:rPr>
          <w:rFonts w:hint="eastAsia" w:ascii="方正仿宋_GBK" w:hAnsi="方正仿宋_GBK" w:eastAsia="方正仿宋_GBK" w:cs="方正仿宋_GBK"/>
          <w:color w:val="000000"/>
          <w:sz w:val="28"/>
          <w:szCs w:val="28"/>
          <w:u w:val="single"/>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734"/>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址：南京市汉中门大街145号</w:t>
      </w:r>
      <w:r>
        <w:rPr>
          <w:rFonts w:hint="eastAsia" w:ascii="方正仿宋_GBK" w:hAnsi="方正仿宋_GBK" w:eastAsia="方正仿宋_GBK" w:cs="方正仿宋_GBK"/>
          <w:color w:val="000000"/>
          <w:sz w:val="28"/>
          <w:szCs w:val="28"/>
        </w:rPr>
      </w:r>
      <w:r/>
    </w:p>
    <w:p>
      <w:pPr>
        <w:pStyle w:val="734"/>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人：苏俊、许滢</w:t>
      </w:r>
      <w:r>
        <w:rPr>
          <w:rFonts w:hint="eastAsia" w:ascii="方正仿宋_GBK" w:hAnsi="方正仿宋_GBK" w:eastAsia="方正仿宋_GBK" w:cs="方正仿宋_GBK"/>
          <w:color w:val="000000"/>
          <w:sz w:val="28"/>
          <w:szCs w:val="28"/>
        </w:rPr>
      </w:r>
      <w:r/>
    </w:p>
    <w:p>
      <w:pPr>
        <w:pStyle w:val="734"/>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联系方式：025-83668518</w:t>
      </w:r>
      <w:r>
        <w:rPr>
          <w:rFonts w:hint="eastAsia" w:ascii="方正仿宋_GBK" w:hAnsi="方正仿宋_GBK" w:eastAsia="方正仿宋_GBK" w:cs="方正仿宋_GBK"/>
          <w:color w:val="000000"/>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34"/>
        <w:ind w:right="840"/>
        <w:rPr>
          <w:rFonts w:hint="eastAsia" w:ascii="宋体" w:hAnsi="宋体"/>
          <w:color w:val="000000"/>
          <w:sz w:val="24"/>
          <w:szCs w:val="24"/>
        </w:rPr>
      </w:pPr>
      <w:r>
        <w:rPr>
          <w:rFonts w:hint="eastAsia" w:ascii="宋体" w:hAnsi="宋体"/>
          <w:color w:val="000000"/>
          <w:sz w:val="24"/>
          <w:szCs w:val="24"/>
        </w:rPr>
      </w:r>
      <w:r/>
    </w:p>
    <w:p>
      <w:pPr>
        <w:pStyle w:val="734"/>
        <w:ind w:right="840"/>
        <w:rPr>
          <w:rFonts w:hint="eastAsia" w:ascii="宋体" w:hAnsi="宋体"/>
          <w:color w:val="000000"/>
          <w:sz w:val="24"/>
          <w:szCs w:val="24"/>
        </w:rPr>
      </w:pPr>
      <w:r>
        <w:rPr>
          <w:rFonts w:hint="eastAsia" w:ascii="宋体" w:hAnsi="宋体"/>
          <w:color w:val="000000"/>
          <w:sz w:val="24"/>
          <w:szCs w:val="24"/>
        </w:rPr>
      </w:r>
      <w:r/>
    </w:p>
    <w:p>
      <w:pPr>
        <w:pStyle w:val="734"/>
        <w:jc w:val="center"/>
        <w:keepNext/>
        <w:spacing w:line="400" w:lineRule="exact"/>
        <w:rPr>
          <w:rFonts w:hint="eastAsia" w:ascii="方正黑体_GBK" w:hAnsi="方正黑体_GBK" w:eastAsia="方正黑体_GBK" w:cs="方正黑体_GBK"/>
          <w:color w:val="000000"/>
          <w:sz w:val="28"/>
          <w:szCs w:val="28"/>
        </w:rPr>
        <w:outlineLvl w:val="0"/>
      </w:pPr>
      <w:r/>
      <w:bookmarkStart w:id="42" w:name="_Toc120614211"/>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方正黑体_GBK" w:hAnsi="方正黑体_GBK" w:eastAsia="方正黑体_GBK" w:cs="方正黑体_GBK"/>
          <w:color w:val="000000"/>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47" w:name="_Toc16938519"/>
      <w:r/>
      <w:bookmarkStart w:id="48" w:name="_Toc513029203"/>
      <w:r/>
      <w:bookmarkStart w:id="49" w:name="_Toc20823275"/>
      <w:r/>
      <w:bookmarkStart w:id="50" w:name="_Toc120614214"/>
      <w:r>
        <w:rPr>
          <w:rFonts w:hint="eastAsia" w:ascii="方正黑体_GBK" w:hAnsi="方正黑体_GBK" w:eastAsia="方正黑体_GBK" w:cs="方正黑体_GBK"/>
          <w:color w:val="000000"/>
          <w:sz w:val="28"/>
          <w:szCs w:val="28"/>
        </w:rPr>
        <w:t xml:space="preserve">一、总则</w:t>
      </w:r>
      <w:bookmarkEnd w:id="47"/>
      <w:r/>
      <w:bookmarkEnd w:id="48"/>
      <w:r/>
      <w:bookmarkEnd w:id="49"/>
      <w:r/>
      <w:bookmarkEnd w:id="50"/>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方正仿宋_GBK" w:hAnsi="方正仿宋_GBK" w:eastAsia="方正仿宋_GBK" w:cs="方正仿宋_GBK"/>
          <w:bCs/>
          <w:sz w:val="28"/>
          <w:szCs w:val="28"/>
        </w:rPr>
        <w:t xml:space="preserve">1</w:t>
      </w:r>
      <w:bookmarkEnd w:id="52"/>
      <w:r>
        <w:rPr>
          <w:rFonts w:hint="eastAsia" w:ascii="方正仿宋_GBK" w:hAnsi="方正仿宋_GBK" w:eastAsia="方正仿宋_GBK" w:cs="方正仿宋_GBK"/>
          <w:bCs/>
          <w:sz w:val="28"/>
          <w:szCs w:val="28"/>
        </w:rPr>
        <w:t xml:space="preserve">.招标方式</w:t>
      </w:r>
      <w:bookmarkEnd w:id="53"/>
      <w:r/>
      <w:bookmarkEnd w:id="54"/>
      <w:r/>
      <w:bookmarkEnd w:id="55"/>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56" w:name="_Toc513029205"/>
      <w:r/>
      <w:bookmarkStart w:id="57" w:name="_Toc16938521"/>
      <w:r/>
      <w:bookmarkStart w:id="58" w:name="_Toc20823277"/>
      <w:r>
        <w:rPr>
          <w:rFonts w:hint="eastAsia" w:ascii="方正仿宋_GBK" w:hAnsi="方正仿宋_GBK" w:eastAsia="方正仿宋_GBK" w:cs="方正仿宋_GBK"/>
          <w:bCs/>
          <w:sz w:val="28"/>
          <w:szCs w:val="28"/>
        </w:rPr>
        <w:t xml:space="preserve">2.合格的投标人</w:t>
      </w:r>
      <w:bookmarkEnd w:id="56"/>
      <w:r/>
      <w:bookmarkEnd w:id="57"/>
      <w:r/>
      <w:bookmarkEnd w:id="58"/>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16938522"/>
      <w:r/>
      <w:bookmarkStart w:id="60" w:name="_Toc513029206"/>
      <w:r/>
      <w:bookmarkStart w:id="61" w:name="_Toc20823278"/>
      <w:r>
        <w:rPr>
          <w:rFonts w:hint="eastAsia" w:ascii="方正仿宋_GBK" w:hAnsi="方正仿宋_GBK" w:eastAsia="方正仿宋_GBK" w:cs="方正仿宋_GBK"/>
          <w:bCs/>
          <w:sz w:val="28"/>
          <w:szCs w:val="28"/>
        </w:rPr>
        <w:t xml:space="preserve">3.适用法律</w:t>
      </w:r>
      <w:bookmarkEnd w:id="59"/>
      <w:r/>
      <w:bookmarkEnd w:id="60"/>
      <w:r/>
      <w:bookmarkEnd w:id="61"/>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20823279"/>
      <w:r/>
      <w:bookmarkStart w:id="63" w:name="_Toc16938523"/>
      <w:r/>
      <w:bookmarkStart w:id="64" w:name="_Toc513029207"/>
      <w:r/>
      <w:bookmarkStart w:id="65" w:name="_Toc462564067"/>
      <w:r>
        <w:rPr>
          <w:rFonts w:hint="eastAsia" w:ascii="方正仿宋_GBK" w:hAnsi="方正仿宋_GBK" w:eastAsia="方正仿宋_GBK" w:cs="方正仿宋_GBK"/>
          <w:bCs/>
          <w:sz w:val="28"/>
          <w:szCs w:val="28"/>
        </w:rPr>
        <w:t xml:space="preserve">4.投标费用</w:t>
      </w:r>
      <w:bookmarkEnd w:id="62"/>
      <w:r/>
      <w:bookmarkEnd w:id="63"/>
      <w:r/>
      <w:bookmarkEnd w:id="64"/>
      <w:r/>
      <w:bookmarkEnd w:id="65"/>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66" w:name="_Toc513029209"/>
      <w:r/>
      <w:bookmarkStart w:id="67" w:name="_Toc16938525"/>
      <w:r/>
      <w:bookmarkStart w:id="68" w:name="_Toc120614215"/>
      <w:r/>
      <w:bookmarkStart w:id="69" w:name="_Toc20823281"/>
      <w:r>
        <w:rPr>
          <w:rFonts w:hint="eastAsia" w:ascii="方正黑体_GBK" w:hAnsi="方正黑体_GBK" w:eastAsia="方正黑体_GBK" w:cs="方正黑体_GBK"/>
          <w:color w:val="000000"/>
          <w:sz w:val="28"/>
          <w:szCs w:val="28"/>
        </w:rPr>
        <w:t xml:space="preserve">二、招标文件</w:t>
      </w:r>
      <w:bookmarkEnd w:id="66"/>
      <w:r/>
      <w:bookmarkEnd w:id="67"/>
      <w:r/>
      <w:bookmarkEnd w:id="68"/>
      <w:r/>
      <w:bookmarkEnd w:id="69"/>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16938526"/>
      <w:r/>
      <w:bookmarkStart w:id="71" w:name="_Toc513029210"/>
      <w:r/>
      <w:bookmarkStart w:id="72" w:name="_Toc20823282"/>
      <w:r>
        <w:rPr>
          <w:rFonts w:hint="eastAsia" w:ascii="方正仿宋_GBK" w:hAnsi="方正仿宋_GBK" w:eastAsia="方正仿宋_GBK" w:cs="方正仿宋_GBK"/>
          <w:bCs/>
          <w:sz w:val="28"/>
          <w:szCs w:val="28"/>
        </w:rPr>
        <w:t xml:space="preserve">6.招标文件构成</w:t>
      </w:r>
      <w:bookmarkEnd w:id="70"/>
      <w:r/>
      <w:bookmarkEnd w:id="71"/>
      <w:r/>
      <w:bookmarkEnd w:id="72"/>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16938528"/>
      <w:r/>
      <w:bookmarkStart w:id="74" w:name="_Toc20823284"/>
      <w:r/>
      <w:bookmarkStart w:id="75" w:name="_Toc462564071"/>
      <w:r/>
      <w:bookmarkStart w:id="76" w:name="_Toc513029212"/>
      <w:r>
        <w:rPr>
          <w:rFonts w:hint="eastAsia" w:ascii="方正仿宋_GBK" w:hAnsi="方正仿宋_GBK" w:eastAsia="方正仿宋_GBK" w:cs="方正仿宋_GBK"/>
          <w:bCs/>
          <w:sz w:val="28"/>
          <w:szCs w:val="28"/>
        </w:rPr>
        <w:t xml:space="preserve">7.招标文件的修改</w:t>
      </w:r>
      <w:bookmarkEnd w:id="73"/>
      <w:r/>
      <w:bookmarkEnd w:id="74"/>
      <w:r/>
      <w:bookmarkEnd w:id="75"/>
      <w:r/>
      <w:bookmarkEnd w:id="76"/>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77" w:name="_Toc462564072"/>
      <w:r/>
      <w:bookmarkStart w:id="78" w:name="_Toc120614216"/>
      <w:r/>
      <w:bookmarkStart w:id="79" w:name="_Toc513029213"/>
      <w:r/>
      <w:bookmarkStart w:id="80" w:name="_Toc20823285"/>
      <w:r/>
      <w:bookmarkStart w:id="81" w:name="_Toc16938529"/>
      <w:r>
        <w:rPr>
          <w:rFonts w:hint="eastAsia" w:ascii="方正黑体_GBK" w:hAnsi="方正黑体_GBK" w:eastAsia="方正黑体_GBK" w:cs="方正黑体_GBK"/>
          <w:color w:val="000000"/>
          <w:sz w:val="28"/>
          <w:szCs w:val="28"/>
        </w:rPr>
        <w:t xml:space="preserve">三、投标文件的编制</w:t>
      </w:r>
      <w:bookmarkEnd w:id="77"/>
      <w:r/>
      <w:bookmarkEnd w:id="78"/>
      <w:r/>
      <w:bookmarkEnd w:id="79"/>
      <w:r/>
      <w:bookmarkEnd w:id="80"/>
      <w:r/>
      <w:bookmarkEnd w:id="81"/>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82" w:name="_Toc20823286"/>
      <w:r/>
      <w:bookmarkStart w:id="83" w:name="_Toc16938530"/>
      <w:r/>
      <w:bookmarkStart w:id="84" w:name="_Toc462564073"/>
      <w:r/>
      <w:bookmarkStart w:id="85" w:name="_Toc513029214"/>
      <w:r>
        <w:rPr>
          <w:rFonts w:hint="eastAsia" w:ascii="方正仿宋_GBK" w:hAnsi="方正仿宋_GBK" w:eastAsia="方正仿宋_GBK" w:cs="方正仿宋_GBK"/>
          <w:bCs/>
          <w:sz w:val="28"/>
          <w:szCs w:val="28"/>
        </w:rPr>
        <w:t xml:space="preserve">8.投标文件的语言及度量衡单位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86" w:name="_Toc513029215"/>
      <w:r/>
      <w:bookmarkStart w:id="87" w:name="_Toc20823287"/>
      <w:r/>
      <w:bookmarkStart w:id="88" w:name="_Toc16938531"/>
      <w:r/>
      <w:bookmarkStart w:id="89" w:name="_Toc462564074"/>
      <w:r>
        <w:rPr>
          <w:rFonts w:hint="eastAsia" w:ascii="方正仿宋_GBK" w:hAnsi="方正仿宋_GBK" w:eastAsia="方正仿宋_GBK" w:cs="方正仿宋_GBK"/>
          <w:bCs/>
          <w:sz w:val="28"/>
          <w:szCs w:val="28"/>
        </w:rPr>
        <w:t xml:space="preserve">9.投标文件构成</w:t>
      </w:r>
      <w:bookmarkEnd w:id="86"/>
      <w:r/>
      <w:bookmarkEnd w:id="87"/>
      <w:r/>
      <w:bookmarkEnd w:id="88"/>
      <w:r/>
      <w:bookmarkEnd w:id="89"/>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Hlt26670360"/>
      <w:r/>
      <w:bookmarkEnd w:id="90"/>
      <w:r/>
      <w:bookmarkStart w:id="91" w:name="_Hlt26954838"/>
      <w:r/>
      <w:bookmarkEnd w:id="91"/>
      <w:r/>
      <w:bookmarkStart w:id="92" w:name="_Hlt26668975"/>
      <w:r/>
      <w:bookmarkEnd w:id="92"/>
      <w:r/>
      <w:bookmarkStart w:id="93" w:name="_Toc14577357"/>
      <w:r/>
      <w:bookmarkStart w:id="94" w:name="_Toc49090509"/>
      <w:r/>
      <w:bookmarkStart w:id="95" w:name="_Toc513029219"/>
      <w:r/>
      <w:bookmarkStart w:id="96" w:name="_Toc513029216"/>
      <w:r/>
      <w:bookmarkStart w:id="97" w:name="_Toc14577354"/>
      <w:r/>
      <w:bookmarkStart w:id="98" w:name="_Toc49090507"/>
      <w:r/>
      <w:bookmarkStart w:id="99" w:name="_Toc14577355"/>
      <w:r/>
      <w:bookmarkStart w:id="100" w:name="_Toc49090508"/>
      <w:r>
        <w:rPr>
          <w:rFonts w:hint="eastAsia" w:ascii="方正仿宋_GBK" w:hAnsi="方正仿宋_GBK" w:eastAsia="方正仿宋_GBK" w:cs="方正仿宋_GBK"/>
          <w:bCs/>
          <w:sz w:val="28"/>
          <w:szCs w:val="28"/>
        </w:rPr>
        <w:t xml:space="preserve">10.证明投标人及投标标的符合招标文件规定的文件</w:t>
      </w:r>
      <w:bookmarkEnd w:id="93"/>
      <w:r/>
      <w:bookmarkEnd w:id="94"/>
      <w:r/>
      <w:bookmarkEnd w:id="95"/>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11.投标分项报价表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1" w:name="_Hlt26954840"/>
      <w:r/>
      <w:bookmarkEnd w:id="101"/>
      <w:r>
        <w:rPr>
          <w:rFonts w:hint="eastAsia" w:ascii="方正仿宋_GBK" w:hAnsi="方正仿宋_GBK" w:eastAsia="方正仿宋_GBK" w:cs="方正仿宋_GBK"/>
          <w:bCs/>
          <w:sz w:val="28"/>
          <w:szCs w:val="28"/>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3" w:name="_Hlt26670486"/>
      <w:r/>
      <w:bookmarkEnd w:id="103"/>
      <w:r/>
      <w:bookmarkStart w:id="104" w:name="_Hlt26954848"/>
      <w:r/>
      <w:bookmarkEnd w:id="104"/>
      <w:r/>
      <w:bookmarkStart w:id="105" w:name="_Hlt26670482"/>
      <w:r/>
      <w:bookmarkEnd w:id="105"/>
      <w:r/>
      <w:bookmarkStart w:id="106" w:name="_Hlt26954731"/>
      <w:r/>
      <w:bookmarkEnd w:id="106"/>
      <w:r/>
      <w:bookmarkStart w:id="107" w:name="_Hlt26954846"/>
      <w:r/>
      <w:bookmarkEnd w:id="107"/>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8" w:name="_Toc14577359"/>
      <w:r/>
      <w:bookmarkStart w:id="109" w:name="_Toc49090510"/>
      <w:r>
        <w:rPr>
          <w:rFonts w:hint="eastAsia" w:ascii="方正仿宋_GBK" w:hAnsi="方正仿宋_GBK" w:eastAsia="方正仿宋_GBK" w:cs="方正仿宋_GBK"/>
          <w:bCs/>
          <w:sz w:val="28"/>
          <w:szCs w:val="28"/>
        </w:rPr>
        <w:t xml:space="preserve">14.投标函和开标一览表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108"/>
      <w:r/>
      <w:bookmarkEnd w:id="109"/>
      <w:r/>
      <w:bookmarkStart w:id="110" w:name="_Toc14577360"/>
      <w:r/>
      <w:bookmarkStart w:id="111" w:name="_Toc49090511"/>
      <w:r>
        <w:rPr>
          <w:rFonts w:hint="eastAsia" w:ascii="方正仿宋_GBK" w:hAnsi="方正仿宋_GBK" w:eastAsia="方正仿宋_GBK" w:cs="方正仿宋_GBK"/>
          <w:bCs/>
          <w:sz w:val="28"/>
          <w:szCs w:val="28"/>
        </w:rPr>
        <w:t xml:space="preserve">15.投标有效期</w:t>
      </w:r>
      <w:bookmarkEnd w:id="110"/>
      <w:r/>
      <w:bookmarkEnd w:id="111"/>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112" w:name="_Hlt26954739"/>
      <w:r/>
      <w:bookmarkEnd w:id="112"/>
      <w:r/>
      <w:bookmarkStart w:id="113" w:name="_Hlt26954852"/>
      <w:r/>
      <w:bookmarkEnd w:id="113"/>
      <w:r/>
      <w:bookmarkStart w:id="114" w:name="_Toc20823296"/>
      <w:r/>
      <w:bookmarkStart w:id="115" w:name="_Toc120614217"/>
      <w:r/>
      <w:bookmarkStart w:id="116" w:name="_Toc16938540"/>
      <w:r/>
      <w:bookmarkStart w:id="117" w:name="_Toc513029224"/>
      <w:r>
        <w:rPr>
          <w:rFonts w:hint="eastAsia" w:ascii="方正黑体_GBK" w:hAnsi="方正黑体_GBK" w:eastAsia="方正黑体_GBK" w:cs="方正黑体_GBK"/>
          <w:color w:val="000000"/>
          <w:sz w:val="28"/>
          <w:szCs w:val="28"/>
        </w:rPr>
        <w:t xml:space="preserve">四、投标文件的递交</w:t>
      </w:r>
      <w:bookmarkEnd w:id="114"/>
      <w:r/>
      <w:bookmarkEnd w:id="115"/>
      <w:r/>
      <w:bookmarkEnd w:id="116"/>
      <w:r/>
      <w:bookmarkEnd w:id="117"/>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16938541"/>
      <w:r/>
      <w:bookmarkStart w:id="120" w:name="_Toc20823297"/>
      <w:r/>
      <w:bookmarkStart w:id="121" w:name="_Toc513029225"/>
      <w:r>
        <w:rPr>
          <w:rFonts w:hint="eastAsia" w:ascii="方正仿宋_GBK" w:hAnsi="方正仿宋_GBK" w:eastAsia="方正仿宋_GBK" w:cs="方正仿宋_GBK"/>
          <w:bCs/>
          <w:sz w:val="28"/>
          <w:szCs w:val="28"/>
        </w:rPr>
        <w:t xml:space="preserve">17.电子投标文件</w:t>
      </w:r>
      <w:bookmarkEnd w:id="118"/>
      <w:r/>
      <w:bookmarkEnd w:id="119"/>
      <w:r/>
      <w:bookmarkEnd w:id="120"/>
      <w:r/>
      <w:bookmarkEnd w:id="121"/>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2" w:name="_Toc16938542"/>
      <w:r/>
      <w:bookmarkStart w:id="123" w:name="_Toc20823298"/>
      <w:r/>
      <w:bookmarkStart w:id="124" w:name="_Toc513029226"/>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22"/>
      <w:r/>
      <w:bookmarkEnd w:id="123"/>
      <w:r/>
      <w:bookmarkEnd w:id="124"/>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513029227"/>
      <w:r/>
      <w:bookmarkStart w:id="126" w:name="_Toc20823299"/>
      <w:r/>
      <w:bookmarkStart w:id="127" w:name="_Toc16938543"/>
      <w:r>
        <w:rPr>
          <w:rFonts w:hint="eastAsia" w:ascii="方正仿宋_GBK" w:hAnsi="方正仿宋_GBK" w:eastAsia="方正仿宋_GBK" w:cs="方正仿宋_GBK"/>
          <w:bCs/>
          <w:sz w:val="28"/>
          <w:szCs w:val="28"/>
        </w:rPr>
        <w:t xml:space="preserve">19.投标文件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513029228"/>
      <w:r/>
      <w:bookmarkStart w:id="129" w:name="_Toc20823300"/>
      <w:r/>
      <w:bookmarkStart w:id="130" w:name="_Toc16938544"/>
      <w:r>
        <w:rPr>
          <w:rFonts w:hint="eastAsia" w:ascii="方正仿宋_GBK" w:hAnsi="方正仿宋_GBK" w:eastAsia="方正仿宋_GBK" w:cs="方正仿宋_GBK"/>
          <w:bCs/>
          <w:sz w:val="28"/>
          <w:szCs w:val="28"/>
        </w:rPr>
        <w:t xml:space="preserve">20.投标文件的撤回和修改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131" w:name="_Toc513029229"/>
      <w:r/>
      <w:bookmarkStart w:id="132" w:name="_Toc120614218"/>
      <w:r/>
      <w:bookmarkStart w:id="133" w:name="_Toc20823301"/>
      <w:r/>
      <w:bookmarkStart w:id="134" w:name="_Toc16938545"/>
      <w:r>
        <w:rPr>
          <w:rFonts w:hint="eastAsia" w:ascii="方正黑体_GBK" w:hAnsi="方正黑体_GBK" w:eastAsia="方正黑体_GBK" w:cs="方正黑体_GBK"/>
          <w:color w:val="000000"/>
          <w:sz w:val="28"/>
          <w:szCs w:val="28"/>
        </w:rPr>
        <w:t xml:space="preserve">五、开标与评标</w:t>
      </w:r>
      <w:bookmarkEnd w:id="131"/>
      <w:r/>
      <w:bookmarkEnd w:id="132"/>
      <w:r/>
      <w:bookmarkEnd w:id="133"/>
      <w:r/>
      <w:bookmarkEnd w:id="134"/>
      <w:r>
        <w:rPr>
          <w:rFonts w:hint="eastAsia" w:ascii="方正黑体_GBK" w:hAnsi="方正黑体_GBK" w:eastAsia="方正黑体_GBK" w:cs="方正黑体_GBK"/>
          <w:color w:val="000000"/>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5" w:name="_Toc16938546"/>
      <w:r/>
      <w:bookmarkStart w:id="136" w:name="_Toc20823302"/>
      <w:r/>
      <w:bookmarkStart w:id="137" w:name="_Toc513029230"/>
      <w:r>
        <w:rPr>
          <w:rFonts w:hint="eastAsia" w:ascii="方正仿宋_GBK" w:hAnsi="方正仿宋_GBK" w:eastAsia="方正仿宋_GBK" w:cs="方正仿宋_GBK"/>
          <w:bCs/>
          <w:sz w:val="28"/>
          <w:szCs w:val="28"/>
        </w:rPr>
        <w:t xml:space="preserve">21.开标</w:t>
      </w:r>
      <w:bookmarkEnd w:id="135"/>
      <w:r/>
      <w:bookmarkEnd w:id="136"/>
      <w:r/>
      <w:bookmarkEnd w:id="137"/>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16938547"/>
      <w:r/>
      <w:bookmarkStart w:id="139" w:name="_Toc20823303"/>
      <w:r/>
      <w:bookmarkStart w:id="140" w:name="_Toc513029231"/>
      <w:r>
        <w:rPr>
          <w:rFonts w:hint="eastAsia" w:ascii="方正仿宋_GBK" w:hAnsi="方正仿宋_GBK" w:eastAsia="方正仿宋_GBK" w:cs="方正仿宋_GBK"/>
          <w:bCs/>
          <w:sz w:val="28"/>
          <w:szCs w:val="28"/>
        </w:rPr>
        <w:t xml:space="preserve">22.评标委员会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1" w:name="_Toc16938548"/>
      <w:r/>
      <w:bookmarkStart w:id="142" w:name="_Toc513029232"/>
      <w:r/>
      <w:bookmarkStart w:id="143" w:name="_Toc20823304"/>
      <w:r>
        <w:rPr>
          <w:rFonts w:hint="eastAsia" w:ascii="方正仿宋_GBK" w:hAnsi="方正仿宋_GBK" w:eastAsia="方正仿宋_GBK" w:cs="方正仿宋_GBK"/>
          <w:bCs/>
          <w:sz w:val="28"/>
          <w:szCs w:val="28"/>
        </w:rPr>
        <w:t xml:space="preserve">24.投标文件的澄清</w:t>
      </w:r>
      <w:bookmarkEnd w:id="141"/>
      <w:r/>
      <w:bookmarkEnd w:id="142"/>
      <w:r/>
      <w:bookmarkEnd w:id="143"/>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4" w:name="_Toc513029233"/>
      <w:r/>
      <w:bookmarkStart w:id="145" w:name="_Toc20823305"/>
      <w:r/>
      <w:bookmarkStart w:id="146" w:name="_Toc16938549"/>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44"/>
      <w:r/>
      <w:bookmarkEnd w:id="145"/>
      <w:r/>
      <w:bookmarkEnd w:id="146"/>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7" w:name="_Toc20823306"/>
      <w:r/>
      <w:bookmarkStart w:id="148" w:name="_Toc513029234"/>
      <w:r/>
      <w:bookmarkStart w:id="149" w:name="_Toc16938550"/>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（3）投标报价低于采购项目最高限价45%的，即投标报价&lt;采购项目最高限价×45%；</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rPr>
      </w:r>
      <w:r/>
    </w:p>
    <w:p>
      <w:pPr>
        <w:pStyle w:val="73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rPr>
      </w:r>
      <w:r/>
    </w:p>
    <w:p>
      <w:pPr>
        <w:pStyle w:val="734"/>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7"/>
      <w:r/>
      <w:bookmarkEnd w:id="148"/>
      <w:r/>
      <w:bookmarkEnd w:id="149"/>
      <w:r>
        <w:rPr>
          <w:rFonts w:hint="eastAsia" w:ascii="方正仿宋_GBK" w:hAnsi="方正仿宋_GBK" w:eastAsia="方正仿宋_GBK" w:cs="方正仿宋_GBK"/>
          <w:sz w:val="28"/>
          <w:szCs w:val="28"/>
        </w:rPr>
        <w:t xml:space="preserve">6.无效投标条款和废标条款</w:t>
      </w:r>
      <w:bookmarkStart w:id="150" w:name="_Toc20823307"/>
      <w:r/>
      <w:bookmarkStart w:id="151" w:name="_Toc16938551"/>
      <w:r/>
      <w:bookmarkStart w:id="152" w:name="_Toc513029235"/>
      <w:r>
        <w:rPr>
          <w:rFonts w:hint="eastAsia" w:ascii="方正仿宋_GBK" w:hAnsi="方正仿宋_GBK" w:eastAsia="方正仿宋_GBK" w:cs="方正仿宋_GBK"/>
          <w:sz w:val="28"/>
          <w:szCs w:val="28"/>
        </w:rPr>
      </w:r>
      <w:r/>
    </w:p>
    <w:p>
      <w:pPr>
        <w:pStyle w:val="734"/>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color w:val="000000"/>
          <w:sz w:val="28"/>
          <w:szCs w:val="28"/>
          <w:u w:val="single"/>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.1.14其他法律、法规及本招标文件规定的属无效投标的情形。</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 </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153" w:name="_Toc120614219"/>
      <w:r>
        <w:rPr>
          <w:rFonts w:hint="eastAsia" w:ascii="方正黑体_GBK" w:hAnsi="方正黑体_GBK" w:eastAsia="方正黑体_GBK" w:cs="方正黑体_GBK"/>
          <w:color w:val="000000"/>
          <w:sz w:val="28"/>
          <w:szCs w:val="28"/>
        </w:rPr>
        <w:t xml:space="preserve">六、</w:t>
      </w:r>
      <w:bookmarkEnd w:id="150"/>
      <w:r/>
      <w:bookmarkEnd w:id="151"/>
      <w:r/>
      <w:bookmarkEnd w:id="152"/>
      <w:r>
        <w:rPr>
          <w:rFonts w:hint="eastAsia" w:ascii="方正黑体_GBK" w:hAnsi="方正黑体_GBK" w:eastAsia="方正黑体_GBK" w:cs="方正黑体_GBK"/>
          <w:color w:val="000000"/>
          <w:sz w:val="28"/>
          <w:szCs w:val="28"/>
        </w:rPr>
        <w:t xml:space="preserve">定标</w:t>
      </w:r>
      <w:bookmarkEnd w:id="153"/>
      <w:r>
        <w:rPr>
          <w:rFonts w:hint="eastAsia" w:ascii="方正黑体_GBK" w:hAnsi="方正黑体_GBK" w:eastAsia="方正黑体_GBK" w:cs="方正黑体_GBK"/>
          <w:color w:val="000000"/>
          <w:sz w:val="28"/>
          <w:szCs w:val="28"/>
        </w:rPr>
      </w:r>
      <w:r/>
    </w:p>
    <w:p>
      <w:pPr>
        <w:pStyle w:val="734"/>
        <w:ind w:firstLine="560"/>
        <w:keepLines/>
        <w:keepNext/>
        <w:spacing w:line="400" w:lineRule="exact"/>
        <w:rPr>
          <w:rFonts w:hint="eastAsia" w:ascii="方正仿宋_GBK" w:hAnsi="方正仿宋_GBK" w:eastAsia="方正仿宋_GBK" w:cs="方正仿宋_GBK"/>
          <w:bCs/>
          <w:color w:val="000000"/>
          <w:sz w:val="28"/>
          <w:szCs w:val="28"/>
        </w:rPr>
        <w:outlineLvl w:val="3"/>
      </w:pPr>
      <w:r/>
      <w:bookmarkStart w:id="154" w:name="_Toc513029238"/>
      <w:r/>
      <w:bookmarkStart w:id="155" w:name="_Toc16938554"/>
      <w:r/>
      <w:bookmarkStart w:id="156" w:name="_Toc20823310"/>
      <w:r>
        <w:rPr>
          <w:rFonts w:hint="eastAsia" w:ascii="方正仿宋_GBK" w:hAnsi="方正仿宋_GBK" w:eastAsia="方正仿宋_GBK" w:cs="方正仿宋_GBK"/>
          <w:bCs/>
          <w:color w:val="000000"/>
          <w:sz w:val="28"/>
          <w:szCs w:val="28"/>
        </w:rPr>
        <w:t xml:space="preserve">27</w:t>
      </w:r>
      <w:bookmarkEnd w:id="154"/>
      <w:r>
        <w:rPr>
          <w:rFonts w:hint="eastAsia" w:ascii="方正仿宋_GBK" w:hAnsi="方正仿宋_GBK" w:eastAsia="方正仿宋_GBK" w:cs="方正仿宋_GBK"/>
          <w:bCs/>
          <w:color w:val="000000"/>
          <w:sz w:val="28"/>
          <w:szCs w:val="28"/>
        </w:rPr>
        <w:t xml:space="preserve">.确定</w:t>
      </w:r>
      <w:bookmarkEnd w:id="155"/>
      <w:r/>
      <w:bookmarkEnd w:id="156"/>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采购人应根据评标委员会推荐的中标候选人确定中标供应商。</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27.4.3属于本文件规定的无效条件，但在评标过程中又未被评标委员会发现的。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bookmarkStart w:id="157"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28.质疑处理</w:t>
      </w:r>
      <w:bookmarkEnd w:id="157"/>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29.中标通知书</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734"/>
        <w:jc w:val="left"/>
        <w:keepNext/>
        <w:spacing w:line="400" w:lineRule="exact"/>
        <w:rPr>
          <w:rFonts w:hint="eastAsia" w:ascii="方正黑体_GBK" w:hAnsi="方正黑体_GBK" w:eastAsia="方正黑体_GBK" w:cs="方正黑体_GBK"/>
          <w:color w:val="000000"/>
          <w:sz w:val="28"/>
          <w:szCs w:val="28"/>
        </w:rPr>
        <w:outlineLvl w:val="0"/>
      </w:pPr>
      <w:r/>
      <w:bookmarkStart w:id="158" w:name="_Toc120614220"/>
      <w:r/>
      <w:bookmarkStart w:id="159" w:name="_Toc20823308"/>
      <w:r/>
      <w:bookmarkStart w:id="160" w:name="_Toc16938552"/>
      <w:r/>
      <w:bookmarkStart w:id="161" w:name="_Toc513029236"/>
      <w:r>
        <w:rPr>
          <w:rFonts w:hint="eastAsia" w:ascii="方正黑体_GBK" w:hAnsi="方正黑体_GBK" w:eastAsia="方正黑体_GBK" w:cs="方正黑体_GBK"/>
          <w:color w:val="000000"/>
          <w:sz w:val="28"/>
          <w:szCs w:val="28"/>
        </w:rPr>
        <w:t xml:space="preserve">七、授予合同</w:t>
      </w:r>
      <w:bookmarkEnd w:id="158"/>
      <w:r>
        <w:rPr>
          <w:rFonts w:hint="eastAsia" w:ascii="方正黑体_GBK" w:hAnsi="方正黑体_GBK" w:eastAsia="方正黑体_GBK" w:cs="方正黑体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bookmarkEnd w:id="159"/>
      <w:r/>
      <w:bookmarkEnd w:id="160"/>
      <w:r/>
      <w:bookmarkEnd w:id="161"/>
      <w:r/>
      <w:bookmarkStart w:id="162" w:name="_Toc513029237"/>
      <w:r/>
      <w:bookmarkStart w:id="163" w:name="_Toc20823309"/>
      <w:r/>
      <w:bookmarkStart w:id="164" w:name="_Toc16938553"/>
      <w:r>
        <w:rPr>
          <w:rFonts w:hint="eastAsia" w:ascii="方正仿宋_GBK" w:hAnsi="方正仿宋_GBK" w:eastAsia="方正仿宋_GBK" w:cs="方正仿宋_GBK"/>
          <w:color w:val="000000"/>
          <w:sz w:val="28"/>
          <w:szCs w:val="28"/>
        </w:rPr>
        <w:t xml:space="preserve">30.签订合同</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31.货物（包含与货物相关的服务）的追加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bookmarkEnd w:id="162"/>
      <w:r/>
      <w:bookmarkEnd w:id="163"/>
      <w:r/>
      <w:bookmarkEnd w:id="164"/>
      <w:r/>
      <w:bookmarkStart w:id="165" w:name="_Toc20823314"/>
      <w:r/>
      <w:bookmarkStart w:id="166" w:name="_Toc120614221"/>
      <w:r/>
      <w:bookmarkStart w:id="167" w:name="_Toc513029242"/>
      <w:r/>
      <w:bookmarkStart w:id="168" w:name="_Toc16938558"/>
      <w:r/>
      <w:bookmarkStart w:id="169" w:name="_Toc479757207"/>
      <w:r>
        <w:rPr>
          <w:rFonts w:hint="eastAsia" w:ascii="方正仿宋_GBK" w:hAnsi="方正仿宋_GBK" w:eastAsia="方正仿宋_GBK" w:cs="方正仿宋_GBK"/>
          <w:color w:val="000000"/>
          <w:sz w:val="28"/>
          <w:szCs w:val="28"/>
        </w:rPr>
        <w:t xml:space="preserve">32.政府采购履约资金扶持政策</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734"/>
        <w:ind w:firstLine="420"/>
        <w:spacing w:line="400" w:lineRule="exact"/>
        <w:rPr>
          <w:rFonts w:hint="eastAsia"/>
          <w:color w:val="000000"/>
          <w:szCs w:val="21"/>
        </w:rPr>
      </w:pPr>
      <w:r>
        <w:rPr>
          <w:rFonts w:hint="eastAsia"/>
          <w:color w:val="000000"/>
          <w:szCs w:val="21"/>
        </w:rPr>
      </w:r>
      <w:r/>
    </w:p>
    <w:p>
      <w:pPr>
        <w:pStyle w:val="73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34"/>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34"/>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734"/>
        <w:keepNext/>
        <w:spacing w:line="66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br w:type="page" w:clear="all"/>
      </w:r>
      <w:r>
        <w:rPr>
          <w:rFonts w:hint="eastAsia" w:ascii="方正黑体_GBK" w:hAnsi="方正黑体_GBK" w:eastAsia="方正黑体_GBK" w:cs="方正黑体_GBK"/>
          <w:bCs/>
          <w:color w:val="000000"/>
          <w:sz w:val="28"/>
          <w:szCs w:val="28"/>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734"/>
        <w:spacing w:line="400" w:lineRule="exact"/>
        <w:rPr>
          <w:rFonts w:ascii="宋体" w:hAnsi="宋体"/>
          <w:bCs/>
          <w:color w:val="ff0000"/>
          <w:sz w:val="28"/>
          <w:szCs w:val="28"/>
          <w:highlight w:val="yellow"/>
        </w:rPr>
      </w:pPr>
      <w:r/>
      <w:bookmarkStart w:id="170" w:name="_Toc3995"/>
      <w:r/>
      <w:bookmarkStart w:id="171" w:name="_Toc513029243"/>
      <w:r/>
      <w:bookmarkStart w:id="172" w:name="_Toc16938559"/>
      <w:r/>
      <w:bookmarkStart w:id="173" w:name="_Toc20823315"/>
      <w:r/>
      <w:bookmarkStart w:id="174" w:name="_Hlt16619350"/>
      <w:r/>
      <w:bookmarkStart w:id="175" w:name="_Toc20823346"/>
      <w:r/>
      <w:bookmarkStart w:id="176" w:name="_Toc16938590"/>
      <w:r/>
      <w:bookmarkStart w:id="177" w:name="_Toc120614244"/>
      <w:r/>
      <w:bookmarkStart w:id="178" w:name="_Toc462564139"/>
      <w:r/>
      <w:bookmarkStart w:id="179" w:name="_Toc479757211"/>
      <w:r>
        <w:rPr>
          <w:rFonts w:ascii="宋体" w:hAnsi="宋体"/>
          <w:bCs/>
          <w:color w:val="ff0000"/>
          <w:sz w:val="28"/>
          <w:szCs w:val="28"/>
          <w:highlight w:val="yellow"/>
        </w:rPr>
      </w:r>
      <w:r/>
    </w:p>
    <w:p>
      <w:pPr>
        <w:pStyle w:val="734"/>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765"/>
        <w:jc w:val="center"/>
        <w:rPr>
          <w:rFonts w:ascii="宋体" w:hAnsi="宋体" w:eastAsia="宋体" w:cs="宋体"/>
          <w:b/>
          <w:bCs/>
          <w:spacing w:val="-20"/>
        </w:rPr>
      </w:pPr>
      <w:r/>
      <w:bookmarkEnd w:id="170"/>
      <w:r/>
      <w:bookmarkEnd w:id="171"/>
      <w:r/>
      <w:bookmarkEnd w:id="172"/>
      <w:r/>
      <w:bookmarkEnd w:id="173"/>
      <w:r>
        <w:rPr>
          <w:rFonts w:ascii="宋体" w:hAnsi="宋体" w:eastAsia="宋体" w:cs="宋体"/>
          <w:b/>
          <w:bCs/>
          <w:spacing w:val="-20"/>
        </w:rPr>
      </w:r>
      <w:r/>
    </w:p>
    <w:p>
      <w:pPr>
        <w:pStyle w:val="765"/>
        <w:jc w:val="center"/>
        <w:rPr>
          <w:rFonts w:ascii="宋体" w:hAnsi="宋体" w:eastAsia="宋体" w:cs="宋体"/>
          <w:spacing w:val="-20"/>
        </w:rPr>
      </w:pPr>
      <w:r>
        <w:rPr>
          <w:rFonts w:ascii="宋体" w:hAnsi="宋体" w:eastAsia="宋体" w:cs="宋体"/>
          <w:spacing w:val="-20"/>
        </w:rPr>
      </w:r>
      <w:r/>
    </w:p>
    <w:p>
      <w:pPr>
        <w:pStyle w:val="765"/>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rPr>
          <w:rFonts w:hint="eastAsia" w:ascii="方正黑体_GBK" w:hAnsi="方正黑体_GBK" w:eastAsia="方正黑体_GBK" w:cs="方正黑体_GBK"/>
          <w:spacing w:val="-20"/>
        </w:rPr>
      </w:r>
      <w:r/>
    </w:p>
    <w:p>
      <w:pPr>
        <w:pStyle w:val="765"/>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rPr>
          <w:rFonts w:hint="eastAsia" w:ascii="方正黑体_GBK" w:hAnsi="方正黑体_GBK" w:eastAsia="方正黑体_GBK" w:cs="方正黑体_GBK"/>
          <w:spacing w:val="-20"/>
        </w:rPr>
      </w:r>
      <w:r/>
    </w:p>
    <w:p>
      <w:pPr>
        <w:pStyle w:val="734"/>
        <w:spacing w:line="660" w:lineRule="exact"/>
        <w:rPr>
          <w:rFonts w:ascii="宋体" w:hAnsi="宋体" w:cs="宋体"/>
          <w:b/>
          <w:bCs/>
          <w:spacing w:val="-20"/>
          <w:sz w:val="28"/>
          <w:szCs w:val="28"/>
        </w:rPr>
      </w:pPr>
      <w:r>
        <w:rPr>
          <w:rFonts w:ascii="宋体" w:hAnsi="宋体" w:cs="宋体"/>
          <w:b/>
          <w:bCs/>
          <w:spacing w:val="-20"/>
          <w:sz w:val="28"/>
          <w:szCs w:val="28"/>
        </w:rPr>
      </w:r>
      <w:r/>
    </w:p>
    <w:p>
      <w:pPr>
        <w:pStyle w:val="734"/>
        <w:spacing w:line="660" w:lineRule="exact"/>
        <w:rPr>
          <w:rFonts w:ascii="宋体" w:hAnsi="宋体" w:cs="宋体"/>
          <w:b/>
          <w:bCs/>
          <w:spacing w:val="-20"/>
          <w:sz w:val="28"/>
          <w:szCs w:val="28"/>
        </w:rPr>
      </w:pPr>
      <w:r>
        <w:rPr>
          <w:rFonts w:ascii="宋体" w:hAnsi="宋体" w:cs="宋体"/>
          <w:b/>
          <w:bCs/>
          <w:spacing w:val="-20"/>
          <w:sz w:val="28"/>
          <w:szCs w:val="28"/>
        </w:rPr>
      </w:r>
      <w:r/>
    </w:p>
    <w:p>
      <w:pPr>
        <w:pStyle w:val="734"/>
        <w:spacing w:line="660" w:lineRule="exact"/>
        <w:rPr>
          <w:rFonts w:ascii="宋体" w:hAnsi="宋体" w:cs="宋体"/>
          <w:b/>
          <w:bCs/>
          <w:spacing w:val="-20"/>
          <w:sz w:val="28"/>
          <w:szCs w:val="28"/>
        </w:rPr>
      </w:pPr>
      <w:r>
        <w:rPr>
          <w:rFonts w:ascii="宋体" w:hAnsi="宋体" w:cs="宋体"/>
          <w:b/>
          <w:bCs/>
          <w:spacing w:val="-20"/>
          <w:sz w:val="28"/>
          <w:szCs w:val="28"/>
        </w:rPr>
      </w:r>
      <w:r/>
    </w:p>
    <w:p>
      <w:pPr>
        <w:pStyle w:val="734"/>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4"/>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4"/>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4"/>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4"/>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4"/>
        <w:rPr>
          <w:sz w:val="28"/>
          <w:szCs w:val="28"/>
        </w:rPr>
      </w:pPr>
      <w:r>
        <w:rPr>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rPr>
          <w:rFonts w:eastAsia="黑体"/>
          <w:sz w:val="28"/>
          <w:szCs w:val="28"/>
        </w:rPr>
      </w:pPr>
      <w:r>
        <w:rPr>
          <w:rFonts w:eastAsia="黑体"/>
          <w:sz w:val="28"/>
          <w:szCs w:val="28"/>
        </w:rPr>
      </w:r>
      <w:r/>
    </w:p>
    <w:p>
      <w:pPr>
        <w:pStyle w:val="73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734"/>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734"/>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73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67"/>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rPr>
          <w:rFonts w:hint="eastAsia" w:ascii="方正仿宋_GBK" w:hAnsi="方正仿宋_GBK" w:eastAsia="方正仿宋_GBK" w:cs="方正仿宋_GBK"/>
          <w:b/>
          <w:sz w:val="28"/>
          <w:szCs w:val="28"/>
        </w:rPr>
      </w:r>
      <w:r/>
    </w:p>
    <w:p>
      <w:pPr>
        <w:pStyle w:val="767"/>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67"/>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67"/>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47"/>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4"/>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7"/>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847"/>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734"/>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734"/>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734"/>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rPr>
          <w:rFonts w:hint="eastAsia" w:ascii="方正仿宋_GBK" w:hAnsi="方正仿宋_GBK" w:eastAsia="方正仿宋_GBK" w:cs="方正仿宋_GBK"/>
          <w:b/>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815"/>
        <w:spacing w:line="400" w:lineRule="exact"/>
        <w:rPr>
          <w:sz w:val="28"/>
          <w:szCs w:val="28"/>
          <w:lang w:eastAsia="zh-CN"/>
        </w:rPr>
      </w:pPr>
      <w:r>
        <w:rPr>
          <w:sz w:val="28"/>
          <w:szCs w:val="28"/>
          <w:lang w:eastAsia="zh-CN"/>
        </w:rPr>
      </w:r>
      <w:r/>
    </w:p>
    <w:tbl>
      <w:tblPr>
        <w:tblW w:w="4927" w:type="pct"/>
        <w:tblInd w:w="-22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4"/>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34"/>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767"/>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736"/>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847"/>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847"/>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847"/>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84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736"/>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131"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47"/>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二</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734"/>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甲方所在地</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65"/>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36"/>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w:t>
      </w:r>
      <w:bookmarkEnd w:id="174"/>
      <w:r>
        <w:rPr>
          <w:rFonts w:hint="eastAsia" w:ascii="黑体" w:hAnsi="黑体" w:eastAsia="黑体"/>
          <w:b w:val="0"/>
          <w:bCs w:val="0"/>
          <w:sz w:val="28"/>
          <w:szCs w:val="28"/>
        </w:rPr>
        <w:t xml:space="preserve">四章 采购需求</w:t>
      </w:r>
      <w:bookmarkEnd w:id="175"/>
      <w:r/>
      <w:bookmarkEnd w:id="176"/>
      <w:r/>
      <w:bookmarkEnd w:id="177"/>
      <w:r>
        <w:rPr>
          <w:rFonts w:hint="eastAsia" w:ascii="黑体" w:hAnsi="黑体" w:eastAsia="黑体"/>
          <w:b w:val="0"/>
          <w:bCs w:val="0"/>
          <w:sz w:val="28"/>
          <w:szCs w:val="28"/>
        </w:rPr>
      </w:r>
      <w:r/>
    </w:p>
    <w:p>
      <w:pPr>
        <w:pStyle w:val="736"/>
        <w:jc w:val="left"/>
        <w:spacing w:line="400" w:lineRule="exact"/>
        <w:rPr>
          <w:rFonts w:hint="eastAsia" w:ascii="黑体" w:hAnsi="黑体" w:eastAsia="黑体"/>
          <w:b w:val="0"/>
          <w:bCs w:val="0"/>
          <w:sz w:val="28"/>
          <w:szCs w:val="28"/>
        </w:rPr>
      </w:pPr>
      <w:r/>
      <w:bookmarkStart w:id="180" w:name="_Toc26554093"/>
      <w:r/>
      <w:bookmarkStart w:id="181" w:name="_Toc49090575"/>
      <w:r>
        <w:rPr>
          <w:rFonts w:hint="eastAsia" w:ascii="黑体" w:hAnsi="黑体" w:eastAsia="黑体"/>
          <w:b w:val="0"/>
          <w:bCs w:val="0"/>
          <w:sz w:val="28"/>
          <w:szCs w:val="28"/>
        </w:rPr>
        <w:t xml:space="preserve">一、采购标的清单</w:t>
      </w:r>
      <w:r>
        <w:rPr>
          <w:rFonts w:hint="eastAsia" w:ascii="黑体" w:hAnsi="黑体" w:eastAsia="黑体"/>
          <w:b w:val="0"/>
          <w:bCs w:val="0"/>
          <w:sz w:val="28"/>
          <w:szCs w:val="28"/>
        </w:rPr>
      </w:r>
      <w:r/>
    </w:p>
    <w:tbl>
      <w:tblPr>
        <w:tblW w:w="93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755"/>
        <w:gridCol w:w="2545"/>
        <w:gridCol w:w="1568"/>
        <w:gridCol w:w="1717"/>
        <w:gridCol w:w="1717"/>
      </w:tblGrid>
      <w:tr>
        <w:trPr>
          <w:cantSplit/>
          <w:trHeight w:val="701"/>
        </w:trPr>
        <w:tc>
          <w:tcPr>
            <w:tcW w:w="1042" w:type="dxa"/>
            <w:vAlign w:val="top"/>
            <w:textDirection w:val="lrTb"/>
            <w:noWrap/>
          </w:tcPr>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ascii="方正仿宋_GBK" w:hAnsi="方正仿宋_GBK" w:eastAsia="方正仿宋_GBK" w:cs="方正仿宋_GBK"/>
                <w:sz w:val="28"/>
                <w:szCs w:val="28"/>
              </w:rPr>
            </w:r>
            <w:r/>
          </w:p>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ascii="方正仿宋_GBK" w:hAnsi="方正仿宋_GBK" w:eastAsia="方正仿宋_GBK" w:cs="方正仿宋_GBK"/>
                <w:sz w:val="28"/>
                <w:szCs w:val="28"/>
              </w:rPr>
            </w:r>
            <w:r/>
          </w:p>
        </w:tc>
        <w:tc>
          <w:tcPr>
            <w:tcW w:w="755" w:type="dxa"/>
            <w:vAlign w:val="center"/>
            <w:textDirection w:val="lrTb"/>
            <w:noWrap/>
          </w:tcPr>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ascii="方正仿宋_GBK" w:hAnsi="方正仿宋_GBK" w:eastAsia="方正仿宋_GBK" w:cs="方正仿宋_GBK"/>
                <w:sz w:val="28"/>
                <w:szCs w:val="28"/>
              </w:rPr>
            </w:r>
            <w:r/>
          </w:p>
        </w:tc>
        <w:tc>
          <w:tcPr>
            <w:tcW w:w="2545" w:type="dxa"/>
            <w:vAlign w:val="center"/>
            <w:textDirection w:val="lrTb"/>
            <w:noWrap/>
          </w:tcPr>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ascii="方正仿宋_GBK" w:hAnsi="方正仿宋_GBK" w:eastAsia="方正仿宋_GBK" w:cs="方正仿宋_GBK"/>
                <w:sz w:val="28"/>
                <w:szCs w:val="28"/>
              </w:rPr>
            </w:r>
            <w:r/>
          </w:p>
        </w:tc>
        <w:tc>
          <w:tcPr>
            <w:tcW w:w="1568" w:type="dxa"/>
            <w:vAlign w:val="center"/>
            <w:textDirection w:val="lrTb"/>
            <w:noWrap/>
          </w:tcPr>
          <w:p>
            <w:pPr>
              <w:pStyle w:val="734"/>
              <w:jc w:val="center"/>
              <w:spacing w:line="400" w:lineRule="exact"/>
              <w:rPr>
                <w:rFonts w:ascii="方正仿宋_GBK" w:hAnsi="方正仿宋_GBK" w:eastAsia="方正仿宋_GBK" w:cs="方正仿宋_GBK"/>
                <w:i/>
                <w:iCs/>
                <w:sz w:val="28"/>
                <w:szCs w:val="28"/>
                <w:u w:val="single"/>
              </w:rPr>
            </w:pPr>
            <w:r>
              <w:rPr>
                <w:rFonts w:hint="eastAsia" w:ascii="方正仿宋_GBK" w:hAnsi="方正仿宋_GBK" w:eastAsia="方正仿宋_GBK" w:cs="方正仿宋_GBK"/>
                <w:i/>
                <w:iCs/>
                <w:sz w:val="28"/>
                <w:szCs w:val="28"/>
                <w:u w:val="single"/>
              </w:rPr>
              <w:t xml:space="preserve">数量</w:t>
            </w:r>
            <w:r>
              <w:rPr>
                <w:rFonts w:ascii="方正仿宋_GBK" w:hAnsi="方正仿宋_GBK" w:eastAsia="方正仿宋_GBK" w:cs="方正仿宋_GBK"/>
                <w:i/>
                <w:iCs/>
                <w:sz w:val="28"/>
                <w:szCs w:val="28"/>
                <w:u w:val="single"/>
              </w:rPr>
            </w:r>
            <w:r/>
          </w:p>
        </w:tc>
        <w:tc>
          <w:tcPr>
            <w:tcW w:w="1717" w:type="dxa"/>
            <w:vAlign w:val="center"/>
            <w:textDirection w:val="lrTb"/>
            <w:noWrap/>
          </w:tcPr>
          <w:p>
            <w:pPr>
              <w:pStyle w:val="734"/>
              <w:jc w:val="center"/>
              <w:spacing w:line="400" w:lineRule="exact"/>
              <w:rPr>
                <w:rFonts w:ascii="方正仿宋_GBK" w:hAnsi="方正仿宋_GBK" w:eastAsia="方正仿宋_GBK" w:cs="方正仿宋_GBK"/>
                <w:i/>
                <w:iCs/>
                <w:sz w:val="28"/>
                <w:szCs w:val="28"/>
                <w:u w:val="single"/>
              </w:rPr>
            </w:pPr>
            <w:r>
              <w:rPr>
                <w:rFonts w:hint="eastAsia" w:ascii="方正仿宋_GBK" w:hAnsi="方正仿宋_GBK" w:eastAsia="方正仿宋_GBK" w:cs="方正仿宋_GBK"/>
                <w:i/>
                <w:iCs/>
                <w:sz w:val="28"/>
                <w:szCs w:val="28"/>
                <w:u w:val="single"/>
              </w:rPr>
              <w:t xml:space="preserve">单台限价（元）</w:t>
            </w:r>
            <w:r>
              <w:rPr>
                <w:rFonts w:ascii="方正仿宋_GBK" w:hAnsi="方正仿宋_GBK" w:eastAsia="方正仿宋_GBK" w:cs="方正仿宋_GBK"/>
                <w:i/>
                <w:iCs/>
                <w:sz w:val="28"/>
                <w:szCs w:val="28"/>
                <w:u w:val="single"/>
              </w:rPr>
            </w:r>
            <w:r/>
          </w:p>
        </w:tc>
        <w:tc>
          <w:tcPr>
            <w:tcW w:w="1717" w:type="dxa"/>
            <w:vAlign w:val="center"/>
            <w:textDirection w:val="lrTb"/>
            <w:noWrap/>
          </w:tcPr>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ascii="方正仿宋_GBK" w:hAnsi="方正仿宋_GBK" w:eastAsia="方正仿宋_GBK" w:cs="方正仿宋_GBK"/>
                <w:sz w:val="28"/>
                <w:szCs w:val="28"/>
              </w:rPr>
            </w:r>
            <w:r/>
          </w:p>
        </w:tc>
      </w:tr>
      <w:tr>
        <w:trPr>
          <w:cantSplit/>
          <w:trHeight w:val="291"/>
        </w:trPr>
        <w:tc>
          <w:tcPr>
            <w:tcW w:w="1042" w:type="dxa"/>
            <w:vAlign w:val="top"/>
            <w:textDirection w:val="lrTb"/>
            <w:noWrap/>
          </w:tcPr>
          <w:p>
            <w:pPr>
              <w:pStyle w:val="734"/>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1</w:t>
            </w:r>
            <w:r>
              <w:rPr>
                <w:rFonts w:ascii="方正仿宋_GBK" w:hAnsi="方正仿宋_GBK" w:eastAsia="方正仿宋_GBK" w:cs="方正仿宋_GBK"/>
                <w:sz w:val="28"/>
                <w:szCs w:val="28"/>
              </w:rPr>
            </w:r>
            <w:r/>
          </w:p>
        </w:tc>
        <w:tc>
          <w:tcPr>
            <w:tcW w:w="755" w:type="dxa"/>
            <w:vAlign w:val="top"/>
            <w:textDirection w:val="lrTb"/>
            <w:noWrap/>
          </w:tcPr>
          <w:p>
            <w:pPr>
              <w:pStyle w:val="734"/>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ascii="方正仿宋_GBK" w:hAnsi="方正仿宋_GBK" w:eastAsia="方正仿宋_GBK" w:cs="方正仿宋_GBK"/>
                <w:sz w:val="28"/>
                <w:szCs w:val="28"/>
              </w:rPr>
            </w:r>
            <w:r/>
          </w:p>
        </w:tc>
        <w:tc>
          <w:tcPr>
            <w:tcW w:w="2545" w:type="dxa"/>
            <w:vAlign w:val="center"/>
            <w:textDirection w:val="lrTb"/>
            <w:noWrap/>
          </w:tcPr>
          <w:p>
            <w:pPr>
              <w:pStyle w:val="734"/>
              <w:jc w:val="center"/>
              <w:spacing w:line="400" w:lineRule="exact"/>
              <w:rPr>
                <w:rFonts w:eastAsia="方正仿宋_GBK"/>
                <w:sz w:val="28"/>
                <w:szCs w:val="28"/>
              </w:rPr>
            </w:pPr>
            <w:r>
              <w:rPr>
                <w:rFonts w:hint="eastAsia" w:ascii="宋体" w:hAnsi="宋体"/>
                <w:b/>
                <w:bCs/>
                <w:sz w:val="24"/>
              </w:rPr>
              <w:t xml:space="preserve">台式计算机</w:t>
            </w:r>
            <w:r>
              <w:rPr>
                <w:rFonts w:eastAsia="方正仿宋_GBK"/>
                <w:sz w:val="28"/>
                <w:szCs w:val="28"/>
              </w:rPr>
            </w:r>
            <w:r/>
          </w:p>
        </w:tc>
        <w:tc>
          <w:tcPr>
            <w:tcW w:w="1568" w:type="dxa"/>
            <w:vAlign w:val="center"/>
            <w:textDirection w:val="lrTb"/>
            <w:noWrap/>
          </w:tcPr>
          <w:p>
            <w:pPr>
              <w:pStyle w:val="734"/>
              <w:jc w:val="center"/>
              <w:spacing w:line="400" w:lineRule="exact"/>
              <w:rPr>
                <w:rFonts w:eastAsia="方正仿宋_GBK"/>
                <w:i/>
                <w:iCs/>
                <w:sz w:val="28"/>
                <w:szCs w:val="28"/>
                <w:u w:val="single"/>
              </w:rPr>
            </w:pPr>
            <w:r>
              <w:rPr>
                <w:rFonts w:hint="eastAsia" w:ascii="宋体" w:hAnsi="宋体"/>
                <w:b/>
                <w:bCs/>
                <w:i/>
                <w:iCs/>
                <w:sz w:val="24"/>
                <w:u w:val="single"/>
              </w:rPr>
              <w:t xml:space="preserve">300台</w:t>
            </w:r>
            <w:r>
              <w:rPr>
                <w:rFonts w:eastAsia="方正仿宋_GBK"/>
                <w:i/>
                <w:iCs/>
                <w:sz w:val="28"/>
                <w:szCs w:val="28"/>
                <w:u w:val="single"/>
              </w:rPr>
            </w:r>
            <w:r/>
          </w:p>
        </w:tc>
        <w:tc>
          <w:tcPr>
            <w:tcW w:w="1717" w:type="dxa"/>
            <w:vAlign w:val="top"/>
            <w:textDirection w:val="lrTb"/>
            <w:noWrap/>
          </w:tcPr>
          <w:p>
            <w:pPr>
              <w:pStyle w:val="734"/>
              <w:jc w:val="center"/>
              <w:spacing w:line="400" w:lineRule="exact"/>
              <w:rPr>
                <w:i/>
                <w:iCs/>
                <w:sz w:val="28"/>
                <w:szCs w:val="28"/>
                <w:u w:val="single"/>
              </w:rPr>
            </w:pPr>
            <w:r>
              <w:rPr>
                <w:rFonts w:hint="eastAsia"/>
                <w:i/>
                <w:iCs/>
                <w:sz w:val="28"/>
                <w:szCs w:val="28"/>
                <w:u w:val="single"/>
              </w:rPr>
              <w:t xml:space="preserve">4950</w:t>
            </w:r>
            <w:r>
              <w:rPr>
                <w:i/>
                <w:iCs/>
                <w:sz w:val="28"/>
                <w:szCs w:val="28"/>
                <w:u w:val="single"/>
              </w:rPr>
            </w:r>
            <w:r/>
          </w:p>
        </w:tc>
        <w:tc>
          <w:tcPr>
            <w:tcW w:w="1717" w:type="dxa"/>
            <w:vAlign w:val="top"/>
            <w:textDirection w:val="lrTb"/>
            <w:noWrap/>
          </w:tcPr>
          <w:p>
            <w:pPr>
              <w:pStyle w:val="734"/>
              <w:jc w:val="center"/>
              <w:spacing w:line="400" w:lineRule="exact"/>
              <w:rPr>
                <w:rFonts w:eastAsia="方正仿宋_GBK"/>
                <w:sz w:val="28"/>
                <w:szCs w:val="28"/>
              </w:rPr>
            </w:pPr>
            <w:r>
              <w:rPr>
                <w:rFonts w:hint="eastAsia" w:eastAsia="方正仿宋_GBK"/>
                <w:sz w:val="28"/>
                <w:szCs w:val="28"/>
              </w:rPr>
              <w:t xml:space="preserve">工业</w:t>
            </w:r>
            <w:r>
              <w:rPr>
                <w:rFonts w:eastAsia="方正仿宋_GBK"/>
                <w:sz w:val="28"/>
                <w:szCs w:val="28"/>
              </w:rPr>
            </w:r>
            <w:r/>
          </w:p>
        </w:tc>
      </w:tr>
    </w:tbl>
    <w:p>
      <w:pPr>
        <w:pStyle w:val="734"/>
        <w:ind w:firstLine="482"/>
        <w:spacing w:line="460" w:lineRule="exact"/>
        <w:rPr>
          <w:rFonts w:ascii="宋体" w:hAnsi="宋体" w:cs="宋体"/>
          <w:b/>
          <w:bCs/>
          <w:i/>
          <w:iCs/>
          <w:sz w:val="24"/>
          <w:szCs w:val="24"/>
          <w:u w:val="single"/>
        </w:rPr>
      </w:pPr>
      <w:r>
        <w:rPr>
          <w:rFonts w:hint="eastAsia" w:ascii="宋体" w:hAnsi="宋体" w:cs="宋体"/>
          <w:b/>
          <w:bCs/>
          <w:i/>
          <w:iCs/>
          <w:sz w:val="24"/>
          <w:szCs w:val="24"/>
          <w:u w:val="single"/>
        </w:rPr>
        <w:t xml:space="preserve">注：台式计算机和液晶显示器所报产品官网可查相关信息，具备3C认证。</w:t>
      </w:r>
      <w:r>
        <w:rPr>
          <w:rFonts w:ascii="宋体" w:hAnsi="宋体" w:cs="宋体"/>
          <w:b/>
          <w:bCs/>
          <w:i/>
          <w:iCs/>
          <w:sz w:val="24"/>
          <w:szCs w:val="24"/>
          <w:u w:val="single"/>
        </w:rPr>
      </w:r>
      <w:r/>
    </w:p>
    <w:p>
      <w:pPr>
        <w:pStyle w:val="734"/>
        <w:ind w:firstLine="482"/>
        <w:spacing w:line="46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依据财政部、发展改革委发布的《节能产品政府采购品目清单》，本项目采购的台式计算机和液晶显示器为政府强制采购节能产品，报价人只能选择具有节能产品认证证书的产品进行报价；报价时须提供所报设备由国家确定的认证机构出具的、处于有效期之内的节能产品认证证书复印件或扫描件（主机和显示器都要）。</w:t>
      </w:r>
      <w:r>
        <w:rPr>
          <w:rFonts w:hint="eastAsia" w:ascii="宋体" w:hAnsi="宋体" w:cs="宋体"/>
          <w:b/>
          <w:bCs/>
          <w:i/>
          <w:iCs/>
          <w:sz w:val="24"/>
          <w:szCs w:val="24"/>
          <w:u w:val="single"/>
        </w:rPr>
      </w:r>
      <w:r/>
    </w:p>
    <w:p>
      <w:pPr>
        <w:pStyle w:val="736"/>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rPr>
      </w:r>
      <w:r/>
    </w:p>
    <w:p>
      <w:pPr>
        <w:pStyle w:val="734"/>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rPr>
      </w:r>
      <w:r/>
    </w:p>
    <w:p>
      <w:pPr>
        <w:pStyle w:val="736"/>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734"/>
        <w:spacing w:line="0" w:lineRule="atLeast"/>
        <w:rPr>
          <w:rFonts w:ascii="宋体" w:hAnsi="宋体"/>
          <w:b/>
          <w:bCs/>
          <w:iCs/>
          <w:sz w:val="24"/>
          <w:szCs w:val="24"/>
        </w:rPr>
      </w:pPr>
      <w:r>
        <w:rPr>
          <w:rFonts w:ascii="宋体" w:hAnsi="宋体"/>
          <w:b/>
          <w:bCs/>
          <w:iCs/>
          <w:sz w:val="24"/>
          <w:szCs w:val="24"/>
        </w:rPr>
      </w:r>
      <w:r/>
    </w:p>
    <w:tbl>
      <w:tblPr>
        <w:tblW w:w="992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4"/>
        <w:gridCol w:w="978"/>
        <w:gridCol w:w="1134"/>
        <w:gridCol w:w="1559"/>
        <w:gridCol w:w="5528"/>
      </w:tblGrid>
      <w:tr>
        <w:trPr/>
        <w:tc>
          <w:tcPr>
            <w:shd w:val="clear" w:color="000000"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rPr>
                <w:rFonts w:ascii="宋体" w:hAnsi="宋体" w:cs="宋体"/>
                <w:b/>
                <w:bCs/>
                <w:sz w:val="20"/>
                <w:szCs w:val="20"/>
              </w:rPr>
            </w:pPr>
            <w:r/>
            <w:bookmarkStart w:id="182" w:name="OLE_LINK32"/>
            <w:r>
              <w:rPr>
                <w:rFonts w:hint="eastAsia" w:ascii="宋体" w:hAnsi="宋体" w:cs="宋体"/>
                <w:b/>
                <w:bCs/>
                <w:sz w:val="20"/>
                <w:szCs w:val="20"/>
              </w:rPr>
              <w:t xml:space="preserve">序号</w:t>
            </w:r>
            <w:r>
              <w:rPr>
                <w:rFonts w:ascii="宋体" w:hAnsi="宋体" w:cs="宋体"/>
                <w:b/>
                <w:bCs/>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b/>
                <w:bCs/>
                <w:sz w:val="20"/>
                <w:szCs w:val="20"/>
              </w:rPr>
            </w:pPr>
            <w:r>
              <w:rPr>
                <w:rFonts w:hint="eastAsia" w:ascii="宋体" w:hAnsi="宋体" w:cs="宋体"/>
                <w:b/>
                <w:bCs/>
                <w:sz w:val="20"/>
                <w:szCs w:val="20"/>
              </w:rPr>
              <w:t xml:space="preserve">指标分类</w:t>
            </w:r>
            <w:r>
              <w:rPr>
                <w:rFonts w:ascii="宋体" w:hAnsi="宋体" w:cs="宋体"/>
                <w:b/>
                <w:bCs/>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b/>
                <w:bCs/>
                <w:sz w:val="20"/>
                <w:szCs w:val="20"/>
              </w:rPr>
            </w:pPr>
            <w:r>
              <w:rPr>
                <w:rFonts w:hint="eastAsia" w:ascii="宋体" w:hAnsi="宋体" w:cs="宋体"/>
                <w:b/>
                <w:bCs/>
                <w:sz w:val="20"/>
                <w:szCs w:val="20"/>
              </w:rPr>
              <w:t xml:space="preserve">一级指标</w:t>
            </w:r>
            <w:r>
              <w:rPr>
                <w:rFonts w:ascii="宋体" w:hAnsi="宋体" w:cs="宋体"/>
                <w:b/>
                <w:bCs/>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b/>
                <w:bCs/>
                <w:sz w:val="20"/>
                <w:szCs w:val="20"/>
              </w:rPr>
            </w:pPr>
            <w:r>
              <w:rPr>
                <w:rFonts w:hint="eastAsia" w:ascii="宋体" w:hAnsi="宋体" w:cs="宋体"/>
                <w:b/>
                <w:bCs/>
                <w:sz w:val="20"/>
                <w:szCs w:val="20"/>
              </w:rPr>
              <w:t xml:space="preserve">二级指标</w:t>
            </w:r>
            <w:r>
              <w:rPr>
                <w:rFonts w:ascii="宋体" w:hAnsi="宋体" w:cs="宋体"/>
                <w:b/>
                <w:bCs/>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b/>
                <w:bCs/>
                <w:sz w:val="20"/>
                <w:szCs w:val="20"/>
              </w:rPr>
            </w:pPr>
            <w:r>
              <w:rPr>
                <w:rFonts w:hint="eastAsia" w:ascii="宋体" w:hAnsi="宋体" w:cs="宋体"/>
                <w:b/>
                <w:bCs/>
                <w:sz w:val="20"/>
                <w:szCs w:val="20"/>
              </w:rPr>
              <w:t xml:space="preserve">招标要求</w:t>
            </w:r>
            <w:r>
              <w:rPr>
                <w:rFonts w:ascii="宋体" w:hAnsi="宋体" w:cs="宋体"/>
                <w:b/>
                <w:bCs/>
                <w:sz w:val="20"/>
                <w:szCs w:val="20"/>
              </w:rPr>
            </w:r>
            <w:r/>
          </w:p>
        </w:tc>
      </w:tr>
      <w:tr>
        <w:trPr>
          <w:trHeight w:val="1214"/>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CPU规格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CPU 信息</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ascii="宋体" w:hAnsi="宋体" w:cs="宋体"/>
                <w:i/>
                <w:iCs/>
                <w:sz w:val="20"/>
                <w:szCs w:val="20"/>
                <w:u w:val="single"/>
              </w:rPr>
              <w:t xml:space="preserve">处理器采用板载设计，配置1颗国产CPU，每颗CPU物理核心数</w:t>
            </w:r>
            <w:r>
              <w:rPr>
                <w:rFonts w:hint="eastAsia" w:ascii="宋体" w:hAnsi="宋体" w:cs="宋体"/>
                <w:i/>
                <w:iCs/>
                <w:sz w:val="20"/>
                <w:szCs w:val="20"/>
                <w:u w:val="single"/>
              </w:rPr>
              <w:t xml:space="preserve">≥</w:t>
            </w:r>
            <w:r>
              <w:rPr>
                <w:rFonts w:ascii="宋体" w:hAnsi="宋体" w:cs="宋体"/>
                <w:i/>
                <w:iCs/>
                <w:sz w:val="20"/>
                <w:szCs w:val="20"/>
                <w:u w:val="single"/>
              </w:rPr>
              <w:t xml:space="preserve">8核，</w:t>
            </w:r>
            <w:r>
              <w:rPr>
                <w:rFonts w:hint="eastAsia" w:ascii="宋体" w:hAnsi="宋体" w:cs="宋体"/>
                <w:i/>
                <w:iCs/>
                <w:sz w:val="20"/>
                <w:szCs w:val="20"/>
                <w:u w:val="single"/>
              </w:rPr>
              <w:t xml:space="preserve">线程数≧16，</w:t>
            </w:r>
            <w:r>
              <w:rPr>
                <w:rFonts w:ascii="宋体" w:hAnsi="宋体" w:cs="宋体"/>
                <w:i/>
                <w:iCs/>
                <w:sz w:val="20"/>
                <w:szCs w:val="20"/>
                <w:u w:val="single"/>
              </w:rPr>
              <w:t xml:space="preserve">最高加速频率智能频率可提升至≥3.</w:t>
            </w:r>
            <w:r>
              <w:rPr>
                <w:rFonts w:hint="eastAsia" w:ascii="宋体" w:hAnsi="宋体" w:cs="宋体"/>
                <w:i/>
                <w:iCs/>
                <w:sz w:val="20"/>
                <w:szCs w:val="20"/>
                <w:u w:val="single"/>
              </w:rPr>
              <w:t xml:space="preserve">0</w:t>
            </w:r>
            <w:r>
              <w:rPr>
                <w:rFonts w:ascii="宋体" w:hAnsi="宋体" w:cs="宋体"/>
                <w:i/>
                <w:iCs/>
                <w:sz w:val="20"/>
                <w:szCs w:val="20"/>
                <w:u w:val="single"/>
              </w:rPr>
              <w:t xml:space="preserve">GHz，投标所用CPU要明确型号并且是安全可靠测评公告内的，提供相应的证明材料</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内存规格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内存配置容量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≥16GB</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内存类型</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支持DDR4 及以上内存类型</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内存条配置数量（板载内存不涉及）</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≥2</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4" w:space="0"/>
              <w:left w:val="single" w:color="000000" w:sz="4" w:space="0"/>
              <w:bottom w:val="none" w:color="000000" w:sz="0"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主板规格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主板集成模块</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集成资源扩展模块、计算处理模块、音频扩展模块等，主板的互联拓扑可通过处理器或交换电路实现</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主板支持的 CPU和内存情况</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主板支持国产CPU芯片*1和DDR4内存*2根</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主板内置PCIe 插槽数量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≥2个PCIe x16, ≥1个PCIe x8，以上接口为设备原生配备，非通过拓展方式实现。（投标人需在投标文件中提供彩页扫描件并加盖投标人公章）</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主板其他内置接口</w:t>
            </w:r>
            <w:r>
              <w:rPr>
                <w:rFonts w:ascii="宋体" w:hAnsi="宋体" w:cs="宋体"/>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w:t>
            </w:r>
            <w:r>
              <w:rPr>
                <w:rFonts w:hint="eastAsia" w:ascii="宋体" w:hAnsi="宋体" w:cs="宋体"/>
                <w:i/>
                <w:iCs/>
                <w:sz w:val="20"/>
                <w:szCs w:val="20"/>
                <w:u w:val="single"/>
              </w:rPr>
              <w:t xml:space="preserve">≥</w:t>
            </w:r>
            <w:r/>
            <w:r>
              <w:rPr>
                <w:rFonts w:hint="eastAsia" w:ascii="宋体" w:hAnsi="宋体" w:cs="宋体"/>
                <w:i/>
                <w:iCs/>
                <w:sz w:val="20"/>
                <w:szCs w:val="20"/>
                <w:u w:val="single"/>
              </w:rPr>
              <w:t xml:space="preserve">4个SATA接口，2个M.2接口，以上接口为设备原生配备，非通过拓展方式实现。（投标人需在投标文件中提供彩页扫描件并加盖投标人公章）</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☆单内存插槽最大可支持容量（板载内存不涉及）</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Cs/>
                <w:sz w:val="20"/>
                <w:szCs w:val="20"/>
              </w:rPr>
            </w:pPr>
            <w:r>
              <w:rPr>
                <w:rFonts w:hint="eastAsia" w:ascii="宋体" w:hAnsi="宋体" w:cs="宋体"/>
                <w:iCs/>
                <w:sz w:val="20"/>
                <w:szCs w:val="20"/>
              </w:rPr>
              <w:t xml:space="preserve">≥16GB</w:t>
            </w:r>
            <w:r>
              <w:rPr>
                <w:rFonts w:ascii="宋体" w:hAnsi="宋体" w:cs="宋体"/>
                <w:iCs/>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☆内存插槽满配时提供的最高内存总容量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Cs/>
                <w:sz w:val="20"/>
                <w:szCs w:val="20"/>
              </w:rPr>
            </w:pPr>
            <w:r>
              <w:rPr>
                <w:rFonts w:hint="eastAsia" w:ascii="宋体" w:hAnsi="宋体" w:cs="宋体"/>
                <w:iCs/>
                <w:sz w:val="20"/>
                <w:szCs w:val="20"/>
              </w:rPr>
              <w:t xml:space="preserve">≥32GB</w:t>
            </w:r>
            <w:r>
              <w:rPr>
                <w:rFonts w:ascii="宋体" w:hAnsi="宋体" w:cs="宋体"/>
                <w:iCs/>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4" w:space="0"/>
              <w:left w:val="single" w:color="000000" w:sz="4" w:space="0"/>
              <w:bottom w:val="none" w:color="000000" w:sz="0"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存储设备规格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固态盘数量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 个</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固态存储容量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≥512GB SSD</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固态存储接口协议</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SATA/PCIe/NVMe 等类型接口协议</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固态存储形态</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spacing w:before="12"/>
              <w:rPr>
                <w:rFonts w:ascii="宋体" w:hAnsi="宋体" w:cs="宋体"/>
                <w:i/>
                <w:iCs/>
                <w:sz w:val="20"/>
                <w:szCs w:val="20"/>
                <w:u w:val="single"/>
              </w:rPr>
            </w:pPr>
            <w:r>
              <w:rPr>
                <w:rFonts w:hint="eastAsia" w:ascii="宋体" w:hAnsi="宋体" w:cs="宋体"/>
                <w:i/>
                <w:iCs/>
                <w:sz w:val="20"/>
                <w:szCs w:val="20"/>
                <w:u w:val="single"/>
              </w:rPr>
              <w:t xml:space="preserve">采用符合M.2标准的插卡形态，</w:t>
            </w:r>
            <w:r>
              <w:rPr>
                <w:rFonts w:ascii="宋体" w:hAnsi="宋体" w:cs="宋体"/>
                <w:i/>
                <w:iCs/>
                <w:sz w:val="20"/>
                <w:szCs w:val="20"/>
                <w:u w:val="single"/>
              </w:rPr>
              <w:t xml:space="preserve">可选用符合M.2 或 2.5 寸 SATA 或mSATA 等标准的插卡形态</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存储设备扩展盘位</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最大扩展1个2.5寸SATA SSD+1个3.5寸 SATA HDD硬盘，硬盘最大支持数量≥3个</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存储设备其他参数要求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显卡规格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显卡类型</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w:t>
            </w:r>
            <w:r>
              <w:rPr>
                <w:rFonts w:ascii="宋体" w:hAnsi="宋体" w:cs="宋体"/>
                <w:i/>
                <w:iCs/>
                <w:sz w:val="20"/>
                <w:szCs w:val="20"/>
                <w:u w:val="single"/>
              </w:rPr>
              <w:t xml:space="preserve">2GB</w:t>
            </w:r>
            <w:r>
              <w:rPr>
                <w:rFonts w:hint="eastAsia" w:ascii="宋体" w:hAnsi="宋体" w:cs="宋体"/>
                <w:i/>
                <w:iCs/>
                <w:sz w:val="20"/>
                <w:szCs w:val="20"/>
                <w:u w:val="single"/>
              </w:rPr>
              <w:t xml:space="preserve">独立显卡</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single" w:color="000000" w:sz="4" w:space="0"/>
              <w:left w:val="single" w:color="000000" w:sz="4" w:space="0"/>
              <w:bottom w:val="none" w:color="000000" w:sz="0"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显示设备规格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显示屏分辨率</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≥1920×1080</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显示屏尺寸</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≥23.8 英寸</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显示屏屏幕比例</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16:9</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显示屏外观颜色</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黑色</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▲显示屏亮度及对比度</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对比度≥3000:1，刷新率≥100Hz，屏幕亮度≥300cd/m2，显示屏幕色域覆盖率≥99%sRGB（投标人需在投标文件中提供彩页扫描件并加盖投标人公章）</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外设规格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鼠标数量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 个</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键盘数量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 个</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键盘按键数目</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104键全键盘</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键盘连接方式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USB有线</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键盘键程</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2.3mm ~ 4.0mm</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键盘按键压力</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按键压力应在 0.54 N±0.14N</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有线键盘连接线</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≥1.5 米</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键盘颜色</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黑色</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键盘其他要求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键盘外观结构、连接方式、主要功能、安全、电磁兼容性、可靠性应符合 GB/T14081 的相关规定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鼠标连接方式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有线</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有线鼠标连接线</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≥1.5 米</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鼠标DPI 分辨率</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800~1600</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鼠标颜色</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黑色</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鼠标其他要求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其它参数应符合 GB/T 26245 的相关规定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网络设备规格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有线网卡数量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外部接口规格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USB 接口数量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w:t>
            </w:r>
            <w:r>
              <w:rPr>
                <w:rFonts w:ascii="宋体" w:hAnsi="宋体" w:cs="宋体"/>
                <w:i/>
                <w:iCs/>
                <w:sz w:val="20"/>
                <w:szCs w:val="20"/>
                <w:u w:val="single"/>
              </w:rPr>
              <w:t xml:space="preserve">0</w:t>
            </w:r>
            <w:r>
              <w:rPr>
                <w:rFonts w:hint="eastAsia" w:ascii="宋体" w:hAnsi="宋体" w:cs="宋体"/>
                <w:i/>
                <w:iCs/>
                <w:sz w:val="20"/>
                <w:szCs w:val="20"/>
                <w:u w:val="single"/>
              </w:rPr>
              <w:t xml:space="preserve">个USB3.0及以上标准的USB接口，其中至少包含1个Type-C接口；为保证兼容性须单独配置≥4个USB2.0的USB接口；以上所有接口须为设备原生配备，非通过拓展方式实现。（投标人需在投标文件中提供彩页扫描件并加盖投标人公章）</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USB 母座接口要求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视频接口数量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音频接口数量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shd w:val="clear" w:color="000000" w:fill="ffffff"/>
            <w:tcBorders>
              <w:top w:val="none" w:color="000000" w:sz="4" w:space="0"/>
              <w:left w:val="single" w:color="000000" w:sz="4" w:space="0"/>
              <w:bottom w:val="none" w:color="000000" w:sz="0"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整机基础规格</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整机外观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产品表面不应有凹痕、划伤、裂缝、变形和污染等。表面涂层均匀，不应起泡、龟裂、脱落和磨损，金属零部件无锈蚀及其它机械损伤；</w:t>
            </w:r>
            <w:r>
              <w:rPr>
                <w:rFonts w:ascii="宋体" w:hAnsi="宋体" w:cs="宋体"/>
                <w:i/>
                <w:iCs/>
                <w:sz w:val="20"/>
                <w:szCs w:val="20"/>
                <w:u w:val="single"/>
              </w:rPr>
            </w:r>
            <w:r/>
          </w:p>
          <w:p>
            <w:pPr>
              <w:pStyle w:val="734"/>
              <w:jc w:val="center"/>
              <w:rPr>
                <w:rFonts w:ascii="宋体" w:hAnsi="宋体" w:cs="宋体"/>
                <w:sz w:val="20"/>
                <w:szCs w:val="20"/>
              </w:rPr>
            </w:pPr>
            <w:r>
              <w:rPr>
                <w:rFonts w:hint="eastAsia" w:ascii="宋体" w:hAnsi="宋体" w:cs="宋体"/>
                <w:i/>
                <w:iCs/>
                <w:sz w:val="20"/>
                <w:szCs w:val="20"/>
                <w:u w:val="single"/>
              </w:rPr>
              <w:t xml:space="preserve">产品表面说明功能的文字、符号、标志，应清晰、端正、牢固；</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状态指示灯</w:t>
            </w:r>
            <w:r>
              <w:rPr>
                <w:rFonts w:ascii="宋体" w:hAnsi="宋体" w:cs="宋体"/>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在产品显著位置提供状态指示功能，通过指示灯可查看机器运行状态或存储状态</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整机结构</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机箱应符合 GB/T 4208、GB/T 26246的相关规定；</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产品内部结构应符合通用部件的安装需要；</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所有输入输出接口应符合相关国家或行业标准；</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产品零部件应紧固无松动，可插拔部件应可靠连接，开关、按钮和其它控制部件应灵活可靠，布局应方便使用；</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所有 I/O 连接器及需插接线缆的部位应预留用户操作空间，方便插拔解锁与插拔线缆；</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可插拔板卡插槽部位应预留安装、拆卸或更换板卡空间；</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拆装可能接触到的金属剪口或金属尖角部位应做防划伤处理，以保证安全；</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整机内部走线应规整，固线结构和位置要合理可靠并做防割线处理，需便于理线和插拔操作，走线应不影响系统各主要部件组装和拆卸；</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如需通过孔走线，过线孔应做防割线处理；</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各插头位置和插拔方向应合理，应做到插拔无障碍设计，具备防呆设计，有效避免误操作；</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各主要部件拆装无障碍，使用常规工具拆装，无特殊拆装工具需求；</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各主要部件拆装步骤要少，各自拆装需避免相互干扰；</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对于整机或零部件外表面为高亮面的，应粘贴保护膜，保护膜需粘贴牢固，运输、组装等过程不易脱落，撕下无残留；</w:t>
            </w:r>
            <w:r>
              <w:rPr>
                <w:rFonts w:ascii="宋体" w:hAnsi="宋体" w:cs="宋体"/>
                <w:i/>
                <w:iCs/>
                <w:sz w:val="20"/>
                <w:szCs w:val="20"/>
                <w:u w:val="single"/>
              </w:rPr>
            </w:r>
            <w:r/>
          </w:p>
          <w:p>
            <w:pPr>
              <w:pStyle w:val="734"/>
              <w:jc w:val="center"/>
              <w:widowControl/>
              <w:rPr>
                <w:szCs w:val="21"/>
              </w:rPr>
            </w:pPr>
            <w:r>
              <w:rPr>
                <w:rFonts w:hint="eastAsia" w:ascii="宋体" w:hAnsi="宋体" w:cs="宋体"/>
                <w:i/>
                <w:iCs/>
                <w:sz w:val="20"/>
                <w:szCs w:val="20"/>
                <w:u w:val="single"/>
              </w:rPr>
              <w:t xml:space="preserve">其它要求应符合 GB/T 9813.1 的相关规定</w:t>
            </w:r>
            <w:r>
              <w:rPr>
                <w:szCs w:val="2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机箱防护要求</w:t>
            </w:r>
            <w:r>
              <w:rPr>
                <w:rFonts w:ascii="宋体" w:hAnsi="宋体" w:cs="宋体"/>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机箱应符合 GB/T 4208 中 IP20 防护要求</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78"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整机散热</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在环境温度25℃及处理器满载情况下，产品表面温度应符合下列要求：</w:t>
            </w:r>
            <w:r>
              <w:rPr>
                <w:rFonts w:ascii="宋体" w:hAnsi="宋体" w:cs="宋体"/>
                <w:i/>
                <w:iCs/>
                <w:sz w:val="20"/>
                <w:szCs w:val="20"/>
                <w:u w:val="single"/>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78"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出风口在机箱后面板情况下，出风口温度不高于 55℃ ;</w:t>
            </w:r>
            <w:r>
              <w:rPr>
                <w:rFonts w:ascii="宋体" w:hAnsi="宋体" w:cs="宋体"/>
                <w:i/>
                <w:iCs/>
                <w:sz w:val="20"/>
                <w:szCs w:val="20"/>
                <w:u w:val="single"/>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78"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可触及面温度不高于 45℃ ;</w:t>
            </w:r>
            <w:r>
              <w:rPr>
                <w:rFonts w:ascii="宋体" w:hAnsi="宋体" w:cs="宋体"/>
                <w:i/>
                <w:iCs/>
                <w:sz w:val="20"/>
                <w:szCs w:val="20"/>
                <w:u w:val="single"/>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78"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显示器表面温度：显示屏不高于 38℃ , 显示屏上下灯带位置温度（如涉及）不高于 40℃ , 出风口温度不高于 45℃</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整机能效限定值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产品能效限定值应达到 GB 28380-2012标准中能效等级 2级及以上</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机身材质</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金属</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机身颜色</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黑色</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产品规格</w:t>
            </w:r>
            <w:r>
              <w:rPr>
                <w:rFonts w:ascii="宋体" w:hAnsi="宋体" w:cs="宋体"/>
                <w:sz w:val="20"/>
                <w:szCs w:val="20"/>
              </w:rPr>
            </w:r>
            <w:r/>
          </w:p>
        </w:tc>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机箱尺寸容量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≤15L</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性能要求</w:t>
            </w:r>
            <w:r>
              <w:rPr>
                <w:rFonts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CPU性能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CPU 物理核数</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物理核心数≥8</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性能要求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CPU 主频</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≥3.0GHz</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性能要求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▲CPU 末级缓存容量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≥16MB</w:t>
            </w:r>
            <w:r>
              <w:rPr>
                <w:rFonts w:ascii="宋体" w:hAnsi="宋体" w:cs="宋体"/>
                <w:sz w:val="20"/>
                <w:szCs w:val="20"/>
              </w:rPr>
            </w:r>
            <w:r/>
          </w:p>
          <w:p>
            <w:pPr>
              <w:pStyle w:val="734"/>
              <w:jc w:val="center"/>
              <w:rPr>
                <w:rFonts w:ascii="宋体" w:hAnsi="宋体" w:cs="宋体"/>
                <w:sz w:val="20"/>
                <w:szCs w:val="20"/>
              </w:rPr>
            </w:pPr>
            <w:r>
              <w:rPr>
                <w:rFonts w:hint="eastAsia" w:ascii="宋体" w:hAnsi="宋体" w:cs="宋体"/>
                <w:sz w:val="20"/>
                <w:szCs w:val="20"/>
              </w:rPr>
              <w:t xml:space="preserve">（投标人需在投标文件中提供彩页扫描件并加盖投标人公章）</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性能要求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内存性能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☆内存读写速率</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≥3200MT/s</w:t>
            </w:r>
            <w:r>
              <w:rPr>
                <w:rFonts w:ascii="宋体" w:hAnsi="宋体" w:cs="宋体"/>
                <w:sz w:val="20"/>
                <w:szCs w:val="20"/>
              </w:rPr>
            </w:r>
            <w:r/>
          </w:p>
          <w:p>
            <w:pPr>
              <w:pStyle w:val="734"/>
              <w:jc w:val="center"/>
              <w:rPr>
                <w:rFonts w:ascii="宋体" w:hAnsi="宋体" w:cs="宋体"/>
                <w:sz w:val="20"/>
                <w:szCs w:val="20"/>
              </w:rPr>
            </w:pPr>
            <w:r>
              <w:rPr>
                <w:rFonts w:hint="eastAsia" w:ascii="宋体" w:hAnsi="宋体" w:cs="宋体"/>
                <w:sz w:val="20"/>
                <w:szCs w:val="20"/>
              </w:rPr>
              <w:t xml:space="preserve">（投标人需在投标文件中提供彩页扫描件并加盖投标人公章）</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性能要求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显卡性能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☆显示分辨率</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≥1920×1080</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性能要求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显卡可支持多屏同时显示数量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显卡应支持 2 块屏幕同时显示，分辨率应不低于 1920×1080</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性能要求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显示设备性能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显示屏其他参数</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SJ/T 11292 的相关规定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性能要求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网络设备性能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有线网卡速率</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最高速率不低于 1000Mbps，支持10Mbps、100Mbps、1000Mbps 速率自适应</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主板功能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内存扩展接口(板载内存不涉及)</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≥2个插槽</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存储扩展接口(板载存储不涉及)</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支持存储设备扩展接口≥4 个，支持SATA3.0</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主板USB 瞬间过流保护</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支持瞬间过流保护功能</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主板防静电保护</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支持防静电保护功能</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I/O 接口功能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提供基于标准 USB 接口外设连接功能、基于音频输入输出接口的音频扩展功能、基于 PCIe 接口板卡扩展功能、基于 HDMI/VGA/Type-C/DVI/DP 等接口外接显示器扩展功能、基于存储接口对产品进行增容功能等。产品 I/O 接口应具备外接标准 USB 设备、显示器、音频设备等内外部设备能力</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显示设备功能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显示器接口</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显示器应与显卡外接显示接口匹配；提供显示器底座支架</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▲显示器模式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显示器可提供多种显示模式，如标准模式、护眼模式等；支持硬件级低蓝光与无频闪功能。（投标人需在投标文件中提供彩页扫描件并加盖投标人公章）</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显示器参数调节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显示器具备自动重置功能，长按特定实体按键可自动重置显示参数（投标人需在投标文件中提供彩页扫描件并加盖投标人公章）</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存储功能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存储功能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通过 SATA 固态存储/PCIe 固态存储/UFS 固态存储/SATA 硬磁盘等存储部件提供存储功能</w:t>
            </w:r>
            <w:r>
              <w:rPr>
                <w:rFonts w:ascii="宋体" w:hAnsi="宋体" w:cs="宋体"/>
                <w:i/>
                <w:iCs/>
                <w:sz w:val="20"/>
                <w:szCs w:val="20"/>
                <w:u w:val="single"/>
              </w:rPr>
            </w:r>
            <w:r/>
          </w:p>
        </w:tc>
      </w:tr>
      <w:tr>
        <w:trPr>
          <w:trHeight w:val="624"/>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4" w:space="0"/>
              <w:left w:val="single" w:color="000000" w:sz="4" w:space="0"/>
              <w:bottom w:val="none" w:color="000000" w:sz="0"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网络设备功能</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网络功能</w:t>
            </w:r>
            <w:r>
              <w:rPr>
                <w:rFonts w:ascii="宋体" w:hAnsi="宋体" w:cs="宋体"/>
                <w:sz w:val="20"/>
                <w:szCs w:val="20"/>
              </w:rPr>
            </w:r>
            <w:r/>
          </w:p>
        </w:tc>
        <w:tc>
          <w:tcPr>
            <w:shd w:val="clear" w:color="000000" w:fill="ffffff"/>
            <w:tcBorders>
              <w:top w:val="none" w:color="000000" w:sz="4" w:space="0"/>
              <w:left w:val="none" w:color="000000" w:sz="4" w:space="0"/>
              <w:bottom w:val="none" w:color="000000" w:sz="0"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支持网络连接、网络开启/关闭功能；</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支持访问网络和数据交换功能</w:t>
            </w:r>
            <w:r>
              <w:rPr>
                <w:rFonts w:ascii="宋体" w:hAnsi="宋体" w:cs="宋体"/>
                <w:i/>
                <w:iCs/>
                <w:sz w:val="20"/>
                <w:szCs w:val="20"/>
                <w:u w:val="singl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数据传输</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支持数据传输能力，并提供数据流量和异常日志记录功能</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有线网卡接口类型</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 RJ45 接口</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网络设备拆装</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网络设备应支持物理拆装，包括无线网卡和蓝牙模块等</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外部接口功能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音频接口类型</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 3.5mm 孔径 4 段式接口</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视频接口类型</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i/>
                <w:iCs/>
                <w:spacing w:val="-5"/>
                <w:sz w:val="20"/>
                <w:szCs w:val="20"/>
                <w:u w:val="single"/>
              </w:rPr>
            </w:pPr>
            <w:r>
              <w:rPr>
                <w:rFonts w:ascii="宋体" w:hAnsi="宋体"/>
                <w:i/>
                <w:iCs/>
                <w:spacing w:val="-5"/>
                <w:sz w:val="20"/>
                <w:szCs w:val="20"/>
                <w:u w:val="single"/>
              </w:rPr>
              <w:t xml:space="preserve">至少支持 VGA、HDMI、DVI、DP、 Type-C 中 1 种显示接口</w:t>
            </w:r>
            <w:r>
              <w:rPr>
                <w:rFonts w:ascii="宋体" w:hAnsi="宋体"/>
                <w:i/>
                <w:iCs/>
                <w:spacing w:val="-5"/>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HDMI、DP、Type-C显示接口要求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i/>
                <w:iCs/>
                <w:spacing w:val="-5"/>
                <w:sz w:val="20"/>
                <w:szCs w:val="20"/>
                <w:u w:val="single"/>
              </w:rPr>
            </w:pPr>
            <w:r>
              <w:rPr>
                <w:rFonts w:ascii="宋体" w:hAnsi="宋体"/>
                <w:i/>
                <w:iCs/>
                <w:spacing w:val="-5"/>
                <w:sz w:val="20"/>
                <w:szCs w:val="20"/>
                <w:u w:val="single"/>
              </w:rPr>
              <w:t xml:space="preserve">若提供HDMI 或DP 或 Type-C 作为显示接口，应支持音频和视频同步输出</w:t>
            </w:r>
            <w:r>
              <w:rPr>
                <w:rFonts w:ascii="宋体" w:hAnsi="宋体"/>
                <w:i/>
                <w:iCs/>
                <w:spacing w:val="-5"/>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其他接口</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产品支持串行接口，可实现 GB/T 6107 的功能；</w:t>
            </w:r>
            <w:r>
              <w:rPr>
                <w:rFonts w:ascii="宋体" w:hAnsi="宋体" w:cs="宋体"/>
                <w:i/>
                <w:iCs/>
                <w:sz w:val="20"/>
                <w:szCs w:val="20"/>
                <w:u w:val="single"/>
              </w:rPr>
            </w:r>
            <w:r/>
          </w:p>
          <w:p>
            <w:pPr>
              <w:pStyle w:val="734"/>
              <w:jc w:val="center"/>
              <w:rPr>
                <w:rFonts w:ascii="宋体" w:hAnsi="宋体" w:cs="宋体"/>
                <w:sz w:val="20"/>
                <w:szCs w:val="20"/>
              </w:rPr>
            </w:pPr>
            <w:r>
              <w:rPr>
                <w:rFonts w:hint="eastAsia" w:ascii="宋体" w:hAnsi="宋体" w:cs="宋体"/>
                <w:i/>
                <w:iCs/>
                <w:sz w:val="20"/>
                <w:szCs w:val="20"/>
                <w:u w:val="single"/>
              </w:rPr>
              <w:t xml:space="preserve">≥1个串口，以上接口为设备原生配备，非通过拓展方式实现。（投标人需在投标文件中提供彩页扫描件并加盖投标人公章）</w:t>
            </w:r>
            <w:r>
              <w:rPr>
                <w:rFonts w:ascii="宋体" w:hAnsi="宋体" w:cs="宋体"/>
                <w:sz w:val="20"/>
                <w:szCs w:val="20"/>
              </w:rPr>
            </w:r>
            <w:r/>
          </w:p>
        </w:tc>
      </w:tr>
      <w:tr>
        <w:trPr>
          <w:trHeight w:val="440"/>
        </w:trPr>
        <w:tc>
          <w:tcPr>
            <w:shd w:val="clear" w:color="000000"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4" w:space="0"/>
              <w:left w:val="single" w:color="000000" w:sz="4" w:space="0"/>
              <w:bottom w:val="none" w:color="000000" w:sz="0"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电源功能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电源线适配能力</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电源适配器电线组件符合 GB/T15934 的要求</w:t>
            </w:r>
            <w:r>
              <w:rPr>
                <w:rFonts w:ascii="宋体" w:hAnsi="宋体" w:cs="宋体"/>
                <w:i/>
                <w:iCs/>
                <w:sz w:val="20"/>
                <w:szCs w:val="20"/>
                <w:u w:val="singl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电源功率</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≥2</w:t>
            </w:r>
            <w:r>
              <w:rPr>
                <w:rFonts w:ascii="宋体" w:hAnsi="宋体" w:cs="宋体"/>
                <w:i/>
                <w:iCs/>
                <w:sz w:val="20"/>
                <w:szCs w:val="20"/>
                <w:u w:val="single"/>
              </w:rPr>
              <w:t xml:space="preserve">0</w:t>
            </w:r>
            <w:r>
              <w:rPr>
                <w:rFonts w:hint="eastAsia" w:ascii="宋体" w:hAnsi="宋体" w:cs="宋体"/>
                <w:i/>
                <w:iCs/>
                <w:sz w:val="20"/>
                <w:szCs w:val="20"/>
                <w:u w:val="single"/>
              </w:rPr>
              <w:t xml:space="preserve">0W</w:t>
            </w:r>
            <w:r>
              <w:rPr>
                <w:rFonts w:ascii="宋体" w:hAnsi="宋体" w:cs="宋体"/>
                <w:i/>
                <w:iCs/>
                <w:sz w:val="20"/>
                <w:szCs w:val="20"/>
                <w:u w:val="single"/>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4" w:space="0"/>
              <w:left w:val="single" w:color="000000" w:sz="4" w:space="0"/>
              <w:bottom w:val="none" w:color="000000" w:sz="0"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操作系统及软件功能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中文信息处理要求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GB 18030 的相关规定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操作系统及驱动升级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支持在线升级能力可以提升服务效率</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固件升级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支持通过网络、闪存盘等方式对固件进行升级</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BIOS 支持关闭通讯接口</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 BIOS 关闭USB 接口</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固件查看信息</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支持查看固件版本、内存信息、主板信息、处理器信息和系统时间信息等功能</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固件设置启动顺序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支持设置启动顺序功能，并按照设置的启动顺序启动</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固件设置口令</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支持设置口令、修改口令、验证口令功能</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功能要求</w:t>
            </w:r>
            <w:r>
              <w:rPr>
                <w:rFonts w:ascii="宋体" w:hAnsi="宋体" w:cs="宋体"/>
                <w:sz w:val="20"/>
                <w:szCs w:val="20"/>
              </w:rPr>
            </w:r>
            <w:r/>
          </w:p>
        </w:tc>
        <w:tc>
          <w:tcPr>
            <w:shd w:val="clear" w:color="000000" w:fill="ffffff"/>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固件设置网络引导</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支持网络引导启动和关闭功能</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存储设备可靠性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▲固态存储寿命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TBW ≥ 80TB</w:t>
            </w:r>
            <w:r>
              <w:rPr>
                <w:rFonts w:ascii="宋体" w:hAnsi="宋体" w:cs="宋体"/>
                <w:sz w:val="20"/>
                <w:szCs w:val="20"/>
              </w:rPr>
            </w:r>
            <w:r/>
          </w:p>
          <w:p>
            <w:pPr>
              <w:pStyle w:val="734"/>
              <w:jc w:val="center"/>
              <w:rPr>
                <w:rFonts w:ascii="宋体" w:hAnsi="宋体" w:cs="宋体"/>
                <w:sz w:val="20"/>
                <w:szCs w:val="20"/>
              </w:rPr>
            </w:pPr>
            <w:r>
              <w:rPr>
                <w:rFonts w:hint="eastAsia" w:ascii="宋体" w:hAnsi="宋体" w:cs="宋体"/>
                <w:sz w:val="20"/>
                <w:szCs w:val="20"/>
              </w:rPr>
              <w:t xml:space="preserve">（投标人需在投标文件中提供彩页扫描件并加盖投标人公章）</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机械硬盘寿命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通电时间≥5 万小时</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显示设备可靠性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显示屏屏幕失效点</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GB/T 9813.2 的要求</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外设可靠性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键盘按键寿命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≥1000 万次</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鼠标按键寿命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≥500 万次</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键盘鼠标线材寿命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键盘鼠标所用线材经±60 °弯折不低于 3000 次，功能、外观完好</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风扇寿命</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≥4 万小时</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整机可靠性要求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电磁兼容性要求的抗扰度</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GB/T 9254.2 的规定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环境条件要求的气候环境适应性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GB/T 9813.1 中规定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环境条件要求的振动适应性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GB/T 9813.1 中规定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环境条件要求的冲击适应性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GB/T 9813.1 中规定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环境条件要求的碰撞适应性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GB/T 9813.1 中规定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环境条件要求的运输包装件跌落适应性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GB/T 9813.1 中规定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可靠性要求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MTBF测试标准</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MTBF(m1)≥</w:t>
            </w:r>
            <w:r>
              <w:rPr>
                <w:rFonts w:ascii="宋体" w:hAnsi="宋体" w:cs="宋体"/>
                <w:i/>
                <w:iCs/>
                <w:sz w:val="20"/>
                <w:szCs w:val="20"/>
                <w:u w:val="single"/>
              </w:rPr>
              <w:t xml:space="preserve">3</w:t>
            </w:r>
            <w:r>
              <w:rPr>
                <w:rFonts w:hint="eastAsia" w:ascii="宋体" w:hAnsi="宋体" w:cs="宋体"/>
                <w:i/>
                <w:iCs/>
                <w:sz w:val="20"/>
                <w:szCs w:val="20"/>
                <w:u w:val="single"/>
              </w:rPr>
              <w:t xml:space="preserve">0万小时</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兼容要求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兼容要求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☆数据库兼容</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兼容 3 个及以上厂商的数据库产品</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兼容要求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中间件兼容</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兼容 3 个及以上厂商中间件产品</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兼容要求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▲平台软件-共享空间</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sz w:val="20"/>
                <w:szCs w:val="20"/>
              </w:rPr>
              <w:t xml:space="preserve">为便于分享文件，集成局域网内网盘功能，可直接访问局域网网盘管理端；并根据不同的需求，创建多个共享空间，每个共享空间可独立设置单文件大小限制、空间总大小限制、文件保护类型和设置用户操作权限，用户操作权限包括：上传、下载、删除、重命名、移动、回收站、新建文件夹。（</w:t>
            </w:r>
            <w:r>
              <w:rPr>
                <w:rFonts w:ascii="宋体" w:hAnsi="宋体" w:cs="宋体"/>
                <w:sz w:val="20"/>
                <w:szCs w:val="20"/>
              </w:rPr>
              <w:t xml:space="preserve">提供功能截图证明并加盖投标人公章</w:t>
            </w:r>
            <w:r>
              <w:rPr>
                <w:rFonts w:hint="eastAsia" w:ascii="宋体" w:hAnsi="宋体" w:cs="宋体"/>
                <w:sz w:val="20"/>
                <w:szCs w:val="20"/>
              </w:rPr>
              <w:t xml:space="preserve">）</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包装及运输要求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包装及运输要求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标志、包装、运输和贮存</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 GB/T 9813.1 和</w:t>
            </w:r>
            <w:bookmarkStart w:id="183" w:name="OLE_LINK1"/>
            <w:r>
              <w:rPr>
                <w:rFonts w:hint="eastAsia" w:ascii="宋体" w:hAnsi="宋体" w:cs="宋体"/>
                <w:i/>
                <w:iCs/>
                <w:sz w:val="20"/>
                <w:szCs w:val="20"/>
                <w:u w:val="single"/>
              </w:rPr>
              <w:t xml:space="preserve">商品包装政府采购需求</w:t>
            </w:r>
            <w:bookmarkEnd w:id="183"/>
            <w:r>
              <w:rPr>
                <w:rFonts w:hint="eastAsia" w:ascii="宋体" w:hAnsi="宋体" w:cs="宋体"/>
                <w:i/>
                <w:iCs/>
                <w:sz w:val="20"/>
                <w:szCs w:val="20"/>
                <w:u w:val="single"/>
              </w:rPr>
              <w:t xml:space="preserve">标准的相关规定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配置检查工具</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供应商提供自检测试工具</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78"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保修方式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提供免费上门点对点保修服务</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78"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服务响应</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服务周期内提供产品的维修、换件和升级服务</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服务周期</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供应商提供同城4h、异地12h 技术响应服务，2 个工作日解决问题，对于未能解决的问题和故障应提供可行的升级方案，并提供周转设备或更换设</w:t>
            </w:r>
            <w:r>
              <w:rPr>
                <w:rFonts w:ascii="宋体" w:hAnsi="宋体" w:cs="宋体"/>
                <w:i/>
                <w:iCs/>
                <w:sz w:val="20"/>
                <w:szCs w:val="20"/>
                <w:u w:val="single"/>
              </w:rPr>
            </w:r>
            <w:r/>
          </w:p>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备；</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预装操作系统</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预装操作系统</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培训服务</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供应商提供培训材料、产品手册、培训视频等培训相关内容</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典型问题解决手册</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供应商提供典型问题解决说明文档或视频</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厂家升级软件与扩容服务</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供应商提供上门升级部件/软件与扩容的增值服务</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合格证书要求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供应商提供产品合格证</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开箱组装/使用指导要求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供应商提供开箱组装/使用指导</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驱动下载服务要求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供应商提供驱动光盘或下载方式</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兼容适配软件下载服务要求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供应商提供兼容适配软件下载渠道（光盘、网站）</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服务要求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跨架构平台应用兼容</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能够支持跨架构平台应用兼容</w:t>
            </w:r>
            <w:r>
              <w:rPr>
                <w:rFonts w:ascii="宋体" w:hAnsi="宋体" w:cs="宋体"/>
                <w:sz w:val="20"/>
                <w:szCs w:val="20"/>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供应保障要求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供应链合规性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产品部件保障</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保障产品主要部件提供6年的备件服务能力(自购买之日起)，或提供可兼容原设备的升级换代产品</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供应保障要求</w:t>
            </w: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供应链质量</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抗干扰性</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当产品部件出现供应风险时，供应商通知采购人并提供风险应对方案确保产品的服务保障</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供应保障要求</w:t>
            </w: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供应能力证明</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供应商提供供应链稳定承诺书，确保产品的部件在产品服务周期内稳定供货。为保障产品质量，所供产品生产日期必须是本年度。提供原厂五年质保</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关键部件安全要求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关键部件安全要求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CPU和操作系统等关键部件应当符合安全可靠测评要求</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安全要求</w:t>
            </w:r>
            <w:r>
              <w:rPr>
                <w:rFonts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整机安全性要求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密码算法实现</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CPU芯片应符合GM/T 0008 的相关规定，或芯片密码模块符合 GB/T 37092 或GM/T 0028 的相关规定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安全要求</w:t>
            </w:r>
            <w:r>
              <w:rPr>
                <w:rFonts w:ascii="宋体" w:hAnsi="宋体" w:cs="宋体"/>
                <w:sz w:val="20"/>
                <w:szCs w:val="20"/>
              </w:rPr>
            </w:r>
            <w:r/>
          </w:p>
        </w:tc>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i/>
                <w:iCs/>
                <w:sz w:val="20"/>
                <w:szCs w:val="20"/>
                <w:u w:val="single"/>
              </w:rPr>
            </w:pPr>
            <w:r>
              <w:rPr>
                <w:rFonts w:hint="eastAsia" w:ascii="宋体" w:hAnsi="宋体" w:cs="宋体"/>
                <w:sz w:val="20"/>
                <w:szCs w:val="20"/>
              </w:rPr>
              <w:t xml:space="preserve">USB端口管控</w:t>
            </w:r>
            <w:r>
              <w:rPr>
                <w:rFonts w:ascii="宋体" w:hAnsi="宋体" w:cs="宋体"/>
                <w:i/>
                <w:iCs/>
                <w:sz w:val="20"/>
                <w:szCs w:val="20"/>
                <w:u w:val="single"/>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管理软件支持多种USB禁用模式和策略，支持一键快速禁用除键鼠外的USB设备；支持设置USB类型设备的白名单策略，支持按照指定设备设置终端的USB权限；支持查看终端USB设备信息，包括USB名称、USB类型、PID、VID与状态。（</w:t>
            </w:r>
            <w:r>
              <w:rPr>
                <w:rFonts w:ascii="宋体" w:hAnsi="宋体" w:cs="宋体"/>
                <w:i/>
                <w:iCs/>
                <w:sz w:val="20"/>
                <w:szCs w:val="20"/>
                <w:u w:val="single"/>
              </w:rPr>
              <w:t xml:space="preserve">提供功能截图证明并加盖投标人公章</w:t>
            </w:r>
            <w:r>
              <w:rPr>
                <w:rFonts w:hint="eastAsia" w:ascii="宋体" w:hAnsi="宋体" w:cs="宋体"/>
                <w:i/>
                <w:iCs/>
                <w:sz w:val="20"/>
                <w:szCs w:val="20"/>
                <w:u w:val="single"/>
              </w:rPr>
              <w:t xml:space="preserve">）</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安全要求</w:t>
            </w:r>
            <w:r>
              <w:rPr>
                <w:rFonts w:ascii="宋体" w:hAnsi="宋体" w:cs="宋体"/>
                <w:sz w:val="20"/>
                <w:szCs w:val="20"/>
              </w:rPr>
            </w:r>
            <w:r/>
          </w:p>
        </w:tc>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安全物理锁</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支持安全物理锁</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安全要求</w:t>
            </w:r>
            <w:r>
              <w:rPr>
                <w:rFonts w:ascii="宋体" w:hAnsi="宋体" w:cs="宋体"/>
                <w:sz w:val="20"/>
                <w:szCs w:val="20"/>
              </w:rPr>
            </w:r>
            <w:r/>
          </w:p>
        </w:tc>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tcPr>
          <w:p>
            <w:pPr>
              <w:pStyle w:val="734"/>
              <w:jc w:val="center"/>
              <w:rPr>
                <w:rFonts w:ascii="宋体" w:hAnsi="宋体" w:cs="宋体"/>
                <w:sz w:val="20"/>
                <w:szCs w:val="20"/>
              </w:rPr>
            </w:pPr>
            <w:r>
              <w:rPr>
                <w:rFonts w:hint="eastAsia" w:ascii="宋体" w:hAnsi="宋体" w:cs="宋体"/>
                <w:sz w:val="20"/>
                <w:szCs w:val="20"/>
              </w:rPr>
              <w:t xml:space="preserve">信息安全基本要求</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应符合 GB/T 39276 的 5.2 的规定；</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安全要求</w:t>
            </w:r>
            <w:r>
              <w:rPr>
                <w:rFonts w:ascii="宋体" w:hAnsi="宋体" w:cs="宋体"/>
                <w:sz w:val="20"/>
                <w:szCs w:val="20"/>
              </w:rPr>
            </w:r>
            <w:r/>
          </w:p>
        </w:tc>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生产厂商应建立漏洞跟踪表，保证产品版本涉及到的漏洞(如驱动程序等)可查；</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安全要求</w:t>
            </w:r>
            <w:r>
              <w:rPr>
                <w:rFonts w:ascii="宋体" w:hAnsi="宋体" w:cs="宋体"/>
                <w:sz w:val="20"/>
                <w:szCs w:val="20"/>
              </w:rPr>
            </w:r>
            <w:r/>
          </w:p>
        </w:tc>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产品不得包含已知的恶意代码或漏洞，不存在未声明的指令、功能、接口</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安全要求</w:t>
            </w:r>
            <w:r>
              <w:rPr>
                <w:rFonts w:ascii="宋体" w:hAnsi="宋体" w:cs="宋体"/>
                <w:sz w:val="20"/>
                <w:szCs w:val="20"/>
              </w:rPr>
            </w:r>
            <w:r/>
          </w:p>
        </w:tc>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固件安全启动</w:t>
            </w: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支持固件安全启动功能，固件启动过程中只有通过启动校验才能正常启动</w:t>
            </w:r>
            <w:r>
              <w:rPr>
                <w:rFonts w:ascii="宋体" w:hAnsi="宋体" w:cs="宋体"/>
                <w:i/>
                <w:iCs/>
                <w:sz w:val="20"/>
                <w:szCs w:val="20"/>
                <w:u w:val="single"/>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734"/>
              <w:numPr>
                <w:ilvl w:val="0"/>
                <w:numId w:val="8"/>
              </w:numPr>
              <w:contextualSpacing/>
              <w:jc w:val="center"/>
              <w:rPr>
                <w:rFonts w:ascii="宋体" w:hAnsi="宋体" w:cs="宋体"/>
                <w:sz w:val="20"/>
                <w:szCs w:val="20"/>
              </w:rPr>
            </w:pPr>
            <w:r>
              <w:rPr>
                <w:rFonts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78"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安全要求</w:t>
            </w:r>
            <w:r>
              <w:rPr>
                <w:rFonts w:ascii="宋体" w:hAnsi="宋体" w:cs="宋体"/>
                <w:sz w:val="20"/>
                <w:szCs w:val="20"/>
              </w:rPr>
            </w:r>
            <w:r/>
          </w:p>
        </w:tc>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tcPr>
          <w:p>
            <w:pPr>
              <w:pStyle w:val="734"/>
              <w:jc w:val="center"/>
              <w:rPr>
                <w:rFonts w:ascii="宋体" w:hAnsi="宋体" w:cs="宋体"/>
                <w:sz w:val="20"/>
                <w:szCs w:val="20"/>
              </w:rPr>
            </w:pPr>
            <w:r>
              <w:rPr>
                <w:rFonts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34"/>
              <w:jc w:val="center"/>
              <w:rPr>
                <w:rFonts w:ascii="宋体" w:hAnsi="宋体" w:cs="宋体"/>
                <w:sz w:val="20"/>
                <w:szCs w:val="20"/>
              </w:rPr>
            </w:pPr>
            <w:r>
              <w:rPr>
                <w:rFonts w:hint="eastAsia" w:ascii="宋体" w:hAnsi="宋体" w:cs="宋体"/>
                <w:sz w:val="20"/>
                <w:szCs w:val="20"/>
              </w:rPr>
              <w:t xml:space="preserve">产品认证</w:t>
            </w:r>
            <w:r>
              <w:rPr>
                <w:rFonts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734"/>
              <w:jc w:val="center"/>
              <w:rPr>
                <w:rFonts w:ascii="宋体" w:hAnsi="宋体" w:cs="宋体"/>
                <w:i/>
                <w:iCs/>
                <w:sz w:val="20"/>
                <w:szCs w:val="20"/>
                <w:u w:val="single"/>
              </w:rPr>
            </w:pPr>
            <w:r>
              <w:rPr>
                <w:rFonts w:hint="eastAsia" w:ascii="宋体" w:hAnsi="宋体" w:cs="宋体"/>
                <w:i/>
                <w:iCs/>
                <w:sz w:val="20"/>
                <w:szCs w:val="20"/>
                <w:u w:val="single"/>
              </w:rPr>
              <w:t xml:space="preserve">符合</w:t>
            </w:r>
            <w:r>
              <w:rPr>
                <w:rFonts w:ascii="宋体" w:hAnsi="宋体" w:cs="宋体"/>
                <w:i/>
                <w:iCs/>
                <w:sz w:val="20"/>
                <w:szCs w:val="20"/>
                <w:u w:val="single"/>
              </w:rPr>
              <w:t xml:space="preserve">GB/T 26572 </w:t>
            </w:r>
            <w:r>
              <w:rPr>
                <w:rFonts w:hint="eastAsia" w:ascii="宋体" w:hAnsi="宋体" w:cs="宋体"/>
                <w:i/>
                <w:iCs/>
                <w:sz w:val="20"/>
                <w:szCs w:val="20"/>
                <w:u w:val="single"/>
              </w:rPr>
              <w:t xml:space="preserve">中规定</w:t>
            </w:r>
            <w:r>
              <w:rPr>
                <w:rFonts w:ascii="宋体" w:hAnsi="宋体" w:cs="宋体"/>
                <w:i/>
                <w:iCs/>
                <w:sz w:val="20"/>
                <w:szCs w:val="20"/>
                <w:u w:val="single"/>
              </w:rPr>
            </w:r>
            <w:r/>
          </w:p>
        </w:tc>
      </w:tr>
    </w:tbl>
    <w:p>
      <w:pPr>
        <w:pStyle w:val="734"/>
        <w:spacing w:line="0" w:lineRule="atLeast"/>
        <w:rPr>
          <w:rFonts w:ascii="宋体" w:hAnsi="宋体"/>
          <w:b/>
          <w:bCs/>
          <w:iCs/>
          <w:sz w:val="24"/>
          <w:szCs w:val="24"/>
        </w:rPr>
      </w:pPr>
      <w:r/>
      <w:bookmarkEnd w:id="182"/>
      <w:r>
        <w:rPr>
          <w:rFonts w:ascii="宋体" w:hAnsi="宋体"/>
          <w:b/>
          <w:bCs/>
          <w:iCs/>
          <w:sz w:val="24"/>
          <w:szCs w:val="24"/>
        </w:rPr>
      </w:r>
      <w:r/>
    </w:p>
    <w:p>
      <w:pPr>
        <w:pStyle w:val="734"/>
        <w:spacing w:line="0" w:lineRule="atLeast"/>
        <w:rPr>
          <w:rFonts w:ascii="宋体" w:hAnsi="宋体"/>
          <w:b/>
          <w:bCs/>
          <w:iCs/>
          <w:sz w:val="24"/>
          <w:szCs w:val="24"/>
        </w:rPr>
      </w:pPr>
      <w:r>
        <w:rPr>
          <w:rFonts w:ascii="宋体" w:hAnsi="宋体"/>
          <w:b/>
          <w:bCs/>
          <w:iCs/>
          <w:sz w:val="24"/>
          <w:szCs w:val="24"/>
        </w:rPr>
      </w:r>
      <w:r/>
    </w:p>
    <w:p>
      <w:pPr>
        <w:pStyle w:val="734"/>
        <w:spacing w:line="0" w:lineRule="atLeast"/>
        <w:rPr>
          <w:rFonts w:ascii="宋体" w:hAnsi="宋体"/>
          <w:b/>
          <w:bCs/>
          <w:iCs/>
          <w:sz w:val="24"/>
          <w:szCs w:val="24"/>
        </w:rPr>
      </w:pPr>
      <w:r>
        <w:rPr>
          <w:rFonts w:hint="eastAsia" w:ascii="宋体" w:hAnsi="宋体"/>
          <w:b/>
          <w:bCs/>
          <w:iCs/>
          <w:sz w:val="24"/>
          <w:szCs w:val="24"/>
        </w:rPr>
        <w:t xml:space="preserve">说明：院方如果在实施过程发现设备无法满足技术要求内的相关功能，院方有权不予验收，因此引起的所有后果由供应商自行承担。</w:t>
      </w:r>
      <w:r>
        <w:rPr>
          <w:rFonts w:ascii="宋体" w:hAnsi="宋体"/>
          <w:b/>
          <w:bCs/>
          <w:iCs/>
          <w:sz w:val="24"/>
          <w:szCs w:val="24"/>
        </w:rPr>
      </w:r>
      <w:r/>
    </w:p>
    <w:p>
      <w:pPr>
        <w:pStyle w:val="734"/>
        <w:spacing w:line="0" w:lineRule="atLeast"/>
        <w:rPr>
          <w:rFonts w:ascii="宋体" w:hAnsi="宋体"/>
          <w:b/>
          <w:bCs/>
          <w:sz w:val="24"/>
          <w:szCs w:val="24"/>
        </w:rPr>
      </w:pPr>
      <w:r>
        <w:rPr>
          <w:rFonts w:ascii="宋体" w:hAnsi="宋体"/>
          <w:b/>
          <w:bCs/>
          <w:sz w:val="24"/>
          <w:szCs w:val="24"/>
        </w:rPr>
      </w:r>
      <w:r/>
    </w:p>
    <w:p>
      <w:pPr>
        <w:pStyle w:val="734"/>
        <w:jc w:val="left"/>
        <w:keepLines/>
        <w:keepNext/>
        <w:spacing w:line="400" w:lineRule="exact"/>
        <w:rPr>
          <w:rFonts w:ascii="黑体" w:hAnsi="黑体" w:eastAsia="黑体" w:cs="Arial"/>
          <w:sz w:val="28"/>
          <w:szCs w:val="28"/>
        </w:rPr>
        <w:outlineLvl w:val="1"/>
      </w:pPr>
      <w:r>
        <w:rPr>
          <w:rFonts w:hint="eastAsia" w:ascii="黑体" w:hAnsi="黑体" w:eastAsia="黑体" w:cs="Arial"/>
          <w:sz w:val="28"/>
          <w:szCs w:val="28"/>
        </w:rPr>
        <w:t xml:space="preserve">四、项目实施</w:t>
      </w:r>
      <w:r>
        <w:rPr>
          <w:rFonts w:ascii="黑体" w:hAnsi="黑体" w:eastAsia="黑体" w:cs="Arial"/>
          <w:sz w:val="28"/>
          <w:szCs w:val="28"/>
        </w:rPr>
      </w:r>
      <w:r/>
    </w:p>
    <w:p>
      <w:pPr>
        <w:pStyle w:val="734"/>
        <w:spacing w:line="520" w:lineRule="exact"/>
        <w:rPr>
          <w:rFonts w:ascii="宋体" w:hAnsi="宋体" w:cs="宋体"/>
          <w:b/>
          <w:sz w:val="24"/>
        </w:rPr>
      </w:pPr>
      <w:r>
        <w:rPr>
          <w:rFonts w:hint="eastAsia" w:ascii="宋体" w:hAnsi="宋体" w:cs="宋体"/>
          <w:b/>
          <w:sz w:val="24"/>
        </w:rPr>
        <w:t xml:space="preserve">（一）项目实施要求</w:t>
      </w:r>
      <w:r>
        <w:rPr>
          <w:rFonts w:ascii="宋体" w:hAnsi="宋体" w:cs="宋体"/>
          <w:b/>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供应商在提供所投设备的同时必须提供对于本次招标软硬件的系统安装、集成服务。</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供应商需针对本项目成立专门的实施团队，积极主动与用户单位进行协调沟通，在规定的时间内，保证质量完成投标所提供设备的规划、安装、调试及投入运行，达成项目建设目标。安装调试期间，采购人有权派技术人员参加，供应商有义务对其提出问题进行解答。</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供应商须承担本项目实施过程涉及的全部费用（包括设备、辅材、测试和验收等），项目实施过程必须接受监督。</w:t>
      </w:r>
      <w:r>
        <w:rPr>
          <w:rFonts w:ascii="宋体" w:hAnsi="宋体" w:cs="宋体"/>
          <w:bCs/>
          <w:sz w:val="24"/>
        </w:rPr>
      </w:r>
      <w:r/>
    </w:p>
    <w:p>
      <w:pPr>
        <w:pStyle w:val="734"/>
        <w:spacing w:line="520" w:lineRule="exact"/>
        <w:rPr>
          <w:rFonts w:ascii="宋体" w:hAnsi="宋体" w:cs="宋体"/>
          <w:b/>
          <w:sz w:val="24"/>
        </w:rPr>
      </w:pPr>
      <w:r>
        <w:rPr>
          <w:rFonts w:hint="eastAsia" w:ascii="宋体" w:hAnsi="宋体" w:cs="宋体"/>
          <w:b/>
          <w:sz w:val="24"/>
        </w:rPr>
        <w:t xml:space="preserve">（二）项目巡检要求</w:t>
      </w:r>
      <w:r>
        <w:rPr>
          <w:rFonts w:ascii="宋体" w:hAnsi="宋体" w:cs="宋体"/>
          <w:b/>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供应商需提供保修期内每年</w:t>
      </w:r>
      <w:r>
        <w:rPr>
          <w:rFonts w:ascii="宋体" w:hAnsi="宋体" w:cs="宋体"/>
          <w:bCs/>
          <w:sz w:val="24"/>
        </w:rPr>
        <w:t xml:space="preserve">4</w:t>
      </w:r>
      <w:r>
        <w:rPr>
          <w:rFonts w:hint="eastAsia" w:ascii="宋体" w:hAnsi="宋体" w:cs="宋体"/>
          <w:bCs/>
          <w:sz w:val="24"/>
        </w:rPr>
        <w:t xml:space="preserve">次上门预防性主动巡检维护服务,包括但不限于重大节假日进行巡检（如春节、国庆等节假日），并出具巡检报告。巡检范围包含本次招标项目中的所有软硬件设备的运行情况，配置情况，性能指标等，并给出优化建议和合理的解决方案。</w:t>
      </w:r>
      <w:r>
        <w:rPr>
          <w:rFonts w:ascii="宋体" w:hAnsi="宋体" w:cs="宋体"/>
          <w:bCs/>
          <w:sz w:val="24"/>
        </w:rPr>
      </w:r>
      <w:r/>
    </w:p>
    <w:p>
      <w:pPr>
        <w:pStyle w:val="734"/>
        <w:spacing w:line="520" w:lineRule="exact"/>
        <w:rPr>
          <w:rFonts w:ascii="宋体" w:hAnsi="宋体" w:cs="宋体"/>
          <w:b/>
          <w:sz w:val="24"/>
        </w:rPr>
      </w:pPr>
      <w:r>
        <w:rPr>
          <w:rFonts w:hint="eastAsia" w:ascii="宋体" w:hAnsi="宋体" w:cs="宋体"/>
          <w:b/>
          <w:sz w:val="24"/>
        </w:rPr>
        <w:t xml:space="preserve">（三）应急处理要求</w:t>
      </w:r>
      <w:r>
        <w:rPr>
          <w:rFonts w:ascii="宋体" w:hAnsi="宋体" w:cs="宋体"/>
          <w:b/>
          <w:sz w:val="24"/>
        </w:rPr>
      </w:r>
      <w:r/>
    </w:p>
    <w:p>
      <w:pPr>
        <w:pStyle w:val="734"/>
        <w:ind w:firstLine="480"/>
        <w:spacing w:line="520" w:lineRule="exact"/>
        <w:rPr>
          <w:rFonts w:ascii="宋体" w:hAnsi="宋体" w:cs="宋体"/>
          <w:bCs/>
          <w:sz w:val="24"/>
        </w:rPr>
      </w:pPr>
      <w:r/>
      <w:bookmarkStart w:id="184" w:name="OLE_LINK3"/>
      <w:r>
        <w:rPr>
          <w:rFonts w:hint="eastAsia" w:ascii="宋体" w:hAnsi="宋体" w:cs="宋体"/>
          <w:bCs/>
          <w:sz w:val="24"/>
        </w:rPr>
        <w:t xml:space="preserve">供应商</w:t>
      </w:r>
      <w:bookmarkEnd w:id="184"/>
      <w:r>
        <w:rPr>
          <w:rFonts w:ascii="宋体" w:hAnsi="宋体" w:cs="宋体"/>
          <w:bCs/>
          <w:sz w:val="24"/>
        </w:rPr>
        <w:t xml:space="preserve">应针对本项目制定应急处理方案，确保在设备出现故障时能够快速响应、及时处置。应急方案应包括故障识别、人员调度、备件替换和恢复使用的完整流程，重点保障关键岗位设备的连续运行。</w:t>
      </w:r>
      <w:r>
        <w:rPr>
          <w:rFonts w:hint="eastAsia" w:ascii="宋体" w:hAnsi="宋体" w:cs="宋体"/>
          <w:bCs/>
          <w:sz w:val="24"/>
        </w:rPr>
        <w:t xml:space="preserve">供应商</w:t>
      </w:r>
      <w:r>
        <w:rPr>
          <w:rFonts w:ascii="宋体" w:hAnsi="宋体" w:cs="宋体"/>
          <w:bCs/>
          <w:sz w:val="24"/>
        </w:rPr>
        <w:t xml:space="preserve">应配备一定比例的备用电脑，在故障设备无法当场修复时可直接替换使用，不得因等待配件或人员不到位而影响正常工作。每次应急处理后，</w:t>
      </w:r>
      <w:r>
        <w:rPr>
          <w:rFonts w:hint="eastAsia" w:ascii="宋体" w:hAnsi="宋体" w:cs="宋体"/>
          <w:bCs/>
          <w:sz w:val="24"/>
        </w:rPr>
        <w:t xml:space="preserve">供应商</w:t>
      </w:r>
      <w:r>
        <w:rPr>
          <w:rFonts w:ascii="宋体" w:hAnsi="宋体" w:cs="宋体"/>
          <w:bCs/>
          <w:sz w:val="24"/>
        </w:rPr>
        <w:t xml:space="preserve">应记录故障原因和处理情况，供采购</w:t>
      </w:r>
      <w:r>
        <w:rPr>
          <w:rFonts w:hint="eastAsia" w:ascii="宋体" w:hAnsi="宋体" w:cs="宋体"/>
          <w:bCs/>
          <w:sz w:val="24"/>
        </w:rPr>
        <w:t xml:space="preserve">人</w:t>
      </w:r>
      <w:r>
        <w:rPr>
          <w:rFonts w:ascii="宋体" w:hAnsi="宋体" w:cs="宋体"/>
          <w:bCs/>
          <w:sz w:val="24"/>
        </w:rPr>
        <w:t xml:space="preserve">备查。</w:t>
      </w:r>
      <w:r>
        <w:rPr>
          <w:rFonts w:ascii="宋体" w:hAnsi="宋体" w:cs="宋体"/>
          <w:bCs/>
          <w:sz w:val="24"/>
        </w:rPr>
      </w:r>
      <w:r/>
    </w:p>
    <w:p>
      <w:pPr>
        <w:pStyle w:val="734"/>
        <w:spacing w:line="520" w:lineRule="exact"/>
        <w:rPr>
          <w:rFonts w:ascii="宋体" w:hAnsi="宋体" w:cs="宋体"/>
          <w:b/>
          <w:sz w:val="24"/>
        </w:rPr>
      </w:pPr>
      <w:r>
        <w:rPr>
          <w:rFonts w:hint="eastAsia" w:ascii="宋体" w:hAnsi="宋体" w:cs="宋体"/>
          <w:b/>
          <w:sz w:val="24"/>
        </w:rPr>
        <w:t xml:space="preserve">（四）售后服务要求</w:t>
      </w:r>
      <w:r>
        <w:rPr>
          <w:rFonts w:ascii="宋体" w:hAnsi="宋体" w:cs="宋体"/>
          <w:b/>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硬件服务免费质保期：自采购人验收合格之日起，提供五年原厂免费上门保修服务。供货前需提供制造商出具的售后服务承诺函原件。</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供应商承诺在合同期内，向招标方免费提供系统维护、技术支持服务；如系统出现错误和故障，供应商应根据招标方要求给予修正。</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质保期内供应商需要提供7*24小时全天候售后服务，30分钟响应，4小时内到达现场并修复。</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 供应商应提供自身及所投货物品牌原厂的响应标准、服务体系、备件体系、故障解决方案、专业技术人员保障等服务方案，服务方案应科学合理、具备针对性，并指定专门的售后服务人员，确保供应商中标后提供的各项售后服务能满足招标文件要求。</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5.供应商提供的货物必须由原厂商直接发至采购人指定地方，中途不得转运。</w:t>
      </w:r>
      <w:r>
        <w:rPr>
          <w:rFonts w:ascii="宋体" w:hAnsi="宋体" w:cs="宋体"/>
          <w:bCs/>
          <w:sz w:val="24"/>
        </w:rPr>
      </w:r>
      <w:r/>
    </w:p>
    <w:p>
      <w:pPr>
        <w:pStyle w:val="734"/>
        <w:spacing w:line="520" w:lineRule="exact"/>
        <w:rPr>
          <w:rFonts w:ascii="宋体" w:hAnsi="宋体" w:cs="宋体"/>
          <w:b/>
          <w:sz w:val="24"/>
        </w:rPr>
      </w:pPr>
      <w:r>
        <w:rPr>
          <w:rFonts w:hint="eastAsia" w:ascii="宋体" w:hAnsi="宋体" w:cs="宋体"/>
          <w:b/>
          <w:sz w:val="24"/>
        </w:rPr>
        <w:t xml:space="preserve">（五）项目培训要求</w:t>
      </w:r>
      <w:r>
        <w:rPr>
          <w:rFonts w:ascii="宋体" w:hAnsi="宋体" w:cs="宋体"/>
          <w:b/>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成交供应商在项目实施过程中，需要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rPr>
          <w:rFonts w:ascii="宋体" w:hAnsi="宋体" w:cs="宋体"/>
          <w:bCs/>
          <w:sz w:val="24"/>
        </w:rPr>
      </w:r>
      <w:r/>
    </w:p>
    <w:p>
      <w:pPr>
        <w:pStyle w:val="734"/>
        <w:spacing w:line="520" w:lineRule="exact"/>
        <w:rPr>
          <w:rFonts w:ascii="宋体" w:hAnsi="宋体" w:cs="宋体"/>
          <w:b/>
          <w:sz w:val="24"/>
        </w:rPr>
      </w:pPr>
      <w:r>
        <w:rPr>
          <w:rFonts w:hint="eastAsia" w:ascii="宋体" w:hAnsi="宋体" w:cs="宋体"/>
          <w:b/>
          <w:sz w:val="24"/>
        </w:rPr>
        <w:t xml:space="preserve">（六）项目配合验收要求</w:t>
      </w:r>
      <w:r>
        <w:rPr>
          <w:rFonts w:ascii="宋体" w:hAnsi="宋体" w:cs="宋体"/>
          <w:b/>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投标人应根据招标文件要求提供项目配合验收方案，内容包括但不限于验收配合的组织架构与职责分工；验收前资料准备（包括工程概况、设计方案、设备清单及到货签收记录、操作维护手册等）；验收不合格的整改机制等。</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项目验收要求：</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（1）招标文件、投标文件、厂家货物技术标准说明及有关国家的质量标准规定，均作为验收标准。</w:t>
      </w:r>
      <w:r>
        <w:rPr>
          <w:rFonts w:ascii="宋体" w:hAnsi="宋体" w:cs="宋体"/>
          <w:bCs/>
          <w:sz w:val="24"/>
        </w:rPr>
      </w:r>
      <w:r/>
    </w:p>
    <w:p>
      <w:pPr>
        <w:pStyle w:val="734"/>
        <w:ind w:firstLine="480"/>
        <w:spacing w:line="520" w:lineRule="exact"/>
        <w:rPr>
          <w:rFonts w:ascii="宋体" w:hAnsi="宋体" w:cs="宋体"/>
          <w:bCs/>
          <w:sz w:val="24"/>
        </w:rPr>
      </w:pPr>
      <w:r>
        <w:rPr>
          <w:rFonts w:hint="eastAsia" w:ascii="宋体" w:hAnsi="宋体" w:cs="宋体"/>
          <w:bCs/>
          <w:sz w:val="24"/>
        </w:rPr>
        <w:t xml:space="preserve">（2）项目完成后，由采购人组织对供应商的验收，采购人有权邀请国家认可的质量检测机构参加验收工作。验收时中标人必须在场。验收合格后，中标人凭采购人出具的验收合格书至采购人处根据合同规定办理付款手续。</w:t>
      </w:r>
      <w:r>
        <w:rPr>
          <w:rFonts w:ascii="宋体" w:hAnsi="宋体" w:cs="宋体"/>
          <w:bCs/>
          <w:sz w:val="24"/>
        </w:rPr>
      </w:r>
      <w:r/>
    </w:p>
    <w:p>
      <w:pPr>
        <w:pStyle w:val="734"/>
        <w:ind w:firstLine="480"/>
        <w:spacing w:line="360" w:lineRule="auto"/>
        <w:rPr>
          <w:rFonts w:ascii="宋体" w:hAnsi="宋体" w:cs="宋体"/>
          <w:bCs/>
          <w:sz w:val="24"/>
        </w:rPr>
      </w:pPr>
      <w:r>
        <w:rPr>
          <w:rFonts w:hint="eastAsia" w:ascii="宋体" w:hAnsi="宋体" w:cs="宋体"/>
          <w:bCs/>
          <w:sz w:val="24"/>
        </w:rPr>
        <w:t xml:space="preserve">（3）若在验收过程中发现产品不合格或存在伪劣产品等问题，采购人将根据具体情况采取相应的措施，包括但不限于退货、拒付货款、索赔等，并保留向质量技术监督部门报告并依法处理的权利。</w:t>
      </w:r>
      <w:r>
        <w:rPr>
          <w:rFonts w:ascii="宋体" w:hAnsi="宋体" w:cs="宋体"/>
          <w:bCs/>
          <w:sz w:val="24"/>
        </w:rPr>
      </w:r>
      <w:r/>
    </w:p>
    <w:p>
      <w:pPr>
        <w:pStyle w:val="734"/>
        <w:spacing w:line="360" w:lineRule="auto"/>
        <w:rPr>
          <w:rFonts w:ascii="宋体" w:hAnsi="宋体"/>
          <w:b/>
          <w:bCs/>
          <w:sz w:val="24"/>
          <w:szCs w:val="24"/>
        </w:rPr>
      </w:pPr>
      <w:r>
        <w:rPr>
          <w:rFonts w:ascii="宋体" w:hAnsi="宋体" w:cs="宋体"/>
          <w:b/>
          <w:sz w:val="24"/>
        </w:rPr>
        <w:t xml:space="preserve">（</w:t>
      </w:r>
      <w:r>
        <w:rPr>
          <w:rFonts w:hint="eastAsia" w:ascii="宋体" w:hAnsi="宋体" w:cs="宋体"/>
          <w:b/>
          <w:sz w:val="24"/>
        </w:rPr>
        <w:t xml:space="preserve">七</w:t>
      </w:r>
      <w:r>
        <w:rPr>
          <w:rFonts w:ascii="宋体" w:hAnsi="宋体" w:cs="宋体"/>
          <w:b/>
          <w:sz w:val="24"/>
        </w:rPr>
        <w:t xml:space="preserve">）履约能力</w:t>
      </w:r>
      <w:r>
        <w:rPr>
          <w:rFonts w:hint="eastAsia" w:ascii="宋体" w:hAnsi="宋体" w:cs="宋体"/>
          <w:b/>
          <w:sz w:val="24"/>
        </w:rPr>
        <w:t xml:space="preserve">要求</w:t>
      </w:r>
      <w:r>
        <w:rPr>
          <w:rFonts w:ascii="宋体" w:hAnsi="宋体"/>
          <w:b/>
          <w:bCs/>
          <w:sz w:val="24"/>
          <w:szCs w:val="24"/>
        </w:rPr>
      </w:r>
      <w:r/>
    </w:p>
    <w:p>
      <w:pPr>
        <w:pStyle w:val="734"/>
        <w:ind w:firstLine="480"/>
        <w:spacing w:line="360" w:lineRule="auto"/>
        <w:rPr>
          <w:rFonts w:ascii="宋体" w:hAnsi="宋体" w:cs="宋体"/>
          <w:bCs/>
          <w:color w:val="000000"/>
          <w:sz w:val="24"/>
          <w:szCs w:val="24"/>
        </w:rPr>
      </w:pPr>
      <w:r>
        <w:rPr>
          <w:rFonts w:ascii="宋体" w:hAnsi="宋体"/>
          <w:bCs/>
          <w:sz w:val="24"/>
          <w:szCs w:val="24"/>
        </w:rPr>
        <w:t xml:space="preserve">1</w:t>
      </w:r>
      <w:r>
        <w:rPr>
          <w:rFonts w:hint="eastAsia" w:ascii="宋体" w:hAnsi="宋体"/>
          <w:bCs/>
          <w:sz w:val="24"/>
          <w:szCs w:val="24"/>
        </w:rPr>
        <w:t xml:space="preserve">人员服务能力。投标人拟投入本项目的维修售后人员需具有所投品牌厂商维修认证证书。</w:t>
      </w:r>
      <w:r>
        <w:rPr>
          <w:rFonts w:hint="eastAsia" w:ascii="宋体" w:hAnsi="宋体" w:cs="宋体"/>
          <w:bCs/>
          <w:color w:val="000000"/>
          <w:sz w:val="24"/>
          <w:szCs w:val="24"/>
        </w:rPr>
        <w:t xml:space="preserve">（提供维修人员名单、人员证书以及2</w:t>
      </w:r>
      <w:r>
        <w:rPr>
          <w:rFonts w:ascii="宋体" w:hAnsi="宋体" w:cs="宋体"/>
          <w:bCs/>
          <w:color w:val="000000"/>
          <w:sz w:val="24"/>
          <w:szCs w:val="24"/>
        </w:rPr>
        <w:t xml:space="preserve">026年</w:t>
      </w:r>
      <w:r>
        <w:rPr>
          <w:rFonts w:hint="eastAsia" w:ascii="宋体" w:hAnsi="宋体" w:cs="宋体"/>
          <w:bCs/>
          <w:color w:val="000000"/>
          <w:sz w:val="24"/>
          <w:szCs w:val="24"/>
        </w:rPr>
        <w:t xml:space="preserve">1月以来任意1个月投标人缴纳的社保证明材料）</w:t>
      </w:r>
      <w:r>
        <w:rPr>
          <w:rFonts w:ascii="宋体" w:hAnsi="宋体" w:cs="宋体"/>
          <w:bCs/>
          <w:color w:val="000000"/>
          <w:sz w:val="24"/>
          <w:szCs w:val="24"/>
        </w:rPr>
      </w:r>
      <w:r/>
    </w:p>
    <w:p>
      <w:pPr>
        <w:pStyle w:val="734"/>
        <w:ind w:firstLine="480"/>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响应时间服务能力。投标人承诺可为采购人提供驻场售后服务，能做到7*24小时维修响应，</w:t>
      </w:r>
      <w:r>
        <w:rPr>
          <w:rFonts w:hint="eastAsia" w:ascii="宋体" w:hAnsi="宋体"/>
          <w:bCs/>
          <w:sz w:val="24"/>
          <w:szCs w:val="24"/>
        </w:rPr>
        <w:t xml:space="preserve">若设备出现的故障，投标方承诺4小时到达现场处理故障。故障维修时应当详细记录原因及排除方法，故障需24小时内解决，24小时内无法解决或需带离我院维修的，需提供备用机器，维修完毕将其移交采购人。</w:t>
      </w:r>
      <w:r>
        <w:rPr>
          <w:rFonts w:hint="eastAsia" w:ascii="宋体" w:hAnsi="宋体"/>
          <w:bCs/>
          <w:sz w:val="24"/>
        </w:rPr>
        <w:t xml:space="preserve">需提供承诺函并加盖投标人公章，承诺函中需标明覆盖院区范围。</w:t>
      </w:r>
      <w:r>
        <w:rPr>
          <w:rFonts w:ascii="宋体" w:hAnsi="宋体"/>
          <w:bCs/>
          <w:sz w:val="24"/>
        </w:rPr>
      </w:r>
      <w:r/>
    </w:p>
    <w:p>
      <w:pPr>
        <w:pStyle w:val="734"/>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备用设备服务能力。投标人承诺为本项目提供一年备用电脑，数量不低于本项目采购数量的5%（含显示器，性能不低于本次投标产品），签订合同前备用电脑存放在采购人指定地点。当投标产品出现故障后4小时内无法修复至可正常使用或其他紧急情况，直接由投标人上门更换备用电脑。提供承诺函并加盖投标人公章。</w:t>
      </w:r>
      <w:r>
        <w:rPr>
          <w:rFonts w:ascii="宋体" w:hAnsi="宋体" w:cs="宋体"/>
          <w:bCs/>
          <w:color w:val="000000"/>
          <w:sz w:val="24"/>
          <w:szCs w:val="24"/>
        </w:rPr>
      </w:r>
      <w:r/>
    </w:p>
    <w:p>
      <w:pPr>
        <w:pStyle w:val="734"/>
        <w:spacing w:line="0" w:lineRule="atLeast"/>
        <w:rPr>
          <w:rFonts w:ascii="宋体" w:hAnsi="宋体"/>
          <w:sz w:val="24"/>
          <w:szCs w:val="24"/>
        </w:rPr>
      </w:pPr>
      <w:r>
        <w:rPr>
          <w:rFonts w:hint="eastAsia" w:ascii="宋体" w:hAnsi="宋体"/>
          <w:b/>
          <w:bCs/>
          <w:sz w:val="24"/>
          <w:szCs w:val="24"/>
        </w:rPr>
        <w:t xml:space="preserve">（八）节能环保的要求</w:t>
      </w:r>
      <w:r>
        <w:rPr>
          <w:rFonts w:ascii="宋体" w:hAnsi="宋体"/>
          <w:sz w:val="24"/>
          <w:szCs w:val="24"/>
        </w:rPr>
      </w:r>
      <w:r/>
    </w:p>
    <w:p>
      <w:pPr>
        <w:pStyle w:val="734"/>
        <w:ind w:firstLine="480"/>
        <w:spacing w:line="360" w:lineRule="auto"/>
        <w:rPr>
          <w:rFonts w:ascii="宋体" w:hAnsi="宋体"/>
          <w:sz w:val="24"/>
          <w:szCs w:val="24"/>
        </w:rPr>
      </w:pPr>
      <w:r>
        <w:rPr>
          <w:rFonts w:hint="eastAsia" w:ascii="宋体" w:hAnsi="宋体"/>
          <w:sz w:val="24"/>
          <w:szCs w:val="24"/>
        </w:rPr>
        <w:t xml:space="preserve">1.投标产品属于财政部、生态环境部公布的“环境标志产品品目清单”范围内的，投标人提供国家确定的认证机构出具的、处于有效期内的该环保产品认证证书复印件。</w:t>
      </w:r>
      <w:r>
        <w:rPr>
          <w:rFonts w:ascii="宋体" w:hAnsi="宋体"/>
          <w:sz w:val="24"/>
          <w:szCs w:val="24"/>
        </w:rPr>
      </w:r>
      <w:r/>
    </w:p>
    <w:p>
      <w:pPr>
        <w:pStyle w:val="736"/>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五、商务要求</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34"/>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734"/>
        <w:ind w:firstLine="482"/>
        <w:spacing w:line="360" w:lineRule="auto"/>
        <w:rPr>
          <w:rFonts w:ascii="宋体" w:hAnsi="宋体"/>
          <w:sz w:val="24"/>
        </w:rPr>
      </w:pPr>
      <w:r>
        <w:rPr>
          <w:rFonts w:hint="eastAsia" w:ascii="宋体" w:hAnsi="宋体" w:cs="宋体"/>
          <w:b/>
          <w:sz w:val="24"/>
        </w:rPr>
        <w:t xml:space="preserve">（一）质保及售后技术服务要求</w:t>
      </w:r>
      <w:r>
        <w:rPr>
          <w:rFonts w:ascii="宋体" w:hAnsi="宋体"/>
          <w:sz w:val="24"/>
        </w:rPr>
      </w:r>
      <w:r/>
    </w:p>
    <w:p>
      <w:pPr>
        <w:pStyle w:val="734"/>
        <w:ind w:firstLine="480"/>
        <w:spacing w:line="360" w:lineRule="auto"/>
        <w:rPr>
          <w:rFonts w:ascii="宋体" w:hAnsi="宋体" w:cs="宋体"/>
          <w:bCs/>
          <w:sz w:val="24"/>
        </w:rPr>
      </w:pPr>
      <w:r>
        <w:rPr>
          <w:rFonts w:hint="eastAsia" w:ascii="宋体" w:hAnsi="宋体" w:cs="宋体"/>
          <w:bCs/>
          <w:sz w:val="24"/>
        </w:rPr>
        <w:t xml:space="preserve">1.1</w:t>
      </w:r>
      <w:r>
        <w:rPr>
          <w:rFonts w:hint="eastAsia" w:ascii="宋体" w:hAnsi="宋体" w:cs="宋体"/>
          <w:bCs/>
          <w:i/>
          <w:iCs/>
          <w:sz w:val="24"/>
          <w:u w:val="single"/>
        </w:rPr>
        <w:t xml:space="preserve">投标产品提供原厂五年免费上门质保服务。自采购人验收合格，验收报告确认签字日起，开始进入质保期。投标文件中产品报价包含5年原厂质保费用，维修不另外收取任何费用。</w:t>
      </w:r>
      <w:r>
        <w:rPr>
          <w:rFonts w:ascii="宋体" w:hAnsi="宋体" w:cs="宋体"/>
          <w:bCs/>
          <w:sz w:val="24"/>
        </w:rPr>
      </w:r>
      <w:r/>
    </w:p>
    <w:p>
      <w:pPr>
        <w:pStyle w:val="734"/>
        <w:ind w:firstLine="480"/>
        <w:spacing w:line="360" w:lineRule="auto"/>
        <w:rPr>
          <w:rFonts w:ascii="宋体" w:hAnsi="宋体" w:cs="宋体"/>
          <w:bCs/>
          <w:sz w:val="24"/>
        </w:rPr>
      </w:pPr>
      <w:r>
        <w:rPr>
          <w:rFonts w:hint="eastAsia" w:ascii="宋体" w:hAnsi="宋体" w:cs="宋体"/>
          <w:bCs/>
          <w:sz w:val="24"/>
        </w:rPr>
        <w:t xml:space="preserve">1.2原厂工程师提供项目的现场部署实施服务，并针对用户及管理员进行必要的培训服务。</w:t>
      </w:r>
      <w:r>
        <w:rPr>
          <w:rFonts w:ascii="宋体" w:hAnsi="宋体" w:cs="宋体"/>
          <w:bCs/>
          <w:sz w:val="24"/>
        </w:rPr>
      </w:r>
      <w:r/>
    </w:p>
    <w:p>
      <w:pPr>
        <w:pStyle w:val="734"/>
        <w:ind w:firstLine="482"/>
        <w:spacing w:line="360" w:lineRule="auto"/>
        <w:rPr>
          <w:rFonts w:ascii="宋体" w:hAnsi="宋体" w:cs="宋体"/>
          <w:b/>
          <w:sz w:val="24"/>
        </w:rPr>
      </w:pPr>
      <w:r>
        <w:rPr>
          <w:rFonts w:hint="eastAsia" w:ascii="宋体" w:hAnsi="宋体" w:cs="宋体"/>
          <w:b/>
          <w:sz w:val="24"/>
        </w:rPr>
        <w:t xml:space="preserve">（二）交货期、交货方式及交货地点</w:t>
      </w:r>
      <w:r>
        <w:rPr>
          <w:rFonts w:ascii="宋体" w:hAnsi="宋体" w:cs="宋体"/>
          <w:b/>
          <w:sz w:val="24"/>
        </w:rPr>
      </w:r>
      <w:r/>
    </w:p>
    <w:p>
      <w:pPr>
        <w:pStyle w:val="734"/>
        <w:ind w:firstLine="480"/>
        <w:spacing w:line="360" w:lineRule="auto"/>
        <w:rPr>
          <w:rFonts w:ascii="宋体" w:hAnsi="宋体" w:cs="宋体"/>
          <w:bCs/>
          <w:sz w:val="24"/>
        </w:rPr>
      </w:pPr>
      <w:r>
        <w:rPr>
          <w:rFonts w:hint="eastAsia" w:ascii="宋体" w:hAnsi="宋体" w:cs="宋体"/>
          <w:bCs/>
          <w:sz w:val="24"/>
        </w:rPr>
        <w:t xml:space="preserve">2.1交货期：在接到采购人供货通知后的20个日历日内完成交货。</w:t>
      </w:r>
      <w:r>
        <w:rPr>
          <w:rFonts w:ascii="宋体" w:hAnsi="宋体" w:cs="宋体"/>
          <w:bCs/>
          <w:sz w:val="24"/>
        </w:rPr>
      </w:r>
      <w:r/>
    </w:p>
    <w:p>
      <w:pPr>
        <w:pStyle w:val="734"/>
        <w:ind w:firstLine="480"/>
        <w:spacing w:line="360" w:lineRule="auto"/>
        <w:rPr>
          <w:rFonts w:ascii="宋体" w:hAnsi="宋体" w:cs="宋体"/>
          <w:bCs/>
          <w:sz w:val="24"/>
        </w:rPr>
      </w:pPr>
      <w:r>
        <w:rPr>
          <w:rFonts w:hint="eastAsia" w:ascii="宋体" w:hAnsi="宋体" w:cs="宋体"/>
          <w:bCs/>
          <w:sz w:val="24"/>
        </w:rPr>
        <w:t xml:space="preserve">2.2交货方式：供应商在采购人指定地点交货并完成安装、调试工作。本项目供货的计算机需进行性能和系统软件验证测试，如无法满足临床、行政业务使用要求，甲方出具书面通知后合同终止。</w:t>
      </w:r>
      <w:r>
        <w:rPr>
          <w:rFonts w:ascii="宋体" w:hAnsi="宋体" w:cs="宋体"/>
          <w:bCs/>
          <w:sz w:val="24"/>
        </w:rPr>
      </w:r>
      <w:r/>
    </w:p>
    <w:p>
      <w:pPr>
        <w:pStyle w:val="734"/>
        <w:ind w:firstLine="480"/>
        <w:spacing w:line="360" w:lineRule="auto"/>
        <w:rPr>
          <w:rFonts w:ascii="宋体" w:hAnsi="宋体" w:cs="宋体"/>
          <w:bCs/>
          <w:sz w:val="24"/>
        </w:rPr>
      </w:pPr>
      <w:r>
        <w:rPr>
          <w:rFonts w:hint="eastAsia" w:ascii="宋体" w:hAnsi="宋体" w:cs="宋体"/>
          <w:bCs/>
          <w:sz w:val="24"/>
        </w:rPr>
        <w:t xml:space="preserve">2.3交货地点：采购人指定地点，由供应商负责办理运输和装卸等，费用由供应商负责，采购人组织验收，检验不合格或不符合质量要求，供应商除无条件退货、返工外，还应承担采购人由此造成的一切损失。</w:t>
      </w:r>
      <w:r>
        <w:rPr>
          <w:rFonts w:ascii="宋体" w:hAnsi="宋体" w:cs="宋体"/>
          <w:bCs/>
          <w:sz w:val="24"/>
        </w:rPr>
      </w:r>
      <w:r/>
    </w:p>
    <w:p>
      <w:pPr>
        <w:pStyle w:val="734"/>
        <w:ind w:firstLine="482"/>
        <w:spacing w:line="360" w:lineRule="auto"/>
        <w:rPr>
          <w:rFonts w:ascii="宋体" w:hAnsi="宋体" w:cs="宋体"/>
          <w:b/>
          <w:sz w:val="24"/>
        </w:rPr>
      </w:pPr>
      <w:r>
        <w:rPr>
          <w:rFonts w:hint="eastAsia" w:ascii="宋体" w:hAnsi="宋体" w:cs="宋体"/>
          <w:b/>
          <w:sz w:val="24"/>
        </w:rPr>
        <w:t xml:space="preserve">（三）付款方式</w:t>
      </w:r>
      <w:r>
        <w:rPr>
          <w:rFonts w:ascii="宋体" w:hAnsi="宋体" w:cs="宋体"/>
          <w:b/>
          <w:sz w:val="24"/>
        </w:rPr>
      </w:r>
      <w:r/>
    </w:p>
    <w:p>
      <w:pPr>
        <w:pStyle w:val="734"/>
        <w:ind w:firstLine="480"/>
        <w:spacing w:line="360" w:lineRule="auto"/>
        <w:rPr>
          <w:rFonts w:ascii="宋体" w:hAnsi="宋体" w:cs="宋体"/>
          <w:bCs/>
          <w:sz w:val="24"/>
        </w:rPr>
      </w:pPr>
      <w:r>
        <w:rPr>
          <w:rFonts w:hint="eastAsia" w:ascii="宋体" w:hAnsi="宋体" w:cs="宋体"/>
          <w:bCs/>
          <w:sz w:val="24"/>
        </w:rPr>
        <w:t xml:space="preserve">3.1</w:t>
      </w:r>
      <w:r>
        <w:rPr>
          <w:rFonts w:hint="eastAsia"/>
          <w:bCs/>
          <w:i/>
          <w:iCs/>
          <w:sz w:val="24"/>
          <w:szCs w:val="24"/>
          <w:u w:val="single"/>
        </w:rPr>
        <w:t xml:space="preserve">分批送货、分批开具发票。合同生效收到合同总价10%的履约保证金，每批货物安装、调试完成并通过项目主管部门及需求科室联合验收合格收到发票后10个工作日内支付该批次款项</w:t>
      </w:r>
      <w:r>
        <w:rPr>
          <w:rFonts w:hint="eastAsia"/>
          <w:bCs/>
          <w:sz w:val="24"/>
          <w:szCs w:val="24"/>
        </w:rPr>
        <w:t xml:space="preserve">。</w:t>
      </w:r>
      <w:r>
        <w:rPr>
          <w:rFonts w:ascii="宋体" w:hAnsi="宋体" w:cs="宋体"/>
          <w:bCs/>
          <w:sz w:val="24"/>
        </w:rPr>
      </w:r>
      <w:r/>
    </w:p>
    <w:p>
      <w:pPr>
        <w:pStyle w:val="734"/>
        <w:ind w:firstLine="480"/>
        <w:spacing w:line="360" w:lineRule="auto"/>
        <w:rPr>
          <w:rFonts w:ascii="宋体" w:hAnsi="宋体" w:cs="宋体"/>
          <w:bCs/>
          <w:sz w:val="24"/>
        </w:rPr>
      </w:pPr>
      <w:r>
        <w:rPr>
          <w:rFonts w:hint="eastAsia" w:ascii="宋体" w:hAnsi="宋体" w:cs="宋体"/>
          <w:bCs/>
          <w:sz w:val="24"/>
        </w:rPr>
        <w:t xml:space="preserve">3.2有质量问题时，供应商需修复好产品缺陷并赔偿采购人经济损失。</w:t>
      </w:r>
      <w:r>
        <w:rPr>
          <w:rFonts w:ascii="宋体" w:hAnsi="宋体" w:cs="宋体"/>
          <w:bCs/>
          <w:sz w:val="24"/>
        </w:rPr>
      </w:r>
      <w:r/>
    </w:p>
    <w:p>
      <w:pPr>
        <w:pStyle w:val="736"/>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六、其他要求</w:t>
      </w:r>
      <w:r>
        <w:rPr>
          <w:rFonts w:hint="eastAsia" w:ascii="黑体" w:hAnsi="黑体" w:eastAsia="黑体"/>
          <w:b w:val="0"/>
          <w:bCs w:val="0"/>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rPr>
          <w:rFonts w:hint="eastAsia" w:ascii="方正仿宋_GBK" w:hAnsi="方正仿宋_GBK" w:eastAsia="方正仿宋_GBK" w:cs="方正仿宋_GBK"/>
          <w:bCs/>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73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3369" w:type="dxa"/>
            <w:vAlign w:val="top"/>
            <w:textDirection w:val="lrTb"/>
            <w:noWrap w:val="false"/>
          </w:tcPr>
          <w:p>
            <w:pPr>
              <w:pStyle w:val="73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核心产品</w:t>
            </w:r>
            <w:r>
              <w:rPr>
                <w:rFonts w:hint="eastAsia" w:ascii="方正仿宋_GBK" w:hAnsi="方正仿宋_GBK" w:eastAsia="方正仿宋_GBK" w:cs="方正仿宋_GBK"/>
                <w:color w:val="000000"/>
                <w:sz w:val="28"/>
                <w:szCs w:val="28"/>
              </w:rPr>
            </w:r>
            <w:r/>
          </w:p>
        </w:tc>
      </w:tr>
      <w:tr>
        <w:trPr/>
        <w:tc>
          <w:tcPr>
            <w:tcW w:w="1681" w:type="dxa"/>
            <w:vAlign w:val="top"/>
            <w:textDirection w:val="lrTb"/>
            <w:noWrap w:val="false"/>
          </w:tcPr>
          <w:p>
            <w:pPr>
              <w:pStyle w:val="734"/>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369" w:type="dxa"/>
            <w:vAlign w:val="top"/>
            <w:textDirection w:val="lrTb"/>
            <w:noWrap w:val="false"/>
          </w:tcPr>
          <w:p>
            <w:pPr>
              <w:pStyle w:val="734"/>
              <w:jc w:val="center"/>
              <w:spacing w:line="400" w:lineRule="exact"/>
              <w:rPr>
                <w:rFonts w:hint="eastAsia" w:ascii="方正仿宋_GBK" w:hAnsi="方正仿宋_GBK" w:eastAsia="方正仿宋_GBK" w:cs="方正仿宋_GBK"/>
                <w:color w:val="000000"/>
                <w:sz w:val="28"/>
                <w:szCs w:val="28"/>
              </w:rPr>
            </w:pPr>
            <w:r>
              <w:rPr>
                <w:rFonts w:hint="eastAsia" w:ascii="宋体" w:hAnsi="宋体"/>
                <w:b/>
                <w:bCs/>
                <w:color w:val="000000"/>
                <w:sz w:val="24"/>
              </w:rPr>
              <w:t xml:space="preserve">台式计算机</w:t>
            </w:r>
            <w:r>
              <w:rPr>
                <w:rFonts w:hint="eastAsia" w:ascii="方正仿宋_GBK" w:hAnsi="方正仿宋_GBK" w:eastAsia="方正仿宋_GBK" w:cs="方正仿宋_GBK"/>
                <w:color w:val="000000"/>
                <w:sz w:val="28"/>
                <w:szCs w:val="28"/>
              </w:rPr>
            </w:r>
            <w:r/>
          </w:p>
        </w:tc>
      </w:tr>
    </w:tbl>
    <w:p>
      <w:pPr>
        <w:pStyle w:val="73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734"/>
        <w:spacing w:line="400" w:lineRule="exact"/>
        <w:rPr>
          <w:rFonts w:hint="eastAsia" w:ascii="宋体" w:hAnsi="宋体"/>
          <w:color w:val="ff0000"/>
          <w:sz w:val="24"/>
          <w:szCs w:val="24"/>
        </w:rPr>
      </w:pPr>
      <w:r/>
      <w:bookmarkStart w:id="185" w:name="_Toc120614281"/>
      <w:r>
        <w:rPr>
          <w:rFonts w:hint="eastAsia" w:ascii="宋体" w:hAnsi="宋体"/>
          <w:color w:val="ff0000"/>
          <w:sz w:val="24"/>
          <w:szCs w:val="24"/>
        </w:rPr>
      </w:r>
      <w:r/>
    </w:p>
    <w:p>
      <w:pPr>
        <w:pStyle w:val="736"/>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第五章  评标方法与评标标准</w:t>
      </w:r>
      <w:r>
        <w:rPr>
          <w:rFonts w:hint="eastAsia" w:ascii="黑体" w:hAnsi="黑体" w:eastAsia="黑体"/>
          <w:b w:val="0"/>
          <w:bCs w:val="0"/>
          <w:sz w:val="28"/>
          <w:szCs w:val="28"/>
        </w:rPr>
      </w:r>
      <w:r/>
    </w:p>
    <w:p>
      <w:pPr>
        <w:pStyle w:val="734"/>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1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734"/>
        <w:ind w:firstLine="560"/>
        <w:jc w:val="left"/>
        <w:spacing w:before="120" w:after="120"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734"/>
        <w:ind w:firstLine="420"/>
        <w:jc w:val="lef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734"/>
        <w:ind w:firstLine="42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734"/>
        <w:ind w:firstLine="560"/>
        <w:jc w:val="lef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rPr>
      </w:r>
      <w:r/>
    </w:p>
    <w:p>
      <w:pPr>
        <w:pStyle w:val="734"/>
        <w:ind w:firstLine="560"/>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734"/>
        <w:ind w:firstLine="560"/>
        <w:jc w:val="left"/>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p>
      <w:pPr>
        <w:pStyle w:val="734"/>
        <w:ind w:firstLine="504"/>
        <w:jc w:val="left"/>
        <w:spacing w:line="360" w:lineRule="auto"/>
        <w:rPr>
          <w:rFonts w:ascii="宋体" w:hAnsi="宋体" w:cs="宋体"/>
          <w:sz w:val="24"/>
          <w:szCs w:val="24"/>
        </w:rPr>
      </w:pPr>
      <w:r>
        <w:rPr>
          <w:rFonts w:hint="eastAsia" w:ascii="宋体" w:hAnsi="宋体" w:cs="宋体"/>
          <w:sz w:val="24"/>
          <w:szCs w:val="24"/>
        </w:rPr>
        <w:t xml:space="preserve">本项目采用综合评分法确定中标候选人。评标委员会将按下列评分办法和标准进行评分，总分值为100分。</w:t>
      </w:r>
      <w:r>
        <w:rPr>
          <w:rFonts w:ascii="宋体" w:hAnsi="宋体" w:cs="宋体"/>
          <w:sz w:val="24"/>
          <w:szCs w:val="24"/>
        </w:rPr>
      </w:r>
      <w:r/>
    </w:p>
    <w:p>
      <w:pPr>
        <w:pStyle w:val="734"/>
        <w:ind w:firstLine="482"/>
        <w:spacing w:line="360" w:lineRule="auto"/>
        <w:rPr>
          <w:rFonts w:ascii="宋体" w:hAnsi="宋体" w:cs="宋体"/>
          <w:b/>
          <w:sz w:val="24"/>
        </w:rPr>
      </w:pPr>
      <w:r>
        <w:rPr>
          <w:rFonts w:hint="eastAsia" w:ascii="宋体" w:hAnsi="宋体" w:cs="宋体"/>
          <w:b/>
          <w:sz w:val="24"/>
        </w:rPr>
        <w:t xml:space="preserve">（一）价格分（30分）</w:t>
      </w:r>
      <w:r>
        <w:rPr>
          <w:rFonts w:ascii="宋体" w:hAnsi="宋体" w:cs="宋体"/>
          <w:b/>
          <w:sz w:val="24"/>
        </w:rPr>
      </w:r>
      <w:r/>
    </w:p>
    <w:p>
      <w:pPr>
        <w:pStyle w:val="734"/>
        <w:ind w:firstLine="482"/>
        <w:spacing w:line="360" w:lineRule="auto"/>
        <w:rPr>
          <w:rFonts w:ascii="宋体" w:hAnsi="宋体" w:cs="宋体"/>
          <w:bCs/>
          <w:sz w:val="24"/>
        </w:rPr>
      </w:pPr>
      <w:r>
        <w:rPr>
          <w:rFonts w:hint="eastAsia" w:ascii="宋体" w:hAnsi="宋体" w:cs="宋体"/>
          <w:bCs/>
          <w:sz w:val="24"/>
        </w:rPr>
        <w:t xml:space="preserve">1.1价格分采用低价优先法计算，即满足采购文件要求且报价最低的供应商报价为评标基准价，其价格分为满分30分，其它投标人的价格分按照以下公式计算：投标报价得分=（评标基准价/该投标人的投标报价）×30分。分值四舍五入保留小数点后2位。</w:t>
      </w:r>
      <w:r>
        <w:rPr>
          <w:rFonts w:ascii="宋体" w:hAnsi="宋体" w:cs="宋体"/>
          <w:bCs/>
          <w:sz w:val="24"/>
        </w:rPr>
      </w:r>
      <w:r/>
    </w:p>
    <w:p>
      <w:pPr>
        <w:pStyle w:val="734"/>
        <w:ind w:firstLine="482"/>
        <w:spacing w:line="360" w:lineRule="auto"/>
        <w:rPr>
          <w:rFonts w:ascii="宋体" w:hAnsi="宋体" w:cs="宋体"/>
          <w:b/>
          <w:sz w:val="24"/>
        </w:rPr>
      </w:pPr>
      <w:r>
        <w:rPr>
          <w:rFonts w:hint="eastAsia" w:ascii="宋体" w:hAnsi="宋体" w:cs="宋体"/>
          <w:b/>
          <w:sz w:val="24"/>
        </w:rPr>
        <w:t xml:space="preserve">（二）技术参数及性能等（3</w:t>
      </w:r>
      <w:r>
        <w:rPr>
          <w:rFonts w:ascii="宋体" w:hAnsi="宋体" w:cs="宋体"/>
          <w:b/>
          <w:sz w:val="24"/>
        </w:rPr>
        <w:t xml:space="preserve">5</w:t>
      </w:r>
      <w:r>
        <w:rPr>
          <w:rFonts w:hint="eastAsia" w:ascii="宋体" w:hAnsi="宋体" w:cs="宋体"/>
          <w:b/>
          <w:sz w:val="24"/>
        </w:rPr>
        <w:t xml:space="preserve">分）</w:t>
      </w:r>
      <w:r>
        <w:rPr>
          <w:rFonts w:ascii="宋体" w:hAnsi="宋体" w:cs="宋体"/>
          <w:b/>
          <w:sz w:val="24"/>
        </w:rPr>
      </w:r>
      <w:r/>
    </w:p>
    <w:p>
      <w:pPr>
        <w:pStyle w:val="734"/>
        <w:ind w:firstLine="482"/>
        <w:spacing w:line="360" w:lineRule="auto"/>
        <w:rPr>
          <w:rFonts w:hint="eastAsia" w:ascii="宋体" w:hAnsi="宋体" w:cs="宋体"/>
          <w:bCs/>
          <w:sz w:val="24"/>
        </w:rPr>
      </w:pPr>
      <w:r>
        <w:rPr>
          <w:rFonts w:hint="eastAsia" w:ascii="宋体" w:hAnsi="宋体" w:cs="宋体"/>
          <w:bCs/>
          <w:sz w:val="24"/>
        </w:rPr>
        <w:t xml:space="preserve">2.1</w:t>
      </w:r>
      <w:r>
        <w:rPr>
          <w:rFonts w:ascii="宋体" w:hAnsi="宋体" w:cs="宋体"/>
          <w:bCs/>
          <w:sz w:val="24"/>
        </w:rPr>
        <w:t xml:space="preserve">投标产品对招标文件具体需求的响应程度：</w:t>
      </w:r>
      <w:r>
        <w:rPr>
          <w:rFonts w:hint="eastAsia" w:ascii="宋体" w:hAnsi="宋体"/>
          <w:b/>
          <w:i/>
          <w:sz w:val="24"/>
          <w:u w:val="single"/>
        </w:rPr>
        <w:t xml:space="preserve">斜体下划线加粗项为实质性要求参数，不满足为无效投标；</w:t>
      </w:r>
      <w:r>
        <w:rPr>
          <w:rFonts w:hint="eastAsia" w:ascii="宋体" w:hAnsi="宋体" w:cs="宋体"/>
          <w:bCs/>
          <w:sz w:val="24"/>
        </w:rPr>
        <w:t xml:space="preserve">全部</w:t>
      </w:r>
      <w:r>
        <w:rPr>
          <w:rFonts w:ascii="宋体" w:hAnsi="宋体" w:cs="宋体"/>
          <w:bCs/>
          <w:sz w:val="24"/>
        </w:rPr>
        <w:t xml:space="preserve">响应即满足招标文件</w:t>
      </w:r>
      <w:r>
        <w:rPr>
          <w:rFonts w:hint="eastAsia" w:ascii="宋体" w:hAnsi="宋体" w:cs="宋体"/>
          <w:bCs/>
          <w:sz w:val="24"/>
        </w:rPr>
        <w:t xml:space="preserve">“技术参数”要求</w:t>
      </w:r>
      <w:r>
        <w:rPr>
          <w:rFonts w:ascii="宋体" w:hAnsi="宋体" w:cs="宋体"/>
          <w:bCs/>
          <w:sz w:val="24"/>
        </w:rPr>
        <w:t xml:space="preserve">的得35分</w:t>
      </w:r>
      <w:r>
        <w:rPr>
          <w:rFonts w:hint="eastAsia" w:ascii="宋体" w:hAnsi="宋体" w:cs="宋体"/>
          <w:bCs/>
          <w:sz w:val="24"/>
        </w:rPr>
        <w:t xml:space="preserve">，打▲项为重要指标，有负偏离的，每项扣5分；打☆为一般指标，有负偏离的每项扣</w:t>
      </w:r>
      <w:r>
        <w:rPr>
          <w:rFonts w:ascii="宋体" w:hAnsi="宋体" w:cs="宋体"/>
          <w:bCs/>
          <w:sz w:val="24"/>
        </w:rPr>
        <w:t xml:space="preserve">2</w:t>
      </w:r>
      <w:r>
        <w:rPr>
          <w:rFonts w:hint="eastAsia" w:ascii="宋体" w:hAnsi="宋体" w:cs="宋体"/>
          <w:bCs/>
          <w:sz w:val="24"/>
        </w:rPr>
        <w:t xml:space="preserve">分，扣完为止。（投标人需按照本采购文件具体功能技术要求等，在“技术参数响应及偏离表”中如实详细填列所投产品的参数，并按采购文件要求提供制造商官方发布的产品彩页、功能截图等证明材料并在偏离表中标明所在页码，否则评标委员会有权做负偏离处理）</w:t>
      </w:r>
      <w:r>
        <w:rPr>
          <w:rFonts w:hint="eastAsia" w:ascii="宋体" w:hAnsi="宋体" w:cs="宋体"/>
          <w:bCs/>
          <w:sz w:val="24"/>
        </w:rPr>
      </w:r>
      <w:r/>
    </w:p>
    <w:p>
      <w:pPr>
        <w:pStyle w:val="734"/>
        <w:ind w:firstLine="482"/>
        <w:spacing w:line="360" w:lineRule="auto"/>
        <w:rPr>
          <w:rFonts w:ascii="宋体" w:hAnsi="宋体" w:cs="宋体"/>
          <w:b/>
          <w:sz w:val="24"/>
        </w:rPr>
      </w:pPr>
      <w:r>
        <w:rPr>
          <w:rFonts w:ascii="宋体" w:hAnsi="宋体" w:cs="宋体"/>
          <w:b/>
          <w:sz w:val="24"/>
        </w:rPr>
        <w:t xml:space="preserve">（三）项目实施</w:t>
      </w:r>
      <w:r>
        <w:rPr>
          <w:rFonts w:hint="eastAsia" w:ascii="宋体" w:hAnsi="宋体" w:cs="宋体"/>
          <w:b/>
          <w:sz w:val="24"/>
        </w:rPr>
        <w:t xml:space="preserve">、巡检、应急</w:t>
      </w:r>
      <w:r>
        <w:rPr>
          <w:rFonts w:ascii="宋体" w:hAnsi="宋体" w:cs="宋体"/>
          <w:b/>
          <w:sz w:val="24"/>
        </w:rPr>
        <w:t xml:space="preserve">方案（</w:t>
      </w:r>
      <w:r>
        <w:rPr>
          <w:rFonts w:hint="eastAsia" w:ascii="宋体" w:hAnsi="宋体" w:cs="宋体"/>
          <w:b/>
          <w:sz w:val="24"/>
        </w:rPr>
        <w:t xml:space="preserve">12</w:t>
      </w:r>
      <w:r>
        <w:rPr>
          <w:rFonts w:ascii="宋体" w:hAnsi="宋体" w:cs="宋体"/>
          <w:b/>
          <w:sz w:val="24"/>
        </w:rPr>
        <w:t xml:space="preserve">分）</w:t>
      </w:r>
      <w:r>
        <w:rPr>
          <w:rFonts w:ascii="宋体" w:hAnsi="宋体" w:cs="宋体"/>
          <w:b/>
          <w:sz w:val="24"/>
        </w:rPr>
      </w:r>
      <w:r/>
    </w:p>
    <w:p>
      <w:pPr>
        <w:pStyle w:val="734"/>
        <w:keepLines w:val="0"/>
        <w:keepNext w:val="0"/>
        <w:pageBreakBefore w:val="0"/>
        <w:spacing w:line="360" w:lineRule="auto"/>
        <w:rPr>
          <w:rFonts w:ascii="宋体" w:hAnsi="宋体" w:cs="宋体"/>
          <w:bCs/>
          <w:sz w:val="24"/>
        </w:rPr>
      </w:pPr>
      <w:r>
        <w:rPr>
          <w:rFonts w:hint="eastAsia" w:ascii="宋体" w:hAnsi="宋体" w:cs="宋体"/>
          <w:bCs/>
          <w:sz w:val="24"/>
        </w:rPr>
        <w:t xml:space="preserve">3.1项目实施方案</w:t>
      </w:r>
      <w:r>
        <w:rPr>
          <w:rFonts w:ascii="宋体" w:hAnsi="宋体" w:cs="宋体"/>
          <w:bCs/>
          <w:sz w:val="24"/>
        </w:rPr>
        <w:t xml:space="preserve">（</w:t>
      </w:r>
      <w:r>
        <w:rPr>
          <w:rFonts w:hint="eastAsia" w:ascii="宋体" w:hAnsi="宋体" w:cs="宋体"/>
          <w:bCs/>
          <w:sz w:val="24"/>
        </w:rPr>
        <w:t xml:space="preserve">4分</w:t>
      </w:r>
      <w:r>
        <w:rPr>
          <w:rFonts w:ascii="宋体" w:hAnsi="宋体" w:cs="宋体"/>
          <w:bCs/>
          <w:sz w:val="24"/>
        </w:rPr>
        <w:t xml:space="preserve">）</w:t>
      </w:r>
      <w:r>
        <w:rPr>
          <w:rFonts w:hint="eastAsia" w:ascii="宋体" w:hAnsi="宋体" w:cs="宋体"/>
          <w:bCs/>
          <w:sz w:val="24"/>
        </w:rPr>
        <w:t xml:space="preserve">：</w:t>
      </w:r>
      <w:r>
        <w:rPr>
          <w:rFonts w:ascii="宋体" w:hAnsi="宋体" w:cs="宋体"/>
          <w:bCs/>
          <w:sz w:val="24"/>
        </w:rPr>
        <w:t xml:space="preserve">投标人</w:t>
      </w:r>
      <w:r>
        <w:rPr>
          <w:rFonts w:hint="eastAsia" w:ascii="宋体" w:hAnsi="宋体" w:cs="宋体"/>
          <w:bCs/>
          <w:sz w:val="24"/>
        </w:rPr>
        <w:t xml:space="preserve">应</w:t>
      </w:r>
      <w:r>
        <w:rPr>
          <w:rFonts w:ascii="宋体" w:hAnsi="宋体" w:cs="宋体"/>
          <w:bCs/>
          <w:sz w:val="24"/>
        </w:rPr>
        <w:t xml:space="preserve">根据招标文件</w:t>
      </w:r>
      <w:r>
        <w:rPr>
          <w:rFonts w:hint="eastAsia" w:ascii="宋体" w:hAnsi="宋体" w:cs="宋体"/>
          <w:bCs/>
          <w:sz w:val="24"/>
        </w:rPr>
        <w:t xml:space="preserve">第四章“</w:t>
      </w:r>
      <w:r>
        <w:rPr>
          <w:rFonts w:hint="eastAsia" w:ascii="宋体" w:hAnsi="宋体" w:cs="宋体"/>
          <w:b/>
          <w:sz w:val="24"/>
        </w:rPr>
        <w:t xml:space="preserve">（一）项目实施要求</w:t>
      </w:r>
      <w:r>
        <w:rPr>
          <w:rFonts w:hint="eastAsia" w:ascii="宋体" w:hAnsi="宋体" w:cs="宋体"/>
          <w:bCs/>
          <w:sz w:val="24"/>
        </w:rPr>
        <w:t xml:space="preserve">”要求</w:t>
      </w:r>
      <w:r>
        <w:rPr>
          <w:rFonts w:ascii="宋体" w:hAnsi="宋体" w:cs="宋体"/>
          <w:bCs/>
          <w:sz w:val="24"/>
        </w:rPr>
        <w:t xml:space="preserve">提供</w:t>
      </w:r>
      <w:r>
        <w:rPr>
          <w:rFonts w:hint="eastAsia" w:ascii="宋体" w:hAnsi="宋体" w:cs="宋体"/>
          <w:bCs/>
          <w:sz w:val="24"/>
        </w:rPr>
        <w:t xml:space="preserve">具体详实的项目实施方案：</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（1）投标文件未符合“方案”中全部条款要求的，视为不符合招标文件，本项得0分。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（2）投标文件符合“方案”中全部条款要求的，视为符合招标文件，本项得2分。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（3）投标文件对“方案”中全部条款全部优于招标文件要求的，本项得4分。</w:t>
      </w:r>
      <w:r>
        <w:rPr>
          <w:rFonts w:ascii="宋体" w:hAnsi="宋体" w:cs="宋体"/>
          <w:bCs/>
          <w:sz w:val="24"/>
        </w:rPr>
      </w:r>
      <w:r/>
    </w:p>
    <w:p>
      <w:pPr>
        <w:pStyle w:val="734"/>
        <w:keepLines w:val="0"/>
        <w:keepNext w:val="0"/>
        <w:pageBreakBefore w:val="0"/>
        <w:spacing w:line="360" w:lineRule="auto"/>
        <w:rPr>
          <w:rFonts w:ascii="宋体" w:hAnsi="宋体" w:cs="宋体"/>
          <w:bCs/>
          <w:sz w:val="24"/>
        </w:rPr>
      </w:pPr>
      <w:r>
        <w:rPr>
          <w:rFonts w:hint="eastAsia" w:ascii="宋体" w:hAnsi="宋体" w:cs="宋体"/>
          <w:bCs/>
          <w:sz w:val="24"/>
        </w:rPr>
        <w:t xml:space="preserve">3.2项目巡检方案</w:t>
      </w:r>
      <w:r>
        <w:rPr>
          <w:rFonts w:ascii="宋体" w:hAnsi="宋体" w:cs="宋体"/>
          <w:bCs/>
          <w:sz w:val="24"/>
        </w:rPr>
        <w:t xml:space="preserve">（</w:t>
      </w:r>
      <w:r>
        <w:rPr>
          <w:rFonts w:hint="eastAsia" w:ascii="宋体" w:hAnsi="宋体" w:cs="宋体"/>
          <w:bCs/>
          <w:sz w:val="24"/>
        </w:rPr>
        <w:t xml:space="preserve">4分</w:t>
      </w:r>
      <w:r>
        <w:rPr>
          <w:rFonts w:ascii="宋体" w:hAnsi="宋体" w:cs="宋体"/>
          <w:bCs/>
          <w:sz w:val="24"/>
        </w:rPr>
        <w:t xml:space="preserve">）</w:t>
      </w:r>
      <w:r>
        <w:rPr>
          <w:rFonts w:hint="eastAsia" w:ascii="宋体" w:hAnsi="宋体" w:cs="宋体"/>
          <w:bCs/>
          <w:sz w:val="24"/>
        </w:rPr>
        <w:t xml:space="preserve">：</w:t>
      </w:r>
      <w:r>
        <w:rPr>
          <w:rFonts w:ascii="宋体" w:hAnsi="宋体" w:cs="宋体"/>
          <w:bCs/>
          <w:sz w:val="24"/>
        </w:rPr>
        <w:t xml:space="preserve">投标人</w:t>
      </w:r>
      <w:r>
        <w:rPr>
          <w:rFonts w:hint="eastAsia" w:ascii="宋体" w:hAnsi="宋体" w:cs="宋体"/>
          <w:bCs/>
          <w:sz w:val="24"/>
        </w:rPr>
        <w:t xml:space="preserve">应</w:t>
      </w:r>
      <w:r>
        <w:rPr>
          <w:rFonts w:ascii="宋体" w:hAnsi="宋体" w:cs="宋体"/>
          <w:bCs/>
          <w:sz w:val="24"/>
        </w:rPr>
        <w:t xml:space="preserve">根据招标文件</w:t>
      </w:r>
      <w:r>
        <w:rPr>
          <w:rFonts w:hint="eastAsia" w:ascii="宋体" w:hAnsi="宋体" w:cs="宋体"/>
          <w:bCs/>
          <w:sz w:val="24"/>
        </w:rPr>
        <w:t xml:space="preserve">第四章“</w:t>
      </w:r>
      <w:r>
        <w:rPr>
          <w:rFonts w:hint="eastAsia" w:ascii="宋体" w:hAnsi="宋体" w:cs="宋体"/>
          <w:b/>
          <w:sz w:val="24"/>
        </w:rPr>
        <w:t xml:space="preserve">（二）项目巡检要求</w:t>
      </w:r>
      <w:r>
        <w:rPr>
          <w:rFonts w:hint="eastAsia" w:ascii="宋体" w:hAnsi="宋体" w:cs="宋体"/>
          <w:bCs/>
          <w:sz w:val="24"/>
        </w:rPr>
        <w:t xml:space="preserve">”要求</w:t>
      </w:r>
      <w:r>
        <w:rPr>
          <w:rFonts w:ascii="宋体" w:hAnsi="宋体" w:cs="宋体"/>
          <w:bCs/>
          <w:sz w:val="24"/>
        </w:rPr>
        <w:t xml:space="preserve">提供</w:t>
      </w:r>
      <w:r>
        <w:rPr>
          <w:rFonts w:hint="eastAsia" w:ascii="宋体" w:hAnsi="宋体" w:cs="宋体"/>
          <w:bCs/>
          <w:sz w:val="24"/>
        </w:rPr>
        <w:t xml:space="preserve">具体详实的项目巡检方案：</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（1）投标文件未符合“方案”中全部条款要求的，视为不符合招标文件，本项得0分。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（2）投标文件符合“方案”中全部条款要求的，视为符合招标文件，本项得2分。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（3）投标文件对“方案”中全部条款全部优于招标文件要求的，本项得4分。</w:t>
      </w:r>
      <w:r>
        <w:rPr>
          <w:rFonts w:ascii="宋体" w:hAnsi="宋体" w:cs="宋体"/>
          <w:bCs/>
          <w:sz w:val="24"/>
        </w:rPr>
      </w:r>
      <w:r/>
    </w:p>
    <w:p>
      <w:pPr>
        <w:pStyle w:val="734"/>
        <w:keepLines w:val="0"/>
        <w:keepNext w:val="0"/>
        <w:pageBreakBefore w:val="0"/>
        <w:spacing w:line="360" w:lineRule="auto"/>
        <w:rPr>
          <w:rFonts w:ascii="宋体" w:hAnsi="宋体" w:cs="宋体"/>
          <w:bCs/>
          <w:sz w:val="24"/>
        </w:rPr>
      </w:pPr>
      <w:r>
        <w:rPr>
          <w:rFonts w:hint="eastAsia" w:ascii="宋体" w:hAnsi="宋体" w:cs="宋体"/>
          <w:bCs/>
          <w:sz w:val="24"/>
        </w:rPr>
        <w:t xml:space="preserve">3.3项目应急处理方案</w:t>
      </w:r>
      <w:r>
        <w:rPr>
          <w:rFonts w:ascii="宋体" w:hAnsi="宋体" w:cs="宋体"/>
          <w:bCs/>
          <w:sz w:val="24"/>
        </w:rPr>
        <w:t xml:space="preserve">（</w:t>
      </w:r>
      <w:r>
        <w:rPr>
          <w:rFonts w:hint="eastAsia" w:ascii="宋体" w:hAnsi="宋体" w:cs="宋体"/>
          <w:bCs/>
          <w:sz w:val="24"/>
        </w:rPr>
        <w:t xml:space="preserve">4分</w:t>
      </w:r>
      <w:r>
        <w:rPr>
          <w:rFonts w:ascii="宋体" w:hAnsi="宋体" w:cs="宋体"/>
          <w:bCs/>
          <w:sz w:val="24"/>
        </w:rPr>
        <w:t xml:space="preserve">）</w:t>
      </w:r>
      <w:r>
        <w:rPr>
          <w:rFonts w:hint="eastAsia" w:ascii="宋体" w:hAnsi="宋体" w:cs="宋体"/>
          <w:bCs/>
          <w:sz w:val="24"/>
        </w:rPr>
        <w:t xml:space="preserve">：</w:t>
      </w:r>
      <w:r>
        <w:rPr>
          <w:rFonts w:ascii="宋体" w:hAnsi="宋体" w:cs="宋体"/>
          <w:bCs/>
          <w:sz w:val="24"/>
        </w:rPr>
        <w:t xml:space="preserve">投标人</w:t>
      </w:r>
      <w:r>
        <w:rPr>
          <w:rFonts w:hint="eastAsia" w:ascii="宋体" w:hAnsi="宋体" w:cs="宋体"/>
          <w:bCs/>
          <w:sz w:val="24"/>
        </w:rPr>
        <w:t xml:space="preserve">应</w:t>
      </w:r>
      <w:r>
        <w:rPr>
          <w:rFonts w:ascii="宋体" w:hAnsi="宋体" w:cs="宋体"/>
          <w:bCs/>
          <w:sz w:val="24"/>
        </w:rPr>
        <w:t xml:space="preserve">根据招标文件</w:t>
      </w:r>
      <w:r>
        <w:rPr>
          <w:rFonts w:hint="eastAsia" w:ascii="宋体" w:hAnsi="宋体" w:cs="宋体"/>
          <w:bCs/>
          <w:sz w:val="24"/>
        </w:rPr>
        <w:t xml:space="preserve">第四章“</w:t>
      </w:r>
      <w:r>
        <w:rPr>
          <w:rFonts w:hint="eastAsia" w:ascii="宋体" w:hAnsi="宋体" w:cs="宋体"/>
          <w:b/>
          <w:sz w:val="24"/>
        </w:rPr>
        <w:t xml:space="preserve">（三）应急处理要求</w:t>
      </w:r>
      <w:r>
        <w:rPr>
          <w:rFonts w:hint="eastAsia" w:ascii="宋体" w:hAnsi="宋体" w:cs="宋体"/>
          <w:bCs/>
          <w:sz w:val="24"/>
        </w:rPr>
        <w:t xml:space="preserve">”要求</w:t>
      </w:r>
      <w:r>
        <w:rPr>
          <w:rFonts w:ascii="宋体" w:hAnsi="宋体" w:cs="宋体"/>
          <w:bCs/>
          <w:sz w:val="24"/>
        </w:rPr>
        <w:t xml:space="preserve">提供</w:t>
      </w:r>
      <w:r>
        <w:rPr>
          <w:rFonts w:hint="eastAsia" w:ascii="宋体" w:hAnsi="宋体" w:cs="宋体"/>
          <w:bCs/>
          <w:sz w:val="24"/>
        </w:rPr>
        <w:t xml:space="preserve">具体详实的项目应急处理方案：</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（1）投标文件未符合“方案”中全部条款要求的，视为不符合招标文件，本项得0分。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（2）投标文件符合“方案”中全部条款要求的，视为符合招标文件，本项得2分。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（3）投标文件对“方案”中全部条款全部优于招标文件要求的，本项得4分。</w:t>
      </w:r>
      <w:r>
        <w:rPr>
          <w:rFonts w:ascii="宋体" w:hAnsi="宋体" w:cs="宋体"/>
          <w:bCs/>
          <w:sz w:val="24"/>
        </w:rPr>
      </w:r>
      <w:r/>
    </w:p>
    <w:p>
      <w:pPr>
        <w:pStyle w:val="734"/>
        <w:ind w:firstLine="482"/>
        <w:keepLines w:val="0"/>
        <w:keepNext w:val="0"/>
        <w:pageBreakBefore w:val="0"/>
        <w:spacing w:line="360" w:lineRule="auto"/>
        <w:rPr>
          <w:rFonts w:ascii="宋体" w:hAnsi="宋体" w:cs="宋体"/>
          <w:b/>
          <w:sz w:val="24"/>
        </w:rPr>
      </w:pPr>
      <w:r>
        <w:rPr>
          <w:rFonts w:ascii="宋体" w:hAnsi="宋体" w:cs="宋体"/>
          <w:b/>
          <w:sz w:val="24"/>
        </w:rPr>
        <w:t xml:space="preserve">（四）售后服务</w:t>
      </w:r>
      <w:r>
        <w:rPr>
          <w:rFonts w:hint="eastAsia" w:ascii="宋体" w:hAnsi="宋体" w:cs="宋体"/>
          <w:b/>
          <w:sz w:val="24"/>
        </w:rPr>
        <w:t xml:space="preserve">、培训、配合验收方案（</w:t>
      </w:r>
      <w:r>
        <w:rPr>
          <w:rFonts w:ascii="宋体" w:hAnsi="宋体" w:cs="宋体"/>
          <w:b/>
          <w:sz w:val="24"/>
        </w:rPr>
        <w:t xml:space="preserve">9</w:t>
      </w:r>
      <w:r>
        <w:rPr>
          <w:rFonts w:hint="eastAsia" w:ascii="宋体" w:hAnsi="宋体" w:cs="宋体"/>
          <w:b/>
          <w:sz w:val="24"/>
        </w:rPr>
        <w:t xml:space="preserve">分）</w:t>
      </w:r>
      <w:r>
        <w:rPr>
          <w:rFonts w:ascii="宋体" w:hAnsi="宋体" w:cs="宋体"/>
          <w:b/>
          <w:sz w:val="24"/>
        </w:rPr>
      </w:r>
      <w:r/>
    </w:p>
    <w:p>
      <w:pPr>
        <w:pStyle w:val="734"/>
        <w:keepLines w:val="0"/>
        <w:keepNext w:val="0"/>
        <w:pageBreakBefore w:val="0"/>
        <w:spacing w:line="360" w:lineRule="auto"/>
        <w:widowControl/>
        <w:rPr>
          <w:rFonts w:ascii="宋体" w:hAnsi="宋体" w:cs="宋体"/>
          <w:bCs/>
          <w:sz w:val="24"/>
        </w:rPr>
      </w:pPr>
      <w:r>
        <w:rPr>
          <w:rFonts w:ascii="宋体" w:hAnsi="宋体" w:cs="宋体"/>
          <w:bCs/>
          <w:sz w:val="24"/>
        </w:rPr>
        <w:t xml:space="preserve">4.1</w:t>
      </w:r>
      <w:r>
        <w:rPr>
          <w:rFonts w:hint="eastAsia" w:ascii="宋体" w:hAnsi="宋体" w:cs="宋体"/>
          <w:bCs/>
          <w:sz w:val="24"/>
        </w:rPr>
        <w:t xml:space="preserve">售后服务方案（</w:t>
      </w:r>
      <w:r>
        <w:rPr>
          <w:rFonts w:ascii="宋体" w:hAnsi="宋体" w:cs="宋体"/>
          <w:bCs/>
          <w:sz w:val="24"/>
        </w:rPr>
        <w:t xml:space="preserve">3</w:t>
      </w:r>
      <w:r>
        <w:rPr>
          <w:rFonts w:hint="eastAsia" w:ascii="宋体" w:hAnsi="宋体" w:cs="宋体"/>
          <w:bCs/>
          <w:sz w:val="24"/>
        </w:rPr>
        <w:t xml:space="preserve">分）：</w:t>
      </w:r>
      <w:r>
        <w:rPr>
          <w:rFonts w:ascii="宋体" w:hAnsi="宋体" w:cs="宋体"/>
          <w:bCs/>
          <w:sz w:val="24"/>
        </w:rPr>
        <w:t xml:space="preserve">投标人根据招标文件</w:t>
      </w:r>
      <w:r>
        <w:rPr>
          <w:rFonts w:hint="eastAsia" w:ascii="宋体" w:hAnsi="宋体" w:cs="宋体"/>
          <w:bCs/>
          <w:sz w:val="24"/>
        </w:rPr>
        <w:t xml:space="preserve">第四章“</w:t>
      </w:r>
      <w:r>
        <w:rPr>
          <w:rFonts w:hint="eastAsia" w:ascii="宋体" w:hAnsi="宋体" w:cs="宋体"/>
          <w:b/>
          <w:sz w:val="24"/>
        </w:rPr>
        <w:t xml:space="preserve">（四）售后服务要求</w:t>
      </w:r>
      <w:r>
        <w:rPr>
          <w:rFonts w:hint="eastAsia" w:ascii="宋体" w:hAnsi="宋体" w:cs="宋体"/>
          <w:bCs/>
          <w:sz w:val="24"/>
        </w:rPr>
        <w:t xml:space="preserve">”要求</w:t>
      </w:r>
      <w:r>
        <w:rPr>
          <w:rFonts w:ascii="宋体" w:hAnsi="宋体" w:cs="宋体"/>
          <w:bCs/>
          <w:sz w:val="24"/>
        </w:rPr>
        <w:t xml:space="preserve">提供</w:t>
      </w:r>
      <w:r>
        <w:rPr>
          <w:rFonts w:hint="eastAsia" w:ascii="宋体" w:hAnsi="宋体" w:cs="宋体"/>
          <w:bCs/>
          <w:sz w:val="24"/>
        </w:rPr>
        <w:t xml:space="preserve">具体详实的售后服务方案：</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（1）投标文件未符合“方案”中全部条款要求的，视为不符合招标文件，本项得0分。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（2）投标文件符合“方案”中全部条款要求的，视为符合招标文件，本项得2分。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（3）投标文件对“方案”中全部条款全部优于招标文件要求的，本项得</w:t>
      </w:r>
      <w:r>
        <w:rPr>
          <w:rFonts w:ascii="宋体" w:hAnsi="宋体" w:cs="宋体"/>
          <w:bCs/>
          <w:sz w:val="24"/>
        </w:rPr>
        <w:t xml:space="preserve">3</w:t>
      </w:r>
      <w:r>
        <w:rPr>
          <w:rFonts w:hint="eastAsia" w:ascii="宋体" w:hAnsi="宋体" w:cs="宋体"/>
          <w:bCs/>
          <w:sz w:val="24"/>
        </w:rPr>
        <w:t xml:space="preserve">分。</w:t>
      </w:r>
      <w:r>
        <w:rPr>
          <w:rFonts w:ascii="宋体" w:hAnsi="宋体" w:cs="宋体"/>
          <w:bCs/>
          <w:sz w:val="24"/>
        </w:rPr>
      </w:r>
      <w:r/>
    </w:p>
    <w:p>
      <w:pPr>
        <w:pStyle w:val="734"/>
        <w:keepLines w:val="0"/>
        <w:keepNext w:val="0"/>
        <w:pageBreakBefore w:val="0"/>
        <w:spacing w:line="360" w:lineRule="auto"/>
        <w:widowControl/>
        <w:rPr>
          <w:rFonts w:ascii="宋体" w:hAnsi="宋体" w:cs="宋体"/>
          <w:bCs/>
          <w:sz w:val="24"/>
        </w:rPr>
      </w:pPr>
      <w:r>
        <w:rPr>
          <w:rFonts w:hint="eastAsia" w:ascii="宋体" w:hAnsi="宋体" w:cs="宋体"/>
          <w:bCs/>
          <w:sz w:val="24"/>
        </w:rPr>
        <w:t xml:space="preserve">4.2项目培训方案（</w:t>
      </w:r>
      <w:r>
        <w:rPr>
          <w:rFonts w:ascii="宋体" w:hAnsi="宋体" w:cs="宋体"/>
          <w:bCs/>
          <w:sz w:val="24"/>
        </w:rPr>
        <w:t xml:space="preserve">3</w:t>
      </w:r>
      <w:r>
        <w:rPr>
          <w:rFonts w:hint="eastAsia" w:ascii="宋体" w:hAnsi="宋体" w:cs="宋体"/>
          <w:bCs/>
          <w:sz w:val="24"/>
        </w:rPr>
        <w:t xml:space="preserve">分）：投标人应根据招标文件要求第四章“</w:t>
      </w:r>
      <w:r>
        <w:rPr>
          <w:rFonts w:hint="eastAsia" w:ascii="宋体" w:hAnsi="宋体" w:cs="宋体"/>
          <w:b/>
          <w:sz w:val="24"/>
        </w:rPr>
        <w:t xml:space="preserve">（五）项目培训要求</w:t>
      </w:r>
      <w:r>
        <w:rPr>
          <w:rFonts w:hint="eastAsia" w:ascii="宋体" w:hAnsi="宋体" w:cs="宋体"/>
          <w:bCs/>
          <w:sz w:val="24"/>
        </w:rPr>
        <w:t xml:space="preserve">”提供具体详实的项目培训方案：</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（1）投标文件未符合“方案”中全部条款要求的，视为不符合招标文件，本项得0分。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（2）投标文件符合“方案”中全部条款要求的，视为符合招标文件，本项得2分。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（3）投标文件对“方案”中全部条款全部优于招标文件要求的，本项得</w:t>
      </w:r>
      <w:r>
        <w:rPr>
          <w:rFonts w:ascii="宋体" w:hAnsi="宋体" w:cs="宋体"/>
          <w:bCs/>
          <w:sz w:val="24"/>
        </w:rPr>
        <w:t xml:space="preserve">3</w:t>
      </w:r>
      <w:r>
        <w:rPr>
          <w:rFonts w:hint="eastAsia" w:ascii="宋体" w:hAnsi="宋体" w:cs="宋体"/>
          <w:bCs/>
          <w:sz w:val="24"/>
        </w:rPr>
        <w:t xml:space="preserve">分。</w:t>
      </w:r>
      <w:r>
        <w:rPr>
          <w:rFonts w:ascii="宋体" w:hAnsi="宋体" w:cs="宋体"/>
          <w:bCs/>
          <w:sz w:val="24"/>
        </w:rPr>
      </w:r>
      <w:r/>
    </w:p>
    <w:p>
      <w:pPr>
        <w:pStyle w:val="734"/>
        <w:keepLines w:val="0"/>
        <w:keepNext w:val="0"/>
        <w:pageBreakBefore w:val="0"/>
        <w:spacing w:line="360" w:lineRule="auto"/>
        <w:widowControl/>
        <w:rPr>
          <w:rFonts w:ascii="宋体" w:hAnsi="宋体" w:cs="宋体"/>
          <w:bCs/>
          <w:sz w:val="24"/>
        </w:rPr>
      </w:pPr>
      <w:r>
        <w:rPr>
          <w:rFonts w:hint="eastAsia" w:ascii="宋体" w:hAnsi="宋体" w:cs="宋体"/>
          <w:bCs/>
          <w:sz w:val="24"/>
        </w:rPr>
        <w:t xml:space="preserve">4.3项目配合验收方案（</w:t>
      </w:r>
      <w:r>
        <w:rPr>
          <w:rFonts w:ascii="宋体" w:hAnsi="宋体" w:cs="宋体"/>
          <w:bCs/>
          <w:sz w:val="24"/>
        </w:rPr>
        <w:t xml:space="preserve">3</w:t>
      </w:r>
      <w:r>
        <w:rPr>
          <w:rFonts w:hint="eastAsia" w:ascii="宋体" w:hAnsi="宋体" w:cs="宋体"/>
          <w:bCs/>
          <w:sz w:val="24"/>
        </w:rPr>
        <w:t xml:space="preserve">分）：投标人应根据招标文件第四章“</w:t>
      </w:r>
      <w:r>
        <w:rPr>
          <w:rFonts w:hint="eastAsia" w:ascii="宋体" w:hAnsi="宋体" w:cs="宋体"/>
          <w:b/>
          <w:sz w:val="24"/>
        </w:rPr>
        <w:t xml:space="preserve">（六）项目配合验收要求</w:t>
      </w:r>
      <w:r>
        <w:rPr>
          <w:rFonts w:hint="eastAsia" w:ascii="宋体" w:hAnsi="宋体" w:cs="宋体"/>
          <w:bCs/>
          <w:sz w:val="24"/>
        </w:rPr>
        <w:t xml:space="preserve">”要求提供具体详实的项目配合验收方案：</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（1）投标文件未符合“方案”中全部条款要求的，视为不符合招标文件，本项得0分。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（2）投标文件符合“方案”中全部条款要求的，视为符合招标文件，本项得2分。</w:t>
      </w:r>
      <w:r>
        <w:rPr>
          <w:rFonts w:ascii="宋体" w:hAnsi="宋体" w:cs="宋体"/>
          <w:bCs/>
          <w:sz w:val="24"/>
        </w:rPr>
      </w:r>
      <w:r/>
    </w:p>
    <w:p>
      <w:pPr>
        <w:pStyle w:val="734"/>
        <w:ind w:firstLine="482"/>
        <w:keepLines w:val="0"/>
        <w:keepNext w:val="0"/>
        <w:pageBreakBefore w:val="0"/>
        <w:spacing w:line="360" w:lineRule="auto"/>
        <w:rPr>
          <w:rFonts w:ascii="宋体" w:hAnsi="宋体" w:cs="宋体"/>
          <w:bCs/>
          <w:sz w:val="24"/>
        </w:rPr>
      </w:pPr>
      <w:r>
        <w:rPr>
          <w:rFonts w:hint="eastAsia" w:ascii="宋体" w:hAnsi="宋体" w:cs="宋体"/>
          <w:bCs/>
          <w:sz w:val="24"/>
        </w:rPr>
        <w:t xml:space="preserve">（3）投标文件对“方案”中全部条款全部优于招标文件要求的，本项得</w:t>
      </w:r>
      <w:r>
        <w:rPr>
          <w:rFonts w:ascii="宋体" w:hAnsi="宋体" w:cs="宋体"/>
          <w:bCs/>
          <w:sz w:val="24"/>
        </w:rPr>
        <w:t xml:space="preserve">3</w:t>
      </w:r>
      <w:r>
        <w:rPr>
          <w:rFonts w:hint="eastAsia" w:ascii="宋体" w:hAnsi="宋体" w:cs="宋体"/>
          <w:bCs/>
          <w:sz w:val="24"/>
        </w:rPr>
        <w:t xml:space="preserve">分。</w:t>
      </w:r>
      <w:r>
        <w:rPr>
          <w:rFonts w:ascii="宋体" w:hAnsi="宋体" w:cs="宋体"/>
          <w:bCs/>
          <w:sz w:val="24"/>
        </w:rPr>
      </w:r>
      <w:r/>
    </w:p>
    <w:p>
      <w:pPr>
        <w:pStyle w:val="734"/>
        <w:ind w:firstLine="482"/>
        <w:spacing w:line="360" w:lineRule="auto"/>
        <w:rPr>
          <w:rFonts w:ascii="宋体" w:hAnsi="宋体" w:cs="宋体"/>
          <w:b/>
          <w:sz w:val="24"/>
        </w:rPr>
      </w:pPr>
      <w:r>
        <w:rPr>
          <w:rFonts w:ascii="宋体" w:hAnsi="宋体" w:cs="宋体"/>
          <w:b/>
          <w:sz w:val="24"/>
        </w:rPr>
        <w:t xml:space="preserve">（五）履约能力（</w:t>
      </w:r>
      <w:r>
        <w:rPr>
          <w:rFonts w:hint="eastAsia" w:ascii="宋体" w:hAnsi="宋体" w:cs="宋体"/>
          <w:b/>
          <w:sz w:val="24"/>
        </w:rPr>
        <w:t xml:space="preserve">12</w:t>
      </w:r>
      <w:r>
        <w:rPr>
          <w:rFonts w:ascii="宋体" w:hAnsi="宋体" w:cs="宋体"/>
          <w:b/>
          <w:sz w:val="24"/>
        </w:rPr>
        <w:t xml:space="preserve">分）</w:t>
      </w:r>
      <w:r>
        <w:rPr>
          <w:rFonts w:ascii="宋体" w:hAnsi="宋体" w:cs="宋体"/>
          <w:b/>
          <w:sz w:val="24"/>
        </w:rPr>
      </w:r>
      <w:r/>
    </w:p>
    <w:p>
      <w:pPr>
        <w:pStyle w:val="734"/>
        <w:ind w:firstLine="480"/>
        <w:spacing w:line="360" w:lineRule="auto"/>
        <w:rPr>
          <w:rFonts w:ascii="宋体" w:hAnsi="宋体"/>
          <w:bCs/>
          <w:sz w:val="24"/>
          <w:szCs w:val="24"/>
        </w:rPr>
      </w:pPr>
      <w:r>
        <w:rPr>
          <w:rFonts w:hint="eastAsia" w:ascii="宋体" w:hAnsi="宋体"/>
          <w:bCs/>
          <w:sz w:val="24"/>
          <w:szCs w:val="24"/>
        </w:rPr>
        <w:t xml:space="preserve">5</w:t>
      </w:r>
      <w:r>
        <w:rPr>
          <w:rFonts w:ascii="宋体" w:hAnsi="宋体"/>
          <w:bCs/>
          <w:sz w:val="24"/>
          <w:szCs w:val="24"/>
        </w:rPr>
        <w:t xml:space="preserve">.1</w:t>
      </w:r>
      <w:r>
        <w:rPr>
          <w:rFonts w:hint="eastAsia" w:ascii="宋体" w:hAnsi="宋体"/>
          <w:bCs/>
          <w:sz w:val="24"/>
          <w:szCs w:val="24"/>
        </w:rPr>
        <w:t xml:space="preserve">人员服务能力（4分）。投标人拟投入本项目的维修售后人员具有所投品牌厂商维修认证证书的，每提供一人得</w:t>
      </w:r>
      <w:r>
        <w:rPr>
          <w:rFonts w:ascii="宋体" w:hAnsi="宋体"/>
          <w:bCs/>
          <w:sz w:val="24"/>
          <w:szCs w:val="24"/>
        </w:rPr>
        <w:t xml:space="preserve">2</w:t>
      </w:r>
      <w:r>
        <w:rPr>
          <w:rFonts w:hint="eastAsia" w:ascii="宋体" w:hAnsi="宋体"/>
          <w:bCs/>
          <w:sz w:val="24"/>
          <w:szCs w:val="24"/>
        </w:rPr>
        <w:t xml:space="preserve">分，最高得</w:t>
      </w:r>
      <w:r>
        <w:rPr>
          <w:rFonts w:ascii="宋体" w:hAnsi="宋体"/>
          <w:bCs/>
          <w:sz w:val="24"/>
          <w:szCs w:val="24"/>
        </w:rPr>
        <w:t xml:space="preserve">4</w:t>
      </w:r>
      <w:r>
        <w:rPr>
          <w:rFonts w:hint="eastAsia" w:ascii="宋体" w:hAnsi="宋体"/>
          <w:bCs/>
          <w:sz w:val="24"/>
          <w:szCs w:val="24"/>
        </w:rPr>
        <w:t xml:space="preserve">分。</w:t>
      </w:r>
      <w:r>
        <w:rPr>
          <w:rFonts w:hint="eastAsia" w:ascii="宋体" w:hAnsi="宋体" w:cs="宋体"/>
          <w:bCs/>
          <w:color w:val="000000"/>
          <w:sz w:val="24"/>
          <w:szCs w:val="24"/>
        </w:rPr>
        <w:t xml:space="preserve">（提供维修人员名单、人员证书以及2</w:t>
      </w:r>
      <w:r>
        <w:rPr>
          <w:rFonts w:ascii="宋体" w:hAnsi="宋体" w:cs="宋体"/>
          <w:bCs/>
          <w:color w:val="000000"/>
          <w:sz w:val="24"/>
          <w:szCs w:val="24"/>
        </w:rPr>
        <w:t xml:space="preserve">026年</w:t>
      </w:r>
      <w:r>
        <w:rPr>
          <w:rFonts w:hint="eastAsia" w:ascii="宋体" w:hAnsi="宋体" w:cs="宋体"/>
          <w:bCs/>
          <w:color w:val="000000"/>
          <w:sz w:val="24"/>
          <w:szCs w:val="24"/>
        </w:rPr>
        <w:t xml:space="preserve">1月以来任意1个月投标人缴纳的社保证明材料，未提供不得分）</w:t>
      </w:r>
      <w:r>
        <w:rPr>
          <w:rFonts w:ascii="宋体" w:hAnsi="宋体"/>
          <w:bCs/>
          <w:sz w:val="24"/>
          <w:szCs w:val="24"/>
        </w:rPr>
      </w:r>
      <w:r/>
    </w:p>
    <w:p>
      <w:pPr>
        <w:pStyle w:val="734"/>
        <w:ind w:firstLine="480"/>
        <w:spacing w:line="360" w:lineRule="auto"/>
        <w:rPr>
          <w:rFonts w:ascii="宋体" w:hAnsi="宋体"/>
          <w:bCs/>
          <w:sz w:val="24"/>
        </w:rPr>
      </w:pPr>
      <w:r>
        <w:rPr>
          <w:rFonts w:hint="eastAsia" w:ascii="宋体" w:hAnsi="宋体"/>
          <w:bCs/>
          <w:sz w:val="24"/>
        </w:rPr>
        <w:t xml:space="preserve">5.</w:t>
      </w:r>
      <w:r>
        <w:rPr>
          <w:rFonts w:ascii="宋体" w:hAnsi="宋体"/>
          <w:bCs/>
          <w:sz w:val="24"/>
        </w:rPr>
        <w:t xml:space="preserve">2</w:t>
      </w:r>
      <w:r>
        <w:rPr>
          <w:rFonts w:hint="eastAsia" w:ascii="宋体" w:hAnsi="宋体"/>
          <w:bCs/>
          <w:sz w:val="24"/>
        </w:rPr>
        <w:t xml:space="preserve">响应时间服务能力（4分）。投标人承诺可为采购人提供驻场售后服务，能做到7*24小时维修响应。承诺函中包含汉中路院区的得2分，包含其他2个院区的，每一个院区得1分，最高得4分。需提供承诺函并加盖投标人公章，否则不得分。</w:t>
      </w:r>
      <w:r>
        <w:rPr>
          <w:rFonts w:ascii="宋体" w:hAnsi="宋体"/>
          <w:bCs/>
          <w:sz w:val="24"/>
        </w:rPr>
      </w:r>
      <w:r/>
    </w:p>
    <w:p>
      <w:pPr>
        <w:pStyle w:val="734"/>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5.3备用设备服务能力（4分）。投标人承诺为本项目提供一年备用电脑，数量不低于本项目采购数量的5%（含显示器，性能不低于本次投标产品），签订合同前备用电脑存放在采购人指定地点。当投标产品出现故障后4小时内无法修复至可正常使用或其他紧急情况，直接由投标人上门更换备用电脑。提供承诺函并加盖投标人公章得4分，否则不得分。</w:t>
      </w:r>
      <w:r>
        <w:rPr>
          <w:rFonts w:ascii="宋体" w:hAnsi="宋体" w:cs="宋体"/>
          <w:bCs/>
          <w:color w:val="000000"/>
          <w:sz w:val="24"/>
          <w:szCs w:val="24"/>
        </w:rPr>
      </w:r>
      <w:r/>
    </w:p>
    <w:p>
      <w:pPr>
        <w:pStyle w:val="734"/>
        <w:ind w:firstLine="482"/>
        <w:spacing w:line="360" w:lineRule="auto"/>
        <w:rPr>
          <w:rFonts w:ascii="宋体" w:hAnsi="宋体"/>
          <w:b/>
          <w:bCs/>
          <w:sz w:val="24"/>
        </w:rPr>
      </w:pPr>
      <w:r>
        <w:rPr>
          <w:rFonts w:hint="eastAsia" w:ascii="宋体" w:hAnsi="宋体"/>
          <w:b/>
          <w:bCs/>
          <w:sz w:val="24"/>
        </w:rPr>
        <w:t xml:space="preserve">（六）环境标志产品（2分）</w:t>
      </w:r>
      <w:r>
        <w:rPr>
          <w:rFonts w:ascii="宋体" w:hAnsi="宋体"/>
          <w:b/>
          <w:bCs/>
          <w:sz w:val="24"/>
        </w:rPr>
      </w:r>
      <w:r/>
    </w:p>
    <w:p>
      <w:pPr>
        <w:pStyle w:val="734"/>
        <w:ind w:firstLine="480"/>
        <w:spacing w:line="360" w:lineRule="auto"/>
        <w:rPr>
          <w:rFonts w:ascii="宋体" w:hAnsi="宋体" w:cs="宋体"/>
          <w:bCs/>
          <w:color w:val="000000"/>
          <w:sz w:val="24"/>
        </w:rPr>
      </w:pPr>
      <w:r>
        <w:rPr>
          <w:rFonts w:hint="eastAsia" w:ascii="宋体" w:hAnsi="宋体"/>
          <w:sz w:val="24"/>
        </w:rPr>
        <w:t xml:space="preserve">6.1</w:t>
      </w:r>
      <w:r>
        <w:rPr>
          <w:rFonts w:hint="eastAsia" w:ascii="宋体" w:hAnsi="宋体" w:cs="宋体"/>
          <w:bCs/>
          <w:color w:val="000000"/>
          <w:sz w:val="24"/>
        </w:rPr>
        <w:t xml:space="preserve">投标产品属于财政部、生态环境部公布的“环境标志产品品目清单”范围内的，投标人提供国家确定的认证机构出具的、处于有效期内的该投标产品环境标志产品认证证书复印件的（投标人须在投标分项报价表中将电脑主机和显示器分开填写型号，投标人在投标分项报价表中所填写的产品型号须与节能产品认证证书上的型号一致），得</w:t>
      </w:r>
      <w:r>
        <w:rPr>
          <w:rFonts w:ascii="宋体" w:hAnsi="宋体" w:cs="宋体"/>
          <w:bCs/>
          <w:color w:val="000000"/>
          <w:sz w:val="24"/>
        </w:rPr>
        <w:t xml:space="preserve">2</w:t>
      </w:r>
      <w:r>
        <w:rPr>
          <w:rFonts w:hint="eastAsia" w:ascii="宋体" w:hAnsi="宋体" w:cs="宋体"/>
          <w:bCs/>
          <w:color w:val="000000"/>
          <w:sz w:val="24"/>
        </w:rPr>
        <w:t xml:space="preserve">分。</w:t>
      </w:r>
      <w:r>
        <w:rPr>
          <w:rFonts w:ascii="宋体" w:hAnsi="宋体" w:cs="宋体"/>
          <w:bCs/>
          <w:color w:val="000000"/>
          <w:sz w:val="24"/>
        </w:rPr>
      </w:r>
      <w:r/>
    </w:p>
    <w:p>
      <w:pPr>
        <w:pStyle w:val="734"/>
        <w:rPr>
          <w:rFonts w:hint="eastAsia"/>
        </w:rPr>
      </w:pPr>
      <w:r>
        <w:rPr>
          <w:rFonts w:hint="eastAsia"/>
        </w:rPr>
      </w:r>
      <w:r/>
    </w:p>
    <w:p>
      <w:pPr>
        <w:pStyle w:val="734"/>
        <w:rPr>
          <w:rFonts w:hint="eastAsia"/>
        </w:rPr>
      </w:pPr>
      <w:r>
        <w:rPr>
          <w:rFonts w:hint="eastAsia"/>
        </w:rPr>
      </w:r>
      <w:r/>
    </w:p>
    <w:p>
      <w:pPr>
        <w:pStyle w:val="736"/>
        <w:spacing w:line="400" w:lineRule="exact"/>
        <w:rPr>
          <w:rFonts w:hint="eastAsia" w:ascii="黑体" w:hAnsi="黑体" w:eastAsia="黑体"/>
          <w:b w:val="0"/>
          <w:bCs w:val="0"/>
          <w:sz w:val="28"/>
          <w:szCs w:val="28"/>
        </w:rPr>
      </w:pPr>
      <w:r>
        <w:rPr>
          <w:rFonts w:hint="eastAsia" w:ascii="黑体" w:hAnsi="黑体" w:eastAsia="黑体"/>
          <w:b w:val="0"/>
          <w:bCs w:val="0"/>
          <w:sz w:val="28"/>
          <w:szCs w:val="28"/>
        </w:rPr>
        <w:br w:type="page" w:clear="all"/>
      </w:r>
      <w:r>
        <w:rPr>
          <w:rFonts w:hint="eastAsia" w:ascii="黑体" w:hAnsi="黑体" w:eastAsia="黑体"/>
          <w:b w:val="0"/>
          <w:bCs w:val="0"/>
          <w:sz w:val="28"/>
          <w:szCs w:val="28"/>
        </w:rPr>
        <w:t xml:space="preserve">第六章  投标</w:t>
      </w:r>
      <w:bookmarkEnd w:id="180"/>
      <w:r/>
      <w:bookmarkEnd w:id="181"/>
      <w:r/>
      <w:bookmarkEnd w:id="185"/>
      <w:r>
        <w:rPr>
          <w:rFonts w:hint="eastAsia" w:ascii="黑体" w:hAnsi="黑体" w:eastAsia="黑体"/>
          <w:b w:val="0"/>
          <w:bCs w:val="0"/>
          <w:sz w:val="28"/>
          <w:szCs w:val="28"/>
        </w:rPr>
        <w:t xml:space="preserve">文件格式</w:t>
      </w:r>
      <w:r>
        <w:rPr>
          <w:rFonts w:hint="eastAsia" w:ascii="黑体" w:hAnsi="黑体" w:eastAsia="黑体"/>
          <w:b w:val="0"/>
          <w:bCs w:val="0"/>
          <w:sz w:val="28"/>
          <w:szCs w:val="28"/>
        </w:rPr>
      </w:r>
      <w:r/>
    </w:p>
    <w:p>
      <w:pPr>
        <w:pStyle w:val="734"/>
        <w:jc w:val="center"/>
        <w:spacing w:line="400" w:lineRule="exact"/>
        <w:rPr>
          <w:rFonts w:hint="eastAsia" w:ascii="宋体" w:hAnsi="宋体"/>
          <w:b/>
          <w:color w:val="000000"/>
          <w:sz w:val="28"/>
          <w:szCs w:val="28"/>
        </w:rPr>
      </w:pPr>
      <w:r/>
      <w:bookmarkStart w:id="186" w:name="_Hlt26671244"/>
      <w:r/>
      <w:bookmarkEnd w:id="186"/>
      <w:r/>
      <w:bookmarkStart w:id="187" w:name="_Hlt26955039"/>
      <w:r/>
      <w:bookmarkEnd w:id="187"/>
      <w:r/>
      <w:bookmarkStart w:id="188" w:name="_Toc120614282"/>
      <w:r/>
      <w:bookmarkStart w:id="189" w:name="_Toc49090576"/>
      <w:r/>
      <w:bookmarkStart w:id="190" w:name="_Toc26554094"/>
      <w:r>
        <w:rPr>
          <w:rFonts w:hint="eastAsia" w:ascii="宋体" w:hAnsi="宋体"/>
          <w:b/>
          <w:color w:val="000000"/>
          <w:sz w:val="28"/>
          <w:szCs w:val="28"/>
        </w:rPr>
      </w:r>
      <w:r/>
    </w:p>
    <w:p>
      <w:pPr>
        <w:pStyle w:val="734"/>
        <w:jc w:val="center"/>
        <w:spacing w:line="40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rPr>
          <w:rFonts w:hint="eastAsia" w:ascii="方正小标宋_GBK" w:hAnsi="方正小标宋_GBK" w:eastAsia="方正小标宋_GBK" w:cs="方正小标宋_GBK"/>
          <w:bCs/>
          <w:color w:val="000000"/>
          <w:sz w:val="32"/>
          <w:szCs w:val="32"/>
        </w:rPr>
      </w:r>
      <w:r/>
    </w:p>
    <w:p>
      <w:pPr>
        <w:pStyle w:val="734"/>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34"/>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734"/>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734"/>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734"/>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rPr>
          <w:rFonts w:hint="eastAsia" w:ascii="方正黑体_GBK" w:hAnsi="方正黑体_GBK" w:eastAsia="方正黑体_GBK" w:cs="方正黑体_GBK"/>
          <w:bCs/>
          <w:color w:val="000000"/>
          <w:sz w:val="28"/>
          <w:szCs w:val="28"/>
          <w:u w:val="single"/>
        </w:rPr>
      </w:r>
      <w:r/>
    </w:p>
    <w:p>
      <w:pPr>
        <w:pStyle w:val="734"/>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734"/>
        <w:jc w:val="center"/>
        <w:spacing w:line="400" w:lineRule="exact"/>
        <w:rPr>
          <w:rFonts w:hint="eastAsia" w:ascii="宋体" w:hAnsi="宋体"/>
          <w:b/>
          <w:bCs/>
          <w:sz w:val="28"/>
          <w:szCs w:val="28"/>
        </w:rPr>
      </w:pPr>
      <w:r>
        <w:rPr>
          <w:rFonts w:hint="eastAsia" w:ascii="宋体" w:hAnsi="宋体"/>
          <w:b/>
          <w:bCs/>
          <w:sz w:val="28"/>
          <w:szCs w:val="28"/>
        </w:rPr>
      </w:r>
      <w:r/>
    </w:p>
    <w:p>
      <w:pPr>
        <w:pStyle w:val="734"/>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4"/>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宋体" w:hAnsi="宋体"/>
          <w:sz w:val="28"/>
          <w:szCs w:val="28"/>
        </w:rPr>
      </w:r>
      <w:r/>
    </w:p>
    <w:p>
      <w:pPr>
        <w:pStyle w:val="734"/>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sz w:val="28"/>
          <w:szCs w:val="28"/>
        </w:rPr>
      </w:r>
      <w:r/>
    </w:p>
    <w:p>
      <w:pPr>
        <w:pStyle w:val="734"/>
        <w:ind w:firstLine="560"/>
        <w:spacing w:line="400" w:lineRule="exact"/>
        <w:rPr>
          <w:rFonts w:hint="eastAsia" w:ascii="宋体" w:hAnsi="宋体"/>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宋体" w:hAnsi="宋体"/>
          <w:sz w:val="28"/>
          <w:szCs w:val="28"/>
          <w:highlight w:val="yellow"/>
        </w:rPr>
      </w:r>
      <w:r/>
    </w:p>
    <w:p>
      <w:pPr>
        <w:pStyle w:val="734"/>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734"/>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734"/>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734"/>
        <w:ind w:firstLine="480"/>
        <w:spacing w:line="400" w:lineRule="exact"/>
        <w:rPr>
          <w:rFonts w:hint="eastAsia" w:ascii="宋体" w:hAnsi="宋体"/>
          <w:sz w:val="24"/>
          <w:szCs w:val="21"/>
        </w:rPr>
      </w:pPr>
      <w:r>
        <w:rPr>
          <w:rFonts w:hint="eastAsia" w:ascii="宋体" w:hAnsi="宋体"/>
          <w:sz w:val="24"/>
          <w:szCs w:val="21"/>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ind w:left="480"/>
        <w:spacing w:line="400" w:lineRule="exact"/>
        <w:rPr>
          <w:rFonts w:ascii="宋体" w:hAnsi="宋体"/>
          <w:b/>
          <w:sz w:val="28"/>
          <w:szCs w:val="28"/>
        </w:rPr>
      </w:pPr>
      <w:r>
        <w:rPr>
          <w:rFonts w:ascii="宋体" w:hAnsi="宋体"/>
          <w:b/>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bCs/>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73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spacing w:line="400" w:lineRule="exact"/>
        <w:rPr>
          <w:rFonts w:hint="eastAsia" w:ascii="宋体" w:hAnsi="宋体"/>
          <w:sz w:val="28"/>
          <w:szCs w:val="28"/>
        </w:rPr>
      </w:pPr>
      <w:r>
        <w:rPr>
          <w:rFonts w:hint="eastAsia" w:ascii="宋体" w:hAnsi="宋体"/>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rPr>
          <w:rFonts w:hint="eastAsia" w:ascii="方正黑体_GBK" w:hAnsi="方正黑体_GBK" w:eastAsia="方正黑体_GBK" w:cs="方正黑体_GBK"/>
          <w:bCs/>
          <w:sz w:val="28"/>
          <w:szCs w:val="28"/>
        </w:rPr>
      </w:r>
      <w:r/>
    </w:p>
    <w:tbl>
      <w:tblPr>
        <w:tblW w:w="9514" w:type="dxa"/>
        <w:tblInd w:w="-4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73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514" w:type="dxa"/>
            <w:vAlign w:val="top"/>
            <w:textDirection w:val="lrTb"/>
            <w:noWrap w:val="false"/>
          </w:tcPr>
          <w:p>
            <w:pPr>
              <w:pStyle w:val="796"/>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rPr>
          <w:rFonts w:hint="eastAsia" w:ascii="方正仿宋_GBK" w:hAnsi="方正仿宋_GBK" w:eastAsia="方正仿宋_GBK" w:cs="方正仿宋_GBK"/>
          <w:sz w:val="28"/>
          <w:szCs w:val="28"/>
        </w:rPr>
      </w:r>
      <w:r/>
    </w:p>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宋体" w:hAnsi="宋体"/>
          <w:b/>
          <w:sz w:val="28"/>
          <w:szCs w:val="28"/>
        </w:rPr>
      </w:pPr>
      <w:r>
        <w:rPr>
          <w:rFonts w:hint="eastAsia" w:ascii="宋体" w:hAnsi="宋体"/>
          <w:b/>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4"/>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4"/>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734"/>
        <w:ind w:left="480"/>
        <w:spacing w:line="400" w:lineRule="exact"/>
        <w:rPr>
          <w:rFonts w:ascii="宋体" w:hAnsi="宋体"/>
          <w:b/>
          <w:color w:val="000000"/>
          <w:sz w:val="28"/>
          <w:szCs w:val="28"/>
        </w:rPr>
      </w:pPr>
      <w:r>
        <w:rPr>
          <w:rFonts w:ascii="宋体" w:hAnsi="宋体"/>
          <w:b/>
          <w:color w:val="000000"/>
          <w:sz w:val="28"/>
          <w:szCs w:val="28"/>
        </w:rPr>
      </w:r>
      <w:r/>
    </w:p>
    <w:p>
      <w:pPr>
        <w:pStyle w:val="734"/>
        <w:spacing w:line="400" w:lineRule="exact"/>
        <w:rPr>
          <w:rFonts w:ascii="宋体" w:hAnsi="宋体"/>
          <w:b/>
          <w:color w:val="000000"/>
          <w:sz w:val="28"/>
          <w:szCs w:val="28"/>
        </w:rPr>
      </w:pPr>
      <w:r>
        <w:rPr>
          <w:rFonts w:ascii="宋体" w:hAnsi="宋体"/>
          <w:b/>
          <w:color w:val="000000"/>
          <w:sz w:val="28"/>
          <w:szCs w:val="28"/>
        </w:rPr>
      </w:r>
      <w:r/>
    </w:p>
    <w:p>
      <w:pPr>
        <w:pStyle w:val="734"/>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1" w:name="_Toc120614284"/>
      <w:r>
        <w:rPr>
          <w:rFonts w:hint="eastAsia" w:ascii="方正仿宋_GBK" w:hAnsi="方正仿宋_GBK" w:eastAsia="方正仿宋_GBK" w:cs="方正仿宋_GBK"/>
          <w:sz w:val="28"/>
          <w:szCs w:val="28"/>
        </w:rPr>
      </w:r>
      <w:r/>
    </w:p>
    <w:p>
      <w:pPr>
        <w:pStyle w:val="734"/>
        <w:spacing w:line="400" w:lineRule="exact"/>
        <w:rPr>
          <w:rFonts w:hint="eastAsia" w:ascii="宋体" w:hAnsi="宋体"/>
          <w:b/>
          <w:color w:val="000000"/>
          <w:sz w:val="28"/>
          <w:szCs w:val="28"/>
        </w:rPr>
      </w:pPr>
      <w:r>
        <w:rPr>
          <w:rFonts w:hint="eastAsia" w:ascii="宋体" w:hAnsi="宋体"/>
          <w:b/>
          <w:color w:val="000000"/>
          <w:sz w:val="28"/>
          <w:szCs w:val="28"/>
        </w:rPr>
      </w:r>
      <w:r/>
    </w:p>
    <w:p>
      <w:pPr>
        <w:pStyle w:val="734"/>
        <w:ind w:firstLine="480"/>
        <w:spacing w:line="400" w:lineRule="exact"/>
        <w:rPr>
          <w:rFonts w:ascii="宋体" w:hAnsi="宋体"/>
          <w:b/>
          <w:color w:val="000000"/>
          <w:sz w:val="28"/>
          <w:szCs w:val="28"/>
        </w:rPr>
      </w:pPr>
      <w:r>
        <w:rPr>
          <w:rFonts w:ascii="宋体" w:hAnsi="宋体"/>
          <w:b/>
          <w:color w:val="000000"/>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734"/>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92" w:name="_Hlt26955070"/>
      <w:r/>
      <w:bookmarkEnd w:id="192"/>
      <w:r/>
      <w:bookmarkStart w:id="193" w:name="_Hlt26671380"/>
      <w:r/>
      <w:bookmarkEnd w:id="193"/>
      <w:r/>
      <w:bookmarkStart w:id="194" w:name="_格式3__银行出具的资信证明"/>
      <w:r/>
      <w:bookmarkEnd w:id="194"/>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34"/>
        <w:ind w:firstLine="420"/>
        <w:spacing w:line="400" w:lineRule="exact"/>
        <w:rPr>
          <w:color w:val="000000"/>
          <w:sz w:val="28"/>
          <w:szCs w:val="28"/>
          <w:highlight w:val="yellow"/>
        </w:rPr>
      </w:pPr>
      <w:r>
        <w:rPr>
          <w:color w:val="000000"/>
          <w:sz w:val="28"/>
          <w:szCs w:val="28"/>
          <w:highlight w:val="yellow"/>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4"/>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734"/>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734"/>
        <w:ind w:left="420" w:firstLine="560"/>
        <w:jc w:val="left"/>
        <w:spacing w:line="400" w:lineRule="exact"/>
        <w:rPr>
          <w:rFonts w:hint="eastAsia" w:ascii="宋体" w:hAnsi="宋体"/>
          <w:sz w:val="28"/>
          <w:szCs w:val="28"/>
        </w:rPr>
      </w:pPr>
      <w:r>
        <w:rPr>
          <w:rFonts w:hint="eastAsia" w:ascii="宋体" w:hAnsi="宋体"/>
          <w:sz w:val="28"/>
          <w:szCs w:val="28"/>
        </w:rPr>
      </w:r>
      <w:r/>
    </w:p>
    <w:p>
      <w:pPr>
        <w:pStyle w:val="734"/>
        <w:ind w:left="383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734"/>
        <w:ind w:left="3830"/>
        <w:jc w:val="lef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ind w:firstLine="28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34"/>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4"/>
        <w:ind w:firstLine="560"/>
        <w:jc w:val="left"/>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734"/>
        <w:ind w:firstLine="560"/>
        <w:jc w:val="left"/>
        <w:spacing w:line="400" w:lineRule="exact"/>
        <w:rPr>
          <w:rFonts w:ascii="宋体" w:hAnsi="宋体"/>
          <w:color w:val="ff0000"/>
          <w:sz w:val="28"/>
          <w:szCs w:val="28"/>
        </w:rPr>
      </w:pPr>
      <w:r>
        <w:rPr>
          <w:rFonts w:ascii="宋体" w:hAnsi="宋体"/>
          <w:color w:val="ff0000"/>
          <w:sz w:val="28"/>
          <w:szCs w:val="28"/>
        </w:rPr>
      </w:r>
      <w:r/>
    </w:p>
    <w:p>
      <w:pPr>
        <w:pStyle w:val="734"/>
        <w:ind w:firstLine="560"/>
        <w:jc w:val="left"/>
        <w:spacing w:line="400" w:lineRule="exact"/>
        <w:rPr>
          <w:rFonts w:ascii="宋体" w:hAnsi="宋体"/>
          <w:color w:val="ff0000"/>
          <w:sz w:val="28"/>
          <w:szCs w:val="28"/>
        </w:rPr>
      </w:pPr>
      <w:r>
        <w:rPr>
          <w:rFonts w:ascii="宋体" w:hAnsi="宋体"/>
          <w:color w:val="ff0000"/>
          <w:sz w:val="28"/>
          <w:szCs w:val="28"/>
        </w:rPr>
      </w:r>
      <w:r/>
    </w:p>
    <w:p>
      <w:pPr>
        <w:pStyle w:val="734"/>
        <w:jc w:val="left"/>
        <w:spacing w:line="400" w:lineRule="exact"/>
        <w:rPr>
          <w:rFonts w:hint="eastAsia" w:ascii="宋体" w:hAnsi="宋体"/>
          <w:color w:val="ff0000"/>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34"/>
        <w:ind w:firstLine="584"/>
        <w:spacing w:line="400" w:lineRule="exact"/>
        <w:rPr>
          <w:rFonts w:ascii="仿宋_GB2312" w:eastAsia="仿宋_GB2312"/>
          <w:spacing w:val="6"/>
          <w:sz w:val="28"/>
          <w:szCs w:val="28"/>
        </w:rPr>
      </w:pPr>
      <w:r>
        <w:rPr>
          <w:rFonts w:ascii="仿宋_GB2312" w:eastAsia="仿宋_GB2312"/>
          <w:spacing w:val="6"/>
          <w:sz w:val="28"/>
          <w:szCs w:val="28"/>
        </w:rPr>
      </w:r>
      <w:r/>
    </w:p>
    <w:p>
      <w:pPr>
        <w:pStyle w:val="734"/>
        <w:ind w:right="180" w:firstLine="584"/>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rPr>
          <w:rFonts w:hint="eastAsia" w:ascii="方正仿宋_GBK" w:hAnsi="方正仿宋_GBK" w:eastAsia="方正仿宋_GBK" w:cs="方正仿宋_GBK"/>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4"/>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4"/>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34"/>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734"/>
        <w:ind w:firstLine="645"/>
        <w:spacing w:line="400" w:lineRule="exact"/>
        <w:rPr>
          <w:rFonts w:ascii="宋体" w:hAnsi="宋体"/>
          <w:sz w:val="28"/>
          <w:szCs w:val="28"/>
        </w:rPr>
      </w:pPr>
      <w:r>
        <w:rPr>
          <w:rFonts w:ascii="宋体" w:hAnsi="宋体"/>
          <w:sz w:val="28"/>
          <w:szCs w:val="28"/>
        </w:rPr>
      </w:r>
      <w:r/>
    </w:p>
    <w:p>
      <w:pPr>
        <w:pStyle w:val="734"/>
        <w:ind w:firstLine="645"/>
        <w:spacing w:line="400" w:lineRule="exact"/>
        <w:rPr>
          <w:rFonts w:ascii="宋体" w:hAnsi="宋体"/>
          <w:sz w:val="28"/>
          <w:szCs w:val="28"/>
        </w:rPr>
      </w:pP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34"/>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4"/>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4"/>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34"/>
        <w:spacing w:line="400" w:lineRule="exact"/>
        <w:rPr>
          <w:rFonts w:ascii="宋体" w:hAnsi="宋体"/>
          <w:sz w:val="28"/>
          <w:szCs w:val="28"/>
        </w:rPr>
      </w:pPr>
      <w:r>
        <w:rPr>
          <w:rFonts w:ascii="宋体" w:hAnsi="宋体"/>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73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734"/>
        <w:spacing w:line="400" w:lineRule="exact"/>
        <w:rPr>
          <w:rFonts w:hint="eastAsia" w:ascii="宋体" w:hAnsi="宋体"/>
          <w:sz w:val="28"/>
          <w:szCs w:val="28"/>
        </w:rPr>
      </w:pPr>
      <w:r>
        <w:rPr>
          <w:rFonts w:hint="eastAsia" w:ascii="宋体" w:hAnsi="宋体"/>
          <w:sz w:val="28"/>
          <w:szCs w:val="28"/>
        </w:rPr>
      </w:r>
      <w:r/>
    </w:p>
    <w:p>
      <w:pPr>
        <w:pStyle w:val="734"/>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96"/>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08"/>
          <w:rFonts w:hint="eastAsia" w:ascii="方正仿宋_GBK" w:hAnsi="方正仿宋_GBK" w:eastAsia="方正仿宋_GBK" w:cs="方正仿宋_GBK"/>
          <w:i w:val="0"/>
          <w:sz w:val="28"/>
          <w:szCs w:val="28"/>
          <w:u w:val="single"/>
          <w:shd w:val="clear" w:color="auto" w:fill="ffffff"/>
        </w:rPr>
        <w:t xml:space="preserve">（产品名称1）</w:t>
      </w:r>
      <w:r>
        <w:rPr>
          <w:rStyle w:val="808"/>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08"/>
          <w:rFonts w:hint="eastAsia" w:ascii="方正仿宋_GBK" w:hAnsi="方正仿宋_GBK" w:eastAsia="方正仿宋_GBK" w:cs="方正仿宋_GBK"/>
          <w:i w:val="0"/>
          <w:sz w:val="28"/>
          <w:szCs w:val="28"/>
          <w:u w:val="single"/>
          <w:shd w:val="clear" w:color="auto" w:fill="ffffff"/>
        </w:rPr>
        <w:t xml:space="preserve">（厂名）</w:t>
      </w:r>
      <w:r>
        <w:rPr>
          <w:rStyle w:val="808"/>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0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08"/>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08"/>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0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9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sz w:val="28"/>
          <w:szCs w:val="28"/>
        </w:rPr>
      </w:pPr>
      <w:r>
        <w:rPr>
          <w:rFonts w:hint="eastAsia"/>
          <w:sz w:val="28"/>
          <w:szCs w:val="28"/>
        </w:rPr>
      </w:r>
      <w:r/>
    </w:p>
    <w:p>
      <w:pPr>
        <w:pStyle w:val="796"/>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796"/>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96"/>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96"/>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0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4"/>
        <w:jc w:val="center"/>
        <w:spacing w:line="400" w:lineRule="exact"/>
        <w:rPr>
          <w:rFonts w:hint="eastAsia" w:ascii="方正黑体_GBK" w:hAnsi="方正黑体_GBK" w:eastAsia="方正黑体_GBK" w:cs="方正黑体_GBK"/>
          <w:bCs/>
          <w:sz w:val="28"/>
          <w:szCs w:val="28"/>
        </w:rPr>
      </w:pPr>
      <w:r/>
      <w:bookmarkEnd w:id="178"/>
      <w:r/>
      <w:bookmarkEnd w:id="179"/>
      <w:r/>
      <w:bookmarkEnd w:id="191"/>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734"/>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734"/>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734"/>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734"/>
        <w:ind w:firstLine="56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734"/>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7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4"/>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19</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19</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v:textbox>
            </v:shape>
          </w:pict>
        </mc:Fallback>
      </mc:AlternateContent>
    </w:r>
    <w:r/>
  </w:p>
  <w:p>
    <w:pPr>
      <w:pStyle w:val="7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54</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54</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4"/>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rPr>
        <w:rStyle w:val="806"/>
      </w:rPr>
    </w:r>
    <w:r/>
  </w:p>
  <w:p>
    <w:pPr>
      <w:pStyle w:val="7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13"/>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30"/>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6">
    <w:multiLevelType w:val="hybridMultilevel"/>
    <w:lvl w:ilvl="0">
      <w:start w:val="1"/>
      <w:numFmt w:val="decimal"/>
      <w:isLgl w:val="false"/>
      <w:suff w:val="nothing"/>
      <w:lvlText w:val="%1"/>
      <w:lvlJc w:val="left"/>
      <w:pPr>
        <w:pStyle w:val="734"/>
        <w:ind w:left="420" w:hanging="420"/>
      </w:pPr>
      <w:rPr>
        <w:rFonts w:hint="eastAsia" w:ascii="宋体" w:hAnsi="宋体" w:eastAsia="宋体"/>
        <w:b w:val="0"/>
        <w:i w:val="0"/>
        <w:spacing w:val="0"/>
        <w:position w:val="0"/>
        <w:sz w:val="24"/>
        <w:szCs w:val="24"/>
      </w:rPr>
    </w:lvl>
    <w:lvl w:ilvl="1">
      <w:start w:val="1"/>
      <w:numFmt w:val="lowerLetter"/>
      <w:isLgl w:val="false"/>
      <w:suff w:val="tab"/>
      <w:lvlText w:val="%2)"/>
      <w:lvlJc w:val="left"/>
      <w:pPr>
        <w:pStyle w:val="734"/>
        <w:ind w:left="840" w:hanging="420"/>
      </w:pPr>
    </w:lvl>
    <w:lvl w:ilvl="2">
      <w:start w:val="1"/>
      <w:numFmt w:val="lowerRoman"/>
      <w:isLgl w:val="false"/>
      <w:suff w:val="tab"/>
      <w:lvlText w:val="%3."/>
      <w:lvlJc w:val="right"/>
      <w:pPr>
        <w:pStyle w:val="734"/>
        <w:ind w:left="1260" w:hanging="420"/>
      </w:pPr>
    </w:lvl>
    <w:lvl w:ilvl="3">
      <w:start w:val="1"/>
      <w:numFmt w:val="decimal"/>
      <w:isLgl w:val="false"/>
      <w:suff w:val="tab"/>
      <w:lvlText w:val="%4."/>
      <w:lvlJc w:val="left"/>
      <w:pPr>
        <w:pStyle w:val="734"/>
        <w:ind w:left="1680" w:hanging="420"/>
      </w:pPr>
    </w:lvl>
    <w:lvl w:ilvl="4">
      <w:start w:val="1"/>
      <w:numFmt w:val="lowerLetter"/>
      <w:isLgl w:val="false"/>
      <w:suff w:val="tab"/>
      <w:lvlText w:val="%5)"/>
      <w:lvlJc w:val="left"/>
      <w:pPr>
        <w:pStyle w:val="734"/>
        <w:ind w:left="2100" w:hanging="420"/>
      </w:pPr>
    </w:lvl>
    <w:lvl w:ilvl="5">
      <w:start w:val="1"/>
      <w:numFmt w:val="lowerRoman"/>
      <w:isLgl w:val="false"/>
      <w:suff w:val="tab"/>
      <w:lvlText w:val="%6."/>
      <w:lvlJc w:val="right"/>
      <w:pPr>
        <w:pStyle w:val="734"/>
        <w:ind w:left="2520" w:hanging="420"/>
      </w:pPr>
    </w:lvl>
    <w:lvl w:ilvl="6">
      <w:start w:val="1"/>
      <w:numFmt w:val="decimal"/>
      <w:isLgl w:val="false"/>
      <w:suff w:val="tab"/>
      <w:lvlText w:val="%7."/>
      <w:lvlJc w:val="left"/>
      <w:pPr>
        <w:pStyle w:val="734"/>
        <w:ind w:left="2940" w:hanging="420"/>
      </w:pPr>
    </w:lvl>
    <w:lvl w:ilvl="7">
      <w:start w:val="1"/>
      <w:numFmt w:val="lowerLetter"/>
      <w:isLgl w:val="false"/>
      <w:suff w:val="tab"/>
      <w:lvlText w:val="%8)"/>
      <w:lvlJc w:val="left"/>
      <w:pPr>
        <w:pStyle w:val="734"/>
        <w:ind w:left="3360" w:hanging="420"/>
      </w:pPr>
    </w:lvl>
    <w:lvl w:ilvl="8">
      <w:start w:val="1"/>
      <w:numFmt w:val="lowerRoman"/>
      <w:isLgl w:val="false"/>
      <w:suff w:val="tab"/>
      <w:lvlText w:val="%9."/>
      <w:lvlJc w:val="right"/>
      <w:pPr>
        <w:pStyle w:val="734"/>
        <w:ind w:left="3780" w:hanging="420"/>
      </w:pPr>
    </w:lvl>
  </w:abstractNum>
  <w:abstractNum w:abstractNumId="7">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num w:numId="1">
    <w:abstractNumId w:val="7"/>
  </w:num>
  <w:num w:numId="2">
    <w:abstractNumId w:val="4"/>
  </w:num>
  <w:num w:numId="3">
    <w:abstractNumId w:val="5"/>
  </w:num>
  <w:num w:numId="4">
    <w:abstractNumId w:val="0"/>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sz w:val="21"/>
      <w:szCs w:val="22"/>
      <w:lang w:val="en-US" w:eastAsia="zh-CN" w:bidi="ar-SA"/>
    </w:rPr>
  </w:style>
  <w:style w:type="paragraph" w:styleId="735">
    <w:name w:val="标题 1"/>
    <w:basedOn w:val="734"/>
    <w:next w:val="734"/>
    <w:link w:val="746"/>
    <w:qFormat/>
    <w:pPr>
      <w:jc w:val="center"/>
      <w:keepNext/>
      <w:outlineLvl w:val="0"/>
    </w:pPr>
    <w:rPr>
      <w:rFonts w:ascii="楷体_GB2312" w:hAnsi="Times New Roman" w:eastAsia="楷体_GB2312" w:cs="Times New Roman"/>
      <w:sz w:val="28"/>
      <w:szCs w:val="28"/>
    </w:rPr>
  </w:style>
  <w:style w:type="paragraph" w:styleId="736">
    <w:name w:val="标题 2"/>
    <w:basedOn w:val="734"/>
    <w:next w:val="748"/>
    <w:link w:val="747"/>
    <w:qFormat/>
    <w:pPr>
      <w:jc w:val="center"/>
      <w:keepLines/>
      <w:keepNext/>
      <w:spacing w:before="260" w:after="260" w:line="416" w:lineRule="auto"/>
      <w:outlineLvl w:val="1"/>
    </w:pPr>
    <w:rPr>
      <w:rFonts w:ascii="Arial" w:hAnsi="Arial" w:eastAsia="幼圆" w:cs="Arial"/>
      <w:b/>
      <w:bCs/>
      <w:sz w:val="44"/>
      <w:szCs w:val="44"/>
    </w:rPr>
  </w:style>
  <w:style w:type="paragraph" w:styleId="737">
    <w:name w:val="标题 3"/>
    <w:basedOn w:val="734"/>
    <w:next w:val="748"/>
    <w:link w:val="75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8">
    <w:name w:val="标题 4"/>
    <w:basedOn w:val="734"/>
    <w:next w:val="748"/>
    <w:link w:val="751"/>
    <w:qFormat/>
    <w:pPr>
      <w:keepLines/>
      <w:keepNext/>
      <w:spacing w:before="280" w:after="290" w:line="376" w:lineRule="auto"/>
      <w:outlineLvl w:val="3"/>
    </w:pPr>
    <w:rPr>
      <w:rFonts w:ascii="Arial" w:hAnsi="Arial" w:eastAsia="黑体" w:cs="Arial"/>
      <w:b/>
      <w:bCs/>
      <w:sz w:val="28"/>
      <w:szCs w:val="28"/>
    </w:rPr>
  </w:style>
  <w:style w:type="paragraph" w:styleId="739">
    <w:name w:val="标题 5"/>
    <w:basedOn w:val="734"/>
    <w:next w:val="748"/>
    <w:link w:val="752"/>
    <w:qFormat/>
    <w:pPr>
      <w:keepNext/>
      <w:outlineLvl w:val="4"/>
    </w:pPr>
    <w:rPr>
      <w:rFonts w:ascii="宋体" w:hAnsi="Times New Roman" w:eastAsia="宋体" w:cs="Times New Roman"/>
      <w:color w:val="000000"/>
      <w:sz w:val="28"/>
      <w:szCs w:val="28"/>
    </w:rPr>
  </w:style>
  <w:style w:type="paragraph" w:styleId="740">
    <w:name w:val="标题 6"/>
    <w:basedOn w:val="734"/>
    <w:next w:val="734"/>
    <w:link w:val="75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1">
    <w:name w:val="标题 7"/>
    <w:basedOn w:val="734"/>
    <w:next w:val="734"/>
    <w:link w:val="7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2">
    <w:name w:val="标题 8"/>
    <w:basedOn w:val="734"/>
    <w:next w:val="734"/>
    <w:link w:val="75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3">
    <w:name w:val="标题 9"/>
    <w:basedOn w:val="734"/>
    <w:next w:val="734"/>
    <w:link w:val="756"/>
    <w:qFormat/>
    <w:pPr>
      <w:numPr>
        <w:ilvl w:val="8"/>
        <w:numId w:val="1"/>
      </w:numPr>
      <w:keepLines/>
      <w:keepNext/>
      <w:spacing w:before="240" w:after="64" w:line="320" w:lineRule="auto"/>
      <w:outlineLvl w:val="8"/>
    </w:pPr>
    <w:rPr>
      <w:rFonts w:ascii="Arial" w:hAnsi="Arial" w:eastAsia="黑体" w:cs="Times New Roman"/>
      <w:szCs w:val="21"/>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character" w:styleId="746">
    <w:name w:val="标题 1 字符"/>
    <w:next w:val="746"/>
    <w:link w:val="735"/>
    <w:rPr>
      <w:rFonts w:ascii="楷体_GB2312" w:hAnsi="Times New Roman" w:eastAsia="楷体_GB2312" w:cs="Times New Roman"/>
      <w:sz w:val="28"/>
      <w:szCs w:val="28"/>
    </w:rPr>
  </w:style>
  <w:style w:type="character" w:styleId="747">
    <w:name w:val="标题 2 字符"/>
    <w:next w:val="747"/>
    <w:link w:val="736"/>
    <w:rPr>
      <w:rFonts w:ascii="Arial" w:hAnsi="Arial" w:eastAsia="幼圆" w:cs="Arial"/>
      <w:b/>
      <w:bCs/>
      <w:sz w:val="44"/>
      <w:szCs w:val="44"/>
    </w:rPr>
  </w:style>
  <w:style w:type="paragraph" w:styleId="748">
    <w:name w:val="正文缩进"/>
    <w:basedOn w:val="734"/>
    <w:next w:val="748"/>
    <w:link w:val="749"/>
    <w:pPr>
      <w:ind w:firstLine="420"/>
    </w:pPr>
    <w:rPr>
      <w:szCs w:val="21"/>
    </w:rPr>
  </w:style>
  <w:style w:type="character" w:styleId="749">
    <w:name w:val="正文缩进 字符"/>
    <w:next w:val="749"/>
    <w:link w:val="748"/>
    <w:rPr>
      <w:szCs w:val="21"/>
    </w:rPr>
  </w:style>
  <w:style w:type="character" w:styleId="750">
    <w:name w:val="标题 3 字符"/>
    <w:next w:val="750"/>
    <w:link w:val="737"/>
    <w:rPr>
      <w:rFonts w:ascii="Times New Roman" w:hAnsi="Times New Roman" w:eastAsia="宋体" w:cs="Times New Roman"/>
      <w:b/>
      <w:bCs/>
      <w:sz w:val="32"/>
      <w:szCs w:val="32"/>
    </w:rPr>
  </w:style>
  <w:style w:type="character" w:styleId="751">
    <w:name w:val="标题 4 字符"/>
    <w:next w:val="751"/>
    <w:link w:val="738"/>
    <w:rPr>
      <w:rFonts w:ascii="Arial" w:hAnsi="Arial" w:eastAsia="黑体" w:cs="Arial"/>
      <w:b/>
      <w:bCs/>
      <w:sz w:val="28"/>
      <w:szCs w:val="28"/>
    </w:rPr>
  </w:style>
  <w:style w:type="character" w:styleId="752">
    <w:name w:val="标题 5 字符"/>
    <w:next w:val="752"/>
    <w:link w:val="739"/>
    <w:rPr>
      <w:rFonts w:ascii="宋体" w:hAnsi="Times New Roman" w:eastAsia="宋体" w:cs="Times New Roman"/>
      <w:color w:val="000000"/>
      <w:sz w:val="28"/>
      <w:szCs w:val="28"/>
    </w:rPr>
  </w:style>
  <w:style w:type="character" w:styleId="753">
    <w:name w:val="标题 6 字符"/>
    <w:next w:val="753"/>
    <w:link w:val="740"/>
    <w:rPr>
      <w:rFonts w:ascii="Arial" w:hAnsi="Arial" w:eastAsia="黑体" w:cs="Times New Roman"/>
      <w:b/>
      <w:bCs/>
      <w:sz w:val="24"/>
      <w:szCs w:val="24"/>
    </w:rPr>
  </w:style>
  <w:style w:type="character" w:styleId="754">
    <w:name w:val="标题 7 字符"/>
    <w:next w:val="754"/>
    <w:link w:val="741"/>
    <w:rPr>
      <w:rFonts w:ascii="Times New Roman" w:hAnsi="Times New Roman" w:eastAsia="宋体" w:cs="Times New Roman"/>
      <w:b/>
      <w:bCs/>
      <w:sz w:val="24"/>
      <w:szCs w:val="24"/>
    </w:rPr>
  </w:style>
  <w:style w:type="character" w:styleId="755">
    <w:name w:val="标题 8 字符"/>
    <w:next w:val="755"/>
    <w:link w:val="742"/>
    <w:rPr>
      <w:rFonts w:ascii="Arial" w:hAnsi="Arial" w:eastAsia="黑体" w:cs="Times New Roman"/>
      <w:sz w:val="24"/>
      <w:szCs w:val="24"/>
    </w:rPr>
  </w:style>
  <w:style w:type="character" w:styleId="756">
    <w:name w:val="标题 9 字符"/>
    <w:next w:val="756"/>
    <w:link w:val="743"/>
    <w:rPr>
      <w:rFonts w:ascii="Arial" w:hAnsi="Arial" w:eastAsia="黑体" w:cs="Times New Roman"/>
      <w:szCs w:val="21"/>
    </w:rPr>
  </w:style>
  <w:style w:type="paragraph" w:styleId="757">
    <w:name w:val="列表 3"/>
    <w:basedOn w:val="734"/>
    <w:next w:val="757"/>
    <w:link w:val="734"/>
    <w:pPr>
      <w:ind w:left="100" w:hanging="200"/>
    </w:pPr>
    <w:rPr>
      <w:rFonts w:ascii="Times New Roman" w:hAnsi="Times New Roman" w:eastAsia="宋体" w:cs="Times New Roman"/>
      <w:szCs w:val="21"/>
    </w:rPr>
  </w:style>
  <w:style w:type="paragraph" w:styleId="758">
    <w:name w:val="目录 7"/>
    <w:basedOn w:val="734"/>
    <w:next w:val="734"/>
    <w:link w:val="734"/>
    <w:semiHidden/>
    <w:pPr>
      <w:ind w:left="1260"/>
      <w:jc w:val="left"/>
    </w:pPr>
    <w:rPr>
      <w:rFonts w:ascii="Times New Roman" w:hAnsi="Times New Roman" w:eastAsia="宋体" w:cs="Times New Roman"/>
      <w:szCs w:val="21"/>
    </w:rPr>
  </w:style>
  <w:style w:type="paragraph" w:styleId="759">
    <w:name w:val="文档结构图"/>
    <w:basedOn w:val="734"/>
    <w:next w:val="759"/>
    <w:link w:val="760"/>
    <w:semiHidden/>
    <w:pPr>
      <w:shd w:val="clear" w:color="auto" w:fill="000080"/>
    </w:pPr>
    <w:rPr>
      <w:rFonts w:ascii="Times New Roman" w:hAnsi="Times New Roman" w:eastAsia="宋体" w:cs="Times New Roman"/>
      <w:szCs w:val="21"/>
    </w:rPr>
  </w:style>
  <w:style w:type="character" w:styleId="760">
    <w:name w:val="文档结构图 字符"/>
    <w:next w:val="760"/>
    <w:link w:val="759"/>
    <w:semiHidden/>
    <w:rPr>
      <w:rFonts w:ascii="Times New Roman" w:hAnsi="Times New Roman" w:eastAsia="宋体" w:cs="Times New Roman"/>
      <w:szCs w:val="21"/>
      <w:shd w:val="clear" w:color="auto" w:fill="000080"/>
    </w:rPr>
  </w:style>
  <w:style w:type="paragraph" w:styleId="761">
    <w:name w:val="批注文字"/>
    <w:basedOn w:val="734"/>
    <w:next w:val="761"/>
    <w:link w:val="762"/>
    <w:unhideWhenUsed/>
    <w:pPr>
      <w:jc w:val="left"/>
    </w:pPr>
  </w:style>
  <w:style w:type="character" w:styleId="762">
    <w:name w:val="批注文字 字符"/>
    <w:next w:val="762"/>
    <w:link w:val="761"/>
    <w:uiPriority w:val="99"/>
    <w:semiHidden/>
  </w:style>
  <w:style w:type="paragraph" w:styleId="763">
    <w:name w:val="正文文本 3"/>
    <w:basedOn w:val="734"/>
    <w:next w:val="763"/>
    <w:link w:val="764"/>
    <w:rPr>
      <w:rFonts w:ascii="仿宋_GB2312" w:hAnsi="Arial" w:eastAsia="仿宋_GB2312" w:cs="Times New Roman"/>
      <w:sz w:val="32"/>
      <w:szCs w:val="32"/>
    </w:rPr>
  </w:style>
  <w:style w:type="character" w:styleId="764">
    <w:name w:val="正文文本 3 字符"/>
    <w:next w:val="764"/>
    <w:link w:val="763"/>
    <w:rPr>
      <w:rFonts w:ascii="仿宋_GB2312" w:hAnsi="Arial" w:eastAsia="仿宋_GB2312" w:cs="Times New Roman"/>
      <w:sz w:val="32"/>
      <w:szCs w:val="32"/>
    </w:rPr>
  </w:style>
  <w:style w:type="paragraph" w:styleId="765">
    <w:name w:val="正文文本"/>
    <w:basedOn w:val="734"/>
    <w:next w:val="765"/>
    <w:link w:val="766"/>
    <w:rPr>
      <w:rFonts w:ascii="楷体_GB2312" w:hAnsi="Arial" w:eastAsia="楷体_GB2312" w:cs="Times New Roman"/>
      <w:sz w:val="28"/>
      <w:szCs w:val="28"/>
    </w:rPr>
  </w:style>
  <w:style w:type="character" w:styleId="766">
    <w:name w:val="正文文本 字符"/>
    <w:next w:val="766"/>
    <w:link w:val="765"/>
    <w:rPr>
      <w:rFonts w:ascii="楷体_GB2312" w:hAnsi="Arial" w:eastAsia="楷体_GB2312" w:cs="Times New Roman"/>
      <w:sz w:val="28"/>
      <w:szCs w:val="28"/>
    </w:rPr>
  </w:style>
  <w:style w:type="paragraph" w:styleId="767">
    <w:name w:val="正文文本缩进"/>
    <w:basedOn w:val="734"/>
    <w:next w:val="767"/>
    <w:link w:val="768"/>
    <w:unhideWhenUsed/>
    <w:pPr>
      <w:ind w:left="420"/>
      <w:spacing w:after="120"/>
    </w:pPr>
  </w:style>
  <w:style w:type="character" w:styleId="768">
    <w:name w:val="正文文本缩进 字符"/>
    <w:next w:val="768"/>
    <w:link w:val="767"/>
    <w:uiPriority w:val="99"/>
    <w:semiHidden/>
  </w:style>
  <w:style w:type="paragraph" w:styleId="769">
    <w:name w:val="列表 2"/>
    <w:basedOn w:val="734"/>
    <w:next w:val="769"/>
    <w:link w:val="734"/>
    <w:pPr>
      <w:ind w:left="100" w:hanging="200"/>
    </w:pPr>
    <w:rPr>
      <w:rFonts w:ascii="Times New Roman" w:hAnsi="Times New Roman" w:eastAsia="宋体" w:cs="Times New Roman"/>
      <w:szCs w:val="21"/>
    </w:rPr>
  </w:style>
  <w:style w:type="paragraph" w:styleId="770">
    <w:name w:val="目录 5"/>
    <w:basedOn w:val="734"/>
    <w:next w:val="734"/>
    <w:link w:val="734"/>
    <w:semiHidden/>
    <w:pPr>
      <w:ind w:left="840"/>
      <w:jc w:val="left"/>
    </w:pPr>
    <w:rPr>
      <w:rFonts w:ascii="Times New Roman" w:hAnsi="Times New Roman" w:eastAsia="宋体" w:cs="Times New Roman"/>
      <w:szCs w:val="21"/>
    </w:rPr>
  </w:style>
  <w:style w:type="paragraph" w:styleId="771">
    <w:name w:val="目录 3"/>
    <w:basedOn w:val="734"/>
    <w:next w:val="734"/>
    <w:link w:val="734"/>
    <w:semiHidden/>
    <w:pPr>
      <w:ind w:left="420"/>
      <w:jc w:val="left"/>
    </w:pPr>
    <w:rPr>
      <w:rFonts w:ascii="Times New Roman" w:hAnsi="Times New Roman" w:eastAsia="宋体" w:cs="Times New Roman"/>
      <w:i/>
      <w:iCs/>
      <w:szCs w:val="24"/>
    </w:rPr>
  </w:style>
  <w:style w:type="paragraph" w:styleId="772">
    <w:name w:val="纯文本"/>
    <w:basedOn w:val="734"/>
    <w:next w:val="772"/>
    <w:link w:val="773"/>
    <w:qFormat/>
    <w:rPr>
      <w:rFonts w:ascii="宋体" w:hAnsi="Courier New" w:eastAsia="宋体" w:cs="Courier New"/>
      <w:szCs w:val="21"/>
    </w:rPr>
  </w:style>
  <w:style w:type="character" w:styleId="773">
    <w:name w:val="纯文本 字符"/>
    <w:next w:val="773"/>
    <w:link w:val="772"/>
    <w:rPr>
      <w:rFonts w:ascii="宋体" w:hAnsi="Courier New" w:eastAsia="宋体" w:cs="Courier New"/>
      <w:szCs w:val="21"/>
    </w:rPr>
  </w:style>
  <w:style w:type="paragraph" w:styleId="774">
    <w:name w:val="目录 8"/>
    <w:basedOn w:val="734"/>
    <w:next w:val="734"/>
    <w:link w:val="734"/>
    <w:semiHidden/>
    <w:pPr>
      <w:ind w:left="1470"/>
      <w:jc w:val="left"/>
    </w:pPr>
    <w:rPr>
      <w:rFonts w:ascii="Times New Roman" w:hAnsi="Times New Roman" w:eastAsia="宋体" w:cs="Times New Roman"/>
      <w:szCs w:val="21"/>
    </w:rPr>
  </w:style>
  <w:style w:type="paragraph" w:styleId="775">
    <w:name w:val="日期"/>
    <w:basedOn w:val="734"/>
    <w:next w:val="734"/>
    <w:link w:val="776"/>
    <w:rPr>
      <w:rFonts w:ascii="Times New Roman" w:hAnsi="Times New Roman" w:eastAsia="宋体" w:cs="Times New Roman"/>
      <w:sz w:val="24"/>
      <w:szCs w:val="24"/>
    </w:rPr>
  </w:style>
  <w:style w:type="character" w:styleId="776">
    <w:name w:val="日期 字符"/>
    <w:next w:val="776"/>
    <w:link w:val="775"/>
    <w:rPr>
      <w:rFonts w:ascii="Times New Roman" w:hAnsi="Times New Roman" w:eastAsia="宋体" w:cs="Times New Roman"/>
      <w:sz w:val="24"/>
      <w:szCs w:val="24"/>
    </w:rPr>
  </w:style>
  <w:style w:type="paragraph" w:styleId="777">
    <w:name w:val="正文文本缩进 2"/>
    <w:basedOn w:val="734"/>
    <w:next w:val="777"/>
    <w:link w:val="778"/>
    <w:pPr>
      <w:ind w:left="630" w:firstLine="645"/>
    </w:pPr>
    <w:rPr>
      <w:rFonts w:ascii="Arial" w:hAnsi="Arial" w:eastAsia="仿宋_GB2312" w:cs="Arial"/>
      <w:sz w:val="32"/>
      <w:szCs w:val="32"/>
    </w:rPr>
  </w:style>
  <w:style w:type="character" w:styleId="778">
    <w:name w:val="正文文本缩进 2 字符"/>
    <w:next w:val="778"/>
    <w:link w:val="777"/>
    <w:rPr>
      <w:rFonts w:ascii="Arial" w:hAnsi="Arial" w:eastAsia="仿宋_GB2312" w:cs="Arial"/>
      <w:sz w:val="32"/>
      <w:szCs w:val="32"/>
    </w:rPr>
  </w:style>
  <w:style w:type="paragraph" w:styleId="779">
    <w:name w:val="批注框文本"/>
    <w:basedOn w:val="734"/>
    <w:next w:val="779"/>
    <w:link w:val="780"/>
    <w:semiHidden/>
    <w:rPr>
      <w:rFonts w:ascii="Times New Roman" w:hAnsi="Times New Roman" w:eastAsia="宋体" w:cs="Times New Roman"/>
      <w:sz w:val="18"/>
      <w:szCs w:val="18"/>
    </w:rPr>
  </w:style>
  <w:style w:type="character" w:styleId="780">
    <w:name w:val="批注框文本 字符"/>
    <w:next w:val="780"/>
    <w:link w:val="779"/>
    <w:semiHidden/>
    <w:rPr>
      <w:rFonts w:ascii="Times New Roman" w:hAnsi="Times New Roman" w:eastAsia="宋体" w:cs="Times New Roman"/>
      <w:sz w:val="18"/>
      <w:szCs w:val="18"/>
    </w:rPr>
  </w:style>
  <w:style w:type="paragraph" w:styleId="781">
    <w:name w:val="页脚"/>
    <w:basedOn w:val="734"/>
    <w:next w:val="781"/>
    <w:link w:val="78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82">
    <w:name w:val="页脚 字符"/>
    <w:next w:val="782"/>
    <w:link w:val="781"/>
    <w:uiPriority w:val="99"/>
    <w:rPr>
      <w:rFonts w:ascii="Times New Roman" w:hAnsi="Times New Roman" w:eastAsia="宋体" w:cs="Times New Roman"/>
      <w:sz w:val="18"/>
      <w:szCs w:val="18"/>
    </w:rPr>
  </w:style>
  <w:style w:type="paragraph" w:styleId="783">
    <w:name w:val="页眉"/>
    <w:basedOn w:val="734"/>
    <w:next w:val="783"/>
    <w:link w:val="78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4">
    <w:name w:val="页眉 字符"/>
    <w:next w:val="784"/>
    <w:link w:val="783"/>
    <w:rPr>
      <w:rFonts w:ascii="Times New Roman" w:hAnsi="Times New Roman" w:eastAsia="宋体" w:cs="Times New Roman"/>
      <w:sz w:val="18"/>
      <w:szCs w:val="18"/>
    </w:rPr>
  </w:style>
  <w:style w:type="paragraph" w:styleId="785">
    <w:name w:val="目录 1"/>
    <w:basedOn w:val="734"/>
    <w:next w:val="734"/>
    <w:link w:val="73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6">
    <w:name w:val="目录 4"/>
    <w:basedOn w:val="734"/>
    <w:next w:val="734"/>
    <w:link w:val="734"/>
    <w:semiHidden/>
    <w:pPr>
      <w:ind w:left="630"/>
      <w:jc w:val="left"/>
    </w:pPr>
    <w:rPr>
      <w:rFonts w:ascii="Times New Roman" w:hAnsi="Times New Roman" w:eastAsia="宋体" w:cs="Times New Roman"/>
      <w:szCs w:val="21"/>
    </w:rPr>
  </w:style>
  <w:style w:type="paragraph" w:styleId="787">
    <w:name w:val="列表"/>
    <w:basedOn w:val="734"/>
    <w:next w:val="787"/>
    <w:link w:val="734"/>
    <w:pPr>
      <w:ind w:left="200" w:hanging="200"/>
    </w:pPr>
    <w:rPr>
      <w:rFonts w:ascii="Times New Roman" w:hAnsi="Times New Roman" w:eastAsia="宋体" w:cs="Times New Roman"/>
      <w:szCs w:val="21"/>
    </w:rPr>
  </w:style>
  <w:style w:type="paragraph" w:styleId="788">
    <w:name w:val="目录 6"/>
    <w:basedOn w:val="734"/>
    <w:next w:val="734"/>
    <w:link w:val="734"/>
    <w:semiHidden/>
    <w:pPr>
      <w:ind w:left="1050"/>
      <w:jc w:val="left"/>
    </w:pPr>
    <w:rPr>
      <w:rFonts w:ascii="Times New Roman" w:hAnsi="Times New Roman" w:eastAsia="宋体" w:cs="Times New Roman"/>
      <w:szCs w:val="21"/>
    </w:rPr>
  </w:style>
  <w:style w:type="paragraph" w:styleId="789">
    <w:name w:val="正文文本缩进 3"/>
    <w:basedOn w:val="734"/>
    <w:next w:val="789"/>
    <w:link w:val="790"/>
    <w:pPr>
      <w:ind w:left="645" w:firstLine="645"/>
    </w:pPr>
    <w:rPr>
      <w:rFonts w:ascii="Arial" w:hAnsi="Arial" w:eastAsia="仿宋_GB2312" w:cs="Arial"/>
      <w:color w:val="ffff00"/>
      <w:sz w:val="32"/>
      <w:szCs w:val="32"/>
    </w:rPr>
  </w:style>
  <w:style w:type="character" w:styleId="790">
    <w:name w:val="正文文本缩进 3 字符"/>
    <w:next w:val="790"/>
    <w:link w:val="789"/>
    <w:rPr>
      <w:rFonts w:ascii="Arial" w:hAnsi="Arial" w:eastAsia="仿宋_GB2312" w:cs="Arial"/>
      <w:color w:val="ffff00"/>
      <w:sz w:val="32"/>
      <w:szCs w:val="32"/>
    </w:rPr>
  </w:style>
  <w:style w:type="paragraph" w:styleId="791">
    <w:name w:val="图表目录"/>
    <w:basedOn w:val="734"/>
    <w:next w:val="734"/>
    <w:link w:val="734"/>
    <w:semiHidden/>
    <w:pPr>
      <w:ind w:left="840" w:hanging="420"/>
    </w:pPr>
    <w:rPr>
      <w:rFonts w:ascii="Times New Roman" w:hAnsi="Times New Roman" w:eastAsia="宋体" w:cs="Times New Roman"/>
      <w:szCs w:val="21"/>
    </w:rPr>
  </w:style>
  <w:style w:type="paragraph" w:styleId="792">
    <w:name w:val="目录 2"/>
    <w:basedOn w:val="734"/>
    <w:next w:val="734"/>
    <w:link w:val="734"/>
    <w:semiHidden/>
    <w:pPr>
      <w:ind w:left="210"/>
      <w:jc w:val="left"/>
    </w:pPr>
    <w:rPr>
      <w:rFonts w:ascii="Times New Roman" w:hAnsi="Times New Roman" w:eastAsia="宋体" w:cs="Times New Roman"/>
      <w:smallCaps/>
      <w:szCs w:val="24"/>
    </w:rPr>
  </w:style>
  <w:style w:type="paragraph" w:styleId="793">
    <w:name w:val="目录 9"/>
    <w:basedOn w:val="734"/>
    <w:next w:val="734"/>
    <w:link w:val="734"/>
    <w:semiHidden/>
    <w:pPr>
      <w:ind w:left="1680"/>
      <w:jc w:val="left"/>
    </w:pPr>
    <w:rPr>
      <w:rFonts w:ascii="Times New Roman" w:hAnsi="Times New Roman" w:eastAsia="宋体" w:cs="Times New Roman"/>
      <w:szCs w:val="21"/>
    </w:rPr>
  </w:style>
  <w:style w:type="paragraph" w:styleId="794">
    <w:name w:val="正文文本 2"/>
    <w:basedOn w:val="734"/>
    <w:next w:val="794"/>
    <w:link w:val="795"/>
    <w:pPr>
      <w:jc w:val="center"/>
      <w:widowControl/>
    </w:pPr>
    <w:rPr>
      <w:rFonts w:ascii="楷体_GB2312" w:hAnsi="Times New Roman" w:eastAsia="楷体_GB2312" w:cs="Times New Roman"/>
      <w:sz w:val="28"/>
      <w:szCs w:val="28"/>
    </w:rPr>
  </w:style>
  <w:style w:type="character" w:styleId="795">
    <w:name w:val="正文文本 2 字符"/>
    <w:next w:val="795"/>
    <w:link w:val="794"/>
    <w:rPr>
      <w:rFonts w:ascii="楷体_GB2312" w:hAnsi="Times New Roman" w:eastAsia="楷体_GB2312" w:cs="Times New Roman"/>
      <w:sz w:val="28"/>
      <w:szCs w:val="28"/>
    </w:rPr>
  </w:style>
  <w:style w:type="paragraph" w:styleId="796">
    <w:name w:val="普通(网站)"/>
    <w:basedOn w:val="734"/>
    <w:next w:val="796"/>
    <w:link w:val="734"/>
    <w:uiPriority w:val="99"/>
    <w:pPr>
      <w:jc w:val="left"/>
      <w:spacing w:before="100" w:beforeAutospacing="1" w:after="100" w:afterAutospacing="1"/>
      <w:widowControl/>
    </w:pPr>
    <w:rPr>
      <w:rFonts w:ascii="宋体" w:hAnsi="宋体" w:eastAsia="宋体" w:cs="宋体"/>
      <w:sz w:val="24"/>
      <w:szCs w:val="24"/>
    </w:rPr>
  </w:style>
  <w:style w:type="paragraph" w:styleId="797">
    <w:name w:val="索引 1"/>
    <w:basedOn w:val="734"/>
    <w:next w:val="734"/>
    <w:link w:val="734"/>
    <w:semiHidden/>
    <w:pPr>
      <w:spacing w:line="240" w:lineRule="atLeast"/>
    </w:pPr>
    <w:rPr>
      <w:rFonts w:ascii="Times New Roman" w:hAnsi="Times New Roman" w:eastAsia="宋体" w:cs="Times New Roman"/>
      <w:b/>
      <w:bCs/>
      <w:szCs w:val="21"/>
    </w:rPr>
  </w:style>
  <w:style w:type="paragraph" w:styleId="798">
    <w:name w:val="批注主题"/>
    <w:basedOn w:val="761"/>
    <w:next w:val="761"/>
    <w:link w:val="799"/>
    <w:semiHidden/>
    <w:rPr>
      <w:rFonts w:ascii="Times New Roman" w:hAnsi="Times New Roman" w:eastAsia="宋体" w:cs="Times New Roman"/>
      <w:b/>
      <w:bCs/>
      <w:szCs w:val="21"/>
    </w:rPr>
  </w:style>
  <w:style w:type="character" w:styleId="799">
    <w:name w:val="批注主题 字符"/>
    <w:next w:val="799"/>
    <w:link w:val="798"/>
    <w:semiHidden/>
    <w:rPr>
      <w:rFonts w:ascii="Times New Roman" w:hAnsi="Times New Roman" w:eastAsia="宋体" w:cs="Times New Roman"/>
      <w:b/>
      <w:bCs/>
      <w:szCs w:val="21"/>
    </w:rPr>
  </w:style>
  <w:style w:type="paragraph" w:styleId="800">
    <w:name w:val="正文首行缩进"/>
    <w:basedOn w:val="734"/>
    <w:next w:val="800"/>
    <w:link w:val="801"/>
    <w:pPr>
      <w:ind w:firstLine="200"/>
      <w:spacing w:line="360" w:lineRule="auto"/>
    </w:pPr>
    <w:rPr>
      <w:rFonts w:ascii="仿宋_GB2312" w:hAnsi="Times New Roman" w:eastAsia="仿宋_GB2312" w:cs="Times New Roman"/>
      <w:sz w:val="30"/>
      <w:szCs w:val="30"/>
    </w:rPr>
  </w:style>
  <w:style w:type="character" w:styleId="801">
    <w:name w:val="正文文本首行缩进 字符"/>
    <w:next w:val="801"/>
    <w:link w:val="800"/>
    <w:rPr>
      <w:rFonts w:ascii="仿宋_GB2312" w:hAnsi="Times New Roman" w:eastAsia="仿宋_GB2312" w:cs="Times New Roman"/>
      <w:sz w:val="30"/>
      <w:szCs w:val="30"/>
    </w:rPr>
  </w:style>
  <w:style w:type="paragraph" w:styleId="802">
    <w:name w:val="正文首行缩进 2"/>
    <w:basedOn w:val="767"/>
    <w:next w:val="802"/>
    <w:link w:val="803"/>
    <w:pPr>
      <w:ind w:left="0" w:firstLine="420"/>
      <w:spacing w:after="0" w:line="360" w:lineRule="auto"/>
    </w:pPr>
    <w:rPr>
      <w:rFonts w:ascii="宋体" w:hAnsi="宋体" w:eastAsia="宋体" w:cs="Times New Roman"/>
      <w:szCs w:val="20"/>
    </w:rPr>
  </w:style>
  <w:style w:type="character" w:styleId="803">
    <w:name w:val="正文文本首行缩进 2 字符"/>
    <w:next w:val="803"/>
    <w:link w:val="802"/>
    <w:rPr>
      <w:rFonts w:ascii="宋体" w:hAnsi="宋体" w:eastAsia="宋体" w:cs="Times New Roman"/>
      <w:szCs w:val="20"/>
    </w:rPr>
  </w:style>
  <w:style w:type="table" w:styleId="804">
    <w:name w:val="网格型"/>
    <w:basedOn w:val="745"/>
    <w:next w:val="804"/>
    <w:link w:val="734"/>
    <w:pPr>
      <w:jc w:val="both"/>
      <w:widowControl w:val="off"/>
    </w:pPr>
    <w:rPr>
      <w:rFonts w:ascii="Times New Roman" w:hAnsi="Times New Roman" w:eastAsia="宋体" w:cs="Times New Roman"/>
      <w:sz w:val="20"/>
      <w:szCs w:val="20"/>
    </w:rPr>
    <w:tblPr/>
  </w:style>
  <w:style w:type="character" w:styleId="805">
    <w:name w:val="要点"/>
    <w:next w:val="805"/>
    <w:link w:val="734"/>
    <w:qFormat/>
    <w:rPr>
      <w:b/>
      <w:bCs/>
    </w:rPr>
  </w:style>
  <w:style w:type="character" w:styleId="806">
    <w:name w:val="页码"/>
    <w:next w:val="806"/>
    <w:link w:val="734"/>
  </w:style>
  <w:style w:type="character" w:styleId="807">
    <w:name w:val="已访问的超链接"/>
    <w:next w:val="807"/>
    <w:link w:val="734"/>
    <w:rPr>
      <w:color w:val="800080"/>
      <w:u w:val="single"/>
    </w:rPr>
  </w:style>
  <w:style w:type="character" w:styleId="808">
    <w:name w:val="强调"/>
    <w:next w:val="808"/>
    <w:link w:val="734"/>
    <w:qFormat/>
    <w:rPr>
      <w:i/>
    </w:rPr>
  </w:style>
  <w:style w:type="character" w:styleId="809">
    <w:name w:val="超链接"/>
    <w:next w:val="809"/>
    <w:link w:val="734"/>
    <w:rPr>
      <w:color w:val="0000ff"/>
      <w:u w:val="single"/>
    </w:rPr>
  </w:style>
  <w:style w:type="character" w:styleId="810">
    <w:name w:val="批注引用"/>
    <w:next w:val="810"/>
    <w:link w:val="734"/>
    <w:semiHidden/>
    <w:rPr>
      <w:sz w:val="21"/>
      <w:szCs w:val="21"/>
    </w:rPr>
  </w:style>
  <w:style w:type="character" w:styleId="811">
    <w:name w:val="font5 Char"/>
    <w:next w:val="811"/>
    <w:link w:val="734"/>
    <w:rPr>
      <w:rFonts w:ascii="宋体" w:hAnsi="宋体" w:eastAsia="宋体"/>
      <w:sz w:val="28"/>
      <w:szCs w:val="28"/>
      <w:lang w:val="en-US" w:eastAsia="zh-CN" w:bidi="ar-SA"/>
    </w:rPr>
  </w:style>
  <w:style w:type="character" w:styleId="812">
    <w:name w:val="二级目录 Char"/>
    <w:next w:val="812"/>
    <w:link w:val="813"/>
    <w:rPr>
      <w:b/>
      <w:sz w:val="30"/>
      <w:szCs w:val="28"/>
    </w:rPr>
  </w:style>
  <w:style w:type="paragraph" w:styleId="813">
    <w:name w:val="二级目录"/>
    <w:next w:val="734"/>
    <w:link w:val="812"/>
    <w:pPr>
      <w:numPr>
        <w:ilvl w:val="0"/>
        <w:numId w:val="2"/>
      </w:numPr>
      <w:tabs>
        <w:tab w:val="left" w:pos="907" w:leader="none"/>
        <w:tab w:val="left" w:pos="1145" w:leader="none"/>
      </w:tabs>
      <w:outlineLvl w:val="1"/>
    </w:pPr>
    <w:rPr>
      <w:b/>
      <w:sz w:val="30"/>
      <w:szCs w:val="28"/>
      <w:lang w:val="en-US" w:eastAsia="zh-CN" w:bidi="ar-SA"/>
    </w:rPr>
  </w:style>
  <w:style w:type="character" w:styleId="814">
    <w:name w:val="列出段落 Char,Bullet List Char,numbered Char,FooterText Char,List Paragraph1 Char,Paragraphe de liste1 Char"/>
    <w:next w:val="814"/>
    <w:link w:val="815"/>
    <w:rPr>
      <w:rFonts w:ascii="Calibri" w:hAnsi="Calibri"/>
      <w:sz w:val="24"/>
      <w:szCs w:val="24"/>
      <w:lang w:eastAsia="en-US" w:bidi="en-US"/>
    </w:rPr>
  </w:style>
  <w:style w:type="paragraph" w:styleId="815">
    <w:name w:val="列出段落1"/>
    <w:basedOn w:val="734"/>
    <w:next w:val="815"/>
    <w:link w:val="814"/>
    <w:qFormat/>
    <w:pPr>
      <w:contextualSpacing/>
      <w:ind w:left="720"/>
      <w:jc w:val="left"/>
      <w:widowControl/>
    </w:pPr>
    <w:rPr>
      <w:rFonts w:ascii="Calibri" w:hAnsi="Calibri"/>
      <w:sz w:val="24"/>
      <w:szCs w:val="24"/>
      <w:lang w:eastAsia="en-US" w:bidi="en-US"/>
    </w:rPr>
  </w:style>
  <w:style w:type="paragraph" w:styleId="816">
    <w:name w:val="Body Text(ch)"/>
    <w:basedOn w:val="734"/>
    <w:next w:val="765"/>
    <w:link w:val="734"/>
    <w:pPr>
      <w:spacing w:after="120"/>
    </w:pPr>
    <w:rPr>
      <w:rFonts w:ascii="宋体" w:hAnsi="Arial" w:eastAsia="宋体" w:cs="Times New Roman"/>
      <w:bCs/>
      <w:iCs/>
      <w:szCs w:val="24"/>
    </w:rPr>
  </w:style>
  <w:style w:type="paragraph" w:styleId="817">
    <w:name w:val="xl27"/>
    <w:basedOn w:val="734"/>
    <w:next w:val="817"/>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8">
    <w:name w:val="xl26"/>
    <w:basedOn w:val="734"/>
    <w:next w:val="818"/>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9">
    <w:name w:val="Char"/>
    <w:basedOn w:val="734"/>
    <w:next w:val="819"/>
    <w:link w:val="734"/>
    <w:pPr>
      <w:ind w:firstLine="200"/>
      <w:tabs>
        <w:tab w:val="left" w:pos="360" w:leader="none"/>
      </w:tabs>
    </w:pPr>
    <w:rPr>
      <w:rFonts w:ascii="Times New Roman" w:hAnsi="Times New Roman" w:eastAsia="宋体" w:cs="Times New Roman"/>
      <w:sz w:val="28"/>
      <w:szCs w:val="30"/>
    </w:rPr>
  </w:style>
  <w:style w:type="paragraph" w:styleId="820">
    <w:name w:val=" Char"/>
    <w:basedOn w:val="759"/>
    <w:next w:val="820"/>
    <w:link w:val="734"/>
    <w:rPr>
      <w:rFonts w:ascii="Tahoma" w:hAnsi="Tahoma"/>
      <w:sz w:val="24"/>
      <w:szCs w:val="24"/>
    </w:rPr>
  </w:style>
  <w:style w:type="paragraph" w:styleId="821">
    <w:name w:val="普通正文"/>
    <w:basedOn w:val="734"/>
    <w:next w:val="821"/>
    <w:link w:val="734"/>
    <w:pPr>
      <w:ind w:firstLine="480"/>
      <w:jc w:val="left"/>
      <w:spacing w:before="120" w:after="120" w:line="360" w:lineRule="auto"/>
    </w:pPr>
    <w:rPr>
      <w:rFonts w:ascii="Arial" w:hAnsi="Arial" w:eastAsia="宋体" w:cs="Times New Roman"/>
      <w:sz w:val="24"/>
      <w:szCs w:val="24"/>
    </w:rPr>
  </w:style>
  <w:style w:type="paragraph" w:styleId="822">
    <w:name w:val="table_lines"/>
    <w:basedOn w:val="734"/>
    <w:next w:val="822"/>
    <w:link w:val="734"/>
    <w:pPr>
      <w:jc w:val="left"/>
      <w:widowControl/>
    </w:pPr>
    <w:rPr>
      <w:rFonts w:ascii="Times New Roman" w:hAnsi="Times New Roman" w:eastAsia="宋体" w:cs="Times New Roman"/>
      <w:sz w:val="20"/>
      <w:szCs w:val="20"/>
      <w:lang w:val="de-DE" w:eastAsia="de-DE"/>
    </w:rPr>
  </w:style>
  <w:style w:type="paragraph" w:styleId="823">
    <w:name w:val="附录1"/>
    <w:next w:val="823"/>
    <w:link w:val="734"/>
    <w:pPr>
      <w:numPr>
        <w:ilvl w:val="0"/>
        <w:numId w:val="2"/>
      </w:numPr>
      <w:spacing w:before="240" w:line="600" w:lineRule="atLeast"/>
      <w:tabs>
        <w:tab w:val="left" w:pos="907" w:leader="none"/>
      </w:tabs>
    </w:pPr>
    <w:rPr>
      <w:b/>
      <w:i/>
      <w:sz w:val="28"/>
      <w:lang w:val="en-US" w:eastAsia="zh-CN" w:bidi="ar-SA"/>
    </w:rPr>
  </w:style>
  <w:style w:type="paragraph" w:styleId="824">
    <w:name w:val="font7"/>
    <w:basedOn w:val="734"/>
    <w:next w:val="824"/>
    <w:link w:val="734"/>
    <w:pPr>
      <w:jc w:val="left"/>
      <w:spacing w:before="100" w:beforeAutospacing="1" w:after="100" w:afterAutospacing="1"/>
      <w:widowControl/>
    </w:pPr>
    <w:rPr>
      <w:rFonts w:hint="eastAsia" w:ascii="宋体" w:hAnsi="宋体" w:eastAsia="宋体" w:cs="Times New Roman"/>
      <w:sz w:val="18"/>
      <w:szCs w:val="18"/>
    </w:rPr>
  </w:style>
  <w:style w:type="paragraph" w:styleId="825">
    <w:name w:val=" Char Char Char Char"/>
    <w:basedOn w:val="759"/>
    <w:next w:val="825"/>
    <w:link w:val="734"/>
    <w:pPr>
      <w:spacing w:line="360" w:lineRule="auto"/>
    </w:pPr>
    <w:rPr>
      <w:rFonts w:ascii="Tahoma" w:hAnsi="Tahoma"/>
      <w:sz w:val="24"/>
      <w:szCs w:val="24"/>
    </w:rPr>
  </w:style>
  <w:style w:type="paragraph" w:styleId="826">
    <w:name w:val="列表段落"/>
    <w:basedOn w:val="734"/>
    <w:next w:val="826"/>
    <w:link w:val="734"/>
    <w:qFormat/>
    <w:pPr>
      <w:contextualSpacing/>
      <w:ind w:left="720"/>
      <w:jc w:val="left"/>
      <w:widowControl/>
    </w:pPr>
    <w:rPr>
      <w:rFonts w:ascii="Calibri" w:hAnsi="Calibri" w:eastAsia="宋体" w:cs="Times New Roman"/>
      <w:sz w:val="24"/>
      <w:szCs w:val="24"/>
      <w:lang w:eastAsia="en-US" w:bidi="en-US"/>
    </w:rPr>
  </w:style>
  <w:style w:type="paragraph" w:styleId="827">
    <w:name w:val="4"/>
    <w:basedOn w:val="734"/>
    <w:next w:val="789"/>
    <w:link w:val="734"/>
    <w:pPr>
      <w:ind w:firstLine="420"/>
      <w:spacing w:line="360" w:lineRule="auto"/>
    </w:pPr>
    <w:rPr>
      <w:rFonts w:ascii="Times New Roman" w:hAnsi="Times New Roman" w:eastAsia="宋体" w:cs="Times New Roman"/>
      <w:color w:val="ff0000"/>
      <w:sz w:val="24"/>
      <w:szCs w:val="24"/>
    </w:rPr>
  </w:style>
  <w:style w:type="paragraph" w:styleId="828">
    <w:name w:val="普通 (Web)"/>
    <w:basedOn w:val="734"/>
    <w:next w:val="828"/>
    <w:link w:val="734"/>
    <w:pPr>
      <w:jc w:val="left"/>
      <w:spacing w:before="100" w:beforeAutospacing="1" w:after="100" w:afterAutospacing="1"/>
      <w:widowControl/>
    </w:pPr>
    <w:rPr>
      <w:rFonts w:ascii="宋体" w:hAnsi="宋体" w:eastAsia="宋体" w:cs="Times New Roman"/>
      <w:sz w:val="24"/>
      <w:szCs w:val="24"/>
    </w:rPr>
  </w:style>
  <w:style w:type="paragraph" w:styleId="829">
    <w:name w:val=" Char Char Char Char Char Char Char Char Char Char"/>
    <w:basedOn w:val="734"/>
    <w:next w:val="829"/>
    <w:link w:val="734"/>
    <w:pPr>
      <w:spacing w:line="360" w:lineRule="auto"/>
    </w:pPr>
    <w:rPr>
      <w:rFonts w:ascii="Times New Roman" w:hAnsi="Times New Roman" w:eastAsia="宋体" w:cs="Times New Roman"/>
      <w:sz w:val="24"/>
      <w:szCs w:val="20"/>
    </w:rPr>
  </w:style>
  <w:style w:type="paragraph" w:styleId="830">
    <w:name w:val="样式1"/>
    <w:basedOn w:val="734"/>
    <w:next w:val="830"/>
    <w:link w:val="734"/>
    <w:pPr>
      <w:numPr>
        <w:ilvl w:val="0"/>
        <w:numId w:val="3"/>
      </w:numPr>
      <w:tabs>
        <w:tab w:val="left" w:pos="709" w:leader="none"/>
      </w:tabs>
    </w:pPr>
    <w:rPr>
      <w:rFonts w:ascii="宋体" w:hAnsi="宋体" w:eastAsia="宋体" w:cs="Times New Roman"/>
      <w:szCs w:val="21"/>
    </w:rPr>
  </w:style>
  <w:style w:type="paragraph" w:styleId="831">
    <w:name w:val="font6"/>
    <w:basedOn w:val="734"/>
    <w:next w:val="831"/>
    <w:link w:val="734"/>
    <w:pPr>
      <w:jc w:val="left"/>
      <w:spacing w:before="100" w:beforeAutospacing="1" w:after="100" w:afterAutospacing="1"/>
      <w:widowControl/>
    </w:pPr>
    <w:rPr>
      <w:rFonts w:hint="eastAsia" w:ascii="宋体" w:hAnsi="宋体" w:eastAsia="宋体" w:cs="Times New Roman"/>
      <w:sz w:val="28"/>
      <w:szCs w:val="28"/>
      <w:u w:val="single"/>
    </w:rPr>
  </w:style>
  <w:style w:type="paragraph" w:styleId="832">
    <w:name w:val="xl25"/>
    <w:basedOn w:val="734"/>
    <w:next w:val="832"/>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3">
    <w:name w:val="图标"/>
    <w:basedOn w:val="734"/>
    <w:next w:val="734"/>
    <w:link w:val="73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4">
    <w:name w:val="标题3"/>
    <w:basedOn w:val="734"/>
    <w:next w:val="734"/>
    <w:link w:val="734"/>
    <w:pPr>
      <w:ind w:firstLine="624"/>
      <w:spacing w:line="590" w:lineRule="atLeast"/>
    </w:pPr>
    <w:rPr>
      <w:rFonts w:ascii="方正黑体_GBK" w:hAnsi="Times New Roman" w:eastAsia="方正黑体_GBK" w:cs="Times New Roman"/>
      <w:sz w:val="32"/>
      <w:szCs w:val="32"/>
    </w:rPr>
  </w:style>
  <w:style w:type="paragraph" w:styleId="835">
    <w:name w:val="xl24"/>
    <w:basedOn w:val="734"/>
    <w:next w:val="835"/>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6">
    <w:name w:val="xl29"/>
    <w:basedOn w:val="734"/>
    <w:next w:val="836"/>
    <w:link w:val="7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37">
    <w:name w:val="Char Char Char Char Char Char Char Char"/>
    <w:basedOn w:val="734"/>
    <w:next w:val="837"/>
    <w:link w:val="734"/>
    <w:pPr>
      <w:jc w:val="left"/>
      <w:spacing w:after="160" w:line="240" w:lineRule="exact"/>
      <w:widowControl/>
    </w:pPr>
    <w:rPr>
      <w:rFonts w:ascii="Verdana" w:hAnsi="Verdana" w:eastAsia="宋体" w:cs="Times New Roman"/>
      <w:sz w:val="20"/>
      <w:szCs w:val="20"/>
      <w:lang w:eastAsia="en-US"/>
    </w:rPr>
  </w:style>
  <w:style w:type="paragraph" w:styleId="838">
    <w:name w:val="xl28"/>
    <w:basedOn w:val="734"/>
    <w:next w:val="838"/>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9">
    <w:name w:val=" Char Char Char Char Char Char Char Char"/>
    <w:basedOn w:val="734"/>
    <w:next w:val="839"/>
    <w:link w:val="734"/>
    <w:pPr>
      <w:jc w:val="left"/>
      <w:spacing w:after="160" w:line="240" w:lineRule="exact"/>
      <w:widowControl/>
    </w:pPr>
    <w:rPr>
      <w:rFonts w:ascii="Verdana" w:hAnsi="Verdana" w:eastAsia="宋体" w:cs="Times New Roman"/>
      <w:sz w:val="20"/>
      <w:szCs w:val="20"/>
      <w:lang w:eastAsia="en-US"/>
    </w:rPr>
  </w:style>
  <w:style w:type="paragraph" w:styleId="840">
    <w:name w:val="xl30"/>
    <w:basedOn w:val="734"/>
    <w:next w:val="840"/>
    <w:link w:val="734"/>
    <w:pPr>
      <w:jc w:val="center"/>
      <w:spacing w:before="100" w:beforeAutospacing="1" w:after="100" w:afterAutospacing="1"/>
      <w:widowControl/>
    </w:pPr>
    <w:rPr>
      <w:rFonts w:ascii="宋体" w:hAnsi="宋体" w:eastAsia="宋体" w:cs="Times New Roman"/>
      <w:b/>
      <w:bCs/>
      <w:sz w:val="36"/>
      <w:szCs w:val="36"/>
    </w:rPr>
  </w:style>
  <w:style w:type="paragraph" w:styleId="841">
    <w:name w:val="Char Char Char Char"/>
    <w:basedOn w:val="759"/>
    <w:next w:val="841"/>
    <w:link w:val="734"/>
    <w:pPr>
      <w:spacing w:line="360" w:lineRule="auto"/>
    </w:pPr>
    <w:rPr>
      <w:rFonts w:ascii="Tahoma" w:hAnsi="Tahoma"/>
      <w:sz w:val="24"/>
      <w:szCs w:val="24"/>
    </w:rPr>
  </w:style>
  <w:style w:type="paragraph" w:styleId="842">
    <w:name w:val="table_1stline"/>
    <w:basedOn w:val="734"/>
    <w:next w:val="842"/>
    <w:link w:val="734"/>
    <w:pPr>
      <w:jc w:val="left"/>
      <w:spacing w:before="120"/>
      <w:widowControl/>
    </w:pPr>
    <w:rPr>
      <w:rFonts w:ascii="Times New Roman" w:hAnsi="Times New Roman" w:eastAsia="宋体" w:cs="Times New Roman"/>
      <w:bCs/>
      <w:sz w:val="20"/>
      <w:szCs w:val="20"/>
      <w:lang w:val="de-DE" w:eastAsia="de-DE"/>
    </w:rPr>
  </w:style>
  <w:style w:type="paragraph" w:styleId="843">
    <w:name w:val="font5"/>
    <w:basedOn w:val="734"/>
    <w:next w:val="843"/>
    <w:link w:val="734"/>
    <w:pPr>
      <w:jc w:val="left"/>
      <w:spacing w:before="100" w:beforeAutospacing="1" w:after="100" w:afterAutospacing="1"/>
      <w:widowControl/>
    </w:pPr>
    <w:rPr>
      <w:rFonts w:hint="eastAsia" w:ascii="宋体" w:hAnsi="宋体" w:eastAsia="宋体" w:cs="Times New Roman"/>
      <w:sz w:val="28"/>
      <w:szCs w:val="28"/>
    </w:rPr>
  </w:style>
  <w:style w:type="paragraph" w:styleId="844">
    <w:name w:val="标题1"/>
    <w:basedOn w:val="734"/>
    <w:next w:val="734"/>
    <w:link w:val="7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5">
    <w:name w:val="修订"/>
    <w:next w:val="845"/>
    <w:link w:val="734"/>
    <w:uiPriority w:val="99"/>
    <w:semiHidden/>
    <w:rPr>
      <w:sz w:val="21"/>
      <w:szCs w:val="21"/>
      <w:lang w:val="en-US" w:eastAsia="zh-CN" w:bidi="ar-SA"/>
    </w:rPr>
  </w:style>
  <w:style w:type="paragraph" w:styleId="846">
    <w:name w:val="无间隔"/>
    <w:next w:val="846"/>
    <w:link w:val="734"/>
    <w:uiPriority w:val="99"/>
    <w:qFormat/>
    <w:pPr>
      <w:jc w:val="both"/>
      <w:widowControl w:val="off"/>
    </w:pPr>
    <w:rPr>
      <w:sz w:val="21"/>
      <w:szCs w:val="21"/>
      <w:lang w:val="en-US" w:eastAsia="zh-CN" w:bidi="ar-SA"/>
    </w:rPr>
  </w:style>
  <w:style w:type="paragraph" w:styleId="847">
    <w:name w:val="AONormal"/>
    <w:next w:val="847"/>
    <w:link w:val="734"/>
    <w:qFormat/>
    <w:pPr>
      <w:ind w:firstLine="440"/>
      <w:spacing w:line="400" w:lineRule="exact"/>
    </w:pPr>
    <w:rPr>
      <w:rFonts w:ascii="华文楷体" w:hAnsi="华文楷体" w:eastAsia="华文楷体" w:cs="华文楷体"/>
      <w:sz w:val="22"/>
      <w:szCs w:val="21"/>
      <w:lang w:val="en-US" w:eastAsia="zh-CN" w:bidi="ar-SA"/>
    </w:rPr>
  </w:style>
  <w:style w:type="character" w:styleId="17669" w:default="1">
    <w:name w:val="Default Paragraph Font"/>
    <w:uiPriority w:val="1"/>
    <w:semiHidden/>
    <w:unhideWhenUsed/>
  </w:style>
  <w:style w:type="numbering" w:styleId="17670" w:default="1">
    <w:name w:val="No List"/>
    <w:uiPriority w:val="99"/>
    <w:semiHidden/>
    <w:unhideWhenUsed/>
  </w:style>
  <w:style w:type="table" w:styleId="176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5</cp:revision>
  <dcterms:created xsi:type="dcterms:W3CDTF">2026-10-13T03:29:00Z</dcterms:created>
  <dcterms:modified xsi:type="dcterms:W3CDTF">2026-10-28T07:51:24Z</dcterms:modified>
</cp:coreProperties>
</file>