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F0B921">
      <w:pPr>
        <w:pStyle w:val="26"/>
        <w:ind w:firstLine="0" w:firstLineChars="0"/>
        <w:rPr>
          <w:rFonts w:hint="eastAsia" w:ascii="宋体" w:hAnsi="宋体" w:eastAsia="宋体" w:cs="宋体"/>
          <w:b/>
          <w:bCs/>
          <w:sz w:val="56"/>
          <w:szCs w:val="56"/>
        </w:rPr>
      </w:pPr>
    </w:p>
    <w:p w14:paraId="241152EE">
      <w:pPr>
        <w:pStyle w:val="26"/>
        <w:ind w:firstLine="1124"/>
        <w:rPr>
          <w:rFonts w:hint="eastAsia" w:ascii="宋体" w:hAnsi="宋体" w:eastAsia="宋体" w:cs="宋体"/>
          <w:b/>
          <w:bCs/>
          <w:sz w:val="56"/>
          <w:szCs w:val="56"/>
        </w:rPr>
      </w:pPr>
    </w:p>
    <w:p w14:paraId="1B3EBF5F">
      <w:pPr>
        <w:rPr>
          <w:rFonts w:hint="eastAsia" w:ascii="宋体" w:hAnsi="宋体" w:eastAsia="宋体" w:cs="宋体"/>
        </w:rPr>
      </w:pPr>
    </w:p>
    <w:p w14:paraId="03219478">
      <w:pPr>
        <w:jc w:val="center"/>
        <w:rPr>
          <w:rFonts w:hint="eastAsia" w:ascii="宋体" w:hAnsi="宋体" w:eastAsia="宋体" w:cs="宋体"/>
          <w:b/>
          <w:bCs/>
          <w:sz w:val="72"/>
          <w:szCs w:val="72"/>
          <w:lang w:eastAsia="zh-CN"/>
        </w:rPr>
      </w:pPr>
      <w:bookmarkStart w:id="0" w:name="_Toc30678"/>
      <w:bookmarkStart w:id="1" w:name="_Toc25868"/>
      <w:r>
        <w:rPr>
          <w:rFonts w:hint="eastAsia" w:ascii="宋体" w:hAnsi="宋体" w:eastAsia="宋体" w:cs="宋体"/>
          <w:b/>
          <w:bCs/>
          <w:sz w:val="72"/>
          <w:szCs w:val="72"/>
          <w:lang w:eastAsia="zh-CN"/>
        </w:rPr>
        <w:t>单一来源采购文件</w:t>
      </w:r>
      <w:bookmarkEnd w:id="0"/>
      <w:bookmarkEnd w:id="1"/>
    </w:p>
    <w:p w14:paraId="0FC394EE">
      <w:pPr>
        <w:rPr>
          <w:rFonts w:hint="eastAsia" w:ascii="宋体" w:hAnsi="宋体" w:eastAsia="宋体" w:cs="宋体"/>
          <w:b/>
          <w:bCs/>
          <w:lang w:eastAsia="zh-CN"/>
        </w:rPr>
      </w:pPr>
    </w:p>
    <w:p w14:paraId="1E3BD199">
      <w:pPr>
        <w:pStyle w:val="26"/>
        <w:ind w:firstLine="480"/>
        <w:rPr>
          <w:rFonts w:hint="eastAsia" w:ascii="宋体" w:hAnsi="宋体" w:eastAsia="宋体" w:cs="宋体"/>
          <w:lang w:eastAsia="zh-CN"/>
        </w:rPr>
      </w:pPr>
    </w:p>
    <w:p w14:paraId="7A5D2B05">
      <w:pPr>
        <w:pStyle w:val="26"/>
        <w:ind w:firstLine="480"/>
        <w:rPr>
          <w:rFonts w:hint="eastAsia" w:ascii="宋体" w:hAnsi="宋体" w:eastAsia="宋体" w:cs="宋体"/>
          <w:lang w:eastAsia="zh-CN"/>
        </w:rPr>
      </w:pPr>
    </w:p>
    <w:p w14:paraId="00B66A35">
      <w:pPr>
        <w:pStyle w:val="26"/>
        <w:ind w:firstLine="480"/>
        <w:rPr>
          <w:rFonts w:hint="eastAsia" w:ascii="宋体" w:hAnsi="宋体" w:eastAsia="宋体" w:cs="宋体"/>
          <w:lang w:eastAsia="zh-CN"/>
        </w:rPr>
      </w:pPr>
    </w:p>
    <w:p w14:paraId="66EA7ED4">
      <w:pPr>
        <w:pStyle w:val="26"/>
        <w:ind w:firstLine="480"/>
        <w:rPr>
          <w:rFonts w:hint="eastAsia" w:ascii="宋体" w:hAnsi="宋体" w:eastAsia="宋体" w:cs="宋体"/>
          <w:lang w:eastAsia="zh-CN"/>
        </w:rPr>
      </w:pPr>
    </w:p>
    <w:p w14:paraId="3B7DFFD4">
      <w:pPr>
        <w:pStyle w:val="26"/>
        <w:ind w:firstLine="480"/>
        <w:rPr>
          <w:rFonts w:hint="eastAsia" w:ascii="宋体" w:hAnsi="宋体" w:eastAsia="宋体" w:cs="宋体"/>
          <w:lang w:eastAsia="zh-CN"/>
        </w:rPr>
      </w:pPr>
    </w:p>
    <w:p w14:paraId="404763E0">
      <w:pPr>
        <w:pStyle w:val="26"/>
        <w:ind w:firstLine="480"/>
        <w:rPr>
          <w:rFonts w:hint="eastAsia" w:ascii="宋体" w:hAnsi="宋体" w:eastAsia="宋体" w:cs="宋体"/>
          <w:lang w:eastAsia="zh-CN"/>
        </w:rPr>
      </w:pPr>
    </w:p>
    <w:p w14:paraId="597E327B">
      <w:pPr>
        <w:pStyle w:val="26"/>
        <w:ind w:firstLine="440"/>
        <w:rPr>
          <w:rFonts w:hint="eastAsia" w:ascii="宋体" w:hAnsi="宋体" w:eastAsia="宋体" w:cs="宋体"/>
          <w:sz w:val="22"/>
          <w:szCs w:val="18"/>
          <w:lang w:eastAsia="zh-CN"/>
        </w:rPr>
      </w:pPr>
    </w:p>
    <w:p w14:paraId="60C1442D">
      <w:pPr>
        <w:pStyle w:val="27"/>
        <w:spacing w:before="0" w:after="0" w:line="0" w:lineRule="atLeast"/>
        <w:ind w:firstLine="0" w:firstLineChars="0"/>
        <w:jc w:val="center"/>
        <w:rPr>
          <w:rFonts w:hint="eastAsia" w:ascii="宋体" w:hAnsi="宋体" w:eastAsia="宋体" w:cs="宋体"/>
          <w:b/>
          <w:bCs/>
          <w:spacing w:val="-11"/>
          <w:sz w:val="36"/>
          <w:szCs w:val="36"/>
          <w:lang w:eastAsia="zh-CN"/>
        </w:rPr>
      </w:pPr>
      <w:r>
        <w:rPr>
          <w:rFonts w:hint="eastAsia" w:ascii="宋体" w:hAnsi="宋体" w:eastAsia="宋体" w:cs="宋体"/>
          <w:b/>
          <w:bCs/>
          <w:spacing w:val="-11"/>
          <w:sz w:val="36"/>
          <w:szCs w:val="36"/>
        </w:rPr>
        <w:t>项目名称：</w:t>
      </w:r>
      <w:r>
        <w:rPr>
          <w:rFonts w:hint="eastAsia" w:ascii="宋体" w:hAnsi="宋体" w:eastAsia="宋体" w:cs="宋体"/>
          <w:b/>
          <w:bCs/>
          <w:spacing w:val="-11"/>
          <w:sz w:val="36"/>
          <w:szCs w:val="36"/>
          <w:lang w:eastAsia="zh-CN"/>
        </w:rPr>
        <w:t>第十六届江苏—澳门 葡语国家工商峰会</w:t>
      </w:r>
    </w:p>
    <w:p w14:paraId="6263CC10">
      <w:pPr>
        <w:pStyle w:val="27"/>
        <w:spacing w:before="0" w:after="0" w:line="0" w:lineRule="atLeast"/>
        <w:ind w:firstLine="0" w:firstLineChars="0"/>
        <w:jc w:val="center"/>
        <w:rPr>
          <w:rFonts w:hint="eastAsia" w:ascii="宋体" w:hAnsi="宋体" w:eastAsia="宋体" w:cs="宋体"/>
          <w:b/>
          <w:bCs/>
          <w:sz w:val="10"/>
          <w:szCs w:val="10"/>
          <w:lang w:val="en-US"/>
        </w:rPr>
      </w:pPr>
      <w:r>
        <w:rPr>
          <w:rFonts w:hint="eastAsia" w:ascii="宋体" w:hAnsi="宋体" w:eastAsia="宋体" w:cs="宋体"/>
          <w:b/>
          <w:bCs/>
          <w:spacing w:val="-11"/>
          <w:sz w:val="36"/>
          <w:szCs w:val="36"/>
          <w:lang w:val="en-US" w:eastAsia="zh-CN"/>
        </w:rPr>
        <w:t xml:space="preserve">     </w:t>
      </w:r>
      <w:r>
        <w:rPr>
          <w:rFonts w:hint="eastAsia" w:ascii="宋体" w:hAnsi="宋体" w:eastAsia="宋体" w:cs="宋体"/>
          <w:b/>
          <w:bCs/>
          <w:spacing w:val="-11"/>
          <w:sz w:val="36"/>
          <w:szCs w:val="36"/>
          <w:lang w:eastAsia="zh-CN"/>
        </w:rPr>
        <w:t>会展搭建及会务承办</w:t>
      </w:r>
    </w:p>
    <w:p w14:paraId="59CEFD67">
      <w:pPr>
        <w:pStyle w:val="27"/>
        <w:spacing w:before="0" w:after="0" w:line="0" w:lineRule="atLeast"/>
        <w:ind w:firstLine="0" w:firstLineChars="0"/>
        <w:jc w:val="center"/>
        <w:rPr>
          <w:rFonts w:hint="eastAsia" w:ascii="宋体" w:hAnsi="宋体" w:eastAsia="宋体" w:cs="宋体"/>
          <w:b/>
          <w:bCs/>
          <w:spacing w:val="-11"/>
          <w:sz w:val="36"/>
          <w:szCs w:val="36"/>
        </w:rPr>
      </w:pPr>
    </w:p>
    <w:p w14:paraId="3B3C7965">
      <w:pPr>
        <w:pStyle w:val="27"/>
        <w:spacing w:before="0" w:after="0" w:line="0" w:lineRule="atLeast"/>
        <w:ind w:firstLine="0" w:firstLineChars="0"/>
        <w:jc w:val="center"/>
        <w:rPr>
          <w:rFonts w:hint="eastAsia" w:ascii="宋体" w:hAnsi="宋体" w:eastAsia="宋体" w:cs="宋体"/>
          <w:b/>
          <w:bCs/>
          <w:spacing w:val="-11"/>
          <w:sz w:val="36"/>
          <w:szCs w:val="36"/>
          <w:lang w:eastAsia="zh-CN"/>
        </w:rPr>
      </w:pPr>
      <w:r>
        <w:rPr>
          <w:rFonts w:hint="eastAsia" w:ascii="宋体" w:hAnsi="宋体" w:eastAsia="宋体" w:cs="宋体"/>
          <w:b/>
          <w:bCs/>
          <w:spacing w:val="-11"/>
          <w:sz w:val="36"/>
          <w:szCs w:val="36"/>
        </w:rPr>
        <w:t>项目编号：</w:t>
      </w:r>
      <w:r>
        <w:rPr>
          <w:rFonts w:hint="eastAsia" w:ascii="宋体" w:hAnsi="宋体" w:eastAsia="宋体" w:cs="宋体"/>
          <w:b/>
          <w:bCs/>
          <w:spacing w:val="-11"/>
          <w:sz w:val="36"/>
          <w:szCs w:val="36"/>
          <w:lang w:eastAsia="zh-CN"/>
        </w:rPr>
        <w:t>JSZC-320000-DCXG-D2026-0025</w:t>
      </w:r>
    </w:p>
    <w:p w14:paraId="5AA3EBB1">
      <w:pPr>
        <w:pStyle w:val="27"/>
        <w:ind w:firstLine="0" w:firstLineChars="0"/>
        <w:rPr>
          <w:rFonts w:hint="eastAsia" w:ascii="宋体" w:hAnsi="宋体" w:eastAsia="宋体" w:cs="宋体"/>
          <w:b/>
          <w:bCs/>
          <w:sz w:val="36"/>
          <w:szCs w:val="36"/>
        </w:rPr>
      </w:pPr>
    </w:p>
    <w:p w14:paraId="73B38AD2">
      <w:pPr>
        <w:pStyle w:val="27"/>
        <w:ind w:firstLine="0" w:firstLineChars="0"/>
        <w:rPr>
          <w:rFonts w:hint="eastAsia" w:ascii="宋体" w:hAnsi="宋体" w:eastAsia="宋体" w:cs="宋体"/>
          <w:b/>
          <w:bCs/>
          <w:sz w:val="36"/>
          <w:szCs w:val="36"/>
        </w:rPr>
      </w:pPr>
    </w:p>
    <w:p w14:paraId="36DCF77C">
      <w:pPr>
        <w:pStyle w:val="27"/>
        <w:ind w:firstLine="0" w:firstLineChars="0"/>
        <w:rPr>
          <w:rFonts w:hint="eastAsia" w:ascii="宋体" w:hAnsi="宋体" w:eastAsia="宋体" w:cs="宋体"/>
          <w:b/>
          <w:bCs/>
          <w:sz w:val="36"/>
          <w:szCs w:val="36"/>
        </w:rPr>
      </w:pPr>
    </w:p>
    <w:p w14:paraId="0F6D6598">
      <w:pPr>
        <w:pStyle w:val="27"/>
        <w:ind w:firstLine="0" w:firstLineChars="0"/>
        <w:rPr>
          <w:rFonts w:hint="eastAsia" w:ascii="宋体" w:hAnsi="宋体" w:eastAsia="宋体" w:cs="宋体"/>
          <w:b/>
          <w:bCs/>
          <w:sz w:val="36"/>
          <w:szCs w:val="36"/>
        </w:rPr>
      </w:pPr>
    </w:p>
    <w:p w14:paraId="5390C620">
      <w:pPr>
        <w:pStyle w:val="27"/>
        <w:ind w:firstLine="1446" w:firstLineChars="400"/>
        <w:jc w:val="both"/>
        <w:rPr>
          <w:rFonts w:hint="eastAsia" w:ascii="宋体" w:hAnsi="宋体" w:eastAsia="宋体" w:cs="宋体"/>
          <w:b/>
          <w:bCs/>
          <w:sz w:val="36"/>
          <w:szCs w:val="36"/>
          <w:lang w:eastAsia="zh-CN"/>
        </w:rPr>
      </w:pPr>
      <w:r>
        <w:rPr>
          <w:rFonts w:hint="eastAsia" w:ascii="宋体" w:hAnsi="宋体" w:eastAsia="宋体" w:cs="宋体"/>
          <w:b/>
          <w:bCs/>
          <w:sz w:val="36"/>
          <w:szCs w:val="36"/>
        </w:rPr>
        <w:t>采 购 人：</w:t>
      </w:r>
      <w:r>
        <w:rPr>
          <w:rFonts w:hint="eastAsia" w:ascii="宋体" w:hAnsi="宋体" w:eastAsia="宋体" w:cs="宋体"/>
          <w:b/>
          <w:bCs/>
          <w:sz w:val="36"/>
          <w:szCs w:val="36"/>
          <w:lang w:eastAsia="zh-CN"/>
        </w:rPr>
        <w:t>江苏省人民政府外事办公室</w:t>
      </w:r>
    </w:p>
    <w:p w14:paraId="600A797D">
      <w:pPr>
        <w:pStyle w:val="27"/>
        <w:ind w:firstLine="1446" w:firstLineChars="400"/>
        <w:jc w:val="both"/>
        <w:rPr>
          <w:rFonts w:hint="eastAsia" w:ascii="宋体" w:hAnsi="宋体" w:eastAsia="宋体" w:cs="宋体"/>
          <w:b/>
          <w:bCs/>
          <w:sz w:val="36"/>
          <w:szCs w:val="36"/>
          <w:lang w:eastAsia="zh-CN"/>
        </w:rPr>
      </w:pPr>
      <w:r>
        <w:rPr>
          <w:rFonts w:hint="eastAsia" w:ascii="宋体" w:hAnsi="宋体" w:eastAsia="宋体" w:cs="宋体"/>
          <w:b/>
          <w:bCs/>
          <w:sz w:val="36"/>
          <w:szCs w:val="36"/>
        </w:rPr>
        <w:t>代理机构：</w:t>
      </w:r>
      <w:r>
        <w:rPr>
          <w:rFonts w:hint="eastAsia" w:ascii="宋体" w:hAnsi="宋体" w:eastAsia="宋体" w:cs="宋体"/>
          <w:b/>
          <w:bCs/>
          <w:sz w:val="36"/>
          <w:szCs w:val="36"/>
          <w:lang w:eastAsia="zh-CN"/>
        </w:rPr>
        <w:t>南京达琛鑫工程咨询有限公司</w:t>
      </w:r>
    </w:p>
    <w:p w14:paraId="1D0F3FFD">
      <w:pPr>
        <w:spacing w:line="360" w:lineRule="auto"/>
        <w:jc w:val="center"/>
        <w:rPr>
          <w:rFonts w:hint="eastAsia" w:ascii="宋体" w:hAnsi="宋体" w:eastAsia="宋体" w:cs="宋体"/>
        </w:rPr>
        <w:sectPr>
          <w:headerReference r:id="rId5" w:type="first"/>
          <w:headerReference r:id="rId3" w:type="default"/>
          <w:headerReference r:id="rId4" w:type="even"/>
          <w:footerReference r:id="rId6" w:type="even"/>
          <w:pgSz w:w="11906" w:h="16838"/>
          <w:pgMar w:top="1440" w:right="1179" w:bottom="1440" w:left="1179" w:header="851" w:footer="992" w:gutter="0"/>
          <w:pgNumType w:start="1"/>
          <w:cols w:space="720" w:num="1"/>
          <w:titlePg/>
          <w:docGrid w:type="lines" w:linePitch="312" w:charSpace="0"/>
        </w:sectPr>
      </w:pPr>
      <w:r>
        <w:rPr>
          <w:rFonts w:hint="eastAsia" w:ascii="宋体" w:hAnsi="宋体" w:eastAsia="宋体" w:cs="宋体"/>
          <w:b/>
          <w:bCs/>
          <w:sz w:val="36"/>
          <w:szCs w:val="36"/>
        </w:rPr>
        <w:t xml:space="preserve">二 ○ 二 </w:t>
      </w:r>
      <w:r>
        <w:rPr>
          <w:rFonts w:hint="eastAsia" w:ascii="宋体" w:hAnsi="宋体" w:eastAsia="宋体" w:cs="宋体"/>
          <w:b/>
          <w:bCs/>
          <w:sz w:val="36"/>
          <w:szCs w:val="36"/>
          <w:lang w:val="en-US" w:eastAsia="zh-CN"/>
        </w:rPr>
        <w:t>六</w:t>
      </w:r>
      <w:r>
        <w:rPr>
          <w:rFonts w:hint="eastAsia" w:ascii="宋体" w:hAnsi="宋体" w:eastAsia="宋体" w:cs="宋体"/>
          <w:b/>
          <w:bCs/>
          <w:sz w:val="36"/>
          <w:szCs w:val="36"/>
        </w:rPr>
        <w:t xml:space="preserve"> 年 </w:t>
      </w:r>
      <w:r>
        <w:rPr>
          <w:rFonts w:hint="eastAsia" w:ascii="宋体" w:hAnsi="宋体" w:eastAsia="宋体" w:cs="宋体"/>
          <w:b/>
          <w:bCs/>
          <w:sz w:val="36"/>
          <w:szCs w:val="36"/>
          <w:lang w:val="en-US" w:eastAsia="zh-CN"/>
        </w:rPr>
        <w:t>九</w:t>
      </w:r>
      <w:r>
        <w:rPr>
          <w:rFonts w:hint="eastAsia" w:ascii="宋体" w:hAnsi="宋体" w:eastAsia="宋体" w:cs="宋体"/>
          <w:b/>
          <w:bCs/>
          <w:sz w:val="36"/>
          <w:szCs w:val="36"/>
        </w:rPr>
        <w:t xml:space="preserve"> 月</w:t>
      </w:r>
    </w:p>
    <w:sdt>
      <w:sdtPr>
        <w:rPr>
          <w:rFonts w:hint="eastAsia" w:ascii="宋体" w:hAnsi="宋体" w:eastAsia="宋体" w:cs="宋体"/>
          <w:sz w:val="32"/>
          <w:szCs w:val="32"/>
          <w:lang w:eastAsia="zh-CN"/>
        </w:rPr>
        <w:id w:val="147482103"/>
        <w15:color w:val="DBDBDB"/>
        <w:docPartObj>
          <w:docPartGallery w:val="Table of Contents"/>
          <w:docPartUnique/>
        </w:docPartObj>
      </w:sdtPr>
      <w:sdtEndPr>
        <w:rPr>
          <w:rFonts w:hint="eastAsia" w:ascii="宋体" w:hAnsi="宋体" w:eastAsia="宋体" w:cs="宋体"/>
          <w:kern w:val="2"/>
          <w:sz w:val="21"/>
          <w:szCs w:val="22"/>
          <w:lang w:eastAsia="zh-CN" w:bidi="ar-SA"/>
        </w:rPr>
      </w:sdtEndPr>
      <w:sdtContent>
        <w:p w14:paraId="3ABAB525">
          <w:pPr>
            <w:rPr>
              <w:rFonts w:hint="eastAsia" w:ascii="宋体" w:hAnsi="宋体" w:eastAsia="宋体" w:cs="宋体"/>
              <w:b/>
              <w:bCs/>
              <w:sz w:val="28"/>
              <w:szCs w:val="32"/>
            </w:rPr>
          </w:pPr>
          <w:bookmarkStart w:id="2" w:name="_Toc6269"/>
          <w:bookmarkStart w:id="3" w:name="_Toc26592"/>
          <w:bookmarkStart w:id="4" w:name="_Toc3267"/>
          <w:bookmarkStart w:id="5" w:name="_Toc10503"/>
          <w:bookmarkStart w:id="6" w:name="_Toc5552"/>
        </w:p>
        <w:p w14:paraId="374C5535">
          <w:pPr>
            <w:jc w:val="center"/>
            <w:rPr>
              <w:rFonts w:hint="eastAsia" w:ascii="宋体" w:hAnsi="宋体" w:eastAsia="宋体" w:cs="宋体"/>
              <w:szCs w:val="28"/>
            </w:rPr>
          </w:pPr>
          <w:r>
            <w:rPr>
              <w:rFonts w:hint="eastAsia" w:ascii="宋体" w:hAnsi="宋体" w:eastAsia="宋体" w:cs="宋体"/>
              <w:b/>
              <w:bCs/>
              <w:sz w:val="28"/>
              <w:szCs w:val="32"/>
            </w:rPr>
            <w:t>目录</w:t>
          </w:r>
          <w:r>
            <w:rPr>
              <w:rFonts w:hint="eastAsia" w:ascii="宋体" w:hAnsi="宋体" w:eastAsia="宋体" w:cs="宋体"/>
              <w:szCs w:val="28"/>
            </w:rPr>
            <w:fldChar w:fldCharType="begin"/>
          </w:r>
          <w:r>
            <w:rPr>
              <w:rFonts w:hint="eastAsia" w:ascii="宋体" w:hAnsi="宋体" w:eastAsia="宋体" w:cs="宋体"/>
              <w:szCs w:val="28"/>
            </w:rPr>
            <w:instrText xml:space="preserve">TOC \o "1-3" \h \u </w:instrText>
          </w:r>
          <w:r>
            <w:rPr>
              <w:rFonts w:hint="eastAsia" w:ascii="宋体" w:hAnsi="宋体" w:eastAsia="宋体" w:cs="宋体"/>
              <w:szCs w:val="28"/>
            </w:rPr>
            <w:fldChar w:fldCharType="separate"/>
          </w:r>
        </w:p>
        <w:p w14:paraId="7FDCEB00">
          <w:pPr>
            <w:pStyle w:val="17"/>
            <w:tabs>
              <w:tab w:val="right" w:leader="dot" w:pos="9208"/>
            </w:tabs>
            <w:rPr>
              <w:rFonts w:hint="eastAsia" w:ascii="宋体" w:hAnsi="宋体" w:eastAsia="宋体" w:cs="宋体"/>
              <w:szCs w:val="28"/>
            </w:rPr>
          </w:pPr>
        </w:p>
        <w:p w14:paraId="2687A72A">
          <w:pPr>
            <w:pStyle w:val="17"/>
            <w:tabs>
              <w:tab w:val="right" w:leader="dot" w:pos="9208"/>
            </w:tabs>
            <w:spacing w:line="360" w:lineRule="auto"/>
            <w:rPr>
              <w:rFonts w:hint="eastAsia" w:ascii="宋体" w:hAnsi="宋体" w:eastAsia="宋体" w:cs="宋体"/>
              <w:szCs w:val="28"/>
            </w:rPr>
          </w:pPr>
          <w:r>
            <w:rPr>
              <w:rFonts w:hint="eastAsia" w:ascii="宋体" w:hAnsi="宋体" w:eastAsia="宋体" w:cs="宋体"/>
            </w:rPr>
            <w:fldChar w:fldCharType="begin"/>
          </w:r>
          <w:r>
            <w:rPr>
              <w:rFonts w:hint="eastAsia" w:ascii="宋体" w:hAnsi="宋体" w:eastAsia="宋体" w:cs="宋体"/>
            </w:rPr>
            <w:instrText xml:space="preserve"> HYPERLINK \l "_Toc21794" </w:instrText>
          </w:r>
          <w:r>
            <w:rPr>
              <w:rFonts w:hint="eastAsia" w:ascii="宋体" w:hAnsi="宋体" w:eastAsia="宋体" w:cs="宋体"/>
            </w:rPr>
            <w:fldChar w:fldCharType="separate"/>
          </w:r>
          <w:r>
            <w:rPr>
              <w:rFonts w:hint="eastAsia" w:ascii="宋体" w:hAnsi="宋体" w:eastAsia="宋体" w:cs="宋体"/>
              <w:szCs w:val="28"/>
            </w:rPr>
            <w:t>第一章 采购邀请书</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_Toc21794 \h </w:instrText>
          </w:r>
          <w:r>
            <w:rPr>
              <w:rFonts w:hint="eastAsia" w:ascii="宋体" w:hAnsi="宋体" w:eastAsia="宋体" w:cs="宋体"/>
              <w:szCs w:val="28"/>
            </w:rPr>
            <w:fldChar w:fldCharType="separate"/>
          </w:r>
          <w:r>
            <w:rPr>
              <w:rFonts w:hint="eastAsia" w:ascii="宋体" w:hAnsi="宋体" w:eastAsia="宋体" w:cs="宋体"/>
              <w:szCs w:val="28"/>
            </w:rPr>
            <w:t>1</w:t>
          </w:r>
          <w:r>
            <w:rPr>
              <w:rFonts w:hint="eastAsia" w:ascii="宋体" w:hAnsi="宋体" w:eastAsia="宋体" w:cs="宋体"/>
              <w:szCs w:val="28"/>
            </w:rPr>
            <w:fldChar w:fldCharType="end"/>
          </w:r>
          <w:r>
            <w:rPr>
              <w:rFonts w:hint="eastAsia" w:ascii="宋体" w:hAnsi="宋体" w:eastAsia="宋体" w:cs="宋体"/>
              <w:szCs w:val="28"/>
            </w:rPr>
            <w:fldChar w:fldCharType="end"/>
          </w:r>
        </w:p>
        <w:p w14:paraId="08B138F0">
          <w:pPr>
            <w:pStyle w:val="17"/>
            <w:tabs>
              <w:tab w:val="right" w:leader="dot" w:pos="9208"/>
            </w:tabs>
            <w:spacing w:line="360" w:lineRule="auto"/>
            <w:rPr>
              <w:rFonts w:hint="eastAsia" w:ascii="宋体" w:hAnsi="宋体" w:eastAsia="宋体" w:cs="宋体"/>
              <w:szCs w:val="28"/>
            </w:rPr>
          </w:pPr>
          <w:r>
            <w:rPr>
              <w:rFonts w:hint="eastAsia" w:ascii="宋体" w:hAnsi="宋体" w:eastAsia="宋体" w:cs="宋体"/>
            </w:rPr>
            <w:fldChar w:fldCharType="begin"/>
          </w:r>
          <w:r>
            <w:rPr>
              <w:rFonts w:hint="eastAsia" w:ascii="宋体" w:hAnsi="宋体" w:eastAsia="宋体" w:cs="宋体"/>
            </w:rPr>
            <w:instrText xml:space="preserve"> HYPERLINK \l "_Toc5109" </w:instrText>
          </w:r>
          <w:r>
            <w:rPr>
              <w:rFonts w:hint="eastAsia" w:ascii="宋体" w:hAnsi="宋体" w:eastAsia="宋体" w:cs="宋体"/>
            </w:rPr>
            <w:fldChar w:fldCharType="separate"/>
          </w:r>
          <w:r>
            <w:rPr>
              <w:rFonts w:hint="eastAsia" w:ascii="宋体" w:hAnsi="宋体" w:eastAsia="宋体" w:cs="宋体"/>
              <w:szCs w:val="28"/>
            </w:rPr>
            <w:t>第二章 采购须知</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_Toc5109 \h </w:instrText>
          </w:r>
          <w:r>
            <w:rPr>
              <w:rFonts w:hint="eastAsia" w:ascii="宋体" w:hAnsi="宋体" w:eastAsia="宋体" w:cs="宋体"/>
              <w:szCs w:val="28"/>
            </w:rPr>
            <w:fldChar w:fldCharType="separate"/>
          </w:r>
          <w:r>
            <w:rPr>
              <w:rFonts w:hint="eastAsia" w:ascii="宋体" w:hAnsi="宋体" w:eastAsia="宋体" w:cs="宋体"/>
              <w:szCs w:val="28"/>
            </w:rPr>
            <w:t>4</w:t>
          </w:r>
          <w:r>
            <w:rPr>
              <w:rFonts w:hint="eastAsia" w:ascii="宋体" w:hAnsi="宋体" w:eastAsia="宋体" w:cs="宋体"/>
              <w:szCs w:val="28"/>
            </w:rPr>
            <w:fldChar w:fldCharType="end"/>
          </w:r>
          <w:r>
            <w:rPr>
              <w:rFonts w:hint="eastAsia" w:ascii="宋体" w:hAnsi="宋体" w:eastAsia="宋体" w:cs="宋体"/>
              <w:szCs w:val="28"/>
            </w:rPr>
            <w:fldChar w:fldCharType="end"/>
          </w:r>
        </w:p>
        <w:p w14:paraId="69330BAD">
          <w:pPr>
            <w:pStyle w:val="17"/>
            <w:tabs>
              <w:tab w:val="right" w:leader="dot" w:pos="9208"/>
            </w:tabs>
            <w:spacing w:line="360" w:lineRule="auto"/>
            <w:rPr>
              <w:rFonts w:hint="eastAsia" w:ascii="宋体" w:hAnsi="宋体" w:eastAsia="宋体" w:cs="宋体"/>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"_Toc12288" </w:instrText>
          </w:r>
          <w:r>
            <w:rPr>
              <w:rFonts w:hint="eastAsia" w:ascii="宋体" w:hAnsi="宋体" w:eastAsia="宋体" w:cs="宋体"/>
            </w:rPr>
            <w:fldChar w:fldCharType="separate"/>
          </w:r>
          <w:r>
            <w:rPr>
              <w:rFonts w:hint="eastAsia" w:ascii="宋体" w:hAnsi="宋体" w:eastAsia="宋体" w:cs="宋体"/>
              <w:bCs/>
              <w:szCs w:val="52"/>
            </w:rPr>
            <w:t>第三章</w:t>
          </w:r>
          <w:r>
            <w:rPr>
              <w:rFonts w:hint="eastAsia" w:ascii="宋体" w:hAnsi="宋体" w:eastAsia="宋体" w:cs="宋体"/>
              <w:bCs/>
              <w:szCs w:val="52"/>
              <w:lang w:eastAsia="zh-CN"/>
            </w:rPr>
            <w:t xml:space="preserve"> </w:t>
          </w:r>
          <w:r>
            <w:rPr>
              <w:rFonts w:hint="eastAsia" w:ascii="宋体" w:hAnsi="宋体" w:eastAsia="宋体" w:cs="宋体"/>
              <w:szCs w:val="28"/>
              <w:lang w:eastAsia="zh-CN"/>
            </w:rPr>
            <w:t>合同（协议）条款及格式</w:t>
          </w:r>
          <w:r>
            <w:rPr>
              <w:rFonts w:hint="eastAsia" w:ascii="宋体" w:hAnsi="宋体" w:eastAsia="宋体" w:cs="宋体"/>
              <w:szCs w:val="28"/>
            </w:rPr>
            <w:tab/>
          </w:r>
          <w:r>
            <w:rPr>
              <w:rFonts w:hint="eastAsia" w:ascii="宋体" w:hAnsi="宋体" w:eastAsia="宋体" w:cs="宋体"/>
              <w:szCs w:val="28"/>
              <w:lang w:val="en-US" w:eastAsia="zh-CN"/>
            </w:rPr>
            <w:t>1</w:t>
          </w:r>
          <w:r>
            <w:rPr>
              <w:rFonts w:hint="eastAsia" w:ascii="宋体" w:hAnsi="宋体" w:eastAsia="宋体" w:cs="宋体"/>
              <w:szCs w:val="28"/>
            </w:rPr>
            <w:fldChar w:fldCharType="end"/>
          </w:r>
          <w:r>
            <w:rPr>
              <w:rFonts w:hint="eastAsia" w:ascii="宋体" w:hAnsi="宋体" w:eastAsia="宋体" w:cs="宋体"/>
              <w:szCs w:val="28"/>
              <w:lang w:val="en-US" w:eastAsia="zh-CN"/>
            </w:rPr>
            <w:t>3</w:t>
          </w:r>
        </w:p>
        <w:p w14:paraId="38AE5B1F">
          <w:pPr>
            <w:pStyle w:val="17"/>
            <w:tabs>
              <w:tab w:val="right" w:leader="dot" w:pos="9208"/>
            </w:tabs>
            <w:spacing w:line="360" w:lineRule="auto"/>
            <w:rPr>
              <w:rFonts w:hint="eastAsia" w:ascii="宋体" w:hAnsi="宋体" w:eastAsia="宋体" w:cs="宋体"/>
              <w:szCs w:val="28"/>
            </w:rPr>
          </w:pPr>
          <w:r>
            <w:rPr>
              <w:rFonts w:hint="eastAsia" w:ascii="宋体" w:hAnsi="宋体" w:eastAsia="宋体" w:cs="宋体"/>
            </w:rPr>
            <w:fldChar w:fldCharType="begin"/>
          </w:r>
          <w:r>
            <w:rPr>
              <w:rFonts w:hint="eastAsia" w:ascii="宋体" w:hAnsi="宋体" w:eastAsia="宋体" w:cs="宋体"/>
            </w:rPr>
            <w:instrText xml:space="preserve"> HYPERLINK \l "_Toc3639" </w:instrText>
          </w:r>
          <w:r>
            <w:rPr>
              <w:rFonts w:hint="eastAsia" w:ascii="宋体" w:hAnsi="宋体" w:eastAsia="宋体" w:cs="宋体"/>
            </w:rPr>
            <w:fldChar w:fldCharType="separate"/>
          </w:r>
          <w:r>
            <w:rPr>
              <w:rFonts w:hint="eastAsia" w:ascii="宋体" w:hAnsi="宋体" w:eastAsia="宋体" w:cs="宋体"/>
              <w:szCs w:val="28"/>
            </w:rPr>
            <w:t>第四章 项目需求</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_Toc3639 \h </w:instrText>
          </w:r>
          <w:r>
            <w:rPr>
              <w:rFonts w:hint="eastAsia" w:ascii="宋体" w:hAnsi="宋体" w:eastAsia="宋体" w:cs="宋体"/>
              <w:szCs w:val="28"/>
            </w:rPr>
            <w:fldChar w:fldCharType="separate"/>
          </w:r>
          <w:r>
            <w:rPr>
              <w:rFonts w:hint="eastAsia" w:ascii="宋体" w:hAnsi="宋体" w:eastAsia="宋体" w:cs="宋体"/>
              <w:szCs w:val="28"/>
            </w:rPr>
            <w:t>18</w:t>
          </w:r>
          <w:r>
            <w:rPr>
              <w:rFonts w:hint="eastAsia" w:ascii="宋体" w:hAnsi="宋体" w:eastAsia="宋体" w:cs="宋体"/>
              <w:szCs w:val="28"/>
            </w:rPr>
            <w:fldChar w:fldCharType="end"/>
          </w:r>
          <w:r>
            <w:rPr>
              <w:rFonts w:hint="eastAsia" w:ascii="宋体" w:hAnsi="宋体" w:eastAsia="宋体" w:cs="宋体"/>
              <w:szCs w:val="28"/>
            </w:rPr>
            <w:fldChar w:fldCharType="end"/>
          </w:r>
        </w:p>
        <w:p w14:paraId="4025D9D4">
          <w:pPr>
            <w:pStyle w:val="17"/>
            <w:tabs>
              <w:tab w:val="right" w:leader="dot" w:pos="9208"/>
            </w:tabs>
            <w:spacing w:line="360" w:lineRule="auto"/>
            <w:rPr>
              <w:rFonts w:hint="eastAsia" w:ascii="宋体" w:hAnsi="宋体" w:eastAsia="宋体" w:cs="宋体"/>
              <w:szCs w:val="28"/>
              <w:lang w:eastAsia="zh-CN"/>
            </w:rPr>
          </w:pPr>
          <w:r>
            <w:rPr>
              <w:rFonts w:hint="eastAsia" w:ascii="宋体" w:hAnsi="宋体" w:eastAsia="宋体" w:cs="宋体"/>
            </w:rPr>
            <w:fldChar w:fldCharType="begin"/>
          </w:r>
          <w:r>
            <w:rPr>
              <w:rFonts w:hint="eastAsia" w:ascii="宋体" w:hAnsi="宋体" w:eastAsia="宋体" w:cs="宋体"/>
            </w:rPr>
            <w:instrText xml:space="preserve"> HYPERLINK \l "_Toc26607" </w:instrText>
          </w:r>
          <w:r>
            <w:rPr>
              <w:rFonts w:hint="eastAsia" w:ascii="宋体" w:hAnsi="宋体" w:eastAsia="宋体" w:cs="宋体"/>
            </w:rPr>
            <w:fldChar w:fldCharType="separate"/>
          </w:r>
          <w:r>
            <w:rPr>
              <w:rFonts w:hint="eastAsia" w:ascii="宋体" w:hAnsi="宋体" w:eastAsia="宋体" w:cs="宋体"/>
              <w:szCs w:val="28"/>
              <w:lang w:val="zh-CN"/>
            </w:rPr>
            <w:t>第五章 响应文件格式</w:t>
          </w:r>
          <w:r>
            <w:rPr>
              <w:rFonts w:hint="eastAsia" w:ascii="宋体" w:hAnsi="宋体" w:eastAsia="宋体" w:cs="宋体"/>
              <w:szCs w:val="28"/>
            </w:rPr>
            <w:tab/>
          </w:r>
          <w:r>
            <w:rPr>
              <w:rFonts w:hint="eastAsia" w:ascii="宋体" w:hAnsi="宋体" w:eastAsia="宋体" w:cs="宋体"/>
              <w:szCs w:val="28"/>
              <w:lang w:eastAsia="zh-CN"/>
            </w:rPr>
            <w:t>2</w:t>
          </w:r>
          <w:r>
            <w:rPr>
              <w:rFonts w:hint="eastAsia" w:ascii="宋体" w:hAnsi="宋体" w:eastAsia="宋体" w:cs="宋体"/>
              <w:szCs w:val="28"/>
              <w:lang w:eastAsia="zh-CN"/>
            </w:rPr>
            <w:fldChar w:fldCharType="end"/>
          </w:r>
          <w:r>
            <w:rPr>
              <w:rFonts w:hint="eastAsia" w:ascii="宋体" w:hAnsi="宋体" w:eastAsia="宋体" w:cs="宋体"/>
              <w:szCs w:val="28"/>
              <w:lang w:eastAsia="zh-CN"/>
            </w:rPr>
            <w:t>0</w:t>
          </w:r>
        </w:p>
        <w:p w14:paraId="098A1AF5">
          <w:pPr>
            <w:pStyle w:val="18"/>
            <w:tabs>
              <w:tab w:val="right" w:leader="dot" w:pos="9208"/>
            </w:tabs>
            <w:ind w:left="480"/>
            <w:rPr>
              <w:rFonts w:hint="eastAsia" w:ascii="宋体" w:hAnsi="宋体" w:eastAsia="宋体" w:cs="宋体"/>
              <w:szCs w:val="28"/>
            </w:rPr>
          </w:pPr>
        </w:p>
        <w:p w14:paraId="49FA85D8">
          <w:pPr>
            <w:spacing w:line="360" w:lineRule="auto"/>
            <w:rPr>
              <w:rFonts w:hint="eastAsia" w:ascii="宋体" w:hAnsi="宋体" w:eastAsia="宋体" w:cs="宋体"/>
            </w:rPr>
            <w:sectPr>
              <w:headerReference r:id="rId7" w:type="default"/>
              <w:pgSz w:w="11906" w:h="16838"/>
              <w:pgMar w:top="1440" w:right="1349" w:bottom="1440" w:left="1349" w:header="851" w:footer="992" w:gutter="0"/>
              <w:pgNumType w:start="1"/>
              <w:cols w:space="720" w:num="1"/>
              <w:docGrid w:type="lines" w:linePitch="312" w:charSpace="0"/>
            </w:sectPr>
          </w:pPr>
          <w:r>
            <w:rPr>
              <w:rFonts w:hint="eastAsia" w:ascii="宋体" w:hAnsi="宋体" w:eastAsia="宋体" w:cs="宋体"/>
              <w:szCs w:val="28"/>
            </w:rPr>
            <w:fldChar w:fldCharType="end"/>
          </w:r>
        </w:p>
      </w:sdtContent>
    </w:sdt>
    <w:p w14:paraId="6261EA92">
      <w:pPr>
        <w:pStyle w:val="2"/>
        <w:pageBreakBefore/>
        <w:numPr>
          <w:ilvl w:val="0"/>
          <w:numId w:val="2"/>
        </w:numPr>
        <w:spacing w:before="0" w:after="0" w:line="360" w:lineRule="auto"/>
        <w:jc w:val="center"/>
        <w:rPr>
          <w:rFonts w:hint="eastAsia" w:ascii="宋体" w:hAnsi="宋体" w:eastAsia="宋体" w:cs="宋体"/>
        </w:rPr>
      </w:pPr>
      <w:bookmarkStart w:id="7" w:name="_Toc17280"/>
      <w:bookmarkStart w:id="8" w:name="_Toc11546"/>
      <w:bookmarkStart w:id="9" w:name="_Toc15015"/>
      <w:bookmarkStart w:id="10" w:name="_Toc28291"/>
      <w:bookmarkStart w:id="11" w:name="_Toc13383"/>
      <w:bookmarkStart w:id="12" w:name="_Toc28173"/>
      <w:bookmarkStart w:id="13" w:name="_Toc12131"/>
      <w:bookmarkStart w:id="14" w:name="_Toc159"/>
      <w:bookmarkStart w:id="15" w:name="_Toc30700"/>
      <w:bookmarkStart w:id="16" w:name="_Toc12955"/>
      <w:bookmarkStart w:id="17" w:name="_Toc22213"/>
      <w:bookmarkStart w:id="18" w:name="_Toc21794"/>
      <w:r>
        <w:rPr>
          <w:rFonts w:hint="eastAsia" w:ascii="宋体" w:hAnsi="宋体" w:eastAsia="宋体" w:cs="宋体"/>
        </w:rPr>
        <w:t>采购邀请书</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03DADFF9">
      <w:pPr>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江苏汇鸿国际集团商务有限公司：</w:t>
      </w:r>
    </w:p>
    <w:p w14:paraId="2E9858C4">
      <w:pPr>
        <w:spacing w:line="360" w:lineRule="auto"/>
        <w:ind w:firstLine="480" w:firstLineChars="200"/>
        <w:rPr>
          <w:rFonts w:hint="eastAsia" w:ascii="宋体" w:hAnsi="宋体" w:eastAsia="宋体" w:cs="宋体"/>
          <w:lang w:eastAsia="zh-CN"/>
        </w:rPr>
      </w:pPr>
      <w:r>
        <w:rPr>
          <w:rFonts w:hint="eastAsia" w:ascii="宋体" w:hAnsi="宋体" w:eastAsia="宋体" w:cs="宋体"/>
          <w:lang w:eastAsia="zh-CN"/>
        </w:rPr>
        <w:t>南京达琛鑫工程咨询有限公司受</w:t>
      </w:r>
      <w:r>
        <w:rPr>
          <w:rFonts w:hint="eastAsia" w:ascii="宋体" w:hAnsi="宋体" w:eastAsia="宋体" w:cs="宋体"/>
          <w:b/>
          <w:bCs/>
          <w:lang w:eastAsia="zh-CN"/>
        </w:rPr>
        <w:t>江苏省人民政府外事办公室</w:t>
      </w:r>
      <w:r>
        <w:rPr>
          <w:rFonts w:hint="eastAsia" w:ascii="宋体" w:hAnsi="宋体" w:eastAsia="宋体" w:cs="宋体"/>
          <w:lang w:eastAsia="zh-CN"/>
        </w:rPr>
        <w:t>的委托，拟对</w:t>
      </w:r>
      <w:r>
        <w:rPr>
          <w:rFonts w:hint="eastAsia" w:ascii="宋体" w:hAnsi="宋体" w:eastAsia="宋体" w:cs="宋体"/>
          <w:b/>
          <w:bCs/>
          <w:lang w:eastAsia="zh-CN"/>
        </w:rPr>
        <w:t>第十六届江苏—澳门 葡语国家工商峰会会展搭建及会务承办项目</w:t>
      </w:r>
      <w:r>
        <w:rPr>
          <w:rFonts w:hint="eastAsia" w:ascii="宋体" w:hAnsi="宋体" w:eastAsia="宋体" w:cs="宋体"/>
          <w:lang w:eastAsia="zh-CN"/>
        </w:rPr>
        <w:t>进行单一来源采购，兹邀请贵单位参加，并提请注意以下事项：</w:t>
      </w:r>
    </w:p>
    <w:p w14:paraId="0D4BC1A4">
      <w:pPr>
        <w:pStyle w:val="3"/>
        <w:numPr>
          <w:ilvl w:val="0"/>
          <w:numId w:val="3"/>
        </w:numPr>
        <w:spacing w:before="0" w:after="0" w:line="360" w:lineRule="auto"/>
        <w:rPr>
          <w:rFonts w:hint="eastAsia" w:ascii="宋体" w:hAnsi="宋体" w:eastAsia="宋体" w:cs="宋体"/>
          <w:sz w:val="24"/>
          <w:szCs w:val="24"/>
        </w:rPr>
      </w:pPr>
      <w:bookmarkStart w:id="19" w:name="_Toc5242"/>
      <w:bookmarkStart w:id="20" w:name="_Toc12357"/>
      <w:bookmarkStart w:id="21" w:name="_Toc17202"/>
      <w:bookmarkStart w:id="22" w:name="_Toc10220"/>
      <w:bookmarkStart w:id="23" w:name="_Toc199"/>
      <w:bookmarkStart w:id="24" w:name="_Toc17607"/>
      <w:bookmarkStart w:id="25" w:name="_Toc32654"/>
      <w:bookmarkStart w:id="26" w:name="_Toc20210"/>
      <w:bookmarkStart w:id="27" w:name="_Toc5627"/>
      <w:bookmarkStart w:id="28" w:name="_Toc20361"/>
      <w:bookmarkStart w:id="29" w:name="_Toc12346"/>
      <w:bookmarkStart w:id="30" w:name="_Toc177"/>
      <w:bookmarkStart w:id="31" w:name="_Toc7256"/>
      <w:bookmarkStart w:id="32" w:name="_Toc30474"/>
      <w:bookmarkStart w:id="33" w:name="_Toc235"/>
      <w:bookmarkStart w:id="34" w:name="_Toc32544"/>
      <w:r>
        <w:rPr>
          <w:rFonts w:hint="eastAsia" w:ascii="宋体" w:hAnsi="宋体" w:eastAsia="宋体" w:cs="宋体"/>
          <w:sz w:val="24"/>
          <w:szCs w:val="24"/>
        </w:rPr>
        <w:t>采购主要内容</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tbl>
      <w:tblPr>
        <w:tblStyle w:val="22"/>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227"/>
        <w:gridCol w:w="7450"/>
      </w:tblGrid>
      <w:tr w14:paraId="7161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tblHeader/>
          <w:jc w:val="center"/>
        </w:trPr>
        <w:tc>
          <w:tcPr>
            <w:tcW w:w="742" w:type="dxa"/>
            <w:vAlign w:val="center"/>
          </w:tcPr>
          <w:p w14:paraId="4007FE46">
            <w:pPr>
              <w:widowControl/>
              <w:jc w:val="center"/>
              <w:textAlignment w:val="center"/>
              <w:rPr>
                <w:rFonts w:hint="eastAsia" w:ascii="宋体" w:hAnsi="宋体" w:eastAsia="宋体" w:cs="宋体"/>
                <w:b/>
                <w:bCs/>
                <w:color w:val="auto"/>
                <w:lang w:eastAsia="zh-CN"/>
              </w:rPr>
            </w:pPr>
            <w:r>
              <w:rPr>
                <w:rFonts w:hint="eastAsia" w:ascii="宋体" w:hAnsi="宋体" w:eastAsia="宋体" w:cs="宋体"/>
                <w:b/>
                <w:bCs/>
                <w:color w:val="auto"/>
                <w:lang w:eastAsia="zh-CN"/>
              </w:rPr>
              <w:t>序号</w:t>
            </w:r>
          </w:p>
        </w:tc>
        <w:tc>
          <w:tcPr>
            <w:tcW w:w="1227" w:type="dxa"/>
            <w:vAlign w:val="center"/>
          </w:tcPr>
          <w:p w14:paraId="23DCA7A8">
            <w:pPr>
              <w:widowControl/>
              <w:jc w:val="center"/>
              <w:textAlignment w:val="center"/>
              <w:rPr>
                <w:rFonts w:hint="eastAsia" w:ascii="宋体" w:hAnsi="宋体" w:eastAsia="宋体" w:cs="宋体"/>
                <w:b/>
                <w:bCs/>
                <w:color w:val="auto"/>
                <w:lang w:eastAsia="zh-CN"/>
              </w:rPr>
            </w:pPr>
            <w:r>
              <w:rPr>
                <w:rFonts w:hint="eastAsia" w:ascii="宋体" w:hAnsi="宋体" w:eastAsia="宋体" w:cs="宋体"/>
                <w:b/>
                <w:bCs/>
                <w:color w:val="auto"/>
                <w:lang w:eastAsia="zh-CN"/>
              </w:rPr>
              <w:t>项目</w:t>
            </w:r>
          </w:p>
        </w:tc>
        <w:tc>
          <w:tcPr>
            <w:tcW w:w="7450" w:type="dxa"/>
            <w:vAlign w:val="center"/>
          </w:tcPr>
          <w:p w14:paraId="38C39858">
            <w:pPr>
              <w:widowControl/>
              <w:jc w:val="center"/>
              <w:textAlignment w:val="center"/>
              <w:rPr>
                <w:rFonts w:hint="eastAsia" w:ascii="宋体" w:hAnsi="宋体" w:eastAsia="宋体" w:cs="宋体"/>
                <w:b/>
                <w:bCs/>
                <w:color w:val="auto"/>
                <w:lang w:eastAsia="zh-CN"/>
              </w:rPr>
            </w:pPr>
            <w:r>
              <w:rPr>
                <w:rFonts w:hint="eastAsia" w:ascii="宋体" w:hAnsi="宋体" w:eastAsia="宋体" w:cs="宋体"/>
                <w:b/>
                <w:bCs/>
                <w:color w:val="auto"/>
                <w:lang w:eastAsia="zh-CN"/>
              </w:rPr>
              <w:t>具体内容</w:t>
            </w:r>
          </w:p>
        </w:tc>
      </w:tr>
      <w:tr w14:paraId="17B82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3" w:hRule="atLeast"/>
          <w:tblHeader/>
          <w:jc w:val="center"/>
        </w:trPr>
        <w:tc>
          <w:tcPr>
            <w:tcW w:w="742" w:type="dxa"/>
            <w:vAlign w:val="center"/>
          </w:tcPr>
          <w:p w14:paraId="27E1B232">
            <w:pPr>
              <w:spacing w:line="360" w:lineRule="auto"/>
              <w:jc w:val="center"/>
              <w:rPr>
                <w:rFonts w:hint="eastAsia" w:ascii="宋体" w:hAnsi="宋体" w:eastAsia="宋体" w:cs="宋体"/>
                <w:color w:val="auto"/>
              </w:rPr>
            </w:pPr>
            <w:r>
              <w:rPr>
                <w:rFonts w:hint="eastAsia" w:ascii="宋体" w:hAnsi="宋体" w:eastAsia="宋体" w:cs="宋体"/>
                <w:color w:val="auto"/>
              </w:rPr>
              <w:t>1</w:t>
            </w:r>
          </w:p>
        </w:tc>
        <w:tc>
          <w:tcPr>
            <w:tcW w:w="1227" w:type="dxa"/>
            <w:vAlign w:val="center"/>
          </w:tcPr>
          <w:p w14:paraId="3EA1BB9E">
            <w:pPr>
              <w:spacing w:line="360" w:lineRule="auto"/>
              <w:jc w:val="center"/>
              <w:rPr>
                <w:rFonts w:hint="eastAsia" w:ascii="宋体" w:hAnsi="宋体" w:eastAsia="宋体" w:cs="宋体"/>
                <w:color w:val="auto"/>
              </w:rPr>
            </w:pPr>
            <w:r>
              <w:rPr>
                <w:rFonts w:hint="eastAsia" w:ascii="宋体" w:hAnsi="宋体" w:eastAsia="宋体" w:cs="宋体"/>
                <w:color w:val="auto"/>
              </w:rPr>
              <w:t>项目名称</w:t>
            </w:r>
          </w:p>
        </w:tc>
        <w:tc>
          <w:tcPr>
            <w:tcW w:w="7450" w:type="dxa"/>
            <w:vAlign w:val="center"/>
          </w:tcPr>
          <w:p w14:paraId="01CACC88">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第十六届江苏—澳门 葡语国家工商峰会会展搭建及会务承办</w:t>
            </w:r>
          </w:p>
        </w:tc>
      </w:tr>
      <w:tr w14:paraId="6592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8" w:hRule="atLeast"/>
          <w:tblHeader/>
          <w:jc w:val="center"/>
        </w:trPr>
        <w:tc>
          <w:tcPr>
            <w:tcW w:w="742" w:type="dxa"/>
            <w:vAlign w:val="center"/>
          </w:tcPr>
          <w:p w14:paraId="0445F761">
            <w:pPr>
              <w:spacing w:line="360" w:lineRule="auto"/>
              <w:jc w:val="center"/>
              <w:rPr>
                <w:rFonts w:hint="eastAsia" w:ascii="宋体" w:hAnsi="宋体" w:eastAsia="宋体" w:cs="宋体"/>
                <w:color w:val="auto"/>
              </w:rPr>
            </w:pPr>
            <w:r>
              <w:rPr>
                <w:rFonts w:hint="eastAsia" w:ascii="宋体" w:hAnsi="宋体" w:eastAsia="宋体" w:cs="宋体"/>
                <w:color w:val="auto"/>
              </w:rPr>
              <w:t>2</w:t>
            </w:r>
          </w:p>
        </w:tc>
        <w:tc>
          <w:tcPr>
            <w:tcW w:w="1227" w:type="dxa"/>
            <w:vAlign w:val="center"/>
          </w:tcPr>
          <w:p w14:paraId="375068C4">
            <w:pPr>
              <w:spacing w:line="360" w:lineRule="auto"/>
              <w:jc w:val="center"/>
              <w:rPr>
                <w:rFonts w:hint="eastAsia" w:ascii="宋体" w:hAnsi="宋体" w:eastAsia="宋体" w:cs="宋体"/>
                <w:color w:val="auto"/>
              </w:rPr>
            </w:pPr>
            <w:r>
              <w:rPr>
                <w:rFonts w:hint="eastAsia" w:ascii="宋体" w:hAnsi="宋体" w:eastAsia="宋体" w:cs="宋体"/>
                <w:color w:val="auto"/>
              </w:rPr>
              <w:t>采购方式</w:t>
            </w:r>
          </w:p>
        </w:tc>
        <w:tc>
          <w:tcPr>
            <w:tcW w:w="7450" w:type="dxa"/>
            <w:vAlign w:val="center"/>
          </w:tcPr>
          <w:p w14:paraId="612D6069">
            <w:pPr>
              <w:spacing w:line="360" w:lineRule="auto"/>
              <w:rPr>
                <w:rFonts w:hint="eastAsia" w:ascii="宋体" w:hAnsi="宋体" w:eastAsia="宋体" w:cs="宋体"/>
                <w:color w:val="auto"/>
                <w:lang w:eastAsia="zh-CN"/>
              </w:rPr>
            </w:pPr>
            <w:r>
              <w:rPr>
                <w:rFonts w:hint="eastAsia" w:ascii="宋体" w:hAnsi="宋体" w:eastAsia="宋体" w:cs="宋体"/>
                <w:color w:val="auto"/>
              </w:rPr>
              <w:t>单一来源</w:t>
            </w:r>
            <w:r>
              <w:rPr>
                <w:rFonts w:hint="eastAsia" w:ascii="宋体" w:hAnsi="宋体" w:eastAsia="宋体" w:cs="宋体"/>
                <w:color w:val="auto"/>
                <w:lang w:eastAsia="zh-CN"/>
              </w:rPr>
              <w:t>采购</w:t>
            </w:r>
          </w:p>
        </w:tc>
      </w:tr>
      <w:tr w14:paraId="13AB8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blHeader/>
          <w:jc w:val="center"/>
        </w:trPr>
        <w:tc>
          <w:tcPr>
            <w:tcW w:w="742" w:type="dxa"/>
            <w:vAlign w:val="center"/>
          </w:tcPr>
          <w:p w14:paraId="1A6CF817">
            <w:pPr>
              <w:spacing w:line="360" w:lineRule="auto"/>
              <w:jc w:val="center"/>
              <w:rPr>
                <w:rFonts w:hint="eastAsia" w:ascii="宋体" w:hAnsi="宋体" w:eastAsia="宋体" w:cs="宋体"/>
                <w:color w:val="auto"/>
              </w:rPr>
            </w:pPr>
            <w:r>
              <w:rPr>
                <w:rFonts w:hint="eastAsia" w:ascii="宋体" w:hAnsi="宋体" w:eastAsia="宋体" w:cs="宋体"/>
                <w:color w:val="auto"/>
              </w:rPr>
              <w:t>3</w:t>
            </w:r>
          </w:p>
        </w:tc>
        <w:tc>
          <w:tcPr>
            <w:tcW w:w="1227" w:type="dxa"/>
            <w:vAlign w:val="center"/>
          </w:tcPr>
          <w:p w14:paraId="7F5380FA">
            <w:pPr>
              <w:spacing w:line="360" w:lineRule="auto"/>
              <w:jc w:val="center"/>
              <w:rPr>
                <w:rFonts w:hint="eastAsia" w:ascii="宋体" w:hAnsi="宋体" w:eastAsia="宋体" w:cs="宋体"/>
                <w:color w:val="auto"/>
              </w:rPr>
            </w:pPr>
            <w:r>
              <w:rPr>
                <w:rFonts w:hint="eastAsia" w:ascii="宋体" w:hAnsi="宋体" w:eastAsia="宋体" w:cs="宋体"/>
                <w:color w:val="auto"/>
              </w:rPr>
              <w:t>采购编号</w:t>
            </w:r>
          </w:p>
        </w:tc>
        <w:tc>
          <w:tcPr>
            <w:tcW w:w="7450" w:type="dxa"/>
            <w:vAlign w:val="center"/>
          </w:tcPr>
          <w:p w14:paraId="7D7C9FD8">
            <w:pPr>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JSZC-320000-DCXG-D2026-0025</w:t>
            </w:r>
          </w:p>
        </w:tc>
      </w:tr>
      <w:tr w14:paraId="36AFF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tblHeader/>
          <w:jc w:val="center"/>
        </w:trPr>
        <w:tc>
          <w:tcPr>
            <w:tcW w:w="742" w:type="dxa"/>
            <w:vAlign w:val="center"/>
          </w:tcPr>
          <w:p w14:paraId="30438B20">
            <w:pPr>
              <w:spacing w:line="360" w:lineRule="auto"/>
              <w:jc w:val="center"/>
              <w:rPr>
                <w:rFonts w:hint="eastAsia" w:ascii="宋体" w:hAnsi="宋体" w:eastAsia="宋体" w:cs="宋体"/>
                <w:color w:val="auto"/>
              </w:rPr>
            </w:pPr>
            <w:r>
              <w:rPr>
                <w:rFonts w:hint="eastAsia" w:ascii="宋体" w:hAnsi="宋体" w:eastAsia="宋体" w:cs="宋体"/>
                <w:color w:val="auto"/>
              </w:rPr>
              <w:t>4</w:t>
            </w:r>
          </w:p>
        </w:tc>
        <w:tc>
          <w:tcPr>
            <w:tcW w:w="1227" w:type="dxa"/>
            <w:vAlign w:val="center"/>
          </w:tcPr>
          <w:p w14:paraId="2426DDC0">
            <w:pPr>
              <w:spacing w:line="360" w:lineRule="auto"/>
              <w:jc w:val="center"/>
              <w:rPr>
                <w:rFonts w:hint="eastAsia" w:ascii="宋体" w:hAnsi="宋体" w:eastAsia="宋体" w:cs="宋体"/>
                <w:color w:val="auto"/>
                <w:lang w:eastAsia="zh-CN"/>
              </w:rPr>
            </w:pPr>
            <w:r>
              <w:rPr>
                <w:rFonts w:hint="eastAsia" w:ascii="宋体" w:hAnsi="宋体" w:eastAsia="宋体" w:cs="宋体"/>
                <w:color w:val="auto"/>
                <w:lang w:eastAsia="zh-CN"/>
              </w:rPr>
              <w:t>采购</w:t>
            </w:r>
          </w:p>
          <w:p w14:paraId="1BBFD1ED">
            <w:pPr>
              <w:spacing w:line="360" w:lineRule="auto"/>
              <w:jc w:val="center"/>
              <w:rPr>
                <w:rFonts w:hint="eastAsia" w:ascii="宋体" w:hAnsi="宋体" w:eastAsia="宋体" w:cs="宋体"/>
                <w:color w:val="auto"/>
                <w:lang w:eastAsia="zh-CN"/>
              </w:rPr>
            </w:pPr>
            <w:r>
              <w:rPr>
                <w:rFonts w:hint="eastAsia" w:ascii="宋体" w:hAnsi="宋体" w:eastAsia="宋体" w:cs="宋体"/>
                <w:color w:val="auto"/>
                <w:lang w:eastAsia="zh-CN"/>
              </w:rPr>
              <w:t>代理机构</w:t>
            </w:r>
          </w:p>
        </w:tc>
        <w:tc>
          <w:tcPr>
            <w:tcW w:w="7450" w:type="dxa"/>
            <w:vAlign w:val="center"/>
          </w:tcPr>
          <w:p w14:paraId="39E96E0A">
            <w:pPr>
              <w:spacing w:line="240" w:lineRule="auto"/>
              <w:rPr>
                <w:rFonts w:hint="eastAsia" w:ascii="宋体" w:hAnsi="宋体" w:eastAsia="宋体" w:cs="宋体"/>
                <w:color w:val="auto"/>
                <w:lang w:eastAsia="zh-CN"/>
              </w:rPr>
            </w:pPr>
            <w:r>
              <w:rPr>
                <w:rFonts w:hint="eastAsia" w:ascii="宋体" w:hAnsi="宋体" w:eastAsia="宋体" w:cs="宋体"/>
                <w:color w:val="auto"/>
                <w:lang w:eastAsia="zh-CN"/>
              </w:rPr>
              <w:t>南京达琛鑫工程咨询有限公司</w:t>
            </w:r>
          </w:p>
          <w:p w14:paraId="1C5AA368">
            <w:pPr>
              <w:spacing w:line="240" w:lineRule="auto"/>
              <w:rPr>
                <w:rFonts w:hint="eastAsia" w:ascii="宋体" w:hAnsi="宋体" w:eastAsia="宋体" w:cs="宋体"/>
                <w:color w:val="auto"/>
                <w:lang w:eastAsia="zh-CN"/>
              </w:rPr>
            </w:pPr>
            <w:r>
              <w:rPr>
                <w:rFonts w:hint="eastAsia" w:ascii="宋体" w:hAnsi="宋体" w:eastAsia="宋体" w:cs="宋体"/>
                <w:color w:val="auto"/>
                <w:lang w:eastAsia="zh-CN"/>
              </w:rPr>
              <w:t>联系人：</w:t>
            </w:r>
            <w:r>
              <w:rPr>
                <w:rFonts w:hint="eastAsia" w:ascii="宋体" w:hAnsi="宋体" w:eastAsia="宋体" w:cs="宋体"/>
                <w:color w:val="auto"/>
                <w:lang w:val="en-US" w:eastAsia="zh-CN"/>
              </w:rPr>
              <w:t>张</w:t>
            </w:r>
            <w:r>
              <w:rPr>
                <w:rFonts w:hint="eastAsia" w:ascii="宋体" w:hAnsi="宋体" w:eastAsia="宋体" w:cs="宋体"/>
                <w:color w:val="auto"/>
                <w:lang w:eastAsia="zh-CN"/>
              </w:rPr>
              <w:t xml:space="preserve">工 </w:t>
            </w:r>
          </w:p>
          <w:p w14:paraId="271149DC">
            <w:pPr>
              <w:spacing w:line="240" w:lineRule="auto"/>
              <w:rPr>
                <w:rFonts w:hint="eastAsia" w:ascii="宋体" w:hAnsi="宋体" w:eastAsia="宋体" w:cs="宋体"/>
                <w:color w:val="auto"/>
                <w:lang w:eastAsia="zh-CN"/>
              </w:rPr>
            </w:pPr>
            <w:r>
              <w:rPr>
                <w:rFonts w:hint="eastAsia" w:ascii="宋体" w:hAnsi="宋体" w:eastAsia="宋体" w:cs="宋体"/>
                <w:color w:val="auto"/>
                <w:lang w:eastAsia="zh-CN"/>
              </w:rPr>
              <w:t>电话：025-52639995转800</w:t>
            </w:r>
            <w:r>
              <w:rPr>
                <w:rFonts w:hint="eastAsia" w:ascii="宋体" w:hAnsi="宋体" w:eastAsia="宋体" w:cs="宋体"/>
                <w:color w:val="auto"/>
                <w:lang w:val="en-US" w:eastAsia="zh-CN"/>
              </w:rPr>
              <w:t>3</w:t>
            </w:r>
          </w:p>
          <w:p w14:paraId="1D6DE845">
            <w:pPr>
              <w:spacing w:line="240" w:lineRule="auto"/>
              <w:rPr>
                <w:rFonts w:hint="eastAsia" w:ascii="宋体" w:hAnsi="宋体" w:eastAsia="宋体" w:cs="宋体"/>
                <w:color w:val="auto"/>
                <w:lang w:eastAsia="zh-CN"/>
              </w:rPr>
            </w:pPr>
            <w:r>
              <w:rPr>
                <w:rFonts w:hint="eastAsia" w:ascii="宋体" w:hAnsi="宋体" w:eastAsia="宋体" w:cs="宋体"/>
                <w:color w:val="auto"/>
                <w:lang w:eastAsia="zh-CN"/>
              </w:rPr>
              <w:t>地址：南京市秦淮区中和桥路1号（光华茂1号门）6楼6001室</w:t>
            </w:r>
          </w:p>
        </w:tc>
      </w:tr>
      <w:tr w14:paraId="78FF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4" w:hRule="atLeast"/>
          <w:tblHeader/>
          <w:jc w:val="center"/>
        </w:trPr>
        <w:tc>
          <w:tcPr>
            <w:tcW w:w="742" w:type="dxa"/>
            <w:vAlign w:val="center"/>
          </w:tcPr>
          <w:p w14:paraId="3DFAA9EB">
            <w:pPr>
              <w:spacing w:line="360" w:lineRule="auto"/>
              <w:jc w:val="center"/>
              <w:rPr>
                <w:rFonts w:hint="eastAsia" w:ascii="宋体" w:hAnsi="宋体" w:eastAsia="宋体" w:cs="宋体"/>
                <w:color w:val="auto"/>
              </w:rPr>
            </w:pPr>
            <w:r>
              <w:rPr>
                <w:rFonts w:hint="eastAsia" w:ascii="宋体" w:hAnsi="宋体" w:eastAsia="宋体" w:cs="宋体"/>
                <w:color w:val="auto"/>
              </w:rPr>
              <w:t>5</w:t>
            </w:r>
          </w:p>
        </w:tc>
        <w:tc>
          <w:tcPr>
            <w:tcW w:w="1227" w:type="dxa"/>
            <w:vAlign w:val="center"/>
          </w:tcPr>
          <w:p w14:paraId="7BAAE6B6">
            <w:pPr>
              <w:spacing w:line="360" w:lineRule="auto"/>
              <w:jc w:val="center"/>
              <w:rPr>
                <w:rFonts w:hint="eastAsia" w:ascii="宋体" w:hAnsi="宋体" w:eastAsia="宋体" w:cs="宋体"/>
                <w:color w:val="auto"/>
                <w:lang w:eastAsia="zh-CN"/>
              </w:rPr>
            </w:pPr>
            <w:r>
              <w:rPr>
                <w:rFonts w:hint="eastAsia" w:ascii="宋体" w:hAnsi="宋体" w:eastAsia="宋体" w:cs="宋体"/>
                <w:color w:val="auto"/>
                <w:lang w:eastAsia="zh-CN"/>
              </w:rPr>
              <w:t>采购人</w:t>
            </w:r>
          </w:p>
        </w:tc>
        <w:tc>
          <w:tcPr>
            <w:tcW w:w="7450" w:type="dxa"/>
            <w:vAlign w:val="center"/>
          </w:tcPr>
          <w:p w14:paraId="3203E07C">
            <w:pPr>
              <w:spacing w:line="240" w:lineRule="auto"/>
              <w:rPr>
                <w:rFonts w:hint="eastAsia" w:ascii="宋体" w:hAnsi="宋体" w:eastAsia="宋体" w:cs="宋体"/>
                <w:color w:val="auto"/>
                <w:lang w:eastAsia="zh-CN"/>
              </w:rPr>
            </w:pPr>
            <w:r>
              <w:rPr>
                <w:rFonts w:hint="eastAsia" w:ascii="宋体" w:hAnsi="宋体" w:eastAsia="宋体" w:cs="宋体"/>
                <w:color w:val="auto"/>
                <w:lang w:eastAsia="zh-CN"/>
              </w:rPr>
              <w:t>江苏省人民政府外事办公室</w:t>
            </w:r>
          </w:p>
          <w:p w14:paraId="23A6BB7E">
            <w:pPr>
              <w:spacing w:line="24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联系人：陈小军      </w:t>
            </w:r>
          </w:p>
          <w:p w14:paraId="74D99BD7">
            <w:pPr>
              <w:spacing w:line="240" w:lineRule="auto"/>
              <w:rPr>
                <w:rFonts w:hint="eastAsia" w:ascii="宋体" w:hAnsi="宋体" w:eastAsia="宋体" w:cs="宋体"/>
                <w:color w:val="auto"/>
                <w:lang w:eastAsia="zh-CN"/>
              </w:rPr>
            </w:pPr>
            <w:r>
              <w:rPr>
                <w:rFonts w:hint="eastAsia" w:ascii="宋体" w:hAnsi="宋体" w:eastAsia="宋体" w:cs="宋体"/>
                <w:color w:val="auto"/>
                <w:lang w:eastAsia="zh-CN"/>
              </w:rPr>
              <w:t>联系电话：025-83670616</w:t>
            </w:r>
          </w:p>
          <w:p w14:paraId="1A9D11ED">
            <w:pPr>
              <w:spacing w:line="240" w:lineRule="auto"/>
              <w:rPr>
                <w:rFonts w:hint="eastAsia" w:ascii="宋体" w:hAnsi="宋体" w:eastAsia="宋体" w:cs="宋体"/>
                <w:color w:val="auto"/>
                <w:lang w:eastAsia="zh-CN"/>
              </w:rPr>
            </w:pPr>
            <w:r>
              <w:rPr>
                <w:rFonts w:hint="eastAsia" w:ascii="宋体" w:hAnsi="宋体" w:eastAsia="宋体" w:cs="宋体"/>
                <w:color w:val="auto"/>
                <w:lang w:eastAsia="zh-CN"/>
              </w:rPr>
              <w:t xml:space="preserve">地址：江苏省南京市鼓楼区西康路15号 </w:t>
            </w:r>
          </w:p>
        </w:tc>
      </w:tr>
      <w:tr w14:paraId="642C1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blHeader/>
          <w:jc w:val="center"/>
        </w:trPr>
        <w:tc>
          <w:tcPr>
            <w:tcW w:w="742" w:type="dxa"/>
            <w:vAlign w:val="center"/>
          </w:tcPr>
          <w:p w14:paraId="60BE53AA">
            <w:pPr>
              <w:spacing w:line="360" w:lineRule="auto"/>
              <w:jc w:val="center"/>
              <w:rPr>
                <w:rFonts w:hint="eastAsia" w:ascii="宋体" w:hAnsi="宋体" w:eastAsia="宋体" w:cs="宋体"/>
                <w:color w:val="auto"/>
              </w:rPr>
            </w:pPr>
            <w:r>
              <w:rPr>
                <w:rFonts w:hint="eastAsia" w:ascii="宋体" w:hAnsi="宋体" w:eastAsia="宋体" w:cs="宋体"/>
                <w:color w:val="auto"/>
              </w:rPr>
              <w:t>6</w:t>
            </w:r>
          </w:p>
        </w:tc>
        <w:tc>
          <w:tcPr>
            <w:tcW w:w="1227" w:type="dxa"/>
            <w:vAlign w:val="center"/>
          </w:tcPr>
          <w:p w14:paraId="5FA38E70">
            <w:pPr>
              <w:spacing w:line="360" w:lineRule="auto"/>
              <w:jc w:val="center"/>
              <w:rPr>
                <w:rFonts w:hint="eastAsia" w:ascii="宋体" w:hAnsi="宋体" w:eastAsia="宋体" w:cs="宋体"/>
                <w:color w:val="auto"/>
                <w:lang w:eastAsia="zh-CN"/>
              </w:rPr>
            </w:pPr>
            <w:r>
              <w:rPr>
                <w:rFonts w:hint="eastAsia" w:ascii="宋体" w:hAnsi="宋体" w:eastAsia="宋体" w:cs="宋体"/>
                <w:color w:val="auto"/>
                <w:lang w:eastAsia="zh-CN"/>
              </w:rPr>
              <w:t>项目简介</w:t>
            </w:r>
          </w:p>
          <w:p w14:paraId="57DFA183">
            <w:pPr>
              <w:spacing w:line="360" w:lineRule="auto"/>
              <w:jc w:val="center"/>
              <w:rPr>
                <w:rFonts w:hint="eastAsia" w:ascii="宋体" w:hAnsi="宋体" w:eastAsia="宋体" w:cs="宋体"/>
                <w:color w:val="auto"/>
                <w:lang w:eastAsia="zh-CN"/>
              </w:rPr>
            </w:pPr>
            <w:r>
              <w:rPr>
                <w:rFonts w:hint="eastAsia" w:ascii="宋体" w:hAnsi="宋体" w:eastAsia="宋体" w:cs="宋体"/>
                <w:color w:val="auto"/>
                <w:lang w:eastAsia="zh-CN"/>
              </w:rPr>
              <w:t>预算金额</w:t>
            </w:r>
          </w:p>
        </w:tc>
        <w:tc>
          <w:tcPr>
            <w:tcW w:w="7450" w:type="dxa"/>
            <w:vAlign w:val="center"/>
          </w:tcPr>
          <w:p w14:paraId="2048BE0D">
            <w:pPr>
              <w:numPr>
                <w:ilvl w:val="0"/>
                <w:numId w:val="4"/>
              </w:numPr>
              <w:spacing w:line="360" w:lineRule="auto"/>
              <w:rPr>
                <w:rFonts w:hint="eastAsia" w:ascii="宋体" w:hAnsi="宋体" w:eastAsia="宋体" w:cs="宋体"/>
                <w:b/>
                <w:bCs/>
              </w:rPr>
            </w:pPr>
            <w:r>
              <w:rPr>
                <w:rFonts w:hint="eastAsia" w:ascii="宋体" w:hAnsi="宋体" w:eastAsia="宋体" w:cs="宋体"/>
                <w:b/>
                <w:bCs/>
              </w:rPr>
              <w:t>项目简介：</w:t>
            </w:r>
          </w:p>
          <w:p w14:paraId="1ACC304D">
            <w:pPr>
              <w:spacing w:line="240" w:lineRule="auto"/>
              <w:ind w:firstLine="480" w:firstLineChars="200"/>
              <w:rPr>
                <w:rFonts w:hint="eastAsia" w:ascii="宋体" w:hAnsi="宋体" w:eastAsia="宋体" w:cs="宋体"/>
                <w:lang w:eastAsia="zh-CN"/>
              </w:rPr>
            </w:pPr>
            <w:r>
              <w:rPr>
                <w:rFonts w:hint="eastAsia" w:ascii="宋体" w:hAnsi="宋体" w:eastAsia="宋体" w:cs="宋体"/>
                <w:lang w:val="en-US" w:eastAsia="zh-CN"/>
              </w:rPr>
              <w:t>第十六届江苏—澳门 葡语国家工商峰会拟于2026年10月21日至23日在澳门举办。本届峰会以“携手合作共创未来”为主题，将邀请江苏、澳门和葡语国家200余名代表出席。活动主要包括第十六届江苏一澳门·葡语国家工商峰会开幕式、第三十一届澳门国际贸易投资展览会江苏形象展示馆、苏之味一江苏农产品专场推介会、“</w:t>
            </w:r>
            <w:r>
              <w:rPr>
                <w:rFonts w:hint="eastAsia" w:ascii="宋体" w:hAnsi="宋体" w:eastAsia="宋体" w:cs="宋体"/>
                <w:lang w:eastAsia="zh-CN"/>
              </w:rPr>
              <w:t>‘</w:t>
            </w:r>
            <w:r>
              <w:rPr>
                <w:rFonts w:hint="eastAsia" w:ascii="宋体" w:hAnsi="宋体" w:eastAsia="宋体" w:cs="宋体"/>
                <w:lang w:val="en-US" w:eastAsia="zh-CN"/>
              </w:rPr>
              <w:t>苏超'燃梦青春同行”2026苏澳青少年融媒体行动和江苏康养产业专场推介会等系列经贸人文交流活动。本次采购主要内容为会场搭建、展览搭建、LED屏搭建、技术保障、物料制作、灯光音响等会展搭建服务以及场地租赁、会务接待、住宿交通保障等会务承办服务。</w:t>
            </w:r>
          </w:p>
          <w:p w14:paraId="16E20F2F">
            <w:pPr>
              <w:spacing w:line="360" w:lineRule="auto"/>
              <w:rPr>
                <w:rFonts w:hint="eastAsia" w:ascii="宋体" w:hAnsi="宋体" w:eastAsia="宋体" w:cs="宋体"/>
                <w:lang w:eastAsia="zh-CN"/>
              </w:rPr>
            </w:pPr>
            <w:r>
              <w:rPr>
                <w:rFonts w:hint="eastAsia" w:ascii="宋体" w:hAnsi="宋体" w:eastAsia="宋体" w:cs="宋体"/>
                <w:b/>
                <w:bCs/>
                <w:lang w:eastAsia="zh-CN"/>
              </w:rPr>
              <w:t>2、项目预算：人民币</w:t>
            </w:r>
            <w:r>
              <w:rPr>
                <w:rFonts w:hint="eastAsia" w:ascii="宋体" w:hAnsi="宋体" w:eastAsia="宋体" w:cs="宋体"/>
                <w:b/>
                <w:bCs/>
                <w:u w:val="single"/>
                <w:lang w:val="en-US" w:eastAsia="zh-CN"/>
              </w:rPr>
              <w:t>370</w:t>
            </w:r>
            <w:r>
              <w:rPr>
                <w:rFonts w:hint="eastAsia" w:ascii="宋体" w:hAnsi="宋体" w:eastAsia="宋体" w:cs="宋体"/>
                <w:b/>
                <w:bCs/>
                <w:lang w:eastAsia="zh-CN"/>
              </w:rPr>
              <w:t>万元整</w:t>
            </w:r>
            <w:r>
              <w:rPr>
                <w:rFonts w:hint="eastAsia" w:ascii="宋体" w:hAnsi="宋体" w:eastAsia="宋体" w:cs="宋体"/>
                <w:lang w:eastAsia="zh-CN"/>
              </w:rPr>
              <w:t>。</w:t>
            </w:r>
            <w:r>
              <w:rPr>
                <w:rFonts w:hint="eastAsia" w:ascii="宋体" w:hAnsi="宋体" w:eastAsia="宋体" w:cs="宋体"/>
                <w:b/>
                <w:bCs/>
                <w:lang w:val="en-US" w:eastAsia="zh-CN"/>
              </w:rPr>
              <w:t>最高限价</w:t>
            </w:r>
            <w:r>
              <w:rPr>
                <w:rFonts w:hint="eastAsia" w:ascii="宋体" w:hAnsi="宋体" w:eastAsia="宋体" w:cs="宋体"/>
                <w:b/>
                <w:bCs/>
                <w:lang w:eastAsia="zh-CN"/>
              </w:rPr>
              <w:t>：人民币</w:t>
            </w:r>
            <w:r>
              <w:rPr>
                <w:rFonts w:hint="eastAsia" w:ascii="宋体" w:hAnsi="宋体" w:eastAsia="宋体" w:cs="宋体"/>
                <w:b/>
                <w:bCs/>
                <w:u w:val="single"/>
                <w:lang w:val="en-US" w:eastAsia="zh-CN"/>
              </w:rPr>
              <w:t>370</w:t>
            </w:r>
            <w:r>
              <w:rPr>
                <w:rFonts w:hint="eastAsia" w:ascii="宋体" w:hAnsi="宋体" w:eastAsia="宋体" w:cs="宋体"/>
                <w:b/>
                <w:bCs/>
                <w:lang w:eastAsia="zh-CN"/>
              </w:rPr>
              <w:t>万元整</w:t>
            </w:r>
            <w:r>
              <w:rPr>
                <w:rFonts w:hint="eastAsia" w:ascii="宋体" w:hAnsi="宋体" w:eastAsia="宋体" w:cs="宋体"/>
                <w:lang w:eastAsia="zh-CN"/>
              </w:rPr>
              <w:t>。</w:t>
            </w:r>
          </w:p>
          <w:p w14:paraId="5872F80F">
            <w:pPr>
              <w:spacing w:line="360" w:lineRule="auto"/>
              <w:rPr>
                <w:rFonts w:hint="eastAsia" w:ascii="宋体" w:hAnsi="宋体" w:eastAsia="宋体" w:cs="宋体"/>
                <w:color w:val="auto"/>
                <w:lang w:eastAsia="zh-CN"/>
              </w:rPr>
            </w:pPr>
            <w:r>
              <w:rPr>
                <w:rFonts w:hint="eastAsia" w:ascii="宋体" w:hAnsi="宋体" w:eastAsia="宋体" w:cs="宋体"/>
                <w:b/>
                <w:bCs/>
                <w:i/>
                <w:iCs/>
                <w:kern w:val="2"/>
                <w:u w:val="single"/>
                <w:lang w:eastAsia="zh-CN" w:bidi="ar-SA"/>
              </w:rPr>
              <w:t>报价超过政府采购预算和最高限价的为无效响应，按照无效响应处理。</w:t>
            </w:r>
          </w:p>
        </w:tc>
      </w:tr>
      <w:tr w14:paraId="6DD3A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742" w:type="dxa"/>
            <w:vAlign w:val="center"/>
          </w:tcPr>
          <w:p w14:paraId="136E7C23">
            <w:pPr>
              <w:spacing w:line="360" w:lineRule="auto"/>
              <w:jc w:val="center"/>
              <w:rPr>
                <w:rFonts w:hint="eastAsia" w:ascii="宋体" w:hAnsi="宋体" w:eastAsia="宋体" w:cs="宋体"/>
                <w:color w:val="auto"/>
              </w:rPr>
            </w:pPr>
            <w:r>
              <w:rPr>
                <w:rFonts w:hint="eastAsia" w:ascii="宋体" w:hAnsi="宋体" w:eastAsia="宋体" w:cs="宋体"/>
                <w:color w:val="auto"/>
              </w:rPr>
              <w:t>7</w:t>
            </w:r>
          </w:p>
        </w:tc>
        <w:tc>
          <w:tcPr>
            <w:tcW w:w="1227" w:type="dxa"/>
            <w:vAlign w:val="center"/>
          </w:tcPr>
          <w:p w14:paraId="5078DB2B">
            <w:pPr>
              <w:spacing w:line="360" w:lineRule="auto"/>
              <w:jc w:val="center"/>
              <w:rPr>
                <w:rFonts w:hint="eastAsia" w:ascii="宋体" w:hAnsi="宋体" w:eastAsia="宋体" w:cs="宋体"/>
                <w:color w:val="auto"/>
              </w:rPr>
            </w:pPr>
            <w:r>
              <w:rPr>
                <w:rFonts w:hint="eastAsia" w:ascii="宋体" w:hAnsi="宋体" w:eastAsia="宋体" w:cs="宋体"/>
              </w:rPr>
              <w:t>保证金</w:t>
            </w:r>
          </w:p>
        </w:tc>
        <w:tc>
          <w:tcPr>
            <w:tcW w:w="7450" w:type="dxa"/>
            <w:vAlign w:val="center"/>
          </w:tcPr>
          <w:p w14:paraId="482CD14D">
            <w:pPr>
              <w:spacing w:line="0" w:lineRule="atLeast"/>
              <w:rPr>
                <w:rFonts w:hint="eastAsia" w:ascii="宋体" w:hAnsi="宋体" w:eastAsia="宋体" w:cs="宋体"/>
                <w:color w:val="auto"/>
                <w:lang w:eastAsia="zh-CN"/>
              </w:rPr>
            </w:pPr>
            <w:r>
              <w:rPr>
                <w:rFonts w:hint="eastAsia" w:ascii="宋体" w:hAnsi="宋体" w:eastAsia="宋体" w:cs="宋体"/>
                <w:b/>
                <w:bCs/>
                <w:lang w:eastAsia="zh-CN"/>
              </w:rPr>
              <w:t>无</w:t>
            </w:r>
          </w:p>
        </w:tc>
      </w:tr>
      <w:tr w14:paraId="2EC64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8" w:hRule="atLeast"/>
          <w:tblHeader/>
          <w:jc w:val="center"/>
        </w:trPr>
        <w:tc>
          <w:tcPr>
            <w:tcW w:w="742" w:type="dxa"/>
            <w:vAlign w:val="center"/>
          </w:tcPr>
          <w:p w14:paraId="041CA9DB">
            <w:pPr>
              <w:spacing w:line="360" w:lineRule="auto"/>
              <w:jc w:val="center"/>
              <w:rPr>
                <w:rFonts w:hint="eastAsia" w:ascii="宋体" w:hAnsi="宋体" w:eastAsia="宋体" w:cs="宋体"/>
                <w:color w:val="auto"/>
                <w:lang w:eastAsia="zh-CN"/>
              </w:rPr>
            </w:pPr>
            <w:r>
              <w:rPr>
                <w:rFonts w:hint="eastAsia" w:ascii="宋体" w:hAnsi="宋体" w:eastAsia="宋体" w:cs="宋体"/>
                <w:color w:val="auto"/>
                <w:lang w:eastAsia="zh-CN"/>
              </w:rPr>
              <w:t>8</w:t>
            </w:r>
          </w:p>
        </w:tc>
        <w:tc>
          <w:tcPr>
            <w:tcW w:w="1227" w:type="dxa"/>
            <w:vAlign w:val="center"/>
          </w:tcPr>
          <w:p w14:paraId="2E6D0A70">
            <w:pPr>
              <w:spacing w:line="0" w:lineRule="atLeast"/>
              <w:jc w:val="center"/>
              <w:rPr>
                <w:rFonts w:hint="eastAsia" w:ascii="宋体" w:hAnsi="宋体" w:eastAsia="宋体" w:cs="宋体"/>
                <w:color w:val="auto"/>
                <w:lang w:eastAsia="zh-CN"/>
              </w:rPr>
            </w:pPr>
            <w:r>
              <w:rPr>
                <w:rFonts w:hint="eastAsia" w:ascii="宋体" w:hAnsi="宋体" w:eastAsia="宋体" w:cs="宋体"/>
                <w:color w:val="auto"/>
                <w:lang w:eastAsia="zh-CN"/>
              </w:rPr>
              <w:t>响应</w:t>
            </w:r>
          </w:p>
          <w:p w14:paraId="29E384D7">
            <w:pPr>
              <w:spacing w:line="0" w:lineRule="atLeast"/>
              <w:jc w:val="center"/>
              <w:rPr>
                <w:rFonts w:hint="eastAsia" w:ascii="宋体" w:hAnsi="宋体" w:eastAsia="宋体" w:cs="宋体"/>
                <w:color w:val="auto"/>
                <w:lang w:eastAsia="zh-CN"/>
              </w:rPr>
            </w:pPr>
            <w:r>
              <w:rPr>
                <w:rFonts w:hint="eastAsia" w:ascii="宋体" w:hAnsi="宋体" w:eastAsia="宋体" w:cs="宋体"/>
                <w:color w:val="auto"/>
                <w:lang w:eastAsia="zh-CN"/>
              </w:rPr>
              <w:t>文件接收</w:t>
            </w:r>
          </w:p>
        </w:tc>
        <w:tc>
          <w:tcPr>
            <w:tcW w:w="7450" w:type="dxa"/>
            <w:vAlign w:val="center"/>
          </w:tcPr>
          <w:p w14:paraId="75A252EB">
            <w:pPr>
              <w:spacing w:line="0" w:lineRule="atLeast"/>
              <w:rPr>
                <w:rFonts w:hint="eastAsia" w:ascii="宋体" w:hAnsi="宋体" w:eastAsia="宋体" w:cs="宋体"/>
                <w:color w:val="auto"/>
                <w:lang w:eastAsia="zh-CN"/>
              </w:rPr>
            </w:pPr>
            <w:r>
              <w:rPr>
                <w:rFonts w:hint="eastAsia" w:ascii="宋体" w:hAnsi="宋体" w:eastAsia="宋体" w:cs="宋体"/>
                <w:color w:val="auto"/>
                <w:lang w:eastAsia="zh-CN"/>
              </w:rPr>
              <w:t>接收地点：江苏省政府采购交易系统（以下简称“苏采云系统”）网上开标大厅</w:t>
            </w:r>
          </w:p>
        </w:tc>
      </w:tr>
      <w:tr w14:paraId="7EAE8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tblHeader/>
          <w:jc w:val="center"/>
        </w:trPr>
        <w:tc>
          <w:tcPr>
            <w:tcW w:w="742" w:type="dxa"/>
            <w:vAlign w:val="center"/>
          </w:tcPr>
          <w:p w14:paraId="26989617">
            <w:pPr>
              <w:spacing w:line="360" w:lineRule="auto"/>
              <w:jc w:val="center"/>
              <w:rPr>
                <w:rFonts w:hint="eastAsia" w:ascii="宋体" w:hAnsi="宋体" w:eastAsia="宋体" w:cs="宋体"/>
                <w:color w:val="auto"/>
                <w:lang w:eastAsia="zh-CN"/>
              </w:rPr>
            </w:pPr>
            <w:r>
              <w:rPr>
                <w:rFonts w:hint="eastAsia" w:ascii="宋体" w:hAnsi="宋体" w:eastAsia="宋体" w:cs="宋体"/>
                <w:color w:val="auto"/>
                <w:lang w:eastAsia="zh-CN"/>
              </w:rPr>
              <w:t>9</w:t>
            </w:r>
          </w:p>
        </w:tc>
        <w:tc>
          <w:tcPr>
            <w:tcW w:w="1227" w:type="dxa"/>
            <w:vAlign w:val="center"/>
          </w:tcPr>
          <w:p w14:paraId="476F5A07">
            <w:pPr>
              <w:spacing w:line="360" w:lineRule="auto"/>
              <w:jc w:val="center"/>
              <w:rPr>
                <w:rFonts w:hint="eastAsia" w:ascii="宋体" w:hAnsi="宋体" w:eastAsia="宋体" w:cs="宋体"/>
                <w:color w:val="auto"/>
              </w:rPr>
            </w:pPr>
            <w:r>
              <w:rPr>
                <w:rFonts w:hint="eastAsia" w:ascii="宋体" w:hAnsi="宋体" w:eastAsia="宋体" w:cs="宋体"/>
                <w:color w:val="auto"/>
                <w:lang w:eastAsia="zh-CN"/>
              </w:rPr>
              <w:t>协商</w:t>
            </w:r>
            <w:r>
              <w:rPr>
                <w:rFonts w:hint="eastAsia" w:ascii="宋体" w:hAnsi="宋体" w:eastAsia="宋体" w:cs="宋体"/>
                <w:color w:val="auto"/>
              </w:rPr>
              <w:t>时间</w:t>
            </w:r>
          </w:p>
        </w:tc>
        <w:tc>
          <w:tcPr>
            <w:tcW w:w="7450" w:type="dxa"/>
            <w:vAlign w:val="center"/>
          </w:tcPr>
          <w:p w14:paraId="7B3F69B6">
            <w:pPr>
              <w:spacing w:line="0" w:lineRule="atLeast"/>
              <w:rPr>
                <w:rFonts w:hint="eastAsia" w:ascii="宋体" w:hAnsi="宋体" w:eastAsia="宋体" w:cs="宋体"/>
                <w:color w:val="auto"/>
                <w:lang w:eastAsia="zh-CN"/>
              </w:rPr>
            </w:pPr>
            <w:r>
              <w:rPr>
                <w:rFonts w:hint="eastAsia" w:ascii="宋体" w:hAnsi="宋体" w:eastAsia="宋体" w:cs="宋体"/>
                <w:color w:val="auto"/>
                <w:lang w:eastAsia="zh-CN"/>
              </w:rPr>
              <w:t>协商时间：202</w:t>
            </w:r>
            <w:r>
              <w:rPr>
                <w:rFonts w:hint="eastAsia" w:ascii="宋体" w:hAnsi="宋体" w:eastAsia="宋体" w:cs="宋体"/>
                <w:color w:val="auto"/>
                <w:lang w:val="en-US" w:eastAsia="zh-CN"/>
              </w:rPr>
              <w:t>6</w:t>
            </w:r>
            <w:r>
              <w:rPr>
                <w:rFonts w:hint="eastAsia" w:ascii="宋体" w:hAnsi="宋体" w:eastAsia="宋体" w:cs="宋体"/>
                <w:color w:val="auto"/>
                <w:lang w:eastAsia="zh-CN"/>
              </w:rPr>
              <w:t>年</w:t>
            </w:r>
            <w:r>
              <w:rPr>
                <w:rFonts w:hint="eastAsia" w:ascii="宋体" w:hAnsi="宋体" w:eastAsia="宋体" w:cs="宋体"/>
                <w:color w:val="auto"/>
                <w:lang w:val="en-US" w:eastAsia="zh-CN"/>
              </w:rPr>
              <w:t>10</w:t>
            </w:r>
            <w:r>
              <w:rPr>
                <w:rFonts w:hint="eastAsia" w:ascii="宋体" w:hAnsi="宋体" w:eastAsia="宋体" w:cs="宋体"/>
                <w:color w:val="auto"/>
                <w:lang w:eastAsia="zh-CN"/>
              </w:rPr>
              <w:t>月</w:t>
            </w:r>
            <w:r>
              <w:rPr>
                <w:rFonts w:hint="eastAsia" w:ascii="宋体" w:hAnsi="宋体" w:eastAsia="宋体" w:cs="宋体"/>
                <w:color w:val="auto"/>
                <w:lang w:val="en-US" w:eastAsia="zh-CN"/>
              </w:rPr>
              <w:t>10</w:t>
            </w:r>
            <w:r>
              <w:rPr>
                <w:rFonts w:hint="eastAsia" w:ascii="宋体" w:hAnsi="宋体" w:eastAsia="宋体" w:cs="宋体"/>
                <w:color w:val="auto"/>
                <w:lang w:eastAsia="zh-CN"/>
              </w:rPr>
              <w:t>日下午1</w:t>
            </w:r>
            <w:r>
              <w:rPr>
                <w:rFonts w:hint="eastAsia" w:ascii="宋体" w:hAnsi="宋体" w:eastAsia="宋体" w:cs="宋体"/>
                <w:color w:val="auto"/>
                <w:lang w:val="en-US" w:eastAsia="zh-CN"/>
              </w:rPr>
              <w:t>4</w:t>
            </w:r>
            <w:r>
              <w:rPr>
                <w:rFonts w:hint="eastAsia" w:ascii="宋体" w:hAnsi="宋体" w:eastAsia="宋体" w:cs="宋体"/>
                <w:color w:val="auto"/>
                <w:lang w:eastAsia="zh-CN"/>
              </w:rPr>
              <w:t>：</w:t>
            </w:r>
            <w:r>
              <w:rPr>
                <w:rFonts w:hint="eastAsia" w:ascii="宋体" w:hAnsi="宋体" w:eastAsia="宋体" w:cs="宋体"/>
                <w:color w:val="auto"/>
                <w:lang w:val="en-US" w:eastAsia="zh-CN"/>
              </w:rPr>
              <w:t>0</w:t>
            </w:r>
            <w:r>
              <w:rPr>
                <w:rFonts w:hint="eastAsia" w:ascii="宋体" w:hAnsi="宋体" w:eastAsia="宋体" w:cs="宋体"/>
                <w:color w:val="auto"/>
                <w:lang w:eastAsia="zh-CN"/>
              </w:rPr>
              <w:t>0</w:t>
            </w:r>
          </w:p>
          <w:p w14:paraId="3CCD0323">
            <w:pPr>
              <w:spacing w:line="0" w:lineRule="atLeast"/>
              <w:rPr>
                <w:rFonts w:hint="eastAsia" w:ascii="宋体" w:hAnsi="宋体" w:eastAsia="宋体" w:cs="宋体"/>
                <w:color w:val="auto"/>
                <w:lang w:eastAsia="zh-CN"/>
              </w:rPr>
            </w:pPr>
            <w:r>
              <w:rPr>
                <w:rFonts w:hint="eastAsia" w:ascii="宋体" w:hAnsi="宋体" w:eastAsia="宋体" w:cs="宋体"/>
                <w:color w:val="auto"/>
                <w:lang w:eastAsia="zh-CN"/>
              </w:rPr>
              <w:t>地点：江苏省政府采购交易系统（以下简称“苏采云系统”）网上开标大厅</w:t>
            </w:r>
          </w:p>
        </w:tc>
      </w:tr>
      <w:tr w14:paraId="5B5E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tblHeader/>
          <w:jc w:val="center"/>
        </w:trPr>
        <w:tc>
          <w:tcPr>
            <w:tcW w:w="742" w:type="dxa"/>
            <w:vAlign w:val="center"/>
          </w:tcPr>
          <w:p w14:paraId="385CE88F">
            <w:pPr>
              <w:spacing w:line="360" w:lineRule="auto"/>
              <w:jc w:val="center"/>
              <w:rPr>
                <w:rFonts w:hint="eastAsia" w:ascii="宋体" w:hAnsi="宋体" w:eastAsia="宋体" w:cs="宋体"/>
                <w:color w:val="auto"/>
                <w:lang w:eastAsia="zh-CN"/>
              </w:rPr>
            </w:pPr>
            <w:r>
              <w:rPr>
                <w:rFonts w:hint="eastAsia" w:ascii="宋体" w:hAnsi="宋体" w:eastAsia="宋体" w:cs="宋体"/>
                <w:color w:val="auto"/>
              </w:rPr>
              <w:t>1</w:t>
            </w:r>
            <w:r>
              <w:rPr>
                <w:rFonts w:hint="eastAsia" w:ascii="宋体" w:hAnsi="宋体" w:eastAsia="宋体" w:cs="宋体"/>
                <w:color w:val="auto"/>
                <w:lang w:eastAsia="zh-CN"/>
              </w:rPr>
              <w:t>0</w:t>
            </w:r>
          </w:p>
        </w:tc>
        <w:tc>
          <w:tcPr>
            <w:tcW w:w="1227" w:type="dxa"/>
            <w:vAlign w:val="center"/>
          </w:tcPr>
          <w:p w14:paraId="32619EBD">
            <w:pPr>
              <w:spacing w:line="0" w:lineRule="atLeast"/>
              <w:jc w:val="center"/>
              <w:rPr>
                <w:rFonts w:hint="eastAsia" w:ascii="宋体" w:hAnsi="宋体" w:eastAsia="宋体" w:cs="宋体"/>
                <w:color w:val="auto"/>
                <w:lang w:eastAsia="zh-CN"/>
              </w:rPr>
            </w:pPr>
            <w:r>
              <w:rPr>
                <w:rFonts w:hint="eastAsia" w:ascii="宋体" w:hAnsi="宋体" w:eastAsia="宋体" w:cs="宋体"/>
                <w:color w:val="auto"/>
                <w:lang w:eastAsia="zh-CN"/>
              </w:rPr>
              <w:t>响应文件</w:t>
            </w:r>
          </w:p>
          <w:p w14:paraId="2BB6FBA3">
            <w:pPr>
              <w:spacing w:line="0" w:lineRule="atLeast"/>
              <w:jc w:val="center"/>
              <w:rPr>
                <w:rFonts w:hint="eastAsia" w:ascii="宋体" w:hAnsi="宋体" w:eastAsia="宋体" w:cs="宋体"/>
                <w:color w:val="auto"/>
                <w:lang w:eastAsia="zh-CN"/>
              </w:rPr>
            </w:pPr>
            <w:r>
              <w:rPr>
                <w:rFonts w:hint="eastAsia" w:ascii="宋体" w:hAnsi="宋体" w:eastAsia="宋体" w:cs="宋体"/>
                <w:color w:val="auto"/>
                <w:lang w:eastAsia="zh-CN"/>
              </w:rPr>
              <w:t>数量</w:t>
            </w:r>
          </w:p>
        </w:tc>
        <w:tc>
          <w:tcPr>
            <w:tcW w:w="7450" w:type="dxa"/>
            <w:vAlign w:val="center"/>
          </w:tcPr>
          <w:p w14:paraId="45E48E33">
            <w:pPr>
              <w:spacing w:line="0" w:lineRule="atLeast"/>
              <w:rPr>
                <w:rFonts w:hint="eastAsia" w:ascii="宋体" w:hAnsi="宋体" w:eastAsia="宋体" w:cs="宋体"/>
                <w:color w:val="auto"/>
                <w:lang w:eastAsia="zh-CN"/>
              </w:rPr>
            </w:pPr>
            <w:r>
              <w:rPr>
                <w:rFonts w:hint="eastAsia" w:ascii="宋体" w:hAnsi="宋体" w:eastAsia="宋体" w:cs="宋体"/>
                <w:color w:val="auto"/>
                <w:lang w:val="en-US" w:eastAsia="zh-CN"/>
              </w:rPr>
              <w:t>/</w:t>
            </w:r>
          </w:p>
        </w:tc>
      </w:tr>
      <w:tr w14:paraId="4E17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tblHeader/>
          <w:jc w:val="center"/>
        </w:trPr>
        <w:tc>
          <w:tcPr>
            <w:tcW w:w="742" w:type="dxa"/>
            <w:vAlign w:val="center"/>
          </w:tcPr>
          <w:p w14:paraId="5A8BFDBF">
            <w:pPr>
              <w:spacing w:line="360" w:lineRule="auto"/>
              <w:jc w:val="center"/>
              <w:rPr>
                <w:rFonts w:hint="eastAsia" w:ascii="宋体" w:hAnsi="宋体" w:eastAsia="宋体" w:cs="宋体"/>
                <w:color w:val="auto"/>
                <w:lang w:eastAsia="zh-CN"/>
              </w:rPr>
            </w:pPr>
            <w:r>
              <w:rPr>
                <w:rFonts w:hint="eastAsia" w:ascii="宋体" w:hAnsi="宋体" w:eastAsia="宋体" w:cs="宋体"/>
                <w:color w:val="auto"/>
              </w:rPr>
              <w:t>1</w:t>
            </w:r>
            <w:r>
              <w:rPr>
                <w:rFonts w:hint="eastAsia" w:ascii="宋体" w:hAnsi="宋体" w:eastAsia="宋体" w:cs="宋体"/>
                <w:color w:val="auto"/>
                <w:lang w:eastAsia="zh-CN"/>
              </w:rPr>
              <w:t>1</w:t>
            </w:r>
          </w:p>
        </w:tc>
        <w:tc>
          <w:tcPr>
            <w:tcW w:w="1227" w:type="dxa"/>
            <w:vAlign w:val="center"/>
          </w:tcPr>
          <w:p w14:paraId="474A51DA">
            <w:pPr>
              <w:spacing w:line="0" w:lineRule="atLeast"/>
              <w:jc w:val="center"/>
              <w:rPr>
                <w:rFonts w:hint="eastAsia" w:ascii="宋体" w:hAnsi="宋体" w:eastAsia="宋体" w:cs="宋体"/>
                <w:color w:val="auto"/>
                <w:lang w:eastAsia="zh-CN"/>
              </w:rPr>
            </w:pPr>
            <w:r>
              <w:rPr>
                <w:rFonts w:hint="eastAsia" w:ascii="宋体" w:hAnsi="宋体" w:eastAsia="宋体" w:cs="宋体"/>
                <w:color w:val="auto"/>
                <w:lang w:eastAsia="zh-CN"/>
              </w:rPr>
              <w:t>响应文件</w:t>
            </w:r>
          </w:p>
          <w:p w14:paraId="3B16ABB3">
            <w:pPr>
              <w:spacing w:line="0" w:lineRule="atLeast"/>
              <w:jc w:val="center"/>
              <w:rPr>
                <w:rFonts w:hint="eastAsia" w:ascii="宋体" w:hAnsi="宋体" w:eastAsia="宋体" w:cs="宋体"/>
                <w:color w:val="auto"/>
                <w:lang w:eastAsia="zh-CN"/>
              </w:rPr>
            </w:pPr>
            <w:r>
              <w:rPr>
                <w:rFonts w:hint="eastAsia" w:ascii="宋体" w:hAnsi="宋体" w:eastAsia="宋体" w:cs="宋体"/>
                <w:color w:val="auto"/>
                <w:lang w:eastAsia="zh-CN"/>
              </w:rPr>
              <w:t>密封要求</w:t>
            </w:r>
          </w:p>
        </w:tc>
        <w:tc>
          <w:tcPr>
            <w:tcW w:w="7450" w:type="dxa"/>
            <w:vAlign w:val="center"/>
          </w:tcPr>
          <w:p w14:paraId="6DF84048">
            <w:pPr>
              <w:spacing w:line="0" w:lineRule="atLeast"/>
              <w:rPr>
                <w:rFonts w:hint="eastAsia" w:ascii="宋体" w:hAnsi="宋体" w:eastAsia="宋体" w:cs="宋体"/>
                <w:color w:val="auto"/>
                <w:lang w:eastAsia="zh-CN"/>
              </w:rPr>
            </w:pPr>
            <w:r>
              <w:rPr>
                <w:rFonts w:hint="eastAsia" w:ascii="宋体" w:hAnsi="宋体" w:eastAsia="宋体" w:cs="宋体"/>
                <w:color w:val="auto"/>
                <w:lang w:val="en-US" w:eastAsia="zh-CN"/>
              </w:rPr>
              <w:t>/</w:t>
            </w:r>
          </w:p>
        </w:tc>
      </w:tr>
      <w:tr w14:paraId="1C6D7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tblHeader/>
          <w:jc w:val="center"/>
        </w:trPr>
        <w:tc>
          <w:tcPr>
            <w:tcW w:w="742" w:type="dxa"/>
            <w:vAlign w:val="center"/>
          </w:tcPr>
          <w:p w14:paraId="719443ED">
            <w:pPr>
              <w:spacing w:line="360" w:lineRule="auto"/>
              <w:jc w:val="center"/>
              <w:rPr>
                <w:rFonts w:hint="eastAsia" w:ascii="宋体" w:hAnsi="宋体" w:eastAsia="宋体" w:cs="宋体"/>
                <w:color w:val="auto"/>
                <w:lang w:eastAsia="zh-CN"/>
              </w:rPr>
            </w:pPr>
            <w:r>
              <w:rPr>
                <w:rFonts w:hint="eastAsia" w:ascii="宋体" w:hAnsi="宋体" w:eastAsia="宋体" w:cs="宋体"/>
                <w:color w:val="auto"/>
              </w:rPr>
              <w:t>1</w:t>
            </w:r>
            <w:r>
              <w:rPr>
                <w:rFonts w:hint="eastAsia" w:ascii="宋体" w:hAnsi="宋体" w:eastAsia="宋体" w:cs="宋体"/>
                <w:color w:val="auto"/>
                <w:lang w:eastAsia="zh-CN"/>
              </w:rPr>
              <w:t>2</w:t>
            </w:r>
          </w:p>
        </w:tc>
        <w:tc>
          <w:tcPr>
            <w:tcW w:w="1227" w:type="dxa"/>
            <w:vAlign w:val="center"/>
          </w:tcPr>
          <w:p w14:paraId="269D8E30">
            <w:pPr>
              <w:spacing w:line="360" w:lineRule="auto"/>
              <w:jc w:val="center"/>
              <w:rPr>
                <w:rFonts w:hint="eastAsia" w:ascii="宋体" w:hAnsi="宋体" w:eastAsia="宋体" w:cs="宋体"/>
                <w:color w:val="auto"/>
              </w:rPr>
            </w:pPr>
            <w:r>
              <w:rPr>
                <w:rFonts w:hint="eastAsia" w:ascii="宋体" w:hAnsi="宋体" w:eastAsia="宋体" w:cs="宋体"/>
                <w:color w:val="auto"/>
              </w:rPr>
              <w:t>响应文件</w:t>
            </w:r>
          </w:p>
          <w:p w14:paraId="33CF7266">
            <w:pPr>
              <w:spacing w:line="0" w:lineRule="atLeast"/>
              <w:jc w:val="center"/>
              <w:rPr>
                <w:rFonts w:hint="eastAsia" w:ascii="宋体" w:hAnsi="宋体" w:eastAsia="宋体" w:cs="宋体"/>
                <w:color w:val="auto"/>
              </w:rPr>
            </w:pPr>
            <w:r>
              <w:rPr>
                <w:rFonts w:hint="eastAsia" w:ascii="宋体" w:hAnsi="宋体" w:eastAsia="宋体" w:cs="宋体"/>
                <w:color w:val="auto"/>
              </w:rPr>
              <w:t>有效期</w:t>
            </w:r>
          </w:p>
        </w:tc>
        <w:tc>
          <w:tcPr>
            <w:tcW w:w="7450" w:type="dxa"/>
            <w:vAlign w:val="center"/>
          </w:tcPr>
          <w:p w14:paraId="5C6D083E">
            <w:pPr>
              <w:spacing w:line="0" w:lineRule="atLeast"/>
              <w:rPr>
                <w:rFonts w:hint="eastAsia" w:ascii="宋体" w:hAnsi="宋体" w:eastAsia="宋体" w:cs="宋体"/>
                <w:color w:val="auto"/>
                <w:lang w:eastAsia="zh-CN"/>
              </w:rPr>
            </w:pPr>
            <w:r>
              <w:rPr>
                <w:rFonts w:hint="eastAsia" w:ascii="宋体" w:hAnsi="宋体" w:eastAsia="宋体" w:cs="宋体"/>
                <w:color w:val="auto"/>
                <w:lang w:eastAsia="zh-CN"/>
              </w:rPr>
              <w:t>响应文件接收截止时间后九十天</w:t>
            </w:r>
          </w:p>
        </w:tc>
      </w:tr>
    </w:tbl>
    <w:p w14:paraId="436DE83B">
      <w:pPr>
        <w:pStyle w:val="3"/>
        <w:spacing w:before="0" w:after="0" w:line="360" w:lineRule="auto"/>
        <w:rPr>
          <w:rFonts w:hint="eastAsia" w:ascii="宋体" w:hAnsi="宋体" w:eastAsia="宋体" w:cs="宋体"/>
          <w:sz w:val="24"/>
          <w:szCs w:val="24"/>
          <w:lang w:eastAsia="zh-CN"/>
        </w:rPr>
      </w:pPr>
      <w:bookmarkStart w:id="35" w:name="_Toc9758"/>
      <w:bookmarkStart w:id="36" w:name="_Toc30133"/>
      <w:bookmarkStart w:id="37" w:name="_Toc30263"/>
      <w:bookmarkStart w:id="38" w:name="_Toc6648"/>
      <w:bookmarkStart w:id="39" w:name="_Toc17587"/>
      <w:bookmarkStart w:id="40" w:name="_Toc15687"/>
      <w:bookmarkStart w:id="41" w:name="_Toc18383"/>
      <w:bookmarkStart w:id="42" w:name="_Toc25325"/>
      <w:bookmarkStart w:id="43" w:name="_Toc28543"/>
      <w:bookmarkStart w:id="44" w:name="_Toc1429"/>
      <w:bookmarkStart w:id="45" w:name="_Toc16258"/>
      <w:bookmarkStart w:id="46" w:name="_Toc16780"/>
      <w:bookmarkStart w:id="47" w:name="_Toc3753"/>
      <w:bookmarkStart w:id="48" w:name="_Toc6089"/>
      <w:bookmarkStart w:id="49" w:name="_Toc29499"/>
      <w:bookmarkStart w:id="50" w:name="_Toc22397"/>
      <w:r>
        <w:rPr>
          <w:rFonts w:hint="eastAsia" w:ascii="宋体" w:hAnsi="宋体" w:eastAsia="宋体" w:cs="宋体"/>
          <w:sz w:val="24"/>
          <w:szCs w:val="24"/>
          <w:lang w:eastAsia="zh-CN"/>
        </w:rPr>
        <w:t>二、供应商资格要求</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6EE38641">
      <w:pPr>
        <w:snapToGrid w:val="0"/>
        <w:spacing w:line="360" w:lineRule="auto"/>
        <w:ind w:firstLine="218" w:firstLineChars="91"/>
        <w:rPr>
          <w:rFonts w:hint="eastAsia" w:ascii="宋体" w:hAnsi="宋体" w:eastAsia="宋体" w:cs="宋体"/>
          <w:lang w:eastAsia="zh-CN"/>
        </w:rPr>
      </w:pPr>
      <w:bookmarkStart w:id="51" w:name="_Toc6126"/>
      <w:bookmarkStart w:id="52" w:name="_Toc86"/>
      <w:r>
        <w:rPr>
          <w:rFonts w:hint="eastAsia" w:ascii="宋体" w:hAnsi="宋体" w:eastAsia="宋体" w:cs="宋体"/>
          <w:lang w:eastAsia="zh-CN"/>
        </w:rPr>
        <w:t>1、符合政府采购法第二十二条规定的条件，并提供下列材料；</w:t>
      </w:r>
    </w:p>
    <w:p w14:paraId="35F68CE0">
      <w:pPr>
        <w:snapToGrid w:val="0"/>
        <w:spacing w:line="360" w:lineRule="auto"/>
        <w:ind w:firstLine="218" w:firstLineChars="91"/>
        <w:rPr>
          <w:rFonts w:hint="eastAsia" w:ascii="宋体" w:hAnsi="宋体" w:eastAsia="宋体" w:cs="宋体"/>
          <w:bCs/>
          <w:lang w:eastAsia="zh-CN"/>
        </w:rPr>
      </w:pPr>
      <w:r>
        <w:rPr>
          <w:rFonts w:hint="eastAsia" w:ascii="宋体" w:hAnsi="宋体" w:eastAsia="宋体" w:cs="宋体"/>
          <w:lang w:eastAsia="zh-CN"/>
        </w:rPr>
        <w:t>（</w:t>
      </w:r>
      <w:r>
        <w:rPr>
          <w:rFonts w:hint="eastAsia" w:ascii="宋体" w:hAnsi="宋体" w:eastAsia="宋体" w:cs="宋体"/>
          <w:bCs/>
          <w:lang w:eastAsia="zh-CN"/>
        </w:rPr>
        <w:t>1）具有独立承担民事责任的能力（提供法人或者其他组织的营业执照复印件并加盖公章，或者自然人的身份证明）；</w:t>
      </w:r>
    </w:p>
    <w:p w14:paraId="77C90BFB">
      <w:pPr>
        <w:snapToGrid w:val="0"/>
        <w:spacing w:line="360" w:lineRule="auto"/>
        <w:ind w:firstLine="218" w:firstLineChars="91"/>
        <w:rPr>
          <w:rFonts w:hint="eastAsia" w:ascii="宋体" w:hAnsi="宋体" w:eastAsia="宋体" w:cs="宋体"/>
          <w:bCs/>
          <w:lang w:eastAsia="zh-CN"/>
        </w:rPr>
      </w:pPr>
      <w:r>
        <w:rPr>
          <w:rFonts w:hint="eastAsia" w:ascii="宋体" w:hAnsi="宋体" w:eastAsia="宋体" w:cs="宋体"/>
          <w:bCs/>
          <w:lang w:eastAsia="zh-CN"/>
        </w:rPr>
        <w:t>（2）具有良好的商业信誉和健全的财务会计制度（提供202</w:t>
      </w:r>
      <w:r>
        <w:rPr>
          <w:rFonts w:hint="eastAsia" w:ascii="宋体" w:hAnsi="宋体" w:eastAsia="宋体" w:cs="宋体"/>
          <w:bCs/>
          <w:lang w:val="en-US" w:eastAsia="zh-CN"/>
        </w:rPr>
        <w:t>5</w:t>
      </w:r>
      <w:r>
        <w:rPr>
          <w:rFonts w:hint="eastAsia" w:ascii="宋体" w:hAnsi="宋体" w:eastAsia="宋体" w:cs="宋体"/>
          <w:bCs/>
          <w:lang w:eastAsia="zh-CN"/>
        </w:rPr>
        <w:t>年度财务报表或银行出具的企业资信证明，法人或者其他组织成立未满一年的可提供近半年内任一月的资产负债和利润表）；</w:t>
      </w:r>
    </w:p>
    <w:p w14:paraId="1E0CDF42">
      <w:pPr>
        <w:snapToGrid w:val="0"/>
        <w:spacing w:line="360" w:lineRule="auto"/>
        <w:ind w:firstLine="218" w:firstLineChars="91"/>
        <w:rPr>
          <w:rFonts w:hint="eastAsia" w:ascii="宋体" w:hAnsi="宋体" w:eastAsia="宋体" w:cs="宋体"/>
          <w:bCs/>
          <w:lang w:eastAsia="zh-CN"/>
        </w:rPr>
      </w:pPr>
      <w:r>
        <w:rPr>
          <w:rFonts w:hint="eastAsia" w:ascii="宋体" w:hAnsi="宋体" w:eastAsia="宋体" w:cs="宋体"/>
          <w:bCs/>
          <w:lang w:eastAsia="zh-CN"/>
        </w:rPr>
        <w:t>（3）具有履行合同所必需的设备和专业技术能力（根据项目需求提供履行合同所必需的设备和专业技术能力的证明材料或声明函）；</w:t>
      </w:r>
    </w:p>
    <w:p w14:paraId="25F7F26A">
      <w:pPr>
        <w:snapToGrid w:val="0"/>
        <w:spacing w:line="360" w:lineRule="auto"/>
        <w:ind w:firstLine="218" w:firstLineChars="91"/>
        <w:rPr>
          <w:rFonts w:hint="eastAsia" w:ascii="宋体" w:hAnsi="宋体" w:eastAsia="宋体" w:cs="宋体"/>
          <w:bCs/>
          <w:lang w:eastAsia="zh-CN"/>
        </w:rPr>
      </w:pPr>
      <w:r>
        <w:rPr>
          <w:rFonts w:hint="eastAsia" w:ascii="宋体" w:hAnsi="宋体" w:eastAsia="宋体" w:cs="宋体"/>
          <w:bCs/>
          <w:lang w:eastAsia="zh-CN"/>
        </w:rPr>
        <w:t>（4）有依法缴纳税收和社会保障资金的良好记录（提供参加本次采购活动前依法缴纳税收及社会保险的凭据。依法免缴、迟缴的应提供相应文件证明）；</w:t>
      </w:r>
    </w:p>
    <w:p w14:paraId="044525D7">
      <w:pPr>
        <w:snapToGrid w:val="0"/>
        <w:spacing w:line="360" w:lineRule="auto"/>
        <w:ind w:firstLine="218" w:firstLineChars="91"/>
        <w:rPr>
          <w:rFonts w:hint="eastAsia" w:ascii="宋体" w:hAnsi="宋体" w:eastAsia="宋体" w:cs="宋体"/>
          <w:bCs/>
          <w:lang w:eastAsia="zh-CN"/>
        </w:rPr>
      </w:pPr>
      <w:r>
        <w:rPr>
          <w:rFonts w:hint="eastAsia" w:ascii="宋体" w:hAnsi="宋体" w:eastAsia="宋体" w:cs="宋体"/>
          <w:bCs/>
          <w:lang w:eastAsia="zh-CN"/>
        </w:rPr>
        <w:t>（5）参加本次采购活动前3年内在经营活动中没有重大违法记录（提供参加本次采购活动前3年内在经营活动中没有重大违法记录的书面声明）；</w:t>
      </w:r>
    </w:p>
    <w:p w14:paraId="6C3605C8">
      <w:pPr>
        <w:snapToGrid w:val="0"/>
        <w:spacing w:line="360" w:lineRule="auto"/>
        <w:ind w:firstLine="218" w:firstLineChars="91"/>
        <w:rPr>
          <w:rFonts w:hint="eastAsia" w:ascii="宋体" w:hAnsi="宋体" w:eastAsia="宋体" w:cs="宋体"/>
          <w:bCs/>
          <w:lang w:eastAsia="zh-CN"/>
        </w:rPr>
      </w:pPr>
      <w:r>
        <w:rPr>
          <w:rFonts w:hint="eastAsia" w:ascii="宋体" w:hAnsi="宋体" w:eastAsia="宋体" w:cs="宋体"/>
          <w:bCs/>
          <w:lang w:eastAsia="zh-CN"/>
        </w:rPr>
        <w:t>（6）法律、行政法规规定的其他条件。</w:t>
      </w:r>
    </w:p>
    <w:p w14:paraId="140C5288">
      <w:pPr>
        <w:snapToGrid w:val="0"/>
        <w:spacing w:line="360" w:lineRule="auto"/>
        <w:ind w:firstLine="218" w:firstLineChars="91"/>
        <w:rPr>
          <w:rFonts w:hint="eastAsia" w:ascii="宋体" w:hAnsi="宋体" w:eastAsia="宋体" w:cs="宋体"/>
          <w:bCs/>
          <w:lang w:eastAsia="zh-CN"/>
        </w:rPr>
      </w:pPr>
      <w:r>
        <w:rPr>
          <w:rFonts w:hint="eastAsia" w:ascii="宋体" w:hAnsi="宋体" w:eastAsia="宋体" w:cs="宋体"/>
          <w:lang w:eastAsia="zh-CN"/>
        </w:rPr>
        <w:t>2、</w:t>
      </w:r>
      <w:r>
        <w:rPr>
          <w:rFonts w:hint="eastAsia" w:ascii="宋体" w:hAnsi="宋体" w:eastAsia="宋体" w:cs="宋体"/>
          <w:bCs/>
          <w:lang w:val="zh-TW" w:eastAsia="zh-TW"/>
        </w:rPr>
        <w:t>落实政府采购政策需满足的资格要求</w:t>
      </w:r>
      <w:r>
        <w:rPr>
          <w:rFonts w:hint="eastAsia" w:ascii="宋体" w:hAnsi="宋体" w:eastAsia="宋体" w:cs="宋体"/>
          <w:bCs/>
          <w:lang w:val="zh-TW" w:eastAsia="zh-CN"/>
        </w:rPr>
        <w:t>：无</w:t>
      </w:r>
      <w:r>
        <w:rPr>
          <w:rFonts w:hint="eastAsia" w:ascii="宋体" w:hAnsi="宋体" w:eastAsia="宋体" w:cs="宋体"/>
          <w:bCs/>
          <w:lang w:val="zh-TW" w:eastAsia="zh-TW"/>
        </w:rPr>
        <w:t>。</w:t>
      </w:r>
    </w:p>
    <w:p w14:paraId="12B7556F">
      <w:pPr>
        <w:snapToGrid w:val="0"/>
        <w:spacing w:line="360" w:lineRule="auto"/>
        <w:ind w:firstLine="218" w:firstLineChars="91"/>
        <w:rPr>
          <w:rFonts w:hint="eastAsia" w:ascii="宋体" w:hAnsi="宋体" w:eastAsia="宋体" w:cs="宋体"/>
          <w:szCs w:val="32"/>
          <w:lang w:eastAsia="zh-CN"/>
        </w:rPr>
      </w:pPr>
      <w:r>
        <w:rPr>
          <w:rFonts w:hint="eastAsia" w:ascii="宋体" w:hAnsi="宋体" w:eastAsia="宋体" w:cs="宋体"/>
          <w:bCs/>
          <w:lang w:eastAsia="zh-CN"/>
        </w:rPr>
        <w:t>3</w:t>
      </w:r>
      <w:r>
        <w:rPr>
          <w:rFonts w:hint="eastAsia" w:ascii="宋体" w:hAnsi="宋体" w:eastAsia="宋体" w:cs="宋体"/>
          <w:lang w:eastAsia="zh-CN"/>
        </w:rPr>
        <w:t>、</w:t>
      </w:r>
      <w:r>
        <w:rPr>
          <w:rFonts w:hint="eastAsia" w:ascii="宋体" w:hAnsi="宋体" w:eastAsia="宋体" w:cs="宋体"/>
          <w:bCs/>
          <w:lang w:val="zh-TW" w:eastAsia="zh-TW"/>
        </w:rPr>
        <w:t>本项目的特定资格要求</w:t>
      </w:r>
      <w:r>
        <w:rPr>
          <w:rFonts w:hint="eastAsia" w:ascii="宋体" w:hAnsi="宋体" w:eastAsia="宋体" w:cs="宋体"/>
          <w:lang w:eastAsia="zh-CN"/>
        </w:rPr>
        <w:t>：无</w:t>
      </w:r>
      <w:r>
        <w:rPr>
          <w:rFonts w:hint="eastAsia" w:ascii="宋体" w:hAnsi="宋体" w:eastAsia="宋体" w:cs="宋体"/>
          <w:szCs w:val="32"/>
          <w:lang w:eastAsia="zh-CN"/>
        </w:rPr>
        <w:t>。</w:t>
      </w:r>
    </w:p>
    <w:p w14:paraId="50DDC90C">
      <w:pPr>
        <w:snapToGrid w:val="0"/>
        <w:spacing w:line="360" w:lineRule="auto"/>
        <w:ind w:firstLine="218" w:firstLineChars="91"/>
        <w:rPr>
          <w:rFonts w:hint="eastAsia" w:ascii="宋体" w:hAnsi="宋体" w:eastAsia="宋体" w:cs="宋体"/>
          <w:szCs w:val="32"/>
          <w:lang w:eastAsia="zh-CN"/>
        </w:rPr>
      </w:pPr>
      <w:r>
        <w:rPr>
          <w:rFonts w:hint="eastAsia" w:ascii="宋体" w:hAnsi="宋体" w:eastAsia="宋体" w:cs="宋体"/>
          <w:szCs w:val="32"/>
          <w:lang w:eastAsia="zh-CN"/>
        </w:rPr>
        <w:t>4、本项目不接受联合体参与。</w:t>
      </w:r>
    </w:p>
    <w:p w14:paraId="23B34783">
      <w:pPr>
        <w:snapToGrid w:val="0"/>
        <w:spacing w:line="360" w:lineRule="auto"/>
        <w:ind w:firstLine="218" w:firstLineChars="91"/>
        <w:rPr>
          <w:rFonts w:hint="eastAsia" w:ascii="宋体" w:hAnsi="宋体" w:eastAsia="宋体" w:cs="宋体"/>
          <w:bCs/>
          <w:lang w:eastAsia="zh-CN"/>
        </w:rPr>
      </w:pPr>
      <w:r>
        <w:rPr>
          <w:rFonts w:hint="eastAsia" w:ascii="宋体" w:hAnsi="宋体" w:eastAsia="宋体" w:cs="宋体"/>
          <w:bCs/>
          <w:lang w:eastAsia="zh-CN"/>
        </w:rPr>
        <w:t>5、拒绝下述供应商参加本次采购活动：</w:t>
      </w:r>
    </w:p>
    <w:p w14:paraId="1C3EBBB7">
      <w:pPr>
        <w:snapToGrid w:val="0"/>
        <w:spacing w:line="360" w:lineRule="auto"/>
        <w:ind w:firstLine="480" w:firstLineChars="200"/>
        <w:rPr>
          <w:rFonts w:hint="eastAsia" w:ascii="宋体" w:hAnsi="宋体" w:eastAsia="宋体" w:cs="宋体"/>
          <w:bCs/>
        </w:rPr>
      </w:pPr>
      <w:r>
        <w:rPr>
          <w:rFonts w:hint="eastAsia" w:ascii="宋体" w:hAnsi="宋体" w:eastAsia="宋体" w:cs="宋体"/>
          <w:bCs/>
        </w:rPr>
        <w:t>供应商在响应文件递交截止日前被“信用中国”网站（www.creditchina.gov.cn）、“中国政府采购网"(www.ccgp.gov.cn)列入失信被执行人、重大税收违法案件当事人名单、政府招标严重违法失信行为记录名单。</w:t>
      </w:r>
      <w:bookmarkStart w:id="53" w:name="_Toc15122"/>
      <w:bookmarkStart w:id="54" w:name="_Toc25302"/>
      <w:bookmarkStart w:id="55" w:name="_Toc20001"/>
    </w:p>
    <w:p w14:paraId="236A9F2F">
      <w:pPr>
        <w:pStyle w:val="3"/>
        <w:spacing w:before="0" w:after="0" w:line="360" w:lineRule="auto"/>
        <w:rPr>
          <w:rFonts w:hint="eastAsia" w:ascii="宋体" w:hAnsi="宋体" w:eastAsia="宋体" w:cs="宋体"/>
          <w:sz w:val="24"/>
          <w:szCs w:val="24"/>
          <w:lang w:eastAsia="zh-CN"/>
        </w:rPr>
      </w:pPr>
      <w:bookmarkStart w:id="56" w:name="_Toc9865"/>
      <w:bookmarkStart w:id="57" w:name="_Toc27811"/>
      <w:bookmarkStart w:id="58" w:name="_Toc1673"/>
      <w:bookmarkStart w:id="59" w:name="_Toc1845"/>
      <w:bookmarkStart w:id="60" w:name="_Toc6292"/>
      <w:bookmarkStart w:id="61" w:name="_Toc23488"/>
      <w:bookmarkStart w:id="62" w:name="_Toc18517"/>
      <w:bookmarkStart w:id="63" w:name="_Toc23552"/>
      <w:bookmarkStart w:id="64" w:name="_Toc1615"/>
      <w:r>
        <w:rPr>
          <w:rFonts w:hint="eastAsia" w:ascii="宋体" w:hAnsi="宋体" w:eastAsia="宋体" w:cs="宋体"/>
          <w:sz w:val="24"/>
          <w:szCs w:val="24"/>
          <w:lang w:eastAsia="zh-CN"/>
        </w:rPr>
        <w:t>三、协商办法</w:t>
      </w:r>
      <w:bookmarkEnd w:id="53"/>
      <w:bookmarkEnd w:id="54"/>
      <w:bookmarkEnd w:id="55"/>
      <w:bookmarkEnd w:id="56"/>
      <w:bookmarkEnd w:id="57"/>
      <w:bookmarkEnd w:id="58"/>
      <w:bookmarkEnd w:id="59"/>
      <w:bookmarkEnd w:id="60"/>
      <w:bookmarkEnd w:id="61"/>
      <w:bookmarkEnd w:id="62"/>
      <w:bookmarkEnd w:id="63"/>
      <w:bookmarkEnd w:id="64"/>
    </w:p>
    <w:p w14:paraId="360F49B8">
      <w:pPr>
        <w:snapToGrid w:val="0"/>
        <w:spacing w:line="360" w:lineRule="auto"/>
        <w:ind w:firstLine="420" w:firstLineChars="175"/>
        <w:rPr>
          <w:rFonts w:hint="eastAsia" w:ascii="宋体" w:hAnsi="宋体" w:eastAsia="宋体" w:cs="宋体"/>
          <w:lang w:eastAsia="zh-CN"/>
        </w:rPr>
      </w:pPr>
      <w:r>
        <w:rPr>
          <w:rFonts w:hint="eastAsia" w:ascii="宋体" w:hAnsi="宋体" w:eastAsia="宋体" w:cs="宋体"/>
          <w:lang w:eastAsia="zh-CN"/>
        </w:rPr>
        <w:t>（一）供应商的响应文件如被发现下列情况之一的，采购人可以要求供应商对其响应文件进行必要的补充或者修正，如果经过补充或者修正，仍不能解决，其响应文件将被做无效响应文件处理，单一来源采购工作终止:</w:t>
      </w:r>
    </w:p>
    <w:p w14:paraId="6A822EFA">
      <w:pPr>
        <w:snapToGrid w:val="0"/>
        <w:spacing w:line="360" w:lineRule="auto"/>
        <w:ind w:firstLine="420" w:firstLineChars="175"/>
        <w:rPr>
          <w:rFonts w:hint="eastAsia" w:ascii="宋体" w:hAnsi="宋体" w:eastAsia="宋体" w:cs="宋体"/>
          <w:lang w:eastAsia="zh-CN"/>
        </w:rPr>
      </w:pPr>
      <w:r>
        <w:rPr>
          <w:rFonts w:hint="eastAsia" w:ascii="宋体" w:hAnsi="宋体" w:eastAsia="宋体" w:cs="宋体"/>
          <w:lang w:eastAsia="zh-CN"/>
        </w:rPr>
        <w:t xml:space="preserve">1）不满足单一来源采购文件对合格供应商的资格要求的； </w:t>
      </w:r>
    </w:p>
    <w:p w14:paraId="2587CE7F">
      <w:pPr>
        <w:snapToGrid w:val="0"/>
        <w:spacing w:line="360" w:lineRule="auto"/>
        <w:ind w:firstLine="420" w:firstLineChars="175"/>
        <w:rPr>
          <w:rFonts w:hint="eastAsia" w:ascii="宋体" w:hAnsi="宋体" w:eastAsia="宋体" w:cs="宋体"/>
          <w:lang w:eastAsia="zh-CN"/>
        </w:rPr>
      </w:pPr>
      <w:r>
        <w:rPr>
          <w:rFonts w:hint="eastAsia" w:ascii="宋体" w:hAnsi="宋体" w:eastAsia="宋体" w:cs="宋体"/>
          <w:lang w:eastAsia="zh-CN"/>
        </w:rPr>
        <w:t>2）供应商在响应文件中提供的货物及/或服务对于单一来源采购文件“技术规格及要求”的指标要求的任何负偏离；</w:t>
      </w:r>
    </w:p>
    <w:p w14:paraId="5E6A65F2">
      <w:pPr>
        <w:snapToGrid w:val="0"/>
        <w:spacing w:line="360" w:lineRule="auto"/>
        <w:ind w:firstLine="420" w:firstLineChars="175"/>
        <w:rPr>
          <w:rFonts w:hint="eastAsia" w:ascii="宋体" w:hAnsi="宋体" w:eastAsia="宋体" w:cs="宋体"/>
          <w:lang w:eastAsia="zh-CN"/>
        </w:rPr>
      </w:pPr>
      <w:r>
        <w:rPr>
          <w:rFonts w:hint="eastAsia" w:ascii="宋体" w:hAnsi="宋体" w:eastAsia="宋体" w:cs="宋体"/>
          <w:lang w:eastAsia="zh-CN"/>
        </w:rPr>
        <w:t>3）供应商在响应文件中对于“主要条款及格式”的任何负偏离；</w:t>
      </w:r>
    </w:p>
    <w:p w14:paraId="1B7D5E66">
      <w:pPr>
        <w:snapToGrid w:val="0"/>
        <w:spacing w:line="360" w:lineRule="auto"/>
        <w:ind w:firstLine="420" w:firstLineChars="175"/>
        <w:rPr>
          <w:rFonts w:hint="eastAsia" w:ascii="宋体" w:hAnsi="宋体" w:eastAsia="宋体" w:cs="宋体"/>
          <w:lang w:eastAsia="zh-CN"/>
        </w:rPr>
      </w:pPr>
      <w:r>
        <w:rPr>
          <w:rFonts w:hint="eastAsia" w:ascii="宋体" w:hAnsi="宋体" w:eastAsia="宋体" w:cs="宋体"/>
          <w:lang w:eastAsia="zh-CN"/>
        </w:rPr>
        <w:t>4）其他资格证明文件不全、失效或不符合单一来源采购文件要求的；</w:t>
      </w:r>
    </w:p>
    <w:p w14:paraId="76CFEAEA">
      <w:pPr>
        <w:snapToGrid w:val="0"/>
        <w:spacing w:line="360" w:lineRule="auto"/>
        <w:ind w:firstLine="420" w:firstLineChars="175"/>
        <w:rPr>
          <w:rFonts w:hint="eastAsia" w:ascii="宋体" w:hAnsi="宋体" w:eastAsia="宋体" w:cs="宋体"/>
          <w:lang w:eastAsia="zh-CN"/>
        </w:rPr>
      </w:pPr>
      <w:r>
        <w:rPr>
          <w:rFonts w:hint="eastAsia" w:ascii="宋体" w:hAnsi="宋体" w:eastAsia="宋体" w:cs="宋体"/>
          <w:lang w:eastAsia="zh-CN"/>
        </w:rPr>
        <w:t>5）响应文件无法定代表人（单位负责人）签字，或签字人无法定代表人(单位负责人)有效授权的；</w:t>
      </w:r>
    </w:p>
    <w:p w14:paraId="3C7955E4">
      <w:pPr>
        <w:snapToGrid w:val="0"/>
        <w:spacing w:line="360" w:lineRule="auto"/>
        <w:ind w:firstLine="420" w:firstLineChars="175"/>
        <w:rPr>
          <w:rFonts w:hint="eastAsia" w:ascii="宋体" w:hAnsi="宋体" w:eastAsia="宋体" w:cs="宋体"/>
          <w:lang w:eastAsia="zh-CN"/>
        </w:rPr>
      </w:pPr>
      <w:r>
        <w:rPr>
          <w:rFonts w:hint="eastAsia" w:ascii="宋体" w:hAnsi="宋体" w:eastAsia="宋体" w:cs="宋体"/>
          <w:lang w:eastAsia="zh-CN"/>
        </w:rPr>
        <w:t>6）响应文件中提供虚假或失实资料的；</w:t>
      </w:r>
    </w:p>
    <w:p w14:paraId="0A5A4761">
      <w:pPr>
        <w:snapToGrid w:val="0"/>
        <w:spacing w:line="360" w:lineRule="auto"/>
        <w:ind w:firstLine="420" w:firstLineChars="175"/>
        <w:rPr>
          <w:rFonts w:hint="eastAsia" w:ascii="宋体" w:hAnsi="宋体" w:eastAsia="宋体" w:cs="宋体"/>
          <w:lang w:eastAsia="zh-CN"/>
        </w:rPr>
      </w:pPr>
      <w:r>
        <w:rPr>
          <w:rFonts w:hint="eastAsia" w:ascii="宋体" w:hAnsi="宋体" w:eastAsia="宋体" w:cs="宋体"/>
          <w:lang w:eastAsia="zh-CN"/>
        </w:rPr>
        <w:t>7）报价超过项目预算的。</w:t>
      </w:r>
    </w:p>
    <w:p w14:paraId="72ED848E">
      <w:pPr>
        <w:snapToGrid w:val="0"/>
        <w:spacing w:line="360" w:lineRule="auto"/>
        <w:ind w:firstLine="420" w:firstLineChars="175"/>
        <w:rPr>
          <w:rFonts w:hint="eastAsia" w:ascii="宋体" w:hAnsi="宋体" w:eastAsia="宋体" w:cs="宋体"/>
          <w:lang w:eastAsia="zh-CN"/>
        </w:rPr>
      </w:pPr>
      <w:r>
        <w:rPr>
          <w:rFonts w:hint="eastAsia" w:ascii="宋体" w:hAnsi="宋体" w:eastAsia="宋体" w:cs="宋体"/>
          <w:lang w:eastAsia="zh-CN"/>
        </w:rPr>
        <w:t>（二）采购人、采购代理机构将组织具有相关经验的专业人员与供应商协商合理的成交价格并保证采购项目质量。</w:t>
      </w:r>
    </w:p>
    <w:bookmarkEnd w:id="51"/>
    <w:p w14:paraId="2FFD8C84">
      <w:pPr>
        <w:pStyle w:val="3"/>
        <w:spacing w:before="0" w:after="0" w:line="360" w:lineRule="auto"/>
        <w:rPr>
          <w:rFonts w:hint="eastAsia" w:ascii="宋体" w:hAnsi="宋体" w:eastAsia="宋体" w:cs="宋体"/>
          <w:color w:val="000000" w:themeColor="text1"/>
          <w:lang w:eastAsia="zh-CN"/>
          <w14:textFill>
            <w14:solidFill>
              <w14:schemeClr w14:val="tx1"/>
            </w14:solidFill>
          </w14:textFill>
        </w:rPr>
      </w:pPr>
      <w:bookmarkStart w:id="65" w:name="_Toc31004"/>
      <w:bookmarkStart w:id="66" w:name="_Toc31575"/>
      <w:bookmarkStart w:id="67" w:name="_Toc31947"/>
      <w:bookmarkStart w:id="68" w:name="_Toc32325"/>
      <w:bookmarkStart w:id="69" w:name="_Toc16356"/>
      <w:bookmarkStart w:id="70" w:name="_Toc1144"/>
      <w:bookmarkStart w:id="71" w:name="_Toc751"/>
      <w:bookmarkStart w:id="72" w:name="_Toc21077"/>
      <w:bookmarkStart w:id="73" w:name="_Toc25255"/>
      <w:bookmarkStart w:id="74" w:name="_Toc13942"/>
      <w:bookmarkStart w:id="75" w:name="_Toc32541"/>
      <w:bookmarkStart w:id="76" w:name="_Toc20487"/>
      <w:bookmarkStart w:id="77" w:name="_Toc10723"/>
      <w:bookmarkStart w:id="78" w:name="_Toc3129"/>
      <w:bookmarkStart w:id="79" w:name="_Toc17578"/>
      <w:bookmarkStart w:id="80" w:name="_Toc24680"/>
      <w:r>
        <w:rPr>
          <w:rFonts w:hint="eastAsia" w:ascii="宋体" w:hAnsi="宋体" w:eastAsia="宋体" w:cs="宋体"/>
          <w:sz w:val="24"/>
          <w:szCs w:val="24"/>
          <w:lang w:eastAsia="zh-CN"/>
        </w:rPr>
        <w:t>四、</w:t>
      </w:r>
      <w:r>
        <w:rPr>
          <w:rFonts w:hint="eastAsia" w:ascii="宋体" w:hAnsi="宋体" w:eastAsia="宋体" w:cs="宋体"/>
          <w:sz w:val="24"/>
          <w:szCs w:val="24"/>
          <w:highlight w:val="none"/>
          <w:lang w:eastAsia="zh-CN"/>
        </w:rPr>
        <w:t>采购文件获取及报名要求</w:t>
      </w:r>
      <w:bookmarkEnd w:id="52"/>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45DDFF07">
      <w:pPr>
        <w:snapToGrid w:val="0"/>
        <w:spacing w:line="360" w:lineRule="auto"/>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lang w:eastAsia="zh-CN"/>
          <w14:textFill>
            <w14:solidFill>
              <w14:schemeClr w14:val="tx1"/>
            </w14:solidFill>
          </w14:textFill>
        </w:rPr>
        <w:t>时间、方式：采购邀请发出后，如确定参加采购，须填写协商</w:t>
      </w:r>
      <w:r>
        <w:rPr>
          <w:rFonts w:hint="eastAsia" w:ascii="宋体" w:hAnsi="宋体" w:eastAsia="宋体" w:cs="宋体"/>
          <w:color w:val="000000" w:themeColor="text1"/>
          <w:lang w:val="en-US" w:eastAsia="zh-CN"/>
          <w14:textFill>
            <w14:solidFill>
              <w14:schemeClr w14:val="tx1"/>
            </w14:solidFill>
          </w14:textFill>
        </w:rPr>
        <w:t>确认</w:t>
      </w:r>
      <w:r>
        <w:rPr>
          <w:rFonts w:hint="eastAsia" w:ascii="宋体" w:hAnsi="宋体" w:eastAsia="宋体" w:cs="宋体"/>
          <w:color w:val="000000" w:themeColor="text1"/>
          <w:lang w:eastAsia="zh-CN"/>
          <w14:textFill>
            <w14:solidFill>
              <w14:schemeClr w14:val="tx1"/>
            </w14:solidFill>
          </w14:textFill>
        </w:rPr>
        <w:t>函；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p>
    <w:p w14:paraId="7463F21B">
      <w:pPr>
        <w:snapToGrid w:val="0"/>
        <w:spacing w:line="360" w:lineRule="auto"/>
        <w:ind w:firstLine="48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lang w:eastAsia="zh-CN"/>
          <w14:textFill>
            <w14:solidFill>
              <w14:schemeClr w14:val="tx1"/>
            </w14:solidFill>
          </w14:textFill>
        </w:rPr>
        <w:t xml:space="preserve">地点：江苏政府采购网 </w:t>
      </w:r>
    </w:p>
    <w:p w14:paraId="45CD5C30">
      <w:pPr>
        <w:snapToGrid w:val="0"/>
        <w:spacing w:line="360" w:lineRule="auto"/>
        <w:ind w:firstLine="480"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lang w:eastAsia="zh-CN"/>
          <w14:textFill>
            <w14:solidFill>
              <w14:schemeClr w14:val="tx1"/>
            </w14:solidFill>
          </w14:textFill>
        </w:rPr>
        <w:t>售价：</w:t>
      </w:r>
      <w:r>
        <w:rPr>
          <w:rFonts w:hint="eastAsia" w:ascii="宋体" w:hAnsi="宋体" w:eastAsia="宋体" w:cs="宋体"/>
          <w:color w:val="000000" w:themeColor="text1"/>
          <w:lang w:val="en-US" w:eastAsia="zh-CN"/>
          <w14:textFill>
            <w14:solidFill>
              <w14:schemeClr w14:val="tx1"/>
            </w14:solidFill>
          </w14:textFill>
        </w:rPr>
        <w:t>0</w:t>
      </w:r>
      <w:r>
        <w:rPr>
          <w:rFonts w:hint="eastAsia" w:ascii="宋体" w:hAnsi="宋体" w:eastAsia="宋体" w:cs="宋体"/>
          <w:color w:val="000000" w:themeColor="text1"/>
          <w:lang w:eastAsia="zh-CN"/>
          <w14:textFill>
            <w14:solidFill>
              <w14:schemeClr w14:val="tx1"/>
            </w14:solidFill>
          </w14:textFill>
        </w:rPr>
        <w:t>元</w:t>
      </w:r>
      <w:r>
        <w:rPr>
          <w:rFonts w:hint="eastAsia" w:ascii="宋体" w:hAnsi="宋体" w:eastAsia="宋体" w:cs="宋体"/>
          <w:color w:val="000000" w:themeColor="text1"/>
          <w:lang w:val="en-US" w:eastAsia="zh-CN"/>
          <w14:textFill>
            <w14:solidFill>
              <w14:schemeClr w14:val="tx1"/>
            </w14:solidFill>
          </w14:textFill>
        </w:rPr>
        <w:t>(支付方式详见附件“采购文件登记表”）。</w:t>
      </w:r>
    </w:p>
    <w:p w14:paraId="36513C40">
      <w:pPr>
        <w:pStyle w:val="3"/>
        <w:spacing w:before="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五、其他补充事宜</w:t>
      </w:r>
    </w:p>
    <w:p w14:paraId="19EEA091">
      <w:pPr>
        <w:snapToGrid w:val="0"/>
        <w:spacing w:line="360" w:lineRule="auto"/>
        <w:ind w:firstLine="480"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1.招标代理编号：NJDCX-202609142229。</w:t>
      </w:r>
    </w:p>
    <w:p w14:paraId="483C9DD4">
      <w:pPr>
        <w:snapToGrid w:val="0"/>
        <w:spacing w:line="360" w:lineRule="auto"/>
        <w:ind w:firstLine="480"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16B49565">
      <w:pPr>
        <w:snapToGrid w:val="0"/>
        <w:spacing w:line="360" w:lineRule="auto"/>
        <w:ind w:firstLine="480"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3.有关本次采购的事项若存在变动或修改，请及时关注“江苏政府采购网”（www.ccgp-jiangsu.gov.cn）更正公告。</w:t>
      </w:r>
    </w:p>
    <w:p w14:paraId="2B3B3650">
      <w:pPr>
        <w:pStyle w:val="2"/>
        <w:pageBreakBefore/>
        <w:spacing w:before="0" w:after="0" w:line="360" w:lineRule="auto"/>
        <w:jc w:val="center"/>
        <w:rPr>
          <w:rFonts w:hint="eastAsia" w:ascii="宋体" w:hAnsi="宋体" w:eastAsia="宋体" w:cs="宋体"/>
          <w:lang w:eastAsia="zh-CN"/>
        </w:rPr>
      </w:pPr>
      <w:bookmarkStart w:id="81" w:name="_Toc2609"/>
      <w:bookmarkStart w:id="82" w:name="_Toc21669"/>
      <w:bookmarkStart w:id="83" w:name="_Toc15759"/>
      <w:bookmarkStart w:id="84" w:name="_Toc30643"/>
      <w:bookmarkStart w:id="85" w:name="_Toc16626"/>
      <w:bookmarkStart w:id="86" w:name="_Toc26174"/>
      <w:bookmarkStart w:id="87" w:name="_Toc5109"/>
      <w:bookmarkStart w:id="88" w:name="_Toc13772"/>
      <w:bookmarkStart w:id="89" w:name="_Toc1580"/>
      <w:bookmarkStart w:id="90" w:name="_Toc32357"/>
      <w:bookmarkStart w:id="91" w:name="_Toc25122"/>
      <w:bookmarkStart w:id="92" w:name="_Toc4398"/>
      <w:bookmarkStart w:id="93" w:name="_Toc20186"/>
      <w:bookmarkStart w:id="94" w:name="_Toc11075"/>
      <w:bookmarkStart w:id="95" w:name="_Toc29728"/>
      <w:bookmarkStart w:id="96" w:name="_Toc18471"/>
      <w:bookmarkStart w:id="97" w:name="_Toc16005"/>
      <w:bookmarkStart w:id="98" w:name="_Toc15669"/>
      <w:r>
        <w:rPr>
          <w:rFonts w:hint="eastAsia" w:ascii="宋体" w:hAnsi="宋体" w:eastAsia="宋体" w:cs="宋体"/>
          <w:lang w:eastAsia="zh-CN"/>
        </w:rPr>
        <w:t>第二章 采购须知</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656E1333">
      <w:pPr>
        <w:pStyle w:val="3"/>
        <w:spacing w:before="0" w:after="0" w:line="360" w:lineRule="auto"/>
        <w:rPr>
          <w:rFonts w:hint="eastAsia" w:ascii="宋体" w:hAnsi="宋体" w:eastAsia="宋体" w:cs="宋体"/>
          <w:lang w:eastAsia="zh-CN"/>
        </w:rPr>
      </w:pPr>
      <w:bookmarkStart w:id="99" w:name="_Toc27537"/>
      <w:bookmarkStart w:id="100" w:name="_Toc492"/>
      <w:bookmarkStart w:id="101" w:name="_Toc447724706"/>
      <w:bookmarkStart w:id="102" w:name="_Toc23110"/>
      <w:bookmarkStart w:id="103" w:name="_Toc22631"/>
      <w:bookmarkStart w:id="104" w:name="_Toc17365"/>
      <w:bookmarkStart w:id="105" w:name="_Toc21729"/>
      <w:bookmarkStart w:id="106" w:name="_Toc31439"/>
      <w:bookmarkStart w:id="107" w:name="_Toc8580"/>
      <w:bookmarkStart w:id="108" w:name="_Toc23272"/>
      <w:bookmarkStart w:id="109" w:name="_Toc27178"/>
      <w:bookmarkStart w:id="110" w:name="_Toc17796"/>
      <w:bookmarkStart w:id="111" w:name="_Toc497401657"/>
      <w:bookmarkStart w:id="112" w:name="_Toc25093"/>
      <w:bookmarkStart w:id="113" w:name="_Toc19525"/>
      <w:bookmarkStart w:id="114" w:name="_Toc1139"/>
      <w:bookmarkStart w:id="115" w:name="_Toc15573"/>
      <w:bookmarkStart w:id="116" w:name="_Toc17850"/>
      <w:bookmarkStart w:id="117" w:name="_Toc25522"/>
      <w:bookmarkStart w:id="118" w:name="_Toc5293"/>
      <w:r>
        <w:rPr>
          <w:rFonts w:hint="eastAsia" w:ascii="宋体" w:hAnsi="宋体" w:eastAsia="宋体" w:cs="宋体"/>
          <w:lang w:eastAsia="zh-CN"/>
        </w:rPr>
        <w:t>一、</w:t>
      </w:r>
      <w:bookmarkEnd w:id="99"/>
      <w:bookmarkEnd w:id="100"/>
      <w:bookmarkEnd w:id="101"/>
      <w:r>
        <w:rPr>
          <w:rFonts w:hint="eastAsia" w:ascii="宋体" w:hAnsi="宋体" w:eastAsia="宋体" w:cs="宋体"/>
          <w:lang w:eastAsia="zh-CN"/>
        </w:rPr>
        <w:t>总则</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4D336173">
      <w:pPr>
        <w:pStyle w:val="27"/>
        <w:ind w:firstLine="0" w:firstLineChars="0"/>
        <w:outlineLvl w:val="2"/>
        <w:rPr>
          <w:rFonts w:hint="eastAsia" w:ascii="宋体" w:hAnsi="宋体" w:eastAsia="宋体" w:cs="宋体"/>
          <w:b/>
          <w:bCs/>
          <w:lang w:eastAsia="zh-CN"/>
        </w:rPr>
      </w:pPr>
      <w:bookmarkStart w:id="119" w:name="_Toc458694821"/>
      <w:bookmarkStart w:id="120" w:name="_Toc16938520"/>
      <w:bookmarkStart w:id="121" w:name="_Toc513029204"/>
      <w:bookmarkStart w:id="122" w:name="_Toc20823276"/>
      <w:bookmarkStart w:id="123" w:name="_Toc31790"/>
      <w:bookmarkStart w:id="124" w:name="_Toc4148"/>
      <w:bookmarkStart w:id="125" w:name="_Toc497401658"/>
      <w:bookmarkStart w:id="126" w:name="_Toc447724707"/>
      <w:bookmarkStart w:id="127" w:name="_Toc7130"/>
      <w:bookmarkStart w:id="128" w:name="_Toc26849"/>
      <w:bookmarkStart w:id="129" w:name="_Toc6235"/>
      <w:bookmarkStart w:id="130" w:name="_Toc27276"/>
      <w:bookmarkStart w:id="131" w:name="_Toc24857"/>
      <w:bookmarkStart w:id="132" w:name="_Toc23861"/>
      <w:bookmarkStart w:id="133" w:name="_Toc13576"/>
      <w:bookmarkStart w:id="134" w:name="_Toc5487"/>
      <w:bookmarkStart w:id="135" w:name="_Toc31362"/>
      <w:bookmarkStart w:id="136" w:name="_Toc18235"/>
      <w:r>
        <w:rPr>
          <w:rFonts w:hint="eastAsia" w:ascii="宋体" w:hAnsi="宋体" w:eastAsia="宋体" w:cs="宋体"/>
          <w:b/>
          <w:bCs/>
          <w:lang w:eastAsia="zh-CN"/>
        </w:rPr>
        <w:t>1</w:t>
      </w:r>
      <w:bookmarkEnd w:id="119"/>
      <w:r>
        <w:rPr>
          <w:rFonts w:hint="eastAsia" w:ascii="宋体" w:hAnsi="宋体" w:eastAsia="宋体" w:cs="宋体"/>
          <w:b/>
          <w:bCs/>
          <w:lang w:eastAsia="zh-CN"/>
        </w:rPr>
        <w:t>、采购方式</w:t>
      </w:r>
      <w:bookmarkEnd w:id="120"/>
      <w:bookmarkEnd w:id="121"/>
      <w:bookmarkEnd w:id="122"/>
    </w:p>
    <w:p w14:paraId="3186438F">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1.1 本次政府采购活动采取单一来源采购方式。</w:t>
      </w:r>
    </w:p>
    <w:p w14:paraId="14103A49">
      <w:pPr>
        <w:pStyle w:val="27"/>
        <w:ind w:firstLine="0" w:firstLineChars="0"/>
        <w:outlineLvl w:val="2"/>
        <w:rPr>
          <w:rFonts w:hint="eastAsia" w:ascii="宋体" w:hAnsi="宋体" w:eastAsia="宋体" w:cs="宋体"/>
          <w:b/>
          <w:bCs/>
          <w:lang w:eastAsia="zh-CN"/>
        </w:rPr>
      </w:pPr>
      <w:bookmarkStart w:id="137" w:name="_Toc20823277"/>
      <w:bookmarkStart w:id="138" w:name="_Toc16938521"/>
      <w:bookmarkStart w:id="139" w:name="_Toc513029205"/>
      <w:r>
        <w:rPr>
          <w:rFonts w:hint="eastAsia" w:ascii="宋体" w:hAnsi="宋体" w:eastAsia="宋体" w:cs="宋体"/>
          <w:b/>
          <w:bCs/>
          <w:lang w:eastAsia="zh-CN"/>
        </w:rPr>
        <w:t>2、合格的</w:t>
      </w:r>
      <w:bookmarkEnd w:id="137"/>
      <w:bookmarkEnd w:id="138"/>
      <w:bookmarkEnd w:id="139"/>
      <w:r>
        <w:rPr>
          <w:rFonts w:hint="eastAsia" w:ascii="宋体" w:hAnsi="宋体" w:eastAsia="宋体" w:cs="宋体"/>
          <w:b/>
          <w:bCs/>
          <w:lang w:eastAsia="zh-CN"/>
        </w:rPr>
        <w:t>供应商</w:t>
      </w:r>
    </w:p>
    <w:p w14:paraId="260C0607">
      <w:pPr>
        <w:spacing w:line="440" w:lineRule="exact"/>
        <w:ind w:firstLine="480" w:firstLineChars="200"/>
        <w:rPr>
          <w:rFonts w:hint="eastAsia" w:ascii="宋体" w:hAnsi="宋体" w:eastAsia="宋体" w:cs="宋体"/>
          <w:lang w:eastAsia="zh-CN"/>
        </w:rPr>
      </w:pPr>
      <w:bookmarkStart w:id="140" w:name="_Toc20823278"/>
      <w:bookmarkStart w:id="141" w:name="_Toc16938522"/>
      <w:bookmarkStart w:id="142" w:name="_Toc513029206"/>
      <w:r>
        <w:rPr>
          <w:rFonts w:hint="eastAsia" w:ascii="宋体" w:hAnsi="宋体" w:eastAsia="宋体" w:cs="宋体"/>
          <w:lang w:eastAsia="zh-CN"/>
        </w:rPr>
        <w:t>2.1 满足采购文件中合格单一来源供应商资格要求的规定。</w:t>
      </w:r>
    </w:p>
    <w:p w14:paraId="0710EE08">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2.2 满足本采购文件实质性要求的规定。</w:t>
      </w:r>
    </w:p>
    <w:p w14:paraId="13C4A248">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3、适用法律</w:t>
      </w:r>
      <w:bookmarkEnd w:id="140"/>
      <w:bookmarkEnd w:id="141"/>
      <w:bookmarkEnd w:id="142"/>
    </w:p>
    <w:p w14:paraId="68146CE0">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3.1 本次采购及由此产生的合同受中华人民共和国有关的法律法规制约和保护。</w:t>
      </w:r>
    </w:p>
    <w:p w14:paraId="1A9A0ED8">
      <w:pPr>
        <w:pStyle w:val="27"/>
        <w:ind w:firstLine="0" w:firstLineChars="0"/>
        <w:outlineLvl w:val="2"/>
        <w:rPr>
          <w:rFonts w:hint="eastAsia" w:ascii="宋体" w:hAnsi="宋体" w:eastAsia="宋体" w:cs="宋体"/>
          <w:b/>
          <w:bCs/>
          <w:lang w:eastAsia="zh-CN"/>
        </w:rPr>
      </w:pPr>
      <w:bookmarkStart w:id="143" w:name="_Toc16938523"/>
      <w:bookmarkStart w:id="144" w:name="_Toc462564067"/>
      <w:bookmarkStart w:id="145" w:name="_Toc513029207"/>
      <w:bookmarkStart w:id="146" w:name="_Toc20823279"/>
      <w:r>
        <w:rPr>
          <w:rFonts w:hint="eastAsia" w:ascii="宋体" w:hAnsi="宋体" w:eastAsia="宋体" w:cs="宋体"/>
          <w:b/>
          <w:bCs/>
          <w:lang w:eastAsia="zh-CN"/>
        </w:rPr>
        <w:t>4、相关费用</w:t>
      </w:r>
      <w:bookmarkEnd w:id="143"/>
      <w:bookmarkEnd w:id="144"/>
      <w:bookmarkEnd w:id="145"/>
      <w:bookmarkEnd w:id="146"/>
    </w:p>
    <w:p w14:paraId="59ADEA75">
      <w:pPr>
        <w:spacing w:line="440" w:lineRule="exact"/>
        <w:ind w:firstLine="480" w:firstLineChars="200"/>
        <w:rPr>
          <w:rFonts w:hint="eastAsia" w:ascii="宋体" w:hAnsi="宋体" w:eastAsia="宋体" w:cs="宋体"/>
          <w:color w:val="auto"/>
          <w:lang w:eastAsia="zh-CN"/>
        </w:rPr>
      </w:pPr>
      <w:r>
        <w:rPr>
          <w:rFonts w:hint="eastAsia" w:ascii="宋体" w:hAnsi="宋体" w:eastAsia="宋体" w:cs="宋体"/>
          <w:lang w:val="en-US" w:eastAsia="zh-CN"/>
        </w:rPr>
        <w:t>4</w:t>
      </w:r>
      <w:r>
        <w:rPr>
          <w:rFonts w:hint="eastAsia" w:ascii="宋体" w:hAnsi="宋体" w:eastAsia="宋体" w:cs="宋体"/>
          <w:lang w:eastAsia="zh-CN"/>
        </w:rPr>
        <w:t>.1</w:t>
      </w:r>
      <w:r>
        <w:rPr>
          <w:rFonts w:hint="eastAsia" w:ascii="宋体" w:hAnsi="宋体" w:eastAsia="宋体" w:cs="宋体"/>
          <w:color w:val="auto"/>
          <w:lang w:eastAsia="zh-CN"/>
        </w:rPr>
        <w:t>无论采购活动过程中的做法和结果如何，供应商自行承担与参加采购活动有关的全部费用。</w:t>
      </w:r>
    </w:p>
    <w:p w14:paraId="5F376586">
      <w:pPr>
        <w:spacing w:line="440" w:lineRule="exact"/>
        <w:ind w:firstLine="480" w:firstLineChars="200"/>
        <w:rPr>
          <w:rFonts w:hint="eastAsia" w:ascii="宋体" w:hAnsi="宋体" w:eastAsia="宋体" w:cs="宋体"/>
          <w:color w:val="auto"/>
          <w:lang w:eastAsia="zh-CN"/>
        </w:rPr>
      </w:pPr>
      <w:r>
        <w:rPr>
          <w:rFonts w:hint="eastAsia" w:ascii="宋体" w:hAnsi="宋体" w:eastAsia="宋体" w:cs="宋体"/>
          <w:lang w:val="en-US" w:eastAsia="zh-CN"/>
        </w:rPr>
        <w:t>4</w:t>
      </w:r>
      <w:r>
        <w:rPr>
          <w:rFonts w:hint="eastAsia" w:ascii="宋体" w:hAnsi="宋体" w:eastAsia="宋体" w:cs="宋体"/>
          <w:lang w:eastAsia="zh-CN"/>
        </w:rPr>
        <w:t>.2本次采购代理服务费的收取按照苏招协（[2022]002号）《江苏省招标代理服务收费的指导意见》规定的费率计算，由成交人领取《成交通知书》时向招标代理机构缴纳。</w:t>
      </w:r>
      <w:r>
        <w:rPr>
          <w:rFonts w:hint="eastAsia" w:ascii="宋体" w:hAnsi="宋体" w:eastAsia="宋体" w:cs="宋体"/>
          <w:color w:val="auto"/>
          <w:lang w:eastAsia="zh-CN"/>
        </w:rPr>
        <w:t>根据财库〔2018〕2号《政府采购代理机构管理暂行办法》第十五条之规定，成交人凭《成交通知书》与采购方签订合同。</w:t>
      </w:r>
    </w:p>
    <w:p w14:paraId="058C524A">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5、采购文件的约束力</w:t>
      </w:r>
    </w:p>
    <w:p w14:paraId="39AF3BCE">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2B4A38FD">
      <w:pPr>
        <w:pStyle w:val="3"/>
        <w:spacing w:before="0" w:after="0" w:line="360" w:lineRule="auto"/>
        <w:rPr>
          <w:rFonts w:hint="eastAsia" w:ascii="宋体" w:hAnsi="宋体" w:eastAsia="宋体" w:cs="宋体"/>
          <w:lang w:eastAsia="zh-CN"/>
        </w:rPr>
      </w:pPr>
      <w:bookmarkStart w:id="147" w:name="_Toc513029209"/>
      <w:bookmarkStart w:id="148" w:name="_Toc20823281"/>
      <w:bookmarkStart w:id="149" w:name="_Toc16938525"/>
      <w:bookmarkStart w:id="150" w:name="_Toc120614215"/>
      <w:r>
        <w:rPr>
          <w:rFonts w:hint="eastAsia" w:ascii="宋体" w:hAnsi="宋体" w:eastAsia="宋体" w:cs="宋体"/>
          <w:lang w:eastAsia="zh-CN"/>
        </w:rPr>
        <w:t>二、</w:t>
      </w:r>
      <w:bookmarkEnd w:id="147"/>
      <w:bookmarkEnd w:id="148"/>
      <w:bookmarkEnd w:id="149"/>
      <w:bookmarkEnd w:id="150"/>
      <w:r>
        <w:rPr>
          <w:rFonts w:hint="eastAsia" w:ascii="宋体" w:hAnsi="宋体" w:eastAsia="宋体" w:cs="宋体"/>
          <w:lang w:eastAsia="zh-CN"/>
        </w:rPr>
        <w:t>采购文件</w:t>
      </w:r>
    </w:p>
    <w:p w14:paraId="4A70EDB2">
      <w:pPr>
        <w:pStyle w:val="27"/>
        <w:ind w:firstLine="0" w:firstLineChars="0"/>
        <w:outlineLvl w:val="2"/>
        <w:rPr>
          <w:rFonts w:hint="eastAsia" w:ascii="宋体" w:hAnsi="宋体" w:eastAsia="宋体" w:cs="宋体"/>
          <w:b/>
          <w:bCs/>
          <w:lang w:eastAsia="zh-CN"/>
        </w:rPr>
      </w:pPr>
      <w:bookmarkStart w:id="151" w:name="_Toc20823282"/>
      <w:bookmarkStart w:id="152" w:name="_Toc16938526"/>
      <w:bookmarkStart w:id="153" w:name="_Toc513029210"/>
      <w:r>
        <w:rPr>
          <w:rFonts w:hint="eastAsia" w:ascii="宋体" w:hAnsi="宋体" w:eastAsia="宋体" w:cs="宋体"/>
          <w:b/>
          <w:bCs/>
          <w:lang w:eastAsia="zh-CN"/>
        </w:rPr>
        <w:t>6、采购文件构成</w:t>
      </w:r>
      <w:bookmarkEnd w:id="151"/>
      <w:bookmarkEnd w:id="152"/>
      <w:bookmarkEnd w:id="153"/>
    </w:p>
    <w:p w14:paraId="13EF8FD9">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6.1采购文件由以下部分组成：</w:t>
      </w:r>
    </w:p>
    <w:p w14:paraId="276AC4C5">
      <w:pPr>
        <w:spacing w:line="440" w:lineRule="exact"/>
        <w:ind w:firstLine="480" w:firstLineChars="200"/>
        <w:rPr>
          <w:rFonts w:hint="eastAsia" w:ascii="宋体" w:hAnsi="宋体" w:eastAsia="宋体" w:cs="宋体"/>
          <w:lang w:val="en-US" w:eastAsia="zh-CN"/>
        </w:rPr>
      </w:pPr>
      <w:r>
        <w:rPr>
          <w:rFonts w:hint="eastAsia" w:ascii="宋体" w:hAnsi="宋体" w:eastAsia="宋体" w:cs="宋体"/>
          <w:lang w:eastAsia="zh-CN"/>
        </w:rPr>
        <w:t>（1）单一来源采购邀请</w:t>
      </w:r>
      <w:r>
        <w:rPr>
          <w:rFonts w:hint="eastAsia" w:ascii="宋体" w:hAnsi="宋体" w:eastAsia="宋体" w:cs="宋体"/>
          <w:lang w:val="en-US" w:eastAsia="zh-CN"/>
        </w:rPr>
        <w:t>书</w:t>
      </w:r>
    </w:p>
    <w:p w14:paraId="29AB61F0">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采购</w:t>
      </w:r>
      <w:r>
        <w:rPr>
          <w:rFonts w:hint="eastAsia" w:ascii="宋体" w:hAnsi="宋体" w:eastAsia="宋体" w:cs="宋体"/>
          <w:lang w:eastAsia="zh-CN"/>
        </w:rPr>
        <w:t>须知</w:t>
      </w:r>
    </w:p>
    <w:p w14:paraId="2BC88432">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（3）合同文本</w:t>
      </w:r>
    </w:p>
    <w:p w14:paraId="6229F4B6">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项目</w:t>
      </w:r>
      <w:r>
        <w:rPr>
          <w:rFonts w:hint="eastAsia" w:ascii="宋体" w:hAnsi="宋体" w:eastAsia="宋体" w:cs="宋体"/>
          <w:lang w:eastAsia="zh-CN"/>
        </w:rPr>
        <w:t>需求</w:t>
      </w:r>
    </w:p>
    <w:p w14:paraId="30F111EF">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5</w:t>
      </w:r>
      <w:r>
        <w:rPr>
          <w:rFonts w:hint="eastAsia" w:ascii="宋体" w:hAnsi="宋体" w:eastAsia="宋体" w:cs="宋体"/>
          <w:lang w:eastAsia="zh-CN"/>
        </w:rPr>
        <w:t>）响应文件格式</w:t>
      </w:r>
    </w:p>
    <w:p w14:paraId="1B12508D">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请仔细检查采购文件是否齐全，如有缺漏请立即与采购</w:t>
      </w:r>
      <w:r>
        <w:rPr>
          <w:rFonts w:hint="eastAsia" w:ascii="宋体" w:hAnsi="宋体" w:eastAsia="宋体" w:cs="宋体"/>
          <w:lang w:val="en-US" w:eastAsia="zh-CN"/>
        </w:rPr>
        <w:t>代理机构</w:t>
      </w:r>
      <w:r>
        <w:rPr>
          <w:rFonts w:hint="eastAsia" w:ascii="宋体" w:hAnsi="宋体" w:eastAsia="宋体" w:cs="宋体"/>
          <w:lang w:eastAsia="zh-CN"/>
        </w:rPr>
        <w:t>联系解决。</w:t>
      </w:r>
    </w:p>
    <w:p w14:paraId="0510C5E9">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6.2 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p>
    <w:p w14:paraId="1314B3EA">
      <w:pPr>
        <w:pStyle w:val="27"/>
        <w:ind w:firstLine="0" w:firstLineChars="0"/>
        <w:outlineLvl w:val="2"/>
        <w:rPr>
          <w:rFonts w:hint="eastAsia" w:ascii="宋体" w:hAnsi="宋体" w:eastAsia="宋体" w:cs="宋体"/>
          <w:b/>
          <w:bCs/>
          <w:lang w:eastAsia="zh-CN"/>
        </w:rPr>
      </w:pPr>
      <w:bookmarkStart w:id="154" w:name="_Toc20823285"/>
      <w:bookmarkStart w:id="155" w:name="_Toc462564072"/>
      <w:bookmarkStart w:id="156" w:name="_Toc120614216"/>
      <w:bookmarkStart w:id="157" w:name="_Toc513029213"/>
      <w:bookmarkStart w:id="158" w:name="_Toc16938529"/>
      <w:r>
        <w:rPr>
          <w:rFonts w:hint="eastAsia" w:ascii="宋体" w:hAnsi="宋体" w:eastAsia="宋体" w:cs="宋体"/>
          <w:b/>
          <w:bCs/>
          <w:lang w:eastAsia="zh-CN"/>
        </w:rPr>
        <w:t>7、采购文件的修改</w:t>
      </w:r>
    </w:p>
    <w:p w14:paraId="29DAB180">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7.1 在截止时间前，采购</w:t>
      </w:r>
      <w:r>
        <w:rPr>
          <w:rFonts w:hint="eastAsia" w:ascii="宋体" w:hAnsi="宋体" w:eastAsia="宋体" w:cs="宋体"/>
          <w:lang w:val="en-US" w:eastAsia="zh-CN"/>
        </w:rPr>
        <w:t>代理机构</w:t>
      </w:r>
      <w:r>
        <w:rPr>
          <w:rFonts w:hint="eastAsia" w:ascii="宋体" w:hAnsi="宋体" w:eastAsia="宋体" w:cs="宋体"/>
          <w:lang w:eastAsia="zh-CN"/>
        </w:rPr>
        <w:t>可以以补充文件的方式对采购文件进行修改。</w:t>
      </w:r>
    </w:p>
    <w:p w14:paraId="367229FE">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7.2采购</w:t>
      </w:r>
      <w:r>
        <w:rPr>
          <w:rFonts w:hint="eastAsia" w:ascii="宋体" w:hAnsi="宋体" w:eastAsia="宋体" w:cs="宋体"/>
          <w:lang w:val="en-US" w:eastAsia="zh-CN"/>
        </w:rPr>
        <w:t>代理机构</w:t>
      </w:r>
      <w:r>
        <w:rPr>
          <w:rFonts w:hint="eastAsia" w:ascii="宋体" w:hAnsi="宋体" w:eastAsia="宋体" w:cs="宋体"/>
          <w:lang w:eastAsia="zh-CN"/>
        </w:rPr>
        <w:t>有权按照政府采购的有关要求推迟截止时间。</w:t>
      </w:r>
    </w:p>
    <w:p w14:paraId="2F61C284">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7.3采购文件的补充文件将作为采购文件的组成部分，并对供应商具有约束力。</w:t>
      </w:r>
    </w:p>
    <w:p w14:paraId="773FA86B">
      <w:pPr>
        <w:pStyle w:val="3"/>
        <w:spacing w:before="0" w:after="0" w:line="360" w:lineRule="auto"/>
        <w:rPr>
          <w:rFonts w:hint="eastAsia" w:ascii="宋体" w:hAnsi="宋体" w:eastAsia="宋体" w:cs="宋体"/>
          <w:lang w:eastAsia="zh-CN"/>
        </w:rPr>
      </w:pPr>
      <w:r>
        <w:rPr>
          <w:rFonts w:hint="eastAsia" w:ascii="宋体" w:hAnsi="宋体" w:eastAsia="宋体" w:cs="宋体"/>
          <w:lang w:eastAsia="zh-CN"/>
        </w:rPr>
        <w:t>三、响应文件的编制</w:t>
      </w:r>
      <w:bookmarkEnd w:id="154"/>
      <w:bookmarkEnd w:id="155"/>
      <w:bookmarkEnd w:id="156"/>
      <w:bookmarkEnd w:id="157"/>
      <w:bookmarkEnd w:id="158"/>
    </w:p>
    <w:p w14:paraId="50E16AD8">
      <w:pPr>
        <w:pStyle w:val="27"/>
        <w:ind w:firstLine="0" w:firstLineChars="0"/>
        <w:outlineLvl w:val="2"/>
        <w:rPr>
          <w:rFonts w:hint="eastAsia" w:ascii="宋体" w:hAnsi="宋体" w:eastAsia="宋体" w:cs="宋体"/>
          <w:b/>
          <w:bCs/>
          <w:lang w:eastAsia="zh-CN"/>
        </w:rPr>
      </w:pPr>
      <w:bookmarkStart w:id="159" w:name="_Toc20823286"/>
      <w:bookmarkStart w:id="160" w:name="_Toc513029214"/>
      <w:bookmarkStart w:id="161" w:name="_Toc462564073"/>
      <w:bookmarkStart w:id="162" w:name="_Toc16938530"/>
      <w:r>
        <w:rPr>
          <w:rFonts w:hint="eastAsia" w:ascii="宋体" w:hAnsi="宋体" w:eastAsia="宋体" w:cs="宋体"/>
          <w:b/>
          <w:bCs/>
          <w:lang w:eastAsia="zh-CN"/>
        </w:rPr>
        <w:t>8、响应文件的语言及度量衡单位</w:t>
      </w:r>
      <w:bookmarkEnd w:id="159"/>
      <w:bookmarkEnd w:id="160"/>
      <w:bookmarkEnd w:id="161"/>
      <w:bookmarkEnd w:id="162"/>
    </w:p>
    <w:p w14:paraId="735FCD30">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8.1供应商提交的响应文件以及供应商与</w:t>
      </w:r>
      <w:r>
        <w:rPr>
          <w:rFonts w:hint="eastAsia" w:ascii="宋体" w:hAnsi="宋体" w:eastAsia="宋体" w:cs="宋体"/>
          <w:lang w:val="en-US" w:eastAsia="zh-CN"/>
        </w:rPr>
        <w:t>采购代理机构</w:t>
      </w:r>
      <w:r>
        <w:rPr>
          <w:rFonts w:hint="eastAsia" w:ascii="宋体" w:hAnsi="宋体" w:eastAsia="宋体" w:cs="宋体"/>
          <w:lang w:eastAsia="zh-CN"/>
        </w:rPr>
        <w:t>就有关采购活动的所有来往通知、函件和文件均应使用</w:t>
      </w:r>
      <w:r>
        <w:rPr>
          <w:rFonts w:hint="eastAsia" w:ascii="宋体" w:hAnsi="宋体" w:eastAsia="宋体" w:cs="宋体"/>
          <w:b/>
          <w:bCs/>
          <w:lang w:eastAsia="zh-CN"/>
        </w:rPr>
        <w:t>简体中文</w:t>
      </w:r>
      <w:r>
        <w:rPr>
          <w:rFonts w:hint="eastAsia" w:ascii="宋体" w:hAnsi="宋体" w:eastAsia="宋体" w:cs="宋体"/>
          <w:lang w:eastAsia="zh-CN"/>
        </w:rPr>
        <w:t>。</w:t>
      </w:r>
    </w:p>
    <w:p w14:paraId="585BEC55">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8.2 除技术性能另有规定外，响应文件所使用的度量衡单位，均须采用国家法定计量单位。</w:t>
      </w:r>
    </w:p>
    <w:p w14:paraId="2608E269">
      <w:pPr>
        <w:pStyle w:val="27"/>
        <w:ind w:firstLine="0" w:firstLineChars="0"/>
        <w:outlineLvl w:val="2"/>
        <w:rPr>
          <w:rFonts w:hint="eastAsia" w:ascii="宋体" w:hAnsi="宋体" w:eastAsia="宋体" w:cs="宋体"/>
          <w:b/>
          <w:bCs/>
          <w:lang w:eastAsia="zh-CN"/>
        </w:rPr>
      </w:pPr>
      <w:bookmarkStart w:id="163" w:name="_Toc513029215"/>
      <w:bookmarkStart w:id="164" w:name="_Toc20823287"/>
      <w:bookmarkStart w:id="165" w:name="_Toc16938531"/>
      <w:bookmarkStart w:id="166" w:name="_Toc462564074"/>
      <w:r>
        <w:rPr>
          <w:rFonts w:hint="eastAsia" w:ascii="宋体" w:hAnsi="宋体" w:eastAsia="宋体" w:cs="宋体"/>
          <w:b/>
          <w:bCs/>
          <w:lang w:eastAsia="zh-CN"/>
        </w:rPr>
        <w:t>9、响应文件构成</w:t>
      </w:r>
      <w:bookmarkEnd w:id="163"/>
      <w:bookmarkEnd w:id="164"/>
      <w:bookmarkEnd w:id="165"/>
      <w:bookmarkEnd w:id="166"/>
    </w:p>
    <w:p w14:paraId="503E1A21">
      <w:pPr>
        <w:spacing w:line="440" w:lineRule="exact"/>
        <w:ind w:firstLine="480" w:firstLineChars="200"/>
        <w:rPr>
          <w:rFonts w:hint="eastAsia" w:ascii="宋体" w:hAnsi="宋体" w:eastAsia="宋体" w:cs="宋体"/>
          <w:lang w:eastAsia="zh-CN"/>
        </w:rPr>
      </w:pPr>
      <w:bookmarkStart w:id="167" w:name="_Hlt26668975"/>
      <w:bookmarkEnd w:id="167"/>
      <w:bookmarkStart w:id="168" w:name="_Hlt26670360"/>
      <w:bookmarkEnd w:id="168"/>
      <w:bookmarkStart w:id="169" w:name="_Hlt26954838"/>
      <w:bookmarkEnd w:id="169"/>
      <w:bookmarkStart w:id="170" w:name="_Toc513029216"/>
      <w:bookmarkStart w:id="171" w:name="_Toc14577354"/>
      <w:bookmarkStart w:id="172" w:name="_Toc49090508"/>
      <w:bookmarkStart w:id="173" w:name="_Toc14577357"/>
      <w:bookmarkStart w:id="174" w:name="_Toc49090507"/>
      <w:bookmarkStart w:id="175" w:name="_Toc14577355"/>
      <w:bookmarkStart w:id="176" w:name="_Toc513029219"/>
      <w:bookmarkStart w:id="177" w:name="_Toc49090509"/>
      <w:r>
        <w:rPr>
          <w:rFonts w:hint="eastAsia" w:ascii="宋体" w:hAnsi="宋体" w:eastAsia="宋体" w:cs="宋体"/>
          <w:lang w:eastAsia="zh-CN"/>
        </w:rPr>
        <w:t>9.1 供应商编写的响应文件应包括资格证明文件、实质性要求响应及偏离表、分项报价表、技术要求响应及偏离表、商务要求响应及偏离表、其他证明文件、</w:t>
      </w:r>
      <w:r>
        <w:rPr>
          <w:rFonts w:hint="eastAsia" w:ascii="宋体" w:hAnsi="宋体" w:eastAsia="宋体" w:cs="宋体"/>
          <w:lang w:val="en-US" w:eastAsia="zh-CN"/>
        </w:rPr>
        <w:t>协商函、</w:t>
      </w:r>
      <w:r>
        <w:rPr>
          <w:rFonts w:hint="eastAsia" w:ascii="宋体" w:hAnsi="宋体" w:eastAsia="宋体" w:cs="宋体"/>
          <w:lang w:eastAsia="zh-CN"/>
        </w:rPr>
        <w:t>单一来源</w:t>
      </w:r>
      <w:r>
        <w:rPr>
          <w:rFonts w:hint="eastAsia" w:ascii="宋体" w:hAnsi="宋体" w:eastAsia="宋体" w:cs="宋体"/>
          <w:lang w:val="en-US" w:eastAsia="zh-CN"/>
        </w:rPr>
        <w:t>协商</w:t>
      </w:r>
      <w:r>
        <w:rPr>
          <w:rFonts w:hint="eastAsia" w:ascii="宋体" w:hAnsi="宋体" w:eastAsia="宋体" w:cs="宋体"/>
          <w:lang w:eastAsia="zh-CN"/>
        </w:rPr>
        <w:t>函等部分。</w:t>
      </w:r>
    </w:p>
    <w:bookmarkEnd w:id="170"/>
    <w:bookmarkEnd w:id="171"/>
    <w:bookmarkEnd w:id="172"/>
    <w:bookmarkEnd w:id="173"/>
    <w:bookmarkEnd w:id="174"/>
    <w:bookmarkEnd w:id="175"/>
    <w:bookmarkEnd w:id="176"/>
    <w:bookmarkEnd w:id="177"/>
    <w:p w14:paraId="3C00172F">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10、证明供应商及响应标的符合采购文件规定的文件</w:t>
      </w:r>
    </w:p>
    <w:p w14:paraId="26E8415B">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10.1 供应商应按照法律、法规、规章和规范性文件以及采购文件要求提交证明文件，证明其及响应标的符合采购文件规定。</w:t>
      </w:r>
    </w:p>
    <w:p w14:paraId="79D7399E">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10.2采购文件对证明文件无明确形式要求的，证明文件可以以文字资料、图纸和数据等形式提交。</w:t>
      </w:r>
    </w:p>
    <w:p w14:paraId="63DB11B5">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11、分项报价表</w:t>
      </w:r>
    </w:p>
    <w:p w14:paraId="7EEAD3D5">
      <w:pPr>
        <w:spacing w:line="440" w:lineRule="exact"/>
        <w:ind w:firstLine="480" w:firstLineChars="200"/>
        <w:rPr>
          <w:rFonts w:hint="eastAsia" w:ascii="宋体" w:hAnsi="宋体" w:eastAsia="宋体" w:cs="宋体"/>
          <w:lang w:eastAsia="zh-CN"/>
        </w:rPr>
      </w:pPr>
      <w:bookmarkStart w:id="178" w:name="_Hlt26954731"/>
      <w:bookmarkEnd w:id="178"/>
      <w:bookmarkStart w:id="179" w:name="_Hlt26954846"/>
      <w:bookmarkEnd w:id="179"/>
      <w:bookmarkStart w:id="180" w:name="_Hlt26670482"/>
      <w:bookmarkEnd w:id="180"/>
      <w:bookmarkStart w:id="181" w:name="_Hlt26954848"/>
      <w:bookmarkEnd w:id="181"/>
      <w:bookmarkStart w:id="182" w:name="_Hlt26670486"/>
      <w:bookmarkEnd w:id="182"/>
      <w:r>
        <w:rPr>
          <w:rFonts w:hint="eastAsia" w:ascii="宋体" w:hAnsi="宋体" w:eastAsia="宋体" w:cs="宋体"/>
          <w:lang w:eastAsia="zh-CN"/>
        </w:rPr>
        <w:t>11.1 供应商应按照采购文件规定格式填报分项报价表。</w:t>
      </w:r>
    </w:p>
    <w:p w14:paraId="5A63AE87">
      <w:pPr>
        <w:spacing w:line="440" w:lineRule="exact"/>
        <w:ind w:firstLine="480" w:firstLineChars="200"/>
        <w:rPr>
          <w:rFonts w:hint="eastAsia" w:ascii="宋体" w:hAnsi="宋体" w:eastAsia="宋体" w:cs="宋体"/>
          <w:lang w:eastAsia="zh-CN"/>
        </w:rPr>
      </w:pPr>
      <w:r>
        <w:rPr>
          <w:rFonts w:hint="eastAsia" w:ascii="宋体" w:hAnsi="宋体" w:eastAsia="宋体" w:cs="宋体"/>
          <w:lang w:eastAsia="zh-CN"/>
        </w:rPr>
        <w:t>11.2报价货币。响应文件中的单价和总价无特殊规定的采用人民币报价，以元为单位标注。采购文件中另有规定的按规定执行。</w:t>
      </w:r>
    </w:p>
    <w:p w14:paraId="22EC1DFF">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12、技术要求响应及偏离表、商务要求响应及偏离表</w:t>
      </w:r>
    </w:p>
    <w:p w14:paraId="0B821105">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12.1供应商需对采购文件中的技术要求与商务要求逐项作出响应或偏离，并说明原因。</w:t>
      </w:r>
    </w:p>
    <w:p w14:paraId="49099A58">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12.2供应商需按照采购文件要求，在响应文件中提供与技术要求和商务要求相关的证明材料。</w:t>
      </w:r>
    </w:p>
    <w:p w14:paraId="75210AF9">
      <w:pPr>
        <w:pStyle w:val="27"/>
        <w:ind w:firstLine="0" w:firstLineChars="0"/>
        <w:outlineLvl w:val="2"/>
        <w:rPr>
          <w:rFonts w:hint="eastAsia" w:ascii="宋体" w:hAnsi="宋体" w:eastAsia="宋体" w:cs="宋体"/>
          <w:b/>
          <w:bCs/>
          <w:lang w:eastAsia="zh-CN"/>
        </w:rPr>
      </w:pPr>
      <w:bookmarkStart w:id="183" w:name="_Toc49090510"/>
      <w:bookmarkStart w:id="184" w:name="_Toc14577359"/>
      <w:r>
        <w:rPr>
          <w:rFonts w:hint="eastAsia" w:ascii="宋体" w:hAnsi="宋体" w:eastAsia="宋体" w:cs="宋体"/>
          <w:b/>
          <w:bCs/>
          <w:lang w:eastAsia="zh-CN"/>
        </w:rPr>
        <w:t>13、服务承诺、培训计划、人员安排及其他</w:t>
      </w:r>
    </w:p>
    <w:p w14:paraId="0CE3E733">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13.1 供应商需根据采购文件要求提供有关售后服务的管理制度，售后服务机构的分布情况，售后服务人员的数量、素质、技术水平及售后服务的反应能力等。</w:t>
      </w:r>
    </w:p>
    <w:p w14:paraId="0EF1552F">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13.2 供应商需根据采购文件要求提供培训计划。</w:t>
      </w:r>
    </w:p>
    <w:p w14:paraId="63FD53BF">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13.3 供应商需根据采购文件要求提供所投标的的主要组成部分、功能设计、实现思路及关键技术等。</w:t>
      </w:r>
    </w:p>
    <w:bookmarkEnd w:id="183"/>
    <w:bookmarkEnd w:id="184"/>
    <w:p w14:paraId="101EE977">
      <w:pPr>
        <w:pStyle w:val="27"/>
        <w:ind w:firstLine="0" w:firstLineChars="0"/>
        <w:outlineLvl w:val="2"/>
        <w:rPr>
          <w:rFonts w:hint="eastAsia" w:ascii="宋体" w:hAnsi="宋体" w:eastAsia="宋体" w:cs="宋体"/>
          <w:b/>
          <w:bCs/>
          <w:lang w:eastAsia="zh-CN"/>
        </w:rPr>
      </w:pPr>
      <w:bookmarkStart w:id="185" w:name="_Toc49090511"/>
      <w:bookmarkStart w:id="186" w:name="_Toc14577360"/>
      <w:r>
        <w:rPr>
          <w:rFonts w:hint="eastAsia" w:ascii="宋体" w:hAnsi="宋体" w:eastAsia="宋体" w:cs="宋体"/>
          <w:b/>
          <w:bCs/>
          <w:lang w:eastAsia="zh-CN"/>
        </w:rPr>
        <w:t>14、单一来源</w:t>
      </w:r>
      <w:r>
        <w:rPr>
          <w:rFonts w:hint="eastAsia" w:ascii="宋体" w:hAnsi="宋体" w:eastAsia="宋体" w:cs="宋体"/>
          <w:b/>
          <w:bCs/>
          <w:lang w:val="en-US" w:eastAsia="zh-CN"/>
        </w:rPr>
        <w:t>协商</w:t>
      </w:r>
      <w:r>
        <w:rPr>
          <w:rFonts w:hint="eastAsia" w:ascii="宋体" w:hAnsi="宋体" w:eastAsia="宋体" w:cs="宋体"/>
          <w:b/>
          <w:bCs/>
          <w:lang w:eastAsia="zh-CN"/>
        </w:rPr>
        <w:t>函</w:t>
      </w:r>
    </w:p>
    <w:p w14:paraId="5287C15C">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14.1 供应商应按照采购文件中提供的格式完整、正确填写单一来源</w:t>
      </w:r>
      <w:r>
        <w:rPr>
          <w:rFonts w:hint="eastAsia" w:ascii="宋体" w:hAnsi="宋体" w:eastAsia="宋体" w:cs="宋体"/>
          <w:lang w:val="en-US" w:eastAsia="zh-CN"/>
        </w:rPr>
        <w:t>协商</w:t>
      </w:r>
      <w:r>
        <w:rPr>
          <w:rFonts w:hint="eastAsia" w:ascii="宋体" w:hAnsi="宋体" w:eastAsia="宋体" w:cs="宋体"/>
          <w:lang w:val="zh-CN" w:eastAsia="zh-CN"/>
        </w:rPr>
        <w:t>函。</w:t>
      </w:r>
    </w:p>
    <w:p w14:paraId="4D15E1F5">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15、单一来源采购有效期</w:t>
      </w:r>
      <w:bookmarkEnd w:id="185"/>
      <w:bookmarkEnd w:id="186"/>
    </w:p>
    <w:p w14:paraId="4E0E8EF9">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15.1 单一来源采购有效期（以下简称“有效期”）为</w:t>
      </w:r>
      <w:r>
        <w:rPr>
          <w:rFonts w:hint="eastAsia" w:ascii="宋体" w:hAnsi="宋体" w:eastAsia="宋体" w:cs="宋体"/>
          <w:lang w:val="en-US" w:eastAsia="zh-CN"/>
        </w:rPr>
        <w:t>采购代理机构</w:t>
      </w:r>
      <w:r>
        <w:rPr>
          <w:rFonts w:hint="eastAsia" w:ascii="宋体" w:hAnsi="宋体" w:eastAsia="宋体" w:cs="宋体"/>
          <w:lang w:val="zh-CN" w:eastAsia="zh-CN"/>
        </w:rPr>
        <w:t>规定的响应文件接收截止之日后</w:t>
      </w:r>
      <w:r>
        <w:rPr>
          <w:rFonts w:hint="eastAsia" w:ascii="宋体" w:hAnsi="宋体" w:eastAsia="宋体" w:cs="宋体"/>
          <w:b/>
          <w:bCs/>
          <w:u w:val="single"/>
          <w:lang w:val="zh-CN" w:eastAsia="zh-CN"/>
        </w:rPr>
        <w:t>三十（30）天</w:t>
      </w:r>
      <w:r>
        <w:rPr>
          <w:rFonts w:hint="eastAsia" w:ascii="宋体" w:hAnsi="宋体" w:eastAsia="宋体" w:cs="宋体"/>
          <w:lang w:val="zh-CN" w:eastAsia="zh-CN"/>
        </w:rPr>
        <w:t>。有效期比规定期限短的将被视为未响应采购文件要求而予以拒绝。</w:t>
      </w:r>
    </w:p>
    <w:p w14:paraId="44699987">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16、有效期的延长</w:t>
      </w:r>
    </w:p>
    <w:p w14:paraId="6F46BE2F">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16.1在特殊情况下，采购</w:t>
      </w:r>
      <w:r>
        <w:rPr>
          <w:rFonts w:hint="eastAsia" w:ascii="宋体" w:hAnsi="宋体" w:eastAsia="宋体" w:cs="宋体"/>
          <w:lang w:val="en-US" w:eastAsia="zh-CN"/>
        </w:rPr>
        <w:t>代理机构</w:t>
      </w:r>
      <w:r>
        <w:rPr>
          <w:rFonts w:hint="eastAsia" w:ascii="宋体" w:hAnsi="宋体" w:eastAsia="宋体" w:cs="宋体"/>
          <w:lang w:val="zh-CN" w:eastAsia="zh-CN"/>
        </w:rPr>
        <w:t>于原有效期满之前，可向供应商提出延长有效期的要求。这种要求与答复均应采用书面形式。供应商可以拒绝采购</w:t>
      </w:r>
      <w:r>
        <w:rPr>
          <w:rFonts w:hint="eastAsia" w:ascii="宋体" w:hAnsi="宋体" w:eastAsia="宋体" w:cs="宋体"/>
          <w:lang w:val="en-US" w:eastAsia="zh-CN"/>
        </w:rPr>
        <w:t>代理机构</w:t>
      </w:r>
      <w:r>
        <w:rPr>
          <w:rFonts w:hint="eastAsia" w:ascii="宋体" w:hAnsi="宋体" w:eastAsia="宋体" w:cs="宋体"/>
          <w:lang w:val="zh-CN" w:eastAsia="zh-CN"/>
        </w:rPr>
        <w:t>的这一要求而放弃单一来源采购活动，同意延长有效期的供应商既不能要求也不允许修改其响应文件。受有效期约束的所有权利与义务均延长至新的有效期。</w:t>
      </w:r>
    </w:p>
    <w:p w14:paraId="4C6402A8">
      <w:pPr>
        <w:pStyle w:val="3"/>
        <w:spacing w:before="0" w:after="0" w:line="360" w:lineRule="auto"/>
        <w:rPr>
          <w:rFonts w:hint="eastAsia" w:ascii="宋体" w:hAnsi="宋体" w:eastAsia="宋体" w:cs="宋体"/>
          <w:lang w:eastAsia="zh-CN"/>
        </w:rPr>
      </w:pPr>
      <w:bookmarkStart w:id="187" w:name="_Hlt26954739"/>
      <w:bookmarkEnd w:id="187"/>
      <w:bookmarkStart w:id="188" w:name="_Hlt26954852"/>
      <w:bookmarkEnd w:id="188"/>
      <w:bookmarkStart w:id="189" w:name="_Toc20823296"/>
      <w:bookmarkStart w:id="190" w:name="_Toc513029224"/>
      <w:bookmarkStart w:id="191" w:name="_Toc16938540"/>
      <w:bookmarkStart w:id="192" w:name="_Toc120614217"/>
      <w:r>
        <w:rPr>
          <w:rFonts w:hint="eastAsia" w:ascii="宋体" w:hAnsi="宋体" w:eastAsia="宋体" w:cs="宋体"/>
          <w:lang w:eastAsia="zh-CN"/>
        </w:rPr>
        <w:t>四、响应文件的递交</w:t>
      </w:r>
      <w:bookmarkEnd w:id="189"/>
      <w:bookmarkEnd w:id="190"/>
      <w:bookmarkEnd w:id="191"/>
      <w:bookmarkEnd w:id="192"/>
    </w:p>
    <w:p w14:paraId="3904F0DD">
      <w:pPr>
        <w:pStyle w:val="27"/>
        <w:ind w:firstLine="0" w:firstLineChars="0"/>
        <w:outlineLvl w:val="2"/>
        <w:rPr>
          <w:rFonts w:hint="eastAsia" w:ascii="宋体" w:hAnsi="宋体" w:eastAsia="宋体" w:cs="宋体"/>
          <w:b/>
          <w:bCs/>
          <w:lang w:eastAsia="zh-CN"/>
        </w:rPr>
      </w:pPr>
      <w:bookmarkStart w:id="193" w:name="_Toc20823297"/>
      <w:bookmarkStart w:id="194" w:name="_Toc462564084"/>
      <w:bookmarkStart w:id="195" w:name="_Toc513029225"/>
      <w:bookmarkStart w:id="196" w:name="_Toc16938541"/>
      <w:r>
        <w:rPr>
          <w:rFonts w:hint="eastAsia" w:ascii="宋体" w:hAnsi="宋体" w:eastAsia="宋体" w:cs="宋体"/>
          <w:b/>
          <w:bCs/>
          <w:lang w:eastAsia="zh-CN"/>
        </w:rPr>
        <w:t>17、电子</w:t>
      </w:r>
      <w:bookmarkEnd w:id="193"/>
      <w:bookmarkEnd w:id="194"/>
      <w:bookmarkEnd w:id="195"/>
      <w:bookmarkEnd w:id="196"/>
      <w:r>
        <w:rPr>
          <w:rFonts w:hint="eastAsia" w:ascii="宋体" w:hAnsi="宋体" w:eastAsia="宋体" w:cs="宋体"/>
          <w:b/>
          <w:bCs/>
          <w:lang w:eastAsia="zh-CN"/>
        </w:rPr>
        <w:t>响应文件的递交</w:t>
      </w:r>
    </w:p>
    <w:p w14:paraId="16FC9DEC">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17.1供应商应当按照《操作手册》规定，在截止时间前制作并上传电子响应文件。</w:t>
      </w:r>
      <w:bookmarkStart w:id="197" w:name="_Toc513029226"/>
      <w:bookmarkStart w:id="198" w:name="_Toc20823298"/>
      <w:bookmarkStart w:id="199" w:name="_Toc16938542"/>
    </w:p>
    <w:p w14:paraId="4868C3B0">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18、提交响应文件截止时间</w:t>
      </w:r>
      <w:bookmarkEnd w:id="197"/>
      <w:bookmarkEnd w:id="198"/>
      <w:bookmarkEnd w:id="199"/>
    </w:p>
    <w:p w14:paraId="50E08792">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18.1供应商上传电子响应文件的时间不得迟于单一来源采购邀请中规定的截止时间。</w:t>
      </w:r>
    </w:p>
    <w:p w14:paraId="14FF790B">
      <w:pPr>
        <w:spacing w:line="440" w:lineRule="exact"/>
        <w:ind w:firstLine="480" w:firstLineChars="200"/>
        <w:rPr>
          <w:rFonts w:hint="eastAsia" w:ascii="宋体" w:hAnsi="宋体" w:eastAsia="宋体" w:cs="宋体"/>
          <w:lang w:val="zh-CN" w:eastAsia="zh-CN"/>
        </w:rPr>
      </w:pPr>
      <w:bookmarkStart w:id="200" w:name="_Toc513029227"/>
      <w:bookmarkStart w:id="201" w:name="_Toc16938543"/>
      <w:bookmarkStart w:id="202" w:name="_Toc20823299"/>
      <w:r>
        <w:rPr>
          <w:rFonts w:hint="eastAsia" w:ascii="宋体" w:hAnsi="宋体" w:eastAsia="宋体" w:cs="宋体"/>
          <w:lang w:val="zh-CN" w:eastAsia="zh-CN"/>
        </w:rPr>
        <w:t>供应商应充分考虑到网络环境、网络带宽等风险因素，如因供应商自身原因造成的电子响应文件上传不成功由供应商自行承担全部责任。</w:t>
      </w:r>
    </w:p>
    <w:p w14:paraId="0EA09C36">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18.2 采购</w:t>
      </w:r>
      <w:r>
        <w:rPr>
          <w:rFonts w:hint="eastAsia" w:ascii="宋体" w:hAnsi="宋体" w:eastAsia="宋体" w:cs="宋体"/>
          <w:lang w:val="en-US" w:eastAsia="zh-CN"/>
        </w:rPr>
        <w:t>代理机构</w:t>
      </w:r>
      <w:r>
        <w:rPr>
          <w:rFonts w:hint="eastAsia" w:ascii="宋体" w:hAnsi="宋体" w:eastAsia="宋体" w:cs="宋体"/>
          <w:lang w:val="zh-CN" w:eastAsia="zh-CN"/>
        </w:rPr>
        <w:t>可以按照规定，通过修改采购文件酌情延长截止时间，在此情况下，供应商的所有权利和义务以及供应商受制的截止时间以延长后新的截止时间为准。</w:t>
      </w:r>
    </w:p>
    <w:p w14:paraId="18FDFCBC">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19、响应文件</w:t>
      </w:r>
      <w:bookmarkEnd w:id="200"/>
      <w:bookmarkEnd w:id="201"/>
      <w:bookmarkEnd w:id="202"/>
      <w:r>
        <w:rPr>
          <w:rFonts w:hint="eastAsia" w:ascii="宋体" w:hAnsi="宋体" w:eastAsia="宋体" w:cs="宋体"/>
          <w:b/>
          <w:bCs/>
          <w:lang w:eastAsia="zh-CN"/>
        </w:rPr>
        <w:t>的拒收</w:t>
      </w:r>
    </w:p>
    <w:p w14:paraId="666D76DA">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19.1 采购</w:t>
      </w:r>
      <w:r>
        <w:rPr>
          <w:rFonts w:hint="eastAsia" w:ascii="宋体" w:hAnsi="宋体" w:eastAsia="宋体" w:cs="宋体"/>
          <w:lang w:val="en-US" w:eastAsia="zh-CN"/>
        </w:rPr>
        <w:t>代理机构</w:t>
      </w:r>
      <w:r>
        <w:rPr>
          <w:rFonts w:hint="eastAsia" w:ascii="宋体" w:hAnsi="宋体" w:eastAsia="宋体" w:cs="宋体"/>
          <w:lang w:val="zh-CN" w:eastAsia="zh-CN"/>
        </w:rPr>
        <w:t>拒绝接收在其规定的截止时间后上传的任何电子响应文件。</w:t>
      </w:r>
    </w:p>
    <w:p w14:paraId="42001679">
      <w:pPr>
        <w:pStyle w:val="27"/>
        <w:ind w:firstLine="0" w:firstLineChars="0"/>
        <w:outlineLvl w:val="2"/>
        <w:rPr>
          <w:rFonts w:hint="eastAsia" w:ascii="宋体" w:hAnsi="宋体" w:eastAsia="宋体" w:cs="宋体"/>
          <w:b/>
          <w:bCs/>
          <w:lang w:eastAsia="zh-CN"/>
        </w:rPr>
      </w:pPr>
      <w:bookmarkStart w:id="203" w:name="_Toc20823300"/>
      <w:bookmarkStart w:id="204" w:name="_Toc16938544"/>
      <w:bookmarkStart w:id="205" w:name="_Toc513029228"/>
      <w:r>
        <w:rPr>
          <w:rFonts w:hint="eastAsia" w:ascii="宋体" w:hAnsi="宋体" w:eastAsia="宋体" w:cs="宋体"/>
          <w:b/>
          <w:bCs/>
          <w:lang w:eastAsia="zh-CN"/>
        </w:rPr>
        <w:t>20、响应文件的撤回和修改</w:t>
      </w:r>
      <w:bookmarkEnd w:id="203"/>
      <w:bookmarkEnd w:id="204"/>
      <w:bookmarkEnd w:id="205"/>
    </w:p>
    <w:p w14:paraId="11CE10C4">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20.1响应文件的撤回</w:t>
      </w:r>
    </w:p>
    <w:p w14:paraId="15133C40">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20.1.1 电子响应文件的撤回</w:t>
      </w:r>
    </w:p>
    <w:p w14:paraId="31A46CCA">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供应商可在截止时间前，撤回其电子响应文件，具体操作方法见《操作手册》。</w:t>
      </w:r>
    </w:p>
    <w:p w14:paraId="56747B7E">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20.1.2供应商撤回电子响应文件，则认为其不再参与本项目采购活动。</w:t>
      </w:r>
    </w:p>
    <w:p w14:paraId="023F90B6">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20.2响应文件的修改</w:t>
      </w:r>
    </w:p>
    <w:p w14:paraId="5E2B7C78">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供应商可在截止时间前，对其电子响应文件进行修改，具体操作方法见《操作手册》。</w:t>
      </w:r>
    </w:p>
    <w:p w14:paraId="6F804046">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20.3 在截止时间之后，供应商不得对其电子响应文件作任何修改。</w:t>
      </w:r>
    </w:p>
    <w:p w14:paraId="43227B4D">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20.4 在截止时间至有效期满之间的这段时间内，供应商不得撤回其响应文件。</w:t>
      </w:r>
    </w:p>
    <w:p w14:paraId="2CEC76D0">
      <w:pPr>
        <w:pStyle w:val="3"/>
        <w:spacing w:before="0" w:after="0" w:line="360" w:lineRule="auto"/>
        <w:rPr>
          <w:rFonts w:hint="eastAsia" w:ascii="宋体" w:hAnsi="宋体" w:eastAsia="宋体" w:cs="宋体"/>
          <w:lang w:eastAsia="zh-CN"/>
        </w:rPr>
      </w:pPr>
      <w:bookmarkStart w:id="206" w:name="_Toc20823301"/>
      <w:bookmarkStart w:id="207" w:name="_Toc513029229"/>
      <w:bookmarkStart w:id="208" w:name="_Toc16938545"/>
      <w:bookmarkStart w:id="209" w:name="_Toc120614218"/>
      <w:r>
        <w:rPr>
          <w:rFonts w:hint="eastAsia" w:ascii="宋体" w:hAnsi="宋体" w:eastAsia="宋体" w:cs="宋体"/>
          <w:lang w:eastAsia="zh-CN"/>
        </w:rPr>
        <w:t>五、响应文件的解密与评审</w:t>
      </w:r>
      <w:bookmarkEnd w:id="206"/>
      <w:bookmarkEnd w:id="207"/>
      <w:bookmarkEnd w:id="208"/>
      <w:bookmarkEnd w:id="209"/>
    </w:p>
    <w:p w14:paraId="28634656">
      <w:pPr>
        <w:pStyle w:val="27"/>
        <w:ind w:firstLine="0" w:firstLineChars="0"/>
        <w:outlineLvl w:val="2"/>
        <w:rPr>
          <w:rFonts w:hint="eastAsia" w:ascii="宋体" w:hAnsi="宋体" w:eastAsia="宋体" w:cs="宋体"/>
          <w:b/>
          <w:bCs/>
          <w:lang w:eastAsia="zh-CN"/>
        </w:rPr>
      </w:pPr>
      <w:bookmarkStart w:id="210" w:name="_Toc16938546"/>
      <w:bookmarkStart w:id="211" w:name="_Toc20823302"/>
      <w:bookmarkStart w:id="212" w:name="_Toc513029230"/>
      <w:r>
        <w:rPr>
          <w:rFonts w:hint="eastAsia" w:ascii="宋体" w:hAnsi="宋体" w:eastAsia="宋体" w:cs="宋体"/>
          <w:b/>
          <w:bCs/>
          <w:lang w:eastAsia="zh-CN"/>
        </w:rPr>
        <w:t>21、</w:t>
      </w:r>
      <w:bookmarkEnd w:id="210"/>
      <w:bookmarkEnd w:id="211"/>
      <w:bookmarkEnd w:id="212"/>
      <w:r>
        <w:rPr>
          <w:rFonts w:hint="eastAsia" w:ascii="宋体" w:hAnsi="宋体" w:eastAsia="宋体" w:cs="宋体"/>
          <w:b/>
          <w:bCs/>
          <w:lang w:eastAsia="zh-CN"/>
        </w:rPr>
        <w:t>响应文件解密</w:t>
      </w:r>
    </w:p>
    <w:p w14:paraId="177C4FF7">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21.1供应商应当按照《操作手册》规定，在苏采云系统规定的时间内对响应文件进行解密。</w:t>
      </w:r>
    </w:p>
    <w:p w14:paraId="55009D66">
      <w:pPr>
        <w:pStyle w:val="27"/>
        <w:ind w:firstLine="0" w:firstLineChars="0"/>
        <w:outlineLvl w:val="2"/>
        <w:rPr>
          <w:rFonts w:hint="eastAsia" w:ascii="宋体" w:hAnsi="宋体" w:eastAsia="宋体" w:cs="宋体"/>
          <w:b/>
          <w:bCs/>
          <w:lang w:eastAsia="zh-CN"/>
        </w:rPr>
      </w:pPr>
      <w:bookmarkStart w:id="213" w:name="_Toc20823303"/>
      <w:bookmarkStart w:id="214" w:name="_Toc513029231"/>
      <w:bookmarkStart w:id="215" w:name="_Toc16938547"/>
      <w:r>
        <w:rPr>
          <w:rFonts w:hint="eastAsia" w:ascii="宋体" w:hAnsi="宋体" w:eastAsia="宋体" w:cs="宋体"/>
          <w:b/>
          <w:bCs/>
          <w:lang w:eastAsia="zh-CN"/>
        </w:rPr>
        <w:t>22、单一来源采购小组</w:t>
      </w:r>
    </w:p>
    <w:p w14:paraId="25B00294">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22.1单一来源采购小组（以下简称“采购小组”）由政府采购评审专家、采购人代表组成，且人员构成符合政府采购有关规定。</w:t>
      </w:r>
    </w:p>
    <w:p w14:paraId="00EFA2A0">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22.2采购小组应当按照客观、公正、审慎的原则评审供应商的响应文件，并与供应商协商采购标的的价格。</w:t>
      </w:r>
    </w:p>
    <w:p w14:paraId="21D2F9BF">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23、单一来源采购过程的保密与公正</w:t>
      </w:r>
    </w:p>
    <w:bookmarkEnd w:id="213"/>
    <w:bookmarkEnd w:id="214"/>
    <w:bookmarkEnd w:id="215"/>
    <w:p w14:paraId="44C13BB4">
      <w:pPr>
        <w:spacing w:line="440" w:lineRule="exact"/>
        <w:ind w:firstLine="480" w:firstLineChars="200"/>
        <w:rPr>
          <w:rFonts w:hint="eastAsia" w:ascii="宋体" w:hAnsi="宋体" w:eastAsia="宋体" w:cs="宋体"/>
          <w:lang w:val="zh-CN" w:eastAsia="zh-CN"/>
        </w:rPr>
      </w:pPr>
      <w:bookmarkStart w:id="216" w:name="_Toc16938548"/>
      <w:bookmarkStart w:id="217" w:name="_Toc513029232"/>
      <w:bookmarkStart w:id="218" w:name="_Toc20823304"/>
      <w:r>
        <w:rPr>
          <w:rFonts w:hint="eastAsia" w:ascii="宋体" w:hAnsi="宋体" w:eastAsia="宋体" w:cs="宋体"/>
          <w:lang w:val="zh-CN" w:eastAsia="zh-CN"/>
        </w:rPr>
        <w:t>23.1采购小组、采购人和采购</w:t>
      </w:r>
      <w:r>
        <w:rPr>
          <w:rFonts w:hint="eastAsia" w:ascii="宋体" w:hAnsi="宋体" w:eastAsia="宋体" w:cs="宋体"/>
          <w:lang w:val="en-US" w:eastAsia="zh-CN"/>
        </w:rPr>
        <w:t>代理机构</w:t>
      </w:r>
      <w:r>
        <w:rPr>
          <w:rFonts w:hint="eastAsia" w:ascii="宋体" w:hAnsi="宋体" w:eastAsia="宋体" w:cs="宋体"/>
          <w:lang w:val="zh-CN" w:eastAsia="zh-CN"/>
        </w:rPr>
        <w:t>工作人员、相关监督人员等与评审工作有关的人员，对评审、单一来源采购情况以及在评审、单一来源采购过程（以下简称“采购过程”）中获悉的国家秘密、商业秘密负有保密责任。</w:t>
      </w:r>
    </w:p>
    <w:p w14:paraId="5877D5D6">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23.2在采购过程中，供应商不得以任何行为影响评审及采购过程，否则将会导致其响应文件被拒绝。</w:t>
      </w:r>
    </w:p>
    <w:p w14:paraId="1D5B1F0D">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24、评审及采购过程中的澄清</w:t>
      </w:r>
      <w:bookmarkEnd w:id="216"/>
      <w:bookmarkEnd w:id="217"/>
      <w:bookmarkEnd w:id="218"/>
    </w:p>
    <w:p w14:paraId="0BE6F509">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24.1项目评审及采购过程中，采购小组有权要求供应商对响应文件中含义不明确、同类问题表述不一致或者有明显文字和计算错误的内容等作出必要的澄清、说明或者更正。</w:t>
      </w:r>
    </w:p>
    <w:p w14:paraId="598C7381">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24.2需要供应商进行澄清、说明和更正的，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36E726D">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24.3 接到采购小组澄清、说明和更正要求的供应商如未按规定做出澄清、说明和更正，其风险由供应商自行承担。</w:t>
      </w:r>
    </w:p>
    <w:p w14:paraId="58F7B2AA">
      <w:pPr>
        <w:pStyle w:val="27"/>
        <w:ind w:firstLine="0" w:firstLineChars="0"/>
        <w:outlineLvl w:val="2"/>
        <w:rPr>
          <w:rFonts w:hint="eastAsia" w:ascii="宋体" w:hAnsi="宋体" w:eastAsia="宋体" w:cs="宋体"/>
          <w:b/>
          <w:bCs/>
          <w:lang w:eastAsia="zh-CN"/>
        </w:rPr>
      </w:pPr>
      <w:bookmarkStart w:id="219" w:name="_Toc513029233"/>
      <w:bookmarkStart w:id="220" w:name="_Toc16938549"/>
      <w:bookmarkStart w:id="221" w:name="_Toc20823305"/>
      <w:r>
        <w:rPr>
          <w:rFonts w:hint="eastAsia" w:ascii="宋体" w:hAnsi="宋体" w:eastAsia="宋体" w:cs="宋体"/>
          <w:b/>
          <w:bCs/>
          <w:lang w:eastAsia="zh-CN"/>
        </w:rPr>
        <w:t>25、对响应文件的审</w:t>
      </w:r>
      <w:bookmarkEnd w:id="219"/>
      <w:bookmarkEnd w:id="220"/>
      <w:bookmarkEnd w:id="221"/>
      <w:r>
        <w:rPr>
          <w:rFonts w:hint="eastAsia" w:ascii="宋体" w:hAnsi="宋体" w:eastAsia="宋体" w:cs="宋体"/>
          <w:b/>
          <w:bCs/>
          <w:lang w:eastAsia="zh-CN"/>
        </w:rPr>
        <w:t>查</w:t>
      </w:r>
    </w:p>
    <w:p w14:paraId="512A46AD">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25.1响应文件审查分为资格审查和符合性审查。</w:t>
      </w:r>
    </w:p>
    <w:p w14:paraId="3ECEEA6C">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25.1.1 资格审查：由采购小组依据法律法规和单一来源文件的规定，对响应文件中的资格证明文件进行审查，以确定供应商是否具备参加单一来源的资格。</w:t>
      </w:r>
    </w:p>
    <w:p w14:paraId="0A345D84">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采购小组在进行资格审查的同时，将在“信用中国”网站（www.creditchina.gov.cn）查询供应商的信用记录，以确定供应商是否具备参加单一来源采购活动的资格,查询结果留存并归档。</w:t>
      </w:r>
    </w:p>
    <w:p w14:paraId="58ED15E3">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4557443E">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25.1.2 符合性审查：依据采购文件的规定，由采购小组从响应文件的有效性、完整性和对采购文件的响应程度进行审查，以确定是否对单一来源文件的实质性要求作出响应。</w:t>
      </w:r>
    </w:p>
    <w:p w14:paraId="47CF088D">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25.1.3 未通过资格审查或符合性审查的供应商，采购小组将在苏采云系统中告知未通过资格审查或符合性审查的原因，评审结束后，采购小组将不再告知未通过资格审查或符合性审查的原因。</w:t>
      </w:r>
    </w:p>
    <w:p w14:paraId="6B47F18A">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25.2在正式进行评审之前，采购小组将首先审查每份响应文件是否实质性响应了采购文件的要求。实质性响应的响应文件应该是与采购文件要求的条款、条件和规格相符，没有重大偏离或保留。</w:t>
      </w:r>
    </w:p>
    <w:p w14:paraId="1D6AD05F">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所谓重大偏离或保留是指与采购文件规定的实质性要求存在负偏离，或者在实质上与采购文件不一致，而且限制了合同中买方和采购</w:t>
      </w:r>
      <w:r>
        <w:rPr>
          <w:rFonts w:hint="eastAsia" w:ascii="宋体" w:hAnsi="宋体" w:eastAsia="宋体" w:cs="宋体"/>
          <w:lang w:val="en-US" w:eastAsia="zh-CN"/>
        </w:rPr>
        <w:t>代理机构</w:t>
      </w:r>
      <w:r>
        <w:rPr>
          <w:rFonts w:hint="eastAsia" w:ascii="宋体" w:hAnsi="宋体" w:eastAsia="宋体" w:cs="宋体"/>
          <w:lang w:val="zh-CN" w:eastAsia="zh-CN"/>
        </w:rPr>
        <w:t>的权利或供应商的义务。重大偏离由采购小组按照少数服从多数的原则认定。采购小组决定响应文件的响应性只根据响应文件本身的内容，而不寻求外部的证据。</w:t>
      </w:r>
    </w:p>
    <w:p w14:paraId="7E3D20F4">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25.3未实质性响应采购文件的情形</w:t>
      </w:r>
    </w:p>
    <w:p w14:paraId="27ADCF5B">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25.3.1供应商在苏采云系统规定的时间内未成功解密电子响应文件的。</w:t>
      </w:r>
    </w:p>
    <w:p w14:paraId="07DAC99A">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25.3.2供应商未按照采购文件要求上传电子响应文件的。</w:t>
      </w:r>
    </w:p>
    <w:p w14:paraId="05B8D30F">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25.3.3供应商同一采购包提交两个（含两个）以上不同的响应文件或者最后报价的。</w:t>
      </w:r>
    </w:p>
    <w:p w14:paraId="5CCC37F6">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25.3.4供应商不具备采购文件中规定资格要求的。</w:t>
      </w:r>
    </w:p>
    <w:p w14:paraId="314281ED">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25.3.5供应商的最后报价超过了采购预算。</w:t>
      </w:r>
    </w:p>
    <w:p w14:paraId="194358D0">
      <w:pPr>
        <w:spacing w:line="440" w:lineRule="exact"/>
        <w:ind w:firstLine="480" w:firstLineChars="200"/>
        <w:rPr>
          <w:rFonts w:hint="eastAsia" w:ascii="宋体" w:hAnsi="宋体" w:eastAsia="宋体" w:cs="宋体"/>
          <w:b/>
          <w:bCs/>
          <w:lang w:val="zh-CN" w:eastAsia="zh-CN"/>
        </w:rPr>
      </w:pPr>
      <w:r>
        <w:rPr>
          <w:rFonts w:hint="eastAsia" w:ascii="宋体" w:hAnsi="宋体" w:eastAsia="宋体" w:cs="宋体"/>
          <w:lang w:val="zh-CN" w:eastAsia="zh-CN"/>
        </w:rPr>
        <w:t>25.3.6不符合采购文件中规定的实质性要求的</w:t>
      </w:r>
      <w:r>
        <w:rPr>
          <w:rFonts w:hint="eastAsia" w:ascii="宋体" w:hAnsi="宋体" w:eastAsia="宋体" w:cs="宋体"/>
          <w:b/>
          <w:bCs/>
          <w:lang w:val="zh-CN" w:eastAsia="zh-CN"/>
        </w:rPr>
        <w:t>（本单一来源文件中斜体且有下划线部分或加*号条款为实质性要求）</w:t>
      </w:r>
    </w:p>
    <w:p w14:paraId="050E3DD6">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C988A3F">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25.3.8 响应文件含有采购人不能接受的附加条件的。</w:t>
      </w:r>
    </w:p>
    <w:p w14:paraId="2CB1BD15">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25.3.9 如本项目采购产品被财政部、国家发改委、生态环境部等列入“节能产品品目清单”、“环境标志产品品目清单”强制采购范围，而单一来源供应商所响应产品不在强制采购范围内的。（采购的产品如属于政府强制采购节能产品品目清单范围内，响应文件中必须提供国家确定的认证机构出具的、处于有效期之内的该节能产品认证证书图片）</w:t>
      </w:r>
    </w:p>
    <w:p w14:paraId="4D27105B">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25.3.10响应文件未按照单一来源文件要求加盖CA电子公章的。</w:t>
      </w:r>
    </w:p>
    <w:p w14:paraId="6FDF2DEC">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25.4未实质性响应采购文件的响应文件按无效响应处理。</w:t>
      </w:r>
    </w:p>
    <w:p w14:paraId="1A597B2E">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25.5如果响应文件实质上没有响应采购文件的要求，采购小组将予以拒绝。</w:t>
      </w:r>
    </w:p>
    <w:p w14:paraId="7C626B1B">
      <w:pPr>
        <w:spacing w:line="440" w:lineRule="exact"/>
        <w:ind w:firstLine="480" w:firstLineChars="200"/>
        <w:rPr>
          <w:rFonts w:hint="eastAsia" w:ascii="宋体" w:hAnsi="宋体" w:eastAsia="宋体" w:cs="宋体"/>
          <w:lang w:val="zh-CN" w:eastAsia="zh-CN"/>
        </w:rPr>
      </w:pPr>
      <w:bookmarkStart w:id="222" w:name="_Toc20823306"/>
      <w:bookmarkStart w:id="223" w:name="_Toc16938550"/>
      <w:bookmarkStart w:id="224" w:name="_Toc513029234"/>
      <w:r>
        <w:rPr>
          <w:rFonts w:hint="eastAsia" w:ascii="宋体" w:hAnsi="宋体" w:eastAsia="宋体" w:cs="宋体"/>
          <w:lang w:val="zh-CN" w:eastAsia="zh-CN"/>
        </w:rPr>
        <w:t>25.6供应商在项目评审及单一来源采购活动全过程中应保持通讯畅通，并安排专人与采购</w:t>
      </w:r>
      <w:r>
        <w:rPr>
          <w:rFonts w:hint="eastAsia" w:ascii="宋体" w:hAnsi="宋体" w:eastAsia="宋体" w:cs="宋体"/>
          <w:lang w:val="en-US" w:eastAsia="zh-CN"/>
        </w:rPr>
        <w:t>代理机构</w:t>
      </w:r>
      <w:r>
        <w:rPr>
          <w:rFonts w:hint="eastAsia" w:ascii="宋体" w:hAnsi="宋体" w:eastAsia="宋体" w:cs="宋体"/>
          <w:lang w:val="zh-CN" w:eastAsia="zh-CN"/>
        </w:rPr>
        <w:t>及采购小组联系。</w:t>
      </w:r>
    </w:p>
    <w:p w14:paraId="3C254D7B">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26、</w:t>
      </w:r>
      <w:bookmarkEnd w:id="222"/>
      <w:bookmarkEnd w:id="223"/>
      <w:bookmarkEnd w:id="224"/>
      <w:r>
        <w:rPr>
          <w:rFonts w:hint="eastAsia" w:ascii="宋体" w:hAnsi="宋体" w:eastAsia="宋体" w:cs="宋体"/>
          <w:b/>
          <w:bCs/>
          <w:lang w:eastAsia="zh-CN"/>
        </w:rPr>
        <w:t>单一来源谈判及成交原则</w:t>
      </w:r>
    </w:p>
    <w:p w14:paraId="258C9FA7">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26.1单一来源谈判</w:t>
      </w:r>
    </w:p>
    <w:p w14:paraId="21F62C05">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26.1.1 对于通过资格审查和符合性审查的供应商，采购小组将通过苏采云系统与其就采购标的的价格、服务等内容进行单一来源谈判。</w:t>
      </w:r>
    </w:p>
    <w:p w14:paraId="2F93D02C">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26.1.2供应商应当在苏采云系统中以书面形式对采购过程中做出的承诺与澄清进行确认，并在采购小组规定的时间内完成最后报价。</w:t>
      </w:r>
    </w:p>
    <w:p w14:paraId="3E1943B1">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26.1.3 供应商的最后报价在响应产品数量没有增加，配置、服务没有重大提高的情况下，一般不允许高于第一次报价（即单一来源谈判分项报价表中的报价）。否则，采购小组有权拒绝该最后报价并不再给予报价补救机会。</w:t>
      </w:r>
    </w:p>
    <w:p w14:paraId="214B44B5">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 xml:space="preserve"> 26.2成交原则</w:t>
      </w:r>
    </w:p>
    <w:p w14:paraId="5DC6C546">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采购小组根据政府采购相关法律、规章的规定，在供应商的响应情况能保证采购项目质量且最后报价合理的基础上确定其为成交供应商。</w:t>
      </w:r>
    </w:p>
    <w:p w14:paraId="61CC228E">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26.3单一来源谈判终止情形处理</w:t>
      </w:r>
    </w:p>
    <w:p w14:paraId="0B118B55">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出现下列情形之一的，采购</w:t>
      </w:r>
      <w:r>
        <w:rPr>
          <w:rFonts w:hint="eastAsia" w:ascii="宋体" w:hAnsi="宋体" w:eastAsia="宋体" w:cs="宋体"/>
          <w:lang w:val="en-US" w:eastAsia="zh-CN"/>
        </w:rPr>
        <w:t>代理机构</w:t>
      </w:r>
      <w:r>
        <w:rPr>
          <w:rFonts w:hint="eastAsia" w:ascii="宋体" w:hAnsi="宋体" w:eastAsia="宋体" w:cs="宋体"/>
          <w:lang w:val="zh-CN" w:eastAsia="zh-CN"/>
        </w:rPr>
        <w:t>将终止采购活动，发布项目终止公告并说明原因，重新开展采购活动：</w:t>
      </w:r>
      <w:r>
        <w:rPr>
          <w:rFonts w:hint="eastAsia" w:ascii="宋体" w:hAnsi="宋体" w:eastAsia="宋体" w:cs="宋体"/>
          <w:lang w:val="zh-CN" w:eastAsia="zh-CN"/>
        </w:rPr>
        <w:br w:type="textWrapping"/>
      </w:r>
      <w:r>
        <w:rPr>
          <w:rFonts w:hint="eastAsia" w:ascii="宋体" w:hAnsi="宋体" w:eastAsia="宋体" w:cs="宋体"/>
          <w:lang w:val="zh-CN" w:eastAsia="zh-CN"/>
        </w:rPr>
        <w:t>　　26.3.1 因情况变化，不再符合规定的单一来源采购方式适用情形的；</w:t>
      </w:r>
      <w:r>
        <w:rPr>
          <w:rFonts w:hint="eastAsia" w:ascii="宋体" w:hAnsi="宋体" w:eastAsia="宋体" w:cs="宋体"/>
          <w:lang w:val="zh-CN" w:eastAsia="zh-CN"/>
        </w:rPr>
        <w:br w:type="textWrapping"/>
      </w:r>
      <w:r>
        <w:rPr>
          <w:rFonts w:hint="eastAsia" w:ascii="宋体" w:hAnsi="宋体" w:eastAsia="宋体" w:cs="宋体"/>
          <w:lang w:val="zh-CN" w:eastAsia="zh-CN"/>
        </w:rPr>
        <w:t>　　26.3.2 出现影响采购公正的违法、违规行为的；</w:t>
      </w:r>
      <w:r>
        <w:rPr>
          <w:rFonts w:hint="eastAsia" w:ascii="宋体" w:hAnsi="宋体" w:eastAsia="宋体" w:cs="宋体"/>
          <w:lang w:val="zh-CN" w:eastAsia="zh-CN"/>
        </w:rPr>
        <w:br w:type="textWrapping"/>
      </w:r>
      <w:r>
        <w:rPr>
          <w:rFonts w:hint="eastAsia" w:ascii="宋体" w:hAnsi="宋体" w:eastAsia="宋体" w:cs="宋体"/>
          <w:lang w:val="zh-CN" w:eastAsia="zh-CN"/>
        </w:rPr>
        <w:t>　　26.3.3供应商最后报价超过采购预算的；</w:t>
      </w:r>
    </w:p>
    <w:p w14:paraId="040235CA">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26.3.4供应商的技术方案、服务承诺、商务条款等不能满足采购人或采购小组的要求；</w:t>
      </w:r>
    </w:p>
    <w:p w14:paraId="0A1BE8B6">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26.3.5 法律、法规、规章规定的其他应当终止的情形。</w:t>
      </w:r>
    </w:p>
    <w:p w14:paraId="48A6ED41">
      <w:pPr>
        <w:pStyle w:val="3"/>
        <w:spacing w:before="0" w:after="0" w:line="360" w:lineRule="auto"/>
        <w:rPr>
          <w:rFonts w:hint="eastAsia" w:ascii="宋体" w:hAnsi="宋体" w:eastAsia="宋体" w:cs="宋体"/>
          <w:lang w:eastAsia="zh-CN"/>
        </w:rPr>
      </w:pPr>
      <w:r>
        <w:rPr>
          <w:rFonts w:hint="eastAsia" w:ascii="宋体" w:hAnsi="宋体" w:eastAsia="宋体" w:cs="宋体"/>
          <w:lang w:eastAsia="zh-CN"/>
        </w:rPr>
        <w:t>六、成交</w:t>
      </w:r>
    </w:p>
    <w:p w14:paraId="4075073E">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27、确定成交供应商</w:t>
      </w:r>
    </w:p>
    <w:p w14:paraId="1A14483C">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27.1采购小组根据单一来源谈判情况编写单一来源评审报告，推荐成交候选供应商。</w:t>
      </w:r>
    </w:p>
    <w:p w14:paraId="08D1885A">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27.2 采购人根据采购小组推荐的成交候选供应商确定成交供应商。</w:t>
      </w:r>
    </w:p>
    <w:p w14:paraId="2B9E9767">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27.3 若有充分证据证明，成交供应商出现下列情况之一的，一经查实，将被取消成交资格：</w:t>
      </w:r>
    </w:p>
    <w:p w14:paraId="376E4949">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27.3.1提供虚假材料谋取成交的。</w:t>
      </w:r>
    </w:p>
    <w:p w14:paraId="6FBBAF5A">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27.3.2与评审专家、采购人、其他供应商或者采购</w:t>
      </w:r>
      <w:r>
        <w:rPr>
          <w:rFonts w:hint="eastAsia" w:ascii="宋体" w:hAnsi="宋体" w:eastAsia="宋体" w:cs="宋体"/>
          <w:lang w:val="en-US" w:eastAsia="zh-CN"/>
        </w:rPr>
        <w:t>代理机构</w:t>
      </w:r>
      <w:r>
        <w:rPr>
          <w:rFonts w:hint="eastAsia" w:ascii="宋体" w:hAnsi="宋体" w:eastAsia="宋体" w:cs="宋体"/>
          <w:lang w:val="zh-CN" w:eastAsia="zh-CN"/>
        </w:rPr>
        <w:t>工作人员恶意串通的。</w:t>
      </w:r>
    </w:p>
    <w:p w14:paraId="72A2B71E">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27.3.3向评审专家、采购人或采购</w:t>
      </w:r>
      <w:r>
        <w:rPr>
          <w:rFonts w:hint="eastAsia" w:ascii="宋体" w:hAnsi="宋体" w:eastAsia="宋体" w:cs="宋体"/>
          <w:lang w:val="en-US" w:eastAsia="zh-CN"/>
        </w:rPr>
        <w:t>代理机构</w:t>
      </w:r>
      <w:r>
        <w:rPr>
          <w:rFonts w:hint="eastAsia" w:ascii="宋体" w:hAnsi="宋体" w:eastAsia="宋体" w:cs="宋体"/>
          <w:lang w:val="zh-CN" w:eastAsia="zh-CN"/>
        </w:rPr>
        <w:t>工作人员行贿或者提供其他不正当利益的。</w:t>
      </w:r>
    </w:p>
    <w:p w14:paraId="161C7E55">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27.3.4恶意竞争，最后报价明显低于其自身合理成本且又无法提供证明的。</w:t>
      </w:r>
    </w:p>
    <w:p w14:paraId="46E8177B">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27.3.5不满足本采购文件规定的实质性要求，但在评审过程中又未被采购小组发现的。</w:t>
      </w:r>
    </w:p>
    <w:p w14:paraId="3AA61DFA">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27.3.6成交后无正当理由拒不与采购人签订政府采购合同或者未按照采购文件确定的事项签订政府采购合同的。</w:t>
      </w:r>
    </w:p>
    <w:p w14:paraId="5036C63E">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27.3.7将政府采购合同转包的。</w:t>
      </w:r>
    </w:p>
    <w:p w14:paraId="38EF735C">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成交供应商被取消成交资格后，采购</w:t>
      </w:r>
      <w:r>
        <w:rPr>
          <w:rFonts w:hint="eastAsia" w:ascii="宋体" w:hAnsi="宋体" w:eastAsia="宋体" w:cs="宋体"/>
          <w:lang w:val="en-US" w:eastAsia="zh-CN"/>
        </w:rPr>
        <w:t>代理机构</w:t>
      </w:r>
      <w:r>
        <w:rPr>
          <w:rFonts w:hint="eastAsia" w:ascii="宋体" w:hAnsi="宋体" w:eastAsia="宋体" w:cs="宋体"/>
          <w:lang w:val="zh-CN" w:eastAsia="zh-CN"/>
        </w:rPr>
        <w:t>有权重新组织采购。</w:t>
      </w:r>
    </w:p>
    <w:p w14:paraId="71AF24A5">
      <w:pPr>
        <w:pStyle w:val="27"/>
        <w:ind w:firstLine="0" w:firstLineChars="0"/>
        <w:outlineLvl w:val="2"/>
        <w:rPr>
          <w:rFonts w:hint="eastAsia" w:ascii="宋体" w:hAnsi="宋体" w:eastAsia="宋体" w:cs="宋体"/>
          <w:b/>
          <w:bCs/>
          <w:lang w:eastAsia="zh-CN"/>
        </w:rPr>
      </w:pPr>
      <w:bookmarkStart w:id="225" w:name="_Toc200451960"/>
      <w:r>
        <w:rPr>
          <w:rFonts w:hint="eastAsia" w:ascii="宋体" w:hAnsi="宋体" w:eastAsia="宋体" w:cs="宋体"/>
          <w:b/>
          <w:bCs/>
          <w:lang w:eastAsia="zh-CN"/>
        </w:rPr>
        <w:t>28、质疑处理</w:t>
      </w:r>
      <w:bookmarkEnd w:id="225"/>
    </w:p>
    <w:p w14:paraId="7487CD00">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28.1供应商认为采购过程和采购结果使自己的权益受到损害的，可以从采购结果公布之日起七个工作日内，以书面形式向采购</w:t>
      </w:r>
      <w:r>
        <w:rPr>
          <w:rFonts w:hint="eastAsia" w:ascii="宋体" w:hAnsi="宋体" w:eastAsia="宋体" w:cs="宋体"/>
          <w:lang w:val="en-US" w:eastAsia="zh-CN"/>
        </w:rPr>
        <w:t>代理机构</w:t>
      </w:r>
      <w:r>
        <w:rPr>
          <w:rFonts w:hint="eastAsia" w:ascii="宋体" w:hAnsi="宋体" w:eastAsia="宋体" w:cs="宋体"/>
          <w:lang w:val="zh-CN" w:eastAsia="zh-CN"/>
        </w:rPr>
        <w:t>提出质疑。</w:t>
      </w:r>
    </w:p>
    <w:p w14:paraId="254E9B67">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28.2 供应商应当在法定质疑期内一次性提出针对同一采购程序环节的质疑。供应商如在法定期限内对同一采购程序环节提出多次质疑的，采购</w:t>
      </w:r>
      <w:r>
        <w:rPr>
          <w:rFonts w:hint="eastAsia" w:ascii="宋体" w:hAnsi="宋体" w:eastAsia="宋体" w:cs="宋体"/>
          <w:lang w:val="en-US" w:eastAsia="zh-CN"/>
        </w:rPr>
        <w:t>代理机构</w:t>
      </w:r>
      <w:r>
        <w:rPr>
          <w:rFonts w:hint="eastAsia" w:ascii="宋体" w:hAnsi="宋体" w:eastAsia="宋体" w:cs="宋体"/>
          <w:lang w:val="zh-CN" w:eastAsia="zh-CN"/>
        </w:rPr>
        <w:t>、采购人将只对供应商第一次质疑作出答复。</w:t>
      </w:r>
    </w:p>
    <w:p w14:paraId="658C8D1D">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28.3质疑函必须按照本采购文件中《质疑函范本》要求的格式和内容进行填写。供应商如组成联合体参加单一来源谈判，则《质疑函范本》中要求签字、盖章、加盖公章之处，联合体各方均须按要求签字、盖章、加盖公章。</w:t>
      </w:r>
    </w:p>
    <w:p w14:paraId="7663CC4A">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28.4 采购</w:t>
      </w:r>
      <w:r>
        <w:rPr>
          <w:rFonts w:hint="eastAsia" w:ascii="宋体" w:hAnsi="宋体" w:eastAsia="宋体" w:cs="宋体"/>
          <w:lang w:val="en-US" w:eastAsia="zh-CN"/>
        </w:rPr>
        <w:t>代理机构</w:t>
      </w:r>
      <w:r>
        <w:rPr>
          <w:rFonts w:hint="eastAsia" w:ascii="宋体" w:hAnsi="宋体" w:eastAsia="宋体" w:cs="宋体"/>
          <w:lang w:val="zh-CN" w:eastAsia="zh-CN"/>
        </w:rPr>
        <w:t>只接收以纸质原件形式送达的质疑,建议供应商尽量通过邮寄方式提交质疑（采购人和采购</w:t>
      </w:r>
      <w:r>
        <w:rPr>
          <w:rFonts w:hint="eastAsia" w:ascii="宋体" w:hAnsi="宋体" w:eastAsia="宋体" w:cs="宋体"/>
          <w:lang w:val="en-US" w:eastAsia="zh-CN"/>
        </w:rPr>
        <w:t>代理机构</w:t>
      </w:r>
      <w:r>
        <w:rPr>
          <w:rFonts w:hint="eastAsia" w:ascii="宋体" w:hAnsi="宋体" w:eastAsia="宋体" w:cs="宋体"/>
          <w:lang w:val="zh-CN" w:eastAsia="zh-CN"/>
        </w:rPr>
        <w:t>不接受无快递运单号的快递）。</w:t>
      </w:r>
    </w:p>
    <w:p w14:paraId="04AAC213">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28.5 以下情形的质疑不予受理</w:t>
      </w:r>
    </w:p>
    <w:p w14:paraId="114694F4">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28.5.1 内容不符合《政府采购质疑和投诉办法》第十二条规定的质疑。</w:t>
      </w:r>
    </w:p>
    <w:p w14:paraId="55C2C258">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28.5.2 超出政府采购法定期限的质疑。</w:t>
      </w:r>
    </w:p>
    <w:p w14:paraId="20FF46E6">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28.5.3 以传真、电子邮件等方式递交的非原件形式的质疑。</w:t>
      </w:r>
    </w:p>
    <w:p w14:paraId="2284488A">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28.5.4未参加单一来源采购活动的供应商所提出的质疑。</w:t>
      </w:r>
    </w:p>
    <w:p w14:paraId="6F054579">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28.5.5供应商组成联合体参加单一来源谈判，联合体中任何一方或多方未按要求签字、盖章、加盖公章的质疑。</w:t>
      </w:r>
    </w:p>
    <w:p w14:paraId="75238093">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28.6  供应商提出书面质疑必须有理、有据，不得捏造事实、提供虚假材料进行恶意质疑。否则，一经查实，采购</w:t>
      </w:r>
      <w:r>
        <w:rPr>
          <w:rFonts w:hint="eastAsia" w:ascii="宋体" w:hAnsi="宋体" w:eastAsia="宋体" w:cs="宋体"/>
          <w:lang w:val="en-US" w:eastAsia="zh-CN"/>
        </w:rPr>
        <w:t>代理机构</w:t>
      </w:r>
      <w:r>
        <w:rPr>
          <w:rFonts w:hint="eastAsia" w:ascii="宋体" w:hAnsi="宋体" w:eastAsia="宋体" w:cs="宋体"/>
          <w:lang w:val="zh-CN" w:eastAsia="zh-CN"/>
        </w:rPr>
        <w:t>有权依据政府采购的有关规定，报请政府采购监管部门对该供应商进行相应的行政处罚和记录该供应商的失信信息。</w:t>
      </w:r>
    </w:p>
    <w:p w14:paraId="7C5D696D">
      <w:pPr>
        <w:pStyle w:val="27"/>
        <w:ind w:firstLine="0" w:firstLineChars="0"/>
        <w:outlineLvl w:val="2"/>
        <w:rPr>
          <w:rFonts w:hint="eastAsia" w:ascii="宋体" w:hAnsi="宋体" w:eastAsia="宋体" w:cs="宋体"/>
          <w:b/>
          <w:bCs/>
          <w:lang w:eastAsia="zh-CN"/>
        </w:rPr>
      </w:pPr>
      <w:r>
        <w:rPr>
          <w:rFonts w:hint="eastAsia" w:ascii="宋体" w:hAnsi="宋体" w:eastAsia="宋体" w:cs="宋体"/>
          <w:b/>
          <w:bCs/>
          <w:lang w:eastAsia="zh-CN"/>
        </w:rPr>
        <w:t>29、成交通知书</w:t>
      </w:r>
    </w:p>
    <w:p w14:paraId="30F36D4D">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29.1成交结果确定后，采购</w:t>
      </w:r>
      <w:r>
        <w:rPr>
          <w:rFonts w:hint="eastAsia" w:ascii="宋体" w:hAnsi="宋体" w:eastAsia="宋体" w:cs="宋体"/>
          <w:lang w:val="en-US" w:eastAsia="zh-CN"/>
        </w:rPr>
        <w:t>代理机构</w:t>
      </w:r>
      <w:r>
        <w:rPr>
          <w:rFonts w:hint="eastAsia" w:ascii="宋体" w:hAnsi="宋体" w:eastAsia="宋体" w:cs="宋体"/>
          <w:lang w:val="zh-CN" w:eastAsia="zh-CN"/>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3E11CCB6">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29.2成交通知书将是合同的一个组成部分。对采购人和成交供应商均具有法律效力。成交通知书发出后，采购人改变成交结果的，或者成交供应商放弃成交项目的，应当依法承担法律责任。</w:t>
      </w:r>
    </w:p>
    <w:p w14:paraId="71BC93A9">
      <w:pPr>
        <w:pStyle w:val="3"/>
        <w:spacing w:before="0" w:after="0" w:line="360" w:lineRule="auto"/>
        <w:rPr>
          <w:rFonts w:hint="eastAsia" w:ascii="宋体" w:hAnsi="宋体" w:eastAsia="宋体" w:cs="宋体"/>
          <w:lang w:eastAsia="zh-CN"/>
        </w:rPr>
      </w:pPr>
      <w:bookmarkStart w:id="226" w:name="_Toc120614220"/>
      <w:bookmarkStart w:id="227" w:name="_Toc20823308"/>
      <w:bookmarkStart w:id="228" w:name="_Toc16938552"/>
      <w:bookmarkStart w:id="229" w:name="_Toc513029236"/>
      <w:r>
        <w:rPr>
          <w:rFonts w:hint="eastAsia" w:ascii="宋体" w:hAnsi="宋体" w:eastAsia="宋体" w:cs="宋体"/>
          <w:lang w:eastAsia="zh-CN"/>
        </w:rPr>
        <w:t>七、授予合同</w:t>
      </w:r>
      <w:bookmarkEnd w:id="226"/>
    </w:p>
    <w:bookmarkEnd w:id="227"/>
    <w:bookmarkEnd w:id="228"/>
    <w:bookmarkEnd w:id="229"/>
    <w:p w14:paraId="4BE3A4AA">
      <w:pPr>
        <w:pStyle w:val="27"/>
        <w:ind w:firstLine="0" w:firstLineChars="0"/>
        <w:outlineLvl w:val="2"/>
        <w:rPr>
          <w:rFonts w:hint="eastAsia" w:ascii="宋体" w:hAnsi="宋体" w:eastAsia="宋体" w:cs="宋体"/>
          <w:b/>
          <w:bCs/>
          <w:lang w:eastAsia="zh-CN"/>
        </w:rPr>
      </w:pPr>
      <w:bookmarkStart w:id="230" w:name="_Toc20823309"/>
      <w:bookmarkStart w:id="231" w:name="_Toc16938553"/>
      <w:bookmarkStart w:id="232" w:name="_Toc513029237"/>
      <w:r>
        <w:rPr>
          <w:rFonts w:hint="eastAsia" w:ascii="宋体" w:hAnsi="宋体" w:eastAsia="宋体" w:cs="宋体"/>
          <w:b/>
          <w:bCs/>
          <w:lang w:eastAsia="zh-CN"/>
        </w:rPr>
        <w:t>30、签订合同</w:t>
      </w:r>
    </w:p>
    <w:p w14:paraId="75BF7439">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30.l成交供应商应当在成交通知书发出之日起三十日内，按照采购文件确定的事项与采购人签订政府采购合同。</w:t>
      </w:r>
    </w:p>
    <w:p w14:paraId="10204BB9">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30.2采购文件、成交供应商的响应文件及采购过程中有关澄清、承诺文件均应作为合同附件。</w:t>
      </w:r>
    </w:p>
    <w:p w14:paraId="51A8B25F">
      <w:pPr>
        <w:spacing w:line="440" w:lineRule="exact"/>
        <w:ind w:firstLine="480" w:firstLineChars="200"/>
        <w:rPr>
          <w:rFonts w:hint="eastAsia" w:ascii="宋体" w:hAnsi="宋体" w:eastAsia="宋体" w:cs="宋体"/>
          <w:lang w:val="zh-CN" w:eastAsia="zh-CN"/>
        </w:rPr>
      </w:pPr>
      <w:r>
        <w:rPr>
          <w:rFonts w:hint="eastAsia" w:ascii="宋体" w:hAnsi="宋体" w:eastAsia="宋体" w:cs="宋体"/>
          <w:lang w:val="zh-CN" w:eastAsia="zh-CN"/>
        </w:rPr>
        <w:t>30.3 签订合同后，成交供应商不得将合同标的进行转包。未经采购人同意，成交供应商也不得采用采购包形式履行合同,否则采购人有权终止合同。转包或采购包造成采购人损失的，成交供应商应承担相应赔偿责任。</w:t>
      </w:r>
    </w:p>
    <w:p w14:paraId="36795997">
      <w:pPr>
        <w:pStyle w:val="27"/>
        <w:ind w:firstLine="0" w:firstLineChars="0"/>
        <w:outlineLvl w:val="2"/>
        <w:rPr>
          <w:rFonts w:hint="eastAsia" w:ascii="宋体" w:hAnsi="宋体" w:eastAsia="宋体" w:cs="宋体"/>
          <w:b/>
          <w:bCs/>
          <w:lang w:val="en-US" w:eastAsia="zh-CN"/>
        </w:rPr>
      </w:pPr>
      <w:r>
        <w:rPr>
          <w:rFonts w:hint="eastAsia" w:ascii="宋体" w:hAnsi="宋体" w:eastAsia="宋体" w:cs="宋体"/>
          <w:b/>
          <w:bCs/>
          <w:lang w:val="en-US" w:eastAsia="zh-CN"/>
        </w:rPr>
        <w:t>31、政策功能</w:t>
      </w:r>
    </w:p>
    <w:p w14:paraId="748078D5">
      <w:pPr>
        <w:spacing w:line="360" w:lineRule="auto"/>
        <w:ind w:firstLine="560"/>
        <w:rPr>
          <w:rFonts w:hint="eastAsia" w:ascii="宋体" w:hAnsi="宋体" w:eastAsia="宋体" w:cs="宋体"/>
          <w:lang w:eastAsia="zh-CN"/>
        </w:rPr>
      </w:pPr>
      <w:r>
        <w:rPr>
          <w:rFonts w:hint="eastAsia" w:ascii="宋体" w:hAnsi="宋体" w:eastAsia="宋体" w:cs="宋体"/>
          <w:lang w:val="en-US" w:eastAsia="zh-CN"/>
        </w:rPr>
        <w:t>31</w:t>
      </w:r>
      <w:r>
        <w:rPr>
          <w:rFonts w:hint="eastAsia" w:ascii="宋体" w:hAnsi="宋体" w:eastAsia="宋体" w:cs="宋体"/>
          <w:lang w:eastAsia="zh-CN"/>
        </w:rPr>
        <w:t>.1中小企业政策</w:t>
      </w:r>
    </w:p>
    <w:p w14:paraId="6453D972">
      <w:pPr>
        <w:spacing w:line="360" w:lineRule="auto"/>
        <w:ind w:firstLine="560"/>
        <w:rPr>
          <w:rFonts w:hint="eastAsia" w:ascii="宋体" w:hAnsi="宋体" w:eastAsia="宋体" w:cs="宋体"/>
          <w:lang w:eastAsia="zh-CN"/>
        </w:rPr>
      </w:pPr>
      <w:r>
        <w:rPr>
          <w:rFonts w:hint="eastAsia" w:ascii="宋体" w:hAnsi="宋体" w:eastAsia="宋体" w:cs="宋体"/>
          <w:lang w:eastAsia="zh-CN"/>
        </w:rPr>
        <w:t>（1）中小企业（含中型、小型、微型企业）应当符合《政府采购促进中小企业发展管理办法》（财库〔2020〕46号,以下简称46号文）第二条、《关于政府采购支持监狱企业发展有关问题的通知》（财库〔2014〕68号）第一条或《关于促进残疾人就业政府采购政策的通知》（财库〔2017〕141号）第一条的规定。本项目对残疾人福利性单位、监狱和戒毒企业（简称监狱企业）视同小型、微型企业。残疾人福利单位、监狱企业属于小型、微型企业的，不重复享受政策。</w:t>
      </w:r>
    </w:p>
    <w:p w14:paraId="18E24D4B">
      <w:pPr>
        <w:spacing w:line="360" w:lineRule="auto"/>
        <w:ind w:firstLine="560"/>
        <w:rPr>
          <w:rFonts w:hint="eastAsia" w:ascii="宋体" w:hAnsi="宋体" w:eastAsia="宋体" w:cs="宋体"/>
          <w:lang w:eastAsia="zh-CN"/>
        </w:rPr>
      </w:pPr>
      <w:r>
        <w:rPr>
          <w:rFonts w:hint="eastAsia" w:ascii="宋体" w:hAnsi="宋体" w:eastAsia="宋体" w:cs="宋体"/>
          <w:lang w:eastAsia="zh-CN"/>
        </w:rPr>
        <w:t>（2）中小企业依据46号文规定的政策获取政府采购合同后，小型、微型企业不得分包或转包给大型、中型企业，中型企业不得分包或转包给大型企业。</w:t>
      </w:r>
    </w:p>
    <w:p w14:paraId="78F2BA07">
      <w:pPr>
        <w:spacing w:line="360" w:lineRule="auto"/>
        <w:ind w:firstLine="560"/>
        <w:rPr>
          <w:rFonts w:hint="eastAsia" w:ascii="宋体" w:hAnsi="宋体" w:eastAsia="宋体" w:cs="宋体"/>
          <w:lang w:eastAsia="zh-CN"/>
        </w:rPr>
      </w:pPr>
      <w:r>
        <w:rPr>
          <w:rFonts w:hint="eastAsia" w:ascii="宋体" w:hAnsi="宋体" w:eastAsia="宋体" w:cs="宋体"/>
          <w:lang w:eastAsia="zh-CN"/>
        </w:rPr>
        <w:t>（3）政府采购监督检查、投诉处理及政府采购行政处罚中对中小企业的认定，由货物制造商或者工程、服务供应商注册登记所在地的县级以上人民政府中小企业主管部门负责。</w:t>
      </w:r>
    </w:p>
    <w:p w14:paraId="3D1A785C">
      <w:pPr>
        <w:spacing w:line="360" w:lineRule="auto"/>
        <w:ind w:firstLine="560"/>
        <w:rPr>
          <w:rFonts w:hint="eastAsia" w:ascii="宋体" w:hAnsi="宋体" w:eastAsia="宋体" w:cs="宋体"/>
          <w:lang w:eastAsia="zh-CN"/>
        </w:rPr>
      </w:pPr>
      <w:r>
        <w:rPr>
          <w:rFonts w:hint="eastAsia" w:ascii="宋体" w:hAnsi="宋体" w:eastAsia="宋体" w:cs="宋体"/>
          <w:lang w:eastAsia="zh-CN"/>
        </w:rPr>
        <w:t>（4）根据《江苏省政府采购信用管理暂行办法》的规定，供应商信用评价结果为三星的扣2分，评价结果为二星的扣3分，评价结果为一星的扣4分。</w:t>
      </w:r>
    </w:p>
    <w:p w14:paraId="5B5AAEF5">
      <w:pPr>
        <w:spacing w:line="360" w:lineRule="auto"/>
        <w:ind w:firstLine="560"/>
        <w:rPr>
          <w:rFonts w:hint="eastAsia" w:ascii="宋体" w:hAnsi="宋体" w:eastAsia="宋体" w:cs="宋体"/>
          <w:lang w:eastAsia="zh-CN"/>
        </w:rPr>
      </w:pPr>
      <w:r>
        <w:rPr>
          <w:rFonts w:hint="eastAsia" w:ascii="宋体" w:hAnsi="宋体" w:eastAsia="宋体" w:cs="宋体"/>
          <w:lang w:val="en-US" w:eastAsia="zh-CN"/>
        </w:rPr>
        <w:t>31</w:t>
      </w:r>
      <w:r>
        <w:rPr>
          <w:rFonts w:hint="eastAsia" w:ascii="宋体" w:hAnsi="宋体" w:eastAsia="宋体" w:cs="宋体"/>
          <w:lang w:eastAsia="zh-CN"/>
        </w:rPr>
        <w:t>.2节能产品政策</w:t>
      </w:r>
    </w:p>
    <w:p w14:paraId="79D793F7">
      <w:pPr>
        <w:spacing w:line="360" w:lineRule="auto"/>
        <w:ind w:firstLine="560"/>
        <w:rPr>
          <w:rFonts w:hint="eastAsia" w:ascii="宋体" w:hAnsi="宋体" w:eastAsia="宋体" w:cs="宋体"/>
          <w:lang w:eastAsia="zh-CN"/>
        </w:rPr>
      </w:pPr>
      <w:r>
        <w:rPr>
          <w:rFonts w:hint="eastAsia" w:ascii="宋体" w:hAnsi="宋体" w:eastAsia="宋体" w:cs="宋体"/>
          <w:lang w:eastAsia="zh-CN"/>
        </w:rPr>
        <w:t>（1）根据《财政部、发展改革委、生态环境部、市场监管总局关于调整优化节能产品、环境标志产品政府采购执行机制的通知》（财库〔2019〕9号）和《财政部、发展改革委关于印发节能产品政府采购品目清单的通知》（财库〔2019〕19号）， 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p>
    <w:p w14:paraId="7266AF9D">
      <w:pPr>
        <w:spacing w:line="360" w:lineRule="auto"/>
        <w:ind w:firstLine="560"/>
        <w:rPr>
          <w:rFonts w:hint="eastAsia" w:ascii="宋体" w:hAnsi="宋体" w:eastAsia="宋体" w:cs="宋体"/>
          <w:lang w:eastAsia="zh-CN"/>
        </w:rPr>
      </w:pPr>
      <w:r>
        <w:rPr>
          <w:rFonts w:hint="eastAsia" w:ascii="宋体" w:hAnsi="宋体" w:eastAsia="宋体" w:cs="宋体"/>
          <w:lang w:eastAsia="zh-CN"/>
        </w:rPr>
        <w:t>（2）参加政府采购活动的节能产品供应商应当提供国家确定的认证机构出具的、处于有效期之内的节能产品产品认证证书。</w:t>
      </w:r>
    </w:p>
    <w:p w14:paraId="2405A54B">
      <w:pPr>
        <w:spacing w:line="360" w:lineRule="auto"/>
        <w:ind w:firstLine="560"/>
        <w:rPr>
          <w:rFonts w:hint="eastAsia" w:ascii="宋体" w:hAnsi="宋体" w:eastAsia="宋体" w:cs="宋体"/>
          <w:lang w:eastAsia="zh-CN"/>
        </w:rPr>
      </w:pPr>
      <w:r>
        <w:rPr>
          <w:rFonts w:hint="eastAsia" w:ascii="宋体" w:hAnsi="宋体" w:eastAsia="宋体" w:cs="宋体"/>
          <w:lang w:val="en-US" w:eastAsia="zh-CN"/>
        </w:rPr>
        <w:t>31</w:t>
      </w:r>
      <w:r>
        <w:rPr>
          <w:rFonts w:hint="eastAsia" w:ascii="宋体" w:hAnsi="宋体" w:eastAsia="宋体" w:cs="宋体"/>
          <w:lang w:eastAsia="zh-CN"/>
        </w:rPr>
        <w:t>.3环境标志产品政策</w:t>
      </w:r>
    </w:p>
    <w:p w14:paraId="00D2A23C">
      <w:pPr>
        <w:spacing w:line="360" w:lineRule="auto"/>
        <w:ind w:firstLine="560"/>
        <w:rPr>
          <w:rFonts w:hint="eastAsia" w:ascii="宋体" w:hAnsi="宋体" w:eastAsia="宋体" w:cs="宋体"/>
          <w:lang w:eastAsia="zh-CN"/>
        </w:rPr>
      </w:pPr>
      <w:r>
        <w:rPr>
          <w:rFonts w:hint="eastAsia" w:ascii="宋体" w:hAnsi="宋体" w:eastAsia="宋体" w:cs="宋体"/>
          <w:lang w:eastAsia="zh-CN"/>
        </w:rPr>
        <w:t>（1）根据《财政部、发展改革委、生态环境部、市场监管总局关于调整优化节能产品、环境标志产品政府采购执行机制的通知》（财库〔2019〕9号）和《财政部、生态环境部关于印发环境标志产品政府采购品目清单的通知》（财库〔2019〕18号）， 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p>
    <w:p w14:paraId="34227C5D">
      <w:pPr>
        <w:spacing w:line="360" w:lineRule="auto"/>
        <w:ind w:firstLine="560"/>
        <w:rPr>
          <w:rFonts w:hint="eastAsia" w:ascii="宋体" w:hAnsi="宋体" w:eastAsia="宋体" w:cs="宋体"/>
          <w:lang w:eastAsia="zh-CN"/>
        </w:rPr>
      </w:pPr>
      <w:r>
        <w:rPr>
          <w:rFonts w:hint="eastAsia" w:ascii="宋体" w:hAnsi="宋体" w:eastAsia="宋体" w:cs="宋体"/>
          <w:lang w:eastAsia="zh-CN"/>
        </w:rPr>
        <w:t>（2）参加政府采购活动的环境标志产品供应商应当提供国家确定的认证机构出具的、处于有效期之内的环境标志产品认证证书。</w:t>
      </w:r>
    </w:p>
    <w:p w14:paraId="70354F32">
      <w:pPr>
        <w:spacing w:line="360" w:lineRule="auto"/>
        <w:ind w:firstLine="560"/>
        <w:rPr>
          <w:rFonts w:hint="eastAsia" w:ascii="宋体" w:hAnsi="宋体" w:eastAsia="宋体" w:cs="宋体"/>
          <w:lang w:eastAsia="zh-CN"/>
        </w:rPr>
      </w:pPr>
      <w:r>
        <w:rPr>
          <w:rFonts w:hint="eastAsia" w:ascii="宋体" w:hAnsi="宋体" w:eastAsia="宋体" w:cs="宋体"/>
          <w:lang w:val="en-US" w:eastAsia="zh-CN"/>
        </w:rPr>
        <w:t>31</w:t>
      </w:r>
      <w:r>
        <w:rPr>
          <w:rFonts w:hint="eastAsia" w:ascii="宋体" w:hAnsi="宋体" w:eastAsia="宋体" w:cs="宋体"/>
          <w:lang w:eastAsia="zh-CN"/>
        </w:rPr>
        <w:t>.4进口产品政策</w:t>
      </w:r>
    </w:p>
    <w:p w14:paraId="7FD2558B">
      <w:pPr>
        <w:spacing w:line="360" w:lineRule="auto"/>
        <w:ind w:firstLine="560"/>
        <w:rPr>
          <w:rFonts w:hint="eastAsia" w:ascii="宋体" w:hAnsi="宋体" w:eastAsia="宋体" w:cs="宋体"/>
          <w:lang w:eastAsia="zh-CN"/>
        </w:rPr>
      </w:pPr>
      <w:r>
        <w:rPr>
          <w:rFonts w:hint="eastAsia" w:ascii="宋体" w:hAnsi="宋体" w:eastAsia="宋体" w:cs="宋体"/>
          <w:lang w:eastAsia="zh-CN"/>
        </w:rPr>
        <w:t>（1）除协商公告载明接受进口产品参加外，不允许进口产品参加。进口产品认定依照《财政部关于政府采购进口产品管理有关问题的通知》（财办库〔2008〕248号）的规定。</w:t>
      </w:r>
    </w:p>
    <w:p w14:paraId="419FF2E1">
      <w:pPr>
        <w:spacing w:line="360" w:lineRule="auto"/>
        <w:ind w:firstLine="560"/>
        <w:rPr>
          <w:rFonts w:hint="eastAsia" w:ascii="宋体" w:hAnsi="宋体" w:eastAsia="宋体" w:cs="宋体"/>
          <w:lang w:eastAsia="zh-CN"/>
        </w:rPr>
      </w:pPr>
      <w:r>
        <w:rPr>
          <w:rFonts w:hint="eastAsia" w:ascii="宋体" w:hAnsi="宋体" w:eastAsia="宋体" w:cs="宋体"/>
          <w:lang w:eastAsia="zh-CN"/>
        </w:rPr>
        <w:t>（2）允许进口产品参加的，满足需求的国内产品可以参加。</w:t>
      </w:r>
    </w:p>
    <w:p w14:paraId="5BA8CCFB">
      <w:pPr>
        <w:spacing w:line="360" w:lineRule="auto"/>
        <w:ind w:firstLine="560"/>
        <w:rPr>
          <w:rFonts w:hint="eastAsia" w:ascii="宋体" w:hAnsi="宋体" w:eastAsia="宋体" w:cs="宋体"/>
          <w:lang w:eastAsia="zh-CN"/>
        </w:rPr>
      </w:pPr>
      <w:r>
        <w:rPr>
          <w:rFonts w:hint="eastAsia" w:ascii="宋体" w:hAnsi="宋体" w:eastAsia="宋体" w:cs="宋体"/>
          <w:lang w:eastAsia="zh-CN"/>
        </w:rPr>
        <w:t>（3）允许进口产品参加的，优先采购向我国企业转让技术、与我国企业签订消化吸收再创新方案的供应商的进口产品。</w:t>
      </w:r>
    </w:p>
    <w:p w14:paraId="046554B5">
      <w:pPr>
        <w:spacing w:line="360" w:lineRule="auto"/>
        <w:ind w:firstLine="560"/>
        <w:rPr>
          <w:rFonts w:hint="eastAsia" w:ascii="宋体" w:hAnsi="宋体" w:eastAsia="宋体" w:cs="宋体"/>
          <w:lang w:val="en-US" w:eastAsia="zh-CN"/>
        </w:rPr>
      </w:pPr>
      <w:r>
        <w:rPr>
          <w:rFonts w:hint="eastAsia" w:ascii="宋体" w:hAnsi="宋体" w:eastAsia="宋体" w:cs="宋体"/>
          <w:lang w:val="en-US" w:eastAsia="zh-CN"/>
        </w:rPr>
        <w:t>31.5未按要求提供相关材料的，不享受相关政策。</w:t>
      </w:r>
    </w:p>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230"/>
    <w:bookmarkEnd w:id="231"/>
    <w:bookmarkEnd w:id="232"/>
    <w:p w14:paraId="1AEFAD92">
      <w:pPr>
        <w:rPr>
          <w:rFonts w:hint="eastAsia" w:ascii="宋体" w:hAnsi="宋体" w:eastAsia="宋体" w:cs="宋体"/>
          <w:b/>
          <w:bCs/>
          <w:kern w:val="44"/>
          <w:sz w:val="44"/>
          <w:szCs w:val="44"/>
          <w:highlight w:val="none"/>
          <w:lang w:val="en-US" w:eastAsia="zh-CN" w:bidi="ar-SA"/>
        </w:rPr>
      </w:pPr>
      <w:bookmarkStart w:id="233" w:name="_Toc7058"/>
      <w:bookmarkStart w:id="234" w:name="_Toc27167"/>
      <w:bookmarkStart w:id="235" w:name="_Toc27198"/>
      <w:bookmarkStart w:id="236" w:name="_Toc12989"/>
      <w:bookmarkStart w:id="237" w:name="_Toc2731"/>
      <w:bookmarkStart w:id="238" w:name="_Toc11082"/>
      <w:bookmarkStart w:id="239" w:name="_Toc24559"/>
      <w:bookmarkStart w:id="240" w:name="_Toc1254"/>
      <w:bookmarkStart w:id="241" w:name="_Toc26827"/>
      <w:bookmarkStart w:id="242" w:name="_Toc4027"/>
      <w:bookmarkStart w:id="243" w:name="_Toc5186"/>
      <w:bookmarkStart w:id="244" w:name="_Toc9496"/>
      <w:bookmarkStart w:id="245" w:name="_Toc10248"/>
      <w:bookmarkStart w:id="246" w:name="_Toc16473"/>
      <w:bookmarkStart w:id="247" w:name="_Toc12479"/>
      <w:bookmarkStart w:id="248" w:name="_Toc486"/>
      <w:bookmarkStart w:id="249" w:name="_Toc22860"/>
      <w:r>
        <w:rPr>
          <w:rFonts w:hint="eastAsia" w:ascii="宋体" w:hAnsi="宋体" w:eastAsia="宋体" w:cs="宋体"/>
          <w:b/>
          <w:bCs/>
          <w:kern w:val="44"/>
          <w:sz w:val="44"/>
          <w:szCs w:val="44"/>
          <w:highlight w:val="none"/>
          <w:lang w:val="en-US" w:eastAsia="zh-CN" w:bidi="ar-SA"/>
        </w:rPr>
        <w:br w:type="page"/>
      </w:r>
    </w:p>
    <w:p w14:paraId="572EA666">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340" w:beforeAutospacing="0" w:after="330" w:afterAutospacing="0" w:line="136" w:lineRule="atLeast"/>
        <w:ind w:left="567"/>
        <w:jc w:val="center"/>
        <w:outlineLvl w:val="0"/>
        <w:rPr>
          <w:rFonts w:hint="eastAsia" w:ascii="宋体" w:hAnsi="宋体" w:eastAsia="宋体" w:cs="宋体"/>
        </w:rPr>
      </w:pPr>
      <w:r>
        <w:rPr>
          <w:rFonts w:hint="eastAsia" w:ascii="宋体" w:hAnsi="宋体" w:eastAsia="宋体" w:cs="宋体"/>
          <w:b/>
          <w:bCs/>
          <w:kern w:val="44"/>
          <w:sz w:val="44"/>
          <w:szCs w:val="44"/>
          <w:highlight w:val="none"/>
          <w:lang w:val="en-US" w:eastAsia="zh-CN" w:bidi="ar-SA"/>
        </w:rPr>
        <w:t xml:space="preserve">第三章 </w:t>
      </w:r>
      <w:bookmarkEnd w:id="233"/>
      <w:bookmarkEnd w:id="234"/>
      <w:bookmarkEnd w:id="235"/>
      <w:bookmarkEnd w:id="236"/>
      <w:bookmarkEnd w:id="237"/>
      <w:bookmarkEnd w:id="238"/>
      <w:bookmarkEnd w:id="239"/>
      <w:r>
        <w:rPr>
          <w:rFonts w:hint="eastAsia" w:ascii="宋体" w:hAnsi="宋体" w:eastAsia="宋体" w:cs="宋体"/>
          <w:b/>
          <w:bCs/>
          <w:kern w:val="44"/>
          <w:sz w:val="44"/>
          <w:szCs w:val="44"/>
          <w:highlight w:val="none"/>
          <w:lang w:val="en-US" w:eastAsia="zh-CN" w:bidi="ar-SA"/>
        </w:rPr>
        <w:t>合同主要条款及格式</w:t>
      </w:r>
      <w:bookmarkEnd w:id="240"/>
    </w:p>
    <w:p w14:paraId="3385937A">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jc w:val="center"/>
        <w:rPr>
          <w:rFonts w:hint="eastAsia" w:ascii="宋体" w:hAnsi="宋体" w:eastAsia="宋体" w:cs="宋体"/>
        </w:rPr>
      </w:pPr>
      <w:r>
        <w:rPr>
          <w:rFonts w:hint="eastAsia" w:ascii="宋体" w:hAnsi="宋体" w:eastAsia="宋体" w:cs="宋体"/>
          <w:b/>
          <w:bCs/>
          <w:color w:val="000000"/>
          <w:sz w:val="44"/>
          <w:szCs w:val="44"/>
        </w:rPr>
        <w:t>江苏省政府采购合同（仅供参考）</w:t>
      </w:r>
    </w:p>
    <w:p w14:paraId="2F1C44EB">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jc w:val="center"/>
        <w:rPr>
          <w:rFonts w:hint="eastAsia" w:ascii="宋体" w:hAnsi="宋体" w:eastAsia="宋体" w:cs="宋体"/>
        </w:rPr>
      </w:pPr>
      <w:r>
        <w:rPr>
          <w:rFonts w:hint="eastAsia" w:ascii="宋体" w:hAnsi="宋体" w:eastAsia="宋体" w:cs="宋体"/>
          <w:b/>
          <w:bCs/>
          <w:color w:val="000000"/>
          <w:sz w:val="44"/>
          <w:szCs w:val="44"/>
        </w:rPr>
        <w:t> </w:t>
      </w:r>
    </w:p>
    <w:p w14:paraId="7213279E">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项目名称： </w:t>
      </w:r>
      <w:r>
        <w:rPr>
          <w:rFonts w:hint="eastAsia" w:ascii="宋体" w:hAnsi="宋体" w:eastAsia="宋体" w:cs="宋体"/>
          <w:color w:val="000000"/>
          <w:sz w:val="24"/>
          <w:szCs w:val="24"/>
          <w:lang w:val="en-US" w:eastAsia="zh-CN"/>
        </w:rPr>
        <w:t>第十六届江苏—澳门 葡语国家工商峰会会展搭建及会务承办</w:t>
      </w:r>
    </w:p>
    <w:p w14:paraId="0E63FE82">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项目编号：</w:t>
      </w:r>
    </w:p>
    <w:p w14:paraId="53862EF4">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甲方：（买方）江苏省人民政府外事办公室</w:t>
      </w:r>
    </w:p>
    <w:p w14:paraId="5E3915B9">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乙方：（卖方）</w:t>
      </w:r>
    </w:p>
    <w:p w14:paraId="67666A08">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firstLine="480" w:firstLineChars="200"/>
        <w:jc w:val="both"/>
        <w:rPr>
          <w:rFonts w:hint="eastAsia" w:ascii="宋体" w:hAnsi="宋体" w:eastAsia="宋体" w:cs="宋体"/>
        </w:rPr>
      </w:pPr>
      <w:r>
        <w:rPr>
          <w:rFonts w:hint="eastAsia" w:ascii="宋体" w:hAnsi="宋体" w:eastAsia="宋体" w:cs="宋体"/>
          <w:color w:val="000000"/>
          <w:sz w:val="24"/>
          <w:szCs w:val="24"/>
        </w:rPr>
        <w:t>甲、乙双方根据</w:t>
      </w:r>
      <w:r>
        <w:rPr>
          <w:rFonts w:hint="eastAsia" w:ascii="宋体" w:hAnsi="宋体" w:eastAsia="宋体" w:cs="宋体"/>
          <w:color w:val="333333"/>
          <w:sz w:val="24"/>
          <w:szCs w:val="24"/>
          <w:lang w:eastAsia="zh-CN"/>
        </w:rPr>
        <w:t>第十六届江苏—澳门 葡语国家工商峰会</w:t>
      </w:r>
      <w:r>
        <w:rPr>
          <w:rFonts w:hint="eastAsia" w:ascii="宋体" w:hAnsi="宋体" w:eastAsia="宋体" w:cs="宋体"/>
          <w:color w:val="000000"/>
          <w:sz w:val="24"/>
          <w:szCs w:val="24"/>
          <w:lang w:val="en-US" w:eastAsia="zh-CN"/>
        </w:rPr>
        <w:t>会展搭建及会务承办</w:t>
      </w:r>
      <w:bookmarkStart w:id="352" w:name="_GoBack"/>
      <w:r>
        <w:rPr>
          <w:rFonts w:hint="eastAsia" w:ascii="宋体" w:hAnsi="宋体" w:eastAsia="宋体" w:cs="宋体"/>
          <w:color w:val="000000"/>
          <w:sz w:val="24"/>
          <w:szCs w:val="24"/>
        </w:rPr>
        <w:t>项</w:t>
      </w:r>
      <w:bookmarkEnd w:id="352"/>
      <w:r>
        <w:rPr>
          <w:rFonts w:hint="eastAsia" w:ascii="宋体" w:hAnsi="宋体" w:eastAsia="宋体" w:cs="宋体"/>
          <w:color w:val="000000"/>
          <w:sz w:val="24"/>
          <w:szCs w:val="24"/>
        </w:rPr>
        <w:t>目单一来源</w:t>
      </w:r>
      <w:r>
        <w:rPr>
          <w:rFonts w:hint="eastAsia" w:ascii="宋体" w:hAnsi="宋体" w:eastAsia="宋体" w:cs="宋体"/>
          <w:color w:val="000000"/>
          <w:sz w:val="24"/>
          <w:szCs w:val="24"/>
          <w:lang w:eastAsia="zh-CN"/>
        </w:rPr>
        <w:t>采购</w:t>
      </w:r>
      <w:r>
        <w:rPr>
          <w:rFonts w:hint="eastAsia" w:ascii="宋体" w:hAnsi="宋体" w:eastAsia="宋体" w:cs="宋体"/>
          <w:color w:val="000000"/>
          <w:sz w:val="24"/>
          <w:szCs w:val="24"/>
        </w:rPr>
        <w:t>的结果，签署本合同。</w:t>
      </w:r>
    </w:p>
    <w:p w14:paraId="256CC547">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一、采购标的</w:t>
      </w:r>
    </w:p>
    <w:p w14:paraId="4FDC8C4C">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firstLine="480" w:firstLineChars="200"/>
        <w:jc w:val="both"/>
        <w:rPr>
          <w:rFonts w:hint="eastAsia" w:ascii="宋体" w:hAnsi="宋体" w:eastAsia="宋体" w:cs="宋体"/>
        </w:rPr>
      </w:pPr>
      <w:r>
        <w:rPr>
          <w:rFonts w:hint="eastAsia" w:ascii="宋体" w:hAnsi="宋体" w:eastAsia="宋体" w:cs="宋体"/>
          <w:color w:val="000000"/>
          <w:sz w:val="24"/>
          <w:szCs w:val="24"/>
        </w:rPr>
        <w:t>1.1 产品/服务内容：</w:t>
      </w:r>
      <w:r>
        <w:rPr>
          <w:rFonts w:hint="eastAsia" w:ascii="宋体" w:hAnsi="宋体" w:eastAsia="宋体" w:cs="宋体"/>
          <w:color w:val="333333"/>
          <w:sz w:val="24"/>
          <w:szCs w:val="24"/>
          <w:u w:val="single"/>
          <w:lang w:eastAsia="zh-CN"/>
        </w:rPr>
        <w:t>第十六届江苏—澳门 葡语国家工商峰会</w:t>
      </w:r>
      <w:r>
        <w:rPr>
          <w:rFonts w:hint="eastAsia" w:ascii="宋体" w:hAnsi="宋体" w:eastAsia="宋体" w:cs="宋体"/>
          <w:color w:val="000000"/>
          <w:sz w:val="24"/>
          <w:szCs w:val="24"/>
          <w:u w:val="single"/>
          <w:lang w:val="en-US" w:eastAsia="zh-CN"/>
        </w:rPr>
        <w:t>会展搭建及会务承办</w:t>
      </w:r>
      <w:r>
        <w:rPr>
          <w:rFonts w:hint="eastAsia" w:ascii="宋体" w:hAnsi="宋体" w:eastAsia="宋体" w:cs="宋体"/>
          <w:color w:val="000000"/>
          <w:sz w:val="24"/>
          <w:szCs w:val="24"/>
          <w:u w:val="single"/>
        </w:rPr>
        <w:t>。</w:t>
      </w:r>
    </w:p>
    <w:p w14:paraId="7D9748ED">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1.2 服务期限：</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w:t>
      </w:r>
    </w:p>
    <w:p w14:paraId="7E602E41">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1.3 补充条款：</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3B0DE5F9">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二、合同金额</w:t>
      </w:r>
    </w:p>
    <w:p w14:paraId="11545D79">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2.1 本合同金额为（大写）：</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 </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元）人民币。本合同价款包含所有乙方提供合同约定产品和服务的报酬及乙方提供合同中产品和服务所支出的必要费用，甲方在上述合同价款之外不再向乙方支付其他任何费用。</w:t>
      </w:r>
    </w:p>
    <w:p w14:paraId="08F970CB">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三、技术资料</w:t>
      </w:r>
    </w:p>
    <w:p w14:paraId="0F5EA936">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3.1乙方应按采购文件规定的时间向甲方提供有关技术资料。</w:t>
      </w:r>
    </w:p>
    <w:p w14:paraId="0A382FAF">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12CBA0B">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四、知识产权</w:t>
      </w:r>
    </w:p>
    <w:p w14:paraId="00B3BF4D">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乙方应保证甲方在使用、接受本合同中产品和服务或其任何一部分时不受第三方提出侵犯其专利权、版权、商标权和工业设计权等知识产权的起诉。一旦出现侵权，由乙方负全部责任。</w:t>
      </w:r>
    </w:p>
    <w:p w14:paraId="7C6DEFE9">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五、产权担保</w:t>
      </w:r>
    </w:p>
    <w:p w14:paraId="317B2209">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乙方保证所交付标的的所有权完全属于乙方且无任何抵押、查封等产权瑕疵。</w:t>
      </w:r>
    </w:p>
    <w:p w14:paraId="5DF927D8">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六、履约保证金</w:t>
      </w:r>
    </w:p>
    <w:p w14:paraId="637D0FBD">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本项目不收取履约保证金。</w:t>
      </w:r>
    </w:p>
    <w:p w14:paraId="752F82AC">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七、转包或分包</w:t>
      </w:r>
    </w:p>
    <w:p w14:paraId="462AD3D1">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7.1本合同范围内产品或服务，应由乙方直接供应，不得转让他人供应；</w:t>
      </w:r>
    </w:p>
    <w:p w14:paraId="3A8B22F8">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7.2 除非得到甲方的书面同意，乙方不得部分分包给他人供应。</w:t>
      </w:r>
    </w:p>
    <w:p w14:paraId="0AFAB96D">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 xml:space="preserve">7.3如有转让和未经甲方同意的分包行为，甲方有权给予终止合同。 </w:t>
      </w:r>
    </w:p>
    <w:p w14:paraId="3CFC5803">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八、质保期</w:t>
      </w:r>
    </w:p>
    <w:p w14:paraId="7705476A">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 质保期</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年。（自项目验收合格之日起计）</w:t>
      </w:r>
    </w:p>
    <w:p w14:paraId="1749A84A">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九、交付期、交付方式及交付地点</w:t>
      </w:r>
    </w:p>
    <w:p w14:paraId="0C361F6D">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9.1交付期：</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  </w:t>
      </w:r>
    </w:p>
    <w:p w14:paraId="5CE1042B">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9.2交付方式：</w:t>
      </w:r>
      <w:r>
        <w:rPr>
          <w:rFonts w:hint="eastAsia" w:ascii="宋体" w:hAnsi="宋体" w:eastAsia="宋体" w:cs="宋体"/>
          <w:color w:val="000000"/>
          <w:sz w:val="24"/>
          <w:szCs w:val="24"/>
          <w:u w:val="single"/>
        </w:rPr>
        <w:t>。</w:t>
      </w:r>
    </w:p>
    <w:p w14:paraId="74079CE9">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9.3交付地点：</w:t>
      </w:r>
      <w:r>
        <w:rPr>
          <w:rFonts w:hint="eastAsia" w:ascii="宋体" w:hAnsi="宋体" w:eastAsia="宋体" w:cs="宋体"/>
          <w:color w:val="000000"/>
          <w:sz w:val="24"/>
          <w:szCs w:val="24"/>
          <w:u w:val="single"/>
        </w:rPr>
        <w:t>。</w:t>
      </w:r>
    </w:p>
    <w:p w14:paraId="6F2F370E">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十、合同款支付</w:t>
      </w:r>
    </w:p>
    <w:p w14:paraId="49A727ED">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line="85" w:lineRule="atLeast"/>
        <w:ind w:firstLine="480" w:firstLineChars="200"/>
        <w:rPr>
          <w:rFonts w:hint="eastAsia" w:ascii="宋体" w:hAnsi="宋体" w:eastAsia="宋体" w:cs="宋体"/>
        </w:rPr>
      </w:pPr>
      <w:r>
        <w:rPr>
          <w:rFonts w:hint="eastAsia" w:ascii="宋体" w:hAnsi="宋体" w:eastAsia="宋体" w:cs="宋体"/>
          <w:color w:val="000000"/>
          <w:sz w:val="24"/>
          <w:szCs w:val="24"/>
        </w:rPr>
        <w:t>10.1付款方式：</w:t>
      </w:r>
      <w:r>
        <w:rPr>
          <w:rFonts w:hint="eastAsia" w:ascii="宋体" w:hAnsi="宋体" w:eastAsia="宋体" w:cs="宋体"/>
          <w:color w:val="000000"/>
          <w:sz w:val="24"/>
          <w:szCs w:val="24"/>
          <w:u w:val="single"/>
        </w:rPr>
        <w:t>本合同签订后5个工作日内预先支付合同价款10%，项目完成后15个工作日内以人民币结清尾款。</w:t>
      </w:r>
    </w:p>
    <w:p w14:paraId="2463264F">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45" w:beforeAutospacing="0" w:after="145"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十一、税费</w:t>
      </w:r>
    </w:p>
    <w:p w14:paraId="6FF807C0">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本合同执行中相关的一切税费均由乙方负担。</w:t>
      </w:r>
    </w:p>
    <w:p w14:paraId="4F65249F">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十二、质量保证及售后服务</w:t>
      </w:r>
    </w:p>
    <w:p w14:paraId="3A4E66ED">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12.1乙方应按采购文件规定和响应文件承诺的性能、技术要求、质量标准向甲方提供产品或服务。</w:t>
      </w:r>
    </w:p>
    <w:p w14:paraId="050F9CBE">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12.2乙方提供的产品或服务在质保期内因其本身出现质量问题，根据实际情况，经双方协商，可按以下办法处理：</w:t>
      </w:r>
    </w:p>
    <w:p w14:paraId="762F1F4D">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（1）更换：由乙方承担所发生的全部费用。</w:t>
      </w:r>
    </w:p>
    <w:p w14:paraId="4584AE1D">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（2）合同终止处理：合同终止，并退还甲方支付的合同款，同时应承担由此产生的所有费用，甲方不承担发生任何费用。</w:t>
      </w:r>
    </w:p>
    <w:p w14:paraId="571C4F15">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12.3如在使用过程中发生质量问题，乙方在接到甲方通知后在  /  小时内到达甲方现场。</w:t>
      </w:r>
    </w:p>
    <w:p w14:paraId="596A845B">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12.4在质保期内，乙方应对产品或服务出现的质量及安全问题负责处理解决并承担一切费用。</w:t>
      </w:r>
    </w:p>
    <w:p w14:paraId="1222B1BA">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12.5合同标的对质量保证和售后服务另有要求的，按采购文件中的相关要求处理。</w:t>
      </w:r>
    </w:p>
    <w:p w14:paraId="39D880FA">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十三、验收</w:t>
      </w:r>
    </w:p>
    <w:p w14:paraId="4F94FDBD">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13.1甲方对乙方提交的产品或服务依据采购文件上的项目需求要求、乙方响应文件及国家有关质量标准进行验收。</w:t>
      </w:r>
    </w:p>
    <w:p w14:paraId="4F09D993">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13.2乙方交货前应对产品或服务作出全面检查和对验收文件进行整理，并列出清单，作为甲方验收和使用的技术条件依据，检验的结果应随服务一起提交甲方。</w:t>
      </w:r>
    </w:p>
    <w:p w14:paraId="05B817EA">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13.3甲方对乙方提供的产品或服务在使用前，乙方需负责培训甲方的使用操作人员，并协助甲方一起试用，直到符合技术要求，甲方才做最终验收。</w:t>
      </w:r>
    </w:p>
    <w:p w14:paraId="5A0A78B3">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13.4对技术复杂的产品或服务，甲方可请国家认可的专业检测机构参与初步验收及最终验收，并由其出具质量检测报告。</w:t>
      </w:r>
    </w:p>
    <w:p w14:paraId="3F36E8EE">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13.5验收时乙方必须在现场，验收完毕后作出验收结果报告；采购文件规定以外的验收费用由甲乙双方协商解决。</w:t>
      </w:r>
    </w:p>
    <w:p w14:paraId="001D020E">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13.6合同标的对验收另有要求的，按采购文件中的相关要求执行。</w:t>
      </w:r>
    </w:p>
    <w:p w14:paraId="0310E106">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十四、合同内容的交付</w:t>
      </w:r>
    </w:p>
    <w:p w14:paraId="05EB6ADD">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14.1乙方应保证合同标的安全运达甲方指定地点。</w:t>
      </w:r>
    </w:p>
    <w:p w14:paraId="2BAA44B5">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14.2 使用说明书、质量检验证明书一并提交甲方。</w:t>
      </w:r>
    </w:p>
    <w:p w14:paraId="650717F7">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14.3 乙方在合同标的交付甲方48小时前通知甲方准备接收。</w:t>
      </w:r>
    </w:p>
    <w:p w14:paraId="040B03D3">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14.4 合同标的在交付甲方前发生的风险均由乙方负责。</w:t>
      </w:r>
    </w:p>
    <w:p w14:paraId="5D165596">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14.5 合同标的在规定的交付期限内由乙方送达甲方指定的地点视为交付，乙方同时需通知甲方已送达；</w:t>
      </w:r>
    </w:p>
    <w:p w14:paraId="4A6A86B3">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14.6合同标的对交付另有要求的，按采购文件中的相关要求执行。</w:t>
      </w:r>
    </w:p>
    <w:p w14:paraId="47A324A1">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十五、违约责任</w:t>
      </w:r>
    </w:p>
    <w:p w14:paraId="5169B096">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15.1 甲方无正当理由拒收的，甲方向乙方偿付拒收货款总值的百分之五违约金。</w:t>
      </w:r>
    </w:p>
    <w:p w14:paraId="04436F9C">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15.2 甲方无故逾期验收和办理合同款支付手续的,甲方应按逾期付款总额每日万分之五向乙方支付违约金。</w:t>
      </w:r>
    </w:p>
    <w:p w14:paraId="7FA273CF">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66B84502">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78C6749C">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十六、不可抗力事件处理</w:t>
      </w:r>
    </w:p>
    <w:p w14:paraId="40F6FA0A">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16.1 在合同有效期内，任何一方因不可抗力事件导致不能履行合同，则合同履行期延长，其延长期与不可抗力影响期相同。</w:t>
      </w:r>
    </w:p>
    <w:p w14:paraId="5588D6BB">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16.2 不可抗力事件发生后，应立即通知对方，并寄送有关权威机构出具的证明。</w:t>
      </w:r>
    </w:p>
    <w:p w14:paraId="1D435017">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16.3 不可抗力事件延续120天以上，双方应通过友好协商，确定是否继续履行合同。</w:t>
      </w:r>
    </w:p>
    <w:p w14:paraId="43AA2B49">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十七、诉讼</w:t>
      </w:r>
    </w:p>
    <w:p w14:paraId="5E0D6595">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17.1 双方在执行合同中所发生的一切争议，应通过协商解决。如协商不成，可向合同签订地法院起诉，合同签订地在此约定为南京市。</w:t>
      </w:r>
    </w:p>
    <w:p w14:paraId="1EF9F238">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b/>
          <w:bCs/>
          <w:color w:val="000000"/>
          <w:sz w:val="24"/>
          <w:szCs w:val="24"/>
        </w:rPr>
        <w:t>十八、合同生效及其它</w:t>
      </w:r>
    </w:p>
    <w:p w14:paraId="46E8CF51">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18.1 合同经双方法定代表人或授权委托代表人签字并加盖单位公章后生效。</w:t>
      </w:r>
    </w:p>
    <w:p w14:paraId="608E5AA4">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18.2本合同未尽事宜，遵照《民法典》有关条文执行。</w:t>
      </w:r>
    </w:p>
    <w:p w14:paraId="372D385E">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18.3 本合同正本一式三份，具有同等法律效力，甲方、乙方、及财政监管部门各执一份。</w:t>
      </w:r>
    </w:p>
    <w:p w14:paraId="06EF3A9F">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ind w:left="0" w:firstLine="480"/>
        <w:jc w:val="both"/>
        <w:rPr>
          <w:rFonts w:hint="eastAsia" w:ascii="宋体" w:hAnsi="宋体" w:eastAsia="宋体" w:cs="宋体"/>
        </w:rPr>
      </w:pPr>
      <w:r>
        <w:rPr>
          <w:rFonts w:hint="eastAsia" w:ascii="宋体" w:hAnsi="宋体" w:eastAsia="宋体" w:cs="宋体"/>
          <w:color w:val="000000"/>
          <w:sz w:val="24"/>
          <w:szCs w:val="24"/>
        </w:rPr>
        <w:t> </w:t>
      </w:r>
    </w:p>
    <w:p w14:paraId="23F18F7F">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甲方：江苏省人民政府外事办公室</w:t>
      </w:r>
    </w:p>
    <w:p w14:paraId="2EF1CC0C">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地址：</w:t>
      </w:r>
    </w:p>
    <w:p w14:paraId="5BB188CB">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法定代表人或授权代表：</w:t>
      </w:r>
    </w:p>
    <w:p w14:paraId="2175FC3F">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联系电话：</w:t>
      </w:r>
    </w:p>
    <w:p w14:paraId="4831670B">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                                 </w:t>
      </w:r>
    </w:p>
    <w:p w14:paraId="1DEB163A">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乙方：</w:t>
      </w:r>
    </w:p>
    <w:p w14:paraId="67A540A3">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地址：</w:t>
      </w:r>
    </w:p>
    <w:p w14:paraId="725EC850">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法定代表人或授权代表：</w:t>
      </w:r>
    </w:p>
    <w:p w14:paraId="661ADF19">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联系电话：</w:t>
      </w:r>
    </w:p>
    <w:p w14:paraId="60AB871A">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 </w:t>
      </w:r>
    </w:p>
    <w:p w14:paraId="6AB12CF9">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 </w:t>
      </w:r>
    </w:p>
    <w:p w14:paraId="5258B9F8">
      <w:pPr>
        <w:pStyle w:val="2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85" w:lineRule="atLeast"/>
        <w:jc w:val="both"/>
        <w:rPr>
          <w:rFonts w:hint="eastAsia" w:ascii="宋体" w:hAnsi="宋体" w:eastAsia="宋体" w:cs="宋体"/>
        </w:rPr>
      </w:pPr>
      <w:r>
        <w:rPr>
          <w:rFonts w:hint="eastAsia" w:ascii="宋体" w:hAnsi="宋体" w:eastAsia="宋体" w:cs="宋体"/>
          <w:color w:val="000000"/>
          <w:sz w:val="24"/>
          <w:szCs w:val="24"/>
        </w:rPr>
        <w:t>                                        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年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p>
    <w:p w14:paraId="69510520">
      <w:pPr>
        <w:pStyle w:val="12"/>
        <w:adjustRightInd w:val="0"/>
        <w:snapToGrid w:val="0"/>
        <w:spacing w:line="360" w:lineRule="auto"/>
        <w:ind w:firstLine="480" w:firstLineChars="200"/>
        <w:rPr>
          <w:rFonts w:hint="eastAsia" w:ascii="宋体" w:hAnsi="宋体" w:eastAsia="宋体" w:cs="宋体"/>
          <w:sz w:val="24"/>
          <w:szCs w:val="24"/>
        </w:rPr>
      </w:pPr>
    </w:p>
    <w:p w14:paraId="58272D0F">
      <w:pPr>
        <w:pStyle w:val="2"/>
        <w:keepNext w:val="0"/>
        <w:keepLines w:val="0"/>
        <w:pageBreakBefore/>
        <w:numPr>
          <w:ilvl w:val="0"/>
          <w:numId w:val="5"/>
        </w:numPr>
        <w:spacing w:line="360" w:lineRule="auto"/>
        <w:jc w:val="center"/>
        <w:rPr>
          <w:rFonts w:hint="eastAsia" w:ascii="宋体" w:hAnsi="宋体" w:eastAsia="宋体" w:cs="宋体"/>
        </w:rPr>
      </w:pPr>
      <w:r>
        <w:rPr>
          <w:rFonts w:hint="eastAsia" w:ascii="宋体" w:hAnsi="宋体" w:eastAsia="宋体" w:cs="宋体"/>
          <w:lang w:eastAsia="zh-CN"/>
        </w:rPr>
        <w:t xml:space="preserve"> </w:t>
      </w:r>
      <w:bookmarkStart w:id="250" w:name="_Toc6692"/>
      <w:bookmarkStart w:id="251" w:name="_Toc3639"/>
      <w:bookmarkStart w:id="252" w:name="_Toc29453"/>
      <w:bookmarkStart w:id="253" w:name="_Toc5842"/>
      <w:bookmarkStart w:id="254" w:name="_Toc23913"/>
      <w:bookmarkStart w:id="255" w:name="_Toc23147"/>
      <w:bookmarkStart w:id="256" w:name="_Toc17416"/>
      <w:bookmarkStart w:id="257" w:name="_Toc15827"/>
      <w:bookmarkStart w:id="258" w:name="_Toc30523"/>
      <w:bookmarkStart w:id="259" w:name="_Toc22882"/>
      <w:bookmarkStart w:id="260" w:name="_Toc10483"/>
      <w:bookmarkStart w:id="261" w:name="_Toc4304"/>
      <w:bookmarkStart w:id="262" w:name="_Toc20270"/>
      <w:bookmarkStart w:id="263" w:name="_Toc27470"/>
      <w:bookmarkStart w:id="264" w:name="_Toc13654"/>
      <w:bookmarkStart w:id="265" w:name="_Toc24384"/>
      <w:bookmarkStart w:id="266" w:name="_Toc15339"/>
      <w:bookmarkStart w:id="267" w:name="_Toc10641"/>
      <w:bookmarkStart w:id="268" w:name="_Toc6197"/>
      <w:r>
        <w:rPr>
          <w:rFonts w:hint="eastAsia" w:ascii="宋体" w:hAnsi="宋体" w:eastAsia="宋体" w:cs="宋体"/>
        </w:rPr>
        <w:t>项目需求</w:t>
      </w:r>
      <w:bookmarkEnd w:id="241"/>
      <w:bookmarkEnd w:id="242"/>
      <w:bookmarkEnd w:id="243"/>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Start w:id="269" w:name="_Toc24453_WPSOffice_Level2"/>
      <w:bookmarkStart w:id="270" w:name="_Toc20216"/>
    </w:p>
    <w:bookmarkEnd w:id="269"/>
    <w:bookmarkEnd w:id="270"/>
    <w:p w14:paraId="7AF9987F">
      <w:pPr>
        <w:keepNext w:val="0"/>
        <w:keepLines w:val="0"/>
        <w:kinsoku/>
        <w:overflowPunct/>
        <w:topLinePunct w:val="0"/>
        <w:autoSpaceDE/>
        <w:autoSpaceDN/>
        <w:bidi w:val="0"/>
        <w:adjustRightInd/>
        <w:spacing w:line="520" w:lineRule="exact"/>
        <w:textAlignment w:val="baseline"/>
        <w:outlineLvl w:val="1"/>
        <w:rPr>
          <w:rFonts w:hint="eastAsia" w:ascii="宋体" w:hAnsi="宋体" w:eastAsia="宋体" w:cs="宋体"/>
          <w:sz w:val="28"/>
          <w:szCs w:val="28"/>
          <w:highlight w:val="none"/>
          <w:lang w:val="en-US" w:eastAsia="zh-CN"/>
        </w:rPr>
      </w:pPr>
      <w:bookmarkStart w:id="271" w:name="_Toc29786"/>
      <w:bookmarkStart w:id="272" w:name="_Toc11317"/>
      <w:bookmarkStart w:id="273" w:name="_Toc7278"/>
      <w:bookmarkStart w:id="274" w:name="_Toc22862"/>
      <w:bookmarkStart w:id="275" w:name="_Toc6505"/>
      <w:bookmarkStart w:id="276" w:name="_Toc22612"/>
      <w:bookmarkStart w:id="277" w:name="_Toc26607"/>
      <w:bookmarkStart w:id="278" w:name="_Toc5081"/>
      <w:bookmarkStart w:id="279" w:name="_Toc18018"/>
      <w:bookmarkStart w:id="280" w:name="_Toc944"/>
      <w:bookmarkStart w:id="281" w:name="_Toc25485"/>
      <w:bookmarkStart w:id="282" w:name="_Toc2559"/>
      <w:r>
        <w:rPr>
          <w:rFonts w:hint="eastAsia" w:ascii="宋体" w:hAnsi="宋体" w:eastAsia="宋体" w:cs="宋体"/>
          <w:b/>
          <w:bCs/>
          <w:color w:val="000000"/>
          <w:sz w:val="24"/>
          <w:szCs w:val="24"/>
        </w:rPr>
        <w:t>一、</w:t>
      </w:r>
      <w:r>
        <w:rPr>
          <w:rFonts w:hint="eastAsia" w:ascii="宋体" w:hAnsi="宋体" w:eastAsia="宋体" w:cs="宋体"/>
          <w:b/>
          <w:bCs/>
          <w:sz w:val="28"/>
          <w:szCs w:val="28"/>
          <w:highlight w:val="none"/>
          <w:lang w:val="zh-CN"/>
        </w:rPr>
        <w:t>项目</w:t>
      </w:r>
      <w:r>
        <w:rPr>
          <w:rFonts w:hint="eastAsia" w:ascii="宋体" w:hAnsi="宋体" w:eastAsia="宋体" w:cs="宋体"/>
          <w:b/>
          <w:bCs/>
          <w:sz w:val="28"/>
          <w:szCs w:val="28"/>
          <w:highlight w:val="none"/>
          <w:lang w:val="en-US" w:eastAsia="zh-CN"/>
        </w:rPr>
        <w:t>背景</w:t>
      </w:r>
    </w:p>
    <w:p w14:paraId="45257D1A">
      <w:pPr>
        <w:pStyle w:val="9"/>
        <w:keepNext w:val="0"/>
        <w:keepLines w:val="0"/>
        <w:kinsoku/>
        <w:overflowPunct/>
        <w:topLinePunct w:val="0"/>
        <w:autoSpaceDE/>
        <w:autoSpaceDN/>
        <w:bidi w:val="0"/>
        <w:adjustRightInd/>
        <w:spacing w:line="520" w:lineRule="exact"/>
        <w:rPr>
          <w:rFonts w:hint="eastAsia" w:ascii="宋体" w:hAnsi="宋体" w:eastAsia="宋体" w:cs="宋体"/>
          <w:bCs/>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第十六届江苏—澳门 葡语国家工商峰会拟于2026年10月21日至23日在澳门举办。本届峰会以“携手合作共创未来”为主题，将邀请江苏、澳门和葡语国家200余名代表出席。活动主要包括第十六届江苏一澳门·葡语国家工商峰会开幕式、第三十一届澳门国际贸易投资展览会江苏形象展示馆、苏之味一江苏农产品专场推介会、“</w:t>
      </w:r>
      <w:r>
        <w:rPr>
          <w:rFonts w:ascii="宋体" w:hAnsi="宋体" w:eastAsia="宋体" w:cs="宋体"/>
          <w:sz w:val="24"/>
          <w:szCs w:val="24"/>
        </w:rPr>
        <w:t>‘</w:t>
      </w:r>
      <w:r>
        <w:rPr>
          <w:rFonts w:hint="eastAsia" w:ascii="宋体" w:hAnsi="宋体" w:eastAsia="宋体" w:cs="宋体"/>
          <w:color w:val="auto"/>
          <w:sz w:val="24"/>
          <w:szCs w:val="24"/>
          <w:highlight w:val="none"/>
          <w:lang w:val="en-US" w:eastAsia="zh-CN"/>
        </w:rPr>
        <w:t>苏超'燃梦青春同行”2026苏澳青少年融媒体行动和江苏康养产业专场推介会等系列经贸人文交流活动。</w:t>
      </w:r>
    </w:p>
    <w:p w14:paraId="1AA09E92">
      <w:pPr>
        <w:keepNext w:val="0"/>
        <w:keepLines w:val="0"/>
        <w:numPr>
          <w:ilvl w:val="0"/>
          <w:numId w:val="6"/>
        </w:numPr>
        <w:kinsoku/>
        <w:overflowPunct/>
        <w:topLinePunct w:val="0"/>
        <w:autoSpaceDE/>
        <w:autoSpaceDN/>
        <w:bidi w:val="0"/>
        <w:adjustRightInd/>
        <w:spacing w:line="520" w:lineRule="exact"/>
        <w:textAlignment w:val="baseline"/>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采购内容</w:t>
      </w:r>
    </w:p>
    <w:p w14:paraId="64C5C761">
      <w:pPr>
        <w:pStyle w:val="14"/>
        <w:keepNext w:val="0"/>
        <w:keepLines w:val="0"/>
        <w:numPr>
          <w:ilvl w:val="0"/>
          <w:numId w:val="0"/>
        </w:numPr>
        <w:kinsoku/>
        <w:overflowPunct/>
        <w:topLinePunct w:val="0"/>
        <w:autoSpaceDE/>
        <w:autoSpaceDN/>
        <w:bidi w:val="0"/>
        <w:adjustRightInd/>
        <w:spacing w:line="520" w:lineRule="exact"/>
        <w:ind w:firstLine="480" w:firstLineChars="200"/>
        <w:rPr>
          <w:rFonts w:hint="eastAsia" w:ascii="宋体" w:hAnsi="宋体" w:eastAsia="宋体" w:cs="宋体"/>
          <w:strike/>
          <w:dstrike w:val="0"/>
          <w:sz w:val="24"/>
          <w:szCs w:val="24"/>
          <w:lang w:val="en-US" w:eastAsia="zh-CN"/>
        </w:rPr>
      </w:pPr>
      <w:r>
        <w:rPr>
          <w:rFonts w:hint="eastAsia" w:ascii="宋体" w:hAnsi="宋体" w:eastAsia="宋体" w:cs="宋体"/>
          <w:color w:val="auto"/>
          <w:sz w:val="24"/>
          <w:szCs w:val="24"/>
          <w:highlight w:val="none"/>
          <w:lang w:val="en-US" w:eastAsia="zh-CN"/>
        </w:rPr>
        <w:t>本次采购主要内容为</w:t>
      </w:r>
      <w:r>
        <w:rPr>
          <w:rFonts w:hint="eastAsia" w:hAnsi="宋体" w:eastAsia="宋体" w:cs="宋体"/>
          <w:color w:val="auto"/>
          <w:sz w:val="24"/>
          <w:szCs w:val="24"/>
          <w:highlight w:val="none"/>
          <w:lang w:val="en-US" w:eastAsia="zh-CN"/>
        </w:rPr>
        <w:t>开幕式</w:t>
      </w:r>
      <w:r>
        <w:rPr>
          <w:rFonts w:hint="eastAsia" w:ascii="宋体" w:hAnsi="宋体" w:eastAsia="宋体" w:cs="宋体"/>
          <w:color w:val="auto"/>
          <w:sz w:val="24"/>
          <w:szCs w:val="24"/>
          <w:highlight w:val="none"/>
          <w:lang w:val="en-US" w:eastAsia="zh-CN"/>
        </w:rPr>
        <w:t>会场搭建、展览搭建、LED屏搭建、技术保障、物料制作、灯光音响等会展搭建服务以及场地租赁、会务接待、住宿交通保障等会务承办服务。</w:t>
      </w:r>
    </w:p>
    <w:p w14:paraId="59036AE2">
      <w:pPr>
        <w:keepNext w:val="0"/>
        <w:keepLines w:val="0"/>
        <w:numPr>
          <w:ilvl w:val="0"/>
          <w:numId w:val="6"/>
        </w:numPr>
        <w:kinsoku/>
        <w:overflowPunct/>
        <w:topLinePunct w:val="0"/>
        <w:autoSpaceDE/>
        <w:autoSpaceDN/>
        <w:bidi w:val="0"/>
        <w:adjustRightInd/>
        <w:spacing w:line="520" w:lineRule="exact"/>
        <w:textAlignment w:val="baseline"/>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服务要求</w:t>
      </w:r>
    </w:p>
    <w:p w14:paraId="1D96B99F">
      <w:pPr>
        <w:keepNext w:val="0"/>
        <w:keepLines w:val="0"/>
        <w:kinsoku/>
        <w:overflowPunct/>
        <w:topLinePunct w:val="0"/>
        <w:autoSpaceDE/>
        <w:autoSpaceDN/>
        <w:bidi w:val="0"/>
        <w:adjustRightInd/>
        <w:spacing w:line="52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主要负责</w:t>
      </w:r>
      <w:r>
        <w:rPr>
          <w:rFonts w:hint="eastAsia" w:ascii="宋体" w:hAnsi="宋体" w:eastAsia="宋体" w:cs="宋体"/>
          <w:bCs/>
          <w:kern w:val="2"/>
          <w:sz w:val="24"/>
          <w:szCs w:val="24"/>
          <w:highlight w:val="none"/>
          <w:lang w:val="zh-CN" w:eastAsia="zh-CN" w:bidi="ar-SA"/>
        </w:rPr>
        <w:t>第十六届江苏—澳门</w:t>
      </w:r>
      <w:r>
        <w:rPr>
          <w:rFonts w:hint="eastAsia" w:ascii="宋体" w:hAnsi="宋体" w:eastAsia="宋体" w:cs="宋体"/>
          <w:bCs/>
          <w:kern w:val="2"/>
          <w:sz w:val="24"/>
          <w:szCs w:val="24"/>
          <w:highlight w:val="none"/>
          <w:lang w:val="en-US" w:eastAsia="zh-CN" w:bidi="ar-SA"/>
        </w:rPr>
        <w:t xml:space="preserve"> </w:t>
      </w:r>
      <w:r>
        <w:rPr>
          <w:rFonts w:hint="eastAsia" w:ascii="宋体" w:hAnsi="宋体" w:eastAsia="宋体" w:cs="宋体"/>
          <w:bCs/>
          <w:kern w:val="2"/>
          <w:sz w:val="24"/>
          <w:szCs w:val="24"/>
          <w:highlight w:val="none"/>
          <w:lang w:val="zh-CN" w:eastAsia="zh-CN" w:bidi="ar-SA"/>
        </w:rPr>
        <w:t>葡语国家</w:t>
      </w:r>
      <w:r>
        <w:rPr>
          <w:rFonts w:hint="eastAsia" w:ascii="宋体" w:hAnsi="宋体" w:eastAsia="宋体" w:cs="宋体"/>
          <w:bCs/>
          <w:kern w:val="2"/>
          <w:sz w:val="24"/>
          <w:szCs w:val="24"/>
          <w:highlight w:val="none"/>
          <w:lang w:val="en-US" w:eastAsia="zh-CN" w:bidi="ar-SA"/>
        </w:rPr>
        <w:t>工商峰会开幕式</w:t>
      </w:r>
      <w:r>
        <w:rPr>
          <w:rFonts w:hint="eastAsia" w:ascii="宋体" w:hAnsi="宋体" w:eastAsia="宋体" w:cs="宋体"/>
          <w:bCs/>
          <w:sz w:val="24"/>
          <w:szCs w:val="24"/>
          <w:highlight w:val="none"/>
          <w:lang w:val="en-US" w:eastAsia="zh-CN"/>
        </w:rPr>
        <w:t>系列活动的总体策划与实施，具体内容涉及总体策划、场地勘察、组织实施、设备保障、安全审核、综合协调、会场导视、展览展示、活动衔接、交流对接、现场协调、后勤保障等工作。</w:t>
      </w:r>
    </w:p>
    <w:p w14:paraId="164218CB">
      <w:pPr>
        <w:keepNext w:val="0"/>
        <w:keepLines w:val="0"/>
        <w:kinsoku/>
        <w:overflowPunct/>
        <w:topLinePunct w:val="0"/>
        <w:autoSpaceDE/>
        <w:autoSpaceDN/>
        <w:bidi w:val="0"/>
        <w:adjustRightInd/>
        <w:spacing w:line="52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1、总体策划方面，要由熟悉场地和境外会议策划的专业团队对峰会开幕式进行总体策划，从暖场到会议结束确保现场效果和氛围符合峰会开幕要求。</w:t>
      </w:r>
    </w:p>
    <w:p w14:paraId="150EB33C">
      <w:pPr>
        <w:keepNext w:val="0"/>
        <w:keepLines w:val="0"/>
        <w:kinsoku/>
        <w:overflowPunct/>
        <w:topLinePunct w:val="0"/>
        <w:autoSpaceDE/>
        <w:autoSpaceDN/>
        <w:bidi w:val="0"/>
        <w:adjustRightInd/>
        <w:spacing w:line="52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2、场地勘察方面，根据峰会系列活动举办场地的建筑图纸校核现场尺寸各项技术参数，包括长、宽、层高、通道、入口、安全通道、电梯、扶梯、消防楼梯等等尺寸和位置的确认。</w:t>
      </w:r>
    </w:p>
    <w:p w14:paraId="777D8B9A">
      <w:pPr>
        <w:keepNext w:val="0"/>
        <w:keepLines w:val="0"/>
        <w:kinsoku/>
        <w:overflowPunct/>
        <w:topLinePunct w:val="0"/>
        <w:autoSpaceDE/>
        <w:autoSpaceDN/>
        <w:bidi w:val="0"/>
        <w:adjustRightInd/>
        <w:spacing w:line="52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流程设计和组织实施方面，根据峰会开幕式的规格和要求合理设计嘉宾会见、会议流程、峰会开幕式与其他活动的衔接部分、各功能区域和人流出入口设置，现场舞台、音响、灯光、LED屏幕的设计和运用，满足峰会开幕式的需求。</w:t>
      </w:r>
    </w:p>
    <w:p w14:paraId="57ADE589">
      <w:pPr>
        <w:keepNext w:val="0"/>
        <w:keepLines w:val="0"/>
        <w:kinsoku/>
        <w:overflowPunct/>
        <w:topLinePunct w:val="0"/>
        <w:autoSpaceDE/>
        <w:autoSpaceDN/>
        <w:bidi w:val="0"/>
        <w:adjustRightInd/>
        <w:spacing w:line="52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4、设备保障方面，根据峰会所在的场地水电气设施做出合理规划，确保会场的声光电设备运转安全稳妥，对升降机和吊点的合理使用、仓储租用、境外活动的安全结构证书等等做好会议设备运作的保障工作。</w:t>
      </w:r>
    </w:p>
    <w:p w14:paraId="45E2CC5A">
      <w:pPr>
        <w:keepNext w:val="0"/>
        <w:keepLines w:val="0"/>
        <w:kinsoku/>
        <w:overflowPunct/>
        <w:topLinePunct w:val="0"/>
        <w:autoSpaceDE/>
        <w:autoSpaceDN/>
        <w:bidi w:val="0"/>
        <w:adjustRightInd/>
        <w:spacing w:line="52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5、会议其他配套方面，包括会议音乐的运用、讲台画面、同声传译、礼仪人员、沙发茶几布置、绿植氛围布置、摄影摄像、资料收集及文字翻译等等，确保峰会开幕式配套方面落实无误。</w:t>
      </w:r>
    </w:p>
    <w:p w14:paraId="22DB5E13">
      <w:pPr>
        <w:keepNext w:val="0"/>
        <w:keepLines w:val="0"/>
        <w:kinsoku/>
        <w:overflowPunct/>
        <w:topLinePunct w:val="0"/>
        <w:autoSpaceDE/>
        <w:autoSpaceDN/>
        <w:bidi w:val="0"/>
        <w:adjustRightInd/>
        <w:spacing w:line="52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6、会议导视方面，完成路线指引、地毯铺设、水牌等等的设计和可落实工作。</w:t>
      </w:r>
    </w:p>
    <w:p w14:paraId="770DF41B">
      <w:pPr>
        <w:keepNext w:val="0"/>
        <w:keepLines w:val="0"/>
        <w:kinsoku/>
        <w:overflowPunct/>
        <w:topLinePunct w:val="0"/>
        <w:autoSpaceDE/>
        <w:autoSpaceDN/>
        <w:bidi w:val="0"/>
        <w:adjustRightInd/>
        <w:spacing w:line="52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7、展览搭建方面，完成展示内容规划、展台搭建、展板设计等，满足展示需求。</w:t>
      </w:r>
    </w:p>
    <w:p w14:paraId="4A29293D">
      <w:pPr>
        <w:keepNext w:val="0"/>
        <w:keepLines w:val="0"/>
        <w:numPr>
          <w:ilvl w:val="0"/>
          <w:numId w:val="6"/>
        </w:numPr>
        <w:kinsoku/>
        <w:overflowPunct/>
        <w:topLinePunct w:val="0"/>
        <w:autoSpaceDE/>
        <w:autoSpaceDN/>
        <w:bidi w:val="0"/>
        <w:adjustRightInd/>
        <w:spacing w:line="520" w:lineRule="exact"/>
        <w:textAlignment w:val="baseline"/>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商务条款</w:t>
      </w:r>
    </w:p>
    <w:p w14:paraId="510F2CF6">
      <w:pPr>
        <w:keepNext w:val="0"/>
        <w:keepLines w:val="0"/>
        <w:kinsoku/>
        <w:overflowPunct/>
        <w:topLinePunct w:val="0"/>
        <w:autoSpaceDE/>
        <w:autoSpaceDN/>
        <w:bidi w:val="0"/>
        <w:adjustRightInd/>
        <w:spacing w:line="520" w:lineRule="exact"/>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（一）项目服务周期及要求</w:t>
      </w:r>
    </w:p>
    <w:p w14:paraId="441CF33E">
      <w:pPr>
        <w:keepNext w:val="0"/>
        <w:keepLines w:val="0"/>
        <w:kinsoku/>
        <w:overflowPunct/>
        <w:topLinePunct w:val="0"/>
        <w:autoSpaceDE/>
        <w:autoSpaceDN/>
        <w:bidi w:val="0"/>
        <w:adjustRightInd/>
        <w:spacing w:line="52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1、服务周期：自合同签订至会展结束。</w:t>
      </w:r>
    </w:p>
    <w:p w14:paraId="328435C5">
      <w:pPr>
        <w:keepNext w:val="0"/>
        <w:keepLines w:val="0"/>
        <w:kinsoku/>
        <w:overflowPunct/>
        <w:topLinePunct w:val="0"/>
        <w:autoSpaceDE/>
        <w:autoSpaceDN/>
        <w:bidi w:val="0"/>
        <w:adjustRightInd/>
        <w:spacing w:line="520" w:lineRule="exact"/>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（二）交付期、交付方式及交付地点</w:t>
      </w:r>
    </w:p>
    <w:p w14:paraId="4E11318C">
      <w:pPr>
        <w:keepNext w:val="0"/>
        <w:keepLines w:val="0"/>
        <w:kinsoku/>
        <w:overflowPunct/>
        <w:topLinePunct w:val="0"/>
        <w:autoSpaceDE/>
        <w:autoSpaceDN/>
        <w:bidi w:val="0"/>
        <w:adjustRightInd/>
        <w:spacing w:line="52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1、交付期：2026年10月21日</w:t>
      </w:r>
    </w:p>
    <w:p w14:paraId="6A71524A">
      <w:pPr>
        <w:keepNext w:val="0"/>
        <w:keepLines w:val="0"/>
        <w:kinsoku/>
        <w:overflowPunct/>
        <w:topLinePunct w:val="0"/>
        <w:autoSpaceDE/>
        <w:autoSpaceDN/>
        <w:bidi w:val="0"/>
        <w:adjustRightInd/>
        <w:spacing w:line="52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2、交付方式：现场交付</w:t>
      </w:r>
    </w:p>
    <w:p w14:paraId="593973D5">
      <w:pPr>
        <w:keepNext w:val="0"/>
        <w:keepLines w:val="0"/>
        <w:kinsoku/>
        <w:overflowPunct/>
        <w:topLinePunct w:val="0"/>
        <w:autoSpaceDE/>
        <w:autoSpaceDN/>
        <w:bidi w:val="0"/>
        <w:adjustRightInd/>
        <w:spacing w:line="520" w:lineRule="exact"/>
        <w:ind w:firstLine="480" w:firstLineChars="20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3、交付地点：澳门金光大道威尼斯人酒店佛罗伦萨厅</w:t>
      </w:r>
    </w:p>
    <w:p w14:paraId="00D3706D">
      <w:pPr>
        <w:keepNext w:val="0"/>
        <w:keepLines w:val="0"/>
        <w:kinsoku/>
        <w:overflowPunct/>
        <w:topLinePunct w:val="0"/>
        <w:autoSpaceDE/>
        <w:autoSpaceDN/>
        <w:bidi w:val="0"/>
        <w:adjustRightInd/>
        <w:spacing w:line="520" w:lineRule="exact"/>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（三）付款方式</w:t>
      </w:r>
    </w:p>
    <w:p w14:paraId="0D441889">
      <w:pPr>
        <w:keepNext w:val="0"/>
        <w:keepLines w:val="0"/>
        <w:kinsoku/>
        <w:overflowPunct/>
        <w:topLinePunct w:val="0"/>
        <w:autoSpaceDE/>
        <w:autoSpaceDN/>
        <w:bidi w:val="0"/>
        <w:adjustRightInd/>
        <w:spacing w:line="520" w:lineRule="exact"/>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本合同签订后5个工作日内预先支付合同价款10%，项目完成后15个工作日内以人民币结清尾款。</w:t>
      </w:r>
    </w:p>
    <w:p w14:paraId="770BD738">
      <w:pPr>
        <w:pStyle w:val="3"/>
        <w:spacing w:before="145" w:beforeLines="50" w:after="145" w:afterLines="50" w:line="500" w:lineRule="exact"/>
        <w:jc w:val="left"/>
        <w:rPr>
          <w:rFonts w:hint="default" w:ascii="宋体" w:hAnsi="宋体" w:eastAsia="宋体" w:cs="宋体"/>
          <w:sz w:val="28"/>
          <w:szCs w:val="28"/>
          <w:lang w:val="en-US" w:eastAsia="zh-CN"/>
        </w:rPr>
      </w:pPr>
      <w:r>
        <w:rPr>
          <w:rFonts w:hint="eastAsia" w:ascii="宋体" w:hAnsi="宋体" w:eastAsia="宋体" w:cs="宋体"/>
          <w:sz w:val="28"/>
          <w:szCs w:val="28"/>
          <w:lang w:val="zh-CN" w:eastAsia="zh-CN"/>
        </w:rPr>
        <w:t>五、其它</w:t>
      </w:r>
      <w:r>
        <w:rPr>
          <w:rFonts w:hint="eastAsia" w:ascii="宋体" w:hAnsi="宋体" w:eastAsia="宋体" w:cs="宋体"/>
          <w:sz w:val="28"/>
          <w:szCs w:val="28"/>
          <w:lang w:val="en-US" w:eastAsia="zh-CN"/>
        </w:rPr>
        <w:t>要求</w:t>
      </w:r>
    </w:p>
    <w:p w14:paraId="7718293E">
      <w:pPr>
        <w:spacing w:line="360" w:lineRule="auto"/>
        <w:ind w:firstLine="480" w:firstLineChars="200"/>
        <w:rPr>
          <w:rFonts w:hint="eastAsia" w:ascii="宋体" w:hAnsi="宋体" w:eastAsia="宋体" w:cs="宋体"/>
          <w:b/>
          <w:bCs w:val="0"/>
          <w:i/>
          <w:iCs/>
          <w:sz w:val="24"/>
          <w:szCs w:val="24"/>
          <w:u w:val="single"/>
          <w:lang w:val="en-US" w:eastAsia="zh-CN"/>
        </w:rPr>
      </w:pPr>
      <w:r>
        <w:rPr>
          <w:rFonts w:hint="eastAsia" w:ascii="宋体" w:hAnsi="宋体" w:eastAsia="宋体" w:cs="宋体"/>
          <w:b/>
          <w:bCs w:val="0"/>
          <w:i/>
          <w:iCs/>
          <w:sz w:val="24"/>
          <w:szCs w:val="24"/>
          <w:u w:val="single"/>
          <w:lang w:val="en-US" w:eastAsia="zh-CN"/>
        </w:rPr>
        <w:t>所有报价、承诺事项及重要证明文件均须加盖公司公章。</w:t>
      </w:r>
    </w:p>
    <w:p w14:paraId="7B0B6386">
      <w:pPr>
        <w:pStyle w:val="2"/>
        <w:keepNext w:val="0"/>
        <w:keepLines w:val="0"/>
        <w:pageBreakBefore/>
        <w:numPr>
          <w:ilvl w:val="0"/>
          <w:numId w:val="5"/>
        </w:numPr>
        <w:spacing w:line="360" w:lineRule="auto"/>
        <w:jc w:val="center"/>
        <w:rPr>
          <w:rFonts w:hint="eastAsia" w:ascii="宋体" w:hAnsi="宋体" w:eastAsia="宋体" w:cs="宋体"/>
          <w:lang w:val="zh-CN"/>
        </w:rPr>
      </w:pPr>
      <w:r>
        <w:rPr>
          <w:rFonts w:hint="eastAsia" w:ascii="宋体" w:hAnsi="宋体" w:eastAsia="宋体" w:cs="宋体"/>
          <w:lang w:val="zh-CN"/>
        </w:rPr>
        <w:t>响应文件格式</w:t>
      </w:r>
      <w:bookmarkEnd w:id="244"/>
      <w:bookmarkEnd w:id="245"/>
      <w:bookmarkEnd w:id="246"/>
      <w:bookmarkEnd w:id="247"/>
      <w:bookmarkEnd w:id="248"/>
      <w:bookmarkEnd w:id="249"/>
      <w:bookmarkEnd w:id="271"/>
      <w:bookmarkEnd w:id="272"/>
      <w:bookmarkEnd w:id="273"/>
      <w:bookmarkEnd w:id="274"/>
      <w:bookmarkEnd w:id="275"/>
      <w:bookmarkEnd w:id="276"/>
      <w:bookmarkEnd w:id="277"/>
      <w:bookmarkEnd w:id="278"/>
      <w:bookmarkEnd w:id="279"/>
      <w:bookmarkEnd w:id="280"/>
      <w:bookmarkEnd w:id="281"/>
      <w:bookmarkEnd w:id="282"/>
    </w:p>
    <w:p w14:paraId="47012B9C">
      <w:pPr>
        <w:jc w:val="center"/>
        <w:rPr>
          <w:rFonts w:hint="eastAsia" w:ascii="宋体" w:hAnsi="宋体" w:eastAsia="宋体" w:cs="宋体"/>
          <w:b/>
          <w:sz w:val="72"/>
          <w:szCs w:val="21"/>
          <w:highlight w:val="none"/>
        </w:rPr>
      </w:pPr>
    </w:p>
    <w:p w14:paraId="10A1B7BA">
      <w:pPr>
        <w:jc w:val="center"/>
        <w:rPr>
          <w:rFonts w:hint="eastAsia" w:ascii="宋体" w:hAnsi="宋体" w:eastAsia="宋体" w:cs="宋体"/>
          <w:b/>
          <w:sz w:val="72"/>
          <w:szCs w:val="21"/>
          <w:highlight w:val="none"/>
        </w:rPr>
      </w:pPr>
      <w:r>
        <w:rPr>
          <w:rFonts w:hint="eastAsia" w:ascii="宋体" w:hAnsi="宋体" w:eastAsia="宋体" w:cs="宋体"/>
          <w:b/>
          <w:sz w:val="72"/>
          <w:szCs w:val="21"/>
          <w:highlight w:val="none"/>
        </w:rPr>
        <w:t>响  应  文  件</w:t>
      </w:r>
    </w:p>
    <w:p w14:paraId="5DCF7560">
      <w:pPr>
        <w:jc w:val="center"/>
        <w:rPr>
          <w:rFonts w:hint="eastAsia" w:ascii="宋体" w:hAnsi="宋体" w:eastAsia="宋体" w:cs="宋体"/>
          <w:b/>
          <w:sz w:val="72"/>
          <w:szCs w:val="21"/>
          <w:highlight w:val="none"/>
        </w:rPr>
      </w:pPr>
    </w:p>
    <w:p w14:paraId="7903FB42">
      <w:pPr>
        <w:jc w:val="center"/>
        <w:rPr>
          <w:rFonts w:hint="eastAsia" w:ascii="宋体" w:hAnsi="宋体" w:eastAsia="宋体" w:cs="宋体"/>
          <w:b/>
          <w:sz w:val="72"/>
          <w:szCs w:val="21"/>
          <w:highlight w:val="none"/>
        </w:rPr>
      </w:pPr>
    </w:p>
    <w:p w14:paraId="5DCF103D">
      <w:pPr>
        <w:jc w:val="center"/>
        <w:rPr>
          <w:rFonts w:hint="eastAsia" w:ascii="宋体" w:hAnsi="宋体" w:eastAsia="宋体" w:cs="宋体"/>
          <w:b/>
          <w:sz w:val="36"/>
          <w:szCs w:val="21"/>
          <w:highlight w:val="none"/>
        </w:rPr>
      </w:pPr>
    </w:p>
    <w:p w14:paraId="488E1F0A">
      <w:pPr>
        <w:jc w:val="center"/>
        <w:rPr>
          <w:rFonts w:hint="eastAsia" w:ascii="宋体" w:hAnsi="宋体" w:eastAsia="宋体" w:cs="宋体"/>
          <w:b/>
          <w:sz w:val="36"/>
          <w:szCs w:val="21"/>
          <w:highlight w:val="none"/>
        </w:rPr>
      </w:pPr>
    </w:p>
    <w:p w14:paraId="232637E1">
      <w:pPr>
        <w:jc w:val="center"/>
        <w:rPr>
          <w:rFonts w:hint="eastAsia" w:ascii="宋体" w:hAnsi="宋体" w:eastAsia="宋体" w:cs="宋体"/>
          <w:b/>
          <w:sz w:val="36"/>
          <w:szCs w:val="21"/>
          <w:highlight w:val="none"/>
        </w:rPr>
      </w:pPr>
    </w:p>
    <w:p w14:paraId="5CAE1213">
      <w:pPr>
        <w:ind w:firstLine="1084"/>
        <w:rPr>
          <w:rFonts w:hint="eastAsia" w:ascii="宋体" w:hAnsi="宋体" w:eastAsia="宋体" w:cs="宋体"/>
          <w:b/>
          <w:sz w:val="36"/>
          <w:highlight w:val="none"/>
        </w:rPr>
      </w:pPr>
      <w:r>
        <w:rPr>
          <w:rFonts w:hint="eastAsia" w:ascii="宋体" w:hAnsi="宋体" w:eastAsia="宋体" w:cs="宋体"/>
          <w:b/>
          <w:sz w:val="36"/>
          <w:highlight w:val="none"/>
        </w:rPr>
        <w:t>项 目 名 称：</w:t>
      </w:r>
      <w:r>
        <w:rPr>
          <w:rFonts w:hint="eastAsia" w:ascii="宋体" w:hAnsi="宋体" w:eastAsia="宋体" w:cs="宋体"/>
          <w:b/>
          <w:sz w:val="36"/>
          <w:highlight w:val="none"/>
          <w:u w:val="single"/>
        </w:rPr>
        <w:t xml:space="preserve">               </w:t>
      </w:r>
    </w:p>
    <w:p w14:paraId="3BD15CEA">
      <w:pPr>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项 目 编 号：</w:t>
      </w:r>
      <w:r>
        <w:rPr>
          <w:rFonts w:hint="eastAsia" w:ascii="宋体" w:hAnsi="宋体" w:eastAsia="宋体" w:cs="宋体"/>
          <w:b/>
          <w:sz w:val="36"/>
          <w:highlight w:val="none"/>
          <w:u w:val="single"/>
        </w:rPr>
        <w:t xml:space="preserve">               </w:t>
      </w:r>
    </w:p>
    <w:p w14:paraId="2CA326AA">
      <w:pPr>
        <w:outlineLvl w:val="9"/>
        <w:rPr>
          <w:rFonts w:hint="eastAsia" w:ascii="宋体" w:hAnsi="宋体" w:eastAsia="宋体" w:cs="宋体"/>
          <w:b/>
          <w:sz w:val="36"/>
          <w:highlight w:val="none"/>
          <w:u w:val="single"/>
        </w:rPr>
      </w:pPr>
      <w:r>
        <w:rPr>
          <w:rFonts w:hint="eastAsia" w:ascii="宋体" w:hAnsi="宋体" w:eastAsia="宋体" w:cs="宋体"/>
          <w:b/>
          <w:sz w:val="36"/>
          <w:highlight w:val="none"/>
        </w:rPr>
        <w:t xml:space="preserve">      </w:t>
      </w:r>
      <w:r>
        <w:rPr>
          <w:rFonts w:hint="eastAsia" w:ascii="宋体" w:hAnsi="宋体" w:eastAsia="宋体" w:cs="宋体"/>
          <w:b/>
          <w:sz w:val="36"/>
          <w:highlight w:val="none"/>
          <w:lang w:val="en-US" w:eastAsia="zh-CN"/>
        </w:rPr>
        <w:t>供应商</w:t>
      </w:r>
      <w:r>
        <w:rPr>
          <w:rFonts w:hint="eastAsia" w:ascii="宋体" w:hAnsi="宋体" w:eastAsia="宋体" w:cs="宋体"/>
          <w:b/>
          <w:sz w:val="36"/>
          <w:highlight w:val="none"/>
        </w:rPr>
        <w:t>名称 ：</w:t>
      </w:r>
      <w:r>
        <w:rPr>
          <w:rFonts w:hint="eastAsia" w:ascii="宋体" w:hAnsi="宋体" w:eastAsia="宋体" w:cs="宋体"/>
          <w:b/>
          <w:sz w:val="36"/>
          <w:highlight w:val="none"/>
          <w:u w:val="single"/>
        </w:rPr>
        <w:t>（加盖CA电子公章）</w:t>
      </w:r>
    </w:p>
    <w:p w14:paraId="5BF23EA6">
      <w:pPr>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p>
    <w:p w14:paraId="214C42CB">
      <w:pPr>
        <w:spacing w:line="440" w:lineRule="exact"/>
        <w:jc w:val="center"/>
        <w:rPr>
          <w:rFonts w:hint="eastAsia" w:ascii="宋体" w:hAnsi="宋体" w:eastAsia="宋体" w:cs="宋体"/>
          <w:b/>
          <w:bCs/>
          <w:sz w:val="32"/>
          <w:szCs w:val="32"/>
          <w:highlight w:val="none"/>
        </w:rPr>
      </w:pPr>
    </w:p>
    <w:p w14:paraId="7A4F7E88">
      <w:pPr>
        <w:spacing w:line="360" w:lineRule="auto"/>
        <w:rPr>
          <w:rFonts w:hint="eastAsia" w:ascii="宋体" w:hAnsi="宋体" w:eastAsia="宋体" w:cs="宋体"/>
          <w:lang w:eastAsia="zh-CN"/>
        </w:rPr>
      </w:pPr>
    </w:p>
    <w:p w14:paraId="2E889B91">
      <w:pPr>
        <w:pageBreakBefore/>
        <w:spacing w:line="360" w:lineRule="auto"/>
        <w:jc w:val="center"/>
        <w:rPr>
          <w:rFonts w:hint="eastAsia" w:ascii="宋体" w:hAnsi="宋体" w:eastAsia="宋体" w:cs="宋体"/>
          <w:b/>
          <w:bCs/>
          <w:sz w:val="48"/>
          <w:szCs w:val="48"/>
          <w:lang w:eastAsia="zh-CN"/>
        </w:rPr>
      </w:pPr>
      <w:bookmarkStart w:id="283" w:name="_Toc4238"/>
      <w:bookmarkStart w:id="284" w:name="_Toc23246"/>
      <w:bookmarkStart w:id="285" w:name="_Toc2476"/>
      <w:bookmarkStart w:id="286" w:name="_Toc29437"/>
      <w:bookmarkStart w:id="287" w:name="_Toc17126"/>
      <w:r>
        <w:rPr>
          <w:rFonts w:hint="eastAsia" w:ascii="宋体" w:hAnsi="宋体" w:eastAsia="宋体" w:cs="宋体"/>
          <w:b/>
          <w:bCs/>
          <w:sz w:val="48"/>
          <w:szCs w:val="48"/>
          <w:lang w:val="en-US" w:eastAsia="zh-CN"/>
        </w:rPr>
        <w:t>响应文件</w:t>
      </w:r>
      <w:r>
        <w:rPr>
          <w:rFonts w:hint="eastAsia" w:ascii="宋体" w:hAnsi="宋体" w:eastAsia="宋体" w:cs="宋体"/>
          <w:b/>
          <w:bCs/>
          <w:sz w:val="48"/>
          <w:szCs w:val="48"/>
          <w:lang w:eastAsia="zh-CN"/>
        </w:rPr>
        <w:t>目录</w:t>
      </w:r>
      <w:bookmarkEnd w:id="283"/>
      <w:bookmarkEnd w:id="284"/>
      <w:bookmarkEnd w:id="285"/>
      <w:bookmarkEnd w:id="286"/>
      <w:bookmarkEnd w:id="287"/>
    </w:p>
    <w:p w14:paraId="7171F7CF">
      <w:pPr>
        <w:spacing w:line="360" w:lineRule="auto"/>
        <w:outlineLvl w:val="9"/>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一、基本目录</w:t>
      </w:r>
    </w:p>
    <w:p w14:paraId="0083ED96">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eastAsia="zh-CN"/>
        </w:rPr>
        <w:t>1.报价表（格式见附件1）</w:t>
      </w:r>
    </w:p>
    <w:p w14:paraId="07BB832F">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eastAsia="zh-CN"/>
        </w:rPr>
        <w:t>2.技术</w:t>
      </w:r>
      <w:r>
        <w:rPr>
          <w:rFonts w:hint="eastAsia" w:ascii="宋体" w:hAnsi="宋体" w:eastAsia="宋体" w:cs="宋体"/>
          <w:szCs w:val="21"/>
          <w:lang w:val="en-US" w:eastAsia="zh-CN"/>
        </w:rPr>
        <w:t>/服务</w:t>
      </w:r>
      <w:r>
        <w:rPr>
          <w:rFonts w:hint="eastAsia" w:ascii="宋体" w:hAnsi="宋体" w:eastAsia="宋体" w:cs="宋体"/>
          <w:szCs w:val="21"/>
          <w:lang w:eastAsia="zh-CN"/>
        </w:rPr>
        <w:t>要求响应及偏离表（格式见附件2）</w:t>
      </w:r>
    </w:p>
    <w:p w14:paraId="43B59019">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eastAsia="zh-CN"/>
        </w:rPr>
        <w:t>3.商务要求响应及偏离表（格式见附件3）</w:t>
      </w:r>
    </w:p>
    <w:p w14:paraId="518EF347">
      <w:pPr>
        <w:spacing w:line="360" w:lineRule="auto"/>
        <w:outlineLvl w:val="9"/>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二、资格审查内容</w:t>
      </w:r>
    </w:p>
    <w:p w14:paraId="170420FA">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eastAsia="zh-CN"/>
        </w:rPr>
        <w:t>1.法人或者其他组织的营业执照等证明文件，自然人的身份证明</w:t>
      </w:r>
    </w:p>
    <w:p w14:paraId="41CEBF0A">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eastAsia="zh-CN"/>
        </w:rPr>
        <w:t>2.上一年度的财务状况报</w:t>
      </w:r>
      <w:r>
        <w:rPr>
          <w:rFonts w:hint="eastAsia" w:ascii="宋体" w:hAnsi="宋体" w:eastAsia="宋体" w:cs="宋体"/>
          <w:szCs w:val="21"/>
          <w:lang w:val="en-US" w:eastAsia="zh-CN"/>
        </w:rPr>
        <w:t>表</w:t>
      </w:r>
      <w:r>
        <w:rPr>
          <w:rFonts w:hint="eastAsia" w:ascii="宋体" w:hAnsi="宋体" w:eastAsia="宋体" w:cs="宋体"/>
          <w:szCs w:val="21"/>
          <w:lang w:eastAsia="zh-CN"/>
        </w:rPr>
        <w:t>（供应商成立不满一年无需提供）</w:t>
      </w:r>
    </w:p>
    <w:p w14:paraId="7B8A1B27">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eastAsia="zh-CN"/>
        </w:rPr>
        <w:t>3.依法缴纳税收和社会保障资金的相关材料（</w:t>
      </w:r>
      <w:r>
        <w:rPr>
          <w:rFonts w:hint="eastAsia" w:ascii="宋体" w:hAnsi="宋体" w:eastAsia="宋体" w:cs="宋体"/>
          <w:bCs/>
          <w:lang w:eastAsia="zh-CN"/>
        </w:rPr>
        <w:t>提供参加本次采购活动前依法缴纳税收及社会保险的凭据。依法免缴、迟缴的应提供相应文件证明</w:t>
      </w:r>
      <w:r>
        <w:rPr>
          <w:rFonts w:hint="eastAsia" w:ascii="宋体" w:hAnsi="宋体" w:eastAsia="宋体" w:cs="宋体"/>
          <w:szCs w:val="21"/>
          <w:lang w:eastAsia="zh-CN"/>
        </w:rPr>
        <w:t>）</w:t>
      </w:r>
    </w:p>
    <w:p w14:paraId="7CFCA1A8">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eastAsia="zh-CN"/>
        </w:rPr>
        <w:t>4.具备履行合同所必需的设备和专业技术能力的书面声明（格式见附件4）</w:t>
      </w:r>
    </w:p>
    <w:p w14:paraId="12C8BEC8">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eastAsia="zh-CN"/>
        </w:rPr>
        <w:t>5.参加政府采购活动前 3 年内在经营活动中没有重大违法记录的书面声明（格式见附件5）</w:t>
      </w:r>
    </w:p>
    <w:p w14:paraId="3EB3562C">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eastAsia="zh-CN"/>
        </w:rPr>
        <w:t>6.特定资格要求的证明文件（如果本项目对供应商做出特定资格要求的，必须提供）</w:t>
      </w:r>
    </w:p>
    <w:p w14:paraId="73DC48CD">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eastAsia="zh-CN"/>
        </w:rPr>
        <w:t>7. 在“信用中国”网站（www.creditchina.gov.cn）查询，无被列入失信被执行人、重大税收违法案件当事人名单、政府采购严重失信行为记录名单及其他不符合《中华人民共和国政府采购法》第二十二条规定条件的信用记录（响应文件中提供</w:t>
      </w:r>
      <w:r>
        <w:rPr>
          <w:rFonts w:hint="eastAsia" w:ascii="宋体" w:hAnsi="宋体" w:eastAsia="宋体" w:cs="宋体"/>
          <w:szCs w:val="21"/>
          <w:lang w:val="en-US" w:eastAsia="zh-CN"/>
        </w:rPr>
        <w:t>网页截图</w:t>
      </w:r>
      <w:r>
        <w:rPr>
          <w:rFonts w:hint="eastAsia" w:ascii="宋体" w:hAnsi="宋体" w:eastAsia="宋体" w:cs="宋体"/>
          <w:szCs w:val="21"/>
          <w:lang w:eastAsia="zh-CN"/>
        </w:rPr>
        <w:t>）</w:t>
      </w:r>
    </w:p>
    <w:p w14:paraId="046A1FFC">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val="en-US" w:eastAsia="zh-CN"/>
        </w:rPr>
        <w:t>8</w:t>
      </w:r>
      <w:r>
        <w:rPr>
          <w:rFonts w:hint="eastAsia" w:ascii="宋体" w:hAnsi="宋体" w:eastAsia="宋体" w:cs="宋体"/>
          <w:szCs w:val="21"/>
          <w:lang w:eastAsia="zh-CN"/>
        </w:rPr>
        <w:t>.法人授权书（格式见附件6）</w:t>
      </w:r>
    </w:p>
    <w:p w14:paraId="6FB02C79">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val="en-US" w:eastAsia="zh-CN"/>
        </w:rPr>
        <w:t>9</w:t>
      </w:r>
      <w:r>
        <w:rPr>
          <w:rFonts w:hint="eastAsia" w:ascii="宋体" w:hAnsi="宋体" w:eastAsia="宋体" w:cs="宋体"/>
          <w:szCs w:val="21"/>
          <w:lang w:eastAsia="zh-CN"/>
        </w:rPr>
        <w:t>.</w:t>
      </w:r>
      <w:r>
        <w:rPr>
          <w:rFonts w:hint="eastAsia" w:ascii="宋体" w:hAnsi="宋体" w:eastAsia="宋体" w:cs="宋体"/>
          <w:szCs w:val="21"/>
          <w:lang w:val="en-US" w:eastAsia="zh-CN"/>
        </w:rPr>
        <w:t>协商</w:t>
      </w:r>
      <w:r>
        <w:rPr>
          <w:rFonts w:hint="eastAsia" w:ascii="宋体" w:hAnsi="宋体" w:eastAsia="宋体" w:cs="宋体"/>
          <w:szCs w:val="21"/>
          <w:lang w:eastAsia="zh-CN"/>
        </w:rPr>
        <w:t>函（格式见附件7）</w:t>
      </w:r>
    </w:p>
    <w:p w14:paraId="562D607D">
      <w:pPr>
        <w:spacing w:line="360" w:lineRule="auto"/>
        <w:ind w:firstLine="480" w:firstLineChars="200"/>
        <w:textAlignment w:val="baseline"/>
        <w:rPr>
          <w:rFonts w:hint="eastAsia" w:ascii="宋体" w:hAnsi="宋体" w:eastAsia="宋体" w:cs="宋体"/>
          <w:szCs w:val="21"/>
          <w:lang w:eastAsia="zh-CN"/>
        </w:rPr>
      </w:pPr>
      <w:r>
        <w:rPr>
          <w:rFonts w:hint="eastAsia" w:ascii="宋体" w:hAnsi="宋体" w:eastAsia="宋体" w:cs="宋体"/>
          <w:szCs w:val="21"/>
          <w:lang w:eastAsia="zh-CN"/>
        </w:rPr>
        <w:t>总备注：上述“资格审查内容”中1-5条、8条供应商必须在响应文件中提供相关材料，否则作无效响应处理；第6条如采购文件要求必须提供相关材料而未提供的，作无效响应处理。</w:t>
      </w:r>
    </w:p>
    <w:p w14:paraId="3CD0980E">
      <w:pPr>
        <w:spacing w:line="360" w:lineRule="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eastAsia="zh-CN"/>
        </w:rPr>
        <w:t>三、符合性审查内容</w:t>
      </w:r>
      <w:r>
        <w:rPr>
          <w:rFonts w:hint="eastAsia" w:ascii="宋体" w:hAnsi="宋体" w:eastAsia="宋体" w:cs="宋体"/>
          <w:b/>
          <w:bCs/>
          <w:color w:val="auto"/>
          <w:sz w:val="28"/>
          <w:szCs w:val="28"/>
          <w:lang w:val="en-US" w:eastAsia="zh-CN"/>
        </w:rPr>
        <w:t>及其他</w:t>
      </w:r>
    </w:p>
    <w:p w14:paraId="76E310E4">
      <w:pPr>
        <w:spacing w:line="0" w:lineRule="atLeast"/>
        <w:rPr>
          <w:rFonts w:hint="eastAsia" w:ascii="宋体" w:hAnsi="宋体" w:eastAsia="宋体" w:cs="宋体"/>
          <w:szCs w:val="21"/>
          <w:lang w:val="en-US" w:eastAsia="zh-CN"/>
        </w:rPr>
      </w:pPr>
      <w:r>
        <w:rPr>
          <w:rFonts w:hint="eastAsia" w:ascii="宋体" w:hAnsi="宋体" w:eastAsia="宋体" w:cs="宋体"/>
          <w:szCs w:val="21"/>
          <w:lang w:val="en-US" w:eastAsia="zh-CN"/>
        </w:rPr>
        <w:t>供应商必须对采购文件（含技术要求和商务要求）中</w:t>
      </w:r>
      <w:r>
        <w:rPr>
          <w:rFonts w:hint="eastAsia" w:ascii="宋体" w:hAnsi="宋体" w:eastAsia="宋体" w:cs="宋体"/>
          <w:b/>
          <w:bCs/>
          <w:i/>
          <w:iCs/>
          <w:szCs w:val="21"/>
          <w:u w:val="single"/>
          <w:lang w:val="en-US" w:eastAsia="zh-CN"/>
        </w:rPr>
        <w:t>斜体且有下划线部分或加*号条款</w:t>
      </w:r>
      <w:r>
        <w:rPr>
          <w:rFonts w:hint="eastAsia" w:ascii="宋体" w:hAnsi="宋体" w:eastAsia="宋体" w:cs="宋体"/>
          <w:szCs w:val="21"/>
          <w:lang w:val="en-US" w:eastAsia="zh-CN"/>
        </w:rPr>
        <w:t>的实质性要求逐条做出响应，并按照采购文件要求提供证明材料，否则视为未实质性响应采购文件。（格式见附件9）</w:t>
      </w:r>
    </w:p>
    <w:p w14:paraId="4D2B537C">
      <w:pPr>
        <w:spacing w:line="0" w:lineRule="atLeast"/>
        <w:rPr>
          <w:rFonts w:hint="eastAsia" w:ascii="宋体" w:hAnsi="宋体" w:eastAsia="宋体" w:cs="宋体"/>
          <w:szCs w:val="21"/>
          <w:lang w:val="en-US" w:eastAsia="zh-CN"/>
        </w:rPr>
        <w:sectPr>
          <w:headerReference r:id="rId8" w:type="default"/>
          <w:footerReference r:id="rId9" w:type="default"/>
          <w:pgSz w:w="11906" w:h="16838"/>
          <w:pgMar w:top="1440" w:right="1080" w:bottom="1440" w:left="1080" w:header="851" w:footer="992" w:gutter="0"/>
          <w:pgNumType w:fmt="decimal" w:start="1"/>
          <w:cols w:space="720" w:num="1"/>
          <w:docGrid w:type="linesAndChars" w:linePitch="312" w:charSpace="0"/>
        </w:sectPr>
      </w:pPr>
      <w:r>
        <w:rPr>
          <w:rFonts w:hint="eastAsia" w:ascii="宋体" w:hAnsi="宋体" w:eastAsia="宋体" w:cs="宋体"/>
          <w:szCs w:val="21"/>
          <w:lang w:val="en-US" w:eastAsia="zh-CN"/>
        </w:rPr>
        <w:t>其他需要提供的内容格式见附件10</w:t>
      </w:r>
      <w:r>
        <w:rPr>
          <w:rFonts w:hint="eastAsia" w:ascii="宋体" w:hAnsi="宋体" w:eastAsia="宋体" w:cs="宋体"/>
          <w:szCs w:val="21"/>
          <w:lang w:val="en-US" w:eastAsia="zh-CN"/>
        </w:rPr>
        <w:br w:type="page"/>
      </w:r>
      <w:bookmarkStart w:id="288" w:name="_Toc700"/>
      <w:bookmarkStart w:id="289" w:name="_Toc26543"/>
      <w:bookmarkStart w:id="290" w:name="_Toc31009"/>
      <w:bookmarkStart w:id="291" w:name="_Toc20173"/>
      <w:bookmarkStart w:id="292" w:name="_Toc9754"/>
      <w:bookmarkStart w:id="293" w:name="_Toc3699"/>
      <w:bookmarkStart w:id="294" w:name="_Toc10018"/>
      <w:bookmarkStart w:id="295" w:name="_Toc12662"/>
      <w:bookmarkStart w:id="296" w:name="_Toc8228"/>
    </w:p>
    <w:p w14:paraId="0F272E1B">
      <w:pPr>
        <w:spacing w:line="0" w:lineRule="atLeast"/>
        <w:outlineLvl w:val="1"/>
        <w:rPr>
          <w:rFonts w:hint="eastAsia" w:ascii="宋体" w:hAnsi="宋体" w:eastAsia="宋体" w:cs="宋体"/>
          <w:b/>
          <w:sz w:val="24"/>
          <w:szCs w:val="21"/>
          <w:lang w:val="en-US" w:eastAsia="zh-CN"/>
        </w:rPr>
      </w:pPr>
      <w:r>
        <w:rPr>
          <w:rFonts w:hint="eastAsia" w:ascii="宋体" w:hAnsi="宋体" w:eastAsia="宋体" w:cs="宋体"/>
          <w:b/>
          <w:sz w:val="24"/>
          <w:szCs w:val="21"/>
        </w:rPr>
        <w:t>附件1</w:t>
      </w:r>
      <w:r>
        <w:rPr>
          <w:rFonts w:hint="eastAsia" w:ascii="宋体" w:hAnsi="宋体" w:eastAsia="宋体" w:cs="宋体"/>
          <w:b/>
          <w:sz w:val="24"/>
          <w:szCs w:val="21"/>
          <w:lang w:val="en-US" w:eastAsia="zh-CN"/>
        </w:rPr>
        <w:t xml:space="preserve"> 报价表</w:t>
      </w:r>
    </w:p>
    <w:p w14:paraId="0E0528E8">
      <w:pPr>
        <w:numPr>
          <w:ilvl w:val="0"/>
          <w:numId w:val="0"/>
        </w:numPr>
        <w:adjustRightInd w:val="0"/>
        <w:snapToGrid w:val="0"/>
        <w:spacing w:line="360" w:lineRule="auto"/>
        <w:jc w:val="center"/>
        <w:outlineLvl w:val="9"/>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rPr>
        <w:t>报价</w:t>
      </w:r>
      <w:r>
        <w:rPr>
          <w:rFonts w:hint="eastAsia" w:ascii="宋体" w:hAnsi="宋体" w:eastAsia="宋体" w:cs="宋体"/>
          <w:sz w:val="32"/>
          <w:szCs w:val="32"/>
          <w:highlight w:val="none"/>
          <w:lang w:eastAsia="zh-CN"/>
        </w:rPr>
        <w:t>一览</w:t>
      </w:r>
      <w:r>
        <w:rPr>
          <w:rFonts w:hint="eastAsia" w:ascii="宋体" w:hAnsi="宋体" w:eastAsia="宋体" w:cs="宋体"/>
          <w:sz w:val="32"/>
          <w:szCs w:val="32"/>
          <w:highlight w:val="none"/>
        </w:rPr>
        <w:t>表</w:t>
      </w:r>
    </w:p>
    <w:tbl>
      <w:tblPr>
        <w:tblStyle w:val="22"/>
        <w:tblpPr w:leftFromText="45" w:rightFromText="45" w:vertAnchor="text" w:tblpXSpec="center"/>
        <w:tblW w:w="8864"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589"/>
        <w:gridCol w:w="6275"/>
      </w:tblGrid>
      <w:tr w14:paraId="57EC5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4" w:hRule="atLeast"/>
          <w:tblCellSpacing w:w="0" w:type="dxa"/>
          <w:jc w:val="center"/>
        </w:trPr>
        <w:tc>
          <w:tcPr>
            <w:tcW w:w="2589" w:type="dxa"/>
            <w:vAlign w:val="center"/>
          </w:tcPr>
          <w:p w14:paraId="3FE22970">
            <w:pPr>
              <w:spacing w:line="360" w:lineRule="auto"/>
              <w:jc w:val="center"/>
              <w:rPr>
                <w:rFonts w:hint="eastAsia" w:ascii="宋体" w:hAnsi="宋体" w:eastAsia="宋体" w:cs="宋体"/>
                <w:sz w:val="28"/>
                <w:szCs w:val="28"/>
              </w:rPr>
            </w:pPr>
            <w:r>
              <w:rPr>
                <w:rFonts w:hint="eastAsia" w:ascii="宋体" w:hAnsi="宋体" w:eastAsia="宋体" w:cs="宋体"/>
                <w:sz w:val="28"/>
                <w:szCs w:val="28"/>
              </w:rPr>
              <w:t>项目名称</w:t>
            </w:r>
          </w:p>
        </w:tc>
        <w:tc>
          <w:tcPr>
            <w:tcW w:w="6275" w:type="dxa"/>
            <w:vAlign w:val="center"/>
          </w:tcPr>
          <w:p w14:paraId="6CC23421">
            <w:pPr>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第十六届江苏—澳门 葡语国家工商峰会</w:t>
            </w:r>
          </w:p>
          <w:p w14:paraId="78567FE6">
            <w:pPr>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会展搭建及会务承办               </w:t>
            </w:r>
          </w:p>
        </w:tc>
      </w:tr>
      <w:tr w14:paraId="641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4" w:hRule="atLeast"/>
          <w:tblCellSpacing w:w="0" w:type="dxa"/>
          <w:jc w:val="center"/>
        </w:trPr>
        <w:tc>
          <w:tcPr>
            <w:tcW w:w="2589" w:type="dxa"/>
            <w:vAlign w:val="center"/>
          </w:tcPr>
          <w:p w14:paraId="34506A30">
            <w:pPr>
              <w:spacing w:line="360" w:lineRule="auto"/>
              <w:jc w:val="center"/>
              <w:rPr>
                <w:rFonts w:hint="eastAsia" w:ascii="宋体" w:hAnsi="宋体" w:eastAsia="宋体" w:cs="宋体"/>
                <w:sz w:val="28"/>
                <w:szCs w:val="28"/>
              </w:rPr>
            </w:pPr>
            <w:r>
              <w:rPr>
                <w:rFonts w:hint="eastAsia" w:ascii="宋体" w:hAnsi="宋体" w:eastAsia="宋体" w:cs="宋体"/>
                <w:sz w:val="28"/>
                <w:szCs w:val="28"/>
              </w:rPr>
              <w:t>采购编号</w:t>
            </w:r>
          </w:p>
        </w:tc>
        <w:tc>
          <w:tcPr>
            <w:tcW w:w="6275" w:type="dxa"/>
            <w:vAlign w:val="center"/>
          </w:tcPr>
          <w:p w14:paraId="30B66C99">
            <w:pPr>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JSZC-320000-DCXG-D2026-0025</w:t>
            </w:r>
          </w:p>
        </w:tc>
      </w:tr>
      <w:tr w14:paraId="0099E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79" w:hRule="atLeast"/>
          <w:tblCellSpacing w:w="0" w:type="dxa"/>
          <w:jc w:val="center"/>
        </w:trPr>
        <w:tc>
          <w:tcPr>
            <w:tcW w:w="2589" w:type="dxa"/>
            <w:vAlign w:val="center"/>
          </w:tcPr>
          <w:p w14:paraId="14DFA60D">
            <w:pPr>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rPr>
              <w:t>报价</w:t>
            </w:r>
            <w:r>
              <w:rPr>
                <w:rFonts w:hint="eastAsia" w:ascii="宋体" w:hAnsi="宋体" w:eastAsia="宋体" w:cs="宋体"/>
                <w:sz w:val="28"/>
                <w:szCs w:val="28"/>
                <w:lang w:eastAsia="zh-CN"/>
              </w:rPr>
              <w:t>总计</w:t>
            </w:r>
          </w:p>
        </w:tc>
        <w:tc>
          <w:tcPr>
            <w:tcW w:w="6275" w:type="dxa"/>
            <w:vAlign w:val="center"/>
          </w:tcPr>
          <w:p w14:paraId="6C3D5486">
            <w:pPr>
              <w:pStyle w:val="20"/>
              <w:spacing w:before="0" w:beforeAutospacing="0" w:after="0" w:afterAutospacing="0" w:line="360" w:lineRule="auto"/>
              <w:jc w:val="cente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u w:val="single"/>
              </w:rPr>
              <w:t xml:space="preserve">          </w:t>
            </w:r>
            <w:r>
              <w:rPr>
                <w:rFonts w:hint="eastAsia" w:ascii="宋体" w:hAnsi="宋体" w:eastAsia="宋体" w:cs="宋体"/>
                <w:sz w:val="28"/>
                <w:szCs w:val="28"/>
              </w:rPr>
              <w:t>元整</w:t>
            </w:r>
          </w:p>
          <w:p w14:paraId="2C2AA584">
            <w:pPr>
              <w:spacing w:line="360" w:lineRule="auto"/>
              <w:jc w:val="center"/>
              <w:rPr>
                <w:rFonts w:hint="eastAsia" w:ascii="宋体" w:hAnsi="宋体" w:eastAsia="宋体" w:cs="宋体"/>
                <w:sz w:val="28"/>
                <w:szCs w:val="28"/>
              </w:rPr>
            </w:pPr>
            <w:r>
              <w:rPr>
                <w:rFonts w:hint="eastAsia" w:ascii="宋体" w:hAnsi="宋体" w:eastAsia="宋体" w:cs="宋体"/>
                <w:sz w:val="28"/>
                <w:szCs w:val="28"/>
              </w:rPr>
              <w:t>人民币 (大写)</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tc>
      </w:tr>
      <w:tr w14:paraId="1ADCD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79" w:hRule="atLeast"/>
          <w:tblCellSpacing w:w="0" w:type="dxa"/>
          <w:jc w:val="center"/>
        </w:trPr>
        <w:tc>
          <w:tcPr>
            <w:tcW w:w="2589" w:type="dxa"/>
            <w:vAlign w:val="center"/>
          </w:tcPr>
          <w:p w14:paraId="380D9FE8">
            <w:pPr>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rPr>
              <w:t>服务</w:t>
            </w:r>
            <w:r>
              <w:rPr>
                <w:rFonts w:hint="eastAsia" w:ascii="宋体" w:hAnsi="宋体" w:eastAsia="宋体" w:cs="宋体"/>
                <w:sz w:val="28"/>
                <w:szCs w:val="28"/>
                <w:lang w:eastAsia="zh-CN"/>
              </w:rPr>
              <w:t>时间</w:t>
            </w:r>
          </w:p>
        </w:tc>
        <w:tc>
          <w:tcPr>
            <w:tcW w:w="6275" w:type="dxa"/>
            <w:vAlign w:val="center"/>
          </w:tcPr>
          <w:p w14:paraId="0F8123CB">
            <w:pPr>
              <w:spacing w:line="360" w:lineRule="auto"/>
              <w:jc w:val="center"/>
              <w:rPr>
                <w:rFonts w:hint="eastAsia" w:ascii="宋体" w:hAnsi="宋体" w:eastAsia="宋体" w:cs="宋体"/>
                <w:sz w:val="28"/>
                <w:szCs w:val="28"/>
              </w:rPr>
            </w:pPr>
          </w:p>
        </w:tc>
      </w:tr>
    </w:tbl>
    <w:p w14:paraId="774F9643">
      <w:pPr>
        <w:spacing w:line="360" w:lineRule="auto"/>
        <w:jc w:val="center"/>
        <w:rPr>
          <w:rFonts w:hint="eastAsia" w:ascii="宋体" w:hAnsi="宋体" w:eastAsia="宋体" w:cs="宋体"/>
          <w:sz w:val="28"/>
          <w:szCs w:val="28"/>
        </w:rPr>
      </w:pPr>
    </w:p>
    <w:p w14:paraId="68141D85">
      <w:pPr>
        <w:pStyle w:val="20"/>
        <w:spacing w:before="0" w:beforeAutospacing="0" w:after="0" w:afterAutospacing="0" w:line="360" w:lineRule="auto"/>
        <w:rPr>
          <w:rFonts w:hint="eastAsia" w:ascii="宋体" w:hAnsi="宋体" w:eastAsia="宋体" w:cs="宋体"/>
          <w:lang w:eastAsia="zh-CN"/>
        </w:rPr>
      </w:pPr>
    </w:p>
    <w:p w14:paraId="7C36CA37">
      <w:pPr>
        <w:pStyle w:val="20"/>
        <w:spacing w:before="0" w:beforeAutospacing="0" w:after="0" w:afterAutospacing="0" w:line="360" w:lineRule="auto"/>
        <w:rPr>
          <w:rFonts w:hint="eastAsia" w:ascii="宋体" w:hAnsi="宋体" w:eastAsia="宋体" w:cs="宋体"/>
          <w:lang w:eastAsia="zh-CN"/>
        </w:rPr>
      </w:pPr>
    </w:p>
    <w:p w14:paraId="3CBFC35F">
      <w:pPr>
        <w:pStyle w:val="20"/>
        <w:spacing w:before="0" w:beforeAutospacing="0" w:after="0" w:afterAutospacing="0" w:line="360" w:lineRule="auto"/>
        <w:rPr>
          <w:rFonts w:hint="eastAsia" w:ascii="宋体" w:hAnsi="宋体" w:eastAsia="宋体" w:cs="宋体"/>
          <w:lang w:eastAsia="zh-CN"/>
        </w:rPr>
      </w:pPr>
    </w:p>
    <w:p w14:paraId="436157A7">
      <w:pPr>
        <w:pStyle w:val="20"/>
        <w:spacing w:before="0" w:beforeAutospacing="0" w:after="0" w:afterAutospacing="0" w:line="360" w:lineRule="auto"/>
        <w:rPr>
          <w:rFonts w:hint="eastAsia" w:ascii="宋体" w:hAnsi="宋体" w:eastAsia="宋体" w:cs="宋体"/>
          <w:lang w:eastAsia="zh-CN"/>
        </w:rPr>
      </w:pPr>
    </w:p>
    <w:p w14:paraId="68C29D32">
      <w:pPr>
        <w:pStyle w:val="20"/>
        <w:spacing w:before="0" w:beforeAutospacing="0" w:after="0" w:afterAutospacing="0" w:line="360" w:lineRule="auto"/>
        <w:rPr>
          <w:rFonts w:hint="eastAsia" w:ascii="宋体" w:hAnsi="宋体" w:eastAsia="宋体" w:cs="宋体"/>
          <w:lang w:eastAsia="zh-CN"/>
        </w:rPr>
      </w:pPr>
    </w:p>
    <w:p w14:paraId="36C6B1A2">
      <w:pPr>
        <w:pStyle w:val="20"/>
        <w:spacing w:before="0" w:beforeAutospacing="0" w:after="0" w:afterAutospacing="0" w:line="360" w:lineRule="auto"/>
        <w:rPr>
          <w:rFonts w:hint="eastAsia" w:ascii="宋体" w:hAnsi="宋体" w:eastAsia="宋体" w:cs="宋体"/>
          <w:lang w:eastAsia="zh-CN"/>
        </w:rPr>
      </w:pPr>
    </w:p>
    <w:p w14:paraId="342F775C">
      <w:pPr>
        <w:pStyle w:val="20"/>
        <w:spacing w:before="0" w:beforeAutospacing="0" w:after="0" w:afterAutospacing="0" w:line="360" w:lineRule="auto"/>
        <w:rPr>
          <w:rFonts w:hint="eastAsia" w:ascii="宋体" w:hAnsi="宋体" w:eastAsia="宋体" w:cs="宋体"/>
          <w:lang w:eastAsia="zh-CN"/>
        </w:rPr>
      </w:pPr>
    </w:p>
    <w:p w14:paraId="11F8D751">
      <w:pPr>
        <w:pStyle w:val="20"/>
        <w:spacing w:before="0" w:beforeAutospacing="0" w:after="0" w:afterAutospacing="0" w:line="360" w:lineRule="auto"/>
        <w:rPr>
          <w:rFonts w:hint="eastAsia" w:ascii="宋体" w:hAnsi="宋体" w:eastAsia="宋体" w:cs="宋体"/>
          <w:lang w:eastAsia="zh-CN"/>
        </w:rPr>
      </w:pPr>
    </w:p>
    <w:p w14:paraId="53B3944F">
      <w:pPr>
        <w:pStyle w:val="20"/>
        <w:spacing w:before="0" w:beforeAutospacing="0" w:after="0" w:afterAutospacing="0" w:line="360" w:lineRule="auto"/>
        <w:rPr>
          <w:rFonts w:hint="eastAsia" w:ascii="宋体" w:hAnsi="宋体" w:eastAsia="宋体" w:cs="宋体"/>
          <w:lang w:eastAsia="zh-CN"/>
        </w:rPr>
      </w:pPr>
    </w:p>
    <w:p w14:paraId="1D03EAF7">
      <w:pPr>
        <w:pStyle w:val="20"/>
        <w:spacing w:before="0" w:beforeAutospacing="0" w:after="0" w:afterAutospacing="0" w:line="360" w:lineRule="auto"/>
        <w:rPr>
          <w:rFonts w:hint="eastAsia" w:ascii="宋体" w:hAnsi="宋体" w:eastAsia="宋体" w:cs="宋体"/>
          <w:lang w:eastAsia="zh-CN"/>
        </w:rPr>
      </w:pPr>
    </w:p>
    <w:p w14:paraId="2B6795A5">
      <w:pPr>
        <w:pStyle w:val="20"/>
        <w:spacing w:before="0" w:beforeAutospacing="0" w:after="0" w:afterAutospacing="0" w:line="360" w:lineRule="auto"/>
        <w:rPr>
          <w:rFonts w:hint="eastAsia" w:ascii="宋体" w:hAnsi="宋体" w:eastAsia="宋体" w:cs="宋体"/>
          <w:lang w:eastAsia="zh-CN"/>
        </w:rPr>
      </w:pPr>
    </w:p>
    <w:p w14:paraId="2BF74700">
      <w:pPr>
        <w:pStyle w:val="20"/>
        <w:spacing w:before="0" w:beforeAutospacing="0" w:after="0" w:afterAutospacing="0" w:line="360" w:lineRule="auto"/>
        <w:rPr>
          <w:rFonts w:hint="eastAsia" w:ascii="宋体" w:hAnsi="宋体" w:eastAsia="宋体" w:cs="宋体"/>
          <w:lang w:eastAsia="zh-CN"/>
        </w:rPr>
      </w:pPr>
    </w:p>
    <w:p w14:paraId="7C68000B">
      <w:pPr>
        <w:pStyle w:val="20"/>
        <w:spacing w:before="0" w:beforeAutospacing="0" w:after="0" w:afterAutospacing="0" w:line="360" w:lineRule="auto"/>
        <w:rPr>
          <w:rFonts w:hint="eastAsia" w:ascii="宋体" w:hAnsi="宋体" w:eastAsia="宋体" w:cs="宋体"/>
          <w:lang w:eastAsia="zh-CN"/>
        </w:rPr>
      </w:pPr>
      <w:r>
        <w:rPr>
          <w:rFonts w:hint="eastAsia" w:ascii="宋体" w:hAnsi="宋体" w:eastAsia="宋体" w:cs="宋体"/>
          <w:lang w:eastAsia="zh-CN"/>
        </w:rPr>
        <w:t>供应商全称（公章）：        </w:t>
      </w:r>
    </w:p>
    <w:p w14:paraId="040760DF">
      <w:pPr>
        <w:pStyle w:val="20"/>
        <w:spacing w:before="0" w:beforeAutospacing="0" w:after="0" w:afterAutospacing="0" w:line="360" w:lineRule="auto"/>
        <w:rPr>
          <w:rFonts w:hint="eastAsia" w:ascii="宋体" w:hAnsi="宋体" w:eastAsia="宋体" w:cs="宋体"/>
          <w:lang w:eastAsia="zh-CN"/>
        </w:rPr>
      </w:pPr>
      <w:r>
        <w:rPr>
          <w:rFonts w:hint="eastAsia" w:ascii="宋体" w:hAnsi="宋体" w:eastAsia="宋体" w:cs="宋体"/>
          <w:lang w:eastAsia="zh-CN"/>
        </w:rPr>
        <w:t>法定代表人（授权代表）（</w:t>
      </w:r>
      <w:r>
        <w:rPr>
          <w:rFonts w:hint="eastAsia" w:ascii="宋体" w:hAnsi="宋体" w:eastAsia="宋体" w:cs="宋体"/>
          <w:lang w:val="en-US" w:eastAsia="zh-CN"/>
        </w:rPr>
        <w:t>电子签章</w:t>
      </w:r>
      <w:r>
        <w:rPr>
          <w:rFonts w:hint="eastAsia" w:ascii="宋体" w:hAnsi="宋体" w:eastAsia="宋体" w:cs="宋体"/>
          <w:lang w:eastAsia="zh-CN"/>
        </w:rPr>
        <w:t>）：</w:t>
      </w:r>
    </w:p>
    <w:p w14:paraId="5673F9C6">
      <w:pPr>
        <w:spacing w:line="360" w:lineRule="auto"/>
        <w:rPr>
          <w:rStyle w:val="25"/>
          <w:rFonts w:hint="eastAsia" w:ascii="宋体" w:hAnsi="宋体" w:eastAsia="宋体" w:cs="宋体"/>
          <w:lang w:eastAsia="zh-CN"/>
        </w:rPr>
      </w:pPr>
    </w:p>
    <w:p w14:paraId="76FDDF73">
      <w:pPr>
        <w:spacing w:line="360" w:lineRule="auto"/>
        <w:rPr>
          <w:rStyle w:val="25"/>
          <w:rFonts w:hint="eastAsia" w:ascii="宋体" w:hAnsi="宋体" w:eastAsia="宋体" w:cs="宋体"/>
          <w:lang w:eastAsia="zh-CN"/>
        </w:rPr>
      </w:pPr>
    </w:p>
    <w:p w14:paraId="4D908522">
      <w:pPr>
        <w:spacing w:line="360" w:lineRule="auto"/>
        <w:rPr>
          <w:rStyle w:val="25"/>
          <w:rFonts w:hint="eastAsia" w:ascii="宋体" w:hAnsi="宋体" w:eastAsia="宋体" w:cs="宋体"/>
          <w:szCs w:val="21"/>
          <w:lang w:eastAsia="zh-CN"/>
        </w:rPr>
      </w:pPr>
      <w:r>
        <w:rPr>
          <w:rStyle w:val="25"/>
          <w:rFonts w:hint="eastAsia" w:ascii="宋体" w:hAnsi="宋体" w:eastAsia="宋体" w:cs="宋体"/>
          <w:szCs w:val="21"/>
          <w:lang w:eastAsia="zh-CN"/>
        </w:rPr>
        <w:t>注:</w:t>
      </w:r>
    </w:p>
    <w:p w14:paraId="77729203">
      <w:pPr>
        <w:pStyle w:val="20"/>
        <w:spacing w:before="0" w:beforeAutospacing="0" w:after="0" w:afterAutospacing="0"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1.所有价格均以人民币表示；</w:t>
      </w:r>
    </w:p>
    <w:p w14:paraId="1FA23D42">
      <w:pPr>
        <w:pStyle w:val="20"/>
        <w:spacing w:before="0" w:beforeAutospacing="0" w:after="0" w:afterAutospacing="0"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2.项目报价应包括采购文件所规定的采购范围的全部内容（各类人工、税费、管理费以及一切项目相关费用等）。供应商漏报的费用，视为此项费用已隐含在响应报价中，成交后不得再向采购人收取任何费用。</w:t>
      </w:r>
    </w:p>
    <w:p w14:paraId="2B014C8F">
      <w:pPr>
        <w:pStyle w:val="20"/>
        <w:spacing w:before="0" w:beforeAutospacing="0" w:after="0" w:afterAutospacing="0"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3、采购文件未列明，而供应商认为必需的费用也需列入报价。</w:t>
      </w:r>
    </w:p>
    <w:p w14:paraId="229A9951">
      <w:pPr>
        <w:numPr>
          <w:ilvl w:val="0"/>
          <w:numId w:val="0"/>
        </w:numPr>
        <w:adjustRightInd w:val="0"/>
        <w:snapToGrid w:val="0"/>
        <w:spacing w:line="360" w:lineRule="auto"/>
        <w:jc w:val="center"/>
        <w:outlineLvl w:val="2"/>
        <w:rPr>
          <w:rFonts w:hint="eastAsia" w:ascii="宋体" w:hAnsi="宋体" w:eastAsia="宋体" w:cs="宋体"/>
          <w:sz w:val="32"/>
          <w:szCs w:val="32"/>
          <w:highlight w:val="none"/>
        </w:rPr>
        <w:sectPr>
          <w:pgSz w:w="11906" w:h="16838"/>
          <w:pgMar w:top="1440" w:right="1080" w:bottom="1440" w:left="1080" w:header="851" w:footer="992" w:gutter="0"/>
          <w:pgNumType w:fmt="decimal"/>
          <w:cols w:space="720" w:num="1"/>
          <w:docGrid w:type="linesAndChars" w:linePitch="312" w:charSpace="0"/>
        </w:sectPr>
      </w:pPr>
    </w:p>
    <w:p w14:paraId="20EAD091">
      <w:pPr>
        <w:numPr>
          <w:ilvl w:val="0"/>
          <w:numId w:val="0"/>
        </w:numPr>
        <w:adjustRightInd w:val="0"/>
        <w:snapToGrid w:val="0"/>
        <w:spacing w:line="360" w:lineRule="auto"/>
        <w:jc w:val="center"/>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报价</w:t>
      </w:r>
      <w:r>
        <w:rPr>
          <w:rFonts w:hint="eastAsia" w:ascii="宋体" w:hAnsi="宋体" w:eastAsia="宋体" w:cs="宋体"/>
          <w:sz w:val="32"/>
          <w:szCs w:val="32"/>
          <w:highlight w:val="none"/>
          <w:lang w:eastAsia="zh-CN"/>
        </w:rPr>
        <w:t>明细</w:t>
      </w:r>
      <w:r>
        <w:rPr>
          <w:rFonts w:hint="eastAsia" w:ascii="宋体" w:hAnsi="宋体" w:eastAsia="宋体" w:cs="宋体"/>
          <w:sz w:val="32"/>
          <w:szCs w:val="32"/>
          <w:highlight w:val="none"/>
        </w:rPr>
        <w:t>表</w:t>
      </w:r>
    </w:p>
    <w:tbl>
      <w:tblPr>
        <w:tblStyle w:val="22"/>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2565"/>
        <w:gridCol w:w="1216"/>
        <w:gridCol w:w="1258"/>
        <w:gridCol w:w="1320"/>
        <w:gridCol w:w="2105"/>
      </w:tblGrid>
      <w:tr w14:paraId="074F3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jc w:val="center"/>
        </w:trPr>
        <w:tc>
          <w:tcPr>
            <w:tcW w:w="1007" w:type="dxa"/>
            <w:noWrap w:val="0"/>
            <w:vAlign w:val="center"/>
          </w:tcPr>
          <w:p w14:paraId="19D37374">
            <w:pPr>
              <w:jc w:val="center"/>
              <w:rPr>
                <w:rFonts w:hint="eastAsia" w:ascii="宋体" w:hAnsi="宋体" w:eastAsia="宋体" w:cs="宋体"/>
              </w:rPr>
            </w:pPr>
            <w:r>
              <w:rPr>
                <w:rFonts w:hint="eastAsia" w:ascii="宋体" w:hAnsi="宋体" w:eastAsia="宋体" w:cs="宋体"/>
              </w:rPr>
              <w:t>序号</w:t>
            </w:r>
          </w:p>
        </w:tc>
        <w:tc>
          <w:tcPr>
            <w:tcW w:w="2565" w:type="dxa"/>
            <w:noWrap w:val="0"/>
            <w:vAlign w:val="center"/>
          </w:tcPr>
          <w:p w14:paraId="193B4D0B">
            <w:pPr>
              <w:jc w:val="center"/>
              <w:rPr>
                <w:rFonts w:hint="eastAsia" w:ascii="宋体" w:hAnsi="宋体" w:eastAsia="宋体" w:cs="宋体"/>
              </w:rPr>
            </w:pPr>
            <w:r>
              <w:rPr>
                <w:rFonts w:hint="eastAsia" w:ascii="宋体" w:hAnsi="宋体" w:eastAsia="宋体" w:cs="宋体"/>
              </w:rPr>
              <w:t>服务名称</w:t>
            </w:r>
          </w:p>
        </w:tc>
        <w:tc>
          <w:tcPr>
            <w:tcW w:w="1216" w:type="dxa"/>
            <w:noWrap w:val="0"/>
            <w:vAlign w:val="center"/>
          </w:tcPr>
          <w:p w14:paraId="553DF3F3">
            <w:pPr>
              <w:jc w:val="center"/>
              <w:rPr>
                <w:rFonts w:hint="eastAsia" w:ascii="宋体" w:hAnsi="宋体" w:eastAsia="宋体" w:cs="宋体"/>
              </w:rPr>
            </w:pPr>
            <w:r>
              <w:rPr>
                <w:rFonts w:hint="eastAsia" w:ascii="宋体" w:hAnsi="宋体" w:eastAsia="宋体" w:cs="宋体"/>
              </w:rPr>
              <w:t>单位</w:t>
            </w:r>
          </w:p>
        </w:tc>
        <w:tc>
          <w:tcPr>
            <w:tcW w:w="1258" w:type="dxa"/>
            <w:noWrap w:val="0"/>
            <w:vAlign w:val="center"/>
          </w:tcPr>
          <w:p w14:paraId="1D74F94E">
            <w:pPr>
              <w:jc w:val="center"/>
              <w:rPr>
                <w:rFonts w:hint="eastAsia" w:ascii="宋体" w:hAnsi="宋体" w:eastAsia="宋体" w:cs="宋体"/>
              </w:rPr>
            </w:pPr>
            <w:r>
              <w:rPr>
                <w:rFonts w:hint="eastAsia" w:ascii="宋体" w:hAnsi="宋体" w:eastAsia="宋体" w:cs="宋体"/>
              </w:rPr>
              <w:t>数量</w:t>
            </w:r>
          </w:p>
        </w:tc>
        <w:tc>
          <w:tcPr>
            <w:tcW w:w="1320" w:type="dxa"/>
            <w:noWrap w:val="0"/>
            <w:vAlign w:val="center"/>
          </w:tcPr>
          <w:p w14:paraId="705B27F5">
            <w:pPr>
              <w:jc w:val="center"/>
              <w:rPr>
                <w:rFonts w:hint="eastAsia" w:ascii="宋体" w:hAnsi="宋体" w:eastAsia="宋体" w:cs="宋体"/>
              </w:rPr>
            </w:pPr>
            <w:r>
              <w:rPr>
                <w:rFonts w:hint="eastAsia" w:ascii="宋体" w:hAnsi="宋体" w:eastAsia="宋体" w:cs="宋体"/>
              </w:rPr>
              <w:t>单价</w:t>
            </w:r>
          </w:p>
          <w:p w14:paraId="21B3E88E">
            <w:pPr>
              <w:jc w:val="center"/>
              <w:rPr>
                <w:rFonts w:hint="eastAsia" w:ascii="宋体" w:hAnsi="宋体" w:eastAsia="宋体" w:cs="宋体"/>
              </w:rPr>
            </w:pPr>
            <w:r>
              <w:rPr>
                <w:rFonts w:hint="eastAsia" w:ascii="宋体" w:hAnsi="宋体" w:eastAsia="宋体" w:cs="宋体"/>
              </w:rPr>
              <w:t>（元）</w:t>
            </w:r>
          </w:p>
        </w:tc>
        <w:tc>
          <w:tcPr>
            <w:tcW w:w="2105" w:type="dxa"/>
            <w:noWrap w:val="0"/>
            <w:vAlign w:val="center"/>
          </w:tcPr>
          <w:p w14:paraId="51741F86">
            <w:pPr>
              <w:jc w:val="center"/>
              <w:rPr>
                <w:rFonts w:hint="eastAsia" w:ascii="宋体" w:hAnsi="宋体" w:eastAsia="宋体" w:cs="宋体"/>
              </w:rPr>
            </w:pPr>
            <w:r>
              <w:rPr>
                <w:rFonts w:hint="eastAsia" w:ascii="宋体" w:hAnsi="宋体" w:eastAsia="宋体" w:cs="宋体"/>
              </w:rPr>
              <w:t>单项合计价</w:t>
            </w:r>
          </w:p>
          <w:p w14:paraId="03753140">
            <w:pPr>
              <w:jc w:val="center"/>
              <w:rPr>
                <w:rFonts w:hint="eastAsia" w:ascii="宋体" w:hAnsi="宋体" w:eastAsia="宋体" w:cs="宋体"/>
              </w:rPr>
            </w:pPr>
            <w:r>
              <w:rPr>
                <w:rFonts w:hint="eastAsia" w:ascii="宋体" w:hAnsi="宋体" w:eastAsia="宋体" w:cs="宋体"/>
              </w:rPr>
              <w:t>（元）</w:t>
            </w:r>
          </w:p>
        </w:tc>
      </w:tr>
      <w:tr w14:paraId="05B4B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1007" w:type="dxa"/>
            <w:noWrap w:val="0"/>
            <w:vAlign w:val="center"/>
          </w:tcPr>
          <w:p w14:paraId="7A9035D4">
            <w:pPr>
              <w:spacing w:line="360" w:lineRule="auto"/>
              <w:jc w:val="center"/>
              <w:textAlignment w:val="baseline"/>
              <w:rPr>
                <w:rFonts w:hint="eastAsia" w:ascii="宋体" w:hAnsi="宋体" w:eastAsia="宋体" w:cs="宋体"/>
                <w:sz w:val="24"/>
              </w:rPr>
            </w:pPr>
          </w:p>
        </w:tc>
        <w:tc>
          <w:tcPr>
            <w:tcW w:w="2565" w:type="dxa"/>
            <w:noWrap w:val="0"/>
            <w:vAlign w:val="center"/>
          </w:tcPr>
          <w:p w14:paraId="1555DF42">
            <w:pPr>
              <w:spacing w:line="360" w:lineRule="auto"/>
              <w:jc w:val="center"/>
              <w:textAlignment w:val="baseline"/>
              <w:rPr>
                <w:rFonts w:hint="eastAsia" w:ascii="宋体" w:hAnsi="宋体" w:eastAsia="宋体" w:cs="宋体"/>
                <w:sz w:val="24"/>
              </w:rPr>
            </w:pPr>
          </w:p>
        </w:tc>
        <w:tc>
          <w:tcPr>
            <w:tcW w:w="1216" w:type="dxa"/>
            <w:noWrap w:val="0"/>
            <w:vAlign w:val="center"/>
          </w:tcPr>
          <w:p w14:paraId="45C85CE7">
            <w:pPr>
              <w:spacing w:line="360" w:lineRule="auto"/>
              <w:jc w:val="center"/>
              <w:textAlignment w:val="baseline"/>
              <w:rPr>
                <w:rFonts w:hint="eastAsia" w:ascii="宋体" w:hAnsi="宋体" w:eastAsia="宋体" w:cs="宋体"/>
                <w:sz w:val="24"/>
              </w:rPr>
            </w:pPr>
          </w:p>
        </w:tc>
        <w:tc>
          <w:tcPr>
            <w:tcW w:w="1258" w:type="dxa"/>
            <w:noWrap w:val="0"/>
            <w:vAlign w:val="center"/>
          </w:tcPr>
          <w:p w14:paraId="7B1ADAA7">
            <w:pPr>
              <w:spacing w:line="360" w:lineRule="auto"/>
              <w:jc w:val="center"/>
              <w:textAlignment w:val="baseline"/>
              <w:rPr>
                <w:rFonts w:hint="eastAsia" w:ascii="宋体" w:hAnsi="宋体" w:eastAsia="宋体" w:cs="宋体"/>
                <w:sz w:val="24"/>
              </w:rPr>
            </w:pPr>
          </w:p>
        </w:tc>
        <w:tc>
          <w:tcPr>
            <w:tcW w:w="1320" w:type="dxa"/>
            <w:noWrap w:val="0"/>
            <w:vAlign w:val="center"/>
          </w:tcPr>
          <w:p w14:paraId="58728B01">
            <w:pPr>
              <w:spacing w:line="360" w:lineRule="auto"/>
              <w:jc w:val="center"/>
              <w:textAlignment w:val="baseline"/>
              <w:rPr>
                <w:rFonts w:hint="eastAsia" w:ascii="宋体" w:hAnsi="宋体" w:eastAsia="宋体" w:cs="宋体"/>
                <w:sz w:val="24"/>
              </w:rPr>
            </w:pPr>
          </w:p>
        </w:tc>
        <w:tc>
          <w:tcPr>
            <w:tcW w:w="2105" w:type="dxa"/>
            <w:noWrap w:val="0"/>
            <w:vAlign w:val="center"/>
          </w:tcPr>
          <w:p w14:paraId="55A549D7">
            <w:pPr>
              <w:spacing w:line="360" w:lineRule="auto"/>
              <w:jc w:val="center"/>
              <w:textAlignment w:val="baseline"/>
              <w:rPr>
                <w:rFonts w:hint="eastAsia" w:ascii="宋体" w:hAnsi="宋体" w:eastAsia="宋体" w:cs="宋体"/>
                <w:sz w:val="24"/>
              </w:rPr>
            </w:pPr>
          </w:p>
        </w:tc>
      </w:tr>
      <w:tr w14:paraId="72867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1007" w:type="dxa"/>
            <w:noWrap w:val="0"/>
            <w:vAlign w:val="center"/>
          </w:tcPr>
          <w:p w14:paraId="7B83BD83">
            <w:pPr>
              <w:spacing w:line="360" w:lineRule="auto"/>
              <w:jc w:val="center"/>
              <w:textAlignment w:val="baseline"/>
              <w:rPr>
                <w:rFonts w:hint="eastAsia" w:ascii="宋体" w:hAnsi="宋体" w:eastAsia="宋体" w:cs="宋体"/>
                <w:sz w:val="24"/>
              </w:rPr>
            </w:pPr>
          </w:p>
        </w:tc>
        <w:tc>
          <w:tcPr>
            <w:tcW w:w="2565" w:type="dxa"/>
            <w:noWrap w:val="0"/>
            <w:vAlign w:val="center"/>
          </w:tcPr>
          <w:p w14:paraId="7114386B">
            <w:pPr>
              <w:spacing w:line="360" w:lineRule="auto"/>
              <w:jc w:val="center"/>
              <w:textAlignment w:val="baseline"/>
              <w:rPr>
                <w:rFonts w:hint="eastAsia" w:ascii="宋体" w:hAnsi="宋体" w:eastAsia="宋体" w:cs="宋体"/>
                <w:sz w:val="24"/>
              </w:rPr>
            </w:pPr>
          </w:p>
        </w:tc>
        <w:tc>
          <w:tcPr>
            <w:tcW w:w="1216" w:type="dxa"/>
            <w:noWrap w:val="0"/>
            <w:vAlign w:val="center"/>
          </w:tcPr>
          <w:p w14:paraId="6CAF8815">
            <w:pPr>
              <w:spacing w:line="360" w:lineRule="auto"/>
              <w:jc w:val="center"/>
              <w:textAlignment w:val="baseline"/>
              <w:rPr>
                <w:rFonts w:hint="eastAsia" w:ascii="宋体" w:hAnsi="宋体" w:eastAsia="宋体" w:cs="宋体"/>
                <w:sz w:val="24"/>
              </w:rPr>
            </w:pPr>
          </w:p>
        </w:tc>
        <w:tc>
          <w:tcPr>
            <w:tcW w:w="1258" w:type="dxa"/>
            <w:noWrap w:val="0"/>
            <w:vAlign w:val="center"/>
          </w:tcPr>
          <w:p w14:paraId="2FE4662E">
            <w:pPr>
              <w:spacing w:line="360" w:lineRule="auto"/>
              <w:jc w:val="center"/>
              <w:textAlignment w:val="baseline"/>
              <w:rPr>
                <w:rFonts w:hint="eastAsia" w:ascii="宋体" w:hAnsi="宋体" w:eastAsia="宋体" w:cs="宋体"/>
                <w:sz w:val="24"/>
              </w:rPr>
            </w:pPr>
          </w:p>
        </w:tc>
        <w:tc>
          <w:tcPr>
            <w:tcW w:w="1320" w:type="dxa"/>
            <w:noWrap w:val="0"/>
            <w:vAlign w:val="center"/>
          </w:tcPr>
          <w:p w14:paraId="444CD562">
            <w:pPr>
              <w:spacing w:line="360" w:lineRule="auto"/>
              <w:jc w:val="center"/>
              <w:textAlignment w:val="baseline"/>
              <w:rPr>
                <w:rFonts w:hint="eastAsia" w:ascii="宋体" w:hAnsi="宋体" w:eastAsia="宋体" w:cs="宋体"/>
                <w:sz w:val="24"/>
              </w:rPr>
            </w:pPr>
          </w:p>
        </w:tc>
        <w:tc>
          <w:tcPr>
            <w:tcW w:w="2105" w:type="dxa"/>
            <w:noWrap w:val="0"/>
            <w:vAlign w:val="center"/>
          </w:tcPr>
          <w:p w14:paraId="4749F7EA">
            <w:pPr>
              <w:spacing w:line="360" w:lineRule="auto"/>
              <w:jc w:val="center"/>
              <w:textAlignment w:val="baseline"/>
              <w:rPr>
                <w:rFonts w:hint="eastAsia" w:ascii="宋体" w:hAnsi="宋体" w:eastAsia="宋体" w:cs="宋体"/>
                <w:sz w:val="24"/>
              </w:rPr>
            </w:pPr>
          </w:p>
        </w:tc>
      </w:tr>
      <w:tr w14:paraId="3F3FA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1007" w:type="dxa"/>
            <w:noWrap w:val="0"/>
            <w:vAlign w:val="center"/>
          </w:tcPr>
          <w:p w14:paraId="788B542B">
            <w:pPr>
              <w:spacing w:line="360" w:lineRule="auto"/>
              <w:jc w:val="center"/>
              <w:textAlignment w:val="baseline"/>
              <w:rPr>
                <w:rFonts w:hint="eastAsia" w:ascii="宋体" w:hAnsi="宋体" w:eastAsia="宋体" w:cs="宋体"/>
                <w:sz w:val="24"/>
              </w:rPr>
            </w:pPr>
          </w:p>
        </w:tc>
        <w:tc>
          <w:tcPr>
            <w:tcW w:w="2565" w:type="dxa"/>
            <w:noWrap w:val="0"/>
            <w:vAlign w:val="center"/>
          </w:tcPr>
          <w:p w14:paraId="6110BB28">
            <w:pPr>
              <w:spacing w:line="360" w:lineRule="auto"/>
              <w:jc w:val="center"/>
              <w:textAlignment w:val="baseline"/>
              <w:rPr>
                <w:rFonts w:hint="eastAsia" w:ascii="宋体" w:hAnsi="宋体" w:eastAsia="宋体" w:cs="宋体"/>
                <w:sz w:val="24"/>
              </w:rPr>
            </w:pPr>
          </w:p>
        </w:tc>
        <w:tc>
          <w:tcPr>
            <w:tcW w:w="1216" w:type="dxa"/>
            <w:noWrap w:val="0"/>
            <w:vAlign w:val="center"/>
          </w:tcPr>
          <w:p w14:paraId="67F2AF19">
            <w:pPr>
              <w:spacing w:line="360" w:lineRule="auto"/>
              <w:jc w:val="center"/>
              <w:textAlignment w:val="baseline"/>
              <w:rPr>
                <w:rFonts w:hint="eastAsia" w:ascii="宋体" w:hAnsi="宋体" w:eastAsia="宋体" w:cs="宋体"/>
                <w:sz w:val="24"/>
              </w:rPr>
            </w:pPr>
          </w:p>
        </w:tc>
        <w:tc>
          <w:tcPr>
            <w:tcW w:w="1258" w:type="dxa"/>
            <w:noWrap w:val="0"/>
            <w:vAlign w:val="center"/>
          </w:tcPr>
          <w:p w14:paraId="6F835551">
            <w:pPr>
              <w:spacing w:line="360" w:lineRule="auto"/>
              <w:jc w:val="center"/>
              <w:textAlignment w:val="baseline"/>
              <w:rPr>
                <w:rFonts w:hint="eastAsia" w:ascii="宋体" w:hAnsi="宋体" w:eastAsia="宋体" w:cs="宋体"/>
                <w:sz w:val="24"/>
              </w:rPr>
            </w:pPr>
          </w:p>
        </w:tc>
        <w:tc>
          <w:tcPr>
            <w:tcW w:w="1320" w:type="dxa"/>
            <w:noWrap w:val="0"/>
            <w:vAlign w:val="center"/>
          </w:tcPr>
          <w:p w14:paraId="74793C7A">
            <w:pPr>
              <w:spacing w:line="360" w:lineRule="auto"/>
              <w:jc w:val="center"/>
              <w:textAlignment w:val="baseline"/>
              <w:rPr>
                <w:rFonts w:hint="eastAsia" w:ascii="宋体" w:hAnsi="宋体" w:eastAsia="宋体" w:cs="宋体"/>
                <w:sz w:val="24"/>
              </w:rPr>
            </w:pPr>
          </w:p>
        </w:tc>
        <w:tc>
          <w:tcPr>
            <w:tcW w:w="2105" w:type="dxa"/>
            <w:noWrap w:val="0"/>
            <w:vAlign w:val="center"/>
          </w:tcPr>
          <w:p w14:paraId="4BA3007C">
            <w:pPr>
              <w:spacing w:line="360" w:lineRule="auto"/>
              <w:jc w:val="center"/>
              <w:textAlignment w:val="baseline"/>
              <w:rPr>
                <w:rFonts w:hint="eastAsia" w:ascii="宋体" w:hAnsi="宋体" w:eastAsia="宋体" w:cs="宋体"/>
                <w:sz w:val="24"/>
              </w:rPr>
            </w:pPr>
          </w:p>
        </w:tc>
      </w:tr>
      <w:tr w14:paraId="2C77E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1007" w:type="dxa"/>
            <w:noWrap w:val="0"/>
            <w:vAlign w:val="center"/>
          </w:tcPr>
          <w:p w14:paraId="626DAD9E">
            <w:pPr>
              <w:spacing w:line="360" w:lineRule="auto"/>
              <w:jc w:val="center"/>
              <w:textAlignment w:val="baseline"/>
              <w:rPr>
                <w:rFonts w:hint="eastAsia" w:ascii="宋体" w:hAnsi="宋体" w:eastAsia="宋体" w:cs="宋体"/>
                <w:sz w:val="24"/>
              </w:rPr>
            </w:pPr>
          </w:p>
        </w:tc>
        <w:tc>
          <w:tcPr>
            <w:tcW w:w="2565" w:type="dxa"/>
            <w:noWrap w:val="0"/>
            <w:vAlign w:val="center"/>
          </w:tcPr>
          <w:p w14:paraId="031AC1C2">
            <w:pPr>
              <w:spacing w:line="360" w:lineRule="auto"/>
              <w:jc w:val="center"/>
              <w:textAlignment w:val="baseline"/>
              <w:rPr>
                <w:rFonts w:hint="eastAsia" w:ascii="宋体" w:hAnsi="宋体" w:eastAsia="宋体" w:cs="宋体"/>
                <w:sz w:val="24"/>
              </w:rPr>
            </w:pPr>
          </w:p>
        </w:tc>
        <w:tc>
          <w:tcPr>
            <w:tcW w:w="1216" w:type="dxa"/>
            <w:noWrap w:val="0"/>
            <w:vAlign w:val="center"/>
          </w:tcPr>
          <w:p w14:paraId="2A655C9E">
            <w:pPr>
              <w:spacing w:line="360" w:lineRule="auto"/>
              <w:jc w:val="center"/>
              <w:textAlignment w:val="baseline"/>
              <w:rPr>
                <w:rFonts w:hint="eastAsia" w:ascii="宋体" w:hAnsi="宋体" w:eastAsia="宋体" w:cs="宋体"/>
                <w:sz w:val="24"/>
              </w:rPr>
            </w:pPr>
          </w:p>
        </w:tc>
        <w:tc>
          <w:tcPr>
            <w:tcW w:w="1258" w:type="dxa"/>
            <w:noWrap w:val="0"/>
            <w:vAlign w:val="center"/>
          </w:tcPr>
          <w:p w14:paraId="1EBE26C7">
            <w:pPr>
              <w:spacing w:line="360" w:lineRule="auto"/>
              <w:jc w:val="center"/>
              <w:textAlignment w:val="baseline"/>
              <w:rPr>
                <w:rFonts w:hint="eastAsia" w:ascii="宋体" w:hAnsi="宋体" w:eastAsia="宋体" w:cs="宋体"/>
                <w:sz w:val="24"/>
              </w:rPr>
            </w:pPr>
          </w:p>
        </w:tc>
        <w:tc>
          <w:tcPr>
            <w:tcW w:w="1320" w:type="dxa"/>
            <w:noWrap w:val="0"/>
            <w:vAlign w:val="center"/>
          </w:tcPr>
          <w:p w14:paraId="4077A350">
            <w:pPr>
              <w:spacing w:line="360" w:lineRule="auto"/>
              <w:jc w:val="center"/>
              <w:textAlignment w:val="baseline"/>
              <w:rPr>
                <w:rFonts w:hint="eastAsia" w:ascii="宋体" w:hAnsi="宋体" w:eastAsia="宋体" w:cs="宋体"/>
                <w:sz w:val="24"/>
              </w:rPr>
            </w:pPr>
          </w:p>
        </w:tc>
        <w:tc>
          <w:tcPr>
            <w:tcW w:w="2105" w:type="dxa"/>
            <w:noWrap w:val="0"/>
            <w:vAlign w:val="center"/>
          </w:tcPr>
          <w:p w14:paraId="4DC155A1">
            <w:pPr>
              <w:spacing w:line="360" w:lineRule="auto"/>
              <w:jc w:val="center"/>
              <w:textAlignment w:val="baseline"/>
              <w:rPr>
                <w:rFonts w:hint="eastAsia" w:ascii="宋体" w:hAnsi="宋体" w:eastAsia="宋体" w:cs="宋体"/>
                <w:sz w:val="24"/>
              </w:rPr>
            </w:pPr>
          </w:p>
        </w:tc>
      </w:tr>
      <w:tr w14:paraId="3EB66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1007" w:type="dxa"/>
            <w:noWrap w:val="0"/>
            <w:vAlign w:val="center"/>
          </w:tcPr>
          <w:p w14:paraId="5F86B526">
            <w:pPr>
              <w:spacing w:line="360" w:lineRule="auto"/>
              <w:jc w:val="center"/>
              <w:textAlignment w:val="baseline"/>
              <w:rPr>
                <w:rFonts w:hint="eastAsia" w:ascii="宋体" w:hAnsi="宋体" w:eastAsia="宋体" w:cs="宋体"/>
                <w:sz w:val="24"/>
              </w:rPr>
            </w:pPr>
          </w:p>
        </w:tc>
        <w:tc>
          <w:tcPr>
            <w:tcW w:w="2565" w:type="dxa"/>
            <w:noWrap w:val="0"/>
            <w:vAlign w:val="center"/>
          </w:tcPr>
          <w:p w14:paraId="18CF6F2A">
            <w:pPr>
              <w:spacing w:line="360" w:lineRule="auto"/>
              <w:jc w:val="center"/>
              <w:textAlignment w:val="baseline"/>
              <w:rPr>
                <w:rFonts w:hint="eastAsia" w:ascii="宋体" w:hAnsi="宋体" w:eastAsia="宋体" w:cs="宋体"/>
                <w:sz w:val="24"/>
              </w:rPr>
            </w:pPr>
          </w:p>
        </w:tc>
        <w:tc>
          <w:tcPr>
            <w:tcW w:w="1216" w:type="dxa"/>
            <w:noWrap w:val="0"/>
            <w:vAlign w:val="center"/>
          </w:tcPr>
          <w:p w14:paraId="61A6CBC1">
            <w:pPr>
              <w:spacing w:line="360" w:lineRule="auto"/>
              <w:jc w:val="center"/>
              <w:textAlignment w:val="baseline"/>
              <w:rPr>
                <w:rFonts w:hint="eastAsia" w:ascii="宋体" w:hAnsi="宋体" w:eastAsia="宋体" w:cs="宋体"/>
                <w:sz w:val="24"/>
              </w:rPr>
            </w:pPr>
          </w:p>
        </w:tc>
        <w:tc>
          <w:tcPr>
            <w:tcW w:w="1258" w:type="dxa"/>
            <w:noWrap w:val="0"/>
            <w:vAlign w:val="center"/>
          </w:tcPr>
          <w:p w14:paraId="1A61E37C">
            <w:pPr>
              <w:spacing w:line="360" w:lineRule="auto"/>
              <w:jc w:val="center"/>
              <w:textAlignment w:val="baseline"/>
              <w:rPr>
                <w:rFonts w:hint="eastAsia" w:ascii="宋体" w:hAnsi="宋体" w:eastAsia="宋体" w:cs="宋体"/>
                <w:sz w:val="24"/>
              </w:rPr>
            </w:pPr>
          </w:p>
        </w:tc>
        <w:tc>
          <w:tcPr>
            <w:tcW w:w="1320" w:type="dxa"/>
            <w:noWrap w:val="0"/>
            <w:vAlign w:val="center"/>
          </w:tcPr>
          <w:p w14:paraId="59CC276C">
            <w:pPr>
              <w:spacing w:line="360" w:lineRule="auto"/>
              <w:jc w:val="center"/>
              <w:textAlignment w:val="baseline"/>
              <w:rPr>
                <w:rFonts w:hint="eastAsia" w:ascii="宋体" w:hAnsi="宋体" w:eastAsia="宋体" w:cs="宋体"/>
                <w:sz w:val="24"/>
              </w:rPr>
            </w:pPr>
          </w:p>
        </w:tc>
        <w:tc>
          <w:tcPr>
            <w:tcW w:w="2105" w:type="dxa"/>
            <w:noWrap w:val="0"/>
            <w:vAlign w:val="center"/>
          </w:tcPr>
          <w:p w14:paraId="3BC12163">
            <w:pPr>
              <w:spacing w:line="360" w:lineRule="auto"/>
              <w:jc w:val="center"/>
              <w:textAlignment w:val="baseline"/>
              <w:rPr>
                <w:rFonts w:hint="eastAsia" w:ascii="宋体" w:hAnsi="宋体" w:eastAsia="宋体" w:cs="宋体"/>
                <w:sz w:val="24"/>
              </w:rPr>
            </w:pPr>
          </w:p>
        </w:tc>
      </w:tr>
      <w:tr w14:paraId="6B1D9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1007" w:type="dxa"/>
            <w:noWrap w:val="0"/>
            <w:vAlign w:val="center"/>
          </w:tcPr>
          <w:p w14:paraId="6B99285F">
            <w:pPr>
              <w:spacing w:line="360" w:lineRule="auto"/>
              <w:jc w:val="center"/>
              <w:textAlignment w:val="baseline"/>
              <w:rPr>
                <w:rFonts w:hint="eastAsia" w:ascii="宋体" w:hAnsi="宋体" w:eastAsia="宋体" w:cs="宋体"/>
                <w:sz w:val="24"/>
              </w:rPr>
            </w:pPr>
          </w:p>
        </w:tc>
        <w:tc>
          <w:tcPr>
            <w:tcW w:w="2565" w:type="dxa"/>
            <w:noWrap w:val="0"/>
            <w:vAlign w:val="center"/>
          </w:tcPr>
          <w:p w14:paraId="3511D2D2">
            <w:pPr>
              <w:spacing w:line="360" w:lineRule="auto"/>
              <w:jc w:val="center"/>
              <w:textAlignment w:val="baseline"/>
              <w:rPr>
                <w:rFonts w:hint="eastAsia" w:ascii="宋体" w:hAnsi="宋体" w:eastAsia="宋体" w:cs="宋体"/>
                <w:sz w:val="24"/>
              </w:rPr>
            </w:pPr>
          </w:p>
        </w:tc>
        <w:tc>
          <w:tcPr>
            <w:tcW w:w="1216" w:type="dxa"/>
            <w:noWrap w:val="0"/>
            <w:vAlign w:val="center"/>
          </w:tcPr>
          <w:p w14:paraId="1D2DED04">
            <w:pPr>
              <w:spacing w:line="360" w:lineRule="auto"/>
              <w:jc w:val="center"/>
              <w:textAlignment w:val="baseline"/>
              <w:rPr>
                <w:rFonts w:hint="eastAsia" w:ascii="宋体" w:hAnsi="宋体" w:eastAsia="宋体" w:cs="宋体"/>
                <w:sz w:val="24"/>
              </w:rPr>
            </w:pPr>
          </w:p>
        </w:tc>
        <w:tc>
          <w:tcPr>
            <w:tcW w:w="1258" w:type="dxa"/>
            <w:noWrap w:val="0"/>
            <w:vAlign w:val="center"/>
          </w:tcPr>
          <w:p w14:paraId="278C3E3C">
            <w:pPr>
              <w:spacing w:line="360" w:lineRule="auto"/>
              <w:jc w:val="center"/>
              <w:textAlignment w:val="baseline"/>
              <w:rPr>
                <w:rFonts w:hint="eastAsia" w:ascii="宋体" w:hAnsi="宋体" w:eastAsia="宋体" w:cs="宋体"/>
                <w:sz w:val="24"/>
              </w:rPr>
            </w:pPr>
          </w:p>
        </w:tc>
        <w:tc>
          <w:tcPr>
            <w:tcW w:w="1320" w:type="dxa"/>
            <w:noWrap w:val="0"/>
            <w:vAlign w:val="center"/>
          </w:tcPr>
          <w:p w14:paraId="0D3C3557">
            <w:pPr>
              <w:spacing w:line="360" w:lineRule="auto"/>
              <w:jc w:val="center"/>
              <w:textAlignment w:val="baseline"/>
              <w:rPr>
                <w:rFonts w:hint="eastAsia" w:ascii="宋体" w:hAnsi="宋体" w:eastAsia="宋体" w:cs="宋体"/>
                <w:sz w:val="24"/>
              </w:rPr>
            </w:pPr>
          </w:p>
        </w:tc>
        <w:tc>
          <w:tcPr>
            <w:tcW w:w="2105" w:type="dxa"/>
            <w:noWrap w:val="0"/>
            <w:vAlign w:val="center"/>
          </w:tcPr>
          <w:p w14:paraId="10CDD620">
            <w:pPr>
              <w:spacing w:line="360" w:lineRule="auto"/>
              <w:jc w:val="center"/>
              <w:textAlignment w:val="baseline"/>
              <w:rPr>
                <w:rFonts w:hint="eastAsia" w:ascii="宋体" w:hAnsi="宋体" w:eastAsia="宋体" w:cs="宋体"/>
                <w:sz w:val="24"/>
              </w:rPr>
            </w:pPr>
          </w:p>
        </w:tc>
      </w:tr>
      <w:tr w14:paraId="5B89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9471" w:type="dxa"/>
            <w:gridSpan w:val="6"/>
            <w:noWrap w:val="0"/>
            <w:vAlign w:val="center"/>
          </w:tcPr>
          <w:p w14:paraId="75BE4322">
            <w:pPr>
              <w:spacing w:line="360" w:lineRule="auto"/>
              <w:jc w:val="left"/>
              <w:textAlignment w:val="baseline"/>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磋商报价总计（小写）：</w:t>
            </w:r>
          </w:p>
          <w:p w14:paraId="40958670">
            <w:pPr>
              <w:pStyle w:val="5"/>
              <w:ind w:firstLine="1440" w:firstLineChars="600"/>
              <w:textAlignment w:val="baseline"/>
              <w:rPr>
                <w:rFonts w:hint="eastAsia" w:ascii="宋体" w:hAnsi="宋体" w:eastAsia="宋体" w:cs="宋体"/>
              </w:rPr>
            </w:pPr>
            <w:r>
              <w:rPr>
                <w:rFonts w:hint="eastAsia" w:ascii="宋体" w:hAnsi="宋体" w:eastAsia="宋体" w:cs="宋体"/>
                <w:b w:val="0"/>
                <w:bCs w:val="0"/>
                <w:sz w:val="24"/>
                <w:szCs w:val="24"/>
              </w:rPr>
              <w:t>（大写）：</w:t>
            </w:r>
          </w:p>
        </w:tc>
      </w:tr>
    </w:tbl>
    <w:p w14:paraId="0E863DF6">
      <w:pPr>
        <w:pStyle w:val="20"/>
        <w:spacing w:before="0" w:beforeAutospacing="0" w:after="0" w:afterAutospacing="0"/>
        <w:jc w:val="both"/>
        <w:rPr>
          <w:rFonts w:hint="eastAsia" w:ascii="宋体" w:hAnsi="宋体" w:eastAsia="宋体" w:cs="宋体"/>
          <w:highlight w:val="none"/>
        </w:rPr>
      </w:pPr>
    </w:p>
    <w:p w14:paraId="2833BDB6">
      <w:pPr>
        <w:adjustRightInd w:val="0"/>
        <w:snapToGrid w:val="0"/>
        <w:spacing w:line="360" w:lineRule="auto"/>
        <w:ind w:right="18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供应商名称：（加盖电子公章）</w:t>
      </w:r>
    </w:p>
    <w:p w14:paraId="0483186C">
      <w:pPr>
        <w:adjustRightInd w:val="0"/>
        <w:snapToGrid w:val="0"/>
        <w:spacing w:line="360" w:lineRule="auto"/>
        <w:rPr>
          <w:rFonts w:hint="eastAsia" w:ascii="宋体" w:hAnsi="宋体" w:eastAsia="宋体" w:cs="宋体"/>
          <w:sz w:val="24"/>
          <w:highlight w:val="none"/>
        </w:rPr>
      </w:pPr>
    </w:p>
    <w:p w14:paraId="76A4A980">
      <w:pPr>
        <w:pStyle w:val="20"/>
        <w:adjustRightInd w:val="0"/>
        <w:snapToGrid w:val="0"/>
        <w:spacing w:before="0" w:beforeAutospacing="0" w:after="0" w:afterAutospacing="0" w:line="360" w:lineRule="auto"/>
        <w:ind w:firstLine="480" w:firstLineChars="200"/>
        <w:jc w:val="both"/>
        <w:rPr>
          <w:rFonts w:hint="eastAsia" w:ascii="宋体" w:hAnsi="宋体" w:eastAsia="宋体" w:cs="宋体"/>
          <w:highlight w:val="none"/>
        </w:rPr>
      </w:pPr>
      <w:r>
        <w:rPr>
          <w:rFonts w:hint="eastAsia" w:ascii="宋体" w:hAnsi="宋体" w:eastAsia="宋体" w:cs="宋体"/>
          <w:highlight w:val="none"/>
        </w:rPr>
        <w:t xml:space="preserve">备注： </w:t>
      </w:r>
    </w:p>
    <w:p w14:paraId="7679B9D1">
      <w:pPr>
        <w:pStyle w:val="20"/>
        <w:adjustRightInd w:val="0"/>
        <w:snapToGrid w:val="0"/>
        <w:spacing w:before="0" w:beforeAutospacing="0" w:after="0" w:afterAutospacing="0" w:line="360" w:lineRule="auto"/>
        <w:ind w:firstLine="480" w:firstLineChars="200"/>
        <w:jc w:val="both"/>
        <w:rPr>
          <w:rFonts w:hint="eastAsia" w:ascii="宋体" w:hAnsi="宋体" w:eastAsia="宋体" w:cs="宋体"/>
          <w:highlight w:val="none"/>
        </w:rPr>
      </w:pPr>
      <w:r>
        <w:rPr>
          <w:rFonts w:hint="eastAsia" w:ascii="宋体" w:hAnsi="宋体" w:eastAsia="宋体" w:cs="宋体"/>
          <w:highlight w:val="none"/>
        </w:rPr>
        <w:t>1.“总报价”应包括为完成整个项目所产生的所有费用，采购文件另有规定的除外。</w:t>
      </w:r>
    </w:p>
    <w:p w14:paraId="4C4A3E0A">
      <w:pPr>
        <w:pStyle w:val="20"/>
        <w:adjustRightInd w:val="0"/>
        <w:snapToGrid w:val="0"/>
        <w:spacing w:before="0" w:beforeAutospacing="0" w:after="0" w:afterAutospacing="0" w:line="360" w:lineRule="auto"/>
        <w:ind w:firstLine="480" w:firstLineChars="200"/>
        <w:jc w:val="both"/>
        <w:rPr>
          <w:rFonts w:hint="eastAsia" w:ascii="宋体" w:hAnsi="宋体" w:eastAsia="宋体" w:cs="宋体"/>
          <w:highlight w:val="none"/>
        </w:rPr>
      </w:pPr>
      <w:r>
        <w:rPr>
          <w:rFonts w:hint="eastAsia" w:ascii="宋体" w:hAnsi="宋体" w:eastAsia="宋体" w:cs="宋体"/>
          <w:highlight w:val="none"/>
        </w:rPr>
        <w:t>2.《报价</w:t>
      </w:r>
      <w:r>
        <w:rPr>
          <w:rFonts w:hint="eastAsia" w:ascii="宋体" w:hAnsi="宋体" w:eastAsia="宋体" w:cs="宋体"/>
          <w:highlight w:val="none"/>
          <w:lang w:eastAsia="zh-CN"/>
        </w:rPr>
        <w:t>明细</w:t>
      </w:r>
      <w:r>
        <w:rPr>
          <w:rFonts w:hint="eastAsia" w:ascii="宋体" w:hAnsi="宋体" w:eastAsia="宋体" w:cs="宋体"/>
          <w:highlight w:val="none"/>
        </w:rPr>
        <w:t>表》中“总报价”应当与《</w:t>
      </w:r>
      <w:r>
        <w:rPr>
          <w:rFonts w:hint="eastAsia" w:ascii="宋体" w:hAnsi="宋体" w:eastAsia="宋体" w:cs="宋体"/>
          <w:highlight w:val="none"/>
          <w:lang w:eastAsia="zh-CN"/>
        </w:rPr>
        <w:t>报价一览表</w:t>
      </w:r>
      <w:r>
        <w:rPr>
          <w:rFonts w:hint="eastAsia" w:ascii="宋体" w:hAnsi="宋体" w:eastAsia="宋体" w:cs="宋体"/>
          <w:highlight w:val="none"/>
        </w:rPr>
        <w:t>》中“总报价”一致。</w:t>
      </w:r>
    </w:p>
    <w:p w14:paraId="0AD6937B">
      <w:pPr>
        <w:pStyle w:val="20"/>
        <w:adjustRightInd w:val="0"/>
        <w:snapToGrid w:val="0"/>
        <w:spacing w:before="0" w:beforeAutospacing="0" w:after="0" w:afterAutospacing="0" w:line="360" w:lineRule="auto"/>
        <w:ind w:firstLine="480" w:firstLineChars="200"/>
        <w:jc w:val="both"/>
        <w:rPr>
          <w:rFonts w:hint="eastAsia" w:ascii="宋体" w:hAnsi="宋体" w:eastAsia="宋体" w:cs="宋体"/>
          <w:highlight w:val="none"/>
        </w:rPr>
      </w:pPr>
      <w:r>
        <w:rPr>
          <w:rFonts w:hint="eastAsia" w:ascii="宋体" w:hAnsi="宋体" w:eastAsia="宋体" w:cs="宋体"/>
          <w:highlight w:val="none"/>
        </w:rPr>
        <w:t>3.《报价</w:t>
      </w:r>
      <w:r>
        <w:rPr>
          <w:rFonts w:hint="eastAsia" w:ascii="宋体" w:hAnsi="宋体" w:eastAsia="宋体" w:cs="宋体"/>
          <w:highlight w:val="none"/>
          <w:lang w:eastAsia="zh-CN"/>
        </w:rPr>
        <w:t>明细</w:t>
      </w:r>
      <w:r>
        <w:rPr>
          <w:rFonts w:hint="eastAsia" w:ascii="宋体" w:hAnsi="宋体" w:eastAsia="宋体" w:cs="宋体"/>
          <w:highlight w:val="none"/>
        </w:rPr>
        <w:t>表》中的分项名称须与“第四章-项目</w:t>
      </w:r>
      <w:r>
        <w:rPr>
          <w:rFonts w:hint="eastAsia" w:ascii="宋体" w:hAnsi="宋体" w:eastAsia="宋体" w:cs="宋体"/>
          <w:highlight w:val="none"/>
          <w:lang w:val="en-US" w:eastAsia="zh-CN"/>
        </w:rPr>
        <w:t>需求</w:t>
      </w:r>
      <w:r>
        <w:rPr>
          <w:rFonts w:hint="eastAsia" w:ascii="宋体" w:hAnsi="宋体" w:eastAsia="宋体" w:cs="宋体"/>
          <w:highlight w:val="none"/>
        </w:rPr>
        <w:t>”中的名称一一对应，如有缺项、漏项，视为无效响应。</w:t>
      </w:r>
    </w:p>
    <w:p w14:paraId="372A61F9">
      <w:pPr>
        <w:pStyle w:val="20"/>
        <w:adjustRightInd w:val="0"/>
        <w:snapToGrid w:val="0"/>
        <w:spacing w:before="0" w:beforeAutospacing="0" w:after="0" w:afterAutospacing="0" w:line="360" w:lineRule="auto"/>
        <w:ind w:firstLine="480" w:firstLineChars="200"/>
        <w:jc w:val="both"/>
        <w:rPr>
          <w:rFonts w:hint="eastAsia" w:ascii="宋体" w:hAnsi="宋体" w:eastAsia="宋体" w:cs="宋体"/>
          <w:highlight w:val="none"/>
          <w:lang w:val="en-US" w:eastAsia="zh-CN"/>
        </w:rPr>
      </w:pPr>
      <w:r>
        <w:rPr>
          <w:rFonts w:hint="eastAsia" w:ascii="宋体" w:hAnsi="宋体" w:eastAsia="宋体" w:cs="宋体"/>
          <w:highlight w:val="none"/>
        </w:rPr>
        <w:t>4.行数不够，可自行添加。</w:t>
      </w:r>
    </w:p>
    <w:p w14:paraId="0E213CAD">
      <w:pPr>
        <w:rPr>
          <w:rFonts w:hint="eastAsia" w:ascii="宋体" w:hAnsi="宋体" w:eastAsia="宋体" w:cs="宋体"/>
        </w:rPr>
      </w:pPr>
    </w:p>
    <w:p w14:paraId="0902AEE1">
      <w:pPr>
        <w:pStyle w:val="32"/>
        <w:spacing w:line="360" w:lineRule="auto"/>
        <w:textAlignment w:val="baseline"/>
        <w:rPr>
          <w:rFonts w:hint="eastAsia" w:ascii="宋体" w:hAnsi="宋体" w:eastAsia="宋体" w:cs="宋体"/>
          <w:color w:val="000000"/>
          <w:highlight w:val="none"/>
        </w:rPr>
      </w:pPr>
    </w:p>
    <w:p w14:paraId="178313B4">
      <w:pPr>
        <w:spacing w:line="0" w:lineRule="atLeast"/>
        <w:rPr>
          <w:rFonts w:hint="eastAsia" w:ascii="宋体" w:hAnsi="宋体" w:eastAsia="宋体" w:cs="宋体"/>
          <w:b/>
          <w:sz w:val="24"/>
          <w:szCs w:val="21"/>
        </w:rPr>
        <w:sectPr>
          <w:pgSz w:w="11906" w:h="16838"/>
          <w:pgMar w:top="1440" w:right="1080" w:bottom="1440" w:left="1080" w:header="851" w:footer="992" w:gutter="0"/>
          <w:pgNumType w:fmt="decimal"/>
          <w:cols w:space="720" w:num="1"/>
          <w:docGrid w:type="linesAndChars" w:linePitch="312" w:charSpace="0"/>
        </w:sectPr>
      </w:pPr>
      <w:bookmarkStart w:id="297" w:name="_Toc9460"/>
      <w:bookmarkStart w:id="298" w:name="_Toc30702"/>
      <w:bookmarkStart w:id="299" w:name="_Toc29288"/>
      <w:bookmarkStart w:id="300" w:name="_Toc22872"/>
      <w:bookmarkStart w:id="301" w:name="_Toc16718"/>
      <w:bookmarkStart w:id="302" w:name="_Toc11217"/>
    </w:p>
    <w:p w14:paraId="40CEDBAC">
      <w:pPr>
        <w:spacing w:line="0" w:lineRule="atLeast"/>
        <w:outlineLvl w:val="1"/>
        <w:rPr>
          <w:rFonts w:hint="eastAsia" w:ascii="宋体" w:hAnsi="宋体" w:eastAsia="宋体" w:cs="宋体"/>
          <w:b/>
          <w:sz w:val="24"/>
          <w:szCs w:val="21"/>
        </w:rPr>
      </w:pPr>
      <w:r>
        <w:rPr>
          <w:rFonts w:hint="eastAsia" w:ascii="宋体" w:hAnsi="宋体" w:eastAsia="宋体" w:cs="宋体"/>
          <w:b/>
          <w:sz w:val="24"/>
          <w:szCs w:val="21"/>
        </w:rPr>
        <w:t xml:space="preserve">附件2 </w:t>
      </w:r>
      <w:r>
        <w:rPr>
          <w:rFonts w:hint="eastAsia" w:ascii="宋体" w:hAnsi="宋体" w:eastAsia="宋体" w:cs="宋体"/>
          <w:b/>
          <w:sz w:val="24"/>
          <w:szCs w:val="21"/>
          <w:lang w:val="en-US" w:eastAsia="zh-CN"/>
        </w:rPr>
        <w:t>服务</w:t>
      </w:r>
      <w:r>
        <w:rPr>
          <w:rFonts w:hint="eastAsia" w:ascii="宋体" w:hAnsi="宋体" w:eastAsia="宋体" w:cs="宋体"/>
          <w:b/>
          <w:sz w:val="24"/>
          <w:szCs w:val="21"/>
        </w:rPr>
        <w:t>要求响应及偏离表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0AB15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5B19F39A">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3063" w:type="dxa"/>
            <w:noWrap w:val="0"/>
            <w:vAlign w:val="center"/>
          </w:tcPr>
          <w:p w14:paraId="31C5B5E1">
            <w:pPr>
              <w:spacing w:line="40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服务</w:t>
            </w:r>
            <w:r>
              <w:rPr>
                <w:rFonts w:hint="eastAsia" w:ascii="宋体" w:hAnsi="宋体" w:eastAsia="宋体" w:cs="宋体"/>
                <w:sz w:val="24"/>
                <w:szCs w:val="24"/>
              </w:rPr>
              <w:t>要求</w:t>
            </w:r>
          </w:p>
        </w:tc>
        <w:tc>
          <w:tcPr>
            <w:tcW w:w="3191" w:type="dxa"/>
            <w:noWrap w:val="0"/>
            <w:vAlign w:val="center"/>
          </w:tcPr>
          <w:p w14:paraId="58D35E55">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响应情况</w:t>
            </w:r>
          </w:p>
        </w:tc>
        <w:tc>
          <w:tcPr>
            <w:tcW w:w="2128" w:type="dxa"/>
            <w:noWrap w:val="0"/>
            <w:vAlign w:val="center"/>
          </w:tcPr>
          <w:p w14:paraId="48E008A2">
            <w:pPr>
              <w:spacing w:line="400" w:lineRule="exact"/>
              <w:jc w:val="center"/>
              <w:rPr>
                <w:rFonts w:hint="eastAsia" w:ascii="宋体" w:hAnsi="宋体" w:eastAsia="宋体" w:cs="宋体"/>
                <w:sz w:val="24"/>
                <w:szCs w:val="24"/>
              </w:rPr>
            </w:pPr>
            <w:r>
              <w:rPr>
                <w:rFonts w:hint="eastAsia" w:ascii="宋体" w:hAnsi="宋体" w:eastAsia="宋体" w:cs="宋体"/>
                <w:color w:val="000000"/>
                <w:highlight w:val="none"/>
              </w:rPr>
              <w:t>偏离情况（+/-/=）</w:t>
            </w:r>
          </w:p>
        </w:tc>
      </w:tr>
      <w:tr w14:paraId="35934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5069D2B6">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3063" w:type="dxa"/>
            <w:noWrap w:val="0"/>
            <w:vAlign w:val="top"/>
          </w:tcPr>
          <w:p w14:paraId="0634D071">
            <w:pPr>
              <w:spacing w:line="400" w:lineRule="exact"/>
              <w:jc w:val="center"/>
              <w:rPr>
                <w:rFonts w:hint="eastAsia" w:ascii="宋体" w:hAnsi="宋体" w:eastAsia="宋体" w:cs="宋体"/>
                <w:sz w:val="24"/>
                <w:szCs w:val="24"/>
              </w:rPr>
            </w:pPr>
          </w:p>
        </w:tc>
        <w:tc>
          <w:tcPr>
            <w:tcW w:w="3191" w:type="dxa"/>
            <w:noWrap w:val="0"/>
            <w:vAlign w:val="top"/>
          </w:tcPr>
          <w:p w14:paraId="49EF152C">
            <w:pPr>
              <w:spacing w:line="400" w:lineRule="exact"/>
              <w:jc w:val="center"/>
              <w:rPr>
                <w:rFonts w:hint="eastAsia" w:ascii="宋体" w:hAnsi="宋体" w:eastAsia="宋体" w:cs="宋体"/>
                <w:sz w:val="24"/>
                <w:szCs w:val="24"/>
              </w:rPr>
            </w:pPr>
          </w:p>
        </w:tc>
        <w:tc>
          <w:tcPr>
            <w:tcW w:w="2128" w:type="dxa"/>
            <w:noWrap w:val="0"/>
            <w:vAlign w:val="top"/>
          </w:tcPr>
          <w:p w14:paraId="4374B575">
            <w:pPr>
              <w:spacing w:line="400" w:lineRule="exact"/>
              <w:jc w:val="center"/>
              <w:rPr>
                <w:rFonts w:hint="eastAsia" w:ascii="宋体" w:hAnsi="宋体" w:eastAsia="宋体" w:cs="宋体"/>
                <w:sz w:val="24"/>
                <w:szCs w:val="24"/>
              </w:rPr>
            </w:pPr>
          </w:p>
        </w:tc>
      </w:tr>
      <w:tr w14:paraId="60F92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334FEC20">
            <w:pPr>
              <w:spacing w:line="400" w:lineRule="exact"/>
              <w:jc w:val="center"/>
              <w:rPr>
                <w:rFonts w:hint="eastAsia" w:ascii="宋体" w:hAnsi="宋体" w:eastAsia="宋体" w:cs="宋体"/>
                <w:sz w:val="24"/>
                <w:szCs w:val="24"/>
              </w:rPr>
            </w:pPr>
          </w:p>
        </w:tc>
        <w:tc>
          <w:tcPr>
            <w:tcW w:w="3063" w:type="dxa"/>
            <w:noWrap w:val="0"/>
            <w:vAlign w:val="top"/>
          </w:tcPr>
          <w:p w14:paraId="6AA7FEF4">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3191" w:type="dxa"/>
            <w:noWrap w:val="0"/>
            <w:vAlign w:val="top"/>
          </w:tcPr>
          <w:p w14:paraId="19F138B6">
            <w:pPr>
              <w:spacing w:line="400" w:lineRule="exact"/>
              <w:jc w:val="center"/>
              <w:rPr>
                <w:rFonts w:hint="eastAsia" w:ascii="宋体" w:hAnsi="宋体" w:eastAsia="宋体" w:cs="宋体"/>
                <w:sz w:val="24"/>
                <w:szCs w:val="24"/>
              </w:rPr>
            </w:pPr>
          </w:p>
        </w:tc>
        <w:tc>
          <w:tcPr>
            <w:tcW w:w="2128" w:type="dxa"/>
            <w:noWrap w:val="0"/>
            <w:vAlign w:val="top"/>
          </w:tcPr>
          <w:p w14:paraId="379BAA33">
            <w:pPr>
              <w:spacing w:line="400" w:lineRule="exact"/>
              <w:jc w:val="center"/>
              <w:rPr>
                <w:rFonts w:hint="eastAsia" w:ascii="宋体" w:hAnsi="宋体" w:eastAsia="宋体" w:cs="宋体"/>
                <w:sz w:val="24"/>
                <w:szCs w:val="24"/>
              </w:rPr>
            </w:pPr>
          </w:p>
        </w:tc>
      </w:tr>
    </w:tbl>
    <w:p w14:paraId="630538EC">
      <w:pPr>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供应商全称（</w:t>
      </w:r>
      <w:r>
        <w:rPr>
          <w:rFonts w:hint="eastAsia" w:ascii="宋体" w:hAnsi="宋体" w:eastAsia="宋体" w:cs="宋体"/>
          <w:color w:val="000000"/>
          <w:sz w:val="21"/>
          <w:szCs w:val="21"/>
          <w:highlight w:val="none"/>
          <w:lang w:val="en-US" w:eastAsia="zh-CN"/>
        </w:rPr>
        <w:t>加盖CA电子公章</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ab/>
      </w:r>
    </w:p>
    <w:p w14:paraId="69B950AE">
      <w:pPr>
        <w:pStyle w:val="34"/>
        <w:pageBreakBefore w:val="0"/>
        <w:spacing w:beforeAutospacing="0" w:afterAutospacing="0" w:line="360" w:lineRule="auto"/>
        <w:ind w:left="0"/>
        <w:rPr>
          <w:rFonts w:hint="eastAsia" w:ascii="宋体" w:hAnsi="宋体" w:eastAsia="宋体" w:cs="宋体"/>
          <w:color w:val="000000"/>
          <w:sz w:val="28"/>
          <w:highlight w:val="none"/>
        </w:rPr>
      </w:pPr>
      <w:r>
        <w:rPr>
          <w:rFonts w:hint="eastAsia" w:ascii="宋体" w:hAnsi="宋体" w:eastAsia="宋体" w:cs="宋体"/>
          <w:color w:val="000000"/>
          <w:highlight w:val="none"/>
        </w:rPr>
        <w:t>日期：</w:t>
      </w:r>
    </w:p>
    <w:p w14:paraId="4A877CEC">
      <w:pPr>
        <w:pageBreakBefore w:val="0"/>
        <w:spacing w:beforeAutospacing="0" w:afterAutospacing="0" w:line="360" w:lineRule="auto"/>
        <w:ind w:firstLine="1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w:t>
      </w:r>
    </w:p>
    <w:p w14:paraId="1C8FC811">
      <w:pPr>
        <w:pageBreakBefore w:val="0"/>
        <w:numPr>
          <w:ilvl w:val="3"/>
          <w:numId w:val="7"/>
        </w:numPr>
        <w:spacing w:beforeAutospacing="0" w:afterAutospacing="0" w:line="360" w:lineRule="auto"/>
        <w:ind w:left="426" w:hanging="4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此表为表样，行数可自行添加，但表式不变。</w:t>
      </w:r>
    </w:p>
    <w:p w14:paraId="3342B0FD">
      <w:pPr>
        <w:pageBreakBefore w:val="0"/>
        <w:numPr>
          <w:ilvl w:val="3"/>
          <w:numId w:val="7"/>
        </w:numPr>
        <w:spacing w:beforeAutospacing="0" w:afterAutospacing="0" w:line="360" w:lineRule="auto"/>
        <w:ind w:left="426" w:hanging="4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响应</w:t>
      </w:r>
      <w:r>
        <w:rPr>
          <w:rFonts w:hint="eastAsia" w:ascii="宋体" w:hAnsi="宋体" w:eastAsia="宋体" w:cs="宋体"/>
          <w:color w:val="000000"/>
          <w:sz w:val="21"/>
          <w:szCs w:val="21"/>
          <w:highlight w:val="none"/>
        </w:rPr>
        <w:t>单位根据系统方案添加的设备、材料等也请列出。</w:t>
      </w:r>
    </w:p>
    <w:p w14:paraId="66C47DFC">
      <w:pPr>
        <w:pageBreakBefore w:val="0"/>
        <w:numPr>
          <w:ilvl w:val="3"/>
          <w:numId w:val="7"/>
        </w:numPr>
        <w:spacing w:beforeAutospacing="0" w:afterAutospacing="0" w:line="360" w:lineRule="auto"/>
        <w:ind w:left="426" w:hanging="42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是否偏离用符号“+、=、-”分别表示正偏离、完全响应、负偏离。</w:t>
      </w:r>
    </w:p>
    <w:p w14:paraId="7C5ED9AB">
      <w:pPr>
        <w:spacing w:line="400" w:lineRule="exact"/>
        <w:rPr>
          <w:rFonts w:hint="eastAsia" w:ascii="宋体" w:hAnsi="宋体" w:eastAsia="宋体" w:cs="宋体"/>
          <w:sz w:val="24"/>
          <w:szCs w:val="24"/>
        </w:rPr>
      </w:pPr>
      <w:r>
        <w:rPr>
          <w:rFonts w:hint="eastAsia" w:ascii="宋体" w:hAnsi="宋体" w:eastAsia="宋体" w:cs="宋体"/>
          <w:color w:val="000000"/>
          <w:sz w:val="21"/>
          <w:szCs w:val="21"/>
          <w:highlight w:val="none"/>
          <w:lang w:eastAsia="zh-CN"/>
        </w:rPr>
        <w:t>响应</w:t>
      </w:r>
      <w:r>
        <w:rPr>
          <w:rFonts w:hint="eastAsia" w:ascii="宋体" w:hAnsi="宋体" w:eastAsia="宋体" w:cs="宋体"/>
          <w:color w:val="000000"/>
          <w:sz w:val="21"/>
          <w:szCs w:val="21"/>
          <w:highlight w:val="none"/>
        </w:rPr>
        <w:t>单位必须仔细阅读本采购文件“第四章”中所有</w:t>
      </w:r>
      <w:r>
        <w:rPr>
          <w:rFonts w:hint="eastAsia" w:ascii="宋体" w:hAnsi="宋体" w:eastAsia="宋体" w:cs="宋体"/>
          <w:color w:val="000000"/>
          <w:sz w:val="21"/>
          <w:szCs w:val="21"/>
          <w:highlight w:val="none"/>
          <w:lang w:val="en-US" w:eastAsia="zh-CN"/>
        </w:rPr>
        <w:t>服务</w:t>
      </w:r>
      <w:r>
        <w:rPr>
          <w:rFonts w:hint="eastAsia" w:ascii="宋体" w:hAnsi="宋体" w:eastAsia="宋体" w:cs="宋体"/>
          <w:color w:val="000000"/>
          <w:sz w:val="21"/>
          <w:szCs w:val="21"/>
          <w:highlight w:val="none"/>
        </w:rPr>
        <w:t>条款和相关要求，并</w:t>
      </w:r>
      <w:r>
        <w:rPr>
          <w:rFonts w:hint="eastAsia" w:ascii="宋体" w:hAnsi="宋体" w:eastAsia="宋体" w:cs="宋体"/>
          <w:color w:val="000000"/>
          <w:sz w:val="21"/>
          <w:szCs w:val="21"/>
          <w:highlight w:val="none"/>
          <w:lang w:val="en-US" w:eastAsia="zh-CN"/>
        </w:rPr>
        <w:t>逐条</w:t>
      </w:r>
      <w:r>
        <w:rPr>
          <w:rFonts w:hint="eastAsia" w:ascii="宋体" w:hAnsi="宋体" w:eastAsia="宋体" w:cs="宋体"/>
          <w:color w:val="000000"/>
          <w:sz w:val="21"/>
          <w:szCs w:val="21"/>
          <w:highlight w:val="none"/>
        </w:rPr>
        <w:t>列入上表，</w:t>
      </w:r>
      <w:r>
        <w:rPr>
          <w:rFonts w:hint="eastAsia" w:ascii="宋体" w:hAnsi="宋体" w:eastAsia="宋体" w:cs="宋体"/>
          <w:b/>
          <w:bCs/>
          <w:color w:val="000000"/>
          <w:sz w:val="21"/>
          <w:szCs w:val="21"/>
          <w:highlight w:val="none"/>
        </w:rPr>
        <w:t>未列入上表的视为</w:t>
      </w:r>
      <w:r>
        <w:rPr>
          <w:rFonts w:hint="eastAsia" w:ascii="宋体" w:hAnsi="宋体" w:eastAsia="宋体" w:cs="宋体"/>
          <w:b/>
          <w:bCs/>
          <w:color w:val="000000"/>
          <w:sz w:val="21"/>
          <w:szCs w:val="21"/>
          <w:highlight w:val="none"/>
          <w:lang w:val="en-US" w:eastAsia="zh-CN"/>
        </w:rPr>
        <w:t>不响应采购</w:t>
      </w:r>
      <w:r>
        <w:rPr>
          <w:rFonts w:hint="eastAsia" w:ascii="宋体" w:hAnsi="宋体" w:eastAsia="宋体" w:cs="宋体"/>
          <w:b/>
          <w:bCs/>
          <w:color w:val="000000"/>
          <w:sz w:val="21"/>
          <w:szCs w:val="21"/>
          <w:highlight w:val="none"/>
        </w:rPr>
        <w:t>文件要求</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响应</w:t>
      </w:r>
      <w:r>
        <w:rPr>
          <w:rFonts w:hint="eastAsia" w:ascii="宋体" w:hAnsi="宋体" w:eastAsia="宋体" w:cs="宋体"/>
          <w:color w:val="000000"/>
          <w:sz w:val="21"/>
          <w:szCs w:val="21"/>
          <w:highlight w:val="none"/>
        </w:rPr>
        <w:t>单位必须根据所投货物、工程或服务的实际情况如实填写，</w:t>
      </w:r>
      <w:r>
        <w:rPr>
          <w:rFonts w:hint="eastAsia" w:ascii="宋体" w:hAnsi="宋体" w:eastAsia="宋体" w:cs="宋体"/>
          <w:color w:val="000000"/>
          <w:sz w:val="21"/>
          <w:szCs w:val="21"/>
          <w:highlight w:val="none"/>
          <w:lang w:eastAsia="zh-CN"/>
        </w:rPr>
        <w:t>谈判小组</w:t>
      </w:r>
      <w:r>
        <w:rPr>
          <w:rFonts w:hint="eastAsia" w:ascii="宋体" w:hAnsi="宋体" w:eastAsia="宋体" w:cs="宋体"/>
          <w:color w:val="000000"/>
          <w:sz w:val="21"/>
          <w:szCs w:val="21"/>
          <w:highlight w:val="none"/>
        </w:rPr>
        <w:t>如发现有虚假描述的，该</w:t>
      </w:r>
      <w:r>
        <w:rPr>
          <w:rFonts w:hint="eastAsia" w:ascii="宋体" w:hAnsi="宋体" w:eastAsia="宋体" w:cs="宋体"/>
          <w:color w:val="000000"/>
          <w:sz w:val="21"/>
          <w:szCs w:val="21"/>
          <w:highlight w:val="none"/>
          <w:lang w:eastAsia="zh-CN"/>
        </w:rPr>
        <w:t>响应</w:t>
      </w:r>
      <w:r>
        <w:rPr>
          <w:rFonts w:hint="eastAsia" w:ascii="宋体" w:hAnsi="宋体" w:eastAsia="宋体" w:cs="宋体"/>
          <w:color w:val="000000"/>
          <w:sz w:val="21"/>
          <w:szCs w:val="21"/>
          <w:highlight w:val="none"/>
        </w:rPr>
        <w:t>文件视为无效。</w:t>
      </w:r>
    </w:p>
    <w:p w14:paraId="2AF9EAC7">
      <w:pPr>
        <w:spacing w:before="0" w:after="0" w:line="360" w:lineRule="auto"/>
        <w:jc w:val="center"/>
        <w:outlineLvl w:val="9"/>
        <w:rPr>
          <w:rFonts w:hint="eastAsia" w:ascii="宋体" w:hAnsi="宋体" w:eastAsia="宋体" w:cs="宋体"/>
          <w:sz w:val="44"/>
          <w:szCs w:val="44"/>
          <w:lang w:eastAsia="zh-CN"/>
        </w:rPr>
      </w:pPr>
    </w:p>
    <w:p w14:paraId="1CAD0507">
      <w:pPr>
        <w:pStyle w:val="21"/>
        <w:rPr>
          <w:rFonts w:hint="eastAsia" w:ascii="宋体" w:hAnsi="宋体" w:eastAsia="宋体" w:cs="宋体"/>
          <w:lang w:eastAsia="zh-CN"/>
        </w:rPr>
      </w:pPr>
    </w:p>
    <w:p w14:paraId="035FEAC7">
      <w:pPr>
        <w:pStyle w:val="21"/>
        <w:rPr>
          <w:rFonts w:hint="eastAsia" w:ascii="宋体" w:hAnsi="宋体" w:eastAsia="宋体" w:cs="宋体"/>
          <w:lang w:eastAsia="zh-CN"/>
        </w:rPr>
      </w:pPr>
    </w:p>
    <w:p w14:paraId="03ABE1B6">
      <w:pPr>
        <w:spacing w:line="0" w:lineRule="atLeast"/>
        <w:outlineLvl w:val="1"/>
        <w:rPr>
          <w:rFonts w:hint="eastAsia" w:ascii="宋体" w:hAnsi="宋体" w:eastAsia="宋体" w:cs="宋体"/>
          <w:b/>
          <w:sz w:val="24"/>
          <w:szCs w:val="21"/>
        </w:rPr>
      </w:pPr>
      <w:r>
        <w:rPr>
          <w:rFonts w:hint="eastAsia" w:ascii="宋体" w:hAnsi="宋体" w:eastAsia="宋体" w:cs="宋体"/>
          <w:b/>
          <w:sz w:val="24"/>
          <w:szCs w:val="21"/>
        </w:rPr>
        <w:t>附件</w:t>
      </w:r>
      <w:r>
        <w:rPr>
          <w:rFonts w:hint="eastAsia" w:ascii="宋体" w:hAnsi="宋体" w:eastAsia="宋体" w:cs="宋体"/>
          <w:b/>
          <w:sz w:val="24"/>
          <w:szCs w:val="21"/>
          <w:lang w:val="en-US" w:eastAsia="zh-CN"/>
        </w:rPr>
        <w:t>3</w:t>
      </w:r>
      <w:r>
        <w:rPr>
          <w:rFonts w:hint="eastAsia" w:ascii="宋体" w:hAnsi="宋体" w:eastAsia="宋体" w:cs="宋体"/>
          <w:b/>
          <w:sz w:val="24"/>
          <w:szCs w:val="21"/>
        </w:rPr>
        <w:t xml:space="preserve"> 商务要求响应及偏离表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2F43F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0F9BC3F2">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3063" w:type="dxa"/>
            <w:noWrap w:val="0"/>
            <w:vAlign w:val="center"/>
          </w:tcPr>
          <w:p w14:paraId="3838EA8F">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商务要求</w:t>
            </w:r>
          </w:p>
        </w:tc>
        <w:tc>
          <w:tcPr>
            <w:tcW w:w="3191" w:type="dxa"/>
            <w:noWrap w:val="0"/>
            <w:vAlign w:val="center"/>
          </w:tcPr>
          <w:p w14:paraId="35E25842">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响应情况</w:t>
            </w:r>
          </w:p>
        </w:tc>
        <w:tc>
          <w:tcPr>
            <w:tcW w:w="2128" w:type="dxa"/>
            <w:noWrap w:val="0"/>
            <w:vAlign w:val="center"/>
          </w:tcPr>
          <w:p w14:paraId="3702786D">
            <w:pPr>
              <w:spacing w:line="400" w:lineRule="exact"/>
              <w:jc w:val="center"/>
              <w:rPr>
                <w:rFonts w:hint="eastAsia" w:ascii="宋体" w:hAnsi="宋体" w:eastAsia="宋体" w:cs="宋体"/>
                <w:sz w:val="24"/>
                <w:szCs w:val="24"/>
              </w:rPr>
            </w:pPr>
            <w:r>
              <w:rPr>
                <w:rFonts w:hint="eastAsia" w:ascii="宋体" w:hAnsi="宋体" w:eastAsia="宋体" w:cs="宋体"/>
                <w:color w:val="000000"/>
                <w:highlight w:val="none"/>
              </w:rPr>
              <w:t>偏离情况（+/-/=）</w:t>
            </w:r>
          </w:p>
        </w:tc>
      </w:tr>
      <w:tr w14:paraId="23B76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4EB453BA">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3063" w:type="dxa"/>
            <w:noWrap w:val="0"/>
            <w:vAlign w:val="top"/>
          </w:tcPr>
          <w:p w14:paraId="2126BA57">
            <w:pPr>
              <w:spacing w:line="400" w:lineRule="exact"/>
              <w:jc w:val="center"/>
              <w:rPr>
                <w:rFonts w:hint="eastAsia" w:ascii="宋体" w:hAnsi="宋体" w:eastAsia="宋体" w:cs="宋体"/>
                <w:sz w:val="24"/>
                <w:szCs w:val="24"/>
              </w:rPr>
            </w:pPr>
          </w:p>
        </w:tc>
        <w:tc>
          <w:tcPr>
            <w:tcW w:w="3191" w:type="dxa"/>
            <w:noWrap w:val="0"/>
            <w:vAlign w:val="top"/>
          </w:tcPr>
          <w:p w14:paraId="29A1740D">
            <w:pPr>
              <w:spacing w:line="400" w:lineRule="exact"/>
              <w:jc w:val="center"/>
              <w:rPr>
                <w:rFonts w:hint="eastAsia" w:ascii="宋体" w:hAnsi="宋体" w:eastAsia="宋体" w:cs="宋体"/>
                <w:sz w:val="24"/>
                <w:szCs w:val="24"/>
              </w:rPr>
            </w:pPr>
          </w:p>
        </w:tc>
        <w:tc>
          <w:tcPr>
            <w:tcW w:w="2128" w:type="dxa"/>
            <w:noWrap w:val="0"/>
            <w:vAlign w:val="top"/>
          </w:tcPr>
          <w:p w14:paraId="21EA1AA5">
            <w:pPr>
              <w:spacing w:line="400" w:lineRule="exact"/>
              <w:jc w:val="center"/>
              <w:rPr>
                <w:rFonts w:hint="eastAsia" w:ascii="宋体" w:hAnsi="宋体" w:eastAsia="宋体" w:cs="宋体"/>
                <w:sz w:val="24"/>
                <w:szCs w:val="24"/>
              </w:rPr>
            </w:pPr>
          </w:p>
        </w:tc>
      </w:tr>
      <w:tr w14:paraId="6A1C2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B3011A5">
            <w:pPr>
              <w:spacing w:line="400" w:lineRule="exact"/>
              <w:jc w:val="center"/>
              <w:rPr>
                <w:rFonts w:hint="eastAsia" w:ascii="宋体" w:hAnsi="宋体" w:eastAsia="宋体" w:cs="宋体"/>
                <w:sz w:val="24"/>
                <w:szCs w:val="24"/>
              </w:rPr>
            </w:pPr>
          </w:p>
        </w:tc>
        <w:tc>
          <w:tcPr>
            <w:tcW w:w="3063" w:type="dxa"/>
            <w:noWrap w:val="0"/>
            <w:vAlign w:val="top"/>
          </w:tcPr>
          <w:p w14:paraId="76F3AE1C">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3191" w:type="dxa"/>
            <w:noWrap w:val="0"/>
            <w:vAlign w:val="top"/>
          </w:tcPr>
          <w:p w14:paraId="7868F38F">
            <w:pPr>
              <w:spacing w:line="400" w:lineRule="exact"/>
              <w:jc w:val="center"/>
              <w:rPr>
                <w:rFonts w:hint="eastAsia" w:ascii="宋体" w:hAnsi="宋体" w:eastAsia="宋体" w:cs="宋体"/>
                <w:sz w:val="24"/>
                <w:szCs w:val="24"/>
              </w:rPr>
            </w:pPr>
          </w:p>
        </w:tc>
        <w:tc>
          <w:tcPr>
            <w:tcW w:w="2128" w:type="dxa"/>
            <w:noWrap w:val="0"/>
            <w:vAlign w:val="top"/>
          </w:tcPr>
          <w:p w14:paraId="155F0C33">
            <w:pPr>
              <w:spacing w:line="400" w:lineRule="exact"/>
              <w:jc w:val="center"/>
              <w:rPr>
                <w:rFonts w:hint="eastAsia" w:ascii="宋体" w:hAnsi="宋体" w:eastAsia="宋体" w:cs="宋体"/>
                <w:sz w:val="24"/>
                <w:szCs w:val="24"/>
              </w:rPr>
            </w:pPr>
          </w:p>
        </w:tc>
      </w:tr>
    </w:tbl>
    <w:p w14:paraId="30E2D651">
      <w:pP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响应人</w:t>
      </w:r>
      <w:r>
        <w:rPr>
          <w:rFonts w:hint="eastAsia" w:ascii="宋体" w:hAnsi="宋体" w:eastAsia="宋体" w:cs="宋体"/>
          <w:color w:val="000000"/>
          <w:highlight w:val="none"/>
        </w:rPr>
        <w:t>全称（</w:t>
      </w:r>
      <w:r>
        <w:rPr>
          <w:rFonts w:hint="eastAsia" w:ascii="宋体" w:hAnsi="宋体" w:eastAsia="宋体" w:cs="宋体"/>
          <w:color w:val="000000"/>
          <w:sz w:val="21"/>
          <w:szCs w:val="21"/>
          <w:highlight w:val="none"/>
          <w:lang w:val="en-US" w:eastAsia="zh-CN"/>
        </w:rPr>
        <w:t>加盖CA电子公章</w:t>
      </w:r>
      <w:r>
        <w:rPr>
          <w:rFonts w:hint="eastAsia" w:ascii="宋体" w:hAnsi="宋体" w:eastAsia="宋体" w:cs="宋体"/>
          <w:color w:val="000000"/>
          <w:highlight w:val="none"/>
        </w:rPr>
        <w:t xml:space="preserve">）：        </w:t>
      </w:r>
    </w:p>
    <w:p w14:paraId="72305711">
      <w:pPr>
        <w:pStyle w:val="34"/>
        <w:pageBreakBefore w:val="0"/>
        <w:spacing w:beforeAutospacing="0" w:afterAutospacing="0" w:line="360" w:lineRule="auto"/>
        <w:ind w:left="0"/>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日期：</w:t>
      </w:r>
    </w:p>
    <w:p w14:paraId="2168F42D">
      <w:pPr>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1 \* GB3</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①</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此表为表样，行数可自行添加，但表式不变。</w:t>
      </w:r>
    </w:p>
    <w:p w14:paraId="42F484BD">
      <w:pPr>
        <w:pageBreakBefore w:val="0"/>
        <w:spacing w:beforeAutospacing="0" w:afterAutospacing="0" w:line="360" w:lineRule="auto"/>
        <w:ind w:firstLine="52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2 \* GB3</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②</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lang w:eastAsia="zh-CN"/>
        </w:rPr>
        <w:t>响应</w:t>
      </w:r>
      <w:r>
        <w:rPr>
          <w:rFonts w:hint="eastAsia" w:ascii="宋体" w:hAnsi="宋体" w:eastAsia="宋体" w:cs="宋体"/>
          <w:color w:val="000000"/>
          <w:sz w:val="21"/>
          <w:szCs w:val="21"/>
          <w:highlight w:val="none"/>
        </w:rPr>
        <w:t>单位根据项目添加的服务承诺、培训等也请列出。</w:t>
      </w:r>
    </w:p>
    <w:p w14:paraId="7BCF5BBD">
      <w:pPr>
        <w:pageBreakBefore w:val="0"/>
        <w:spacing w:beforeAutospacing="0" w:afterAutospacing="0" w:line="360" w:lineRule="auto"/>
        <w:ind w:firstLine="52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3 \* GB3</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③</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是否偏离用符号“+、=、-”分别表示正偏离、完全响应、负偏离。</w:t>
      </w:r>
    </w:p>
    <w:p w14:paraId="7646704F">
      <w:pPr>
        <w:pageBreakBefore w:val="0"/>
        <w:widowControl/>
        <w:spacing w:beforeAutospacing="0" w:afterAutospacing="0" w:line="360" w:lineRule="auto"/>
        <w:ind w:firstLine="52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4 \* GB3</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④</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lang w:eastAsia="zh-CN"/>
        </w:rPr>
        <w:t>响应</w:t>
      </w:r>
      <w:r>
        <w:rPr>
          <w:rFonts w:hint="eastAsia" w:ascii="宋体" w:hAnsi="宋体" w:eastAsia="宋体" w:cs="宋体"/>
          <w:color w:val="000000"/>
          <w:sz w:val="21"/>
          <w:szCs w:val="21"/>
          <w:highlight w:val="none"/>
        </w:rPr>
        <w:t>单位必须仔细阅读本</w:t>
      </w:r>
      <w:r>
        <w:rPr>
          <w:rFonts w:hint="eastAsia" w:ascii="宋体" w:hAnsi="宋体" w:eastAsia="宋体" w:cs="宋体"/>
          <w:color w:val="000000"/>
          <w:sz w:val="21"/>
          <w:szCs w:val="21"/>
          <w:highlight w:val="none"/>
          <w:lang w:eastAsia="zh-CN"/>
        </w:rPr>
        <w:t>采购</w:t>
      </w:r>
      <w:r>
        <w:rPr>
          <w:rFonts w:hint="eastAsia" w:ascii="宋体" w:hAnsi="宋体" w:eastAsia="宋体" w:cs="宋体"/>
          <w:color w:val="000000"/>
          <w:sz w:val="21"/>
          <w:szCs w:val="21"/>
          <w:highlight w:val="none"/>
        </w:rPr>
        <w:t>文件“第四章”中所有商务条款和相关要求，并对所有商务条款和服务要求列入上表，</w:t>
      </w:r>
      <w:r>
        <w:rPr>
          <w:rFonts w:hint="eastAsia" w:ascii="宋体" w:hAnsi="宋体" w:eastAsia="宋体" w:cs="宋体"/>
          <w:b/>
          <w:bCs/>
          <w:color w:val="000000"/>
          <w:sz w:val="21"/>
          <w:szCs w:val="21"/>
          <w:highlight w:val="none"/>
        </w:rPr>
        <w:t>未列入上表的视为</w:t>
      </w:r>
      <w:r>
        <w:rPr>
          <w:rFonts w:hint="eastAsia" w:ascii="宋体" w:hAnsi="宋体" w:eastAsia="宋体" w:cs="宋体"/>
          <w:b/>
          <w:bCs/>
          <w:color w:val="000000"/>
          <w:sz w:val="21"/>
          <w:szCs w:val="21"/>
          <w:highlight w:val="none"/>
          <w:lang w:val="en-US" w:eastAsia="zh-CN"/>
        </w:rPr>
        <w:t>不响应采购</w:t>
      </w:r>
      <w:r>
        <w:rPr>
          <w:rFonts w:hint="eastAsia" w:ascii="宋体" w:hAnsi="宋体" w:eastAsia="宋体" w:cs="宋体"/>
          <w:b/>
          <w:bCs/>
          <w:color w:val="000000"/>
          <w:sz w:val="21"/>
          <w:szCs w:val="21"/>
          <w:highlight w:val="none"/>
        </w:rPr>
        <w:t>文件要求</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响应</w:t>
      </w:r>
      <w:r>
        <w:rPr>
          <w:rFonts w:hint="eastAsia" w:ascii="宋体" w:hAnsi="宋体" w:eastAsia="宋体" w:cs="宋体"/>
          <w:color w:val="000000"/>
          <w:sz w:val="21"/>
          <w:szCs w:val="21"/>
          <w:highlight w:val="none"/>
        </w:rPr>
        <w:t>单位必须根据所将提供服务的实际情况如实填写，</w:t>
      </w:r>
      <w:r>
        <w:rPr>
          <w:rFonts w:hint="eastAsia" w:ascii="宋体" w:hAnsi="宋体" w:eastAsia="宋体" w:cs="宋体"/>
          <w:color w:val="000000"/>
          <w:sz w:val="21"/>
          <w:szCs w:val="21"/>
          <w:highlight w:val="none"/>
          <w:lang w:eastAsia="zh-CN"/>
        </w:rPr>
        <w:t>谈判小组</w:t>
      </w:r>
      <w:r>
        <w:rPr>
          <w:rFonts w:hint="eastAsia" w:ascii="宋体" w:hAnsi="宋体" w:eastAsia="宋体" w:cs="宋体"/>
          <w:color w:val="000000"/>
          <w:sz w:val="21"/>
          <w:szCs w:val="21"/>
          <w:highlight w:val="none"/>
        </w:rPr>
        <w:t>如发现有虚假描述的，该</w:t>
      </w:r>
      <w:r>
        <w:rPr>
          <w:rFonts w:hint="eastAsia" w:ascii="宋体" w:hAnsi="宋体" w:eastAsia="宋体" w:cs="宋体"/>
          <w:color w:val="000000"/>
          <w:sz w:val="21"/>
          <w:szCs w:val="21"/>
          <w:highlight w:val="none"/>
          <w:lang w:eastAsia="zh-CN"/>
        </w:rPr>
        <w:t>响应</w:t>
      </w:r>
      <w:r>
        <w:rPr>
          <w:rFonts w:hint="eastAsia" w:ascii="宋体" w:hAnsi="宋体" w:eastAsia="宋体" w:cs="宋体"/>
          <w:color w:val="000000"/>
          <w:sz w:val="21"/>
          <w:szCs w:val="21"/>
          <w:highlight w:val="none"/>
        </w:rPr>
        <w:t>文件视为无效。</w:t>
      </w:r>
    </w:p>
    <w:p w14:paraId="7D7B5DDB">
      <w:pPr>
        <w:spacing w:line="0" w:lineRule="atLeast"/>
        <w:outlineLvl w:val="1"/>
        <w:rPr>
          <w:rFonts w:hint="eastAsia" w:ascii="宋体" w:hAnsi="宋体" w:eastAsia="宋体" w:cs="宋体"/>
          <w:b/>
          <w:sz w:val="24"/>
          <w:szCs w:val="21"/>
        </w:rPr>
      </w:pPr>
    </w:p>
    <w:p w14:paraId="1E5D075A">
      <w:pPr>
        <w:spacing w:line="0" w:lineRule="atLeast"/>
        <w:outlineLvl w:val="1"/>
        <w:rPr>
          <w:rFonts w:hint="eastAsia" w:ascii="宋体" w:hAnsi="宋体" w:eastAsia="宋体" w:cs="宋体"/>
          <w:b/>
          <w:sz w:val="24"/>
          <w:szCs w:val="21"/>
        </w:rPr>
      </w:pPr>
      <w:r>
        <w:rPr>
          <w:rFonts w:hint="eastAsia" w:ascii="宋体" w:hAnsi="宋体" w:eastAsia="宋体" w:cs="宋体"/>
          <w:b/>
          <w:sz w:val="24"/>
          <w:szCs w:val="21"/>
        </w:rPr>
        <w:t>附件4 具备履行合同所必需的设备和专业技术能力的书面声明</w:t>
      </w:r>
    </w:p>
    <w:p w14:paraId="52C2E928">
      <w:pPr>
        <w:spacing w:line="460" w:lineRule="exact"/>
        <w:ind w:firstLine="492"/>
        <w:rPr>
          <w:rFonts w:hint="eastAsia" w:ascii="宋体" w:hAnsi="宋体" w:eastAsia="宋体" w:cs="宋体"/>
          <w:bCs/>
          <w:color w:val="000000"/>
          <w:sz w:val="24"/>
          <w:szCs w:val="21"/>
        </w:rPr>
      </w:pPr>
      <w:r>
        <w:rPr>
          <w:rFonts w:hint="eastAsia" w:ascii="宋体" w:hAnsi="宋体" w:eastAsia="宋体" w:cs="宋体"/>
          <w:bCs/>
          <w:color w:val="000000"/>
          <w:sz w:val="24"/>
          <w:szCs w:val="21"/>
        </w:rPr>
        <w:t>我单位郑重声明：我单位具备履行本项采购合同所必需的设备和专业技术能力，为履行本项采购合同我公司具备如下主要设备和主要专业技术能力：</w:t>
      </w:r>
    </w:p>
    <w:p w14:paraId="12E740FA">
      <w:pPr>
        <w:spacing w:line="460" w:lineRule="exact"/>
        <w:ind w:firstLine="492"/>
        <w:rPr>
          <w:rFonts w:hint="eastAsia" w:ascii="宋体" w:hAnsi="宋体" w:eastAsia="宋体" w:cs="宋体"/>
          <w:bCs/>
          <w:color w:val="000000"/>
          <w:sz w:val="24"/>
          <w:szCs w:val="21"/>
        </w:rPr>
      </w:pPr>
      <w:r>
        <w:rPr>
          <w:rFonts w:hint="eastAsia" w:ascii="宋体" w:hAnsi="宋体" w:eastAsia="宋体" w:cs="宋体"/>
          <w:bCs/>
          <w:color w:val="000000"/>
          <w:sz w:val="24"/>
          <w:szCs w:val="21"/>
        </w:rPr>
        <w:t>主要设备有：</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w:t>
      </w:r>
    </w:p>
    <w:p w14:paraId="27FF977F">
      <w:pPr>
        <w:spacing w:line="0" w:lineRule="atLeast"/>
        <w:ind w:firstLine="480" w:firstLineChars="200"/>
        <w:outlineLvl w:val="9"/>
        <w:rPr>
          <w:rFonts w:hint="eastAsia" w:ascii="宋体" w:hAnsi="宋体" w:eastAsia="宋体" w:cs="宋体"/>
          <w:bCs/>
          <w:color w:val="000000"/>
          <w:sz w:val="24"/>
          <w:szCs w:val="21"/>
        </w:rPr>
      </w:pPr>
      <w:r>
        <w:rPr>
          <w:rFonts w:hint="eastAsia" w:ascii="宋体" w:hAnsi="宋体" w:eastAsia="宋体" w:cs="宋体"/>
          <w:bCs/>
          <w:color w:val="000000"/>
          <w:sz w:val="24"/>
          <w:szCs w:val="21"/>
        </w:rPr>
        <w:t>主要专业技术能力有：</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w:t>
      </w:r>
    </w:p>
    <w:p w14:paraId="22A60A22">
      <w:pPr>
        <w:pStyle w:val="21"/>
        <w:rPr>
          <w:rFonts w:hint="eastAsia" w:ascii="宋体" w:hAnsi="宋体" w:eastAsia="宋体" w:cs="宋体"/>
          <w:bCs/>
          <w:color w:val="000000"/>
          <w:sz w:val="24"/>
          <w:szCs w:val="21"/>
        </w:rPr>
      </w:pPr>
    </w:p>
    <w:p w14:paraId="556BAA8D">
      <w:pPr>
        <w:spacing w:line="560" w:lineRule="exact"/>
        <w:ind w:right="180" w:firstLine="360" w:firstLineChars="15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供应商名称：（加盖电子公章）</w:t>
      </w:r>
    </w:p>
    <w:p w14:paraId="3542304D">
      <w:pPr>
        <w:spacing w:line="560" w:lineRule="exact"/>
        <w:ind w:firstLine="5520" w:firstLineChars="23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6DA261F5">
      <w:pPr>
        <w:spacing w:before="0" w:after="0" w:line="360" w:lineRule="auto"/>
        <w:jc w:val="center"/>
        <w:outlineLvl w:val="9"/>
        <w:rPr>
          <w:rFonts w:hint="eastAsia" w:ascii="宋体" w:hAnsi="宋体" w:eastAsia="宋体" w:cs="宋体"/>
          <w:sz w:val="44"/>
          <w:szCs w:val="44"/>
          <w:lang w:eastAsia="zh-CN"/>
        </w:rPr>
      </w:pPr>
    </w:p>
    <w:p w14:paraId="38782D07">
      <w:pPr>
        <w:spacing w:line="0" w:lineRule="atLeast"/>
        <w:outlineLvl w:val="1"/>
        <w:rPr>
          <w:rFonts w:hint="eastAsia" w:ascii="宋体" w:hAnsi="宋体" w:eastAsia="宋体" w:cs="宋体"/>
          <w:b/>
          <w:sz w:val="24"/>
          <w:szCs w:val="21"/>
          <w:lang w:eastAsia="zh-CN"/>
        </w:rPr>
      </w:pPr>
      <w:r>
        <w:rPr>
          <w:rFonts w:hint="eastAsia" w:ascii="宋体" w:hAnsi="宋体" w:eastAsia="宋体" w:cs="宋体"/>
          <w:b/>
          <w:sz w:val="24"/>
          <w:szCs w:val="21"/>
        </w:rPr>
        <w:t>附件5 参加政府采购活动前 3 年内在经营活动中没有重大违法记录的书面声明</w:t>
      </w:r>
    </w:p>
    <w:p w14:paraId="2E86DF76">
      <w:pPr>
        <w:spacing w:line="460" w:lineRule="exact"/>
        <w:ind w:firstLine="480"/>
        <w:rPr>
          <w:rFonts w:hint="eastAsia" w:ascii="宋体" w:hAnsi="宋体" w:eastAsia="宋体" w:cs="宋体"/>
          <w:bCs/>
          <w:color w:val="000000"/>
          <w:sz w:val="24"/>
          <w:szCs w:val="21"/>
        </w:rPr>
      </w:pPr>
      <w:r>
        <w:rPr>
          <w:rFonts w:hint="eastAsia" w:ascii="宋体" w:hAnsi="宋体" w:eastAsia="宋体" w:cs="宋体"/>
          <w:bCs/>
          <w:color w:val="000000"/>
          <w:sz w:val="24"/>
          <w:szCs w:val="21"/>
        </w:rPr>
        <w:t>我单位郑重声明：参加本次政府采购活动前 3 年内，我单位在经营活动中没有因违法经营受到刑事处罚或者责令停产停业、吊销许可证或者执照、较大数额罚款等行政处罚。</w:t>
      </w:r>
    </w:p>
    <w:p w14:paraId="42079F45">
      <w:pPr>
        <w:spacing w:line="0" w:lineRule="atLeast"/>
        <w:outlineLvl w:val="9"/>
        <w:rPr>
          <w:rFonts w:hint="eastAsia" w:ascii="宋体" w:hAnsi="宋体" w:eastAsia="宋体" w:cs="宋体"/>
          <w:b/>
          <w:sz w:val="24"/>
          <w:szCs w:val="21"/>
          <w:lang w:eastAsia="zh-CN"/>
        </w:rPr>
      </w:pPr>
    </w:p>
    <w:p w14:paraId="582656A8">
      <w:pPr>
        <w:spacing w:line="560" w:lineRule="exact"/>
        <w:ind w:right="180" w:firstLine="360" w:firstLineChars="15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供应商名称：（加盖电子公章）</w:t>
      </w:r>
    </w:p>
    <w:p w14:paraId="37CC960A">
      <w:pPr>
        <w:spacing w:line="560" w:lineRule="exact"/>
        <w:ind w:firstLine="5520" w:firstLineChars="23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69EEAE99">
      <w:pPr>
        <w:spacing w:line="0" w:lineRule="atLeast"/>
        <w:outlineLvl w:val="9"/>
        <w:rPr>
          <w:rFonts w:hint="eastAsia" w:ascii="宋体" w:hAnsi="宋体" w:eastAsia="宋体" w:cs="宋体"/>
          <w:b/>
          <w:sz w:val="24"/>
          <w:szCs w:val="21"/>
          <w:lang w:eastAsia="zh-CN"/>
        </w:rPr>
      </w:pPr>
    </w:p>
    <w:p w14:paraId="4CD0EA55">
      <w:pPr>
        <w:spacing w:line="0" w:lineRule="atLeast"/>
        <w:outlineLvl w:val="1"/>
        <w:rPr>
          <w:rFonts w:hint="eastAsia" w:ascii="宋体" w:hAnsi="宋体" w:eastAsia="宋体" w:cs="宋体"/>
          <w:b/>
          <w:sz w:val="24"/>
          <w:szCs w:val="21"/>
        </w:rPr>
      </w:pPr>
      <w:r>
        <w:rPr>
          <w:rFonts w:hint="eastAsia" w:ascii="宋体" w:hAnsi="宋体" w:eastAsia="宋体" w:cs="宋体"/>
          <w:b/>
          <w:sz w:val="24"/>
          <w:szCs w:val="21"/>
        </w:rPr>
        <w:t>附件6 法人授权书</w:t>
      </w:r>
    </w:p>
    <w:p w14:paraId="4BF6DB17">
      <w:pPr>
        <w:spacing w:line="0" w:lineRule="atLeast"/>
        <w:outlineLvl w:val="9"/>
        <w:rPr>
          <w:rFonts w:hint="eastAsia" w:ascii="宋体" w:hAnsi="宋体" w:eastAsia="宋体" w:cs="宋体"/>
          <w:b/>
          <w:sz w:val="24"/>
          <w:szCs w:val="21"/>
          <w:lang w:eastAsia="zh-CN"/>
        </w:rPr>
      </w:pPr>
    </w:p>
    <w:p w14:paraId="04DA014C">
      <w:pPr>
        <w:tabs>
          <w:tab w:val="left" w:pos="360"/>
        </w:tabs>
        <w:spacing w:line="48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本授权书声明：</w:t>
      </w: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rPr>
        <w:t>（供应商名称）授权</w:t>
      </w: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rPr>
        <w:t>（被授权人的姓名）作为我方就编号为</w:t>
      </w: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rPr>
        <w:t>的项目采购活动的合法代理人，以本单位名义全权处理一切与该项目采购有关的事务。</w:t>
      </w:r>
    </w:p>
    <w:p w14:paraId="5C0F8EF1">
      <w:pPr>
        <w:tabs>
          <w:tab w:val="left" w:pos="360"/>
        </w:tabs>
        <w:spacing w:line="48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本授权书于______年____月____日起生效，特此声明。</w:t>
      </w:r>
    </w:p>
    <w:p w14:paraId="2063FADE">
      <w:pPr>
        <w:tabs>
          <w:tab w:val="left" w:pos="360"/>
        </w:tabs>
        <w:spacing w:line="480" w:lineRule="auto"/>
        <w:rPr>
          <w:rFonts w:hint="eastAsia" w:ascii="宋体" w:hAnsi="宋体" w:eastAsia="宋体" w:cs="宋体"/>
          <w:kern w:val="2"/>
          <w:sz w:val="24"/>
          <w:szCs w:val="24"/>
          <w:highlight w:val="none"/>
          <w:u w:val="single"/>
        </w:rPr>
      </w:pPr>
      <w:r>
        <w:rPr>
          <w:rFonts w:hint="eastAsia" w:ascii="宋体" w:hAnsi="宋体" w:eastAsia="宋体" w:cs="宋体"/>
          <w:kern w:val="2"/>
          <w:sz w:val="24"/>
          <w:szCs w:val="24"/>
          <w:highlight w:val="none"/>
        </w:rPr>
        <w:t xml:space="preserve">    被授权人身份证号码：</w:t>
      </w:r>
    </w:p>
    <w:p w14:paraId="378391B8">
      <w:pPr>
        <w:tabs>
          <w:tab w:val="left" w:pos="360"/>
        </w:tabs>
        <w:spacing w:line="480" w:lineRule="auto"/>
        <w:ind w:firstLine="480"/>
        <w:rPr>
          <w:rFonts w:hint="eastAsia" w:ascii="宋体" w:hAnsi="宋体" w:eastAsia="宋体" w:cs="宋体"/>
          <w:kern w:val="2"/>
          <w:sz w:val="24"/>
          <w:szCs w:val="24"/>
          <w:highlight w:val="none"/>
          <w:u w:val="single"/>
        </w:rPr>
      </w:pPr>
      <w:r>
        <w:rPr>
          <w:rFonts w:hint="eastAsia" w:ascii="宋体" w:hAnsi="宋体" w:eastAsia="宋体" w:cs="宋体"/>
          <w:kern w:val="2"/>
          <w:sz w:val="24"/>
          <w:szCs w:val="24"/>
          <w:highlight w:val="none"/>
        </w:rPr>
        <w:t>被授权人联系电话：（手机）</w:t>
      </w:r>
    </w:p>
    <w:p w14:paraId="14D890DD">
      <w:pPr>
        <w:tabs>
          <w:tab w:val="left" w:pos="360"/>
        </w:tabs>
        <w:spacing w:line="480" w:lineRule="auto"/>
        <w:ind w:firstLine="48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授权单位名称：（加盖电子公章）</w:t>
      </w:r>
    </w:p>
    <w:p w14:paraId="0BDEC2C1">
      <w:pPr>
        <w:tabs>
          <w:tab w:val="left" w:pos="360"/>
        </w:tabs>
        <w:spacing w:line="480" w:lineRule="auto"/>
        <w:ind w:firstLine="480" w:firstLineChars="200"/>
        <w:rPr>
          <w:rFonts w:hint="eastAsia" w:ascii="宋体" w:hAnsi="宋体" w:eastAsia="宋体" w:cs="宋体"/>
          <w:kern w:val="2"/>
          <w:sz w:val="24"/>
          <w:szCs w:val="24"/>
          <w:highlight w:val="none"/>
          <w:u w:val="single"/>
        </w:rPr>
      </w:pPr>
      <w:r>
        <w:rPr>
          <w:rFonts w:hint="eastAsia" w:ascii="宋体" w:hAnsi="宋体" w:eastAsia="宋体" w:cs="宋体"/>
          <w:kern w:val="2"/>
          <w:sz w:val="24"/>
          <w:szCs w:val="24"/>
          <w:highlight w:val="none"/>
        </w:rPr>
        <w:t>单位地址：</w:t>
      </w:r>
    </w:p>
    <w:p w14:paraId="739263F3">
      <w:pPr>
        <w:tabs>
          <w:tab w:val="left" w:pos="360"/>
        </w:tabs>
        <w:spacing w:line="480" w:lineRule="auto"/>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日    期：</w:t>
      </w:r>
    </w:p>
    <w:p w14:paraId="78EDD402">
      <w:pPr>
        <w:pStyle w:val="21"/>
        <w:rPr>
          <w:rFonts w:hint="eastAsia" w:ascii="宋体" w:hAnsi="宋体" w:eastAsia="宋体" w:cs="宋体"/>
          <w:kern w:val="2"/>
          <w:sz w:val="24"/>
          <w:szCs w:val="24"/>
          <w:highlight w:val="none"/>
        </w:rPr>
      </w:pPr>
    </w:p>
    <w:p w14:paraId="1CB3FFD9">
      <w:pPr>
        <w:spacing w:line="0" w:lineRule="atLeast"/>
        <w:outlineLvl w:val="1"/>
        <w:rPr>
          <w:rFonts w:hint="eastAsia" w:ascii="宋体" w:hAnsi="宋体" w:eastAsia="宋体" w:cs="宋体"/>
          <w:b/>
          <w:sz w:val="24"/>
          <w:szCs w:val="21"/>
        </w:rPr>
      </w:pPr>
      <w:r>
        <w:rPr>
          <w:rFonts w:hint="eastAsia" w:ascii="宋体" w:hAnsi="宋体" w:eastAsia="宋体" w:cs="宋体"/>
          <w:b/>
          <w:sz w:val="24"/>
          <w:szCs w:val="21"/>
        </w:rPr>
        <w:t>附件7 单一来源</w:t>
      </w:r>
      <w:r>
        <w:rPr>
          <w:rFonts w:hint="eastAsia" w:ascii="宋体" w:hAnsi="宋体" w:eastAsia="宋体" w:cs="宋体"/>
          <w:b/>
          <w:sz w:val="24"/>
          <w:szCs w:val="21"/>
          <w:lang w:val="en-US" w:eastAsia="zh-CN"/>
        </w:rPr>
        <w:t>协商</w:t>
      </w:r>
      <w:r>
        <w:rPr>
          <w:rFonts w:hint="eastAsia" w:ascii="宋体" w:hAnsi="宋体" w:eastAsia="宋体" w:cs="宋体"/>
          <w:b/>
          <w:sz w:val="24"/>
          <w:szCs w:val="21"/>
        </w:rPr>
        <w:t>函</w:t>
      </w:r>
    </w:p>
    <w:p w14:paraId="6F8DDA24">
      <w:pPr>
        <w:pStyle w:val="21"/>
        <w:rPr>
          <w:rFonts w:hint="eastAsia" w:ascii="宋体" w:hAnsi="宋体" w:eastAsia="宋体" w:cs="宋体"/>
          <w:b/>
          <w:sz w:val="24"/>
          <w:szCs w:val="21"/>
        </w:rPr>
      </w:pPr>
    </w:p>
    <w:p w14:paraId="39DA5442">
      <w:pPr>
        <w:adjustRightInd w:val="0"/>
        <w:spacing w:line="420" w:lineRule="exact"/>
        <w:jc w:val="left"/>
        <w:textAlignment w:val="baseline"/>
        <w:rPr>
          <w:rFonts w:hint="eastAsia" w:ascii="宋体" w:hAnsi="宋体" w:eastAsia="宋体" w:cs="宋体"/>
          <w:sz w:val="24"/>
          <w:szCs w:val="21"/>
          <w:lang w:val="en-US" w:eastAsia="zh-CN"/>
        </w:rPr>
      </w:pPr>
      <w:r>
        <w:rPr>
          <w:rFonts w:hint="eastAsia" w:ascii="宋体" w:hAnsi="宋体" w:eastAsia="宋体" w:cs="宋体"/>
          <w:sz w:val="24"/>
          <w:szCs w:val="21"/>
        </w:rPr>
        <w:t>致：</w:t>
      </w:r>
      <w:r>
        <w:rPr>
          <w:rFonts w:hint="eastAsia" w:ascii="宋体" w:hAnsi="宋体" w:eastAsia="宋体" w:cs="宋体"/>
          <w:sz w:val="24"/>
          <w:szCs w:val="21"/>
          <w:lang w:val="en-US" w:eastAsia="zh-CN"/>
        </w:rPr>
        <w:t>南京达琛鑫工程咨询有限公司</w:t>
      </w:r>
    </w:p>
    <w:p w14:paraId="61ABB859">
      <w:pPr>
        <w:adjustRightInd w:val="0"/>
        <w:spacing w:line="420" w:lineRule="exact"/>
        <w:ind w:firstLine="480" w:firstLineChars="200"/>
        <w:jc w:val="left"/>
        <w:textAlignment w:val="baseline"/>
        <w:rPr>
          <w:rFonts w:hint="eastAsia" w:ascii="宋体" w:hAnsi="宋体" w:eastAsia="宋体" w:cs="宋体"/>
          <w:sz w:val="24"/>
          <w:szCs w:val="21"/>
        </w:rPr>
      </w:pPr>
      <w:r>
        <w:rPr>
          <w:rFonts w:hint="eastAsia" w:ascii="宋体" w:hAnsi="宋体" w:eastAsia="宋体" w:cs="宋体"/>
          <w:sz w:val="24"/>
          <w:szCs w:val="21"/>
        </w:rPr>
        <w:t>根据贵方的JSZC-320000-</w:t>
      </w:r>
      <w:r>
        <w:rPr>
          <w:rFonts w:hint="eastAsia" w:ascii="宋体" w:hAnsi="宋体" w:eastAsia="宋体" w:cs="宋体"/>
          <w:sz w:val="24"/>
          <w:szCs w:val="21"/>
          <w:u w:val="single"/>
        </w:rPr>
        <w:t>****</w:t>
      </w:r>
      <w:r>
        <w:rPr>
          <w:rFonts w:hint="eastAsia" w:ascii="宋体" w:hAnsi="宋体" w:eastAsia="宋体" w:cs="宋体"/>
          <w:sz w:val="24"/>
          <w:szCs w:val="21"/>
        </w:rPr>
        <w:t>号采购文件，正式授权下述签字人______(姓名)代表我方______________（供应商的名称），全权处理本次项目单一来源采购的有关事宜。</w:t>
      </w:r>
    </w:p>
    <w:p w14:paraId="4655C22E">
      <w:pPr>
        <w:adjustRightInd w:val="0"/>
        <w:spacing w:line="420" w:lineRule="exact"/>
        <w:ind w:firstLine="480" w:firstLineChars="200"/>
        <w:jc w:val="left"/>
        <w:textAlignment w:val="baseline"/>
        <w:rPr>
          <w:rFonts w:hint="eastAsia" w:ascii="宋体" w:hAnsi="宋体" w:eastAsia="宋体" w:cs="宋体"/>
          <w:sz w:val="24"/>
          <w:szCs w:val="21"/>
        </w:rPr>
      </w:pPr>
      <w:r>
        <w:rPr>
          <w:rFonts w:hint="eastAsia" w:ascii="宋体" w:hAnsi="宋体" w:eastAsia="宋体" w:cs="宋体"/>
          <w:sz w:val="24"/>
          <w:szCs w:val="21"/>
        </w:rPr>
        <w:t>据此函，__________签字人兹宣布同意如下：</w:t>
      </w:r>
    </w:p>
    <w:p w14:paraId="7D9C4CD8">
      <w:pPr>
        <w:adjustRightInd w:val="0"/>
        <w:spacing w:line="420" w:lineRule="exact"/>
        <w:ind w:firstLine="480"/>
        <w:jc w:val="left"/>
        <w:textAlignment w:val="baseline"/>
        <w:rPr>
          <w:rFonts w:hint="eastAsia" w:ascii="宋体" w:hAnsi="宋体" w:eastAsia="宋体" w:cs="宋体"/>
          <w:sz w:val="24"/>
          <w:szCs w:val="21"/>
        </w:rPr>
      </w:pPr>
      <w:r>
        <w:rPr>
          <w:rFonts w:hint="eastAsia" w:ascii="宋体" w:hAnsi="宋体" w:eastAsia="宋体" w:cs="宋体"/>
          <w:sz w:val="24"/>
          <w:szCs w:val="21"/>
        </w:rPr>
        <w:t>1.按采购文件规定的各项要求，向买方提供所需货物、服务（包含与货物相关的服务及与服务相关的货物）。</w:t>
      </w:r>
    </w:p>
    <w:p w14:paraId="4188E077">
      <w:pPr>
        <w:adjustRightInd w:val="0"/>
        <w:spacing w:line="420" w:lineRule="exact"/>
        <w:ind w:firstLine="480" w:firstLineChars="200"/>
        <w:jc w:val="left"/>
        <w:textAlignment w:val="baseline"/>
        <w:rPr>
          <w:rFonts w:hint="eastAsia" w:ascii="宋体" w:hAnsi="宋体" w:eastAsia="宋体" w:cs="宋体"/>
          <w:sz w:val="24"/>
          <w:szCs w:val="21"/>
        </w:rPr>
      </w:pPr>
      <w:r>
        <w:rPr>
          <w:rFonts w:hint="eastAsia" w:ascii="宋体" w:hAnsi="宋体" w:eastAsia="宋体" w:cs="宋体"/>
          <w:sz w:val="24"/>
          <w:szCs w:val="21"/>
        </w:rPr>
        <w:t>2.我们已详细审核全部采购文件及其有效补充文件，我们知道必须放弃提出含糊不清或误解问题的权利。</w:t>
      </w:r>
    </w:p>
    <w:p w14:paraId="043DE198">
      <w:pPr>
        <w:adjustRightInd w:val="0"/>
        <w:spacing w:line="420" w:lineRule="exact"/>
        <w:ind w:firstLine="480"/>
        <w:jc w:val="left"/>
        <w:textAlignment w:val="baseline"/>
        <w:rPr>
          <w:rFonts w:hint="eastAsia" w:ascii="宋体" w:hAnsi="宋体" w:eastAsia="宋体" w:cs="宋体"/>
          <w:sz w:val="24"/>
          <w:szCs w:val="21"/>
        </w:rPr>
      </w:pPr>
      <w:r>
        <w:rPr>
          <w:rFonts w:hint="eastAsia" w:ascii="宋体" w:hAnsi="宋体" w:eastAsia="宋体" w:cs="宋体"/>
          <w:sz w:val="24"/>
          <w:szCs w:val="21"/>
        </w:rPr>
        <w:t>3.我们同意从规定的单一来源谈判时间起遵循本响应文件，并在规定的单一来源谈判有效期期满之前均具有约束力。</w:t>
      </w:r>
    </w:p>
    <w:p w14:paraId="6A4B7FA3">
      <w:pPr>
        <w:adjustRightInd w:val="0"/>
        <w:spacing w:line="420" w:lineRule="exact"/>
        <w:ind w:firstLine="480"/>
        <w:jc w:val="left"/>
        <w:textAlignment w:val="baseline"/>
        <w:rPr>
          <w:rFonts w:hint="eastAsia" w:ascii="宋体" w:hAnsi="宋体" w:eastAsia="宋体" w:cs="宋体"/>
          <w:sz w:val="24"/>
          <w:szCs w:val="21"/>
        </w:rPr>
      </w:pPr>
      <w:r>
        <w:rPr>
          <w:rFonts w:hint="eastAsia" w:ascii="宋体" w:hAnsi="宋体" w:eastAsia="宋体" w:cs="宋体"/>
          <w:sz w:val="24"/>
          <w:szCs w:val="21"/>
        </w:rPr>
        <w:t>4.同意向贵方提供贵方可能另外要求的与单一来源采购有关的任何证据或资料，并保证我方已提供和将要提供的文件是真实的、准确的。</w:t>
      </w:r>
    </w:p>
    <w:p w14:paraId="5F92A17D">
      <w:pPr>
        <w:adjustRightInd w:val="0"/>
        <w:spacing w:line="420" w:lineRule="exact"/>
        <w:ind w:firstLine="480"/>
        <w:jc w:val="left"/>
        <w:textAlignment w:val="baseline"/>
        <w:rPr>
          <w:rFonts w:hint="eastAsia" w:ascii="宋体" w:hAnsi="宋体" w:eastAsia="宋体" w:cs="宋体"/>
          <w:sz w:val="24"/>
          <w:szCs w:val="21"/>
        </w:rPr>
      </w:pPr>
      <w:r>
        <w:rPr>
          <w:rFonts w:hint="eastAsia" w:ascii="宋体" w:hAnsi="宋体" w:eastAsia="宋体" w:cs="宋体"/>
          <w:sz w:val="24"/>
          <w:szCs w:val="21"/>
        </w:rPr>
        <w:t>5.一旦我方成交,我方将根据采购文件的规定，严格履行合同的责任和义务,并保证在采购文件规定的时间完成项目，交付买方验收、使用。</w:t>
      </w:r>
    </w:p>
    <w:p w14:paraId="29BE5AA9">
      <w:pPr>
        <w:adjustRightInd w:val="0"/>
        <w:spacing w:line="420" w:lineRule="exact"/>
        <w:ind w:left="425"/>
        <w:jc w:val="left"/>
        <w:textAlignment w:val="baseline"/>
        <w:rPr>
          <w:rFonts w:hint="eastAsia" w:ascii="宋体" w:hAnsi="宋体" w:eastAsia="宋体" w:cs="宋体"/>
          <w:sz w:val="24"/>
          <w:szCs w:val="21"/>
        </w:rPr>
      </w:pPr>
      <w:r>
        <w:rPr>
          <w:rFonts w:hint="eastAsia" w:ascii="宋体" w:hAnsi="宋体" w:eastAsia="宋体" w:cs="宋体"/>
          <w:sz w:val="24"/>
          <w:szCs w:val="21"/>
        </w:rPr>
        <w:t>6.我方与本次单一来源采购有关的正式通讯地址为：</w:t>
      </w:r>
    </w:p>
    <w:p w14:paraId="3C29E5AD">
      <w:pPr>
        <w:adjustRightInd w:val="0"/>
        <w:spacing w:line="420" w:lineRule="exact"/>
        <w:ind w:left="480" w:leftChars="200" w:firstLine="480" w:firstLineChars="200"/>
        <w:jc w:val="left"/>
        <w:textAlignment w:val="baseline"/>
        <w:rPr>
          <w:rFonts w:hint="eastAsia" w:ascii="宋体" w:hAnsi="宋体" w:eastAsia="宋体" w:cs="宋体"/>
          <w:sz w:val="24"/>
          <w:szCs w:val="21"/>
        </w:rPr>
      </w:pPr>
      <w:r>
        <w:rPr>
          <w:rFonts w:hint="eastAsia" w:ascii="宋体" w:hAnsi="宋体" w:eastAsia="宋体" w:cs="宋体"/>
          <w:sz w:val="24"/>
          <w:szCs w:val="21"/>
        </w:rPr>
        <w:t>地          址：</w:t>
      </w:r>
    </w:p>
    <w:p w14:paraId="25AD136C">
      <w:pPr>
        <w:adjustRightInd w:val="0"/>
        <w:spacing w:line="420" w:lineRule="exact"/>
        <w:ind w:left="480" w:leftChars="200" w:firstLine="480" w:firstLineChars="200"/>
        <w:jc w:val="left"/>
        <w:textAlignment w:val="baseline"/>
        <w:rPr>
          <w:rFonts w:hint="eastAsia" w:ascii="宋体" w:hAnsi="宋体" w:eastAsia="宋体" w:cs="宋体"/>
          <w:sz w:val="24"/>
          <w:szCs w:val="21"/>
        </w:rPr>
      </w:pPr>
      <w:r>
        <w:rPr>
          <w:rFonts w:hint="eastAsia" w:ascii="宋体" w:hAnsi="宋体" w:eastAsia="宋体" w:cs="宋体"/>
          <w:sz w:val="24"/>
          <w:szCs w:val="21"/>
        </w:rPr>
        <w:t>邮          编：</w:t>
      </w:r>
    </w:p>
    <w:p w14:paraId="141FE520">
      <w:pPr>
        <w:adjustRightInd w:val="0"/>
        <w:spacing w:line="420" w:lineRule="exact"/>
        <w:ind w:left="480" w:leftChars="200" w:firstLine="480" w:firstLineChars="200"/>
        <w:jc w:val="left"/>
        <w:textAlignment w:val="baseline"/>
        <w:rPr>
          <w:rFonts w:hint="eastAsia" w:ascii="宋体" w:hAnsi="宋体" w:eastAsia="宋体" w:cs="宋体"/>
          <w:sz w:val="24"/>
          <w:szCs w:val="21"/>
        </w:rPr>
      </w:pPr>
      <w:r>
        <w:rPr>
          <w:rFonts w:hint="eastAsia" w:ascii="宋体" w:hAnsi="宋体" w:eastAsia="宋体" w:cs="宋体"/>
          <w:sz w:val="24"/>
          <w:szCs w:val="21"/>
        </w:rPr>
        <w:t>电          话：</w:t>
      </w:r>
    </w:p>
    <w:p w14:paraId="7CDCFFE3">
      <w:pPr>
        <w:adjustRightInd w:val="0"/>
        <w:spacing w:line="420" w:lineRule="exact"/>
        <w:ind w:left="480" w:leftChars="200" w:firstLine="480" w:firstLineChars="200"/>
        <w:jc w:val="left"/>
        <w:textAlignment w:val="baseline"/>
        <w:rPr>
          <w:rFonts w:hint="eastAsia" w:ascii="宋体" w:hAnsi="宋体" w:eastAsia="宋体" w:cs="宋体"/>
          <w:sz w:val="24"/>
          <w:szCs w:val="21"/>
        </w:rPr>
      </w:pPr>
      <w:r>
        <w:rPr>
          <w:rFonts w:hint="eastAsia" w:ascii="宋体" w:hAnsi="宋体" w:eastAsia="宋体" w:cs="宋体"/>
          <w:sz w:val="24"/>
          <w:szCs w:val="21"/>
        </w:rPr>
        <w:t>传          真：</w:t>
      </w:r>
    </w:p>
    <w:p w14:paraId="2BA62443">
      <w:pPr>
        <w:adjustRightInd w:val="0"/>
        <w:spacing w:line="420" w:lineRule="exact"/>
        <w:ind w:left="480" w:leftChars="200" w:firstLine="480" w:firstLineChars="200"/>
        <w:jc w:val="left"/>
        <w:textAlignment w:val="baseline"/>
        <w:rPr>
          <w:rFonts w:hint="eastAsia" w:ascii="宋体" w:hAnsi="宋体" w:eastAsia="宋体" w:cs="宋体"/>
          <w:sz w:val="24"/>
          <w:szCs w:val="21"/>
        </w:rPr>
      </w:pPr>
      <w:r>
        <w:rPr>
          <w:rFonts w:hint="eastAsia" w:ascii="宋体" w:hAnsi="宋体" w:eastAsia="宋体" w:cs="宋体"/>
          <w:sz w:val="24"/>
          <w:szCs w:val="21"/>
        </w:rPr>
        <w:t>供应商开户行：</w:t>
      </w:r>
    </w:p>
    <w:p w14:paraId="0641E1E3">
      <w:pPr>
        <w:adjustRightInd w:val="0"/>
        <w:spacing w:line="420" w:lineRule="exact"/>
        <w:ind w:left="480" w:leftChars="200" w:firstLine="480" w:firstLineChars="200"/>
        <w:jc w:val="left"/>
        <w:textAlignment w:val="baseline"/>
        <w:rPr>
          <w:rFonts w:hint="eastAsia" w:ascii="宋体" w:hAnsi="宋体" w:eastAsia="宋体" w:cs="宋体"/>
          <w:sz w:val="24"/>
          <w:szCs w:val="21"/>
        </w:rPr>
      </w:pPr>
      <w:r>
        <w:rPr>
          <w:rFonts w:hint="eastAsia" w:ascii="宋体" w:hAnsi="宋体" w:eastAsia="宋体" w:cs="宋体"/>
          <w:sz w:val="24"/>
          <w:szCs w:val="21"/>
        </w:rPr>
        <w:t xml:space="preserve">账          号： </w:t>
      </w:r>
    </w:p>
    <w:p w14:paraId="3CEAF79A">
      <w:pPr>
        <w:adjustRightInd w:val="0"/>
        <w:spacing w:line="420" w:lineRule="exact"/>
        <w:ind w:left="480" w:leftChars="200" w:firstLine="480" w:firstLineChars="200"/>
        <w:jc w:val="left"/>
        <w:textAlignment w:val="baseline"/>
        <w:rPr>
          <w:rFonts w:hint="eastAsia" w:ascii="宋体" w:hAnsi="宋体" w:eastAsia="宋体" w:cs="宋体"/>
          <w:sz w:val="24"/>
          <w:szCs w:val="21"/>
        </w:rPr>
      </w:pPr>
      <w:r>
        <w:rPr>
          <w:rFonts w:hint="eastAsia" w:ascii="宋体" w:hAnsi="宋体" w:eastAsia="宋体" w:cs="宋体"/>
          <w:sz w:val="24"/>
          <w:szCs w:val="21"/>
        </w:rPr>
        <w:t>日           期：________年____月____日</w:t>
      </w:r>
    </w:p>
    <w:p w14:paraId="383527AD">
      <w:pPr>
        <w:pStyle w:val="21"/>
        <w:rPr>
          <w:rFonts w:hint="eastAsia" w:ascii="宋体" w:hAnsi="宋体" w:eastAsia="宋体" w:cs="宋体"/>
          <w:kern w:val="2"/>
          <w:sz w:val="24"/>
          <w:szCs w:val="24"/>
          <w:highlight w:val="none"/>
        </w:rPr>
      </w:pPr>
    </w:p>
    <w:p w14:paraId="13037690">
      <w:pPr>
        <w:pStyle w:val="21"/>
        <w:rPr>
          <w:rFonts w:hint="eastAsia" w:ascii="宋体" w:hAnsi="宋体" w:eastAsia="宋体" w:cs="宋体"/>
          <w:kern w:val="2"/>
          <w:sz w:val="24"/>
          <w:szCs w:val="24"/>
          <w:highlight w:val="none"/>
        </w:rPr>
      </w:pPr>
    </w:p>
    <w:p w14:paraId="450501E8">
      <w:pPr>
        <w:spacing w:line="0" w:lineRule="atLeast"/>
        <w:outlineLvl w:val="9"/>
        <w:rPr>
          <w:rFonts w:hint="eastAsia" w:ascii="宋体" w:hAnsi="宋体" w:eastAsia="宋体" w:cs="宋体"/>
          <w:sz w:val="24"/>
          <w:szCs w:val="24"/>
        </w:rPr>
      </w:pPr>
    </w:p>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14:paraId="4DE0A81F">
      <w:pPr>
        <w:rPr>
          <w:rFonts w:hint="eastAsia" w:ascii="宋体" w:hAnsi="宋体" w:eastAsia="宋体" w:cs="宋体"/>
          <w:sz w:val="32"/>
          <w:szCs w:val="32"/>
          <w:highlight w:val="none"/>
        </w:rPr>
      </w:pPr>
      <w:bookmarkStart w:id="303" w:name="_Toc28839"/>
      <w:bookmarkStart w:id="304" w:name="_Toc20799"/>
      <w:bookmarkStart w:id="305" w:name="_Toc2995"/>
      <w:bookmarkStart w:id="306" w:name="_Toc12827"/>
      <w:bookmarkStart w:id="307" w:name="_Toc14102"/>
      <w:bookmarkStart w:id="308" w:name="_Toc29007"/>
      <w:bookmarkStart w:id="309" w:name="_Toc3684"/>
      <w:bookmarkStart w:id="310" w:name="_Toc27778"/>
      <w:bookmarkStart w:id="311" w:name="_Toc17625"/>
      <w:bookmarkStart w:id="312" w:name="_Toc25304"/>
      <w:r>
        <w:rPr>
          <w:rFonts w:hint="eastAsia" w:ascii="宋体" w:hAnsi="宋体" w:eastAsia="宋体" w:cs="宋体"/>
          <w:sz w:val="32"/>
          <w:szCs w:val="32"/>
          <w:highlight w:val="none"/>
        </w:rPr>
        <w:br w:type="page"/>
      </w:r>
    </w:p>
    <w:p w14:paraId="5DC9E930">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val="en-US" w:eastAsia="zh-CN"/>
        </w:rPr>
        <w:t>二</w:t>
      </w:r>
      <w:r>
        <w:rPr>
          <w:rFonts w:hint="eastAsia" w:ascii="宋体" w:hAnsi="宋体" w:eastAsia="宋体" w:cs="宋体"/>
          <w:sz w:val="32"/>
          <w:szCs w:val="32"/>
          <w:highlight w:val="none"/>
          <w:lang w:eastAsia="zh-CN"/>
        </w:rPr>
        <w:t>、供应商类似业绩情况表</w:t>
      </w:r>
      <w:bookmarkEnd w:id="303"/>
      <w:bookmarkEnd w:id="304"/>
      <w:bookmarkEnd w:id="305"/>
      <w:bookmarkEnd w:id="306"/>
      <w:bookmarkEnd w:id="307"/>
      <w:bookmarkEnd w:id="308"/>
      <w:bookmarkEnd w:id="309"/>
      <w:bookmarkEnd w:id="310"/>
      <w:bookmarkEnd w:id="311"/>
    </w:p>
    <w:bookmarkEnd w:id="312"/>
    <w:p w14:paraId="2ADECC32">
      <w:pPr>
        <w:pStyle w:val="21"/>
        <w:spacing w:line="360" w:lineRule="auto"/>
        <w:ind w:firstLine="0" w:firstLineChars="0"/>
        <w:rPr>
          <w:rFonts w:hint="eastAsia" w:ascii="宋体" w:hAnsi="宋体" w:eastAsia="宋体" w:cs="宋体"/>
          <w:lang w:eastAsia="zh-CN"/>
        </w:rPr>
      </w:pPr>
    </w:p>
    <w:tbl>
      <w:tblPr>
        <w:tblStyle w:val="22"/>
        <w:tblW w:w="8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tblGrid>
      <w:tr w14:paraId="70076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773" w:type="dxa"/>
            <w:vAlign w:val="center"/>
          </w:tcPr>
          <w:p w14:paraId="1CB7F6E6">
            <w:pPr>
              <w:autoSpaceDE w:val="0"/>
              <w:autoSpaceDN w:val="0"/>
              <w:adjustRightInd w:val="0"/>
              <w:spacing w:line="360" w:lineRule="auto"/>
              <w:jc w:val="center"/>
              <w:rPr>
                <w:rFonts w:hint="eastAsia" w:ascii="宋体" w:hAnsi="宋体" w:eastAsia="宋体" w:cs="宋体"/>
                <w:b/>
                <w:lang w:val="zh-CN"/>
              </w:rPr>
            </w:pPr>
            <w:r>
              <w:rPr>
                <w:rFonts w:hint="eastAsia" w:ascii="宋体" w:hAnsi="宋体" w:eastAsia="宋体" w:cs="宋体"/>
                <w:b/>
                <w:lang w:val="zh-CN"/>
              </w:rPr>
              <w:t>序号</w:t>
            </w:r>
          </w:p>
        </w:tc>
        <w:tc>
          <w:tcPr>
            <w:tcW w:w="1710" w:type="dxa"/>
            <w:vAlign w:val="center"/>
          </w:tcPr>
          <w:p w14:paraId="39E89EC1">
            <w:pPr>
              <w:autoSpaceDE w:val="0"/>
              <w:autoSpaceDN w:val="0"/>
              <w:adjustRightInd w:val="0"/>
              <w:spacing w:line="360" w:lineRule="auto"/>
              <w:jc w:val="center"/>
              <w:rPr>
                <w:rFonts w:hint="eastAsia" w:ascii="宋体" w:hAnsi="宋体" w:eastAsia="宋体" w:cs="宋体"/>
                <w:b/>
                <w:lang w:val="zh-CN"/>
              </w:rPr>
            </w:pPr>
            <w:r>
              <w:rPr>
                <w:rFonts w:hint="eastAsia" w:ascii="宋体" w:hAnsi="宋体" w:eastAsia="宋体" w:cs="宋体"/>
                <w:b/>
                <w:lang w:val="zh-CN"/>
              </w:rPr>
              <w:t>项目名称</w:t>
            </w:r>
          </w:p>
        </w:tc>
        <w:tc>
          <w:tcPr>
            <w:tcW w:w="1365" w:type="dxa"/>
            <w:vAlign w:val="center"/>
          </w:tcPr>
          <w:p w14:paraId="5B59820B">
            <w:pPr>
              <w:autoSpaceDE w:val="0"/>
              <w:autoSpaceDN w:val="0"/>
              <w:adjustRightInd w:val="0"/>
              <w:spacing w:line="360" w:lineRule="auto"/>
              <w:jc w:val="center"/>
              <w:rPr>
                <w:rFonts w:hint="eastAsia" w:ascii="宋体" w:hAnsi="宋体" w:eastAsia="宋体" w:cs="宋体"/>
                <w:b/>
                <w:lang w:val="zh-CN"/>
              </w:rPr>
            </w:pPr>
            <w:r>
              <w:rPr>
                <w:rFonts w:hint="eastAsia" w:ascii="宋体" w:hAnsi="宋体" w:eastAsia="宋体" w:cs="宋体"/>
                <w:b/>
                <w:lang w:val="zh-CN"/>
              </w:rPr>
              <w:t>业主单位</w:t>
            </w:r>
          </w:p>
        </w:tc>
        <w:tc>
          <w:tcPr>
            <w:tcW w:w="1455" w:type="dxa"/>
            <w:vAlign w:val="center"/>
          </w:tcPr>
          <w:p w14:paraId="09462E81">
            <w:pPr>
              <w:autoSpaceDE w:val="0"/>
              <w:autoSpaceDN w:val="0"/>
              <w:adjustRightInd w:val="0"/>
              <w:spacing w:line="360" w:lineRule="auto"/>
              <w:jc w:val="center"/>
              <w:rPr>
                <w:rFonts w:hint="eastAsia" w:ascii="宋体" w:hAnsi="宋体" w:eastAsia="宋体" w:cs="宋体"/>
                <w:b/>
                <w:lang w:val="zh-CN"/>
              </w:rPr>
            </w:pPr>
            <w:r>
              <w:rPr>
                <w:rFonts w:hint="eastAsia" w:ascii="宋体" w:hAnsi="宋体" w:eastAsia="宋体" w:cs="宋体"/>
                <w:b/>
                <w:lang w:val="zh-CN"/>
              </w:rPr>
              <w:t>业主联系</w:t>
            </w:r>
          </w:p>
          <w:p w14:paraId="06605EDB">
            <w:pPr>
              <w:autoSpaceDE w:val="0"/>
              <w:autoSpaceDN w:val="0"/>
              <w:adjustRightInd w:val="0"/>
              <w:spacing w:line="360" w:lineRule="auto"/>
              <w:jc w:val="center"/>
              <w:rPr>
                <w:rFonts w:hint="eastAsia" w:ascii="宋体" w:hAnsi="宋体" w:eastAsia="宋体" w:cs="宋体"/>
                <w:b/>
                <w:lang w:val="zh-CN"/>
              </w:rPr>
            </w:pPr>
            <w:r>
              <w:rPr>
                <w:rFonts w:hint="eastAsia" w:ascii="宋体" w:hAnsi="宋体" w:eastAsia="宋体" w:cs="宋体"/>
                <w:b/>
                <w:lang w:val="zh-CN"/>
              </w:rPr>
              <w:t>方式</w:t>
            </w:r>
          </w:p>
        </w:tc>
        <w:tc>
          <w:tcPr>
            <w:tcW w:w="1300" w:type="dxa"/>
            <w:vAlign w:val="center"/>
          </w:tcPr>
          <w:p w14:paraId="2522FC9C">
            <w:pPr>
              <w:autoSpaceDE w:val="0"/>
              <w:autoSpaceDN w:val="0"/>
              <w:adjustRightInd w:val="0"/>
              <w:spacing w:line="360" w:lineRule="auto"/>
              <w:jc w:val="center"/>
              <w:rPr>
                <w:rFonts w:hint="eastAsia" w:ascii="宋体" w:hAnsi="宋体" w:eastAsia="宋体" w:cs="宋体"/>
                <w:b/>
                <w:lang w:val="zh-CN"/>
              </w:rPr>
            </w:pPr>
            <w:r>
              <w:rPr>
                <w:rFonts w:hint="eastAsia" w:ascii="宋体" w:hAnsi="宋体" w:eastAsia="宋体" w:cs="宋体"/>
                <w:b/>
                <w:lang w:val="zh-CN"/>
              </w:rPr>
              <w:t>合同主要</w:t>
            </w:r>
          </w:p>
          <w:p w14:paraId="327FA106">
            <w:pPr>
              <w:autoSpaceDE w:val="0"/>
              <w:autoSpaceDN w:val="0"/>
              <w:adjustRightInd w:val="0"/>
              <w:spacing w:line="360" w:lineRule="auto"/>
              <w:jc w:val="center"/>
              <w:rPr>
                <w:rFonts w:hint="eastAsia" w:ascii="宋体" w:hAnsi="宋体" w:eastAsia="宋体" w:cs="宋体"/>
                <w:b/>
                <w:lang w:val="zh-CN"/>
              </w:rPr>
            </w:pPr>
            <w:r>
              <w:rPr>
                <w:rFonts w:hint="eastAsia" w:ascii="宋体" w:hAnsi="宋体" w:eastAsia="宋体" w:cs="宋体"/>
                <w:b/>
                <w:lang w:val="zh-CN"/>
              </w:rPr>
              <w:t>内容</w:t>
            </w:r>
          </w:p>
        </w:tc>
        <w:tc>
          <w:tcPr>
            <w:tcW w:w="1026" w:type="dxa"/>
            <w:vAlign w:val="center"/>
          </w:tcPr>
          <w:p w14:paraId="51049B85">
            <w:pPr>
              <w:autoSpaceDE w:val="0"/>
              <w:autoSpaceDN w:val="0"/>
              <w:adjustRightInd w:val="0"/>
              <w:spacing w:line="360" w:lineRule="auto"/>
              <w:jc w:val="center"/>
              <w:rPr>
                <w:rFonts w:hint="eastAsia" w:ascii="宋体" w:hAnsi="宋体" w:eastAsia="宋体" w:cs="宋体"/>
                <w:b/>
              </w:rPr>
            </w:pPr>
            <w:r>
              <w:rPr>
                <w:rFonts w:hint="eastAsia" w:ascii="宋体" w:hAnsi="宋体" w:eastAsia="宋体" w:cs="宋体"/>
                <w:b/>
              </w:rPr>
              <w:t>合同</w:t>
            </w:r>
          </w:p>
          <w:p w14:paraId="558B480C">
            <w:pPr>
              <w:autoSpaceDE w:val="0"/>
              <w:autoSpaceDN w:val="0"/>
              <w:adjustRightInd w:val="0"/>
              <w:spacing w:line="360" w:lineRule="auto"/>
              <w:jc w:val="center"/>
              <w:rPr>
                <w:rFonts w:hint="eastAsia" w:ascii="宋体" w:hAnsi="宋体" w:eastAsia="宋体" w:cs="宋体"/>
                <w:b/>
              </w:rPr>
            </w:pPr>
            <w:r>
              <w:rPr>
                <w:rFonts w:hint="eastAsia" w:ascii="宋体" w:hAnsi="宋体" w:eastAsia="宋体" w:cs="宋体"/>
                <w:b/>
              </w:rPr>
              <w:t>金额</w:t>
            </w:r>
          </w:p>
        </w:tc>
        <w:tc>
          <w:tcPr>
            <w:tcW w:w="1026" w:type="dxa"/>
            <w:vAlign w:val="center"/>
          </w:tcPr>
          <w:p w14:paraId="522C5737">
            <w:pPr>
              <w:autoSpaceDE w:val="0"/>
              <w:autoSpaceDN w:val="0"/>
              <w:adjustRightInd w:val="0"/>
              <w:spacing w:line="360" w:lineRule="auto"/>
              <w:jc w:val="center"/>
              <w:rPr>
                <w:rFonts w:hint="eastAsia" w:ascii="宋体" w:hAnsi="宋体" w:eastAsia="宋体" w:cs="宋体"/>
                <w:b/>
                <w:lang w:val="zh-CN"/>
              </w:rPr>
            </w:pPr>
            <w:r>
              <w:rPr>
                <w:rFonts w:hint="eastAsia" w:ascii="宋体" w:hAnsi="宋体" w:eastAsia="宋体" w:cs="宋体"/>
                <w:b/>
                <w:lang w:val="zh-CN"/>
              </w:rPr>
              <w:t>备注</w:t>
            </w:r>
          </w:p>
        </w:tc>
      </w:tr>
      <w:tr w14:paraId="4592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3" w:type="dxa"/>
          </w:tcPr>
          <w:p w14:paraId="403B639E">
            <w:pPr>
              <w:autoSpaceDE w:val="0"/>
              <w:autoSpaceDN w:val="0"/>
              <w:adjustRightInd w:val="0"/>
              <w:spacing w:line="360" w:lineRule="auto"/>
              <w:rPr>
                <w:rFonts w:hint="eastAsia" w:ascii="宋体" w:hAnsi="宋体" w:eastAsia="宋体" w:cs="宋体"/>
                <w:lang w:val="zh-CN"/>
              </w:rPr>
            </w:pPr>
          </w:p>
        </w:tc>
        <w:tc>
          <w:tcPr>
            <w:tcW w:w="1710" w:type="dxa"/>
          </w:tcPr>
          <w:p w14:paraId="32ED74C0">
            <w:pPr>
              <w:autoSpaceDE w:val="0"/>
              <w:autoSpaceDN w:val="0"/>
              <w:adjustRightInd w:val="0"/>
              <w:spacing w:line="360" w:lineRule="auto"/>
              <w:rPr>
                <w:rFonts w:hint="eastAsia" w:ascii="宋体" w:hAnsi="宋体" w:eastAsia="宋体" w:cs="宋体"/>
                <w:lang w:val="zh-CN"/>
              </w:rPr>
            </w:pPr>
          </w:p>
        </w:tc>
        <w:tc>
          <w:tcPr>
            <w:tcW w:w="1365" w:type="dxa"/>
          </w:tcPr>
          <w:p w14:paraId="7916838C">
            <w:pPr>
              <w:autoSpaceDE w:val="0"/>
              <w:autoSpaceDN w:val="0"/>
              <w:adjustRightInd w:val="0"/>
              <w:spacing w:line="360" w:lineRule="auto"/>
              <w:rPr>
                <w:rFonts w:hint="eastAsia" w:ascii="宋体" w:hAnsi="宋体" w:eastAsia="宋体" w:cs="宋体"/>
                <w:lang w:val="zh-CN"/>
              </w:rPr>
            </w:pPr>
          </w:p>
        </w:tc>
        <w:tc>
          <w:tcPr>
            <w:tcW w:w="1455" w:type="dxa"/>
          </w:tcPr>
          <w:p w14:paraId="7939B192">
            <w:pPr>
              <w:autoSpaceDE w:val="0"/>
              <w:autoSpaceDN w:val="0"/>
              <w:adjustRightInd w:val="0"/>
              <w:spacing w:line="360" w:lineRule="auto"/>
              <w:rPr>
                <w:rFonts w:hint="eastAsia" w:ascii="宋体" w:hAnsi="宋体" w:eastAsia="宋体" w:cs="宋体"/>
                <w:lang w:val="zh-CN"/>
              </w:rPr>
            </w:pPr>
          </w:p>
        </w:tc>
        <w:tc>
          <w:tcPr>
            <w:tcW w:w="1300" w:type="dxa"/>
          </w:tcPr>
          <w:p w14:paraId="33D37D77">
            <w:pPr>
              <w:autoSpaceDE w:val="0"/>
              <w:autoSpaceDN w:val="0"/>
              <w:adjustRightInd w:val="0"/>
              <w:spacing w:line="360" w:lineRule="auto"/>
              <w:rPr>
                <w:rFonts w:hint="eastAsia" w:ascii="宋体" w:hAnsi="宋体" w:eastAsia="宋体" w:cs="宋体"/>
                <w:lang w:val="zh-CN"/>
              </w:rPr>
            </w:pPr>
          </w:p>
        </w:tc>
        <w:tc>
          <w:tcPr>
            <w:tcW w:w="1026" w:type="dxa"/>
          </w:tcPr>
          <w:p w14:paraId="4F89986F">
            <w:pPr>
              <w:autoSpaceDE w:val="0"/>
              <w:autoSpaceDN w:val="0"/>
              <w:adjustRightInd w:val="0"/>
              <w:spacing w:line="360" w:lineRule="auto"/>
              <w:rPr>
                <w:rFonts w:hint="eastAsia" w:ascii="宋体" w:hAnsi="宋体" w:eastAsia="宋体" w:cs="宋体"/>
                <w:lang w:val="zh-CN"/>
              </w:rPr>
            </w:pPr>
          </w:p>
        </w:tc>
        <w:tc>
          <w:tcPr>
            <w:tcW w:w="1026" w:type="dxa"/>
          </w:tcPr>
          <w:p w14:paraId="6B892B5D">
            <w:pPr>
              <w:autoSpaceDE w:val="0"/>
              <w:autoSpaceDN w:val="0"/>
              <w:adjustRightInd w:val="0"/>
              <w:spacing w:line="360" w:lineRule="auto"/>
              <w:rPr>
                <w:rFonts w:hint="eastAsia" w:ascii="宋体" w:hAnsi="宋体" w:eastAsia="宋体" w:cs="宋体"/>
                <w:lang w:val="zh-CN"/>
              </w:rPr>
            </w:pPr>
          </w:p>
        </w:tc>
      </w:tr>
      <w:tr w14:paraId="2F3B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3" w:type="dxa"/>
          </w:tcPr>
          <w:p w14:paraId="2A199FFF">
            <w:pPr>
              <w:autoSpaceDE w:val="0"/>
              <w:autoSpaceDN w:val="0"/>
              <w:adjustRightInd w:val="0"/>
              <w:spacing w:line="360" w:lineRule="auto"/>
              <w:rPr>
                <w:rFonts w:hint="eastAsia" w:ascii="宋体" w:hAnsi="宋体" w:eastAsia="宋体" w:cs="宋体"/>
                <w:lang w:val="zh-CN"/>
              </w:rPr>
            </w:pPr>
          </w:p>
        </w:tc>
        <w:tc>
          <w:tcPr>
            <w:tcW w:w="1710" w:type="dxa"/>
          </w:tcPr>
          <w:p w14:paraId="23796279">
            <w:pPr>
              <w:autoSpaceDE w:val="0"/>
              <w:autoSpaceDN w:val="0"/>
              <w:adjustRightInd w:val="0"/>
              <w:spacing w:line="360" w:lineRule="auto"/>
              <w:rPr>
                <w:rFonts w:hint="eastAsia" w:ascii="宋体" w:hAnsi="宋体" w:eastAsia="宋体" w:cs="宋体"/>
                <w:lang w:val="zh-CN"/>
              </w:rPr>
            </w:pPr>
          </w:p>
        </w:tc>
        <w:tc>
          <w:tcPr>
            <w:tcW w:w="1365" w:type="dxa"/>
          </w:tcPr>
          <w:p w14:paraId="5FEF77DB">
            <w:pPr>
              <w:autoSpaceDE w:val="0"/>
              <w:autoSpaceDN w:val="0"/>
              <w:adjustRightInd w:val="0"/>
              <w:spacing w:line="360" w:lineRule="auto"/>
              <w:rPr>
                <w:rFonts w:hint="eastAsia" w:ascii="宋体" w:hAnsi="宋体" w:eastAsia="宋体" w:cs="宋体"/>
                <w:lang w:val="zh-CN"/>
              </w:rPr>
            </w:pPr>
          </w:p>
        </w:tc>
        <w:tc>
          <w:tcPr>
            <w:tcW w:w="1455" w:type="dxa"/>
          </w:tcPr>
          <w:p w14:paraId="1F7681EF">
            <w:pPr>
              <w:autoSpaceDE w:val="0"/>
              <w:autoSpaceDN w:val="0"/>
              <w:adjustRightInd w:val="0"/>
              <w:spacing w:line="360" w:lineRule="auto"/>
              <w:rPr>
                <w:rFonts w:hint="eastAsia" w:ascii="宋体" w:hAnsi="宋体" w:eastAsia="宋体" w:cs="宋体"/>
                <w:lang w:val="zh-CN"/>
              </w:rPr>
            </w:pPr>
          </w:p>
        </w:tc>
        <w:tc>
          <w:tcPr>
            <w:tcW w:w="1300" w:type="dxa"/>
          </w:tcPr>
          <w:p w14:paraId="71C73C96">
            <w:pPr>
              <w:autoSpaceDE w:val="0"/>
              <w:autoSpaceDN w:val="0"/>
              <w:adjustRightInd w:val="0"/>
              <w:spacing w:line="360" w:lineRule="auto"/>
              <w:rPr>
                <w:rFonts w:hint="eastAsia" w:ascii="宋体" w:hAnsi="宋体" w:eastAsia="宋体" w:cs="宋体"/>
                <w:lang w:val="zh-CN"/>
              </w:rPr>
            </w:pPr>
          </w:p>
        </w:tc>
        <w:tc>
          <w:tcPr>
            <w:tcW w:w="1026" w:type="dxa"/>
          </w:tcPr>
          <w:p w14:paraId="40169A69">
            <w:pPr>
              <w:autoSpaceDE w:val="0"/>
              <w:autoSpaceDN w:val="0"/>
              <w:adjustRightInd w:val="0"/>
              <w:spacing w:line="360" w:lineRule="auto"/>
              <w:rPr>
                <w:rFonts w:hint="eastAsia" w:ascii="宋体" w:hAnsi="宋体" w:eastAsia="宋体" w:cs="宋体"/>
                <w:lang w:val="zh-CN"/>
              </w:rPr>
            </w:pPr>
          </w:p>
        </w:tc>
        <w:tc>
          <w:tcPr>
            <w:tcW w:w="1026" w:type="dxa"/>
          </w:tcPr>
          <w:p w14:paraId="4DDFF5D6">
            <w:pPr>
              <w:autoSpaceDE w:val="0"/>
              <w:autoSpaceDN w:val="0"/>
              <w:adjustRightInd w:val="0"/>
              <w:spacing w:line="360" w:lineRule="auto"/>
              <w:rPr>
                <w:rFonts w:hint="eastAsia" w:ascii="宋体" w:hAnsi="宋体" w:eastAsia="宋体" w:cs="宋体"/>
                <w:lang w:val="zh-CN"/>
              </w:rPr>
            </w:pPr>
          </w:p>
        </w:tc>
      </w:tr>
      <w:tr w14:paraId="3802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3" w:type="dxa"/>
          </w:tcPr>
          <w:p w14:paraId="04DB8017">
            <w:pPr>
              <w:autoSpaceDE w:val="0"/>
              <w:autoSpaceDN w:val="0"/>
              <w:adjustRightInd w:val="0"/>
              <w:spacing w:line="360" w:lineRule="auto"/>
              <w:rPr>
                <w:rFonts w:hint="eastAsia" w:ascii="宋体" w:hAnsi="宋体" w:eastAsia="宋体" w:cs="宋体"/>
                <w:lang w:val="zh-CN"/>
              </w:rPr>
            </w:pPr>
          </w:p>
        </w:tc>
        <w:tc>
          <w:tcPr>
            <w:tcW w:w="1710" w:type="dxa"/>
          </w:tcPr>
          <w:p w14:paraId="7792C86E">
            <w:pPr>
              <w:autoSpaceDE w:val="0"/>
              <w:autoSpaceDN w:val="0"/>
              <w:adjustRightInd w:val="0"/>
              <w:spacing w:line="360" w:lineRule="auto"/>
              <w:rPr>
                <w:rFonts w:hint="eastAsia" w:ascii="宋体" w:hAnsi="宋体" w:eastAsia="宋体" w:cs="宋体"/>
                <w:lang w:val="zh-CN"/>
              </w:rPr>
            </w:pPr>
          </w:p>
        </w:tc>
        <w:tc>
          <w:tcPr>
            <w:tcW w:w="1365" w:type="dxa"/>
          </w:tcPr>
          <w:p w14:paraId="6F9B2F41">
            <w:pPr>
              <w:autoSpaceDE w:val="0"/>
              <w:autoSpaceDN w:val="0"/>
              <w:adjustRightInd w:val="0"/>
              <w:spacing w:line="360" w:lineRule="auto"/>
              <w:rPr>
                <w:rFonts w:hint="eastAsia" w:ascii="宋体" w:hAnsi="宋体" w:eastAsia="宋体" w:cs="宋体"/>
                <w:lang w:val="zh-CN"/>
              </w:rPr>
            </w:pPr>
          </w:p>
        </w:tc>
        <w:tc>
          <w:tcPr>
            <w:tcW w:w="1455" w:type="dxa"/>
          </w:tcPr>
          <w:p w14:paraId="72B24390">
            <w:pPr>
              <w:autoSpaceDE w:val="0"/>
              <w:autoSpaceDN w:val="0"/>
              <w:adjustRightInd w:val="0"/>
              <w:spacing w:line="360" w:lineRule="auto"/>
              <w:rPr>
                <w:rFonts w:hint="eastAsia" w:ascii="宋体" w:hAnsi="宋体" w:eastAsia="宋体" w:cs="宋体"/>
                <w:lang w:val="zh-CN"/>
              </w:rPr>
            </w:pPr>
          </w:p>
        </w:tc>
        <w:tc>
          <w:tcPr>
            <w:tcW w:w="1300" w:type="dxa"/>
          </w:tcPr>
          <w:p w14:paraId="0194E398">
            <w:pPr>
              <w:autoSpaceDE w:val="0"/>
              <w:autoSpaceDN w:val="0"/>
              <w:adjustRightInd w:val="0"/>
              <w:spacing w:line="360" w:lineRule="auto"/>
              <w:rPr>
                <w:rFonts w:hint="eastAsia" w:ascii="宋体" w:hAnsi="宋体" w:eastAsia="宋体" w:cs="宋体"/>
                <w:lang w:val="zh-CN"/>
              </w:rPr>
            </w:pPr>
          </w:p>
        </w:tc>
        <w:tc>
          <w:tcPr>
            <w:tcW w:w="1026" w:type="dxa"/>
          </w:tcPr>
          <w:p w14:paraId="52CEE2A9">
            <w:pPr>
              <w:autoSpaceDE w:val="0"/>
              <w:autoSpaceDN w:val="0"/>
              <w:adjustRightInd w:val="0"/>
              <w:spacing w:line="360" w:lineRule="auto"/>
              <w:rPr>
                <w:rFonts w:hint="eastAsia" w:ascii="宋体" w:hAnsi="宋体" w:eastAsia="宋体" w:cs="宋体"/>
                <w:lang w:val="zh-CN"/>
              </w:rPr>
            </w:pPr>
          </w:p>
        </w:tc>
        <w:tc>
          <w:tcPr>
            <w:tcW w:w="1026" w:type="dxa"/>
          </w:tcPr>
          <w:p w14:paraId="2B52FA9B">
            <w:pPr>
              <w:autoSpaceDE w:val="0"/>
              <w:autoSpaceDN w:val="0"/>
              <w:adjustRightInd w:val="0"/>
              <w:spacing w:line="360" w:lineRule="auto"/>
              <w:rPr>
                <w:rFonts w:hint="eastAsia" w:ascii="宋体" w:hAnsi="宋体" w:eastAsia="宋体" w:cs="宋体"/>
                <w:lang w:val="zh-CN"/>
              </w:rPr>
            </w:pPr>
          </w:p>
        </w:tc>
      </w:tr>
      <w:tr w14:paraId="049C3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3" w:type="dxa"/>
          </w:tcPr>
          <w:p w14:paraId="74EF9D4F">
            <w:pPr>
              <w:autoSpaceDE w:val="0"/>
              <w:autoSpaceDN w:val="0"/>
              <w:adjustRightInd w:val="0"/>
              <w:spacing w:line="360" w:lineRule="auto"/>
              <w:rPr>
                <w:rFonts w:hint="eastAsia" w:ascii="宋体" w:hAnsi="宋体" w:eastAsia="宋体" w:cs="宋体"/>
                <w:lang w:val="zh-CN"/>
              </w:rPr>
            </w:pPr>
          </w:p>
        </w:tc>
        <w:tc>
          <w:tcPr>
            <w:tcW w:w="1710" w:type="dxa"/>
          </w:tcPr>
          <w:p w14:paraId="70D89449">
            <w:pPr>
              <w:autoSpaceDE w:val="0"/>
              <w:autoSpaceDN w:val="0"/>
              <w:adjustRightInd w:val="0"/>
              <w:spacing w:line="360" w:lineRule="auto"/>
              <w:rPr>
                <w:rFonts w:hint="eastAsia" w:ascii="宋体" w:hAnsi="宋体" w:eastAsia="宋体" w:cs="宋体"/>
                <w:lang w:val="zh-CN"/>
              </w:rPr>
            </w:pPr>
          </w:p>
        </w:tc>
        <w:tc>
          <w:tcPr>
            <w:tcW w:w="1365" w:type="dxa"/>
          </w:tcPr>
          <w:p w14:paraId="2D40AF2B">
            <w:pPr>
              <w:autoSpaceDE w:val="0"/>
              <w:autoSpaceDN w:val="0"/>
              <w:adjustRightInd w:val="0"/>
              <w:spacing w:line="360" w:lineRule="auto"/>
              <w:rPr>
                <w:rFonts w:hint="eastAsia" w:ascii="宋体" w:hAnsi="宋体" w:eastAsia="宋体" w:cs="宋体"/>
                <w:lang w:val="zh-CN"/>
              </w:rPr>
            </w:pPr>
          </w:p>
        </w:tc>
        <w:tc>
          <w:tcPr>
            <w:tcW w:w="1455" w:type="dxa"/>
          </w:tcPr>
          <w:p w14:paraId="7F6743D6">
            <w:pPr>
              <w:autoSpaceDE w:val="0"/>
              <w:autoSpaceDN w:val="0"/>
              <w:adjustRightInd w:val="0"/>
              <w:spacing w:line="360" w:lineRule="auto"/>
              <w:rPr>
                <w:rFonts w:hint="eastAsia" w:ascii="宋体" w:hAnsi="宋体" w:eastAsia="宋体" w:cs="宋体"/>
                <w:lang w:val="zh-CN"/>
              </w:rPr>
            </w:pPr>
          </w:p>
        </w:tc>
        <w:tc>
          <w:tcPr>
            <w:tcW w:w="1300" w:type="dxa"/>
          </w:tcPr>
          <w:p w14:paraId="344D2256">
            <w:pPr>
              <w:autoSpaceDE w:val="0"/>
              <w:autoSpaceDN w:val="0"/>
              <w:adjustRightInd w:val="0"/>
              <w:spacing w:line="360" w:lineRule="auto"/>
              <w:rPr>
                <w:rFonts w:hint="eastAsia" w:ascii="宋体" w:hAnsi="宋体" w:eastAsia="宋体" w:cs="宋体"/>
                <w:lang w:val="zh-CN"/>
              </w:rPr>
            </w:pPr>
          </w:p>
        </w:tc>
        <w:tc>
          <w:tcPr>
            <w:tcW w:w="1026" w:type="dxa"/>
          </w:tcPr>
          <w:p w14:paraId="43BC44BE">
            <w:pPr>
              <w:autoSpaceDE w:val="0"/>
              <w:autoSpaceDN w:val="0"/>
              <w:adjustRightInd w:val="0"/>
              <w:spacing w:line="360" w:lineRule="auto"/>
              <w:rPr>
                <w:rFonts w:hint="eastAsia" w:ascii="宋体" w:hAnsi="宋体" w:eastAsia="宋体" w:cs="宋体"/>
                <w:lang w:val="zh-CN"/>
              </w:rPr>
            </w:pPr>
          </w:p>
        </w:tc>
        <w:tc>
          <w:tcPr>
            <w:tcW w:w="1026" w:type="dxa"/>
          </w:tcPr>
          <w:p w14:paraId="00625B23">
            <w:pPr>
              <w:autoSpaceDE w:val="0"/>
              <w:autoSpaceDN w:val="0"/>
              <w:adjustRightInd w:val="0"/>
              <w:spacing w:line="360" w:lineRule="auto"/>
              <w:rPr>
                <w:rFonts w:hint="eastAsia" w:ascii="宋体" w:hAnsi="宋体" w:eastAsia="宋体" w:cs="宋体"/>
                <w:lang w:val="zh-CN"/>
              </w:rPr>
            </w:pPr>
          </w:p>
        </w:tc>
      </w:tr>
      <w:tr w14:paraId="292E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3" w:type="dxa"/>
          </w:tcPr>
          <w:p w14:paraId="6E398710">
            <w:pPr>
              <w:autoSpaceDE w:val="0"/>
              <w:autoSpaceDN w:val="0"/>
              <w:adjustRightInd w:val="0"/>
              <w:spacing w:line="360" w:lineRule="auto"/>
              <w:rPr>
                <w:rFonts w:hint="eastAsia" w:ascii="宋体" w:hAnsi="宋体" w:eastAsia="宋体" w:cs="宋体"/>
                <w:lang w:val="zh-CN"/>
              </w:rPr>
            </w:pPr>
          </w:p>
        </w:tc>
        <w:tc>
          <w:tcPr>
            <w:tcW w:w="1710" w:type="dxa"/>
          </w:tcPr>
          <w:p w14:paraId="169D7909">
            <w:pPr>
              <w:autoSpaceDE w:val="0"/>
              <w:autoSpaceDN w:val="0"/>
              <w:adjustRightInd w:val="0"/>
              <w:spacing w:line="360" w:lineRule="auto"/>
              <w:rPr>
                <w:rFonts w:hint="eastAsia" w:ascii="宋体" w:hAnsi="宋体" w:eastAsia="宋体" w:cs="宋体"/>
                <w:lang w:val="zh-CN"/>
              </w:rPr>
            </w:pPr>
          </w:p>
        </w:tc>
        <w:tc>
          <w:tcPr>
            <w:tcW w:w="1365" w:type="dxa"/>
          </w:tcPr>
          <w:p w14:paraId="6548C843">
            <w:pPr>
              <w:autoSpaceDE w:val="0"/>
              <w:autoSpaceDN w:val="0"/>
              <w:adjustRightInd w:val="0"/>
              <w:spacing w:line="360" w:lineRule="auto"/>
              <w:rPr>
                <w:rFonts w:hint="eastAsia" w:ascii="宋体" w:hAnsi="宋体" w:eastAsia="宋体" w:cs="宋体"/>
                <w:lang w:val="zh-CN"/>
              </w:rPr>
            </w:pPr>
          </w:p>
        </w:tc>
        <w:tc>
          <w:tcPr>
            <w:tcW w:w="1455" w:type="dxa"/>
          </w:tcPr>
          <w:p w14:paraId="0F0EA5E8">
            <w:pPr>
              <w:autoSpaceDE w:val="0"/>
              <w:autoSpaceDN w:val="0"/>
              <w:adjustRightInd w:val="0"/>
              <w:spacing w:line="360" w:lineRule="auto"/>
              <w:rPr>
                <w:rFonts w:hint="eastAsia" w:ascii="宋体" w:hAnsi="宋体" w:eastAsia="宋体" w:cs="宋体"/>
                <w:lang w:val="zh-CN"/>
              </w:rPr>
            </w:pPr>
          </w:p>
        </w:tc>
        <w:tc>
          <w:tcPr>
            <w:tcW w:w="1300" w:type="dxa"/>
          </w:tcPr>
          <w:p w14:paraId="5D41201C">
            <w:pPr>
              <w:autoSpaceDE w:val="0"/>
              <w:autoSpaceDN w:val="0"/>
              <w:adjustRightInd w:val="0"/>
              <w:spacing w:line="360" w:lineRule="auto"/>
              <w:rPr>
                <w:rFonts w:hint="eastAsia" w:ascii="宋体" w:hAnsi="宋体" w:eastAsia="宋体" w:cs="宋体"/>
                <w:lang w:val="zh-CN"/>
              </w:rPr>
            </w:pPr>
          </w:p>
        </w:tc>
        <w:tc>
          <w:tcPr>
            <w:tcW w:w="1026" w:type="dxa"/>
          </w:tcPr>
          <w:p w14:paraId="0E255AFB">
            <w:pPr>
              <w:autoSpaceDE w:val="0"/>
              <w:autoSpaceDN w:val="0"/>
              <w:adjustRightInd w:val="0"/>
              <w:spacing w:line="360" w:lineRule="auto"/>
              <w:rPr>
                <w:rFonts w:hint="eastAsia" w:ascii="宋体" w:hAnsi="宋体" w:eastAsia="宋体" w:cs="宋体"/>
                <w:lang w:val="zh-CN"/>
              </w:rPr>
            </w:pPr>
          </w:p>
        </w:tc>
        <w:tc>
          <w:tcPr>
            <w:tcW w:w="1026" w:type="dxa"/>
          </w:tcPr>
          <w:p w14:paraId="0E97AF65">
            <w:pPr>
              <w:autoSpaceDE w:val="0"/>
              <w:autoSpaceDN w:val="0"/>
              <w:adjustRightInd w:val="0"/>
              <w:spacing w:line="360" w:lineRule="auto"/>
              <w:rPr>
                <w:rFonts w:hint="eastAsia" w:ascii="宋体" w:hAnsi="宋体" w:eastAsia="宋体" w:cs="宋体"/>
                <w:lang w:val="zh-CN"/>
              </w:rPr>
            </w:pPr>
          </w:p>
        </w:tc>
      </w:tr>
    </w:tbl>
    <w:p w14:paraId="6061AF55">
      <w:pPr>
        <w:spacing w:line="360" w:lineRule="auto"/>
        <w:rPr>
          <w:rFonts w:hint="eastAsia" w:ascii="宋体" w:hAnsi="宋体" w:eastAsia="宋体" w:cs="宋体"/>
          <w:szCs w:val="21"/>
          <w:lang w:val="zh-CN"/>
        </w:rPr>
      </w:pPr>
    </w:p>
    <w:p w14:paraId="3E4815C2">
      <w:pPr>
        <w:spacing w:line="360" w:lineRule="auto"/>
        <w:rPr>
          <w:rFonts w:hint="eastAsia" w:ascii="宋体" w:hAnsi="宋体" w:eastAsia="宋体" w:cs="宋体"/>
          <w:u w:val="single"/>
          <w:lang w:eastAsia="zh-CN"/>
        </w:rPr>
      </w:pPr>
      <w:r>
        <w:rPr>
          <w:rFonts w:hint="eastAsia" w:ascii="宋体" w:hAnsi="宋体" w:eastAsia="宋体" w:cs="宋体"/>
          <w:lang w:eastAsia="zh-CN"/>
        </w:rPr>
        <w:t>供应商全称（</w:t>
      </w:r>
      <w:r>
        <w:rPr>
          <w:rFonts w:hint="eastAsia" w:ascii="宋体" w:hAnsi="宋体" w:eastAsia="宋体" w:cs="宋体"/>
          <w:lang w:val="en-US" w:eastAsia="zh-CN"/>
        </w:rPr>
        <w:t>加盖电子公章</w:t>
      </w:r>
      <w:r>
        <w:rPr>
          <w:rFonts w:hint="eastAsia" w:ascii="宋体" w:hAnsi="宋体" w:eastAsia="宋体" w:cs="宋体"/>
          <w:lang w:eastAsia="zh-CN"/>
        </w:rPr>
        <w:t>）：</w:t>
      </w:r>
      <w:r>
        <w:rPr>
          <w:rFonts w:hint="eastAsia" w:ascii="宋体" w:hAnsi="宋体" w:eastAsia="宋体" w:cs="宋体"/>
          <w:u w:val="single"/>
          <w:lang w:eastAsia="zh-CN"/>
        </w:rPr>
        <w:t xml:space="preserve">                         </w:t>
      </w:r>
    </w:p>
    <w:p w14:paraId="6FA6075E">
      <w:pPr>
        <w:spacing w:line="360" w:lineRule="auto"/>
        <w:rPr>
          <w:rFonts w:hint="eastAsia" w:ascii="宋体" w:hAnsi="宋体" w:eastAsia="宋体" w:cs="宋体"/>
          <w:lang w:eastAsia="zh-CN"/>
        </w:rPr>
      </w:pPr>
      <w:r>
        <w:rPr>
          <w:rFonts w:hint="eastAsia" w:ascii="宋体" w:hAnsi="宋体" w:eastAsia="宋体" w:cs="宋体"/>
          <w:lang w:eastAsia="zh-CN"/>
        </w:rPr>
        <w:t>          </w:t>
      </w:r>
    </w:p>
    <w:p w14:paraId="21A52647">
      <w:pPr>
        <w:spacing w:line="360" w:lineRule="auto"/>
        <w:rPr>
          <w:rFonts w:hint="eastAsia" w:ascii="宋体" w:hAnsi="宋体" w:eastAsia="宋体" w:cs="宋体"/>
          <w:lang w:eastAsia="zh-CN"/>
        </w:rPr>
      </w:pPr>
    </w:p>
    <w:p w14:paraId="2BC052D9">
      <w:pPr>
        <w:rPr>
          <w:rFonts w:hint="eastAsia" w:ascii="宋体" w:hAnsi="宋体" w:eastAsia="宋体" w:cs="宋体"/>
          <w:sz w:val="32"/>
          <w:szCs w:val="32"/>
          <w:highlight w:val="none"/>
          <w:lang w:val="en-US" w:eastAsia="zh-CN"/>
        </w:rPr>
      </w:pPr>
      <w:bookmarkStart w:id="313" w:name="_Toc530"/>
      <w:bookmarkStart w:id="314" w:name="_Toc14448"/>
      <w:bookmarkStart w:id="315" w:name="_Toc3551"/>
      <w:bookmarkStart w:id="316" w:name="_Toc13919"/>
      <w:bookmarkStart w:id="317" w:name="_Toc31355"/>
      <w:bookmarkStart w:id="318" w:name="_Toc29828"/>
      <w:bookmarkStart w:id="319" w:name="_Toc19088"/>
      <w:bookmarkStart w:id="320" w:name="_Toc19696"/>
      <w:bookmarkStart w:id="321" w:name="_Toc31399"/>
      <w:bookmarkStart w:id="322" w:name="_Toc28340"/>
      <w:bookmarkStart w:id="323" w:name="_Toc12212"/>
      <w:bookmarkStart w:id="324" w:name="_Toc31539"/>
      <w:r>
        <w:rPr>
          <w:rFonts w:hint="eastAsia" w:ascii="宋体" w:hAnsi="宋体" w:eastAsia="宋体" w:cs="宋体"/>
          <w:sz w:val="32"/>
          <w:szCs w:val="32"/>
          <w:highlight w:val="none"/>
          <w:lang w:val="en-US" w:eastAsia="zh-CN"/>
        </w:rPr>
        <w:br w:type="page"/>
      </w:r>
    </w:p>
    <w:p w14:paraId="1BA5210B">
      <w:pPr>
        <w:jc w:val="center"/>
        <w:outlineLvl w:val="2"/>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三、</w:t>
      </w:r>
      <w:bookmarkEnd w:id="313"/>
      <w:bookmarkEnd w:id="314"/>
      <w:bookmarkEnd w:id="315"/>
      <w:bookmarkEnd w:id="316"/>
      <w:bookmarkEnd w:id="317"/>
      <w:bookmarkEnd w:id="318"/>
      <w:bookmarkEnd w:id="319"/>
      <w:bookmarkEnd w:id="320"/>
      <w:bookmarkEnd w:id="321"/>
      <w:bookmarkEnd w:id="322"/>
      <w:bookmarkEnd w:id="323"/>
      <w:bookmarkEnd w:id="324"/>
      <w:r>
        <w:rPr>
          <w:rFonts w:hint="eastAsia" w:ascii="宋体" w:hAnsi="宋体" w:eastAsia="宋体" w:cs="宋体"/>
          <w:sz w:val="32"/>
          <w:szCs w:val="32"/>
          <w:highlight w:val="none"/>
          <w:lang w:val="en-US" w:eastAsia="zh-CN"/>
        </w:rPr>
        <w:t>项目服务方案</w:t>
      </w:r>
    </w:p>
    <w:p w14:paraId="77BE8E8D">
      <w:pPr>
        <w:pStyle w:val="27"/>
        <w:spacing w:before="0" w:after="0"/>
        <w:rPr>
          <w:rFonts w:hint="eastAsia" w:ascii="宋体" w:hAnsi="宋体" w:eastAsia="宋体" w:cs="宋体"/>
          <w:lang w:eastAsia="zh-CN"/>
        </w:rPr>
      </w:pPr>
    </w:p>
    <w:p w14:paraId="4B89D031">
      <w:pPr>
        <w:spacing w:line="360" w:lineRule="auto"/>
        <w:ind w:firstLine="480" w:firstLineChars="200"/>
        <w:textAlignment w:val="baseline"/>
        <w:rPr>
          <w:rFonts w:hint="eastAsia" w:ascii="宋体" w:hAnsi="宋体" w:eastAsia="宋体" w:cs="宋体"/>
          <w:lang w:eastAsia="zh-CN"/>
        </w:rPr>
      </w:pPr>
      <w:r>
        <w:rPr>
          <w:rFonts w:hint="eastAsia" w:ascii="宋体" w:hAnsi="宋体" w:eastAsia="宋体" w:cs="宋体"/>
          <w:lang w:eastAsia="zh-CN"/>
        </w:rPr>
        <w:t>本项应包含且不限于下列内容：</w:t>
      </w:r>
    </w:p>
    <w:p w14:paraId="2D737EA7">
      <w:pPr>
        <w:spacing w:line="360" w:lineRule="auto"/>
        <w:ind w:firstLine="960" w:firstLineChars="400"/>
        <w:textAlignment w:val="baseline"/>
        <w:rPr>
          <w:rFonts w:hint="eastAsia" w:ascii="宋体" w:hAnsi="宋体" w:eastAsia="宋体" w:cs="宋体"/>
          <w:lang w:eastAsia="zh-CN"/>
        </w:rPr>
      </w:pPr>
      <w:r>
        <w:rPr>
          <w:rFonts w:hint="eastAsia" w:ascii="宋体" w:hAnsi="宋体" w:eastAsia="宋体" w:cs="宋体"/>
          <w:lang w:eastAsia="zh-CN"/>
        </w:rPr>
        <w:t>项目服务方案、服务承诺及具体措施、服务进度等。</w:t>
      </w:r>
    </w:p>
    <w:p w14:paraId="1A365A3A">
      <w:pPr>
        <w:spacing w:line="360" w:lineRule="auto"/>
        <w:ind w:firstLine="480" w:firstLineChars="200"/>
        <w:textAlignment w:val="baseline"/>
        <w:rPr>
          <w:rFonts w:hint="eastAsia" w:ascii="宋体" w:hAnsi="宋体" w:eastAsia="宋体" w:cs="宋体"/>
          <w:lang w:eastAsia="zh-CN"/>
        </w:rPr>
      </w:pPr>
    </w:p>
    <w:p w14:paraId="6D92949E">
      <w:pPr>
        <w:spacing w:line="360" w:lineRule="auto"/>
        <w:ind w:firstLine="480" w:firstLineChars="200"/>
        <w:textAlignment w:val="baseline"/>
        <w:rPr>
          <w:rFonts w:hint="eastAsia" w:ascii="宋体" w:hAnsi="宋体" w:eastAsia="宋体" w:cs="宋体"/>
          <w:lang w:eastAsia="zh-CN"/>
        </w:rPr>
      </w:pPr>
    </w:p>
    <w:p w14:paraId="46FFA436">
      <w:pPr>
        <w:spacing w:line="360" w:lineRule="auto"/>
        <w:rPr>
          <w:rFonts w:hint="eastAsia" w:ascii="宋体" w:hAnsi="宋体" w:eastAsia="宋体" w:cs="宋体"/>
          <w:u w:val="single"/>
          <w:lang w:eastAsia="zh-CN"/>
        </w:rPr>
      </w:pPr>
      <w:bookmarkStart w:id="325" w:name="_Toc25923"/>
      <w:bookmarkStart w:id="326" w:name="_Toc26426"/>
      <w:bookmarkStart w:id="327" w:name="_Toc26642"/>
      <w:bookmarkStart w:id="328" w:name="_Toc24617"/>
      <w:bookmarkStart w:id="329" w:name="_Toc29004"/>
      <w:bookmarkStart w:id="330" w:name="_Toc19845"/>
      <w:bookmarkStart w:id="331" w:name="_Toc12299"/>
      <w:bookmarkStart w:id="332" w:name="_Toc24152"/>
      <w:bookmarkStart w:id="333" w:name="_Toc11320"/>
      <w:bookmarkStart w:id="334" w:name="_Toc6374"/>
      <w:r>
        <w:rPr>
          <w:rFonts w:hint="eastAsia" w:ascii="宋体" w:hAnsi="宋体" w:eastAsia="宋体" w:cs="宋体"/>
          <w:lang w:eastAsia="zh-CN"/>
        </w:rPr>
        <w:t>供应商全称（</w:t>
      </w:r>
      <w:r>
        <w:rPr>
          <w:rFonts w:hint="eastAsia" w:ascii="宋体" w:hAnsi="宋体" w:eastAsia="宋体" w:cs="宋体"/>
          <w:lang w:val="en-US" w:eastAsia="zh-CN"/>
        </w:rPr>
        <w:t>加盖电子公章</w:t>
      </w:r>
      <w:r>
        <w:rPr>
          <w:rFonts w:hint="eastAsia" w:ascii="宋体" w:hAnsi="宋体" w:eastAsia="宋体" w:cs="宋体"/>
          <w:lang w:eastAsia="zh-CN"/>
        </w:rPr>
        <w:t>）：</w:t>
      </w:r>
      <w:r>
        <w:rPr>
          <w:rFonts w:hint="eastAsia" w:ascii="宋体" w:hAnsi="宋体" w:eastAsia="宋体" w:cs="宋体"/>
          <w:u w:val="single"/>
          <w:lang w:eastAsia="zh-CN"/>
        </w:rPr>
        <w:t xml:space="preserve">                         </w:t>
      </w:r>
    </w:p>
    <w:p w14:paraId="4B7FDD0A">
      <w:pPr>
        <w:spacing w:before="0" w:after="0" w:line="360" w:lineRule="auto"/>
        <w:jc w:val="center"/>
        <w:outlineLvl w:val="9"/>
        <w:rPr>
          <w:rFonts w:hint="eastAsia" w:ascii="宋体" w:hAnsi="宋体" w:eastAsia="宋体" w:cs="宋体"/>
          <w:sz w:val="44"/>
          <w:szCs w:val="44"/>
          <w:lang w:eastAsia="zh-CN"/>
        </w:rPr>
      </w:pPr>
    </w:p>
    <w:p w14:paraId="7FBF8E8A">
      <w:pPr>
        <w:jc w:val="center"/>
        <w:outlineLvl w:val="9"/>
        <w:rPr>
          <w:rFonts w:hint="eastAsia" w:ascii="宋体" w:hAnsi="宋体" w:eastAsia="宋体" w:cs="宋体"/>
          <w:sz w:val="32"/>
          <w:szCs w:val="32"/>
          <w:highlight w:val="none"/>
          <w:lang w:val="en-US" w:eastAsia="zh-CN"/>
        </w:rPr>
      </w:pPr>
    </w:p>
    <w:p w14:paraId="62981FD0">
      <w:pPr>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br w:type="page"/>
      </w:r>
    </w:p>
    <w:p w14:paraId="61D32C69">
      <w:pPr>
        <w:jc w:val="center"/>
        <w:outlineLvl w:val="2"/>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四、拟投入本项目团队人员</w:t>
      </w:r>
      <w:bookmarkEnd w:id="325"/>
      <w:bookmarkEnd w:id="326"/>
      <w:bookmarkEnd w:id="327"/>
      <w:bookmarkEnd w:id="328"/>
      <w:bookmarkEnd w:id="329"/>
      <w:bookmarkEnd w:id="330"/>
      <w:bookmarkEnd w:id="331"/>
      <w:bookmarkEnd w:id="332"/>
      <w:bookmarkEnd w:id="333"/>
      <w:bookmarkEnd w:id="334"/>
    </w:p>
    <w:p w14:paraId="021488CF">
      <w:pPr>
        <w:spacing w:line="360" w:lineRule="auto"/>
        <w:jc w:val="center"/>
        <w:rPr>
          <w:rStyle w:val="29"/>
          <w:rFonts w:hint="eastAsia" w:ascii="宋体" w:hAnsi="宋体" w:eastAsia="宋体" w:cs="宋体"/>
          <w:sz w:val="44"/>
          <w:szCs w:val="44"/>
          <w:lang w:eastAsia="zh-CN"/>
        </w:rPr>
      </w:pPr>
      <w:bookmarkStart w:id="335" w:name="_Toc27218"/>
      <w:bookmarkStart w:id="336" w:name="_Toc7289"/>
      <w:bookmarkStart w:id="337" w:name="_Toc10213"/>
      <w:bookmarkStart w:id="338" w:name="_Toc18277"/>
      <w:bookmarkStart w:id="339" w:name="_Toc9253"/>
      <w:bookmarkStart w:id="340" w:name="_Toc12675"/>
      <w:bookmarkStart w:id="341" w:name="_Toc24950"/>
      <w:bookmarkStart w:id="342" w:name="_Toc14520"/>
      <w:bookmarkStart w:id="343" w:name="_Toc28658"/>
      <w:bookmarkStart w:id="344" w:name="_Toc16699"/>
      <w:bookmarkStart w:id="345" w:name="_Toc26782"/>
      <w:bookmarkStart w:id="346" w:name="_Toc29400"/>
      <w:bookmarkStart w:id="347" w:name="_Toc19147"/>
      <w:bookmarkStart w:id="348" w:name="_Toc11512"/>
      <w:bookmarkStart w:id="349" w:name="_Toc30750"/>
      <w:bookmarkStart w:id="350" w:name="_Toc17446"/>
      <w:bookmarkStart w:id="351" w:name="_Toc25176"/>
    </w:p>
    <w:tbl>
      <w:tblPr>
        <w:tblStyle w:val="22"/>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560"/>
        <w:gridCol w:w="825"/>
        <w:gridCol w:w="794"/>
        <w:gridCol w:w="1015"/>
        <w:gridCol w:w="1956"/>
        <w:gridCol w:w="1921"/>
      </w:tblGrid>
      <w:tr w14:paraId="3E662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24" w:type="dxa"/>
            <w:noWrap w:val="0"/>
            <w:vAlign w:val="center"/>
          </w:tcPr>
          <w:p w14:paraId="5522C818">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序号</w:t>
            </w:r>
          </w:p>
        </w:tc>
        <w:tc>
          <w:tcPr>
            <w:tcW w:w="1560" w:type="dxa"/>
            <w:noWrap w:val="0"/>
            <w:vAlign w:val="center"/>
          </w:tcPr>
          <w:p w14:paraId="4BAF99AF">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姓名</w:t>
            </w:r>
          </w:p>
        </w:tc>
        <w:tc>
          <w:tcPr>
            <w:tcW w:w="825" w:type="dxa"/>
            <w:noWrap w:val="0"/>
            <w:vAlign w:val="center"/>
          </w:tcPr>
          <w:p w14:paraId="61EE4224">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性别</w:t>
            </w:r>
          </w:p>
        </w:tc>
        <w:tc>
          <w:tcPr>
            <w:tcW w:w="794" w:type="dxa"/>
            <w:noWrap w:val="0"/>
            <w:vAlign w:val="center"/>
          </w:tcPr>
          <w:p w14:paraId="42D24BEF">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年龄</w:t>
            </w:r>
          </w:p>
        </w:tc>
        <w:tc>
          <w:tcPr>
            <w:tcW w:w="1015" w:type="dxa"/>
            <w:noWrap w:val="0"/>
            <w:vAlign w:val="center"/>
          </w:tcPr>
          <w:p w14:paraId="165F262D">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专业</w:t>
            </w:r>
          </w:p>
        </w:tc>
        <w:tc>
          <w:tcPr>
            <w:tcW w:w="1956" w:type="dxa"/>
            <w:tcBorders>
              <w:right w:val="single" w:color="000000" w:sz="4" w:space="0"/>
            </w:tcBorders>
            <w:noWrap w:val="0"/>
            <w:vAlign w:val="center"/>
          </w:tcPr>
          <w:p w14:paraId="0B30F95D">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相关证书</w:t>
            </w:r>
          </w:p>
        </w:tc>
        <w:tc>
          <w:tcPr>
            <w:tcW w:w="1921" w:type="dxa"/>
            <w:tcBorders>
              <w:left w:val="single" w:color="000000" w:sz="4" w:space="0"/>
              <w:right w:val="single" w:color="000000" w:sz="4" w:space="0"/>
            </w:tcBorders>
            <w:noWrap w:val="0"/>
            <w:vAlign w:val="center"/>
          </w:tcPr>
          <w:p w14:paraId="7171DCE0">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从事本工作时间</w:t>
            </w:r>
          </w:p>
        </w:tc>
      </w:tr>
      <w:tr w14:paraId="60E8D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24" w:type="dxa"/>
            <w:noWrap w:val="0"/>
            <w:vAlign w:val="center"/>
          </w:tcPr>
          <w:p w14:paraId="4B549A72">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1</w:t>
            </w:r>
          </w:p>
        </w:tc>
        <w:tc>
          <w:tcPr>
            <w:tcW w:w="1560" w:type="dxa"/>
            <w:noWrap w:val="0"/>
            <w:vAlign w:val="center"/>
          </w:tcPr>
          <w:p w14:paraId="684F8AFB">
            <w:pPr>
              <w:spacing w:line="360" w:lineRule="auto"/>
              <w:rPr>
                <w:rFonts w:hint="eastAsia" w:ascii="宋体" w:hAnsi="宋体" w:eastAsia="宋体" w:cs="宋体"/>
                <w:b/>
                <w:color w:val="000000"/>
                <w:sz w:val="24"/>
                <w:szCs w:val="24"/>
              </w:rPr>
            </w:pPr>
          </w:p>
        </w:tc>
        <w:tc>
          <w:tcPr>
            <w:tcW w:w="825" w:type="dxa"/>
            <w:noWrap w:val="0"/>
            <w:vAlign w:val="center"/>
          </w:tcPr>
          <w:p w14:paraId="182AE19B">
            <w:pPr>
              <w:spacing w:line="360" w:lineRule="auto"/>
              <w:rPr>
                <w:rFonts w:hint="eastAsia" w:ascii="宋体" w:hAnsi="宋体" w:eastAsia="宋体" w:cs="宋体"/>
                <w:b/>
                <w:color w:val="000000"/>
                <w:sz w:val="24"/>
                <w:szCs w:val="24"/>
              </w:rPr>
            </w:pPr>
          </w:p>
        </w:tc>
        <w:tc>
          <w:tcPr>
            <w:tcW w:w="794" w:type="dxa"/>
            <w:noWrap w:val="0"/>
            <w:vAlign w:val="center"/>
          </w:tcPr>
          <w:p w14:paraId="50FAE2CA">
            <w:pPr>
              <w:spacing w:line="360" w:lineRule="auto"/>
              <w:rPr>
                <w:rFonts w:hint="eastAsia" w:ascii="宋体" w:hAnsi="宋体" w:eastAsia="宋体" w:cs="宋体"/>
                <w:b/>
                <w:color w:val="000000"/>
                <w:sz w:val="24"/>
                <w:szCs w:val="24"/>
              </w:rPr>
            </w:pPr>
          </w:p>
        </w:tc>
        <w:tc>
          <w:tcPr>
            <w:tcW w:w="1015" w:type="dxa"/>
            <w:noWrap w:val="0"/>
            <w:vAlign w:val="center"/>
          </w:tcPr>
          <w:p w14:paraId="4504C7F8">
            <w:pPr>
              <w:spacing w:line="360" w:lineRule="auto"/>
              <w:rPr>
                <w:rFonts w:hint="eastAsia" w:ascii="宋体" w:hAnsi="宋体" w:eastAsia="宋体" w:cs="宋体"/>
                <w:b/>
                <w:color w:val="000000"/>
                <w:sz w:val="24"/>
                <w:szCs w:val="24"/>
              </w:rPr>
            </w:pPr>
          </w:p>
        </w:tc>
        <w:tc>
          <w:tcPr>
            <w:tcW w:w="1956" w:type="dxa"/>
            <w:tcBorders>
              <w:right w:val="single" w:color="000000" w:sz="4" w:space="0"/>
            </w:tcBorders>
            <w:noWrap w:val="0"/>
            <w:vAlign w:val="center"/>
          </w:tcPr>
          <w:p w14:paraId="5CE99C50">
            <w:pPr>
              <w:spacing w:line="360" w:lineRule="auto"/>
              <w:rPr>
                <w:rFonts w:hint="eastAsia" w:ascii="宋体" w:hAnsi="宋体" w:eastAsia="宋体" w:cs="宋体"/>
                <w:b/>
                <w:color w:val="000000"/>
                <w:sz w:val="24"/>
                <w:szCs w:val="24"/>
              </w:rPr>
            </w:pPr>
          </w:p>
        </w:tc>
        <w:tc>
          <w:tcPr>
            <w:tcW w:w="1921" w:type="dxa"/>
            <w:tcBorders>
              <w:left w:val="single" w:color="000000" w:sz="4" w:space="0"/>
              <w:right w:val="single" w:color="000000" w:sz="4" w:space="0"/>
            </w:tcBorders>
            <w:noWrap w:val="0"/>
            <w:vAlign w:val="center"/>
          </w:tcPr>
          <w:p w14:paraId="61803BD8">
            <w:pPr>
              <w:spacing w:line="360" w:lineRule="auto"/>
              <w:rPr>
                <w:rFonts w:hint="eastAsia" w:ascii="宋体" w:hAnsi="宋体" w:eastAsia="宋体" w:cs="宋体"/>
                <w:b/>
                <w:color w:val="000000"/>
                <w:sz w:val="24"/>
                <w:szCs w:val="24"/>
              </w:rPr>
            </w:pPr>
          </w:p>
        </w:tc>
      </w:tr>
      <w:tr w14:paraId="4DB11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24" w:type="dxa"/>
            <w:noWrap w:val="0"/>
            <w:vAlign w:val="center"/>
          </w:tcPr>
          <w:p w14:paraId="2D7D648D">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2</w:t>
            </w:r>
          </w:p>
        </w:tc>
        <w:tc>
          <w:tcPr>
            <w:tcW w:w="1560" w:type="dxa"/>
            <w:noWrap w:val="0"/>
            <w:vAlign w:val="center"/>
          </w:tcPr>
          <w:p w14:paraId="0B1FA0CE">
            <w:pPr>
              <w:spacing w:line="360" w:lineRule="auto"/>
              <w:rPr>
                <w:rFonts w:hint="eastAsia" w:ascii="宋体" w:hAnsi="宋体" w:eastAsia="宋体" w:cs="宋体"/>
                <w:b/>
                <w:color w:val="000000"/>
                <w:sz w:val="24"/>
                <w:szCs w:val="24"/>
              </w:rPr>
            </w:pPr>
          </w:p>
        </w:tc>
        <w:tc>
          <w:tcPr>
            <w:tcW w:w="825" w:type="dxa"/>
            <w:noWrap w:val="0"/>
            <w:vAlign w:val="center"/>
          </w:tcPr>
          <w:p w14:paraId="42A3F1D9">
            <w:pPr>
              <w:spacing w:line="360" w:lineRule="auto"/>
              <w:rPr>
                <w:rFonts w:hint="eastAsia" w:ascii="宋体" w:hAnsi="宋体" w:eastAsia="宋体" w:cs="宋体"/>
                <w:b/>
                <w:color w:val="000000"/>
                <w:sz w:val="24"/>
                <w:szCs w:val="24"/>
              </w:rPr>
            </w:pPr>
          </w:p>
        </w:tc>
        <w:tc>
          <w:tcPr>
            <w:tcW w:w="794" w:type="dxa"/>
            <w:noWrap w:val="0"/>
            <w:vAlign w:val="center"/>
          </w:tcPr>
          <w:p w14:paraId="4025D938">
            <w:pPr>
              <w:spacing w:line="360" w:lineRule="auto"/>
              <w:rPr>
                <w:rFonts w:hint="eastAsia" w:ascii="宋体" w:hAnsi="宋体" w:eastAsia="宋体" w:cs="宋体"/>
                <w:b/>
                <w:color w:val="000000"/>
                <w:sz w:val="24"/>
                <w:szCs w:val="24"/>
              </w:rPr>
            </w:pPr>
          </w:p>
        </w:tc>
        <w:tc>
          <w:tcPr>
            <w:tcW w:w="1015" w:type="dxa"/>
            <w:noWrap w:val="0"/>
            <w:vAlign w:val="center"/>
          </w:tcPr>
          <w:p w14:paraId="4F252E1D">
            <w:pPr>
              <w:spacing w:line="360" w:lineRule="auto"/>
              <w:rPr>
                <w:rFonts w:hint="eastAsia" w:ascii="宋体" w:hAnsi="宋体" w:eastAsia="宋体" w:cs="宋体"/>
                <w:b/>
                <w:color w:val="000000"/>
                <w:sz w:val="24"/>
                <w:szCs w:val="24"/>
              </w:rPr>
            </w:pPr>
          </w:p>
        </w:tc>
        <w:tc>
          <w:tcPr>
            <w:tcW w:w="1956" w:type="dxa"/>
            <w:tcBorders>
              <w:right w:val="single" w:color="000000" w:sz="4" w:space="0"/>
            </w:tcBorders>
            <w:noWrap w:val="0"/>
            <w:vAlign w:val="center"/>
          </w:tcPr>
          <w:p w14:paraId="787C5E89">
            <w:pPr>
              <w:spacing w:line="360" w:lineRule="auto"/>
              <w:rPr>
                <w:rFonts w:hint="eastAsia" w:ascii="宋体" w:hAnsi="宋体" w:eastAsia="宋体" w:cs="宋体"/>
                <w:b/>
                <w:color w:val="000000"/>
                <w:sz w:val="24"/>
                <w:szCs w:val="24"/>
              </w:rPr>
            </w:pPr>
          </w:p>
        </w:tc>
        <w:tc>
          <w:tcPr>
            <w:tcW w:w="1921" w:type="dxa"/>
            <w:tcBorders>
              <w:left w:val="single" w:color="000000" w:sz="4" w:space="0"/>
              <w:right w:val="single" w:color="000000" w:sz="4" w:space="0"/>
            </w:tcBorders>
            <w:noWrap w:val="0"/>
            <w:vAlign w:val="center"/>
          </w:tcPr>
          <w:p w14:paraId="1CA5068C">
            <w:pPr>
              <w:spacing w:line="360" w:lineRule="auto"/>
              <w:rPr>
                <w:rFonts w:hint="eastAsia" w:ascii="宋体" w:hAnsi="宋体" w:eastAsia="宋体" w:cs="宋体"/>
                <w:b/>
                <w:color w:val="000000"/>
                <w:sz w:val="24"/>
                <w:szCs w:val="24"/>
              </w:rPr>
            </w:pPr>
          </w:p>
        </w:tc>
      </w:tr>
      <w:tr w14:paraId="443DC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24" w:type="dxa"/>
            <w:noWrap w:val="0"/>
            <w:vAlign w:val="center"/>
          </w:tcPr>
          <w:p w14:paraId="18A0A919">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3</w:t>
            </w:r>
          </w:p>
        </w:tc>
        <w:tc>
          <w:tcPr>
            <w:tcW w:w="1560" w:type="dxa"/>
            <w:noWrap w:val="0"/>
            <w:vAlign w:val="center"/>
          </w:tcPr>
          <w:p w14:paraId="7708C8A7">
            <w:pPr>
              <w:spacing w:line="360" w:lineRule="auto"/>
              <w:rPr>
                <w:rFonts w:hint="eastAsia" w:ascii="宋体" w:hAnsi="宋体" w:eastAsia="宋体" w:cs="宋体"/>
                <w:b/>
                <w:color w:val="000000"/>
                <w:sz w:val="24"/>
                <w:szCs w:val="24"/>
              </w:rPr>
            </w:pPr>
          </w:p>
        </w:tc>
        <w:tc>
          <w:tcPr>
            <w:tcW w:w="825" w:type="dxa"/>
            <w:noWrap w:val="0"/>
            <w:vAlign w:val="center"/>
          </w:tcPr>
          <w:p w14:paraId="59A313D3">
            <w:pPr>
              <w:spacing w:line="360" w:lineRule="auto"/>
              <w:rPr>
                <w:rFonts w:hint="eastAsia" w:ascii="宋体" w:hAnsi="宋体" w:eastAsia="宋体" w:cs="宋体"/>
                <w:b/>
                <w:color w:val="000000"/>
                <w:sz w:val="24"/>
                <w:szCs w:val="24"/>
              </w:rPr>
            </w:pPr>
          </w:p>
        </w:tc>
        <w:tc>
          <w:tcPr>
            <w:tcW w:w="794" w:type="dxa"/>
            <w:noWrap w:val="0"/>
            <w:vAlign w:val="center"/>
          </w:tcPr>
          <w:p w14:paraId="1627ACF4">
            <w:pPr>
              <w:spacing w:line="360" w:lineRule="auto"/>
              <w:rPr>
                <w:rFonts w:hint="eastAsia" w:ascii="宋体" w:hAnsi="宋体" w:eastAsia="宋体" w:cs="宋体"/>
                <w:b/>
                <w:color w:val="000000"/>
                <w:sz w:val="24"/>
                <w:szCs w:val="24"/>
              </w:rPr>
            </w:pPr>
          </w:p>
        </w:tc>
        <w:tc>
          <w:tcPr>
            <w:tcW w:w="1015" w:type="dxa"/>
            <w:noWrap w:val="0"/>
            <w:vAlign w:val="center"/>
          </w:tcPr>
          <w:p w14:paraId="14C0CB2D">
            <w:pPr>
              <w:spacing w:line="360" w:lineRule="auto"/>
              <w:rPr>
                <w:rFonts w:hint="eastAsia" w:ascii="宋体" w:hAnsi="宋体" w:eastAsia="宋体" w:cs="宋体"/>
                <w:b/>
                <w:color w:val="000000"/>
                <w:sz w:val="24"/>
                <w:szCs w:val="24"/>
              </w:rPr>
            </w:pPr>
          </w:p>
        </w:tc>
        <w:tc>
          <w:tcPr>
            <w:tcW w:w="1956" w:type="dxa"/>
            <w:tcBorders>
              <w:right w:val="single" w:color="000000" w:sz="4" w:space="0"/>
            </w:tcBorders>
            <w:noWrap w:val="0"/>
            <w:vAlign w:val="center"/>
          </w:tcPr>
          <w:p w14:paraId="6CABBB5E">
            <w:pPr>
              <w:spacing w:line="360" w:lineRule="auto"/>
              <w:rPr>
                <w:rFonts w:hint="eastAsia" w:ascii="宋体" w:hAnsi="宋体" w:eastAsia="宋体" w:cs="宋体"/>
                <w:b/>
                <w:color w:val="000000"/>
                <w:sz w:val="24"/>
                <w:szCs w:val="24"/>
              </w:rPr>
            </w:pPr>
          </w:p>
        </w:tc>
        <w:tc>
          <w:tcPr>
            <w:tcW w:w="1921" w:type="dxa"/>
            <w:tcBorders>
              <w:left w:val="single" w:color="000000" w:sz="4" w:space="0"/>
              <w:right w:val="single" w:color="000000" w:sz="4" w:space="0"/>
            </w:tcBorders>
            <w:noWrap w:val="0"/>
            <w:vAlign w:val="center"/>
          </w:tcPr>
          <w:p w14:paraId="2FA88617">
            <w:pPr>
              <w:spacing w:line="360" w:lineRule="auto"/>
              <w:rPr>
                <w:rFonts w:hint="eastAsia" w:ascii="宋体" w:hAnsi="宋体" w:eastAsia="宋体" w:cs="宋体"/>
                <w:b/>
                <w:color w:val="000000"/>
                <w:sz w:val="24"/>
                <w:szCs w:val="24"/>
              </w:rPr>
            </w:pPr>
          </w:p>
        </w:tc>
      </w:tr>
      <w:tr w14:paraId="2CBEB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24" w:type="dxa"/>
            <w:noWrap w:val="0"/>
            <w:vAlign w:val="center"/>
          </w:tcPr>
          <w:p w14:paraId="28060F4F">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4</w:t>
            </w:r>
          </w:p>
        </w:tc>
        <w:tc>
          <w:tcPr>
            <w:tcW w:w="1560" w:type="dxa"/>
            <w:noWrap w:val="0"/>
            <w:vAlign w:val="center"/>
          </w:tcPr>
          <w:p w14:paraId="094A5453">
            <w:pPr>
              <w:spacing w:line="360" w:lineRule="auto"/>
              <w:rPr>
                <w:rFonts w:hint="eastAsia" w:ascii="宋体" w:hAnsi="宋体" w:eastAsia="宋体" w:cs="宋体"/>
                <w:b/>
                <w:color w:val="000000"/>
                <w:sz w:val="24"/>
                <w:szCs w:val="24"/>
              </w:rPr>
            </w:pPr>
          </w:p>
        </w:tc>
        <w:tc>
          <w:tcPr>
            <w:tcW w:w="825" w:type="dxa"/>
            <w:noWrap w:val="0"/>
            <w:vAlign w:val="center"/>
          </w:tcPr>
          <w:p w14:paraId="31A5D17D">
            <w:pPr>
              <w:spacing w:line="360" w:lineRule="auto"/>
              <w:rPr>
                <w:rFonts w:hint="eastAsia" w:ascii="宋体" w:hAnsi="宋体" w:eastAsia="宋体" w:cs="宋体"/>
                <w:b/>
                <w:color w:val="000000"/>
                <w:sz w:val="24"/>
                <w:szCs w:val="24"/>
              </w:rPr>
            </w:pPr>
          </w:p>
        </w:tc>
        <w:tc>
          <w:tcPr>
            <w:tcW w:w="794" w:type="dxa"/>
            <w:noWrap w:val="0"/>
            <w:vAlign w:val="center"/>
          </w:tcPr>
          <w:p w14:paraId="3B240EAD">
            <w:pPr>
              <w:spacing w:line="360" w:lineRule="auto"/>
              <w:rPr>
                <w:rFonts w:hint="eastAsia" w:ascii="宋体" w:hAnsi="宋体" w:eastAsia="宋体" w:cs="宋体"/>
                <w:b/>
                <w:color w:val="000000"/>
                <w:sz w:val="24"/>
                <w:szCs w:val="24"/>
              </w:rPr>
            </w:pPr>
          </w:p>
        </w:tc>
        <w:tc>
          <w:tcPr>
            <w:tcW w:w="1015" w:type="dxa"/>
            <w:noWrap w:val="0"/>
            <w:vAlign w:val="center"/>
          </w:tcPr>
          <w:p w14:paraId="5843578D">
            <w:pPr>
              <w:spacing w:line="360" w:lineRule="auto"/>
              <w:rPr>
                <w:rFonts w:hint="eastAsia" w:ascii="宋体" w:hAnsi="宋体" w:eastAsia="宋体" w:cs="宋体"/>
                <w:b/>
                <w:color w:val="000000"/>
                <w:sz w:val="24"/>
                <w:szCs w:val="24"/>
              </w:rPr>
            </w:pPr>
          </w:p>
        </w:tc>
        <w:tc>
          <w:tcPr>
            <w:tcW w:w="1956" w:type="dxa"/>
            <w:tcBorders>
              <w:right w:val="single" w:color="000000" w:sz="4" w:space="0"/>
            </w:tcBorders>
            <w:noWrap w:val="0"/>
            <w:vAlign w:val="center"/>
          </w:tcPr>
          <w:p w14:paraId="1AEB7FA8">
            <w:pPr>
              <w:spacing w:line="360" w:lineRule="auto"/>
              <w:rPr>
                <w:rFonts w:hint="eastAsia" w:ascii="宋体" w:hAnsi="宋体" w:eastAsia="宋体" w:cs="宋体"/>
                <w:b/>
                <w:color w:val="000000"/>
                <w:sz w:val="24"/>
                <w:szCs w:val="24"/>
              </w:rPr>
            </w:pPr>
          </w:p>
        </w:tc>
        <w:tc>
          <w:tcPr>
            <w:tcW w:w="1921" w:type="dxa"/>
            <w:tcBorders>
              <w:left w:val="single" w:color="000000" w:sz="4" w:space="0"/>
              <w:right w:val="single" w:color="000000" w:sz="4" w:space="0"/>
            </w:tcBorders>
            <w:noWrap w:val="0"/>
            <w:vAlign w:val="center"/>
          </w:tcPr>
          <w:p w14:paraId="6B6BC139">
            <w:pPr>
              <w:spacing w:line="360" w:lineRule="auto"/>
              <w:rPr>
                <w:rFonts w:hint="eastAsia" w:ascii="宋体" w:hAnsi="宋体" w:eastAsia="宋体" w:cs="宋体"/>
                <w:b/>
                <w:color w:val="000000"/>
                <w:sz w:val="24"/>
                <w:szCs w:val="24"/>
              </w:rPr>
            </w:pPr>
          </w:p>
        </w:tc>
      </w:tr>
      <w:tr w14:paraId="429D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24" w:type="dxa"/>
            <w:noWrap w:val="0"/>
            <w:vAlign w:val="center"/>
          </w:tcPr>
          <w:p w14:paraId="0508D77B">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5</w:t>
            </w:r>
          </w:p>
        </w:tc>
        <w:tc>
          <w:tcPr>
            <w:tcW w:w="1560" w:type="dxa"/>
            <w:noWrap w:val="0"/>
            <w:vAlign w:val="center"/>
          </w:tcPr>
          <w:p w14:paraId="39F041AF">
            <w:pPr>
              <w:spacing w:line="360" w:lineRule="auto"/>
              <w:rPr>
                <w:rFonts w:hint="eastAsia" w:ascii="宋体" w:hAnsi="宋体" w:eastAsia="宋体" w:cs="宋体"/>
                <w:b/>
                <w:color w:val="000000"/>
                <w:sz w:val="24"/>
                <w:szCs w:val="24"/>
              </w:rPr>
            </w:pPr>
          </w:p>
        </w:tc>
        <w:tc>
          <w:tcPr>
            <w:tcW w:w="825" w:type="dxa"/>
            <w:noWrap w:val="0"/>
            <w:vAlign w:val="center"/>
          </w:tcPr>
          <w:p w14:paraId="533E1E2D">
            <w:pPr>
              <w:spacing w:line="360" w:lineRule="auto"/>
              <w:rPr>
                <w:rFonts w:hint="eastAsia" w:ascii="宋体" w:hAnsi="宋体" w:eastAsia="宋体" w:cs="宋体"/>
                <w:b/>
                <w:color w:val="000000"/>
                <w:sz w:val="24"/>
                <w:szCs w:val="24"/>
              </w:rPr>
            </w:pPr>
          </w:p>
        </w:tc>
        <w:tc>
          <w:tcPr>
            <w:tcW w:w="794" w:type="dxa"/>
            <w:noWrap w:val="0"/>
            <w:vAlign w:val="center"/>
          </w:tcPr>
          <w:p w14:paraId="26E85085">
            <w:pPr>
              <w:spacing w:line="360" w:lineRule="auto"/>
              <w:rPr>
                <w:rFonts w:hint="eastAsia" w:ascii="宋体" w:hAnsi="宋体" w:eastAsia="宋体" w:cs="宋体"/>
                <w:b/>
                <w:color w:val="000000"/>
                <w:sz w:val="24"/>
                <w:szCs w:val="24"/>
              </w:rPr>
            </w:pPr>
          </w:p>
        </w:tc>
        <w:tc>
          <w:tcPr>
            <w:tcW w:w="1015" w:type="dxa"/>
            <w:noWrap w:val="0"/>
            <w:vAlign w:val="center"/>
          </w:tcPr>
          <w:p w14:paraId="68F1F827">
            <w:pPr>
              <w:spacing w:line="360" w:lineRule="auto"/>
              <w:rPr>
                <w:rFonts w:hint="eastAsia" w:ascii="宋体" w:hAnsi="宋体" w:eastAsia="宋体" w:cs="宋体"/>
                <w:b/>
                <w:color w:val="000000"/>
                <w:sz w:val="24"/>
                <w:szCs w:val="24"/>
              </w:rPr>
            </w:pPr>
          </w:p>
        </w:tc>
        <w:tc>
          <w:tcPr>
            <w:tcW w:w="1956" w:type="dxa"/>
            <w:tcBorders>
              <w:right w:val="single" w:color="000000" w:sz="4" w:space="0"/>
            </w:tcBorders>
            <w:noWrap w:val="0"/>
            <w:vAlign w:val="center"/>
          </w:tcPr>
          <w:p w14:paraId="07BFA6DC">
            <w:pPr>
              <w:spacing w:line="360" w:lineRule="auto"/>
              <w:rPr>
                <w:rFonts w:hint="eastAsia" w:ascii="宋体" w:hAnsi="宋体" w:eastAsia="宋体" w:cs="宋体"/>
                <w:b/>
                <w:color w:val="000000"/>
                <w:sz w:val="24"/>
                <w:szCs w:val="24"/>
              </w:rPr>
            </w:pPr>
          </w:p>
        </w:tc>
        <w:tc>
          <w:tcPr>
            <w:tcW w:w="1921" w:type="dxa"/>
            <w:tcBorders>
              <w:left w:val="single" w:color="000000" w:sz="4" w:space="0"/>
              <w:right w:val="single" w:color="000000" w:sz="4" w:space="0"/>
            </w:tcBorders>
            <w:noWrap w:val="0"/>
            <w:vAlign w:val="center"/>
          </w:tcPr>
          <w:p w14:paraId="527D9DC5">
            <w:pPr>
              <w:spacing w:line="360" w:lineRule="auto"/>
              <w:rPr>
                <w:rFonts w:hint="eastAsia" w:ascii="宋体" w:hAnsi="宋体" w:eastAsia="宋体" w:cs="宋体"/>
                <w:b/>
                <w:color w:val="000000"/>
                <w:sz w:val="24"/>
                <w:szCs w:val="24"/>
              </w:rPr>
            </w:pPr>
          </w:p>
        </w:tc>
      </w:tr>
      <w:tr w14:paraId="3D7AE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24" w:type="dxa"/>
            <w:noWrap w:val="0"/>
            <w:vAlign w:val="center"/>
          </w:tcPr>
          <w:p w14:paraId="03E90EB5">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6</w:t>
            </w:r>
          </w:p>
        </w:tc>
        <w:tc>
          <w:tcPr>
            <w:tcW w:w="1560" w:type="dxa"/>
            <w:noWrap w:val="0"/>
            <w:vAlign w:val="center"/>
          </w:tcPr>
          <w:p w14:paraId="4DC33AD1">
            <w:pPr>
              <w:spacing w:line="360" w:lineRule="auto"/>
              <w:rPr>
                <w:rFonts w:hint="eastAsia" w:ascii="宋体" w:hAnsi="宋体" w:eastAsia="宋体" w:cs="宋体"/>
                <w:b/>
                <w:color w:val="000000"/>
                <w:sz w:val="24"/>
                <w:szCs w:val="24"/>
              </w:rPr>
            </w:pPr>
          </w:p>
        </w:tc>
        <w:tc>
          <w:tcPr>
            <w:tcW w:w="825" w:type="dxa"/>
            <w:noWrap w:val="0"/>
            <w:vAlign w:val="center"/>
          </w:tcPr>
          <w:p w14:paraId="2B0C2B52">
            <w:pPr>
              <w:spacing w:line="360" w:lineRule="auto"/>
              <w:rPr>
                <w:rFonts w:hint="eastAsia" w:ascii="宋体" w:hAnsi="宋体" w:eastAsia="宋体" w:cs="宋体"/>
                <w:b/>
                <w:color w:val="000000"/>
                <w:sz w:val="24"/>
                <w:szCs w:val="24"/>
              </w:rPr>
            </w:pPr>
          </w:p>
        </w:tc>
        <w:tc>
          <w:tcPr>
            <w:tcW w:w="794" w:type="dxa"/>
            <w:noWrap w:val="0"/>
            <w:vAlign w:val="center"/>
          </w:tcPr>
          <w:p w14:paraId="648B4860">
            <w:pPr>
              <w:spacing w:line="360" w:lineRule="auto"/>
              <w:rPr>
                <w:rFonts w:hint="eastAsia" w:ascii="宋体" w:hAnsi="宋体" w:eastAsia="宋体" w:cs="宋体"/>
                <w:b/>
                <w:color w:val="000000"/>
                <w:sz w:val="24"/>
                <w:szCs w:val="24"/>
              </w:rPr>
            </w:pPr>
          </w:p>
        </w:tc>
        <w:tc>
          <w:tcPr>
            <w:tcW w:w="1015" w:type="dxa"/>
            <w:noWrap w:val="0"/>
            <w:vAlign w:val="center"/>
          </w:tcPr>
          <w:p w14:paraId="01E21DF6">
            <w:pPr>
              <w:spacing w:line="360" w:lineRule="auto"/>
              <w:rPr>
                <w:rFonts w:hint="eastAsia" w:ascii="宋体" w:hAnsi="宋体" w:eastAsia="宋体" w:cs="宋体"/>
                <w:b/>
                <w:color w:val="000000"/>
                <w:sz w:val="24"/>
                <w:szCs w:val="24"/>
              </w:rPr>
            </w:pPr>
          </w:p>
        </w:tc>
        <w:tc>
          <w:tcPr>
            <w:tcW w:w="1956" w:type="dxa"/>
            <w:tcBorders>
              <w:right w:val="single" w:color="000000" w:sz="4" w:space="0"/>
            </w:tcBorders>
            <w:noWrap w:val="0"/>
            <w:vAlign w:val="center"/>
          </w:tcPr>
          <w:p w14:paraId="3216FD26">
            <w:pPr>
              <w:spacing w:line="360" w:lineRule="auto"/>
              <w:rPr>
                <w:rFonts w:hint="eastAsia" w:ascii="宋体" w:hAnsi="宋体" w:eastAsia="宋体" w:cs="宋体"/>
                <w:b/>
                <w:color w:val="000000"/>
                <w:sz w:val="24"/>
                <w:szCs w:val="24"/>
              </w:rPr>
            </w:pPr>
          </w:p>
        </w:tc>
        <w:tc>
          <w:tcPr>
            <w:tcW w:w="1921" w:type="dxa"/>
            <w:tcBorders>
              <w:left w:val="single" w:color="000000" w:sz="4" w:space="0"/>
              <w:right w:val="single" w:color="000000" w:sz="4" w:space="0"/>
            </w:tcBorders>
            <w:noWrap w:val="0"/>
            <w:vAlign w:val="center"/>
          </w:tcPr>
          <w:p w14:paraId="16BC821D">
            <w:pPr>
              <w:spacing w:line="360" w:lineRule="auto"/>
              <w:rPr>
                <w:rFonts w:hint="eastAsia" w:ascii="宋体" w:hAnsi="宋体" w:eastAsia="宋体" w:cs="宋体"/>
                <w:b/>
                <w:color w:val="000000"/>
                <w:sz w:val="24"/>
                <w:szCs w:val="24"/>
              </w:rPr>
            </w:pPr>
          </w:p>
        </w:tc>
      </w:tr>
      <w:tr w14:paraId="72A8D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24" w:type="dxa"/>
            <w:noWrap w:val="0"/>
            <w:vAlign w:val="center"/>
          </w:tcPr>
          <w:p w14:paraId="30DDC820">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7</w:t>
            </w:r>
          </w:p>
        </w:tc>
        <w:tc>
          <w:tcPr>
            <w:tcW w:w="1560" w:type="dxa"/>
            <w:noWrap w:val="0"/>
            <w:vAlign w:val="center"/>
          </w:tcPr>
          <w:p w14:paraId="063E6DB1">
            <w:pPr>
              <w:spacing w:line="360" w:lineRule="auto"/>
              <w:rPr>
                <w:rFonts w:hint="eastAsia" w:ascii="宋体" w:hAnsi="宋体" w:eastAsia="宋体" w:cs="宋体"/>
                <w:b/>
                <w:color w:val="000000"/>
                <w:sz w:val="24"/>
                <w:szCs w:val="24"/>
              </w:rPr>
            </w:pPr>
          </w:p>
        </w:tc>
        <w:tc>
          <w:tcPr>
            <w:tcW w:w="825" w:type="dxa"/>
            <w:noWrap w:val="0"/>
            <w:vAlign w:val="center"/>
          </w:tcPr>
          <w:p w14:paraId="4AA742A7">
            <w:pPr>
              <w:spacing w:line="360" w:lineRule="auto"/>
              <w:rPr>
                <w:rFonts w:hint="eastAsia" w:ascii="宋体" w:hAnsi="宋体" w:eastAsia="宋体" w:cs="宋体"/>
                <w:b/>
                <w:color w:val="000000"/>
                <w:sz w:val="24"/>
                <w:szCs w:val="24"/>
              </w:rPr>
            </w:pPr>
          </w:p>
        </w:tc>
        <w:tc>
          <w:tcPr>
            <w:tcW w:w="794" w:type="dxa"/>
            <w:noWrap w:val="0"/>
            <w:vAlign w:val="center"/>
          </w:tcPr>
          <w:p w14:paraId="1F62430A">
            <w:pPr>
              <w:spacing w:line="360" w:lineRule="auto"/>
              <w:rPr>
                <w:rFonts w:hint="eastAsia" w:ascii="宋体" w:hAnsi="宋体" w:eastAsia="宋体" w:cs="宋体"/>
                <w:b/>
                <w:color w:val="000000"/>
                <w:sz w:val="24"/>
                <w:szCs w:val="24"/>
              </w:rPr>
            </w:pPr>
          </w:p>
        </w:tc>
        <w:tc>
          <w:tcPr>
            <w:tcW w:w="1015" w:type="dxa"/>
            <w:noWrap w:val="0"/>
            <w:vAlign w:val="center"/>
          </w:tcPr>
          <w:p w14:paraId="1DAF79A4">
            <w:pPr>
              <w:spacing w:line="360" w:lineRule="auto"/>
              <w:rPr>
                <w:rFonts w:hint="eastAsia" w:ascii="宋体" w:hAnsi="宋体" w:eastAsia="宋体" w:cs="宋体"/>
                <w:b/>
                <w:color w:val="000000"/>
                <w:sz w:val="24"/>
                <w:szCs w:val="24"/>
              </w:rPr>
            </w:pPr>
          </w:p>
        </w:tc>
        <w:tc>
          <w:tcPr>
            <w:tcW w:w="1956" w:type="dxa"/>
            <w:tcBorders>
              <w:right w:val="single" w:color="000000" w:sz="4" w:space="0"/>
            </w:tcBorders>
            <w:noWrap w:val="0"/>
            <w:vAlign w:val="center"/>
          </w:tcPr>
          <w:p w14:paraId="3628E469">
            <w:pPr>
              <w:spacing w:line="360" w:lineRule="auto"/>
              <w:rPr>
                <w:rFonts w:hint="eastAsia" w:ascii="宋体" w:hAnsi="宋体" w:eastAsia="宋体" w:cs="宋体"/>
                <w:b/>
                <w:color w:val="000000"/>
                <w:sz w:val="24"/>
                <w:szCs w:val="24"/>
              </w:rPr>
            </w:pPr>
          </w:p>
        </w:tc>
        <w:tc>
          <w:tcPr>
            <w:tcW w:w="1921" w:type="dxa"/>
            <w:tcBorders>
              <w:left w:val="single" w:color="000000" w:sz="4" w:space="0"/>
              <w:right w:val="single" w:color="000000" w:sz="4" w:space="0"/>
            </w:tcBorders>
            <w:noWrap w:val="0"/>
            <w:vAlign w:val="center"/>
          </w:tcPr>
          <w:p w14:paraId="048A6153">
            <w:pPr>
              <w:spacing w:line="360" w:lineRule="auto"/>
              <w:rPr>
                <w:rFonts w:hint="eastAsia" w:ascii="宋体" w:hAnsi="宋体" w:eastAsia="宋体" w:cs="宋体"/>
                <w:b/>
                <w:color w:val="000000"/>
                <w:sz w:val="24"/>
                <w:szCs w:val="24"/>
              </w:rPr>
            </w:pPr>
          </w:p>
        </w:tc>
      </w:tr>
      <w:tr w14:paraId="76D10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24" w:type="dxa"/>
            <w:noWrap w:val="0"/>
            <w:vAlign w:val="center"/>
          </w:tcPr>
          <w:p w14:paraId="01CAD123">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8</w:t>
            </w:r>
          </w:p>
        </w:tc>
        <w:tc>
          <w:tcPr>
            <w:tcW w:w="1560" w:type="dxa"/>
            <w:noWrap w:val="0"/>
            <w:vAlign w:val="center"/>
          </w:tcPr>
          <w:p w14:paraId="3268556A">
            <w:pPr>
              <w:spacing w:line="360" w:lineRule="auto"/>
              <w:rPr>
                <w:rFonts w:hint="eastAsia" w:ascii="宋体" w:hAnsi="宋体" w:eastAsia="宋体" w:cs="宋体"/>
                <w:b/>
                <w:color w:val="000000"/>
                <w:sz w:val="24"/>
                <w:szCs w:val="24"/>
              </w:rPr>
            </w:pPr>
          </w:p>
        </w:tc>
        <w:tc>
          <w:tcPr>
            <w:tcW w:w="825" w:type="dxa"/>
            <w:noWrap w:val="0"/>
            <w:vAlign w:val="center"/>
          </w:tcPr>
          <w:p w14:paraId="1600BBB4">
            <w:pPr>
              <w:spacing w:line="360" w:lineRule="auto"/>
              <w:rPr>
                <w:rFonts w:hint="eastAsia" w:ascii="宋体" w:hAnsi="宋体" w:eastAsia="宋体" w:cs="宋体"/>
                <w:b/>
                <w:color w:val="000000"/>
                <w:sz w:val="24"/>
                <w:szCs w:val="24"/>
              </w:rPr>
            </w:pPr>
          </w:p>
        </w:tc>
        <w:tc>
          <w:tcPr>
            <w:tcW w:w="794" w:type="dxa"/>
            <w:noWrap w:val="0"/>
            <w:vAlign w:val="center"/>
          </w:tcPr>
          <w:p w14:paraId="3B6FE198">
            <w:pPr>
              <w:spacing w:line="360" w:lineRule="auto"/>
              <w:rPr>
                <w:rFonts w:hint="eastAsia" w:ascii="宋体" w:hAnsi="宋体" w:eastAsia="宋体" w:cs="宋体"/>
                <w:b/>
                <w:color w:val="000000"/>
                <w:sz w:val="24"/>
                <w:szCs w:val="24"/>
              </w:rPr>
            </w:pPr>
          </w:p>
        </w:tc>
        <w:tc>
          <w:tcPr>
            <w:tcW w:w="1015" w:type="dxa"/>
            <w:noWrap w:val="0"/>
            <w:vAlign w:val="center"/>
          </w:tcPr>
          <w:p w14:paraId="7523FA3A">
            <w:pPr>
              <w:spacing w:line="360" w:lineRule="auto"/>
              <w:rPr>
                <w:rFonts w:hint="eastAsia" w:ascii="宋体" w:hAnsi="宋体" w:eastAsia="宋体" w:cs="宋体"/>
                <w:b/>
                <w:color w:val="000000"/>
                <w:sz w:val="24"/>
                <w:szCs w:val="24"/>
              </w:rPr>
            </w:pPr>
          </w:p>
        </w:tc>
        <w:tc>
          <w:tcPr>
            <w:tcW w:w="1956" w:type="dxa"/>
            <w:tcBorders>
              <w:right w:val="single" w:color="000000" w:sz="4" w:space="0"/>
            </w:tcBorders>
            <w:noWrap w:val="0"/>
            <w:vAlign w:val="center"/>
          </w:tcPr>
          <w:p w14:paraId="3D19D338">
            <w:pPr>
              <w:spacing w:line="360" w:lineRule="auto"/>
              <w:rPr>
                <w:rFonts w:hint="eastAsia" w:ascii="宋体" w:hAnsi="宋体" w:eastAsia="宋体" w:cs="宋体"/>
                <w:b/>
                <w:color w:val="000000"/>
                <w:sz w:val="24"/>
                <w:szCs w:val="24"/>
              </w:rPr>
            </w:pPr>
          </w:p>
        </w:tc>
        <w:tc>
          <w:tcPr>
            <w:tcW w:w="1921" w:type="dxa"/>
            <w:tcBorders>
              <w:left w:val="single" w:color="000000" w:sz="4" w:space="0"/>
              <w:right w:val="single" w:color="000000" w:sz="4" w:space="0"/>
            </w:tcBorders>
            <w:noWrap w:val="0"/>
            <w:vAlign w:val="center"/>
          </w:tcPr>
          <w:p w14:paraId="1E2AAFB9">
            <w:pPr>
              <w:spacing w:line="360" w:lineRule="auto"/>
              <w:rPr>
                <w:rFonts w:hint="eastAsia" w:ascii="宋体" w:hAnsi="宋体" w:eastAsia="宋体" w:cs="宋体"/>
                <w:b/>
                <w:color w:val="000000"/>
                <w:sz w:val="24"/>
                <w:szCs w:val="24"/>
              </w:rPr>
            </w:pPr>
          </w:p>
        </w:tc>
      </w:tr>
      <w:tr w14:paraId="68008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24" w:type="dxa"/>
            <w:noWrap w:val="0"/>
            <w:vAlign w:val="center"/>
          </w:tcPr>
          <w:p w14:paraId="13BE46D6">
            <w:pPr>
              <w:spacing w:line="360" w:lineRule="auto"/>
              <w:jc w:val="cente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w:t>
            </w:r>
          </w:p>
        </w:tc>
        <w:tc>
          <w:tcPr>
            <w:tcW w:w="1560" w:type="dxa"/>
            <w:noWrap w:val="0"/>
            <w:vAlign w:val="center"/>
          </w:tcPr>
          <w:p w14:paraId="0416B1F0">
            <w:pPr>
              <w:spacing w:line="360" w:lineRule="auto"/>
              <w:rPr>
                <w:rFonts w:hint="eastAsia" w:ascii="宋体" w:hAnsi="宋体" w:eastAsia="宋体" w:cs="宋体"/>
                <w:b/>
                <w:color w:val="000000"/>
                <w:sz w:val="24"/>
                <w:szCs w:val="24"/>
              </w:rPr>
            </w:pPr>
          </w:p>
        </w:tc>
        <w:tc>
          <w:tcPr>
            <w:tcW w:w="825" w:type="dxa"/>
            <w:noWrap w:val="0"/>
            <w:vAlign w:val="center"/>
          </w:tcPr>
          <w:p w14:paraId="413E388E">
            <w:pPr>
              <w:spacing w:line="360" w:lineRule="auto"/>
              <w:rPr>
                <w:rFonts w:hint="eastAsia" w:ascii="宋体" w:hAnsi="宋体" w:eastAsia="宋体" w:cs="宋体"/>
                <w:b/>
                <w:color w:val="000000"/>
                <w:sz w:val="24"/>
                <w:szCs w:val="24"/>
              </w:rPr>
            </w:pPr>
          </w:p>
        </w:tc>
        <w:tc>
          <w:tcPr>
            <w:tcW w:w="794" w:type="dxa"/>
            <w:noWrap w:val="0"/>
            <w:vAlign w:val="center"/>
          </w:tcPr>
          <w:p w14:paraId="13C32668">
            <w:pPr>
              <w:spacing w:line="360" w:lineRule="auto"/>
              <w:rPr>
                <w:rFonts w:hint="eastAsia" w:ascii="宋体" w:hAnsi="宋体" w:eastAsia="宋体" w:cs="宋体"/>
                <w:b/>
                <w:color w:val="000000"/>
                <w:sz w:val="24"/>
                <w:szCs w:val="24"/>
              </w:rPr>
            </w:pPr>
          </w:p>
        </w:tc>
        <w:tc>
          <w:tcPr>
            <w:tcW w:w="1015" w:type="dxa"/>
            <w:noWrap w:val="0"/>
            <w:vAlign w:val="center"/>
          </w:tcPr>
          <w:p w14:paraId="7E3A537C">
            <w:pPr>
              <w:spacing w:line="360" w:lineRule="auto"/>
              <w:rPr>
                <w:rFonts w:hint="eastAsia" w:ascii="宋体" w:hAnsi="宋体" w:eastAsia="宋体" w:cs="宋体"/>
                <w:b/>
                <w:color w:val="000000"/>
                <w:sz w:val="24"/>
                <w:szCs w:val="24"/>
              </w:rPr>
            </w:pPr>
          </w:p>
        </w:tc>
        <w:tc>
          <w:tcPr>
            <w:tcW w:w="1956" w:type="dxa"/>
            <w:tcBorders>
              <w:right w:val="single" w:color="000000" w:sz="4" w:space="0"/>
            </w:tcBorders>
            <w:noWrap w:val="0"/>
            <w:vAlign w:val="center"/>
          </w:tcPr>
          <w:p w14:paraId="13F09155">
            <w:pPr>
              <w:spacing w:line="360" w:lineRule="auto"/>
              <w:rPr>
                <w:rFonts w:hint="eastAsia" w:ascii="宋体" w:hAnsi="宋体" w:eastAsia="宋体" w:cs="宋体"/>
                <w:b/>
                <w:color w:val="000000"/>
                <w:sz w:val="24"/>
                <w:szCs w:val="24"/>
              </w:rPr>
            </w:pPr>
          </w:p>
        </w:tc>
        <w:tc>
          <w:tcPr>
            <w:tcW w:w="1921" w:type="dxa"/>
            <w:tcBorders>
              <w:left w:val="single" w:color="000000" w:sz="4" w:space="0"/>
              <w:right w:val="single" w:color="000000" w:sz="4" w:space="0"/>
            </w:tcBorders>
            <w:noWrap w:val="0"/>
            <w:vAlign w:val="center"/>
          </w:tcPr>
          <w:p w14:paraId="439F9A70">
            <w:pPr>
              <w:spacing w:line="360" w:lineRule="auto"/>
              <w:rPr>
                <w:rFonts w:hint="eastAsia" w:ascii="宋体" w:hAnsi="宋体" w:eastAsia="宋体" w:cs="宋体"/>
                <w:b/>
                <w:color w:val="000000"/>
                <w:sz w:val="24"/>
                <w:szCs w:val="24"/>
              </w:rPr>
            </w:pPr>
          </w:p>
        </w:tc>
      </w:tr>
    </w:tbl>
    <w:p w14:paraId="01FAD559">
      <w:pPr>
        <w:tabs>
          <w:tab w:val="left" w:pos="142"/>
        </w:tabs>
        <w:spacing w:line="360" w:lineRule="auto"/>
        <w:ind w:firstLine="480" w:firstLineChars="200"/>
        <w:textAlignment w:val="baseline"/>
        <w:rPr>
          <w:rFonts w:hint="eastAsia" w:ascii="宋体" w:hAnsi="宋体" w:eastAsia="宋体" w:cs="宋体"/>
          <w:kern w:val="2"/>
          <w:lang w:eastAsia="zh-CN" w:bidi="ar-SA"/>
        </w:rPr>
      </w:pPr>
      <w:r>
        <w:rPr>
          <w:rFonts w:hint="eastAsia" w:ascii="宋体" w:hAnsi="宋体" w:eastAsia="宋体" w:cs="宋体"/>
          <w:kern w:val="2"/>
          <w:lang w:eastAsia="zh-CN" w:bidi="ar-SA"/>
        </w:rPr>
        <w:t>注：提供相关证书复印件加盖公章及社保证明资料。</w:t>
      </w:r>
    </w:p>
    <w:p w14:paraId="42FD81EF">
      <w:pPr>
        <w:tabs>
          <w:tab w:val="left" w:pos="142"/>
        </w:tabs>
        <w:spacing w:line="360" w:lineRule="auto"/>
        <w:ind w:firstLine="480" w:firstLineChars="200"/>
        <w:textAlignment w:val="baseline"/>
        <w:rPr>
          <w:rFonts w:hint="eastAsia" w:ascii="宋体" w:hAnsi="宋体" w:eastAsia="宋体" w:cs="宋体"/>
          <w:kern w:val="2"/>
          <w:lang w:eastAsia="zh-CN" w:bidi="ar-SA"/>
        </w:rPr>
      </w:pPr>
    </w:p>
    <w:p w14:paraId="21A9329B">
      <w:pPr>
        <w:tabs>
          <w:tab w:val="left" w:pos="142"/>
        </w:tabs>
        <w:spacing w:line="360" w:lineRule="auto"/>
        <w:ind w:firstLine="480" w:firstLineChars="200"/>
        <w:textAlignment w:val="baseline"/>
        <w:rPr>
          <w:rFonts w:hint="eastAsia" w:ascii="宋体" w:hAnsi="宋体" w:eastAsia="宋体" w:cs="宋体"/>
          <w:kern w:val="2"/>
          <w:lang w:eastAsia="zh-CN" w:bidi="ar-SA"/>
        </w:rPr>
      </w:pPr>
      <w:r>
        <w:rPr>
          <w:rFonts w:hint="eastAsia" w:ascii="宋体" w:hAnsi="宋体" w:eastAsia="宋体" w:cs="宋体"/>
          <w:kern w:val="2"/>
          <w:lang w:eastAsia="zh-CN" w:bidi="ar-SA"/>
        </w:rPr>
        <w:t>供应商名称：（加盖电子公章）</w:t>
      </w:r>
    </w:p>
    <w:p w14:paraId="7521E9C4">
      <w:pPr>
        <w:pStyle w:val="21"/>
        <w:rPr>
          <w:rFonts w:hint="eastAsia" w:ascii="宋体" w:hAnsi="宋体" w:eastAsia="宋体" w:cs="宋体"/>
          <w:kern w:val="2"/>
          <w:lang w:eastAsia="zh-CN" w:bidi="ar-SA"/>
        </w:rPr>
      </w:pPr>
    </w:p>
    <w:p w14:paraId="4452952E">
      <w:pPr>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br w:type="page"/>
      </w:r>
    </w:p>
    <w:p w14:paraId="2C777543">
      <w:pPr>
        <w:jc w:val="center"/>
        <w:outlineLvl w:val="2"/>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五、中小企业声明函（服务）</w:t>
      </w:r>
    </w:p>
    <w:p w14:paraId="28741353">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本公司（联合体）郑重声明，根据《政府采购促进中小企业发展管理办法》(财库〔2020〕46号)的规定，本公司（联合体）参加</w:t>
      </w:r>
      <w:r>
        <w:rPr>
          <w:rFonts w:hint="eastAsia" w:ascii="宋体" w:hAnsi="宋体" w:eastAsia="宋体" w:cs="宋体"/>
          <w:sz w:val="24"/>
          <w:szCs w:val="24"/>
          <w:highlight w:val="none"/>
          <w:u w:val="single"/>
        </w:rPr>
        <w:t>XXXXXXXXXXXXXXXXXXXXXXXXX</w:t>
      </w:r>
      <w:r>
        <w:rPr>
          <w:rFonts w:hint="eastAsia" w:ascii="宋体" w:hAnsi="宋体" w:eastAsia="宋体" w:cs="宋体"/>
          <w:sz w:val="24"/>
          <w:szCs w:val="24"/>
          <w:highlight w:val="none"/>
        </w:rPr>
        <w:t>（单位名称）采购编号为</w:t>
      </w:r>
      <w:r>
        <w:rPr>
          <w:rFonts w:hint="eastAsia" w:ascii="宋体" w:hAnsi="宋体" w:eastAsia="宋体" w:cs="宋体"/>
          <w:sz w:val="24"/>
          <w:szCs w:val="24"/>
          <w:highlight w:val="none"/>
          <w:u w:val="single"/>
        </w:rPr>
        <w:t>XXXXXXXXXXXXXXXXXXXXXXXXX</w:t>
      </w:r>
      <w:r>
        <w:rPr>
          <w:rFonts w:hint="eastAsia" w:ascii="宋体" w:hAnsi="宋体" w:eastAsia="宋体" w:cs="宋体"/>
          <w:sz w:val="24"/>
          <w:szCs w:val="24"/>
          <w:highlight w:val="none"/>
        </w:rPr>
        <w:t>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40F81070">
      <w:pPr>
        <w:adjustRightInd w:val="0"/>
        <w:snapToGrid w:val="0"/>
        <w:spacing w:line="360" w:lineRule="auto"/>
        <w:ind w:firstLine="480" w:firstLineChars="20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（标的名称）属于</w:t>
      </w:r>
      <w:r>
        <w:rPr>
          <w:rFonts w:hint="eastAsia" w:ascii="宋体" w:hAnsi="宋体" w:eastAsia="宋体" w:cs="宋体"/>
          <w:sz w:val="24"/>
          <w:szCs w:val="24"/>
          <w:highlight w:val="none"/>
          <w:u w:val="single"/>
        </w:rPr>
        <w:t>其他未列明</w:t>
      </w:r>
      <w:r>
        <w:rPr>
          <w:rFonts w:hint="eastAsia" w:ascii="宋体" w:hAnsi="宋体" w:eastAsia="宋体" w:cs="宋体"/>
          <w:sz w:val="24"/>
          <w:szCs w:val="24"/>
          <w:highlight w:val="none"/>
        </w:rPr>
        <w:t>行业（磋商文件中明确的所属行业）；承接企业为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，属于</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 xml:space="preserve">中型企业 </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 xml:space="preserve">小型企业 </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微型企业。</w:t>
      </w:r>
    </w:p>
    <w:p w14:paraId="5D45FC52">
      <w:pPr>
        <w:adjustRightInd w:val="0"/>
        <w:snapToGrid w:val="0"/>
        <w:spacing w:line="360" w:lineRule="auto"/>
        <w:ind w:firstLine="480" w:firstLineChars="200"/>
        <w:rPr>
          <w:rFonts w:hint="eastAsia" w:ascii="宋体" w:hAnsi="宋体" w:eastAsia="宋体" w:cs="宋体"/>
          <w:i/>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（标的名称）属于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行业（磋商文件中明确的所属行业）；承接企业为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，属于</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 xml:space="preserve">中型企业 </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 xml:space="preserve">小型企业 </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微型企业。</w:t>
      </w:r>
    </w:p>
    <w:p w14:paraId="663B8D67">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195942AB">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319A4526">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sz w:val="24"/>
          <w:szCs w:val="24"/>
          <w:highlight w:val="none"/>
        </w:rPr>
        <w:t>本企业对上述声明内容的真实性负责，如有虚假，将依法承担相应责任。</w:t>
      </w:r>
    </w:p>
    <w:p w14:paraId="3AC1B24F">
      <w:pPr>
        <w:adjustRightInd w:val="0"/>
        <w:snapToGrid w:val="0"/>
        <w:spacing w:line="360" w:lineRule="auto"/>
        <w:ind w:right="180" w:firstLine="360" w:firstLineChars="15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企业名称：（加盖电子公章）</w:t>
      </w:r>
    </w:p>
    <w:p w14:paraId="26426836">
      <w:pPr>
        <w:adjustRightInd w:val="0"/>
        <w:snapToGrid w:val="0"/>
        <w:spacing w:line="360" w:lineRule="auto"/>
        <w:ind w:firstLine="6000" w:firstLineChars="25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52BD8E9D">
      <w:pPr>
        <w:widowControl/>
        <w:adjustRightInd w:val="0"/>
        <w:snapToGrid w:val="0"/>
        <w:spacing w:line="360" w:lineRule="auto"/>
        <w:ind w:firstLine="480" w:firstLineChars="200"/>
        <w:rPr>
          <w:rFonts w:hint="eastAsia" w:ascii="宋体" w:hAnsi="宋体" w:eastAsia="宋体" w:cs="宋体"/>
          <w:sz w:val="24"/>
          <w:szCs w:val="24"/>
          <w:highlight w:val="none"/>
        </w:rPr>
      </w:pPr>
    </w:p>
    <w:p w14:paraId="0E64CD01">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p>
    <w:p w14:paraId="6F7D385B">
      <w:pPr>
        <w:rPr>
          <w:rFonts w:hint="eastAsia" w:ascii="宋体" w:hAnsi="宋体" w:eastAsia="宋体" w:cs="宋体"/>
          <w:lang w:eastAsia="zh-CN"/>
        </w:rPr>
      </w:pPr>
    </w:p>
    <w:p w14:paraId="5AFDA43E">
      <w:pPr>
        <w:pStyle w:val="21"/>
        <w:rPr>
          <w:rFonts w:hint="eastAsia" w:ascii="宋体" w:hAnsi="宋体" w:eastAsia="宋体" w:cs="宋体"/>
          <w:lang w:eastAsia="zh-CN"/>
        </w:rPr>
      </w:pPr>
    </w:p>
    <w:p w14:paraId="4536C169">
      <w:pPr>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br w:type="page"/>
      </w:r>
    </w:p>
    <w:p w14:paraId="36E7CA3E">
      <w:pPr>
        <w:jc w:val="center"/>
        <w:outlineLvl w:val="2"/>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六、残疾人福利性单位声明函</w:t>
      </w:r>
    </w:p>
    <w:p w14:paraId="72C5A1D0">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本单位郑重声明，根据《财政部 民政部 中国残疾人联合会关于促进残疾人就业政府采购政策的通知》（财库〔2017〕141号）的规定，本单位为符合条件的残疾人福利性单位，参加XXXXXXXXXXXXXXXXXXXXXXXXX（单位名称）</w:t>
      </w:r>
      <w:r>
        <w:rPr>
          <w:rFonts w:hint="eastAsia" w:ascii="宋体" w:hAnsi="宋体" w:eastAsia="宋体" w:cs="宋体"/>
          <w:sz w:val="24"/>
          <w:szCs w:val="24"/>
          <w:highlight w:val="none"/>
          <w:lang w:eastAsia="zh-CN"/>
        </w:rPr>
        <w:t>项目</w:t>
      </w:r>
      <w:r>
        <w:rPr>
          <w:rFonts w:hint="eastAsia" w:ascii="宋体" w:hAnsi="宋体" w:eastAsia="宋体" w:cs="宋体"/>
          <w:sz w:val="24"/>
          <w:szCs w:val="24"/>
          <w:highlight w:val="none"/>
        </w:rPr>
        <w:t>编号为XXXXXXXXXXXXXXXXXXXXXXXXX项目）的采购活动，服务全部由本单位提供。</w:t>
      </w:r>
    </w:p>
    <w:p w14:paraId="08BB4CEB">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本单位对上述声明的真实性负责，如有虚假，将依法承担相应责任。</w:t>
      </w:r>
    </w:p>
    <w:p w14:paraId="15D85DAC">
      <w:pPr>
        <w:pStyle w:val="34"/>
        <w:adjustRightInd w:val="0"/>
        <w:snapToGrid w:val="0"/>
        <w:spacing w:line="360" w:lineRule="auto"/>
        <w:rPr>
          <w:rFonts w:hint="eastAsia" w:ascii="宋体" w:hAnsi="宋体" w:eastAsia="宋体" w:cs="宋体"/>
          <w:sz w:val="24"/>
          <w:szCs w:val="24"/>
          <w:highlight w:val="none"/>
        </w:rPr>
      </w:pPr>
    </w:p>
    <w:p w14:paraId="4F230EEC">
      <w:pPr>
        <w:adjustRightInd w:val="0"/>
        <w:snapToGrid w:val="0"/>
        <w:spacing w:line="360" w:lineRule="auto"/>
        <w:rPr>
          <w:rFonts w:hint="eastAsia" w:ascii="宋体" w:hAnsi="宋体" w:eastAsia="宋体" w:cs="宋体"/>
          <w:highlight w:val="none"/>
        </w:rPr>
      </w:pPr>
    </w:p>
    <w:p w14:paraId="0CB5AF70">
      <w:pPr>
        <w:adjustRightInd w:val="0"/>
        <w:snapToGrid w:val="0"/>
        <w:spacing w:line="360" w:lineRule="auto"/>
        <w:ind w:right="180" w:firstLine="360" w:firstLineChars="15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供应商名称：（加盖电子公章）</w:t>
      </w:r>
    </w:p>
    <w:p w14:paraId="586DCDF5">
      <w:pPr>
        <w:adjustRightInd w:val="0"/>
        <w:snapToGrid w:val="0"/>
        <w:spacing w:line="360" w:lineRule="auto"/>
        <w:ind w:right="180" w:firstLine="360" w:firstLineChars="15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日    期：</w:t>
      </w:r>
    </w:p>
    <w:p w14:paraId="05E8BB67">
      <w:pPr>
        <w:adjustRightInd w:val="0"/>
        <w:snapToGrid w:val="0"/>
        <w:spacing w:line="360" w:lineRule="auto"/>
        <w:ind w:firstLine="480" w:firstLineChars="200"/>
        <w:rPr>
          <w:rFonts w:hint="eastAsia" w:ascii="宋体" w:hAnsi="宋体" w:eastAsia="宋体" w:cs="宋体"/>
          <w:sz w:val="24"/>
          <w:highlight w:val="none"/>
        </w:rPr>
      </w:pPr>
    </w:p>
    <w:p w14:paraId="3773CC57">
      <w:pPr>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备注：</w:t>
      </w:r>
    </w:p>
    <w:p w14:paraId="2E778D47">
      <w:pPr>
        <w:adjustRightInd w:val="0"/>
        <w:snapToGrid w:val="0"/>
        <w:spacing w:line="360" w:lineRule="auto"/>
        <w:ind w:firstLine="480" w:firstLineChars="200"/>
        <w:outlineLvl w:val="9"/>
        <w:rPr>
          <w:rFonts w:hint="eastAsia" w:ascii="宋体" w:hAnsi="宋体" w:eastAsia="宋体" w:cs="宋体"/>
          <w:sz w:val="24"/>
          <w:highlight w:val="none"/>
        </w:rPr>
      </w:pPr>
      <w:r>
        <w:rPr>
          <w:rFonts w:hint="eastAsia" w:ascii="宋体" w:hAnsi="宋体" w:eastAsia="宋体" w:cs="宋体"/>
          <w:sz w:val="24"/>
          <w:highlight w:val="none"/>
        </w:rPr>
        <w:t>1.供应商如不提供此声明函，价格将不做相应扣除。</w:t>
      </w:r>
    </w:p>
    <w:p w14:paraId="0C5A5F0D">
      <w:pPr>
        <w:adjustRightInd w:val="0"/>
        <w:snapToGrid w:val="0"/>
        <w:spacing w:line="360" w:lineRule="auto"/>
        <w:ind w:firstLine="480" w:firstLineChars="200"/>
        <w:rPr>
          <w:rFonts w:hint="eastAsia" w:ascii="宋体" w:hAnsi="宋体" w:eastAsia="宋体" w:cs="宋体"/>
          <w:b/>
          <w:sz w:val="32"/>
          <w:szCs w:val="32"/>
          <w:highlight w:val="none"/>
        </w:rPr>
      </w:pPr>
      <w:r>
        <w:rPr>
          <w:rFonts w:hint="eastAsia" w:ascii="宋体" w:hAnsi="宋体" w:eastAsia="宋体" w:cs="宋体"/>
          <w:sz w:val="24"/>
          <w:highlight w:val="none"/>
        </w:rPr>
        <w:t>2.成交供应商为残疾人福利性单位的，此声明函将随成交结果同时公告，接受社会监督。</w:t>
      </w:r>
    </w:p>
    <w:p w14:paraId="1A80026C">
      <w:pPr>
        <w:jc w:val="center"/>
        <w:outlineLvl w:val="9"/>
        <w:rPr>
          <w:rFonts w:hint="eastAsia" w:ascii="宋体" w:hAnsi="宋体" w:eastAsia="宋体" w:cs="宋体"/>
          <w:sz w:val="32"/>
          <w:szCs w:val="32"/>
          <w:highlight w:val="none"/>
          <w:lang w:val="en-US" w:eastAsia="zh-CN"/>
        </w:rPr>
      </w:pPr>
    </w:p>
    <w:p w14:paraId="5D1D868E">
      <w:pPr>
        <w:jc w:val="center"/>
        <w:outlineLvl w:val="9"/>
        <w:rPr>
          <w:rFonts w:hint="eastAsia" w:ascii="宋体" w:hAnsi="宋体" w:eastAsia="宋体" w:cs="宋体"/>
          <w:sz w:val="32"/>
          <w:szCs w:val="32"/>
          <w:highlight w:val="none"/>
          <w:lang w:val="en-US" w:eastAsia="zh-CN"/>
        </w:rPr>
      </w:pPr>
    </w:p>
    <w:p w14:paraId="0F748C6D">
      <w:pPr>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br w:type="page"/>
      </w:r>
    </w:p>
    <w:p w14:paraId="0B2C4918">
      <w:pPr>
        <w:jc w:val="center"/>
        <w:outlineLvl w:val="2"/>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七、其他</w:t>
      </w:r>
    </w:p>
    <w:p w14:paraId="5892DB55">
      <w:pPr>
        <w:spacing w:line="560" w:lineRule="exact"/>
        <w:jc w:val="center"/>
        <w:rPr>
          <w:rFonts w:hint="eastAsia" w:ascii="宋体" w:hAnsi="宋体" w:eastAsia="宋体" w:cs="宋体"/>
          <w:b/>
          <w:sz w:val="32"/>
          <w:szCs w:val="32"/>
          <w:highlight w:val="none"/>
          <w:lang w:eastAsia="zh-CN"/>
        </w:rPr>
      </w:pPr>
    </w:p>
    <w:p w14:paraId="061CA810">
      <w:pPr>
        <w:ind w:firstLine="480"/>
        <w:rPr>
          <w:rFonts w:hint="eastAsia" w:ascii="宋体" w:hAnsi="宋体" w:eastAsia="宋体" w:cs="宋体"/>
        </w:rPr>
      </w:pPr>
      <w:r>
        <w:rPr>
          <w:rFonts w:hint="eastAsia" w:ascii="宋体" w:hAnsi="宋体" w:eastAsia="宋体" w:cs="宋体"/>
          <w:color w:val="auto"/>
          <w:sz w:val="24"/>
          <w:szCs w:val="28"/>
          <w:highlight w:val="none"/>
          <w:lang w:val="en-US" w:eastAsia="zh-CN"/>
        </w:rPr>
        <w:t>根据采购文件要求供应商自拟材料</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sectPr>
      <w:headerReference r:id="rId10" w:type="default"/>
      <w:footerReference r:id="rId11" w:type="default"/>
      <w:pgSz w:w="11906" w:h="16838"/>
      <w:pgMar w:top="1440" w:right="1349" w:bottom="1440" w:left="1349"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A4471">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283E4">
    <w:pPr>
      <w:pStyle w:val="14"/>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F0A163">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7F0A163">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57A90">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B51B67">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FB51B67">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61845">
    <w:pPr>
      <w:pStyle w:val="16"/>
      <w:pBdr>
        <w:bottom w:val="none" w:color="auto" w:sz="0" w:space="1"/>
      </w:pBdr>
      <w:tabs>
        <w:tab w:val="right" w:pos="4153"/>
        <w:tab w:val="right" w:pos="9660"/>
        <w:tab w:val="clear" w:pos="8306"/>
      </w:tabs>
      <w:ind w:right="96" w:rightChars="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75608">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A259A">
    <w:pPr>
      <w:pStyle w:val="16"/>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42991">
    <w:pPr>
      <w:pStyle w:val="16"/>
      <w:pBdr>
        <w:bottom w:val="single" w:color="auto" w:sz="4" w:space="1"/>
      </w:pBdr>
      <w:jc w:val="both"/>
      <w:rPr>
        <w:rFonts w:ascii="仿宋" w:hAnsi="仿宋" w:eastAsia="仿宋" w:cs="仿宋"/>
        <w:lang w:eastAsia="zh-CN"/>
      </w:rPr>
    </w:pPr>
    <w:r>
      <w:rPr>
        <w:rFonts w:hint="eastAsia" w:ascii="仿宋" w:hAnsi="仿宋" w:eastAsia="仿宋" w:cs="仿宋"/>
        <w:lang w:eastAsia="zh-CN"/>
      </w:rPr>
      <w:t>JSZC-320000-DCXG-D2026-0025                                              南京达琛鑫工程咨询有限公司</w:t>
    </w:r>
  </w:p>
  <w:p w14:paraId="7C7D23C6">
    <w:pPr>
      <w:pStyle w:val="16"/>
      <w:pBdr>
        <w:bottom w:val="none" w:color="auto" w:sz="0" w:space="1"/>
      </w:pBdr>
      <w:tabs>
        <w:tab w:val="right" w:pos="4153"/>
        <w:tab w:val="right" w:pos="9660"/>
        <w:tab w:val="clear" w:pos="8306"/>
      </w:tabs>
      <w:ind w:right="96" w:rightChars="40"/>
      <w:rPr>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4227C">
    <w:pPr>
      <w:pStyle w:val="16"/>
      <w:pBdr>
        <w:bottom w:val="thickThinSmallGap" w:color="auto" w:sz="12" w:space="1"/>
      </w:pBdr>
      <w:rPr>
        <w:rFonts w:ascii="仿宋" w:hAnsi="仿宋" w:eastAsia="仿宋"/>
        <w:lang w:eastAsia="zh-CN"/>
      </w:rPr>
    </w:pPr>
    <w:r>
      <w:rPr>
        <w:rFonts w:hint="eastAsia" w:hAnsi="宋体" w:eastAsia="宋体" w:cs="宋体"/>
        <w:lang w:eastAsia="zh-CN"/>
      </w:rPr>
      <w:t>JSZC-320000-DCXG-D2026-0025</w:t>
    </w:r>
    <w:r>
      <w:rPr>
        <w:rFonts w:hAnsi="宋体" w:eastAsia="宋体" w:cs="宋体"/>
        <w:lang w:eastAsia="zh-CN"/>
      </w:rPr>
      <w:t xml:space="preserve">                                           </w:t>
    </w:r>
    <w:r>
      <w:rPr>
        <w:rFonts w:hint="eastAsia" w:hAnsi="宋体" w:eastAsia="宋体" w:cs="宋体"/>
        <w:lang w:eastAsia="zh-CN"/>
      </w:rPr>
      <w:t>南京达琛鑫工程咨询有限公司</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ACFE8">
    <w:pPr>
      <w:pStyle w:val="16"/>
      <w:tabs>
        <w:tab w:val="right" w:pos="4153"/>
        <w:tab w:val="right" w:pos="9660"/>
        <w:tab w:val="clear" w:pos="8306"/>
      </w:tabs>
      <w:ind w:right="96" w:rightChars="40"/>
      <w:rPr>
        <w:rFonts w:ascii="仿宋" w:hAnsi="仿宋" w:eastAsia="仿宋" w:cs="仿宋"/>
        <w:lang w:eastAsia="zh-CN"/>
      </w:rPr>
    </w:pPr>
    <w:r>
      <w:rPr>
        <w:rFonts w:hint="eastAsia" w:ascii="仿宋" w:hAnsi="仿宋" w:eastAsia="仿宋" w:cs="仿宋"/>
        <w:lang w:eastAsia="zh-CN"/>
      </w:rPr>
      <w:t>JSZC-320000-DCXG-D2026-0025                                             南京达琛鑫工程咨询有限公司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E55967"/>
    <w:multiLevelType w:val="singleLevel"/>
    <w:tmpl w:val="A3E55967"/>
    <w:lvl w:ilvl="0" w:tentative="0">
      <w:start w:val="1"/>
      <w:numFmt w:val="decimal"/>
      <w:suff w:val="nothing"/>
      <w:lvlText w:val="%1、"/>
      <w:lvlJc w:val="left"/>
    </w:lvl>
  </w:abstractNum>
  <w:abstractNum w:abstractNumId="1">
    <w:nsid w:val="A9D9BA4E"/>
    <w:multiLevelType w:val="singleLevel"/>
    <w:tmpl w:val="A9D9BA4E"/>
    <w:lvl w:ilvl="0" w:tentative="0">
      <w:start w:val="2"/>
      <w:numFmt w:val="chineseCounting"/>
      <w:suff w:val="nothing"/>
      <w:lvlText w:val="%1、"/>
      <w:lvlJc w:val="left"/>
      <w:rPr>
        <w:rFonts w:hint="eastAsia"/>
      </w:rPr>
    </w:lvl>
  </w:abstractNum>
  <w:abstractNum w:abstractNumId="2">
    <w:nsid w:val="AE2E1827"/>
    <w:multiLevelType w:val="singleLevel"/>
    <w:tmpl w:val="AE2E1827"/>
    <w:lvl w:ilvl="0" w:tentative="0">
      <w:start w:val="1"/>
      <w:numFmt w:val="chineseCounting"/>
      <w:suff w:val="space"/>
      <w:lvlText w:val="第%1章"/>
      <w:lvlJc w:val="left"/>
      <w:rPr>
        <w:rFonts w:hint="eastAsia"/>
      </w:rPr>
    </w:lvl>
  </w:abstractNum>
  <w:abstractNum w:abstractNumId="3">
    <w:nsid w:val="FC2EA018"/>
    <w:multiLevelType w:val="singleLevel"/>
    <w:tmpl w:val="FC2EA018"/>
    <w:lvl w:ilvl="0" w:tentative="0">
      <w:start w:val="1"/>
      <w:numFmt w:val="chineseCounting"/>
      <w:suff w:val="nothing"/>
      <w:lvlText w:val="%1、"/>
      <w:lvlJc w:val="left"/>
      <w:rPr>
        <w:rFonts w:hint="eastAsia"/>
      </w:rPr>
    </w:lvl>
  </w:abstractNum>
  <w:abstractNum w:abstractNumId="4">
    <w:nsid w:val="00000002"/>
    <w:multiLevelType w:val="multilevel"/>
    <w:tmpl w:val="00000002"/>
    <w:lvl w:ilvl="0" w:tentative="0">
      <w:start w:val="1"/>
      <w:numFmt w:val="japaneseCounting"/>
      <w:pStyle w:val="30"/>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5">
    <w:nsid w:val="0248C179"/>
    <w:multiLevelType w:val="multilevel"/>
    <w:tmpl w:val="0248C179"/>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4100F394"/>
    <w:multiLevelType w:val="singleLevel"/>
    <w:tmpl w:val="4100F394"/>
    <w:lvl w:ilvl="0" w:tentative="0">
      <w:start w:val="4"/>
      <w:numFmt w:val="chineseCounting"/>
      <w:suff w:val="space"/>
      <w:lvlText w:val="第%1章"/>
      <w:lvlJc w:val="left"/>
      <w:rPr>
        <w:rFonts w:hint="eastAsia"/>
      </w:rPr>
    </w:lvl>
  </w:abstractNum>
  <w:num w:numId="1">
    <w:abstractNumId w:val="4"/>
  </w:num>
  <w:num w:numId="2">
    <w:abstractNumId w:val="2"/>
  </w:num>
  <w:num w:numId="3">
    <w:abstractNumId w:val="3"/>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ZmYjRjNjVlZDcxZTA5M2YwZTI1NjRhZTdjZDM4MmUifQ=="/>
  </w:docVars>
  <w:rsids>
    <w:rsidRoot w:val="65012FA7"/>
    <w:rsid w:val="000D7138"/>
    <w:rsid w:val="001030AD"/>
    <w:rsid w:val="00125ECC"/>
    <w:rsid w:val="002442B8"/>
    <w:rsid w:val="00316F08"/>
    <w:rsid w:val="003F133D"/>
    <w:rsid w:val="004372A9"/>
    <w:rsid w:val="004C159E"/>
    <w:rsid w:val="004F475B"/>
    <w:rsid w:val="0052641E"/>
    <w:rsid w:val="0055510D"/>
    <w:rsid w:val="005A2B94"/>
    <w:rsid w:val="005A4CDE"/>
    <w:rsid w:val="005E7A6F"/>
    <w:rsid w:val="00773EBF"/>
    <w:rsid w:val="007E2D56"/>
    <w:rsid w:val="007E584B"/>
    <w:rsid w:val="008063DA"/>
    <w:rsid w:val="008B5F62"/>
    <w:rsid w:val="009128DB"/>
    <w:rsid w:val="00963411"/>
    <w:rsid w:val="009A4856"/>
    <w:rsid w:val="009C0DD7"/>
    <w:rsid w:val="009C2242"/>
    <w:rsid w:val="009E07B3"/>
    <w:rsid w:val="00AB64D4"/>
    <w:rsid w:val="00AC2070"/>
    <w:rsid w:val="00AD614B"/>
    <w:rsid w:val="00AF2B94"/>
    <w:rsid w:val="00AF2FD9"/>
    <w:rsid w:val="00B640C0"/>
    <w:rsid w:val="00CA2B5B"/>
    <w:rsid w:val="00CB0C75"/>
    <w:rsid w:val="00E754AE"/>
    <w:rsid w:val="00E8429D"/>
    <w:rsid w:val="00EF07CA"/>
    <w:rsid w:val="00F52993"/>
    <w:rsid w:val="00FB44B6"/>
    <w:rsid w:val="00FF78EE"/>
    <w:rsid w:val="01447C4C"/>
    <w:rsid w:val="015F6505"/>
    <w:rsid w:val="019F1377"/>
    <w:rsid w:val="01A54C64"/>
    <w:rsid w:val="01E817C1"/>
    <w:rsid w:val="02273C1B"/>
    <w:rsid w:val="02631A76"/>
    <w:rsid w:val="02DC5DB4"/>
    <w:rsid w:val="03A013D6"/>
    <w:rsid w:val="03AE2B64"/>
    <w:rsid w:val="03BB6210"/>
    <w:rsid w:val="04AC7765"/>
    <w:rsid w:val="0519483E"/>
    <w:rsid w:val="05243941"/>
    <w:rsid w:val="07F16109"/>
    <w:rsid w:val="097A2570"/>
    <w:rsid w:val="09966FE0"/>
    <w:rsid w:val="0A08430D"/>
    <w:rsid w:val="0A273CBB"/>
    <w:rsid w:val="0BE36304"/>
    <w:rsid w:val="0C670071"/>
    <w:rsid w:val="0C954EEA"/>
    <w:rsid w:val="0D3B419D"/>
    <w:rsid w:val="0DD37BBD"/>
    <w:rsid w:val="0F255540"/>
    <w:rsid w:val="0F4157E3"/>
    <w:rsid w:val="0F6D575B"/>
    <w:rsid w:val="0FD4244B"/>
    <w:rsid w:val="0FE27256"/>
    <w:rsid w:val="10506BA2"/>
    <w:rsid w:val="120375A9"/>
    <w:rsid w:val="123942BF"/>
    <w:rsid w:val="12963817"/>
    <w:rsid w:val="139E024F"/>
    <w:rsid w:val="13F51905"/>
    <w:rsid w:val="14531B4D"/>
    <w:rsid w:val="15504C64"/>
    <w:rsid w:val="15D76A46"/>
    <w:rsid w:val="15EA028F"/>
    <w:rsid w:val="160E5F06"/>
    <w:rsid w:val="165D7027"/>
    <w:rsid w:val="16B54D41"/>
    <w:rsid w:val="17EB0DD7"/>
    <w:rsid w:val="17FC6DEA"/>
    <w:rsid w:val="18075128"/>
    <w:rsid w:val="188B1432"/>
    <w:rsid w:val="19A34181"/>
    <w:rsid w:val="19D1538A"/>
    <w:rsid w:val="1B797834"/>
    <w:rsid w:val="1C7F5BD5"/>
    <w:rsid w:val="1E171DD5"/>
    <w:rsid w:val="1E7A22F1"/>
    <w:rsid w:val="1F4E5157"/>
    <w:rsid w:val="1FC41B50"/>
    <w:rsid w:val="20881C82"/>
    <w:rsid w:val="210060CD"/>
    <w:rsid w:val="21875FF7"/>
    <w:rsid w:val="218B01C9"/>
    <w:rsid w:val="23C24671"/>
    <w:rsid w:val="24166017"/>
    <w:rsid w:val="24E04C70"/>
    <w:rsid w:val="251C7B4C"/>
    <w:rsid w:val="251D1A72"/>
    <w:rsid w:val="25270BB7"/>
    <w:rsid w:val="25817E44"/>
    <w:rsid w:val="25BA5ED0"/>
    <w:rsid w:val="260161CF"/>
    <w:rsid w:val="26F903DB"/>
    <w:rsid w:val="272B12DB"/>
    <w:rsid w:val="274148C5"/>
    <w:rsid w:val="275D743D"/>
    <w:rsid w:val="27F52686"/>
    <w:rsid w:val="284C2A7C"/>
    <w:rsid w:val="286A4E00"/>
    <w:rsid w:val="28AB3087"/>
    <w:rsid w:val="28FB4835"/>
    <w:rsid w:val="29D26EC0"/>
    <w:rsid w:val="2A376F41"/>
    <w:rsid w:val="2A5A30EF"/>
    <w:rsid w:val="2B4B2B77"/>
    <w:rsid w:val="2C1E096F"/>
    <w:rsid w:val="2C534E47"/>
    <w:rsid w:val="2C8B29C1"/>
    <w:rsid w:val="2E455E4D"/>
    <w:rsid w:val="2E722A20"/>
    <w:rsid w:val="2EF825DE"/>
    <w:rsid w:val="2F143564"/>
    <w:rsid w:val="2F531308"/>
    <w:rsid w:val="303724E5"/>
    <w:rsid w:val="30A0732F"/>
    <w:rsid w:val="30FA1876"/>
    <w:rsid w:val="3185370D"/>
    <w:rsid w:val="31E760F3"/>
    <w:rsid w:val="32892EB1"/>
    <w:rsid w:val="339342DB"/>
    <w:rsid w:val="33C923E1"/>
    <w:rsid w:val="34041B2D"/>
    <w:rsid w:val="35572E64"/>
    <w:rsid w:val="35DB4D0A"/>
    <w:rsid w:val="36581519"/>
    <w:rsid w:val="3676327B"/>
    <w:rsid w:val="369F6F7B"/>
    <w:rsid w:val="39311FBE"/>
    <w:rsid w:val="39E5018A"/>
    <w:rsid w:val="3A5B5A5F"/>
    <w:rsid w:val="3B6D0473"/>
    <w:rsid w:val="3BAA3DCF"/>
    <w:rsid w:val="3CDB437F"/>
    <w:rsid w:val="3D254F9D"/>
    <w:rsid w:val="3D6521F0"/>
    <w:rsid w:val="3D6720FF"/>
    <w:rsid w:val="3E106672"/>
    <w:rsid w:val="3E191F73"/>
    <w:rsid w:val="3E342C4C"/>
    <w:rsid w:val="3F121674"/>
    <w:rsid w:val="3F6025F0"/>
    <w:rsid w:val="3FF84A53"/>
    <w:rsid w:val="416B574F"/>
    <w:rsid w:val="417C08E0"/>
    <w:rsid w:val="4199021F"/>
    <w:rsid w:val="44563FB6"/>
    <w:rsid w:val="450906C8"/>
    <w:rsid w:val="459969E5"/>
    <w:rsid w:val="47D40997"/>
    <w:rsid w:val="48027DB5"/>
    <w:rsid w:val="489A61C9"/>
    <w:rsid w:val="4902639F"/>
    <w:rsid w:val="4908309F"/>
    <w:rsid w:val="4950607F"/>
    <w:rsid w:val="496C250A"/>
    <w:rsid w:val="49747FC0"/>
    <w:rsid w:val="49BE1B48"/>
    <w:rsid w:val="4A1179E4"/>
    <w:rsid w:val="4A143650"/>
    <w:rsid w:val="4A4756D4"/>
    <w:rsid w:val="4A9E737F"/>
    <w:rsid w:val="4B5F7432"/>
    <w:rsid w:val="4B8C5A53"/>
    <w:rsid w:val="4BB96146"/>
    <w:rsid w:val="4CAA5AA7"/>
    <w:rsid w:val="4CFD3ED3"/>
    <w:rsid w:val="4ED137BE"/>
    <w:rsid w:val="4F173CC2"/>
    <w:rsid w:val="4F1B1181"/>
    <w:rsid w:val="4F2F074A"/>
    <w:rsid w:val="4F4E243F"/>
    <w:rsid w:val="4F552B7E"/>
    <w:rsid w:val="5007646E"/>
    <w:rsid w:val="507C3BFE"/>
    <w:rsid w:val="5091613C"/>
    <w:rsid w:val="51124637"/>
    <w:rsid w:val="515457BB"/>
    <w:rsid w:val="51A229D8"/>
    <w:rsid w:val="523102EB"/>
    <w:rsid w:val="523C2041"/>
    <w:rsid w:val="53B8436A"/>
    <w:rsid w:val="544E769B"/>
    <w:rsid w:val="54D975B7"/>
    <w:rsid w:val="54F35464"/>
    <w:rsid w:val="552A4A13"/>
    <w:rsid w:val="56222C5F"/>
    <w:rsid w:val="56456F10"/>
    <w:rsid w:val="56B419CA"/>
    <w:rsid w:val="571053F0"/>
    <w:rsid w:val="571E5A7A"/>
    <w:rsid w:val="57963FC9"/>
    <w:rsid w:val="57AA0BE9"/>
    <w:rsid w:val="57AF2B0B"/>
    <w:rsid w:val="580728A4"/>
    <w:rsid w:val="58313675"/>
    <w:rsid w:val="585450AA"/>
    <w:rsid w:val="597F3A21"/>
    <w:rsid w:val="59D06531"/>
    <w:rsid w:val="5ACD39D4"/>
    <w:rsid w:val="5B211EEF"/>
    <w:rsid w:val="5C5678DA"/>
    <w:rsid w:val="5D1A27D4"/>
    <w:rsid w:val="5E105B43"/>
    <w:rsid w:val="5E1C0FB8"/>
    <w:rsid w:val="5E5D1F56"/>
    <w:rsid w:val="61272351"/>
    <w:rsid w:val="617749E8"/>
    <w:rsid w:val="61952D71"/>
    <w:rsid w:val="62B53C30"/>
    <w:rsid w:val="62C311D4"/>
    <w:rsid w:val="63174130"/>
    <w:rsid w:val="634347F2"/>
    <w:rsid w:val="63534DF7"/>
    <w:rsid w:val="63A66D95"/>
    <w:rsid w:val="63FE11FD"/>
    <w:rsid w:val="640357A9"/>
    <w:rsid w:val="645D7E70"/>
    <w:rsid w:val="65012FA7"/>
    <w:rsid w:val="653D4BE3"/>
    <w:rsid w:val="6555284A"/>
    <w:rsid w:val="65C2244D"/>
    <w:rsid w:val="681D3A5A"/>
    <w:rsid w:val="68C70A76"/>
    <w:rsid w:val="68D66149"/>
    <w:rsid w:val="69552A4C"/>
    <w:rsid w:val="69981651"/>
    <w:rsid w:val="69A21C45"/>
    <w:rsid w:val="6A9A0FE9"/>
    <w:rsid w:val="6B286A04"/>
    <w:rsid w:val="6B9E58B3"/>
    <w:rsid w:val="6C6B6CB2"/>
    <w:rsid w:val="6D0B73F9"/>
    <w:rsid w:val="6D1F7CAB"/>
    <w:rsid w:val="6E416E46"/>
    <w:rsid w:val="6FF179AF"/>
    <w:rsid w:val="703272C8"/>
    <w:rsid w:val="70E70615"/>
    <w:rsid w:val="718668A8"/>
    <w:rsid w:val="71DB5C27"/>
    <w:rsid w:val="728E0764"/>
    <w:rsid w:val="72C139C6"/>
    <w:rsid w:val="74F14015"/>
    <w:rsid w:val="75073A8D"/>
    <w:rsid w:val="753C0A3B"/>
    <w:rsid w:val="75660855"/>
    <w:rsid w:val="758C2A7D"/>
    <w:rsid w:val="76816FC9"/>
    <w:rsid w:val="76A33A6B"/>
    <w:rsid w:val="76B64C9D"/>
    <w:rsid w:val="77B358A8"/>
    <w:rsid w:val="77BA4E88"/>
    <w:rsid w:val="78D756FA"/>
    <w:rsid w:val="78F15668"/>
    <w:rsid w:val="7AE7341B"/>
    <w:rsid w:val="7AF83CFD"/>
    <w:rsid w:val="7B2600C5"/>
    <w:rsid w:val="7B3B6D5C"/>
    <w:rsid w:val="7B403498"/>
    <w:rsid w:val="7B4D7648"/>
    <w:rsid w:val="7B5A25F6"/>
    <w:rsid w:val="7C2F7BF3"/>
    <w:rsid w:val="7CB51062"/>
    <w:rsid w:val="7CEF4CF8"/>
    <w:rsid w:val="7D564077"/>
    <w:rsid w:val="7D9B6ED4"/>
    <w:rsid w:val="7E1870F5"/>
    <w:rsid w:val="7E854866"/>
    <w:rsid w:val="7EBA69D3"/>
    <w:rsid w:val="7EFA418E"/>
    <w:rsid w:val="7F197549"/>
    <w:rsid w:val="7F313AC9"/>
    <w:rsid w:val="7F8900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Times New Roman" w:cs="Times New Roman"/>
      <w:color w:val="000000"/>
      <w:sz w:val="24"/>
      <w:szCs w:val="24"/>
      <w:lang w:val="en-US" w:eastAsia="en-US" w:bidi="en-US"/>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Cambria" w:hAnsi="Cambria" w:cs="Cambria"/>
      <w:b/>
      <w:sz w:val="32"/>
      <w:szCs w:val="32"/>
    </w:rPr>
  </w:style>
  <w:style w:type="paragraph" w:styleId="4">
    <w:name w:val="heading 3"/>
    <w:basedOn w:val="1"/>
    <w:next w:val="1"/>
    <w:link w:val="29"/>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cs="Arial"/>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semiHidden/>
    <w:qFormat/>
    <w:uiPriority w:val="0"/>
    <w:pPr>
      <w:ind w:left="1260"/>
      <w:jc w:val="left"/>
    </w:pPr>
    <w:rPr>
      <w:rFonts w:ascii="Times New Roman" w:hAnsi="Times New Roman"/>
      <w:szCs w:val="21"/>
    </w:rPr>
  </w:style>
  <w:style w:type="paragraph" w:styleId="7">
    <w:name w:val="Normal Indent"/>
    <w:basedOn w:val="1"/>
    <w:qFormat/>
    <w:uiPriority w:val="0"/>
    <w:pPr>
      <w:ind w:firstLine="420"/>
    </w:pPr>
    <w:rPr>
      <w:szCs w:val="21"/>
    </w:rPr>
  </w:style>
  <w:style w:type="paragraph" w:styleId="8">
    <w:name w:val="Body Text"/>
    <w:basedOn w:val="1"/>
    <w:qFormat/>
    <w:uiPriority w:val="1"/>
    <w:rPr>
      <w:rFonts w:ascii="仿宋" w:hAnsi="仿宋" w:eastAsia="仿宋" w:cs="仿宋"/>
      <w:sz w:val="28"/>
      <w:szCs w:val="28"/>
      <w:lang w:val="zh-CN" w:eastAsia="zh-CN" w:bidi="zh-CN"/>
    </w:rPr>
  </w:style>
  <w:style w:type="paragraph" w:styleId="9">
    <w:name w:val="Body Text Indent"/>
    <w:basedOn w:val="1"/>
    <w:next w:val="10"/>
    <w:qFormat/>
    <w:uiPriority w:val="99"/>
    <w:pPr>
      <w:snapToGrid w:val="0"/>
      <w:spacing w:line="440" w:lineRule="exact"/>
      <w:ind w:firstLine="403" w:firstLineChars="192"/>
    </w:pPr>
    <w:rPr>
      <w:rFonts w:ascii="宋体" w:hAnsi="宋体" w:cs="宋体"/>
    </w:rPr>
  </w:style>
  <w:style w:type="paragraph" w:styleId="10">
    <w:name w:val="envelope return"/>
    <w:basedOn w:val="1"/>
    <w:qFormat/>
    <w:uiPriority w:val="0"/>
    <w:pPr>
      <w:snapToGrid w:val="0"/>
    </w:pPr>
    <w:rPr>
      <w:rFonts w:ascii="Arial" w:hAnsi="Arial"/>
    </w:rPr>
  </w:style>
  <w:style w:type="paragraph" w:styleId="11">
    <w:name w:val="index 4"/>
    <w:basedOn w:val="1"/>
    <w:next w:val="1"/>
    <w:qFormat/>
    <w:uiPriority w:val="99"/>
    <w:pPr>
      <w:ind w:left="600" w:leftChars="600"/>
    </w:pPr>
    <w:rPr>
      <w:rFonts w:ascii="Verdana" w:hAnsi="Verdana"/>
      <w:szCs w:val="20"/>
    </w:rPr>
  </w:style>
  <w:style w:type="paragraph" w:styleId="12">
    <w:name w:val="Plain Text"/>
    <w:basedOn w:val="1"/>
    <w:qFormat/>
    <w:uiPriority w:val="99"/>
    <w:rPr>
      <w:rFonts w:ascii="宋体" w:hAnsi="Courier New"/>
      <w:sz w:val="20"/>
      <w:szCs w:val="21"/>
      <w:lang w:eastAsia="en-US"/>
    </w:rPr>
  </w:style>
  <w:style w:type="paragraph" w:styleId="13">
    <w:name w:val="Date"/>
    <w:basedOn w:val="1"/>
    <w:next w:val="1"/>
    <w:qFormat/>
    <w:uiPriority w:val="0"/>
    <w:pPr>
      <w:ind w:left="100" w:leftChars="2500"/>
    </w:pPr>
    <w:rPr>
      <w:sz w:val="20"/>
      <w:szCs w:val="21"/>
    </w:rPr>
  </w:style>
  <w:style w:type="paragraph" w:styleId="14">
    <w:name w:val="footer"/>
    <w:basedOn w:val="1"/>
    <w:next w:val="15"/>
    <w:qFormat/>
    <w:uiPriority w:val="0"/>
    <w:pPr>
      <w:tabs>
        <w:tab w:val="center" w:pos="4153"/>
        <w:tab w:val="right" w:pos="8306"/>
      </w:tabs>
      <w:autoSpaceDE w:val="0"/>
      <w:autoSpaceDN w:val="0"/>
      <w:adjustRightInd w:val="0"/>
      <w:snapToGrid w:val="0"/>
    </w:pPr>
    <w:rPr>
      <w:rFonts w:ascii="宋体"/>
      <w:sz w:val="18"/>
      <w:szCs w:val="18"/>
    </w:rPr>
  </w:style>
  <w:style w:type="paragraph" w:customStyle="1" w:styleId="15">
    <w:name w:val="TOC Heading1"/>
    <w:next w:val="1"/>
    <w:qFormat/>
    <w:uiPriority w:val="0"/>
    <w:pPr>
      <w:wordWrap w:val="0"/>
    </w:pPr>
    <w:rPr>
      <w:rFonts w:ascii="Times New Roman" w:hAnsi="Times New Roman" w:eastAsia="宋体" w:cs="Times New Roman"/>
      <w:sz w:val="32"/>
      <w:lang w:val="en-US" w:eastAsia="zh-CN" w:bidi="ar-SA"/>
    </w:rPr>
  </w:style>
  <w:style w:type="paragraph" w:styleId="16">
    <w:name w:val="header"/>
    <w:basedOn w:val="1"/>
    <w:qFormat/>
    <w:uiPriority w:val="0"/>
    <w:pPr>
      <w:pBdr>
        <w:bottom w:val="single" w:color="auto" w:sz="6" w:space="1"/>
      </w:pBdr>
      <w:tabs>
        <w:tab w:val="center" w:pos="4153"/>
        <w:tab w:val="right" w:pos="8306"/>
      </w:tabs>
      <w:autoSpaceDE w:val="0"/>
      <w:autoSpaceDN w:val="0"/>
      <w:adjustRightInd w:val="0"/>
      <w:snapToGrid w:val="0"/>
      <w:jc w:val="center"/>
    </w:pPr>
    <w:rPr>
      <w:rFonts w:ascii="宋体"/>
      <w:sz w:val="18"/>
      <w:szCs w:val="18"/>
    </w:rPr>
  </w:style>
  <w:style w:type="paragraph" w:styleId="17">
    <w:name w:val="toc 1"/>
    <w:basedOn w:val="1"/>
    <w:next w:val="1"/>
    <w:qFormat/>
    <w:uiPriority w:val="39"/>
    <w:rPr>
      <w:rFonts w:ascii="Calibri" w:hAnsi="Calibri"/>
    </w:rPr>
  </w:style>
  <w:style w:type="paragraph" w:styleId="18">
    <w:name w:val="toc 2"/>
    <w:basedOn w:val="1"/>
    <w:next w:val="1"/>
    <w:qFormat/>
    <w:uiPriority w:val="0"/>
    <w:pPr>
      <w:ind w:left="420" w:leftChars="200"/>
    </w:pPr>
  </w:style>
  <w:style w:type="paragraph" w:styleId="19">
    <w:name w:val="Message Header"/>
    <w:qFormat/>
    <w:uiPriority w:val="0"/>
    <w:pPr>
      <w:widowControl w:val="0"/>
      <w:pBdr>
        <w:top w:val="single" w:color="auto" w:sz="6" w:space="1"/>
        <w:left w:val="single" w:color="auto" w:sz="6" w:space="1"/>
        <w:bottom w:val="single" w:color="auto" w:sz="6" w:space="1"/>
        <w:right w:val="single" w:color="auto" w:sz="6" w:space="1"/>
      </w:pBdr>
      <w:shd w:val="pct20" w:color="auto" w:fill="auto"/>
      <w:ind w:left="1080" w:leftChars="500" w:hanging="1080" w:hangingChars="500"/>
      <w:jc w:val="both"/>
    </w:pPr>
    <w:rPr>
      <w:rFonts w:ascii="Arial" w:hAnsi="Arial" w:eastAsia="宋体" w:cs="Times New Roman"/>
      <w:kern w:val="2"/>
      <w:sz w:val="24"/>
      <w:lang w:val="en-US" w:eastAsia="zh-CN" w:bidi="ar-SA"/>
    </w:rPr>
  </w:style>
  <w:style w:type="paragraph" w:styleId="20">
    <w:name w:val="Normal (Web)"/>
    <w:basedOn w:val="1"/>
    <w:qFormat/>
    <w:uiPriority w:val="0"/>
    <w:pPr>
      <w:widowControl/>
      <w:spacing w:before="100" w:beforeAutospacing="1" w:after="100" w:afterAutospacing="1"/>
    </w:pPr>
    <w:rPr>
      <w:rFonts w:ascii="宋体" w:hAnsi="宋体" w:cs="宋体"/>
    </w:rPr>
  </w:style>
  <w:style w:type="paragraph" w:styleId="21">
    <w:name w:val="Body Text First Indent 2"/>
    <w:basedOn w:val="9"/>
    <w:next w:val="1"/>
    <w:qFormat/>
    <w:uiPriority w:val="99"/>
    <w:pPr>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rFonts w:ascii="Times New Roman" w:hAnsi="Times New Roman" w:eastAsia="宋体" w:cs="Times New Roman"/>
      <w:b/>
      <w:bCs/>
    </w:rPr>
  </w:style>
  <w:style w:type="paragraph" w:customStyle="1" w:styleId="26">
    <w:name w:val="报告正文"/>
    <w:basedOn w:val="1"/>
    <w:qFormat/>
    <w:uiPriority w:val="0"/>
    <w:pPr>
      <w:adjustRightInd w:val="0"/>
      <w:snapToGrid w:val="0"/>
      <w:ind w:firstLine="560" w:firstLineChars="200"/>
    </w:pPr>
    <w:rPr>
      <w:szCs w:val="20"/>
      <w:lang w:val="zh-CN"/>
    </w:rPr>
  </w:style>
  <w:style w:type="paragraph" w:customStyle="1" w:styleId="27">
    <w:name w:val="普通正文"/>
    <w:basedOn w:val="1"/>
    <w:qFormat/>
    <w:uiPriority w:val="0"/>
    <w:pPr>
      <w:adjustRightInd w:val="0"/>
      <w:spacing w:before="120" w:after="120" w:line="360" w:lineRule="auto"/>
      <w:ind w:firstLine="480" w:firstLineChars="200"/>
      <w:textAlignment w:val="baseline"/>
    </w:pPr>
    <w:rPr>
      <w:rFonts w:ascii="Arial" w:hAnsi="Arial"/>
    </w:rPr>
  </w:style>
  <w:style w:type="paragraph" w:customStyle="1" w:styleId="28">
    <w:name w:val="_Style 15"/>
    <w:basedOn w:val="1"/>
    <w:next w:val="1"/>
    <w:qFormat/>
    <w:uiPriority w:val="0"/>
    <w:pPr>
      <w:widowControl/>
      <w:pBdr>
        <w:bottom w:val="single" w:color="auto" w:sz="6" w:space="1"/>
      </w:pBdr>
      <w:jc w:val="center"/>
    </w:pPr>
    <w:rPr>
      <w:rFonts w:ascii="Arial" w:hAnsi="Arial"/>
      <w:vanish/>
      <w:sz w:val="16"/>
      <w:szCs w:val="16"/>
    </w:rPr>
  </w:style>
  <w:style w:type="character" w:customStyle="1" w:styleId="29">
    <w:name w:val="标题 3 Char"/>
    <w:link w:val="4"/>
    <w:qFormat/>
    <w:uiPriority w:val="0"/>
    <w:rPr>
      <w:b/>
      <w:bCs/>
      <w:kern w:val="0"/>
      <w:sz w:val="32"/>
      <w:szCs w:val="32"/>
    </w:rPr>
  </w:style>
  <w:style w:type="paragraph" w:customStyle="1" w:styleId="30">
    <w:name w:val="二级目录"/>
    <w:next w:val="1"/>
    <w:qFormat/>
    <w:uiPriority w:val="99"/>
    <w:pPr>
      <w:numPr>
        <w:ilvl w:val="0"/>
        <w:numId w:val="1"/>
      </w:numPr>
      <w:outlineLvl w:val="1"/>
    </w:pPr>
    <w:rPr>
      <w:rFonts w:ascii="Calibri" w:hAnsi="Calibri" w:eastAsia="宋体" w:cs="Times New Roman"/>
      <w:b/>
      <w:bCs/>
      <w:kern w:val="2"/>
      <w:sz w:val="28"/>
      <w:szCs w:val="28"/>
      <w:lang w:val="en-US" w:eastAsia="zh-CN" w:bidi="ar-SA"/>
    </w:rPr>
  </w:style>
  <w:style w:type="paragraph" w:styleId="31">
    <w:name w:val="List Paragraph"/>
    <w:basedOn w:val="1"/>
    <w:qFormat/>
    <w:uiPriority w:val="99"/>
    <w:pPr>
      <w:ind w:firstLine="420" w:firstLineChars="200"/>
    </w:pPr>
  </w:style>
  <w:style w:type="paragraph" w:customStyle="1" w:styleId="32">
    <w:name w:val="_Style 3"/>
    <w:basedOn w:val="1"/>
    <w:next w:val="1"/>
    <w:qFormat/>
    <w:uiPriority w:val="99"/>
    <w:pPr>
      <w:widowControl/>
      <w:pBdr>
        <w:bottom w:val="single" w:color="auto" w:sz="6" w:space="1"/>
      </w:pBdr>
      <w:jc w:val="center"/>
    </w:pPr>
    <w:rPr>
      <w:rFonts w:ascii="Arial" w:hAnsi="Arial" w:cs="Arial"/>
      <w:vanish/>
      <w:kern w:val="0"/>
      <w:sz w:val="16"/>
      <w:szCs w:val="16"/>
    </w:rPr>
  </w:style>
  <w:style w:type="paragraph" w:customStyle="1" w:styleId="33">
    <w:name w:val="正文文本 211"/>
    <w:basedOn w:val="1"/>
    <w:qFormat/>
    <w:uiPriority w:val="99"/>
    <w:pPr>
      <w:jc w:val="center"/>
    </w:pPr>
    <w:rPr>
      <w:rFonts w:ascii="Times New Roman" w:hAnsi="Times New Roman"/>
      <w:b/>
      <w:bCs/>
      <w:kern w:val="2"/>
      <w:sz w:val="20"/>
      <w:szCs w:val="20"/>
    </w:rPr>
  </w:style>
  <w:style w:type="paragraph" w:customStyle="1" w:styleId="34">
    <w:name w:val="索引 41"/>
    <w:basedOn w:val="1"/>
    <w:next w:val="1"/>
    <w:semiHidden/>
    <w:qFormat/>
    <w:uiPriority w:val="0"/>
    <w:pPr>
      <w:ind w:left="1260"/>
    </w:pPr>
    <w:rPr>
      <w:rFonts w:eastAsia="Calibri" w:cs="宋体"/>
      <w:kern w:val="2"/>
      <w:sz w:val="20"/>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36</Pages>
  <Words>16025</Words>
  <Characters>17235</Characters>
  <Lines>134</Lines>
  <Paragraphs>37</Paragraphs>
  <TotalTime>70</TotalTime>
  <ScaleCrop>false</ScaleCrop>
  <LinksUpToDate>false</LinksUpToDate>
  <CharactersWithSpaces>18143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2023-02-27T06:04:00Z</dcterms:created>
  <dc:creator>A_Li</dc:creator>
  <cp:lastModifiedBy>A-Li</cp:lastModifiedBy>
  <cp:lastPrinted>2024-07-18T08:12:00Z</cp:lastPrinted>
  <dcterms:modified xsi:type="dcterms:W3CDTF">2026-09-23T08:20:13Z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0879111190504115826618B7470D3489_13</vt:lpwstr>
  </property>
  <property fmtid="{D5CDD505-2E9C-101B-9397-08002B2CF9AE}" pid="4" name="KSOTemplateDocerSaveRecord">
    <vt:lpwstr>eyJoZGlkIjoiYzIyZjdjYmY3N2Q2Zjg1OWU2MWJmNGU0OGM4MTI1N2YiLCJ1c2VySWQiOiI4NDA0OTI3MjcifQ==</vt:lpwstr>
  </property>
</Properties>
</file>