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用水统计直报资料第三方核查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项目编号：JSZC-320000-JSFH-C2026-0039</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采购人：江苏省水利厅</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采购代理机构：江苏富华工程造价咨询有限公司</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日期：2026年9月</w:t>
      </w:r>
      <w:r/>
    </w:p>
    <w:p>
      <w:pPr>
        <w:ind w:left="0" w:right="0" w:firstLine="0"/>
        <w:jc w:val="center"/>
        <w:spacing w:before="0" w:after="12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3749" w:history="1">
        <w:r>
          <w:rPr>
            <w:rStyle w:val="888"/>
            <w:rFonts w:ascii="SimSun" w:hAnsi="SimSun" w:eastAsia="SimSun" w:cs="SimSun"/>
            <w:b/>
            <w:color w:val="0000ee"/>
            <w:sz w:val="21"/>
            <w:u w:val="single"/>
          </w:rPr>
          <w:t xml:space="preserve">第一章磋商公告</w:t>
        </w:r>
        <w:r>
          <w:rPr>
            <w:rStyle w:val="888"/>
            <w:rFonts w:ascii="Arial" w:hAnsi="Arial" w:eastAsia="Arial" w:cs="Arial"/>
            <w:b/>
            <w:color w:val="0000ee"/>
            <w:sz w:val="21"/>
            <w:u w:val="single"/>
          </w:rPr>
          <w:t xml:space="preserve">2</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1473" w:history="1">
        <w:r>
          <w:rPr>
            <w:rStyle w:val="888"/>
            <w:rFonts w:ascii="SimSun" w:hAnsi="SimSun" w:eastAsia="SimSun" w:cs="SimSun"/>
            <w:b/>
            <w:color w:val="0000ee"/>
            <w:sz w:val="21"/>
            <w:u w:val="single"/>
          </w:rPr>
          <w:t xml:space="preserve">第二章供应商须知</w:t>
        </w:r>
        <w:r>
          <w:rPr>
            <w:rStyle w:val="888"/>
            <w:rFonts w:ascii="Arial" w:hAnsi="Arial" w:eastAsia="Arial" w:cs="Arial"/>
            <w:b/>
            <w:color w:val="0000ee"/>
            <w:sz w:val="21"/>
            <w:u w:val="single"/>
          </w:rPr>
          <w:t xml:space="preserve">5</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3952" w:history="1">
        <w:r>
          <w:rPr>
            <w:rStyle w:val="888"/>
            <w:rFonts w:ascii="SimSun" w:hAnsi="SimSun" w:eastAsia="SimSun" w:cs="SimSun"/>
            <w:b/>
            <w:color w:val="0000ee"/>
            <w:sz w:val="21"/>
            <w:u w:val="single"/>
          </w:rPr>
          <w:t xml:space="preserve">第三章合同条款及格式</w:t>
        </w:r>
        <w:r>
          <w:rPr>
            <w:rStyle w:val="888"/>
            <w:rFonts w:ascii="Arial" w:hAnsi="Arial" w:eastAsia="Arial" w:cs="Arial"/>
            <w:b/>
            <w:color w:val="0000ee"/>
            <w:sz w:val="21"/>
            <w:u w:val="single"/>
          </w:rPr>
          <w:t xml:space="preserve">20</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5378" w:history="1">
        <w:r>
          <w:rPr>
            <w:rStyle w:val="888"/>
            <w:rFonts w:ascii="SimSun" w:hAnsi="SimSun" w:eastAsia="SimSun" w:cs="SimSun"/>
            <w:b/>
            <w:color w:val="0000ee"/>
            <w:sz w:val="21"/>
            <w:u w:val="single"/>
          </w:rPr>
          <w:t xml:space="preserve">第四章采购需求</w:t>
        </w:r>
        <w:r>
          <w:rPr>
            <w:rStyle w:val="888"/>
            <w:rFonts w:ascii="Arial" w:hAnsi="Arial" w:eastAsia="Arial" w:cs="Arial"/>
            <w:b/>
            <w:color w:val="0000ee"/>
            <w:sz w:val="21"/>
            <w:u w:val="single"/>
          </w:rPr>
          <w:t xml:space="preserve">24</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4363" w:history="1">
        <w:r>
          <w:rPr>
            <w:rStyle w:val="888"/>
            <w:rFonts w:ascii="SimSun" w:hAnsi="SimSun" w:eastAsia="SimSun" w:cs="SimSun"/>
            <w:b/>
            <w:color w:val="0000ee"/>
            <w:sz w:val="21"/>
            <w:u w:val="single"/>
          </w:rPr>
          <w:t xml:space="preserve">第五章评审方法与评审标准</w:t>
        </w:r>
        <w:r>
          <w:rPr>
            <w:rStyle w:val="888"/>
            <w:rFonts w:ascii="Arial" w:hAnsi="Arial" w:eastAsia="Arial" w:cs="Arial"/>
            <w:b/>
            <w:color w:val="0000ee"/>
            <w:sz w:val="21"/>
            <w:u w:val="single"/>
          </w:rPr>
          <w:t xml:space="preserve">26</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5417" w:history="1">
        <w:r>
          <w:rPr>
            <w:rStyle w:val="888"/>
            <w:rFonts w:ascii="SimSun" w:hAnsi="SimSun" w:eastAsia="SimSun" w:cs="SimSun"/>
            <w:b/>
            <w:color w:val="0000ee"/>
            <w:sz w:val="21"/>
            <w:u w:val="single"/>
          </w:rPr>
          <w:t xml:space="preserve">第六章响应文件格式</w:t>
        </w:r>
        <w:r>
          <w:rPr>
            <w:rStyle w:val="888"/>
            <w:rFonts w:ascii="Arial" w:hAnsi="Arial" w:eastAsia="Arial" w:cs="Arial"/>
            <w:b/>
            <w:color w:val="0000ee"/>
            <w:sz w:val="21"/>
            <w:u w:val="single"/>
          </w:rPr>
          <w:t xml:space="preserve">28</w:t>
        </w:r>
      </w:hyperlink>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83"/>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pStyle w:val="683"/>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第一章磋商公告</w:t>
      </w:r>
      <w:r/>
    </w:p>
    <w:p>
      <w:pPr>
        <w:ind w:left="0" w:right="0" w:firstLine="482"/>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用水统计直报资料第三方核查采购公告</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用水统计直报资料第三方核查JSZC-320000-JSFH-C2026-0039采购项目的潜在供应商应在江苏政府采购“苏采云”系统获取采购文件，并于2026-9-30  09:30（北京时间）前递交响应文件。</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项目编号：JSZC-320000-JSFH-C2026-0039</w:t>
      </w:r>
      <w:r>
        <w:rPr>
          <w:rFonts w:ascii="SimSun" w:hAnsi="SimSun" w:eastAsia="SimSun" w:cs="SimSun"/>
          <w:b/>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项目名称：用水统计直报资料第三方核查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预算金额</w:t>
      </w:r>
      <w:r>
        <w:rPr>
          <w:rFonts w:ascii="SimSun" w:hAnsi="SimSun" w:eastAsia="SimSun" w:cs="SimSun"/>
          <w:color w:val="000000"/>
          <w:sz w:val="24"/>
        </w:rPr>
        <w:t xml:space="preserve">：149万元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SimSun" w:hAnsi="SimSun" w:eastAsia="SimSun" w:cs="SimSun"/>
          <w:b/>
          <w:color w:val="000000"/>
          <w:sz w:val="24"/>
        </w:rPr>
        <w:t xml:space="preserve">147万元，供应商的响应报价不得超过该最高限价，否则按无效响应处理。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b/>
          <w:color w:val="000000"/>
          <w:sz w:val="24"/>
        </w:rPr>
        <w:t xml:space="preserve">1.开展2026年用水统计直报资料第三方核查全省直报数据核查。2.开展2026年度用水统计直报资料第三方核查农业灌溉用水核查。3.配合开展2026年度全省用水统计直报填报数据（包含取用水户、县级水行政主管部门）质量抽查。4.开展2026年度用水统计直报数据与年度社会经济数据耦合性分析。</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合同履行期限：2027年2月20日前完成，具体时间安排按采购人要求。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w:t>
      </w:r>
      <w:r>
        <w:rPr>
          <w:rFonts w:ascii="SimSun" w:hAnsi="SimSun" w:eastAsia="SimSun" w:cs="SimSun"/>
          <w:b/>
          <w:color w:val="000000"/>
          <w:sz w:val="24"/>
        </w:rPr>
        <w:t xml:space="preserve">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1.具有独立承担民事责任的能力（提供法人或者其他组织的营业执照或事业单位法人证书；供应商为自然人的，提供其身份证）；</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2.具有良好的商业信誉和健全的财务会计制度（提供2025年财务审计报告或响应截止时间前六个月内其基本开户银行出具的资信证明，成立不满一年不需提供）；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4.有依法缴纳税收和社会保障资金的良好记录（提供参加本次政府采购活动前六个月内（至少一个月）依法缴纳税收和社会保障资金的相关材料）；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（二）落实政府采购政策需满足的资格要求：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1）《政府采购促进中小企业发展管理办法》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（2）《关于政府采购支持监狱企业发展有关问题的通知》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（3）《关于促进残疾人就业政府采购政策的通知》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（4）《关于调整优化节能产品、环境标志产品政府采购执行机制的通知》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（5）《关于做好政府采购支持企业发展有关事项的通知》</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本项目属于非专门面向中小企业采购的项目，残疾人福利性单位、监狱和戒毒企业（简称监狱企业）视同小型、微型企业。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w:t>
      </w:r>
      <w:r>
        <w:rPr>
          <w:rFonts w:ascii="SimSun" w:hAnsi="SimSun" w:eastAsia="SimSun" w:cs="SimSun"/>
          <w:b/>
          <w:color w:val="000000"/>
          <w:sz w:val="24"/>
        </w:rPr>
        <w:t xml:space="preserve">采购文件</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w:t>
      </w:r>
      <w:r>
        <w:rPr>
          <w:rFonts w:ascii="SimSun" w:hAnsi="SimSun" w:eastAsia="SimSun" w:cs="SimSun"/>
          <w:color w:val="000000"/>
          <w:sz w:val="24"/>
        </w:rPr>
        <w:t xml:space="preserve">磋商文件公告发布之日起5个工作日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截止时间：2026-9-30  9:30（北京时间）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w:t>
      </w:r>
      <w:r/>
    </w:p>
    <w:p>
      <w:pPr>
        <w:numPr>
          <w:ilvl w:val="0"/>
          <w:numId w:val="13"/>
        </w:numP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开启</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时间：2026-9-30  9:30（北京时间）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地点：“苏采云”系统（网址：http://jszfcg.jsczt.cn/）“开标大厅”</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1.本次采购公告在中国政府采购网、江苏政府采购网发布,有关本次采购的事项若存在变动或修改，敬请及时关注江苏政府采购网发布的关于本项目的信息更正公告。</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3.本项目采购标的所属行业为：其他未列明行业。</w:t>
      </w:r>
      <w:r/>
    </w:p>
    <w:p>
      <w:pPr>
        <w:ind w:left="0" w:right="0" w:firstLine="477"/>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供应商单位负责人为同一或者存在直接控股、管理关系的不同供应商，不得参加同一合同项下的政府采购活动。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凡为本项目提供整体设计、规范编制或者项目管理、监理、检测等服务的供应商，不得参加本次项目的采购活动。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供应商被“信用中国”网站（https://www.creditchina.gov.cn/）、“中国政府采购网”（http://www.ccgp.gov.cn/）列入失信被执行人、重大税收违法案件当事人名单、政府采购严重违法失信行为记录名单。</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w:t>
      </w:r>
      <w:r>
        <w:rPr>
          <w:rFonts w:ascii="SimSun" w:hAnsi="SimSun" w:eastAsia="SimSun" w:cs="SimSun"/>
          <w:b/>
          <w:color w:val="000000"/>
          <w:sz w:val="24"/>
        </w:rPr>
        <w:t xml:space="preserve">、凡对本次采购提出询问，请按以下方式联系。</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单位名称：江苏省水利厅</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单位地址：南京市上海路5号江苏水利大厦</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联系人：孙晓文 </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联系方式：025-86338472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单位名称：江苏富华工程造价咨询有限公司</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单位地址：南京市建邺区嘉陵江东街50号康缘智汇港A栋16楼</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联系人：陶亮</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联系方式：13357739791</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项目联系人：陶亮</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电话：13357739791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pStyle w:val="683"/>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85"/>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供应商</w:t>
      </w:r>
      <w:r>
        <w:rPr>
          <w:rFonts w:ascii="SimHei" w:hAnsi="SimHei" w:eastAsia="SimHei" w:cs="SimHei"/>
          <w:b/>
          <w:color w:val="000000"/>
          <w:sz w:val="28"/>
        </w:rPr>
        <w:t xml:space="preserve">须知前附表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本表是对《供应商须知》正文的具体补充和修改，如有矛盾，以本《前附表》为准。</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73"/>
        <w:gridCol w:w="5692"/>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2"/>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2"/>
              </w:rPr>
              <w:t xml:space="preserve">编列内容规定</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用水统计直报资料第三方核查</w:t>
            </w:r>
            <w:r/>
          </w:p>
        </w:tc>
      </w:tr>
      <w:tr>
        <w:trPr>
          <w:trHeight w:val="10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名称：江苏省水利厅</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联系人：孙晓文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电话：025-86338472  </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名称：江苏富华工程造价咨询有限公司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联系人：陶亮</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电话：13357739791、13951623632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开启前答疑会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样品递交：不需要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149万元。</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147万元。供应商的响应报价不得超过该最高限价，否则按无效响应处理。</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响应报价的其他要求：无</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自提交响应文件的截止之日起算90日历天</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供应商应当按照《操作手册》规定，在磋商公告规定的响应截止时间前制作并上传电子响应文件。采购代理机构拒绝接收提交响应文件截止时间后上传的任何电子响应文件。</w:t>
            </w:r>
            <w:r/>
          </w:p>
        </w:tc>
      </w:tr>
      <w:tr>
        <w:trPr>
          <w:trHeight w:val="10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提交响应文件的截止时间、地点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开启时间、地点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3人及以上单数。</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服务类项目，本项目不涉及核心产品。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确定成交单位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1.磋商小组根据本采购文件规定评分办法与评分标准综合打分，并确定排名第一的成交候选人为成交人。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2.成交供应商因不可抗力或者自身原因不能履行采购合同的，采购人可以与排位在成交供应商之后第一位的成交候选供应商签订采购合同，以此类推；采购人也可以重新开展采购活动。</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13" w:right="0" w:firstLine="1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供应商对采购文件的</w:t>
            </w:r>
            <w:r>
              <w:rPr>
                <w:rFonts w:ascii="Arial" w:hAnsi="Arial" w:eastAsia="Arial" w:cs="Arial"/>
                <w:color w:val="000000"/>
                <w:sz w:val="22"/>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rPr>
                <w:rFonts w:ascii="SimSun" w:hAnsi="SimSun" w:eastAsia="SimSun" w:cs="SimSun"/>
                <w:b/>
                <w:color w:val="000000"/>
                <w:sz w:val="22"/>
              </w:rPr>
              <w:t xml:space="preserve">2026年9月28日17:00</w:t>
            </w:r>
            <w:r>
              <w:rPr>
                <w:rFonts w:ascii="SimSun" w:hAnsi="SimSun" w:eastAsia="SimSun" w:cs="SimSun"/>
                <w:color w:val="000000"/>
                <w:sz w:val="22"/>
              </w:rPr>
              <w:t xml:space="preserve">前</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形式：以书面形式（盖章扫描件及WPS兼容格式文件发至</w:t>
            </w:r>
            <w:r>
              <w:rPr>
                <w:rFonts w:ascii="SimSun" w:hAnsi="SimSun" w:eastAsia="SimSun" w:cs="SimSun"/>
                <w:color w:val="000000"/>
                <w:sz w:val="22"/>
                <w:u w:val="single"/>
              </w:rPr>
              <w:t xml:space="preserve">jsfh2019@126.com</w:t>
            </w:r>
            <w:r>
              <w:rPr>
                <w:rFonts w:ascii="SimSun" w:hAnsi="SimSun" w:eastAsia="SimSun" w:cs="SimSun"/>
                <w:color w:val="000000"/>
                <w:sz w:val="22"/>
              </w:rPr>
              <w:t xml:space="preserve">邮箱）通知采购代理机构。</w:t>
            </w:r>
            <w:r/>
          </w:p>
        </w:tc>
      </w:tr>
      <w:tr>
        <w:trPr>
          <w:trHeight w:val="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13" w:right="0" w:firstLine="13"/>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供应商对采购文件提出的质疑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形式：以书面形式通知采购代理机构。如采用邮件形式（盖章扫描件及WPS兼容格式文件发至</w:t>
            </w:r>
            <w:r>
              <w:rPr>
                <w:rFonts w:ascii="SimSun" w:hAnsi="SimSun" w:eastAsia="SimSun" w:cs="SimSun"/>
                <w:color w:val="000000"/>
                <w:sz w:val="22"/>
                <w:u w:val="single"/>
              </w:rPr>
              <w:t xml:space="preserve">jsfh2019@126.com</w:t>
            </w:r>
            <w:r>
              <w:rPr>
                <w:rFonts w:ascii="SimSun" w:hAnsi="SimSun" w:eastAsia="SimSun" w:cs="SimSun"/>
                <w:color w:val="000000"/>
                <w:sz w:val="22"/>
              </w:rPr>
              <w:t xml:space="preserve">邮箱）通知，采购代理机构将以邮件形式进行答复。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本项目采购代理服务费由采购人支付。</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1.采购方式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满足本磋商文件实质性要求的规定。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3.适用法律和标准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3.1本次磋商及由此产生的合同受中华人民共和国有关的法律法规制约和保护。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3.2在本项目政府采购活动过程中，如果所执行的标准有更新的，按照最新标准执行。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4.磋商费用</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4.1供应商应自行承担所有与参加本次磋商有关的费用，无论磋商过程中的做法和结果如何，采购人或采购代理机构在任何情况下均无义务和责任承担这些费用。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5.政策功能</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 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（1）政府采购促进中小企业发展，在政府采购活动中，供应商提供的货物、工程或者服务符合《政府采购促进中小企业发展管理办法》（财库〔2020〕46号）、</w:t>
      </w:r>
      <w:r>
        <w:rPr>
          <w:rFonts w:ascii="SimSun" w:hAnsi="SimSun" w:eastAsia="SimSun" w:cs="SimSun"/>
          <w:b/>
          <w:color w:val="000000"/>
          <w:sz w:val="24"/>
        </w:rPr>
        <w:t xml:space="preserve">《</w:t>
      </w:r>
      <w:r>
        <w:rPr>
          <w:rFonts w:ascii="SimSun" w:hAnsi="SimSun" w:eastAsia="SimSun" w:cs="SimSun"/>
          <w:b/>
          <w:color w:val="000000"/>
          <w:sz w:val="24"/>
          <w:highlight w:val="white"/>
        </w:rPr>
        <w:t xml:space="preserve">关于进一步加大政府采购支持中小企业力度的通知</w:t>
      </w:r>
      <w:r>
        <w:rPr>
          <w:rFonts w:ascii="SimSun" w:hAnsi="SimSun" w:eastAsia="SimSun" w:cs="SimSun"/>
          <w:b/>
          <w:color w:val="000000"/>
          <w:sz w:val="24"/>
        </w:rPr>
        <w:t xml:space="preserve">》</w:t>
      </w:r>
      <w:r>
        <w:rPr>
          <w:rFonts w:ascii="SimSun" w:hAnsi="SimSun" w:eastAsia="SimSun" w:cs="SimSun"/>
          <w:b/>
          <w:color w:val="000000"/>
          <w:sz w:val="24"/>
          <w:highlight w:val="white"/>
        </w:rPr>
        <w:t xml:space="preserve">（财库〔2022〕19号）、</w:t>
      </w:r>
      <w:r>
        <w:rPr>
          <w:rFonts w:ascii="SimSun" w:hAnsi="SimSun" w:eastAsia="SimSun" w:cs="SimSun"/>
          <w:b/>
          <w:color w:val="000000"/>
          <w:sz w:val="24"/>
        </w:rPr>
        <w:t xml:space="preserve">《江苏省财政厅关于进一步加大政府采购支持中小企业力度的通知》（苏财购〔2022〕45号）</w:t>
      </w:r>
      <w:r>
        <w:rPr>
          <w:rFonts w:ascii="SimSun" w:hAnsi="SimSun" w:eastAsia="SimSun" w:cs="SimSun"/>
          <w:color w:val="000000"/>
          <w:sz w:val="24"/>
        </w:rPr>
        <w:t xml:space="preserve">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（2）对于专门面向中小企业或小型、微型企业的项目，只面向中小企业或小型、微型企业采购。对于非专门面向中小企业的项目，对小型和微型企业的报价给予</w:t>
      </w:r>
      <w:r>
        <w:rPr>
          <w:rFonts w:ascii="SimSun" w:hAnsi="SimSun" w:eastAsia="SimSun" w:cs="SimSun"/>
          <w:b/>
          <w:color w:val="000000"/>
          <w:sz w:val="24"/>
        </w:rPr>
        <w:t xml:space="preserve">10%</w:t>
      </w:r>
      <w:r>
        <w:rPr>
          <w:rFonts w:ascii="SimSun" w:hAnsi="SimSun" w:eastAsia="SimSun" w:cs="SimSun"/>
          <w:color w:val="000000"/>
          <w:sz w:val="24"/>
        </w:rPr>
        <w:t xml:space="preserve">的扣除，用扣除后的价格参与评审。参加政府采购活动的中小企业应当提供《中小企业声明函》。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以联合体形式参加政府采购活动的，联合体各方均为中小企业的，联合体视同中小企业。其中，联合体各方均为小微企业的，联合体视同小微企业。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（4）依据《政府采购促进中小企业发展管理办法》（财库〔2020〕46号）规定的扶持政策获取政府采购合同后，小型、微型企业不得将合同采购包给大型、中型企业，中型企业不得将合同采购包给大型企业。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SimSun" w:hAnsi="SimSun" w:eastAsia="SimSun" w:cs="SimSun"/>
          <w:color w:val="000000"/>
          <w:sz w:val="24"/>
        </w:rPr>
        <w:t xml:space="preserve">残疾人福利性单位、监狱和戒毒企业（简称监狱企业）视同小型、微型企业。</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 节能产品、环境标志产品政策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（1）政府采购节能产品、环境标志产品实施品目清单管理。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（2）拟采购产品属于节能产品、环境标志产品品目清单规定必须强制采购的，实行强制采购。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（3）拟采购产品属于节能产品、环境标志产品品目清单规定优先采购的，在性能、技术、服务等指标同等条件下，实行优先采购，优先采购的评审标准详见本竞争性磋商文件第四章。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（4）参加政府采购活动的节能产品、环境标志产品供应商应当提供国家确定的认证机构出具的、处于有效期之内的节能产品、环境标志产品认证证书。</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 进口产品政策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（1）除在磋商文件另有规定外，不允许进口产品参加。进口产品认定依照《财政部关于政府采购进口产品管理有关问题的通知》（财办库〔2008〕248号）的规定。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（2）允许进口产品参加的，满足需求的国内产品可以参加。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（3）允许进口产品参加的，优先采购向我国企业转让技术、与我国企业签订消化吸收再创新方案的供应商的进口产品。</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二、磋商文件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6.磋商文件构成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7.磋商文件的澄清和修改</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 更正公告内容将作为磋商文件的组成部分，并对供应商具有约束力。不足5日的，采购代理机构将顺延提交首次响应文件截止时间。</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7.2采购人可以视采购项目的具体情况，组织供应商进行现场考察或召开磋商前答疑会，但不单独或分别组织只有一个供应商参加的现场考察和答疑会。</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8.响应文件的语言、计量单位、货币和编制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供应商所使用的计量单位应为国家法定计量单位。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供应商应用人民币报价。报价产品如果是进口产品的，应提供人民币与外币之间的汇率；报价单位为“元”。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响应文件应字迹清楚、内容齐全、不得涂改。如有修改，修改处须有供应商公章或投标专用章和法定代表人或其授权磋商代表签字。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响应文件应按照竞争性磋商文件规定的顺序，统一用A4规格幅面制作成册并编制目录，由于编排混乱导致响应文件被误读或查找不到，责任由供应商承担。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供应商应在响应文件中写清相应的项目编号、项目名称、供应商全称、地址、电话、传真等。</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供应商应当根据竞争性磋商文件要求编制响应文件，并根据自己的商务能力、技术水平对竞争性磋商文件提出的要求和条件逐条标明是否响应。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响应文件由商务部分、技术部分、价格部分，以及其他部分组成。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本次采购的最小单位是包。采购项目的技术要求中未划分采购包的，供应商对要求提供的服务不得部分响应；采购项目的技术要求中已经划分采购包的，可以以包为单位响应。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w:t>
      </w:r>
      <w:r>
        <w:rPr>
          <w:rFonts w:ascii="SimSun" w:hAnsi="SimSun" w:eastAsia="SimSun" w:cs="SimSun"/>
          <w:b/>
          <w:color w:val="000000"/>
          <w:sz w:val="24"/>
        </w:rPr>
        <w:t xml:space="preserve">响应文件的商务部分</w:t>
      </w:r>
      <w:r>
        <w:rPr>
          <w:rFonts w:ascii="SimSun" w:hAnsi="SimSun" w:eastAsia="SimSun" w:cs="SimSun"/>
          <w:color w:val="000000"/>
          <w:sz w:val="24"/>
        </w:rPr>
        <w:t xml:space="preserve">。商务部分是证明供应商有资格参加磋商和成交后有能力履行合同的文件，这些文件应能满足竞争性磋商采购的要求，包括但不限于下列文件</w:t>
      </w:r>
      <w:r>
        <w:rPr>
          <w:rFonts w:ascii="SimSun" w:hAnsi="SimSun" w:eastAsia="SimSun" w:cs="SimSun"/>
          <w:b/>
          <w:color w:val="000000"/>
          <w:sz w:val="24"/>
        </w:rPr>
        <w:t xml:space="preserve">[（1）-（5）所述材料如提供不全或不满足磋商文件的实质性要求，磋商小组有权否决供应商的响应]：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（1）竞争性磋商申请及声明</w:t>
      </w:r>
      <w:r>
        <w:rPr>
          <w:rFonts w:ascii="SimSun" w:hAnsi="SimSun" w:eastAsia="SimSun" w:cs="SimSun"/>
          <w:b/>
          <w:color w:val="000000"/>
          <w:sz w:val="21"/>
        </w:rPr>
        <w:t xml:space="preserve">★</w:t>
      </w:r>
      <w:r>
        <w:rPr>
          <w:rFonts w:ascii="SimSun" w:hAnsi="SimSun" w:eastAsia="SimSun" w:cs="SimSun"/>
          <w:color w:val="000000"/>
          <w:sz w:val="24"/>
        </w:rPr>
        <w:t xml:space="preserve">（格式见附件）；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（2）法定代表人身份证明或法定代表人授权委托书</w:t>
      </w:r>
      <w:r>
        <w:rPr>
          <w:rFonts w:ascii="SimSun" w:hAnsi="SimSun" w:eastAsia="SimSun" w:cs="SimSun"/>
          <w:b/>
          <w:color w:val="000000"/>
          <w:sz w:val="21"/>
        </w:rPr>
        <w:t xml:space="preserve">★</w:t>
      </w:r>
      <w:r>
        <w:rPr>
          <w:rFonts w:ascii="SimSun" w:hAnsi="SimSun" w:eastAsia="SimSun" w:cs="SimSun"/>
          <w:color w:val="000000"/>
          <w:sz w:val="24"/>
        </w:rPr>
        <w:t xml:space="preserve">（格式见附件）；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（3）第一章磋商公告中“《中华人民共和国政府采购法》规定的资格条件证明文件”</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（4）第一章磋商公告中“采购人根据采购项目的特殊要求规定的特定条件证明文件”（若有）</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（5）《商务响应偏离表》</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（6）供应商认为需要提供的其他资格证明文件和商务资料。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w:t>
      </w:r>
      <w:r>
        <w:rPr>
          <w:rFonts w:ascii="SimSun" w:hAnsi="SimSun" w:eastAsia="SimSun" w:cs="SimSun"/>
          <w:b/>
          <w:color w:val="000000"/>
          <w:sz w:val="24"/>
        </w:rPr>
        <w:t xml:space="preserve">响应文件的技术部分</w:t>
      </w:r>
      <w:r>
        <w:rPr>
          <w:rFonts w:ascii="SimSun" w:hAnsi="SimSun" w:eastAsia="SimSun" w:cs="SimSun"/>
          <w:color w:val="000000"/>
          <w:sz w:val="24"/>
        </w:rPr>
        <w:t xml:space="preserve">。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（1）项目技术方案或服务说明；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（2）《技术响应偏离表》</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（3）供应商认为需要提供的其他技术资料。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5.6 响应文件的价格部分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（1）价格部分是对服务价格构成的说明，竞争性磋商文件如没有特别说明的话，对每一项服务仅接受一个价格。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（2）报价应包含与磋商项目有关的所有费用，以及技术资料、支付给员工的工资和国家强制缴纳的各种社会保障资金，以及供应商认为需要的其他费用等。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（3）供应商应以表格形式详细说明服务的价格构成，以及价格构成各项因素的单价和总价。供应商系中小企业（含小型、微型企业），并由本企业提供服务的，须在《报价表》《分项报价表》中注明。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（4）供应商应充分考虑到市场价格变动，以及项目实施过程中的不可预见因素，一旦成交，总价格不变。如果有漏项，视同让利。</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（5）响应文件所报的响应价格不得超过磋商文件规定的最高限价，超过磋商文件规定的最高限价的响应文件，按无效响应处理</w:t>
      </w:r>
      <w:r>
        <w:rPr>
          <w:rFonts w:ascii="SimSun" w:hAnsi="SimSun" w:eastAsia="SimSun" w:cs="SimSun"/>
          <w:b/>
          <w:color w:val="000000"/>
          <w:sz w:val="21"/>
        </w:rPr>
        <w:t xml:space="preserve">★</w:t>
      </w:r>
      <w:r>
        <w:rPr>
          <w:rFonts w:ascii="SimSun" w:hAnsi="SimSun" w:eastAsia="SimSun" w:cs="SimSun"/>
          <w:b/>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（6）经磋商后，如果成交价低于供应商在响应文件报价的话，除特别注明外，分项报价同比例调整。</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5.7 响应文件的其他部分。</w:t>
      </w:r>
      <w:r>
        <w:rPr>
          <w:rFonts w:ascii="SimSun" w:hAnsi="SimSun" w:eastAsia="SimSun" w:cs="SimSun"/>
          <w:color w:val="000000"/>
          <w:sz w:val="24"/>
        </w:rPr>
        <w:t xml:space="preserve">其他部分由供应商根据编制响应文件需要提供的其 他相关文件组成。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15.磋商有效期</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15.1磋商有效期为提交响应文件截止之日后九十（90）天。磋商有效期比规定短的将被视为非实质性响应磋商文件而予以拒绝。</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16.磋商有效期的延长</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17.电子响应文件的递交</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17.1供应商应当按照《操作手册》规定，在提交响应文件截止时间前制作并上传电子响应文件。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18.提交响应文件截止时间</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18.1供应商上传电子响应文件的时间不得迟于磋商公告中规定的提交响应文件截止时间。</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供应商应充分考虑到网络环境、网络带宽等风险因素，如因供应商自身原因造成的电子响应文件上传不成功的按照本磋商文件第二章第25.3.2条规定做无效响应处理。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19.响应文件的拒收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采购代理机构拒绝接收在其规定的提交响应文件截止时间后上传的任何电子响应文件。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20.响应文件的撤回和修改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20.1响应文件的撤回</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电子响应文件的撤回</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20.1.2供应商撤回电子响应文件，则认为其不再参与本项目磋商活动。</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20.2响应文件的修改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在提交响应文件截止时间之后，供应商不得对其电子响应文件作任何修改。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在提交响应文件截止时间至磋商文件中规定的磋商有效期满之间的这段时间内，供应商不得撤回其响应文件。</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五、响应文件的解密与评审</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21.响应文件解密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21.1供应商应当按照《操作手册》规定，在苏采云系统规定的时间内对响应文件进行解密。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22.1采购人将组织磋商小组对响应文件进行评审。磋商小组由采购人代表和有关技术、经济等方面的专家组成，且人员构成符合政府采购有关规定。</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22.2磋商小组独立工作，负责评审所有响应文件并确定成交侯选人。</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23.评审过程的保密与公正</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23.1磋商小组、采购人和采购代理机构工作人员、相关监督人员等与评审工作有关的人员，对评审情况以及在评审过程中获悉的国家秘密、商业秘密负有保密责任。</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23.2在评审过程中，供应商不得以任何行为影响磋商评审过程，否则其响应文件将被作为无效响应文件。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23.3在项目评审期间，采购代理机构将设专门人员与供应商联系。</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采购人及采购代理机构和磋商小组不向未成交的供应商解释未成交原因，也不公布评审过程中的相关细节。</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24.评审过程中的的澄清</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接到磋商小组澄清、说明和更正要求的供应商如未按规定做出澄清、说明和 更正，其风险由供应商自行承担。</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25.对响应文件的审查</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25.1响应文件审查分为资格审查和符合性审查。</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资格审查：由磋商小组依据法律法规和磋商文件的规定，对响应文件中的资格证明文件进行审查，以确定供应商是否具备参加磋商的资格。</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符合性审查：依据磋商文件的规定，由磋商小组从响应文件的有效性、完整性和对磋商文件的响应程度进行审查，以确定是否对磋商文件的实质性要求作出响应。</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25.3未实质性响应磋商文件的情形</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25.3.1供应商在苏采云系统规定的时间内未成功解密电子响应文件的。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25.3.2供应商未按照磋商文件要求上传电子响应文件的。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25.3.3供应商同一采购包提交两个（含两个）以上不同的响应文件或者最后报价的。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25.3.4供应商不具备磋商文件中规定资格要求的。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25.3.5供应商的最后报价超过了采购预算或最高限价的。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25.3.6不符合磋商文件中规定的实质性要求的</w:t>
      </w:r>
      <w:r>
        <w:rPr>
          <w:rFonts w:ascii="SimSun" w:hAnsi="SimSun" w:eastAsia="SimSun" w:cs="SimSun"/>
          <w:b/>
          <w:color w:val="000000"/>
          <w:sz w:val="24"/>
        </w:rPr>
        <w:t xml:space="preserve">（本磋商文件中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w:t>
      </w:r>
      <w:r>
        <w:rPr>
          <w:rFonts w:ascii="SimSun" w:hAnsi="SimSun" w:eastAsia="SimSun" w:cs="SimSun"/>
          <w:b/>
          <w:color w:val="000000"/>
          <w:sz w:val="21"/>
        </w:rPr>
        <w:t xml:space="preserve">★</w:t>
      </w:r>
      <w:r>
        <w:rPr>
          <w:rFonts w:ascii="SimSun" w:hAnsi="SimSun" w:eastAsia="SimSun" w:cs="SimSun"/>
          <w:b/>
          <w:color w:val="000000"/>
          <w:sz w:val="24"/>
        </w:rPr>
        <w:t xml:space="preserve">号条款为实质性要求）。</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25.3.8 响应文件含有采购人不能接受的附加条件的。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25.3.9响应文件未按照磋商文件要求加盖CA电子公章的。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25.3.10 供应商所提供的服务不符合磋商文件中所列国家强制性标准的。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25.4未实质性响应磋商文件的响应文件按无效响应处理。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25.5如果响应文件实质上没有响应磋商文件的要求，磋商小组将予以拒绝，供应商不得通过修改或撤销不符合要求的偏离或保留而使其成为实质性响应的文件。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25.6供应商在项目评审全过程中应保持通讯畅通，并安排专人与采购代理机构及磋商小组联系。</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26.磋商程序及评审方法与评审标准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26.1磋商程序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26.1.4 异常低价响应审查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（一）政府采购评审中出现下列情形之一的，磋商小组启动异常低价响应审查程序：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1.响应报价低于全部通过符合性审查供应商响应报价平均值50%的，即响应报价&lt;全部通过符合性审查供应商响应报价平均值×50%；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2.响应报价低于通过符合性审查的次低报价供应商响应报价50%的，即响应报价&lt;通过符合性审查的次低报价供应商响应报价×50%；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3.响应报价低于采购项目最高限价45%的，即响应报价&lt;采购项目最高限价×45%；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4.磋商小组基于专业判断，认为供应商报价过低，有可能影响产品质量或者不能诚信履约的其他情形。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采购人可以结合具体项目实际情况，提高上述第1项至第3项中启动异常低价响应审查的数值标准，但是最高不得超过65%。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启动异常低价响应审查后，属于前述第1项至第4项情形的，供应商在评审现场合理的时间内对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评审方法与评审标准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26.2.1评审方法。经磋商确定最终采购需求和提交最后报价的供应商后，由磋商小组采用综合评分法对提交最后报价的供应商的响应文件和最后报价进行综合评分。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26.3采购活动终止的情况</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26.3.1因情况变化，不再符合规定的竞争性磋商采购方式适用情形的。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26.3.2出现影响采购公正的违法、违规行为的。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26.3.3除本磋商文件第二章第26.1.2条第三款规定的情形外，在采购过程中符合要求的供应商或者最后报价未超过采购预算的供应商不足3家的。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26.3.4在苏采云系统规定时间内成功解密电子响应文件的供应商不足3家的。</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w:t>
      </w:r>
      <w:r>
        <w:rPr>
          <w:rFonts w:ascii="SimSun" w:hAnsi="SimSun" w:eastAsia="SimSun" w:cs="SimSun"/>
          <w:color w:val="000000"/>
          <w:sz w:val="24"/>
        </w:rPr>
        <w:t xml:space="preserve">成交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27.确定成交单位</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27.3若有充分证据证明，成交供应商出现下列情况之一的，一经查实，将被取消成交资格：</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27.3.1提供虚假材料谋取成交的。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27.3.2与评审专家、采购人、其他供应商或者采购代理机构工作人员恶意串通的。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27.3.3向评审专家、采购人或采购代理机构工作人员行贿或者提供其他不正当利益的。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27.3.4恶意竞争，最后报价明显低于其自身合理成本且又无法提供证明的。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27.3.5不满足本磋商文件规定的实质性要求，但在评审过程中又未被磋商小组发现的。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27.3.6成交后无正当理由拒不与采购人签订政府采购合同或者未按照磋商文件确定的事项签订政府采购合同的。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27.3.7将政府采购合同转包的。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28.2.2对采购过程提出质疑的，为各采购程序环节结束之日。</w:t>
        <w:br/>
        <w:t xml:space="preserve">28.2.3对成交结果提出质疑的，为成交结果公告期限届满之日。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采购人及采购代理机构只接收以纸质原件形式送达的质疑,建议供应商尽量通过邮寄方式提交质疑（采购人和采购代理机构不接受无快递运单号的快递）。</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采购人质疑接收人及联系方式见磋商文件第一章。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28.5以下情形的质疑不予受理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28.5.4未参加磋商活动的供应商或在磋商活动中自身权益未受到损害的供应商所提出的质疑。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28.5.5供应商组成联合体参加磋商，联合体中任何一方或多方未按要求签字、盖章、加盖公章的质疑。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29.成交通知书</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30.l成交供应商应当在成交通知书发出之日起三十日内，按照磋商文件确定的事项与采购人签订政府采购合同。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30.2磋商文件、成交供应商的响应文件及磋商过程中有关澄清、承诺文件均应作为合同附件。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31.标的物的追加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pStyle w:val="683"/>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pStyle w:val="683"/>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合同协议书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依据《中华人民共和国民法典》、《中华人民共和国政府采购法》与项目行业有关的法律法规，以及</w:t>
      </w:r>
      <w:r>
        <w:rPr>
          <w:rFonts w:ascii="SimSun" w:hAnsi="SimSun" w:eastAsia="SimSun" w:cs="SimSun"/>
          <w:b/>
          <w:color w:val="000000"/>
          <w:sz w:val="24"/>
          <w:u w:val="single"/>
        </w:rPr>
        <w:t xml:space="preserve">用水统计直报资料第三方核查</w:t>
      </w:r>
      <w:r>
        <w:rPr>
          <w:rFonts w:ascii="SimSun" w:hAnsi="SimSun" w:eastAsia="SimSun" w:cs="SimSun"/>
          <w:color w:val="000000"/>
          <w:sz w:val="24"/>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4"/>
        </w:rPr>
        <w:t xml:space="preserve">）的《磋商文件》，乙方的《响应文件》及《成交通知书》，甲、乙双方同意签订本合同。相关技术资料、文件、经双方确认进入合同的其他文件等均为本合同的组成部分。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1、项目名称：用水统计直报资料第三方核查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2、实施区域：江苏省。</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合同期限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服务期限及工作成果：2027年2月20日前完成，具体时间安排按甲方要求。</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服务内容与质量标准</w:t>
      </w:r>
      <w:r/>
    </w:p>
    <w:p>
      <w:pPr>
        <w:numPr>
          <w:ilvl w:val="0"/>
          <w:numId w:val="15"/>
        </w:numP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开展2026年用水统计直报资料第三方核查全省直报数据核查。主要任务包括： ①负责用水统计名录库中灌区、公共供水户、自备水源工业取用水户、自备水源服务业取用水户、人工河湖补水工程、畜禽养殖、建筑业、城镇环境等各类8000余个用水户动态调整和维护，开展新增取用水户入库认证及退出用户核销工作，同时对名录库中取用水户的基本信息、取水许可信息等进行复核，确保名录库信息与实际情况一致。②对2026年度全省用水统计直报系统中约3000余张基层定报表、1800余张基层年报表和900余张综合年报表填报数据开展逐表技术核查，同</w:t>
      </w:r>
      <w:r>
        <w:rPr>
          <w:rFonts w:ascii="SimSun" w:hAnsi="SimSun" w:eastAsia="SimSun" w:cs="SimSun"/>
          <w:color w:val="000000"/>
          <w:sz w:val="24"/>
        </w:rPr>
        <w:t xml:space="preserve">时，依托历史用水数据建立分行业、分区域用水趋势分析模型，开展逻辑一致性研判，识别填报数据的合理性。③开展用水统计直报填报数据日常质量抽检，分析存在问题及原因，提出改进措施。④围绕公共供水企业水量拆分及公共供水管网水量填报等事项开展现场复核。复核公共供水企业分用途水量拆分依据与方法，分析水量拆分数据的准确性和合理性。⑤编制2026年度全省用水统计直报资料第三方核查成果报告，含分季度直报数据技术复核报告、质量抽检分析报告、用水统计现场复核报告等专项报告。</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展2026年度用水统计直报资料第三方核查农业灌溉用水核查。主要任务包括：①针对全省大中型灌区、典型小型灌区及小型灌区的300余张基层定报表、160余张基层年报表、120余张综合年报表，开展灌溉用水量、灌溉定额预测与复核，包括灌区基础资料补充收集、调查与整理，水文年型分析，大中型灌区季度与年度灌溉用水量复核，典型小型灌区、小型灌区年度灌溉用水量复核，全省农业灌溉用水量预测等。②开展灌区用水统计直报系统数据日常质量抽检，总结分析灌区填报存在的问题及原因，提出改进措施。③开展典型灌区用水统计直报填报工作现场</w:t>
      </w:r>
      <w:r>
        <w:rPr>
          <w:rFonts w:ascii="SimSun" w:hAnsi="SimSun" w:eastAsia="SimSun" w:cs="SimSun"/>
          <w:color w:val="000000"/>
          <w:sz w:val="24"/>
        </w:rPr>
        <w:t xml:space="preserve">复核，选择直报系统填报灌溉水量、灌溉定额存疑的典型灌区，针对灌区种植结构、灌溉制度、计量设施、用水统计管理等开展现场复核，分析灌区数据填报中存在的共性问题及改进方向。④建立基于灌区逐日气象资料（降水、蒸发、温度、湿度等）、种植结构、灌溉制度等因素的灌溉用水复核模型，做好模型运行维护与数据更新工作，按季度分别提出不同灌区、水资源分区、区域农田灌溉用水建议定额。⑤编制2026年度用水统计直报资料第三方核查农业灌溉用水核查成果报告，含分季度大中型灌区基础填报数据质量复核报告、质量抽检分析报告、典型灌区现场复核报告</w:t>
      </w:r>
      <w:r>
        <w:rPr>
          <w:rFonts w:ascii="SimSun" w:hAnsi="SimSun" w:eastAsia="SimSun" w:cs="SimSun"/>
          <w:color w:val="000000"/>
          <w:sz w:val="24"/>
        </w:rPr>
        <w:t xml:space="preserve">等专项报告。</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合开展2026年度全省用水统计直报填报数据（包含取用水户、县级水行政主管部门）质量抽查。复核被抽查取用水户直报数据的真实性、准确性，并对被抽查县级水行政主管部门用水总量核算工作的合规性、准确性等进行抽查评估。在此基础上，对抽查发现的共性问题和典型问题进行分类汇总，提出系统性改进措施建议，编制2026年度全省用水统计工作质量抽查分析报告。</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展2026年度用水统计直报数据与年度社会经济数据耦合性分析。收集统计、住建、自然资源、农业农村、电力等部门发布的人口、GDP、工业增加值、耕地面积、鱼塘面积、牲畜数量、发电量及装机容量等经济社会相关数据，以 2026 年直报用水数据为基准，对接年度社会经济统计台账，开展变化趋势关联度、用水指标合理性等数据耦合性分析，校验用水数据逻辑合理性、校核统计填报质量；量化用水规模、结构、效率与经济产业、人口、农业生产、城镇化发展的匹配适配程度；识别数据错报、漏报、错报、口径冲突问题。编制相关分析报告。</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编制及验收要求：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2026年全省用水统计直报资料第三方核查成果报告》（含分季度直报数据技术复核报告、质量抽检分析报告、用水统计现场复核报告等专项报告）《2026年度用水统计直报资料第三方核查农业灌溉用水核查成果报告》（含分季度大中型灌区基础填报数据质量复核报告、质量抽检分析报告、典型灌区现场复核报告等专项报告）《2026年度全省用水统计工作质量抽查分析报告》《2026年度用水统计直报数据与年度社会经济数据耦合性分析报告》等报告编制，并通过甲方组织的履约验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服务费用及支付方式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本项目服务费用（大写）：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元。</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支付方式：合同签订生效后甲方向乙方支付合同价的70%；按照甲方要求，完成合同约定的所有内容，经甲方组织的履约验收合格后，甲方向乙方支付剩余合同款项。</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知识产权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乙方应保证所提供的服务或其任何一部分均不会侵犯任何第三方的专利权、商标权或著作权。</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无产权瑕疵条款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乙方保证所提供的服务的所有权完全属于乙方且无任何抵押、查封等产权瑕疵。如有产权瑕疵的，视为乙方违约。乙方应负担由此而产生的一切损失。</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甲方的权利和义务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2、甲方有权依据双方签订的考评办法对乙方提供的服务进行定期考评。当考评结果未达到标准时，有权依据考评办法约定的数额扣除履约保证金（如有）。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3、负责检查监督乙方管理工作的实施及制度的执行情况。</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4、根据本合同规定，按时向乙方支付应付服务费用。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5、国家法律、法规所规定由甲方承担的其它责任。</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乙方的权利和义务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1、对本合同规定的委托服务范围内的项目享有管理权及服务义务。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2、根据本合同的规定向甲方收取相关服务费用，并有权在本项目管理范围内管理及合理使用。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3、及时向甲方通告本项目服务范围内有关服务的重大事项，及时配合处理投诉。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4、接受项目行业管理部门及政府有关部门的指导，接受甲方的监督。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5、国家法律、法规所规定由乙方承担的其它责任。</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违约责任</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1、甲乙双方必须遵守本合同并执行合同中的各项规定，保证本合同的正常履行。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不可抗力事件处理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1、在合同有效期内，任何一方因不可抗力事件导致不能履行合同，则合同履行期可延长，其延长期与不可抗力影响期相同。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2、不可抗力事件发生后，应立即通知对方，并寄送有关权威机构出具的证明。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3、不可抗力事件延续</w:t>
      </w:r>
      <w:r>
        <w:rPr>
          <w:rFonts w:ascii="SimSun" w:hAnsi="SimSun" w:eastAsia="SimSun" w:cs="SimSun"/>
          <w:color w:val="000000"/>
          <w:sz w:val="21"/>
        </w:rPr>
        <w:t xml:space="preserve">90</w:t>
      </w:r>
      <w:r>
        <w:rPr>
          <w:rFonts w:ascii="SimSun" w:hAnsi="SimSun" w:eastAsia="SimSun" w:cs="SimSun"/>
          <w:color w:val="000000"/>
          <w:sz w:val="24"/>
        </w:rPr>
        <w:t xml:space="preserve">天以上，双方应通过友好协商，确定是否继续履行合同。</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争议的解决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2、因履行本合同引起的或与本合同有关的争议，甲、乙双方应首先通过友好协商解决，如果协商不能解决争议，则可向甲方所在地有管辖权的人民法院提起诉讼。  </w:t>
      </w:r>
      <w:r/>
    </w:p>
    <w:p>
      <w:pPr>
        <w:numPr>
          <w:ilvl w:val="0"/>
          <w:numId w:val="1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合同生效及其他</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1、合同经双方法定代表人或授权委托代理人签字并加盖单位公章后生效。</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2、合同执行中涉及采购资金和采购内容修改或补充的，须经政府采购监管部门审批，并签书面补充协议报政府采购监督管理部门备案，方可作为主合同不可分割的一部分。</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3、本合同一式</w:t>
      </w:r>
      <w:r>
        <w:rPr>
          <w:rFonts w:ascii="SimSun" w:hAnsi="SimSun" w:eastAsia="SimSun" w:cs="SimSun"/>
          <w:color w:val="000000"/>
          <w:sz w:val="21"/>
        </w:rPr>
        <w:t xml:space="preserve">6</w:t>
      </w:r>
      <w:r>
        <w:rPr>
          <w:rFonts w:ascii="SimSun" w:hAnsi="SimSun" w:eastAsia="SimSun" w:cs="SimSun"/>
          <w:color w:val="000000"/>
          <w:sz w:val="24"/>
        </w:rPr>
        <w:t xml:space="preserve">份，自双方签章之日起生效。甲方</w:t>
      </w:r>
      <w:r>
        <w:rPr>
          <w:rFonts w:ascii="SimSun" w:hAnsi="SimSun" w:eastAsia="SimSun" w:cs="SimSun"/>
          <w:color w:val="000000"/>
          <w:sz w:val="21"/>
        </w:rPr>
        <w:t xml:space="preserve">3</w:t>
      </w:r>
      <w:r>
        <w:rPr>
          <w:rFonts w:ascii="SimSun" w:hAnsi="SimSun" w:eastAsia="SimSun" w:cs="SimSun"/>
          <w:color w:val="000000"/>
          <w:sz w:val="24"/>
        </w:rPr>
        <w:t xml:space="preserve">份，乙方</w:t>
      </w:r>
      <w:r>
        <w:rPr>
          <w:rFonts w:ascii="SimSun" w:hAnsi="SimSun" w:eastAsia="SimSun" w:cs="SimSun"/>
          <w:color w:val="000000"/>
          <w:sz w:val="21"/>
        </w:rPr>
        <w:t xml:space="preserve">2</w:t>
      </w:r>
      <w:r>
        <w:rPr>
          <w:rFonts w:ascii="SimSun" w:hAnsi="SimSun" w:eastAsia="SimSun" w:cs="SimSun"/>
          <w:color w:val="000000"/>
          <w:sz w:val="24"/>
        </w:rPr>
        <w:t xml:space="preserve">份，同级财政部门备案</w:t>
      </w:r>
      <w:r>
        <w:rPr>
          <w:rFonts w:ascii="SimSun" w:hAnsi="SimSun" w:eastAsia="SimSun" w:cs="SimSun"/>
          <w:color w:val="000000"/>
          <w:sz w:val="21"/>
        </w:rPr>
        <w:t xml:space="preserve">1</w:t>
      </w:r>
      <w:r>
        <w:rPr>
          <w:rFonts w:ascii="SimSun" w:hAnsi="SimSun" w:eastAsia="SimSun" w:cs="SimSun"/>
          <w:color w:val="000000"/>
          <w:sz w:val="24"/>
        </w:rPr>
        <w:t xml:space="preserve">份，具有同等法律效力。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甲方：江苏省水利厅（盖章）    乙方：（盖章）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法定代表人（授权代表）：法定代表人（授权代表）：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SimSun" w:hAnsi="SimSun" w:eastAsia="SimSun" w:cs="SimSun"/>
          <w:color w:val="000000"/>
          <w:sz w:val="21"/>
        </w:rPr>
        <w:t xml:space="preserve">     </w:t>
      </w:r>
      <w:r>
        <w:rPr>
          <w:rFonts w:ascii="SimSun" w:hAnsi="SimSun" w:eastAsia="SimSun" w:cs="SimSun"/>
          <w:color w:val="000000"/>
          <w:sz w:val="24"/>
        </w:rPr>
        <w:t xml:space="preserve">年</w:t>
      </w:r>
      <w:r>
        <w:rPr>
          <w:rFonts w:ascii="SimSun" w:hAnsi="SimSun" w:eastAsia="SimSun" w:cs="SimSun"/>
          <w:color w:val="000000"/>
          <w:sz w:val="21"/>
        </w:rPr>
        <w:t xml:space="preserve">   </w:t>
      </w:r>
      <w:r>
        <w:rPr>
          <w:rFonts w:ascii="SimSun" w:hAnsi="SimSun" w:eastAsia="SimSun" w:cs="SimSun"/>
          <w:color w:val="000000"/>
          <w:sz w:val="24"/>
        </w:rPr>
        <w:t xml:space="preserve">月</w:t>
      </w:r>
      <w:r>
        <w:rPr>
          <w:rFonts w:ascii="SimSun" w:hAnsi="SimSun" w:eastAsia="SimSun" w:cs="SimSun"/>
          <w:color w:val="000000"/>
          <w:sz w:val="21"/>
        </w:rPr>
        <w:t xml:space="preserve">  </w:t>
      </w:r>
      <w:r>
        <w:rPr>
          <w:rFonts w:ascii="SimSun" w:hAnsi="SimSun" w:eastAsia="SimSun" w:cs="SimSun"/>
          <w:color w:val="000000"/>
          <w:sz w:val="24"/>
        </w:rPr>
        <w:t xml:space="preserve">日</w:t>
      </w:r>
      <w:r>
        <w:rPr>
          <w:rFonts w:ascii="SimSun" w:hAnsi="SimSun" w:eastAsia="SimSun" w:cs="SimSun"/>
          <w:color w:val="000000"/>
          <w:sz w:val="21"/>
        </w:rPr>
        <w:t xml:space="preserve">      </w:t>
      </w:r>
      <w:r>
        <w:rPr>
          <w:rFonts w:ascii="SimSun" w:hAnsi="SimSun" w:eastAsia="SimSun" w:cs="SimSun"/>
          <w:color w:val="000000"/>
          <w:sz w:val="24"/>
        </w:rPr>
        <w:t xml:space="preserve">签订日期：</w:t>
      </w:r>
      <w:r>
        <w:rPr>
          <w:rFonts w:ascii="SimSun" w:hAnsi="SimSun" w:eastAsia="SimSun" w:cs="SimSun"/>
          <w:color w:val="000000"/>
          <w:sz w:val="21"/>
        </w:rPr>
        <w:t xml:space="preserve">  </w:t>
      </w:r>
      <w:r>
        <w:rPr>
          <w:rFonts w:ascii="SimSun" w:hAnsi="SimSun" w:eastAsia="SimSun" w:cs="SimSun"/>
          <w:color w:val="000000"/>
          <w:sz w:val="24"/>
        </w:rPr>
        <w:t xml:space="preserve">年</w:t>
      </w:r>
      <w:r>
        <w:rPr>
          <w:rFonts w:ascii="SimSun" w:hAnsi="SimSun" w:eastAsia="SimSun" w:cs="SimSun"/>
          <w:color w:val="000000"/>
          <w:sz w:val="21"/>
        </w:rPr>
        <w:t xml:space="preserve">   </w:t>
      </w:r>
      <w:r>
        <w:rPr>
          <w:rFonts w:ascii="SimSun" w:hAnsi="SimSun" w:eastAsia="SimSun" w:cs="SimSun"/>
          <w:color w:val="000000"/>
          <w:sz w:val="24"/>
        </w:rPr>
        <w:t xml:space="preserve">月</w:t>
      </w:r>
      <w:r>
        <w:rPr>
          <w:rFonts w:ascii="SimSun" w:hAnsi="SimSun" w:eastAsia="SimSun" w:cs="SimSun"/>
          <w:color w:val="000000"/>
          <w:sz w:val="21"/>
        </w:rPr>
        <w:t xml:space="preserve">  </w:t>
      </w:r>
      <w:r>
        <w:rPr>
          <w:rFonts w:ascii="SimSun" w:hAnsi="SimSun" w:eastAsia="SimSun" w:cs="SimSun"/>
          <w:color w:val="000000"/>
          <w:sz w:val="24"/>
        </w:rPr>
        <w:t xml:space="preserve">日</w:t>
      </w:r>
      <w:r/>
    </w:p>
    <w:p>
      <w:pPr>
        <w:pStyle w:val="683"/>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为落实水资源刚性约束制度，提高用水统计调查数据质量，严格用水总量控制，推动经济社会发展量水而行，促进水资源节约保护，开展全省用水统计直报资料第三方核查十分必要。</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二、项目概况：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项目名称：用水统计直报资料第三方核查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2、实施区域：江苏省。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3、合同履行期限：2027年2月20日前完成，具体时间安排按采购人要求。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4、采购需求：1）开展2026年用水统计直报资料第三方核查全省直报数据核查。主要任务包括： ①负责用水统计名录库中灌区、公共供水户、自备水源工业取用水户、自备水源服务业取用水户、人工河湖补水工程、畜禽养殖、建筑业、城镇环境等各类8000余个用水户动态调整和维护，开展新增取用水户入库认证及退出用户核销工作，同时对名录库中取用水户的基本信息、取水许可信息等进行复核，确保名录库信息与实际情况一致。②对2026年度全省用水统计直报系统中约3000余张基层定报表、1800余张基层年报表和900余张综合年报表填报数据开</w:t>
      </w:r>
      <w:r>
        <w:rPr>
          <w:rFonts w:ascii="SimSun" w:hAnsi="SimSun" w:eastAsia="SimSun" w:cs="SimSun"/>
          <w:color w:val="000000"/>
          <w:sz w:val="24"/>
        </w:rPr>
        <w:t xml:space="preserve">展逐表技术核查，同时，依托历史用水数据建立分行业、分区域用水趋势分析模型，开展逻辑一致性研判，识别填报数据的合理性。③开展用水统计直报填报数据日常质量抽检，分析存在问题及原因，提出改进措施。④围绕公共供水企业水量拆分及公共供水管网水量填报等事项开展现场复核。复核公共供水企业分用途水量拆分依据与方法，分析水量拆分数据的准确性和合理性。⑤编制2026年度全省用水统计直报资料第三方核查成果报告，含分季度直报数据技术复核报告、质量抽检分析报告、用水统计现场复核报告等专项报告。2）开展2026年度用水统计直报资料第三</w:t>
      </w:r>
      <w:r>
        <w:rPr>
          <w:rFonts w:ascii="SimSun" w:hAnsi="SimSun" w:eastAsia="SimSun" w:cs="SimSun"/>
          <w:color w:val="000000"/>
          <w:sz w:val="24"/>
        </w:rPr>
        <w:t xml:space="preserve">方核查农业灌溉用水核查。主要任务包括：①针对全省大中型灌区、典型小型灌区及小型灌区的300余张基层定报表、160余张基层年报表、120余张综合年报表，开展灌溉用水量、灌溉定额预测与复核，包括灌区基础资料补充收集、调查与整理，水文年型分析，大中型灌区季度与年度灌溉用水量复核，典型小型灌区、小型灌区年度灌溉用水量复核，全省农业灌溉用水量预测等。②开展灌区用水统计直报系统数据日常质量抽检，总结分析灌区填报存在的问题及原因，提出改进措施。③开展典型灌区用水统计直报填报工作现场复核，选择直报系统填报灌溉水量、灌溉定额</w:t>
      </w:r>
      <w:r>
        <w:rPr>
          <w:rFonts w:ascii="SimSun" w:hAnsi="SimSun" w:eastAsia="SimSun" w:cs="SimSun"/>
          <w:color w:val="000000"/>
          <w:sz w:val="24"/>
        </w:rPr>
        <w:t xml:space="preserve">存疑的典型灌区，针对灌区种植结构、灌溉制度、计量设施、用水统计管理等开展现场复核，分析灌区数据填报中存在的共性问题及改进方向。④建立基于灌区逐日气象资料（降水、蒸发、温度、湿度等）、种植结构、灌溉制度等因素的灌溉用水复核模型，做好模型运行维护与数据更新工作，按季度分别提出不同灌区、水资源分区、区域农田灌溉用水建议定额。⑤编制2026年度用水统计直报资料第三方核查农业灌溉用水核查成果报告，含分季度大中型灌区基础填报数据质量复核报告、质量抽检分析报告、典型灌区现场复核报告等专项报告。3）配合开展2026年度全省</w:t>
      </w:r>
      <w:r>
        <w:rPr>
          <w:rFonts w:ascii="SimSun" w:hAnsi="SimSun" w:eastAsia="SimSun" w:cs="SimSun"/>
          <w:color w:val="000000"/>
          <w:sz w:val="24"/>
        </w:rPr>
        <w:t xml:space="preserve">用水统计直报填报数据（包含取用水户、县级水行政主管部门）质量抽查。复核被抽查取用水户直报数据的真实性、准确性，并对被抽查县级水行政主管部门用水总量核算工作的合规性、准确性等进行抽查评估。在此基础上，对抽查发现的共性问题和典型问题进行分类汇总，提出系统性改进措施建议，编制2026年度全省用水统计工作质量抽查分析报告。4）开展2026年度用水统计直报数据与年度社会经济数据耦合性分析。收集统计、住建、自然资源、农业农村、电力等部门发布的人口、GDP、工业增加值、耕地面积、鱼塘面积、牲畜数量、发电量及装机容量等经济</w:t>
      </w:r>
      <w:r>
        <w:rPr>
          <w:rFonts w:ascii="SimSun" w:hAnsi="SimSun" w:eastAsia="SimSun" w:cs="SimSun"/>
          <w:color w:val="000000"/>
          <w:sz w:val="24"/>
        </w:rPr>
        <w:t xml:space="preserve">社会相关数据，以 2026 年直报用水数据为基准，对接年度社会经济统计台账，开展变化趋势关联度、用水指标合理性等数据耦合性分析，校验用水数据逻辑合理性、校核统计填报质量；量化用水规模、结构、效率与经济产业、人口、农业生产、城镇化发展的匹配适配程度；识别数据错报、漏报、错报、口径冲突问题。编制相关分析报告。</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三、编制及验收要求：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2026年全省用水统计直报资料第三方核查成果报告》（含分季度直报数据技术复核报告、质量抽检分析报告、用水统计现场复核报告等专项报告）《2026年度用水统计直报资料第三方核查农业灌溉用水核查成果报告》（含分季度大中型灌区基础填报数据质量复核报告、质量抽检分析报告、典型灌区现场复核报告等专项报告）《2026年度全省用水统计工作质量抽查分析报告》《2026年度用水统计直报数据与年度社会经济数据耦合性分析报告》等报告编制，并通过采购人组织的履约验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0"/>
        <w:jc w:val="both"/>
        <w:spacing w:before="21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合同签订生效后采购人向成交供应商支付合同价的70%；按照采购人要求，完成合同约定的所有内容，经采购人组织的履约验收合格后，采购人向成交供应商支付剩余合同款项。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83"/>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第五章评审方法与评审标准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磋商小组将对确定为实质性响应磋商文件要求的响应文件进行评价和比较，评审采用综合评分法，总分值为</w:t>
      </w:r>
      <w:r>
        <w:rPr>
          <w:rFonts w:ascii="Arial" w:hAnsi="Arial" w:eastAsia="Arial" w:cs="Arial"/>
          <w:color w:val="000000"/>
          <w:sz w:val="24"/>
        </w:rPr>
        <w:t xml:space="preserve">100</w:t>
      </w:r>
      <w:r>
        <w:rPr>
          <w:rFonts w:ascii="SimSun" w:hAnsi="SimSun" w:eastAsia="SimSun" w:cs="SimSun"/>
          <w:color w:val="000000"/>
          <w:sz w:val="24"/>
        </w:rPr>
        <w:t xml:space="preserve">分。按评审后得分由高到低顺序对供应商进行排列。评审得分相同的，按照最后报价由低到高顺序排列；评审得分相同的，按照最后报价由低到高的顺序推荐。评审得分且最后报价相同的，按照技术指标优劣顺序推荐。</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A.</w:t>
      </w:r>
      <w:r>
        <w:rPr>
          <w:rFonts w:ascii="SimSun" w:hAnsi="SimSun" w:eastAsia="SimSun" w:cs="SimSun"/>
          <w:color w:val="000000"/>
          <w:sz w:val="24"/>
        </w:rPr>
        <w:t xml:space="preserve">价格部分（20分）</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实质性要求的磋商报价不高于最高限价的，为有效磋商报价。高于最高限价的磋商报价为无效报价，无效报价的响应文件不参与评审，也不得成交。以满足磋商文件实质性要求且最后磋商价格最低的有效报价为磋商基准价，该供应商报价得分为满分，即20分。其他供应商有效磋商报价得分统一按照下列公式计算：</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w:t>
      </w:r>
      <w:r>
        <w:rPr>
          <w:rFonts w:ascii="Arial" w:hAnsi="Arial" w:eastAsia="Arial" w:cs="Arial"/>
          <w:color w:val="000000"/>
          <w:sz w:val="24"/>
        </w:rPr>
        <w:t xml:space="preserve">/</w:t>
      </w:r>
      <w:r>
        <w:rPr>
          <w:rFonts w:ascii="SimSun" w:hAnsi="SimSun" w:eastAsia="SimSun" w:cs="SimSun"/>
          <w:color w:val="000000"/>
          <w:sz w:val="24"/>
        </w:rPr>
        <w:t xml:space="preserve">最后磋商报价）</w:t>
      </w:r>
      <w:r>
        <w:rPr>
          <w:rFonts w:ascii="Arial" w:hAnsi="Arial" w:eastAsia="Arial" w:cs="Arial"/>
          <w:color w:val="000000"/>
          <w:sz w:val="24"/>
        </w:rPr>
        <w:t xml:space="preserve">×</w:t>
      </w:r>
      <w:r>
        <w:rPr>
          <w:rFonts w:ascii="SimSun" w:hAnsi="SimSun" w:eastAsia="SimSun" w:cs="SimSun"/>
          <w:color w:val="000000"/>
          <w:sz w:val="24"/>
        </w:rPr>
        <w:t xml:space="preserve">20</w:t>
      </w:r>
      <w:r>
        <w:rPr>
          <w:rFonts w:ascii="Arial" w:hAnsi="Arial" w:eastAsia="Arial" w:cs="Arial"/>
          <w:color w:val="000000"/>
          <w:sz w:val="24"/>
        </w:rPr>
        <w:t xml:space="preserve">%×100</w:t>
      </w:r>
      <w:r>
        <w:rPr>
          <w:rFonts w:ascii="SimSun" w:hAnsi="SimSun" w:eastAsia="SimSun" w:cs="SimSun"/>
          <w:color w:val="000000"/>
          <w:sz w:val="24"/>
        </w:rPr>
        <w:t xml:space="preserve">。</w:t>
      </w:r>
      <w:r/>
    </w:p>
    <w:p>
      <w:pPr>
        <w:ind w:left="0" w:right="0" w:firstLine="482"/>
        <w:jc w:val="both"/>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B.</w:t>
      </w:r>
      <w:r>
        <w:rPr>
          <w:rFonts w:ascii="SimSun" w:hAnsi="SimSun" w:eastAsia="SimSun" w:cs="SimSun"/>
          <w:b/>
          <w:color w:val="000000"/>
          <w:sz w:val="24"/>
        </w:rPr>
        <w:t xml:space="preserve">技术及资信等部分（80分）</w:t>
      </w:r>
      <w:r>
        <w:rPr>
          <w:rFonts w:ascii="Arial" w:hAnsi="Arial" w:eastAsia="Arial" w:cs="Arial"/>
          <w:b/>
          <w:color w:val="000000"/>
          <w:sz w:val="24"/>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1375"/>
        <w:gridCol w:w="5939"/>
        <w:gridCol w:w="829"/>
      </w:tblGrid>
      <w:tr>
        <w:trPr>
          <w:trHeight w:val="27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项目组成员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项目组人员及结构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1、项目负责人具有水利类或统计类相关专业副高级及以上职称得3分；具有水利类或统计类相关专业中级职称得2分。</w:t>
            </w:r>
            <w:r>
              <w:rPr>
                <w:rFonts w:ascii="SimSun" w:hAnsi="SimSun" w:eastAsia="SimSun" w:cs="SimSun"/>
                <w:b/>
                <w:color w:val="000000"/>
                <w:sz w:val="22"/>
              </w:rPr>
              <w:t xml:space="preserve">最多得3分。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2、项目组成员（项目负责人除外）具有水利类或统计类相关专业副高级及以上职称每一位得1.5分；具有水利类或统计类相关专业中级职称每一位得1分。</w:t>
            </w:r>
            <w:r>
              <w:rPr>
                <w:rFonts w:ascii="SimSun" w:hAnsi="SimSun" w:eastAsia="SimSun" w:cs="SimSun"/>
                <w:b/>
                <w:color w:val="000000"/>
                <w:sz w:val="22"/>
              </w:rPr>
              <w:t xml:space="preserve">最多得15分</w:t>
            </w:r>
            <w:r>
              <w:rPr>
                <w:rFonts w:ascii="SimSun" w:hAnsi="SimSun" w:eastAsia="SimSun" w:cs="SimSun"/>
                <w:color w:val="000000"/>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本项最多得18分。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注：须提供①职称证书及相关证明文件（专业认定以职称证或毕业证为准）②上述人员社保机构出具的近半年内任一个月供应商为其缴纳的养老保险缴费证明材料。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18分</w:t>
            </w:r>
            <w:r/>
          </w:p>
        </w:tc>
      </w:tr>
      <w:tr>
        <w:trPr>
          <w:trHeight w:val="1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案等整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对本项目的理解和把握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对用水统计背景表述清晰，法律法规、规范性文件等依据全面充分，用水统计核查原则科学合理，目标可行，与项目需求的匹配度高、针对性强，</w:t>
            </w:r>
            <w:r>
              <w:rPr>
                <w:rFonts w:ascii="SimSun" w:hAnsi="SimSun" w:eastAsia="SimSun" w:cs="SimSun"/>
                <w:b/>
                <w:color w:val="000000"/>
                <w:sz w:val="22"/>
              </w:rPr>
              <w:t xml:space="preserve">最高8分</w:t>
            </w:r>
            <w:r>
              <w:rPr>
                <w:rFonts w:ascii="SimSun" w:hAnsi="SimSun" w:eastAsia="SimSun" w:cs="SimSun"/>
                <w:color w:val="000000"/>
                <w:sz w:val="22"/>
              </w:rPr>
              <w:t xml:space="preserve">。分档评分：表述精准，文字精炼，满足要求的得8分；表述基本精准，文字较精炼，基本满足要求的得6分；有部分缺陷的得3分；有明显缺项或缺陷的得1分；不提供不得分。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8分</w:t>
            </w:r>
            <w:r/>
          </w:p>
        </w:tc>
      </w:tr>
      <w:tr>
        <w:trPr>
          <w:trHeight w:val="182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研究资料收集处理能力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列出本项目研究所需的社会经济、水文气象、计量监控等基础资料清单，明确基础资料收集获取的渠道和方式，列明对资料进行分析处理的方法，</w:t>
            </w:r>
            <w:r>
              <w:rPr>
                <w:rFonts w:ascii="SimSun" w:hAnsi="SimSun" w:eastAsia="SimSun" w:cs="SimSun"/>
                <w:b/>
                <w:color w:val="000000"/>
                <w:sz w:val="22"/>
              </w:rPr>
              <w:t xml:space="preserve">最高6分</w:t>
            </w:r>
            <w:r>
              <w:rPr>
                <w:rFonts w:ascii="SimSun" w:hAnsi="SimSun" w:eastAsia="SimSun" w:cs="SimSun"/>
                <w:color w:val="000000"/>
                <w:sz w:val="22"/>
              </w:rPr>
              <w:t xml:space="preserve">。分档评分：内容全面，分析透彻，表述精准，满足要求的6分；内容较全面，分析较透彻，表述较精准，基本满足要求的得4分；有部分缺陷的得2分；有明显缺项或缺陷的得1分；不提供不得分。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6分</w:t>
            </w:r>
            <w:r/>
          </w:p>
        </w:tc>
      </w:tr>
      <w:tr>
        <w:trPr>
          <w:trHeight w:val="18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项目研究技术路线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针对用水统计第三方核查总体目标，所提技术路线科学合理，贴合本项目实际需求，针对性、操作性强，</w:t>
            </w:r>
            <w:r>
              <w:rPr>
                <w:rFonts w:ascii="SimSun" w:hAnsi="SimSun" w:eastAsia="SimSun" w:cs="SimSun"/>
                <w:b/>
                <w:color w:val="000000"/>
                <w:sz w:val="22"/>
              </w:rPr>
              <w:t xml:space="preserve">最高8分</w:t>
            </w:r>
            <w:r>
              <w:rPr>
                <w:rFonts w:ascii="SimSun" w:hAnsi="SimSun" w:eastAsia="SimSun" w:cs="SimSun"/>
                <w:color w:val="000000"/>
                <w:sz w:val="22"/>
              </w:rPr>
              <w:t xml:space="preserve">。分档评分：思路清晰、技术路线科学合理，表述精准，满足要求的得8分；基本满足要求，仅有细微不足的得6分；方案内容针对性一般、存在少量瑕疵或内容不完善的得4分；关键内容缺项，针对性和可操作性较差，无法较好适配项目需求的，得2分；未提供技术路线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8分</w:t>
            </w:r>
            <w:r/>
          </w:p>
        </w:tc>
      </w:tr>
      <w:tr>
        <w:trPr>
          <w:trHeight w:val="238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拟开展的重点工作内容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开展的用水统计直报资料第三方核查全省直报数据核查、农业灌溉用水量核查、用水统计工作质量抽查分析、用水统计直报数据与年度社会经济数据耦合性分析等重点工作内容全面详实，方法正确，表述精准，重点突出，</w:t>
            </w:r>
            <w:r>
              <w:rPr>
                <w:rFonts w:ascii="SimSun" w:hAnsi="SimSun" w:eastAsia="SimSun" w:cs="SimSun"/>
                <w:b/>
                <w:color w:val="000000"/>
                <w:sz w:val="22"/>
              </w:rPr>
              <w:t xml:space="preserve">最高16分</w:t>
            </w:r>
            <w:r>
              <w:rPr>
                <w:rFonts w:ascii="SimSun" w:hAnsi="SimSun" w:eastAsia="SimSun" w:cs="SimSun"/>
                <w:color w:val="000000"/>
                <w:sz w:val="22"/>
              </w:rPr>
              <w:t xml:space="preserve">。分档评分：内容全面详实，方法正确，表述精准，重点突出，满足要求的得16分；内容较全面，方法正确，表述较精准，重点突出，基本满足要求的得12分；内容未详细表述，方法基本正确，表述基本精准，有部分缺陷的得8分；内容不全，有明显缺项或缺陷的得4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16分</w:t>
            </w:r>
            <w:r/>
          </w:p>
        </w:tc>
      </w:tr>
      <w:tr>
        <w:trPr>
          <w:trHeight w:val="96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报告成果编制目录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报告成果大纲要求全面合理、逻辑性强，</w:t>
            </w:r>
            <w:r>
              <w:rPr>
                <w:rFonts w:ascii="SimSun" w:hAnsi="SimSun" w:eastAsia="SimSun" w:cs="SimSun"/>
                <w:b/>
                <w:color w:val="000000"/>
                <w:sz w:val="22"/>
              </w:rPr>
              <w:t xml:space="preserve">最高5分</w:t>
            </w:r>
            <w:r>
              <w:rPr>
                <w:rFonts w:ascii="SimSun" w:hAnsi="SimSun" w:eastAsia="SimSun" w:cs="SimSun"/>
                <w:color w:val="000000"/>
                <w:sz w:val="22"/>
              </w:rPr>
              <w:t xml:space="preserve">。分档评分：满足要求的得5分；基本满足要求的得3分；有部分缺陷的得1分；有明显缺项或缺陷的得0分。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r>
      <w:tr>
        <w:trPr>
          <w:trHeight w:val="10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工作进度、质量、保障措施及服务承诺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进度、质量及保障措施安排合理，措施得当、详实可信，满足本项目研究要求，</w:t>
            </w:r>
            <w:r>
              <w:rPr>
                <w:rFonts w:ascii="SimSun" w:hAnsi="SimSun" w:eastAsia="SimSun" w:cs="SimSun"/>
                <w:b/>
                <w:color w:val="000000"/>
                <w:sz w:val="22"/>
              </w:rPr>
              <w:t xml:space="preserve">最高7分</w:t>
            </w:r>
            <w:r>
              <w:rPr>
                <w:rFonts w:ascii="SimSun" w:hAnsi="SimSun" w:eastAsia="SimSun" w:cs="SimSun"/>
                <w:color w:val="000000"/>
                <w:sz w:val="22"/>
              </w:rPr>
              <w:t xml:space="preserve">。分档评分：满足要求的得7分；安排基本合理的得5分；安排不够合理的得3分；不提供不得分。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7分</w:t>
            </w:r>
            <w:r/>
          </w:p>
        </w:tc>
      </w:tr>
      <w:tr>
        <w:trPr>
          <w:trHeight w:val="1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2021年1月至今（以合同签订时间为准），承担过用水统计复核、用水总量核算分析、灌溉用水量复核、灌区水资源论证报告编制的有1项得3分，最高12分。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注：提供合同等有关证明材料。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w:t>
            </w:r>
            <w:r/>
          </w:p>
        </w:tc>
      </w:tr>
    </w:tbl>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必须保证全部响应资料的真实性，如有虚假或对磋商文件所要求说明的情况故意隐瞒或虚报，视为不实质性响应磋商文件，为无效响应。已成交的将取消成交资格，并按《中华人民共和国政府采购法》等法律法规处理。</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2.响应资料中相关证明材料只需提供复印件或扫描件，并加盖CA电子公章。</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3.根据“关于印发《政府采购促进中小企业发展管理办法》的通知”（财库〔2020〕46号） 、《关于进一步加大政府采购支持中小企业力度的通知》（财库〔2022〕19号）、《江苏省财政厅关于进一步加大政府采购支持中小企业力度的通知》（苏财购〔2022〕45号）的规定对符合规定的小微企业报价给予10%的扣除，用扣除后的价格参加评审。残疾人福利单位、监狱企业属于小型、微型企业的，不重复享受政策。</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4.按中小企业划分标准本项目采购标的物属于</w:t>
      </w:r>
      <w:r>
        <w:rPr>
          <w:rFonts w:ascii="SimSun" w:hAnsi="SimSun" w:eastAsia="SimSun" w:cs="SimSun"/>
          <w:b/>
          <w:color w:val="000000"/>
          <w:sz w:val="21"/>
          <w:u w:val="single"/>
        </w:rPr>
        <w:t xml:space="preserve">其他未列明行业</w:t>
      </w:r>
      <w:r>
        <w:rPr>
          <w:rFonts w:ascii="SimSun" w:hAnsi="SimSun" w:eastAsia="SimSun" w:cs="SimSun"/>
          <w:b/>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3"/>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1259" w:right="0" w:hanging="41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83"/>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一、基本目录</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2.竞争性磋商申请及声明</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3.分项报价表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4.技术响应偏离表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5.商务响应偏离表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6.法定代表人（非法人单位负责人）身份证明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7.法定代表人授权委托书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pStyle w:val="685"/>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磋商报价表</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0"/>
        <w:gridCol w:w="2626"/>
        <w:gridCol w:w="3120"/>
      </w:tblGrid>
      <w:tr>
        <w:trPr>
          <w:trHeight w:val="11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5"/>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致：江苏省水利厅</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用水统计直报资料第三方核查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（项目编号）磋商邀请，正式授权下述签字人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w:t>
      </w:r>
      <w:r>
        <w:rPr>
          <w:rFonts w:ascii="SimSun" w:hAnsi="SimSun" w:eastAsia="SimSun" w:cs="SimSun"/>
          <w:color w:val="000000"/>
          <w:sz w:val="22"/>
          <w:u w:val="single"/>
        </w:rPr>
        <w:t xml:space="preserve">                     </w:t>
      </w:r>
      <w:r>
        <w:rPr>
          <w:rFonts w:ascii="SimSun" w:hAnsi="SimSun" w:eastAsia="SimSun" w:cs="SimSun"/>
          <w:color w:val="000000"/>
          <w:sz w:val="22"/>
        </w:rPr>
        <w:t xml:space="preserve">（供应商名称），提交响应文件并参加磋商。</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据此函，签字人兹宣布同意如下：</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1．我们的资格条件完全符合相关法律法规和本次磋商要求，我们同意并向贵方提供了与本次磋商活动有关的所有证据和资料。</w:t>
      </w:r>
      <w:r/>
    </w:p>
    <w:p>
      <w:pPr>
        <w:ind w:left="0" w:right="0" w:firstLine="44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2．按采购要求，我们的首次响应总报价为（大写）</w:t>
      </w:r>
      <w:r>
        <w:rPr>
          <w:rFonts w:ascii="SimSun" w:hAnsi="SimSun" w:eastAsia="SimSun" w:cs="SimSun"/>
          <w:b/>
          <w:color w:val="000000"/>
          <w:sz w:val="22"/>
          <w:u w:val="single"/>
        </w:rPr>
        <w:t xml:space="preserve">            </w:t>
      </w:r>
      <w:r>
        <w:rPr>
          <w:rFonts w:ascii="SimSun" w:hAnsi="SimSun" w:eastAsia="SimSun" w:cs="SimSun"/>
          <w:color w:val="000000"/>
          <w:sz w:val="22"/>
        </w:rPr>
        <w:t xml:space="preserve">人民币，（小写）</w:t>
      </w:r>
      <w:r>
        <w:rPr>
          <w:rFonts w:ascii="SimSun" w:hAnsi="SimSun" w:eastAsia="SimSun" w:cs="SimSun"/>
          <w:b/>
          <w:color w:val="000000"/>
          <w:sz w:val="22"/>
          <w:u w:val="single"/>
        </w:rPr>
        <w:t xml:space="preserve">       </w:t>
      </w:r>
      <w:r>
        <w:rPr>
          <w:rFonts w:ascii="SimSun" w:hAnsi="SimSun" w:eastAsia="SimSun" w:cs="SimSun"/>
          <w:color w:val="000000"/>
          <w:sz w:val="22"/>
        </w:rPr>
        <w:t xml:space="preserve">元人民币，合同履行期限：</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磋商文件及其有效补充文件，我们放弃对磋商文件任何误解的权利，在提交响应文件后，不对磋商文件本身提出质疑。否则，属于不诚信和故意扰乱磋商活动行为，我们将无条件接受处罚。</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4．一旦我方成交，我方将根据磋商文件的规定，严格履行合同，保证于承诺的时间内完成本项目规定的服务内容。</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6．我方正式通讯方式为：</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7．我方正式开户银行和账号为：</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w:t>
      </w:r>
      <w:r>
        <w:rPr>
          <w:rFonts w:ascii="SimSun" w:hAnsi="SimSun" w:eastAsia="SimSun" w:cs="SimSun"/>
          <w:color w:val="000000"/>
          <w:sz w:val="22"/>
          <w:u w:val="single"/>
        </w:rPr>
        <w:t xml:space="preserve">                       </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w:t>
      </w:r>
      <w:r>
        <w:rPr>
          <w:rFonts w:ascii="SimSun" w:hAnsi="SimSun" w:eastAsia="SimSun" w:cs="SimSun"/>
          <w:color w:val="000000"/>
          <w:sz w:val="21"/>
          <w:u w:val="single"/>
        </w:rPr>
        <w:t xml:space="preserve">              （加盖CA电子公章）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授权代表签字：</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5"/>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分项报价表</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84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85"/>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技术响应偏离表</w:t>
      </w:r>
      <w:r/>
    </w:p>
    <w:p>
      <w:pPr>
        <w:ind w:left="0" w:right="0" w:firstLine="21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0" w:right="0" w:firstLine="21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2565"/>
        <w:gridCol w:w="2815"/>
        <w:gridCol w:w="1914"/>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注：1.对于某项指标的数据存在证明文件内容不一致的情况，取指标较低的为准，对于可以用量化形式表示的条款，供应商必须明确回答，或以功能描述回答。</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2.作为响应文件重要的组成部分，不能通过简单拷贝磋商文件技术要求或简单标注“符合”、“满足”。</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3.偏离包括正、负偏离，正偏离指供应商的响应高于磋商文件要求，负偏离指供应商的响应低于磋商文件要求。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85"/>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商务响应偏离表</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2565"/>
        <w:gridCol w:w="2815"/>
        <w:gridCol w:w="1914"/>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如供应商无任何偏离，也需在响应表中注明并在响应文件中递交此表。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偏离包括正、负偏离，正偏离指供应商的响应高于磋商文件要求，负偏离指供应商的响应低于磋商文件要求。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5"/>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法定代表人（非法人单位负责人）身份证明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r>
      <w:r>
        <w:rPr>
          <w:rFonts w:ascii="SimSun" w:hAnsi="SimSun" w:eastAsia="SimSun" w:cs="SimSun"/>
          <w:color w:val="000000"/>
          <w:spacing w:val="-3"/>
          <w:sz w:val="21"/>
        </w:rPr>
        <w:t xml:space="preserve">（</w:t>
      </w:r>
      <w:r>
        <w:rPr>
          <w:rFonts w:ascii="SimSun" w:hAnsi="SimSun" w:eastAsia="SimSun" w:cs="SimSun"/>
          <w:color w:val="000000"/>
          <w:sz w:val="21"/>
        </w:rPr>
        <w:t xml:space="preserve">供应商</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人/非法人单位负责人。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附：法定代表人（非法人单位负责人）有效期内的身份证复印件（正反面）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1260" w:right="0" w:firstLine="0"/>
        <w:jc w:val="both"/>
        <w:spacing w:before="1" w:after="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5"/>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法定代表人授权委托书</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的在法定代表人（签字或盖章）处签字的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（法定代表人姓名、职务）</w:t>
      </w:r>
      <w:r>
        <w:rPr>
          <w:rFonts w:ascii="SimSun" w:hAnsi="SimSun" w:eastAsia="SimSun" w:cs="SimSun"/>
          <w:color w:val="000000"/>
          <w:sz w:val="21"/>
        </w:rPr>
        <w:t xml:space="preserve">代表本单位授权</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w:t>
      </w:r>
      <w:r>
        <w:rPr>
          <w:rFonts w:ascii="SimSun" w:hAnsi="SimSun" w:eastAsia="SimSun" w:cs="SimSun"/>
          <w:color w:val="000000"/>
          <w:sz w:val="21"/>
        </w:rPr>
        <w:t xml:space="preserve">为本单位的合法代理人，就</w:t>
      </w:r>
      <w:r>
        <w:rPr>
          <w:rFonts w:ascii="SimSun" w:hAnsi="SimSun" w:eastAsia="SimSun" w:cs="SimSun"/>
          <w:color w:val="000000"/>
          <w:sz w:val="21"/>
          <w:u w:val="single"/>
        </w:rPr>
        <w:t xml:space="preserve">             （项目名称）（项目编号：）</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rPr>
          <w:rFonts w:ascii="Arial" w:hAnsi="Arial" w:eastAsia="Arial" w:cs="Arial"/>
          <w:color w:val="000000"/>
          <w:sz w:val="21"/>
          <w:u w:val="single"/>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Arial" w:hAnsi="Arial" w:eastAsia="Arial" w:cs="Arial"/>
          <w:color w:val="000000"/>
          <w:sz w:val="21"/>
        </w:rPr>
        <w:t xml:space="preserve"> </w:t>
      </w:r>
      <w:r>
        <w:rPr>
          <w:rFonts w:ascii="Arial" w:hAnsi="Arial" w:eastAsia="Arial" w:cs="Arial"/>
          <w:color w:val="000000"/>
          <w:sz w:val="21"/>
          <w:u w:val="single"/>
        </w:rPr>
        <w:t xml:space="preserve">                     </w:t>
      </w:r>
      <w:r/>
    </w:p>
    <w:p>
      <w:pPr>
        <w:ind w:left="0" w:right="0" w:firstLine="420"/>
        <w:jc w:val="both"/>
        <w:spacing w:before="21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Arial" w:hAnsi="Arial" w:eastAsia="Arial" w:cs="Arial"/>
          <w:color w:val="000000"/>
          <w:sz w:val="21"/>
          <w:u w:val="single"/>
        </w:rPr>
        <w:t xml:space="preserve">                            </w:t>
      </w:r>
      <w:r/>
    </w:p>
    <w:p>
      <w:pPr>
        <w:ind w:left="0" w:right="0" w:firstLine="420"/>
        <w:jc w:val="both"/>
        <w:spacing w:before="21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附：法定代表人有效期内的身份证复印件（正反面）</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4"/>
        <w:gridCol w:w="265"/>
        <w:gridCol w:w="4323"/>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4"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5"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23"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rPr>
              <w:t xml:space="preserve">身份证反面</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4"/>
        <w:gridCol w:w="259"/>
        <w:gridCol w:w="4340"/>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4"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9"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rPr>
              <w:t xml:space="preserve">身份证反面</w:t>
            </w:r>
            <w:r/>
          </w:p>
        </w:tc>
      </w:tr>
    </w:tbl>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 </w:t>
      </w:r>
      <w:r/>
    </w:p>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1.若供应商为分公司或分支机构等无法定代表人的机构（仅当磋商文件注明允许分公司或分支机构等响应时），则本响应文件各法定代表人签字处的签署人可为单位负责人。</w:t>
      </w:r>
      <w:r/>
    </w:p>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2.若响应文件中签字之处均为法定代表人本人签署，则可不提供本《授权委托书》，但须提供《法定代表人（非法人单位负责人）身份证明》。</w:t>
      </w:r>
      <w:r/>
    </w:p>
    <w:p>
      <w:pPr>
        <w:pStyle w:val="683"/>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pStyle w:val="683"/>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二、资格证明文件</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（一）满足《中华人民共和国政府采购法》第二十二条规定：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2.具有良好的商业信誉和健全的财务会计制度（提供2025年财务审计报告或响应截止时间前六个月内其基本开户银行出具的资信证明，成立不满一年不需提供）；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3.具有履行合同所必需的设备和专业技术能力（根据项目需求提供履行合同所必需的设备和专业技术能力的声明）；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4.有依法缴纳税收和社会保障资金的良好记录（提供参加本次政府采购活动前六个月内（至少一个月）依法缴纳税收和社会保障资金的相关材料）；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5.参加政府采购活动前三年内，在经营活动中没有重大违法记录（提供参加本次政府采购活动前3年内在经营活动中没有重大违法记录的书面声明）；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（二）落实政府采购政策需满足的资格要求：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（1）《政府采购促进中小企业发展管理办法》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（2）《关于政府采购支持监狱企业发展有关问题的通知》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（3）《关于促进残疾人就业政府采购政策的通知》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（4）《关于调整优化节能产品、环境标志产品政府采购执行机制的通知》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（5）《关于做好政府采购支持企业发展有关事项的通知》</w:t>
      </w:r>
      <w:r/>
    </w:p>
    <w:p>
      <w:pPr>
        <w:ind w:left="0" w:right="0" w:firstLine="44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本项目属于非专门面向中小企业采购的项目，残疾人福利性单位、监狱和戒毒企业（简称监狱企业）视同小型、微型企业。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（三）联合体协议书。</w:t>
      </w:r>
      <w:r/>
    </w:p>
    <w:p>
      <w:pPr>
        <w:ind w:left="0" w:right="0" w:firstLine="437"/>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（四）拒绝下述供应商参加本次采购活动：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供应商单位负责人为同一或者存在直接控股、管理关系的不同供应商，不得参加同一合同项下的政府采购活动。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凡为本项目提供整体设计、规范编制或者项目管理、监理、检测等服务的供应商，不得参加本次项目的采购活动。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供应商被“信用中国”网站（https://www.creditchina.gov.cn/）、“中国政府采购网”（http://www.ccgp.gov.cn/）列入失信被执行人、重大税收违法案件当事人名单、政府采购严重违法失信行为记录名单。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注：上述证明材料加盖CA电子公章。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具有履行合同所必需的设备和专业技术能力的书面声明</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我单位郑重声明：我单位具有履行本项采购合同所必需的设备和专业技术能力，为履行本项采购合同我公司具备如下主要设备和主要专业技术能力：</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6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参加本次政府采购活动前3年内在经营活动中没有重大违法记录的书面声明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致：江苏省水利厅</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参加本次政府采购活动前三年内，我单位在经营活动中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6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联合体协议书</w:t>
      </w:r>
      <w:r/>
    </w:p>
    <w:p>
      <w:pPr>
        <w:ind w:left="0" w:right="0" w:firstLine="48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（某成</w:t>
      </w:r>
      <w:r>
        <w:rPr>
          <w:rFonts w:ascii="SimSun" w:hAnsi="SimSun" w:eastAsia="SimSun" w:cs="SimSun"/>
          <w:color w:val="000000"/>
          <w:spacing w:val="-1"/>
          <w:sz w:val="24"/>
          <w:u w:val="single"/>
        </w:rPr>
        <w:t xml:space="preserve">员</w:t>
      </w:r>
      <w:r>
        <w:rPr>
          <w:rFonts w:ascii="SimSun" w:hAnsi="SimSun" w:eastAsia="SimSun" w:cs="SimSun"/>
          <w:color w:val="000000"/>
          <w:sz w:val="24"/>
          <w:u w:val="single"/>
        </w:rPr>
        <w:t xml:space="preserve">单位名称）  </w:t>
      </w:r>
      <w:r>
        <w:rPr>
          <w:rFonts w:ascii="SimSun" w:hAnsi="SimSun" w:eastAsia="SimSun" w:cs="SimSun"/>
          <w:color w:val="000000"/>
          <w:sz w:val="24"/>
        </w:rPr>
        <w:t xml:space="preserve">和</w:t>
      </w:r>
      <w:r>
        <w:rPr>
          <w:rFonts w:ascii="SimSun" w:hAnsi="SimSun" w:eastAsia="SimSun" w:cs="SimSun"/>
          <w:color w:val="000000"/>
          <w:sz w:val="24"/>
          <w:u w:val="single"/>
        </w:rPr>
        <w:t xml:space="preserve"> （某成</w:t>
      </w:r>
      <w:r>
        <w:rPr>
          <w:rFonts w:ascii="SimSun" w:hAnsi="SimSun" w:eastAsia="SimSun" w:cs="SimSun"/>
          <w:color w:val="000000"/>
          <w:spacing w:val="-1"/>
          <w:sz w:val="24"/>
          <w:u w:val="single"/>
        </w:rPr>
        <w:t xml:space="preserve">员</w:t>
      </w:r>
      <w:r>
        <w:rPr>
          <w:rFonts w:ascii="SimSun" w:hAnsi="SimSun" w:eastAsia="SimSun" w:cs="SimSun"/>
          <w:color w:val="000000"/>
          <w:sz w:val="24"/>
          <w:u w:val="single"/>
        </w:rPr>
        <w:t xml:space="preserve">单位名称） </w:t>
      </w:r>
      <w:r>
        <w:rPr>
          <w:rFonts w:ascii="SimSun" w:hAnsi="SimSun" w:eastAsia="SimSun" w:cs="SimSun"/>
          <w:color w:val="000000"/>
          <w:sz w:val="24"/>
        </w:rPr>
        <w:t xml:space="preserve">自愿组成</w:t>
      </w:r>
      <w:r>
        <w:rPr>
          <w:rFonts w:ascii="SimSun" w:hAnsi="SimSun" w:eastAsia="SimSun" w:cs="SimSun"/>
          <w:color w:val="000000"/>
          <w:sz w:val="24"/>
          <w:u w:val="single"/>
        </w:rPr>
        <w:t xml:space="preserve">            </w:t>
      </w:r>
      <w:r>
        <w:rPr>
          <w:rFonts w:ascii="SimSun" w:hAnsi="SimSun" w:eastAsia="SimSun" w:cs="SimSun"/>
          <w:color w:val="000000"/>
          <w:sz w:val="24"/>
        </w:rPr>
        <w:t xml:space="preserve">（联合体名称），共同参加</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pacing w:val="-1"/>
          <w:sz w:val="24"/>
        </w:rPr>
        <w:t xml:space="preserve">项</w:t>
      </w:r>
      <w:r>
        <w:rPr>
          <w:rFonts w:ascii="SimSun" w:hAnsi="SimSun" w:eastAsia="SimSun" w:cs="SimSun"/>
          <w:color w:val="000000"/>
          <w:sz w:val="24"/>
        </w:rPr>
        <w:t xml:space="preserve">目名称)</w:t>
      </w:r>
      <w:r>
        <w:rPr>
          <w:rFonts w:ascii="SimSun" w:hAnsi="SimSun" w:eastAsia="SimSun" w:cs="SimSun"/>
          <w:color w:val="000000"/>
          <w:sz w:val="24"/>
          <w:u w:val="single"/>
        </w:rPr>
        <w:t xml:space="preserve">          </w:t>
      </w:r>
      <w:r>
        <w:rPr>
          <w:rFonts w:ascii="SimSun" w:hAnsi="SimSun" w:eastAsia="SimSun" w:cs="SimSun"/>
          <w:color w:val="000000"/>
          <w:sz w:val="24"/>
        </w:rPr>
        <w:t xml:space="preserve">标段响应。现就联合体参与响应事宜订立如下协议：</w:t>
      </w:r>
      <w:r/>
    </w:p>
    <w:p>
      <w:pPr>
        <w:ind w:left="0" w:right="0" w:firstLine="48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(某成</w:t>
      </w:r>
      <w:r>
        <w:rPr>
          <w:rFonts w:ascii="SimSun" w:hAnsi="SimSun" w:eastAsia="SimSun" w:cs="SimSun"/>
          <w:color w:val="000000"/>
          <w:spacing w:val="-1"/>
          <w:sz w:val="24"/>
        </w:rPr>
        <w:t xml:space="preserve">员</w:t>
      </w:r>
      <w:r>
        <w:rPr>
          <w:rFonts w:ascii="SimSun" w:hAnsi="SimSun" w:eastAsia="SimSun" w:cs="SimSun"/>
          <w:color w:val="000000"/>
          <w:sz w:val="24"/>
        </w:rPr>
        <w:t xml:space="preserve">单位名称</w:t>
      </w:r>
      <w:r>
        <w:rPr>
          <w:rFonts w:ascii="SimSun" w:hAnsi="SimSun" w:eastAsia="SimSun" w:cs="SimSun"/>
          <w:color w:val="000000"/>
          <w:spacing w:val="1"/>
          <w:sz w:val="24"/>
        </w:rPr>
        <w:t xml:space="preserve">)</w:t>
      </w:r>
      <w:r>
        <w:rPr>
          <w:rFonts w:ascii="SimSun" w:hAnsi="SimSun" w:eastAsia="SimSun" w:cs="SimSun"/>
          <w:color w:val="000000"/>
          <w:sz w:val="24"/>
        </w:rPr>
        <w:t xml:space="preserve">为</w:t>
      </w:r>
      <w:r>
        <w:rPr>
          <w:rFonts w:ascii="SimSun" w:hAnsi="SimSun" w:eastAsia="SimSun" w:cs="SimSun"/>
          <w:color w:val="000000"/>
          <w:sz w:val="24"/>
          <w:u w:val="single"/>
        </w:rPr>
        <w:t xml:space="preserve">                   </w:t>
      </w:r>
      <w:r>
        <w:rPr>
          <w:rFonts w:ascii="SimSun" w:hAnsi="SimSun" w:eastAsia="SimSun" w:cs="SimSun"/>
          <w:color w:val="000000"/>
          <w:sz w:val="24"/>
        </w:rPr>
        <w:t xml:space="preserve">（联合体名称）牵头人。</w:t>
      </w:r>
      <w:r/>
    </w:p>
    <w:p>
      <w:pPr>
        <w:ind w:left="0" w:right="20" w:firstLine="480"/>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2、联合体各成员授权牵头人代表联合体参加响应活动，签署文件，提交和接收相关的资料、信息及指示，进行合同谈判活动，负责合同实施阶段的组织和协调工作，以及处理与本项目有关的一切事宜。</w:t>
      </w:r>
      <w:r/>
    </w:p>
    <w:p>
      <w:pPr>
        <w:ind w:left="0" w:right="20" w:firstLine="480"/>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3、联合体牵头人在本项目中签署的一切文件和处理的一切事宜，联合体各成员均予以承认。联合体各成员将严格按照磋商文件、响应文件和合同的要求全面履行义务，并向采购人承担连带责任。</w:t>
      </w:r>
      <w:r/>
    </w:p>
    <w:p>
      <w:pPr>
        <w:ind w:left="0" w:right="20" w:firstLine="566"/>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4、联合体各成员单位内部的职责分工如下：</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承担</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内容，占总工作量的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承担</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 内容，占总工作量的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p>
    <w:p>
      <w:pPr>
        <w:ind w:left="0" w:right="20" w:firstLine="480"/>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5、响应工作和联合体在承包后项目实施过程中的有关费用按各自承担的工作量分摊。</w:t>
      </w:r>
      <w:r/>
    </w:p>
    <w:p>
      <w:pPr>
        <w:ind w:left="20" w:right="20" w:firstLine="460"/>
        <w:jc w:val="both"/>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6、本协议书自所有成员单位法定代表人签字或盖单位章之日起生效，合同履行完毕后自动失效。</w:t>
      </w:r>
      <w:r/>
    </w:p>
    <w:p>
      <w:pPr>
        <w:ind w:left="0" w:right="0" w:firstLine="48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7、本协议书一式</w:t>
      </w:r>
      <w:r>
        <w:rPr>
          <w:rFonts w:ascii="SimSun" w:hAnsi="SimSun" w:eastAsia="SimSun" w:cs="SimSun"/>
          <w:color w:val="000000"/>
          <w:sz w:val="24"/>
          <w:u w:val="single"/>
        </w:rPr>
        <w:t xml:space="preserve">     </w:t>
      </w:r>
      <w:r>
        <w:rPr>
          <w:rFonts w:ascii="SimSun" w:hAnsi="SimSun" w:eastAsia="SimSun" w:cs="SimSun"/>
          <w:color w:val="000000"/>
          <w:sz w:val="24"/>
        </w:rPr>
        <w:t xml:space="preserve">份，联合体成员和发包人各执一份。</w:t>
      </w:r>
      <w:r/>
    </w:p>
    <w:p>
      <w:pPr>
        <w:ind w:left="0" w:right="0" w:firstLine="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联合体牵头人名称：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w:t>
      </w:r>
      <w:r>
        <w:rPr>
          <w:rFonts w:ascii="SimSun" w:hAnsi="SimSun" w:eastAsia="SimSun" w:cs="SimSun"/>
          <w:color w:val="000000"/>
          <w:spacing w:val="-1"/>
          <w:sz w:val="24"/>
        </w:rPr>
        <w:t xml:space="preserve">单</w:t>
      </w:r>
      <w:r>
        <w:rPr>
          <w:rFonts w:ascii="SimSun" w:hAnsi="SimSun" w:eastAsia="SimSun" w:cs="SimSun"/>
          <w:color w:val="000000"/>
          <w:sz w:val="24"/>
        </w:rPr>
        <w:t xml:space="preserve">位章)</w:t>
      </w:r>
      <w:r/>
    </w:p>
    <w:p>
      <w:pPr>
        <w:ind w:left="0" w:right="0" w:firstLine="0"/>
        <w:jc w:val="cente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pacing w:val="-1"/>
          <w:sz w:val="24"/>
        </w:rPr>
        <w:t xml:space="preserve">签</w:t>
      </w:r>
      <w:r>
        <w:rPr>
          <w:rFonts w:ascii="SimSun" w:hAnsi="SimSun" w:eastAsia="SimSun" w:cs="SimSun"/>
          <w:color w:val="000000"/>
          <w:sz w:val="24"/>
        </w:rPr>
        <w:t xml:space="preserve">字)</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联合体成员名称：</w:t>
      </w:r>
      <w:r>
        <w:rPr>
          <w:rFonts w:ascii="SimSun" w:hAnsi="SimSun" w:eastAsia="SimSun" w:cs="SimSun"/>
          <w:color w:val="000000"/>
          <w:sz w:val="24"/>
          <w:u w:val="single"/>
        </w:rPr>
        <w:t xml:space="preserve">                       </w:t>
      </w:r>
      <w:r>
        <w:rPr>
          <w:rFonts w:ascii="SimSun" w:hAnsi="SimSun" w:eastAsia="SimSun" w:cs="SimSun"/>
          <w:color w:val="000000"/>
          <w:spacing w:val="-1"/>
          <w:sz w:val="24"/>
        </w:rPr>
        <w:t xml:space="preserve"> (</w:t>
      </w:r>
      <w:r>
        <w:rPr>
          <w:rFonts w:ascii="SimSun" w:hAnsi="SimSun" w:eastAsia="SimSun" w:cs="SimSun"/>
          <w:color w:val="000000"/>
          <w:sz w:val="24"/>
        </w:rPr>
        <w:t xml:space="preserve">盖单位章)</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pacing w:val="-1"/>
          <w:sz w:val="24"/>
        </w:rPr>
        <w:t xml:space="preserve">(</w:t>
      </w:r>
      <w:r>
        <w:rPr>
          <w:rFonts w:ascii="SimSun" w:hAnsi="SimSun" w:eastAsia="SimSun" w:cs="SimSun"/>
          <w:color w:val="000000"/>
          <w:sz w:val="24"/>
        </w:rPr>
        <w:t xml:space="preserve">签字)</w:t>
      </w:r>
      <w:r/>
    </w:p>
    <w:p>
      <w:pPr>
        <w:ind w:left="0" w:right="0" w:firstLine="0"/>
        <w:jc w:val="cente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3"/>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供应商必须对技术要求和商务要求中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w:t>
      </w:r>
      <w:r>
        <w:rPr>
          <w:rFonts w:ascii="SimSun" w:hAnsi="SimSun" w:eastAsia="SimSun" w:cs="SimSun"/>
          <w:b/>
          <w:color w:val="000000"/>
          <w:sz w:val="21"/>
        </w:rPr>
        <w:t xml:space="preserve">★</w:t>
      </w:r>
      <w:r>
        <w:rPr>
          <w:rFonts w:ascii="SimSun" w:hAnsi="SimSun" w:eastAsia="SimSun" w:cs="SimSun"/>
          <w:b/>
          <w:color w:val="000000"/>
          <w:sz w:val="24"/>
        </w:rPr>
        <w:t xml:space="preserve">号条款</w:t>
      </w:r>
      <w:r>
        <w:rPr>
          <w:rFonts w:ascii="SimSun" w:hAnsi="SimSun" w:eastAsia="SimSun" w:cs="SimSun"/>
          <w:color w:val="000000"/>
          <w:sz w:val="24"/>
        </w:rPr>
        <w:t xml:space="preserve">的实质性要求逐条做出响应，并按照磋商文件要求提供证明材料，否则作无效响应处理。（格式如下表格）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实质性要求响应及偏离表（采购包号：**）</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1"/>
        <w:gridCol w:w="3702"/>
        <w:gridCol w:w="2585"/>
        <w:gridCol w:w="14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技术要求和商务要求中的实质性要求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i/>
                <w:color w:val="000000"/>
                <w:sz w:val="22"/>
                <w:u w:val="single"/>
              </w:rPr>
              <w:t xml:space="preserve">斜体且有下划线部分</w:t>
            </w:r>
            <w:r>
              <w:rPr>
                <w:rFonts w:ascii="SimSun" w:hAnsi="SimSun" w:eastAsia="SimSun" w:cs="SimSun"/>
                <w:b/>
                <w:color w:val="000000"/>
                <w:sz w:val="22"/>
              </w:rPr>
              <w:t xml:space="preserve">或加</w:t>
            </w:r>
            <w:r>
              <w:rPr>
                <w:rFonts w:ascii="SimSun" w:hAnsi="SimSun" w:eastAsia="SimSun" w:cs="SimSun"/>
                <w:b/>
                <w:color w:val="000000"/>
                <w:sz w:val="21"/>
              </w:rPr>
              <w:t xml:space="preserve">★</w:t>
            </w:r>
            <w:r>
              <w:rPr>
                <w:rFonts w:ascii="SimSun" w:hAnsi="SimSun" w:eastAsia="SimSun" w:cs="SimSun"/>
                <w:b/>
                <w:color w:val="000000"/>
                <w:sz w:val="22"/>
              </w:rPr>
              <w:t xml:space="preserve">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1.供应商必须对技术要求和商务要求中的实质性要求</w:t>
      </w:r>
      <w:r>
        <w:rPr>
          <w:rFonts w:ascii="SimSun" w:hAnsi="SimSun" w:eastAsia="SimSun" w:cs="SimSun"/>
          <w:b/>
          <w:color w:val="000000"/>
          <w:sz w:val="22"/>
        </w:rPr>
        <w:t xml:space="preserve">（</w:t>
      </w:r>
      <w:r>
        <w:rPr>
          <w:rFonts w:ascii="SimSun" w:hAnsi="SimSun" w:eastAsia="SimSun" w:cs="SimSun"/>
          <w:b/>
          <w:i/>
          <w:color w:val="000000"/>
          <w:sz w:val="22"/>
          <w:u w:val="single"/>
        </w:rPr>
        <w:t xml:space="preserve">斜体且有下划线部分</w:t>
      </w:r>
      <w:r>
        <w:rPr>
          <w:rFonts w:ascii="SimSun" w:hAnsi="SimSun" w:eastAsia="SimSun" w:cs="SimSun"/>
          <w:b/>
          <w:color w:val="000000"/>
          <w:sz w:val="22"/>
        </w:rPr>
        <w:t xml:space="preserve">或加</w:t>
      </w:r>
      <w:r>
        <w:rPr>
          <w:rFonts w:ascii="SimSun" w:hAnsi="SimSun" w:eastAsia="SimSun" w:cs="SimSun"/>
          <w:b/>
          <w:color w:val="000000"/>
          <w:sz w:val="21"/>
        </w:rPr>
        <w:t xml:space="preserve">★</w:t>
      </w:r>
      <w:r>
        <w:rPr>
          <w:rFonts w:ascii="SimSun" w:hAnsi="SimSun" w:eastAsia="SimSun" w:cs="SimSun"/>
          <w:b/>
          <w:color w:val="000000"/>
          <w:sz w:val="22"/>
        </w:rPr>
        <w:t xml:space="preserve">号条款为实质性要求）</w:t>
      </w:r>
      <w:r>
        <w:rPr>
          <w:rFonts w:ascii="SimSun" w:hAnsi="SimSun" w:eastAsia="SimSun" w:cs="SimSun"/>
          <w:color w:val="000000"/>
          <w:sz w:val="22"/>
        </w:rPr>
        <w:t xml:space="preserve">逐条做出明确响应，否则作无效响应处理。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2.如果磋商文件要求提供证明材料，供应商必须将证明材料列于该表之下。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3.供应商未对实质性要求逐条作出明确响应的，或未按磋商文件要求提供证明材料的，该采购包作无效响应处理。</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83"/>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四、综合评审评分项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供应商针对磋商文件和评标办法，认为应该列入的材料。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6"/>
        <w:gridCol w:w="645"/>
        <w:gridCol w:w="498"/>
        <w:gridCol w:w="527"/>
        <w:gridCol w:w="795"/>
        <w:gridCol w:w="667"/>
        <w:gridCol w:w="723"/>
        <w:gridCol w:w="707"/>
        <w:gridCol w:w="636"/>
        <w:gridCol w:w="616"/>
        <w:gridCol w:w="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供应商类似业绩情况表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1"/>
        <w:gridCol w:w="1342"/>
        <w:gridCol w:w="1166"/>
        <w:gridCol w:w="812"/>
        <w:gridCol w:w="1215"/>
        <w:gridCol w:w="1167"/>
        <w:gridCol w:w="7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签约及服务</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1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3"/>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w:t>
      </w:r>
      <w:r>
        <w:rPr>
          <w:rFonts w:ascii="SimSun" w:hAnsi="SimSun" w:eastAsia="SimSun" w:cs="SimSun"/>
          <w:b/>
          <w:color w:val="000000"/>
          <w:sz w:val="32"/>
          <w:u w:val="none"/>
        </w:rPr>
        <w:t xml:space="preserve">小微企业、监狱和戒毒企业、残疾人福利单位声明函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附件一、中小</w:t>
      </w:r>
      <w:r>
        <w:rPr>
          <w:rFonts w:ascii="SimSun" w:hAnsi="SimSun" w:eastAsia="SimSun" w:cs="SimSun"/>
          <w:b/>
          <w:color w:val="000000"/>
          <w:sz w:val="24"/>
        </w:rPr>
        <w:t xml:space="preserve">微企业声明函格式（若供应商为中小微企业须提供）</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中小微企业声明函（服务类项目）（采购包号：**）</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（供应商填写磋商文件中明确的所属行业）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（供应商填写磋商文件中明确的所属行业）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附件二、残疾人福利性单位声明函格式（若供应商为残疾人福利性单位须提供）</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项目编号为</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项目（项目名称）采购活动由本单位提供服务。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3.成交/成交供应商为残疾人福利性单位的，此声明函将随成交/成交结果同时公告，接受社会监督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2"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日期：_____年____月____日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附件三、属于监狱企业的证明文件（若供应商为监狱企业须提供）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notePr/>
      <w:endnotePr/>
      <w:type w:val="nextPage"/>
      <w:pgSz w:w="11906" w:h="16838" w:orient="portrait"/>
      <w:pgMar w:top="1361" w:right="1474" w:bottom="1361"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imSun">
    <w:panose1 w:val="02010600030101010101"/>
  </w:font>
  <w:font w:name="Symbol">
    <w:panose1 w:val="05050102010706020507"/>
  </w:font>
  <w:font w:name="楷体_GB2312">
    <w:panose1 w:val="02010609060101010101"/>
  </w:font>
  <w:font w:name="Tahoma">
    <w:panose1 w:val="020B0604030504040204"/>
  </w:font>
  <w:font w:name="MingLiU">
    <w:panose1 w:val="02020500000000000000"/>
  </w:font>
  <w:font w:name="Calibri Light">
    <w:panose1 w:val="020F0302020204030204"/>
  </w:font>
  <w:font w:name="华文楷体">
    <w:panose1 w:val="02010600040101010101"/>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Cambria">
    <w:panose1 w:val="02040503050406030204"/>
  </w:font>
  <w:font w:name="方正仿宋_GBK">
    <w:panose1 w:val="020B0503020202020204"/>
  </w:font>
  <w:font w:name="Microsoft New Tai Lue">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32</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tabs>
        <w:tab w:val="center" w:pos="4153" w:leader="none"/>
        <w:tab w:val="right" w:pos="8306" w:leader="none"/>
      </w:tabs>
      <w:rPr>
        <w:color w:val="333333"/>
      </w:rPr>
      <w:pBdr>
        <w:bottom w:val="none" w:color="000000" w:sz="0" w:space="0"/>
      </w:pBdr>
    </w:pPr>
    <w:r>
      <w:rPr>
        <w:color w:val="33333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pStyle w:val="860"/>
        <w:ind w:left="1521" w:hanging="1095"/>
        <w:tabs>
          <w:tab w:val="num" w:pos="1521" w:leader="none"/>
        </w:tabs>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2">
    <w:multiLevelType w:val="hybridMultilevel"/>
    <w:lvl w:ilvl="0">
      <w:start w:val="1"/>
      <w:numFmt w:val="bullet"/>
      <w:pStyle w:val="915"/>
      <w:isLgl w:val="false"/>
      <w:suff w:val="tab"/>
      <w:lvlText w:val=""/>
      <w:lvlJc w:val="left"/>
      <w:pPr>
        <w:pStyle w:val="86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44"/>
      <w:isLgl w:val="false"/>
      <w:suff w:val="tab"/>
      <w:lvlText w:val=""/>
      <w:lvlJc w:val="left"/>
      <w:pPr>
        <w:pStyle w:val="86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12"/>
      <w:isLgl w:val="false"/>
      <w:suff w:val="tab"/>
      <w:lvlText w:val="（%1）"/>
      <w:lvlJc w:val="left"/>
      <w:pPr>
        <w:pStyle w:val="860"/>
        <w:ind w:left="1380" w:hanging="855"/>
        <w:tabs>
          <w:tab w:val="num" w:pos="1380" w:leader="none"/>
        </w:tabs>
      </w:pPr>
      <w:rPr>
        <w:rFonts w:hint="eastAsia"/>
      </w:rPr>
    </w:lvl>
    <w:lvl w:ilvl="1">
      <w:start w:val="3"/>
      <w:numFmt w:val="decimal"/>
      <w:isLgl w:val="false"/>
      <w:suff w:val="tab"/>
      <w:lvlText w:val="%2."/>
      <w:lvlJc w:val="left"/>
      <w:pPr>
        <w:pStyle w:val="860"/>
        <w:ind w:left="1650" w:hanging="705"/>
        <w:tabs>
          <w:tab w:val="num" w:pos="1650" w:leader="none"/>
        </w:tabs>
      </w:pPr>
    </w:lvl>
    <w:lvl w:ilvl="2">
      <w:start w:val="1"/>
      <w:numFmt w:val="decimal"/>
      <w:isLgl w:val="false"/>
      <w:suff w:val="tab"/>
      <w:lvlText w:val="%3."/>
      <w:lvlJc w:val="left"/>
      <w:pPr>
        <w:pStyle w:val="860"/>
        <w:ind w:left="2265" w:hanging="900"/>
        <w:tabs>
          <w:tab w:val="num" w:pos="2265" w:leader="none"/>
        </w:tabs>
      </w:pPr>
      <w:rPr>
        <w:rFonts w:hint="eastAsia"/>
      </w:rPr>
    </w:lvl>
    <w:lvl w:ilvl="3">
      <w:start w:val="1"/>
      <w:numFmt w:val="decimal"/>
      <w:isLgl w:val="false"/>
      <w:suff w:val="tab"/>
      <w:lvlText w:val="（%4）"/>
      <w:lvlJc w:val="left"/>
      <w:pPr>
        <w:pStyle w:val="860"/>
        <w:ind w:left="2505" w:hanging="720"/>
        <w:tabs>
          <w:tab w:val="num" w:pos="2505" w:leader="none"/>
        </w:tabs>
      </w:pPr>
      <w:rPr>
        <w:rFonts w:hint="eastAsia" w:ascii="宋体" w:hAnsi="宋体" w:eastAsia="宋体"/>
        <w:sz w:val="24"/>
        <w:szCs w:val="24"/>
      </w:rPr>
    </w:lvl>
    <w:lvl w:ilvl="4">
      <w:start w:val="1"/>
      <w:numFmt w:val="lowerLetter"/>
      <w:isLgl w:val="false"/>
      <w:suff w:val="tab"/>
      <w:lvlText w:val="%5."/>
      <w:lvlJc w:val="left"/>
      <w:pPr>
        <w:pStyle w:val="860"/>
        <w:ind w:left="2565" w:hanging="360"/>
        <w:tabs>
          <w:tab w:val="num" w:pos="2565" w:leader="none"/>
        </w:tabs>
      </w:pPr>
      <w:rPr>
        <w:rFonts w:hint="eastAsia"/>
      </w:rPr>
    </w:lvl>
    <w:lvl w:ilvl="5">
      <w:start w:val="1"/>
      <w:numFmt w:val="decimal"/>
      <w:isLgl w:val="false"/>
      <w:suff w:val="tab"/>
      <w:lvlText w:val="%6．"/>
      <w:lvlJc w:val="left"/>
      <w:pPr>
        <w:pStyle w:val="860"/>
        <w:ind w:left="3345" w:hanging="720"/>
        <w:tabs>
          <w:tab w:val="num" w:pos="3345" w:leader="none"/>
        </w:tabs>
      </w:pPr>
      <w:rPr>
        <w:rFonts w:hint="eastAsia"/>
      </w:rPr>
    </w:lvl>
    <w:lvl w:ilvl="6">
      <w:start w:val="1"/>
      <w:numFmt w:val="decimal"/>
      <w:isLgl w:val="false"/>
      <w:suff w:val="tab"/>
      <w:lvlText w:val="%7."/>
      <w:lvlJc w:val="left"/>
      <w:pPr>
        <w:pStyle w:val="860"/>
        <w:ind w:left="3465" w:hanging="420"/>
        <w:tabs>
          <w:tab w:val="num" w:pos="3465" w:leader="none"/>
        </w:tabs>
      </w:pPr>
    </w:lvl>
    <w:lvl w:ilvl="7">
      <w:start w:val="1"/>
      <w:numFmt w:val="lowerLetter"/>
      <w:isLgl w:val="false"/>
      <w:suff w:val="tab"/>
      <w:lvlText w:val="%8)"/>
      <w:lvlJc w:val="left"/>
      <w:pPr>
        <w:pStyle w:val="860"/>
        <w:ind w:left="3885" w:hanging="420"/>
        <w:tabs>
          <w:tab w:val="num" w:pos="3885" w:leader="none"/>
        </w:tabs>
      </w:pPr>
    </w:lvl>
    <w:lvl w:ilvl="8">
      <w:start w:val="1"/>
      <w:numFmt w:val="lowerRoman"/>
      <w:isLgl w:val="false"/>
      <w:suff w:val="tab"/>
      <w:lvlText w:val="%9."/>
      <w:lvlJc w:val="right"/>
      <w:pPr>
        <w:pStyle w:val="860"/>
        <w:ind w:left="4305" w:hanging="420"/>
        <w:tabs>
          <w:tab w:val="num" w:pos="4305" w:leader="none"/>
        </w:tabs>
      </w:pPr>
    </w:lvl>
  </w:abstractNum>
  <w:abstractNum w:abstractNumId="5">
    <w:multiLevelType w:val="hybridMultilevel"/>
    <w:lvl w:ilvl="0">
      <w:start w:val="1"/>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center"/>
      <w:pPr>
        <w:pStyle w:val="860"/>
        <w:ind w:left="0" w:firstLine="288"/>
        <w:tabs>
          <w:tab w:val="num" w:pos="0" w:leader="none"/>
        </w:tabs>
      </w:pPr>
      <w:rPr>
        <w:rFonts w:ascii="Arial" w:hAnsi="Arial" w:eastAsia="仿宋_GB2312" w:cs="Times New Roman"/>
        <w:b w:val="0"/>
        <w:i w:val="0"/>
        <w:sz w:val="30"/>
        <w:szCs w:val="30"/>
      </w:rPr>
    </w:lvl>
    <w:lvl w:ilvl="1">
      <w:start w:val="1"/>
      <w:numFmt w:val="decimal"/>
      <w:pStyle w:val="914"/>
      <w:isLgl w:val="false"/>
      <w:suff w:val="tab"/>
      <w:lvlText w:val="%1.%2."/>
      <w:lvlJc w:val="left"/>
      <w:pPr>
        <w:pStyle w:val="860"/>
        <w:ind w:left="0" w:firstLine="0"/>
        <w:tabs>
          <w:tab w:val="num" w:pos="0" w:leader="none"/>
        </w:tabs>
      </w:pPr>
      <w:rPr>
        <w:rFonts w:ascii="Arial" w:hAnsi="Arial" w:eastAsia="黑体" w:cs="Times New Roman"/>
        <w:b w:val="0"/>
        <w:bCs/>
        <w:i w:val="0"/>
        <w:sz w:val="32"/>
        <w:szCs w:val="32"/>
      </w:rPr>
    </w:lvl>
    <w:lvl w:ilvl="2">
      <w:start w:val="1"/>
      <w:numFmt w:val="decimal"/>
      <w:pStyle w:val="974"/>
      <w:isLgl w:val="false"/>
      <w:suff w:val="tab"/>
      <w:lvlText w:val="%1.%2.%3."/>
      <w:lvlJc w:val="left"/>
      <w:pPr>
        <w:pStyle w:val="860"/>
        <w:ind w:left="0" w:firstLine="0"/>
        <w:tabs>
          <w:tab w:val="num" w:pos="0" w:leader="none"/>
        </w:tabs>
      </w:pPr>
      <w:rPr>
        <w:rFonts w:ascii="Arial" w:hAnsi="Arial" w:eastAsia="黑体" w:cs="Times New Roman"/>
        <w:b w:val="0"/>
        <w:i w:val="0"/>
        <w:sz w:val="30"/>
        <w:szCs w:val="30"/>
      </w:rPr>
    </w:lvl>
    <w:lvl w:ilvl="3">
      <w:start w:val="1"/>
      <w:numFmt w:val="decimal"/>
      <w:pStyle w:val="977"/>
      <w:isLgl w:val="false"/>
      <w:suff w:val="tab"/>
      <w:lvlText w:val="%1.%2.%3.%4."/>
      <w:lvlJc w:val="left"/>
      <w:pPr>
        <w:pStyle w:val="860"/>
        <w:ind w:left="0" w:firstLine="0"/>
        <w:tabs>
          <w:tab w:val="num" w:pos="0" w:leader="none"/>
        </w:tabs>
      </w:pPr>
      <w:rPr>
        <w:rFonts w:ascii="Arial" w:hAnsi="Arial" w:eastAsia="黑体" w:cs="Times New Roman"/>
        <w:b w:val="0"/>
        <w:i w:val="0"/>
        <w:sz w:val="30"/>
        <w:szCs w:val="30"/>
      </w:rPr>
    </w:lvl>
    <w:lvl w:ilvl="4">
      <w:start w:val="1"/>
      <w:numFmt w:val="decimal"/>
      <w:pStyle w:val="920"/>
      <w:isLgl w:val="false"/>
      <w:suff w:val="tab"/>
      <w:lvlText w:val="%1.%2.%3.%4.%5."/>
      <w:lvlJc w:val="left"/>
      <w:pPr>
        <w:pStyle w:val="860"/>
        <w:ind w:left="0" w:firstLine="0"/>
        <w:tabs>
          <w:tab w:val="num" w:pos="0" w:leader="none"/>
        </w:tabs>
      </w:pPr>
      <w:rPr>
        <w:rFonts w:ascii="Arial" w:hAnsi="Arial" w:eastAsia="黑体" w:cs="Times New Roman"/>
        <w:b w:val="0"/>
        <w:i w:val="0"/>
        <w:sz w:val="28"/>
        <w:szCs w:val="28"/>
      </w:rPr>
    </w:lvl>
    <w:lvl w:ilvl="5">
      <w:start w:val="1"/>
      <w:numFmt w:val="decimal"/>
      <w:pStyle w:val="945"/>
      <w:isLgl w:val="false"/>
      <w:suff w:val="tab"/>
      <w:lvlText w:val="%1.%2.%3.%4.%5.%6."/>
      <w:lvlJc w:val="left"/>
      <w:pPr>
        <w:pStyle w:val="860"/>
        <w:ind w:left="0" w:firstLine="0"/>
        <w:tabs>
          <w:tab w:val="num" w:pos="0" w:leader="none"/>
        </w:tabs>
      </w:pPr>
      <w:rPr>
        <w:rFonts w:ascii="Arial" w:hAnsi="Arial" w:eastAsia="黑体" w:cs="Times New Roman"/>
        <w:b w:val="0"/>
        <w:i w:val="0"/>
        <w:sz w:val="24"/>
        <w:szCs w:val="24"/>
      </w:rPr>
    </w:lvl>
    <w:lvl w:ilvl="6">
      <w:start w:val="1"/>
      <w:numFmt w:val="decimal"/>
      <w:isLgl w:val="false"/>
      <w:suff w:val="tab"/>
      <w:lvlText w:val="%1.%2.%3.%4.%5.%6.%7."/>
      <w:lvlJc w:val="left"/>
      <w:pPr>
        <w:pStyle w:val="860"/>
        <w:ind w:left="0" w:firstLine="0"/>
        <w:tabs>
          <w:tab w:val="num" w:pos="0" w:leader="none"/>
        </w:tabs>
      </w:pPr>
      <w:rPr>
        <w:rFonts w:ascii="Arial" w:hAnsi="Arial" w:eastAsia="黑体" w:cs="Times New Roman"/>
        <w:b/>
        <w:i w:val="0"/>
        <w:sz w:val="24"/>
        <w:szCs w:val="24"/>
      </w:rPr>
    </w:lvl>
    <w:lvl w:ilvl="7">
      <w:start w:val="1"/>
      <w:numFmt w:val="decimal"/>
      <w:pStyle w:val="936"/>
      <w:isLgl w:val="false"/>
      <w:suff w:val="tab"/>
      <w:lvlText w:val="%1.%2.%3.%4.%5.%6.%7.%8."/>
      <w:lvlJc w:val="left"/>
      <w:pPr>
        <w:pStyle w:val="860"/>
        <w:ind w:left="0" w:firstLine="0"/>
        <w:tabs>
          <w:tab w:val="num" w:pos="0" w:leader="none"/>
        </w:tabs>
      </w:pPr>
      <w:rPr>
        <w:rFonts w:ascii="Arial" w:hAnsi="Arial" w:eastAsia="黑体" w:cs="Times New Roman"/>
        <w:b w:val="0"/>
        <w:i w:val="0"/>
        <w:sz w:val="24"/>
        <w:szCs w:val="24"/>
      </w:rPr>
    </w:lvl>
    <w:lvl w:ilvl="8">
      <w:start w:val="1"/>
      <w:numFmt w:val="decimal"/>
      <w:pStyle w:val="979"/>
      <w:isLgl w:val="false"/>
      <w:suff w:val="tab"/>
      <w:lvlText w:val="%1.%2.%3.%4.%5.%6.%7.%8.%9."/>
      <w:lvlJc w:val="left"/>
      <w:pPr>
        <w:pStyle w:val="860"/>
        <w:ind w:left="0" w:firstLine="0"/>
        <w:tabs>
          <w:tab w:val="num" w:pos="0" w:leader="none"/>
        </w:tabs>
      </w:pPr>
      <w:rPr>
        <w:rFonts w:ascii="Arial" w:hAnsi="Arial" w:eastAsia="黑体" w:cs="Times New Roman"/>
        <w:b w:val="0"/>
        <w:i w:val="0"/>
        <w:sz w:val="24"/>
        <w:szCs w:val="24"/>
      </w:rPr>
    </w:lvl>
  </w:abstractNum>
  <w:abstractNum w:abstractNumId="7">
    <w:multiLevelType w:val="hybridMultilevel"/>
    <w:lvl w:ilvl="0">
      <w:start w:val="1"/>
      <w:numFmt w:val="decimal"/>
      <w:pStyle w:val="953"/>
      <w:isLgl w:val="false"/>
      <w:suff w:val="nothing"/>
      <w:lvlText w:val="%1"/>
      <w:lvlJc w:val="left"/>
      <w:pPr>
        <w:pStyle w:val="860"/>
        <w:ind w:left="0" w:firstLine="0"/>
      </w:pPr>
      <w:rPr>
        <w:rFonts w:ascii="Times New Roman" w:hAnsi="Times New Roman" w:cs="Times New Roman"/>
        <w:b/>
        <w:i w:val="0"/>
        <w:sz w:val="21"/>
      </w:rPr>
    </w:lvl>
    <w:lvl w:ilvl="1">
      <w:start w:val="1"/>
      <w:numFmt w:val="decimal"/>
      <w:pStyle w:val="960"/>
      <w:isLgl w:val="false"/>
      <w:suff w:val="nothing"/>
      <w:lvlText w:val="%1%2　"/>
      <w:lvlJc w:val="left"/>
      <w:pPr>
        <w:pStyle w:val="860"/>
        <w:ind w:left="0" w:firstLine="0"/>
      </w:pPr>
      <w:rPr>
        <w:rFonts w:hint="eastAsia" w:ascii="黑体" w:hAnsi="Times New Roman" w:eastAsia="黑体"/>
        <w:b w:val="0"/>
        <w:i w:val="0"/>
        <w:sz w:val="21"/>
      </w:rPr>
    </w:lvl>
    <w:lvl w:ilvl="2">
      <w:start w:val="1"/>
      <w:numFmt w:val="decimal"/>
      <w:isLgl w:val="false"/>
      <w:suff w:val="tab"/>
      <w:lvlText w:val="%3."/>
      <w:lvlJc w:val="left"/>
      <w:pPr>
        <w:pStyle w:val="860"/>
        <w:ind w:left="420" w:hanging="420"/>
        <w:tabs>
          <w:tab w:val="num" w:pos="420" w:leader="none"/>
        </w:tabs>
      </w:pPr>
      <w:rPr>
        <w:b/>
        <w:i w:val="0"/>
        <w:sz w:val="21"/>
      </w:rPr>
    </w:lvl>
    <w:lvl w:ilvl="3">
      <w:start w:val="1"/>
      <w:numFmt w:val="decimal"/>
      <w:pStyle w:val="955"/>
      <w:isLgl w:val="false"/>
      <w:suff w:val="nothing"/>
      <w:lvlText w:val="%1%2.%3.%4　"/>
      <w:lvlJc w:val="left"/>
      <w:pPr>
        <w:pStyle w:val="860"/>
        <w:ind w:left="105" w:firstLine="0"/>
      </w:pPr>
      <w:rPr>
        <w:rFonts w:hint="eastAsia" w:ascii="黑体" w:hAnsi="Times New Roman" w:eastAsia="黑体"/>
        <w:b w:val="0"/>
        <w:i w:val="0"/>
        <w:sz w:val="21"/>
      </w:rPr>
    </w:lvl>
    <w:lvl w:ilvl="4">
      <w:start w:val="1"/>
      <w:numFmt w:val="decimal"/>
      <w:isLgl w:val="false"/>
      <w:suff w:val="nothing"/>
      <w:lvlText w:val="%1%2.%3.%4.%5　"/>
      <w:lvlJc w:val="left"/>
      <w:pPr>
        <w:pStyle w:val="860"/>
        <w:ind w:left="1680" w:firstLine="0"/>
      </w:pPr>
      <w:rPr>
        <w:rFonts w:hint="eastAsia" w:ascii="黑体" w:hAnsi="Times New Roman" w:eastAsia="黑体"/>
        <w:b w:val="0"/>
        <w:i w:val="0"/>
        <w:sz w:val="21"/>
      </w:rPr>
    </w:lvl>
    <w:lvl w:ilvl="5">
      <w:start w:val="1"/>
      <w:numFmt w:val="decimal"/>
      <w:pStyle w:val="940"/>
      <w:isLgl w:val="false"/>
      <w:suff w:val="nothing"/>
      <w:lvlText w:val="%1%2.%3.%4.%5.%6　"/>
      <w:lvlJc w:val="left"/>
      <w:pPr>
        <w:pStyle w:val="860"/>
        <w:ind w:left="0" w:firstLine="0"/>
      </w:pPr>
      <w:rPr>
        <w:rFonts w:hint="eastAsia" w:ascii="黑体" w:hAnsi="Times New Roman" w:eastAsia="黑体"/>
        <w:b w:val="0"/>
        <w:i w:val="0"/>
        <w:sz w:val="21"/>
      </w:rPr>
    </w:lvl>
    <w:lvl w:ilvl="6">
      <w:start w:val="1"/>
      <w:numFmt w:val="decimal"/>
      <w:pStyle w:val="961"/>
      <w:isLgl w:val="false"/>
      <w:suff w:val="nothing"/>
      <w:lvlText w:val="%1%2.%3.%4.%5.%6.%7　"/>
      <w:lvlJc w:val="left"/>
      <w:pPr>
        <w:pStyle w:val="860"/>
        <w:ind w:left="0" w:firstLine="0"/>
      </w:pPr>
      <w:rPr>
        <w:rFonts w:hint="eastAsia" w:ascii="黑体" w:hAnsi="Times New Roman" w:eastAsia="黑体"/>
        <w:b w:val="0"/>
        <w:i w:val="0"/>
        <w:sz w:val="21"/>
      </w:rPr>
    </w:lvl>
    <w:lvl w:ilvl="7">
      <w:start w:val="1"/>
      <w:numFmt w:val="decimal"/>
      <w:isLgl w:val="false"/>
      <w:suff w:val="tab"/>
      <w:lvlText w:val="%1.%2.%3.%4.%5.%6.%7.%8"/>
      <w:lvlJc w:val="left"/>
      <w:pPr>
        <w:pStyle w:val="860"/>
        <w:ind w:left="3969" w:hanging="1418"/>
        <w:tabs>
          <w:tab w:val="num" w:pos="4351" w:leader="none"/>
        </w:tabs>
      </w:pPr>
    </w:lvl>
    <w:lvl w:ilvl="8">
      <w:start w:val="1"/>
      <w:numFmt w:val="decimal"/>
      <w:isLgl w:val="false"/>
      <w:suff w:val="tab"/>
      <w:lvlText w:val="%1.%2.%3.%4.%5.%6.%7.%8.%9"/>
      <w:lvlJc w:val="left"/>
      <w:pPr>
        <w:pStyle w:val="860"/>
        <w:ind w:left="4677" w:hanging="1700"/>
        <w:tabs>
          <w:tab w:val="num" w:pos="4777" w:leader="none"/>
        </w:tabs>
      </w:pPr>
    </w:lvl>
  </w:abstractNum>
  <w:abstractNum w:abstractNumId="8">
    <w:multiLevelType w:val="hybridMultilevel"/>
    <w:lvl w:ilvl="0">
      <w:start w:val="1"/>
      <w:numFmt w:val="decimal"/>
      <w:pStyle w:val="922"/>
      <w:isLgl w:val="false"/>
      <w:suff w:val="tab"/>
      <w:lvlText w:val="%1——"/>
      <w:lvlJc w:val="left"/>
      <w:pPr>
        <w:pStyle w:val="860"/>
        <w:ind w:left="840" w:hanging="420"/>
        <w:tabs>
          <w:tab w:val="num" w:pos="1140" w:leader="none"/>
        </w:tabs>
      </w:pPr>
    </w:lvl>
    <w:lvl w:ilvl="1">
      <w:start w:val="1"/>
      <w:numFmt w:val="lowerLetter"/>
      <w:isLgl w:val="false"/>
      <w:suff w:val="tab"/>
      <w:lvlText w:val="%2）"/>
      <w:lvlJc w:val="left"/>
      <w:pPr>
        <w:pStyle w:val="860"/>
        <w:ind w:left="978" w:hanging="360"/>
        <w:tabs>
          <w:tab w:val="num" w:pos="978" w:leader="none"/>
        </w:tabs>
      </w:pPr>
    </w:lvl>
    <w:lvl w:ilvl="2">
      <w:start w:val="1"/>
      <w:numFmt w:val="lowerRoman"/>
      <w:isLgl w:val="false"/>
      <w:suff w:val="tab"/>
      <w:lvlText w:val="%3."/>
      <w:lvlJc w:val="right"/>
      <w:pPr>
        <w:pStyle w:val="860"/>
        <w:ind w:left="1365" w:hanging="420"/>
        <w:tabs>
          <w:tab w:val="num" w:pos="1365" w:leader="none"/>
        </w:tabs>
      </w:pPr>
    </w:lvl>
    <w:lvl w:ilvl="3">
      <w:start w:val="3"/>
      <w:numFmt w:val="decimal"/>
      <w:isLgl w:val="false"/>
      <w:suff w:val="tab"/>
      <w:lvlText w:val="%4、"/>
      <w:lvlJc w:val="left"/>
      <w:pPr>
        <w:pStyle w:val="860"/>
        <w:ind w:left="1725" w:hanging="360"/>
        <w:tabs>
          <w:tab w:val="num" w:pos="1725" w:leader="none"/>
        </w:tabs>
      </w:pPr>
    </w:lvl>
    <w:lvl w:ilvl="4">
      <w:start w:val="1"/>
      <w:numFmt w:val="decimal"/>
      <w:isLgl w:val="false"/>
      <w:suff w:val="tab"/>
      <w:lvlText w:val="%5）"/>
      <w:lvlJc w:val="left"/>
      <w:pPr>
        <w:pStyle w:val="860"/>
        <w:ind w:left="2145" w:hanging="360"/>
        <w:tabs>
          <w:tab w:val="num" w:pos="2145" w:leader="none"/>
        </w:tabs>
      </w:pPr>
      <w:rPr>
        <w:rFonts w:ascii="Times New Roman" w:hAnsi="Times New Roman" w:eastAsia="黑体" w:cs="Times New Roman"/>
        <w:color w:val="000000"/>
      </w:rPr>
    </w:lvl>
    <w:lvl w:ilvl="5">
      <w:start w:val="1"/>
      <w:numFmt w:val="decimal"/>
      <w:isLgl w:val="false"/>
      <w:suff w:val="tab"/>
      <w:lvlText w:val="%6."/>
      <w:lvlJc w:val="left"/>
      <w:pPr>
        <w:pStyle w:val="860"/>
        <w:ind w:left="4320" w:hanging="360"/>
        <w:tabs>
          <w:tab w:val="num" w:pos="4320" w:leader="none"/>
        </w:tabs>
      </w:pPr>
    </w:lvl>
    <w:lvl w:ilvl="6">
      <w:start w:val="1"/>
      <w:numFmt w:val="decimal"/>
      <w:isLgl w:val="false"/>
      <w:suff w:val="tab"/>
      <w:lvlText w:val="%7."/>
      <w:lvlJc w:val="left"/>
      <w:pPr>
        <w:pStyle w:val="860"/>
        <w:ind w:left="5040" w:hanging="360"/>
        <w:tabs>
          <w:tab w:val="num" w:pos="5040" w:leader="none"/>
        </w:tabs>
      </w:pPr>
    </w:lvl>
    <w:lvl w:ilvl="7">
      <w:start w:val="1"/>
      <w:numFmt w:val="decimal"/>
      <w:isLgl w:val="false"/>
      <w:suff w:val="tab"/>
      <w:lvlText w:val="%8."/>
      <w:lvlJc w:val="left"/>
      <w:pPr>
        <w:pStyle w:val="860"/>
        <w:ind w:left="5760" w:hanging="360"/>
        <w:tabs>
          <w:tab w:val="num" w:pos="5760" w:leader="none"/>
        </w:tabs>
      </w:pPr>
    </w:lvl>
    <w:lvl w:ilvl="8">
      <w:start w:val="1"/>
      <w:numFmt w:val="decimal"/>
      <w:isLgl w:val="false"/>
      <w:suff w:val="tab"/>
      <w:lvlText w:val="%9."/>
      <w:lvlJc w:val="left"/>
      <w:pPr>
        <w:pStyle w:val="860"/>
        <w:ind w:left="6480" w:hanging="360"/>
        <w:tabs>
          <w:tab w:val="num" w:pos="6480" w:leader="none"/>
        </w:tabs>
      </w:pPr>
    </w:lvl>
  </w:abstractNum>
  <w:abstractNum w:abstractNumId="9">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第%1条"/>
      <w:lvlJc w:val="left"/>
      <w:pPr>
        <w:ind w:left="1521" w:hanging="1095"/>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第%1条"/>
      <w:lvlJc w:val="left"/>
      <w:pPr>
        <w:ind w:left="1521" w:hanging="1095"/>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8"/>
  </w:num>
  <w:num w:numId="5">
    <w:abstractNumId w:val="7"/>
  </w:num>
  <w:num w:numId="6">
    <w:abstractNumId w:val="3"/>
  </w:num>
  <w:num w:numId="7">
    <w:abstractNumId w:val="0"/>
  </w:num>
  <w:num w:numId="8">
    <w:abstractNumId w:val="1"/>
  </w:num>
  <w:num w:numId="9">
    <w:abstractNumId w:val="5"/>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0"/>
    <w:next w:val="860"/>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0"/>
    <w:next w:val="860"/>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0"/>
    <w:next w:val="860"/>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0"/>
    <w:next w:val="860"/>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0"/>
    <w:next w:val="860"/>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0"/>
    <w:next w:val="860"/>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0"/>
    <w:next w:val="860"/>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0"/>
    <w:next w:val="860"/>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0"/>
    <w:next w:val="860"/>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918"/>
    <w:link w:val="860"/>
    <w:qFormat/>
    <w:pPr>
      <w:jc w:val="both"/>
      <w:widowControl w:val="off"/>
    </w:pPr>
    <w:rPr>
      <w:rFonts w:ascii="方正小标宋_GBK" w:hAnsi="方正小标宋_GBK" w:cs="方正仿宋_GBK"/>
      <w:sz w:val="21"/>
      <w:szCs w:val="84"/>
      <w:lang w:val="en-US" w:eastAsia="zh-CN" w:bidi="ar-SA"/>
    </w:rPr>
  </w:style>
  <w:style w:type="paragraph" w:styleId="861">
    <w:name w:val="标题 1"/>
    <w:basedOn w:val="860"/>
    <w:next w:val="860"/>
    <w:link w:val="897"/>
    <w:qFormat/>
    <w:pPr>
      <w:keepLines/>
      <w:keepNext/>
      <w:spacing w:before="340" w:after="330" w:line="576" w:lineRule="auto"/>
      <w:outlineLvl w:val="0"/>
    </w:pPr>
    <w:rPr>
      <w:rFonts w:cs="Times New Roman"/>
      <w:sz w:val="44"/>
    </w:rPr>
  </w:style>
  <w:style w:type="paragraph" w:styleId="862">
    <w:name w:val="标题 2"/>
    <w:basedOn w:val="860"/>
    <w:next w:val="860"/>
    <w:link w:val="889"/>
    <w:qFormat/>
    <w:pPr>
      <w:jc w:val="center"/>
      <w:keepLines/>
      <w:keepNext/>
      <w:spacing w:line="520" w:lineRule="exact"/>
      <w:outlineLvl w:val="1"/>
    </w:pPr>
    <w:rPr>
      <w:rFonts w:ascii="Arial" w:hAnsi="Arial" w:eastAsia="黑体" w:cs="Times New Roman"/>
      <w:sz w:val="28"/>
    </w:rPr>
  </w:style>
  <w:style w:type="paragraph" w:styleId="863">
    <w:name w:val="标题 3"/>
    <w:basedOn w:val="860"/>
    <w:next w:val="860"/>
    <w:link w:val="902"/>
    <w:qFormat/>
    <w:pPr>
      <w:keepLines/>
      <w:keepNext/>
      <w:spacing w:before="260" w:after="260" w:line="415" w:lineRule="auto"/>
      <w:outlineLvl w:val="2"/>
    </w:pPr>
    <w:rPr>
      <w:rFonts w:cs="Times New Roman"/>
      <w:sz w:val="32"/>
    </w:rPr>
  </w:style>
  <w:style w:type="paragraph" w:styleId="864">
    <w:name w:val="标题 4"/>
    <w:basedOn w:val="860"/>
    <w:next w:val="860"/>
    <w:link w:val="887"/>
    <w:qFormat/>
    <w:pPr>
      <w:keepLines/>
      <w:keepNext/>
      <w:spacing w:before="280" w:after="290" w:line="374" w:lineRule="auto"/>
      <w:outlineLvl w:val="3"/>
    </w:pPr>
    <w:rPr>
      <w:rFonts w:ascii="Arial" w:hAnsi="Arial" w:eastAsia="黑体" w:cs="Times New Roman"/>
      <w:sz w:val="28"/>
    </w:rPr>
  </w:style>
  <w:style w:type="paragraph" w:styleId="865">
    <w:name w:val="标题 5"/>
    <w:basedOn w:val="860"/>
    <w:next w:val="927"/>
    <w:link w:val="900"/>
    <w:qFormat/>
    <w:pPr>
      <w:keepLines/>
      <w:keepNext/>
      <w:spacing w:before="280" w:after="290" w:line="374" w:lineRule="auto"/>
      <w:outlineLvl w:val="4"/>
    </w:pPr>
    <w:rPr>
      <w:rFonts w:cs="Times New Roman"/>
      <w:b/>
      <w:sz w:val="28"/>
    </w:rPr>
  </w:style>
  <w:style w:type="paragraph" w:styleId="866">
    <w:name w:val="标题 6"/>
    <w:basedOn w:val="860"/>
    <w:next w:val="927"/>
    <w:link w:val="872"/>
    <w:qFormat/>
    <w:pPr>
      <w:keepLines/>
      <w:keepNext/>
      <w:spacing w:before="240" w:after="64" w:line="319" w:lineRule="auto"/>
      <w:outlineLvl w:val="5"/>
    </w:pPr>
    <w:rPr>
      <w:rFonts w:ascii="Arial" w:hAnsi="Arial" w:eastAsia="黑体" w:cs="Times New Roman"/>
      <w:b/>
      <w:sz w:val="24"/>
    </w:rPr>
  </w:style>
  <w:style w:type="paragraph" w:styleId="867">
    <w:name w:val="标题 8"/>
    <w:basedOn w:val="860"/>
    <w:next w:val="860"/>
    <w:link w:val="903"/>
    <w:qFormat/>
    <w:pPr>
      <w:jc w:val="left"/>
      <w:keepLines/>
      <w:keepNext/>
      <w:spacing w:before="240" w:after="64" w:line="319" w:lineRule="auto"/>
      <w:outlineLvl w:val="7"/>
    </w:pPr>
    <w:rPr>
      <w:rFonts w:ascii="Arial" w:hAnsi="Arial" w:eastAsia="黑体" w:cs="Times New Roman"/>
      <w:sz w:val="24"/>
      <w:szCs w:val="24"/>
    </w:rPr>
  </w:style>
  <w:style w:type="paragraph" w:styleId="868">
    <w:name w:val="标题 9"/>
    <w:basedOn w:val="860"/>
    <w:next w:val="860"/>
    <w:link w:val="901"/>
    <w:qFormat/>
    <w:pPr>
      <w:jc w:val="left"/>
      <w:keepLines/>
      <w:keepNext/>
      <w:spacing w:before="240" w:after="64" w:line="319" w:lineRule="auto"/>
      <w:outlineLvl w:val="8"/>
    </w:pPr>
    <w:rPr>
      <w:rFonts w:ascii="Arial" w:hAnsi="Arial" w:eastAsia="黑体" w:cs="Times New Roman"/>
      <w:szCs w:val="21"/>
    </w:rPr>
  </w:style>
  <w:style w:type="character" w:styleId="869">
    <w:name w:val="默认段落字体"/>
    <w:next w:val="869"/>
    <w:link w:val="860"/>
    <w:uiPriority w:val="1"/>
    <w:unhideWhenUsed/>
  </w:style>
  <w:style w:type="table" w:styleId="870">
    <w:name w:val="普通表格"/>
    <w:next w:val="870"/>
    <w:link w:val="860"/>
    <w:uiPriority w:val="99"/>
    <w:unhideWhenUsed/>
    <w:qFormat/>
    <w:tblPr/>
  </w:style>
  <w:style w:type="character" w:styleId="871">
    <w:name w:val="正文首行缩进 Char"/>
    <w:next w:val="871"/>
    <w:link w:val="956"/>
    <w:rPr>
      <w:rFonts w:ascii="宋体" w:hAnsi="宋体" w:eastAsia="宋体"/>
    </w:rPr>
  </w:style>
  <w:style w:type="character" w:styleId="872">
    <w:name w:val="标题 6 Char"/>
    <w:next w:val="872"/>
    <w:link w:val="866"/>
    <w:rPr>
      <w:rFonts w:ascii="Arial" w:hAnsi="Arial" w:eastAsia="黑体" w:cs="Times New Roman"/>
      <w:b/>
      <w:sz w:val="24"/>
      <w:szCs w:val="84"/>
    </w:rPr>
  </w:style>
  <w:style w:type="character" w:styleId="873">
    <w:name w:val="日期 Char"/>
    <w:next w:val="873"/>
    <w:link w:val="954"/>
    <w:rPr>
      <w:rFonts w:ascii="方正小标宋_GBK" w:hAnsi="方正仿宋_GBK" w:eastAsia="方正小标宋_GBK" w:cs="Times New Roman"/>
      <w:sz w:val="84"/>
      <w:szCs w:val="84"/>
    </w:rPr>
  </w:style>
  <w:style w:type="character" w:styleId="874">
    <w:name w:val="正文文本缩进 3 Char"/>
    <w:next w:val="874"/>
    <w:link w:val="949"/>
    <w:rPr>
      <w:rFonts w:ascii="Arial" w:hAnsi="Arial" w:eastAsia="仿宋_GB2312" w:cs="Times New Roman"/>
      <w:color w:val="ffff00"/>
      <w:sz w:val="32"/>
      <w:szCs w:val="84"/>
    </w:rPr>
  </w:style>
  <w:style w:type="character" w:styleId="875">
    <w:name w:val="已访问的超链接"/>
    <w:next w:val="875"/>
    <w:link w:val="860"/>
    <w:uiPriority w:val="99"/>
    <w:unhideWhenUsed/>
    <w:rPr>
      <w:color w:val="333333"/>
      <w:u w:val="none"/>
    </w:rPr>
  </w:style>
  <w:style w:type="character" w:styleId="876">
    <w:name w:val="文档结构图 Char"/>
    <w:next w:val="876"/>
    <w:link w:val="966"/>
    <w:semiHidden/>
    <w:rPr>
      <w:rFonts w:ascii="方正小标宋_GBK" w:hAnsi="方正仿宋_GBK" w:eastAsia="方正小标宋_GBK" w:cs="Times New Roman"/>
      <w:sz w:val="84"/>
      <w:szCs w:val="84"/>
      <w:shd w:val="clear" w:color="auto" w:fill="000080"/>
    </w:rPr>
  </w:style>
  <w:style w:type="character" w:styleId="877">
    <w:name w:val="正文文本 3 Char1"/>
    <w:next w:val="877"/>
    <w:link w:val="860"/>
    <w:uiPriority w:val="99"/>
    <w:semiHidden/>
    <w:rPr>
      <w:rFonts w:ascii="方正小标宋_GBK" w:hAnsi="方正仿宋_GBK" w:eastAsia="方正小标宋_GBK" w:cs="方正仿宋_GBK"/>
      <w:sz w:val="16"/>
      <w:szCs w:val="16"/>
    </w:rPr>
  </w:style>
  <w:style w:type="character" w:styleId="878">
    <w:name w:val="正文首行缩进 Char1"/>
    <w:basedOn w:val="895"/>
    <w:next w:val="878"/>
    <w:link w:val="860"/>
    <w:uiPriority w:val="99"/>
    <w:semiHidden/>
  </w:style>
  <w:style w:type="character" w:styleId="879">
    <w:name w:val="批注主题 Char"/>
    <w:next w:val="879"/>
    <w:link w:val="919"/>
    <w:semiHidden/>
    <w:rPr>
      <w:rFonts w:ascii="方正小标宋_GBK" w:hAnsi="方正仿宋_GBK" w:eastAsia="方正小标宋_GBK" w:cs="Times New Roman"/>
      <w:b/>
      <w:bCs/>
      <w:sz w:val="84"/>
      <w:szCs w:val="84"/>
    </w:rPr>
  </w:style>
  <w:style w:type="character" w:styleId="880">
    <w:name w:val="未处理的提及"/>
    <w:next w:val="880"/>
    <w:link w:val="860"/>
    <w:uiPriority w:val="99"/>
    <w:unhideWhenUsed/>
    <w:rPr>
      <w:color w:val="808080"/>
      <w:shd w:val="clear" w:color="auto" w:fill="e6e6e6"/>
    </w:rPr>
  </w:style>
  <w:style w:type="character" w:styleId="881">
    <w:name w:val="active15"/>
    <w:next w:val="881"/>
    <w:link w:val="860"/>
    <w:rPr>
      <w:color w:val="ffffff"/>
      <w:shd w:val="clear" w:color="auto" w:fill="0f5bb9"/>
    </w:rPr>
  </w:style>
  <w:style w:type="character" w:styleId="882">
    <w:name w:val="纯文本 Char"/>
    <w:next w:val="882"/>
    <w:link w:val="926"/>
    <w:rPr>
      <w:rFonts w:ascii="宋体" w:hAnsi="Courier New" w:eastAsia="方正小标宋_GBK" w:cs="Times New Roman"/>
      <w:sz w:val="84"/>
      <w:szCs w:val="21"/>
    </w:rPr>
  </w:style>
  <w:style w:type="character" w:styleId="883">
    <w:name w:val="正文首行缩进 2 Char"/>
    <w:next w:val="883"/>
    <w:link w:val="963"/>
    <w:uiPriority w:val="99"/>
    <w:rPr>
      <w:rFonts w:ascii="Times New Roman" w:hAnsi="Times New Roman" w:eastAsia="方正小标宋_GBK" w:cs="方正仿宋_GBK"/>
      <w:sz w:val="21"/>
      <w:szCs w:val="24"/>
    </w:rPr>
  </w:style>
  <w:style w:type="character" w:styleId="884">
    <w:name w:val="二级条标题 Char"/>
    <w:next w:val="884"/>
    <w:link w:val="860"/>
    <w:rPr>
      <w:rFonts w:hint="eastAsia" w:ascii="黑体" w:eastAsia="黑体"/>
      <w:sz w:val="21"/>
      <w:lang w:val="en-US" w:eastAsia="zh-CN" w:bidi="ar-SA"/>
    </w:rPr>
  </w:style>
  <w:style w:type="character" w:styleId="885">
    <w:name w:val="active"/>
    <w:next w:val="885"/>
    <w:link w:val="860"/>
    <w:rPr>
      <w:color w:val="ffffff"/>
      <w:shd w:val="clear" w:color="auto" w:fill="0f5bb9"/>
    </w:rPr>
  </w:style>
  <w:style w:type="character" w:styleId="886">
    <w:name w:val="要点"/>
    <w:next w:val="886"/>
    <w:link w:val="860"/>
    <w:uiPriority w:val="22"/>
    <w:qFormat/>
    <w:rPr>
      <w:b/>
      <w:bCs/>
    </w:rPr>
  </w:style>
  <w:style w:type="character" w:styleId="887">
    <w:name w:val="标题 4 Char"/>
    <w:next w:val="887"/>
    <w:link w:val="864"/>
    <w:rPr>
      <w:rFonts w:ascii="Arial" w:hAnsi="Arial" w:eastAsia="黑体" w:cs="Times New Roman"/>
      <w:sz w:val="28"/>
      <w:szCs w:val="84"/>
    </w:rPr>
  </w:style>
  <w:style w:type="character" w:styleId="888">
    <w:name w:val="超链接"/>
    <w:next w:val="888"/>
    <w:link w:val="860"/>
    <w:uiPriority w:val="99"/>
    <w:rPr>
      <w:color w:val="333333"/>
      <w:u w:val="none"/>
    </w:rPr>
  </w:style>
  <w:style w:type="character" w:styleId="889">
    <w:name w:val="标题 2 Char"/>
    <w:next w:val="889"/>
    <w:link w:val="862"/>
    <w:rPr>
      <w:rFonts w:ascii="Arial" w:hAnsi="Arial" w:eastAsia="黑体" w:cs="Times New Roman"/>
      <w:sz w:val="28"/>
      <w:szCs w:val="84"/>
    </w:rPr>
  </w:style>
  <w:style w:type="character" w:styleId="890">
    <w:name w:val="正文文本缩进 Char"/>
    <w:next w:val="890"/>
    <w:link w:val="973"/>
    <w:uiPriority w:val="99"/>
    <w:semiHidden/>
    <w:rPr>
      <w:rFonts w:ascii="方正小标宋_GBK" w:hAnsi="方正仿宋_GBK" w:eastAsia="方正小标宋_GBK" w:cs="方正仿宋_GBK"/>
      <w:sz w:val="84"/>
      <w:szCs w:val="84"/>
    </w:rPr>
  </w:style>
  <w:style w:type="character" w:styleId="891">
    <w:name w:val="批注引用"/>
    <w:next w:val="891"/>
    <w:link w:val="860"/>
    <w:semiHidden/>
    <w:rPr>
      <w:sz w:val="21"/>
      <w:szCs w:val="21"/>
    </w:rPr>
  </w:style>
  <w:style w:type="character" w:styleId="892">
    <w:name w:val="页眉 Char"/>
    <w:next w:val="892"/>
    <w:link w:val="964"/>
    <w:uiPriority w:val="99"/>
    <w:rPr>
      <w:rFonts w:ascii="Calibri" w:hAnsi="Calibri" w:eastAsia="宋体" w:cs="Times New Roman"/>
      <w:sz w:val="18"/>
      <w:szCs w:val="18"/>
    </w:rPr>
  </w:style>
  <w:style w:type="character" w:styleId="893">
    <w:name w:val="111111 Char"/>
    <w:next w:val="893"/>
    <w:link w:val="952"/>
    <w:rPr>
      <w:rFonts w:ascii="宋体" w:hAnsi="宋体" w:cs="宋体"/>
      <w:bCs/>
      <w:color w:val="000000"/>
      <w:sz w:val="21"/>
      <w:szCs w:val="21"/>
      <w:shd w:val="clear" w:color="auto" w:fill="ffffff"/>
    </w:rPr>
  </w:style>
  <w:style w:type="character" w:styleId="894">
    <w:name w:val="批注文字 Char"/>
    <w:next w:val="894"/>
    <w:link w:val="930"/>
    <w:semiHidden/>
    <w:rPr>
      <w:rFonts w:ascii="方正小标宋_GBK" w:hAnsi="方正仿宋_GBK" w:eastAsia="方正小标宋_GBK" w:cs="Times New Roman"/>
      <w:sz w:val="84"/>
      <w:szCs w:val="84"/>
    </w:rPr>
  </w:style>
  <w:style w:type="character" w:styleId="895">
    <w:name w:val="正文文本 Char"/>
    <w:next w:val="895"/>
    <w:link w:val="918"/>
    <w:rPr>
      <w:rFonts w:ascii="仿宋_GB2312" w:hAnsi="Arial" w:eastAsia="仿宋_GB2312" w:cs="Times New Roman"/>
      <w:sz w:val="32"/>
      <w:szCs w:val="84"/>
    </w:rPr>
  </w:style>
  <w:style w:type="character" w:styleId="896">
    <w:name w:val="页码"/>
    <w:basedOn w:val="869"/>
    <w:next w:val="896"/>
    <w:link w:val="860"/>
  </w:style>
  <w:style w:type="character" w:styleId="897">
    <w:name w:val="标题 1 Char"/>
    <w:next w:val="897"/>
    <w:link w:val="861"/>
    <w:rPr>
      <w:rFonts w:ascii="方正小标宋_GBK" w:hAnsi="方正仿宋_GBK" w:eastAsia="方正小标宋_GBK" w:cs="Times New Roman"/>
      <w:sz w:val="44"/>
      <w:szCs w:val="84"/>
    </w:rPr>
  </w:style>
  <w:style w:type="character" w:styleId="898">
    <w:name w:val="三级条标题 Char"/>
    <w:next w:val="898"/>
    <w:link w:val="860"/>
    <w:rPr>
      <w:rFonts w:hint="eastAsia" w:ascii="黑体" w:eastAsia="黑体"/>
      <w:sz w:val="21"/>
      <w:lang w:val="en-US" w:eastAsia="zh-CN" w:bidi="ar-SA"/>
    </w:rPr>
  </w:style>
  <w:style w:type="character" w:styleId="899">
    <w:name w:val="active16"/>
    <w:next w:val="899"/>
    <w:link w:val="860"/>
    <w:rPr>
      <w:color w:val="ffffff"/>
      <w:shd w:val="clear" w:color="auto" w:fill="0f5bb9"/>
    </w:rPr>
  </w:style>
  <w:style w:type="character" w:styleId="900">
    <w:name w:val="标题 5 Char"/>
    <w:next w:val="900"/>
    <w:link w:val="865"/>
    <w:rPr>
      <w:rFonts w:ascii="方正小标宋_GBK" w:hAnsi="方正仿宋_GBK" w:eastAsia="方正小标宋_GBK" w:cs="Times New Roman"/>
      <w:b/>
      <w:sz w:val="28"/>
      <w:szCs w:val="84"/>
    </w:rPr>
  </w:style>
  <w:style w:type="character" w:styleId="901">
    <w:name w:val="标题 9 Char"/>
    <w:next w:val="901"/>
    <w:link w:val="868"/>
    <w:rPr>
      <w:rFonts w:ascii="Arial" w:hAnsi="Arial" w:eastAsia="黑体" w:cs="Times New Roman"/>
      <w:sz w:val="84"/>
      <w:szCs w:val="21"/>
    </w:rPr>
  </w:style>
  <w:style w:type="character" w:styleId="902">
    <w:name w:val="标题 3 Char"/>
    <w:next w:val="902"/>
    <w:link w:val="863"/>
    <w:rPr>
      <w:rFonts w:ascii="方正小标宋_GBK" w:hAnsi="方正仿宋_GBK" w:eastAsia="方正小标宋_GBK" w:cs="Times New Roman"/>
      <w:sz w:val="32"/>
      <w:szCs w:val="84"/>
    </w:rPr>
  </w:style>
  <w:style w:type="character" w:styleId="903">
    <w:name w:val="标题 8 Char"/>
    <w:next w:val="903"/>
    <w:link w:val="867"/>
    <w:rPr>
      <w:rFonts w:ascii="Arial" w:hAnsi="Arial" w:eastAsia="黑体" w:cs="Times New Roman"/>
      <w:sz w:val="24"/>
      <w:szCs w:val="24"/>
    </w:rPr>
  </w:style>
  <w:style w:type="character" w:styleId="904">
    <w:name w:val="mh-map_new-info"/>
    <w:next w:val="904"/>
    <w:link w:val="860"/>
  </w:style>
  <w:style w:type="character" w:styleId="905">
    <w:name w:val="页脚 Char"/>
    <w:next w:val="905"/>
    <w:link w:val="939"/>
    <w:uiPriority w:val="99"/>
    <w:rPr>
      <w:rFonts w:ascii="Calibri" w:hAnsi="Calibri" w:eastAsia="宋体" w:cs="Times New Roman"/>
      <w:sz w:val="18"/>
      <w:szCs w:val="18"/>
    </w:rPr>
  </w:style>
  <w:style w:type="character" w:styleId="906">
    <w:name w:val="普通(网站) Char"/>
    <w:next w:val="906"/>
    <w:link w:val="933"/>
    <w:qFormat/>
    <w:rPr>
      <w:rFonts w:ascii="宋体" w:hAnsi="宋体" w:cs="宋体"/>
      <w:sz w:val="24"/>
      <w:szCs w:val="24"/>
    </w:rPr>
  </w:style>
  <w:style w:type="character" w:styleId="907">
    <w:name w:val="批注文字 字符"/>
    <w:next w:val="907"/>
    <w:link w:val="860"/>
    <w:uiPriority w:val="99"/>
    <w:rPr>
      <w:rFonts w:eastAsia="宋体"/>
      <w:sz w:val="21"/>
      <w:lang w:val="en-US" w:eastAsia="zh-CN" w:bidi="ar-SA"/>
    </w:rPr>
  </w:style>
  <w:style w:type="character" w:styleId="908">
    <w:name w:val="批注框文本 Char"/>
    <w:next w:val="908"/>
    <w:link w:val="928"/>
    <w:semiHidden/>
    <w:rPr>
      <w:rFonts w:ascii="方正小标宋_GBK" w:hAnsi="方正仿宋_GBK" w:eastAsia="方正小标宋_GBK" w:cs="Times New Roman"/>
      <w:sz w:val="18"/>
      <w:szCs w:val="18"/>
    </w:rPr>
  </w:style>
  <w:style w:type="character" w:styleId="909">
    <w:name w:val="正文文本 3 Char"/>
    <w:next w:val="909"/>
    <w:link w:val="941"/>
    <w:rPr>
      <w:rFonts w:ascii="仿宋_GB2312" w:hAnsi="华文楷体" w:eastAsia="仿宋_GB2312"/>
      <w:b/>
      <w:sz w:val="28"/>
    </w:rPr>
  </w:style>
  <w:style w:type="character" w:styleId="910">
    <w:name w:val="一级条标题 Char"/>
    <w:next w:val="910"/>
    <w:link w:val="860"/>
    <w:rPr>
      <w:rFonts w:hint="eastAsia" w:ascii="黑体" w:eastAsia="黑体"/>
      <w:sz w:val="21"/>
      <w:lang w:val="en-US" w:eastAsia="zh-CN" w:bidi="ar-SA"/>
    </w:rPr>
  </w:style>
  <w:style w:type="paragraph" w:styleId="911">
    <w:name w:val="Char Char Char Char1 Char Char Char"/>
    <w:basedOn w:val="966"/>
    <w:next w:val="911"/>
    <w:link w:val="860"/>
    <w:pPr>
      <w:spacing w:line="360" w:lineRule="auto"/>
    </w:pPr>
  </w:style>
  <w:style w:type="paragraph" w:styleId="912">
    <w:name w:val="列表"/>
    <w:basedOn w:val="860"/>
    <w:next w:val="912"/>
    <w:link w:val="860"/>
    <w:qFormat/>
    <w:pPr>
      <w:numPr>
        <w:ilvl w:val="0"/>
        <w:numId w:val="1"/>
      </w:numPr>
      <w:spacing w:after="20" w:line="288" w:lineRule="auto"/>
      <w:tabs>
        <w:tab w:val="left" w:pos="420" w:leader="none"/>
        <w:tab w:val="left" w:pos="1380" w:leader="none"/>
      </w:tabs>
    </w:pPr>
    <w:rPr>
      <w:lang w:val="en-GB"/>
    </w:rPr>
  </w:style>
  <w:style w:type="paragraph" w:styleId="913">
    <w:name w:val="修订"/>
    <w:next w:val="913"/>
    <w:link w:val="860"/>
    <w:uiPriority w:val="99"/>
    <w:unhideWhenUsed/>
    <w:rPr>
      <w:rFonts w:ascii="方正小标宋_GBK" w:hAnsi="方正仿宋_GBK" w:eastAsia="方正小标宋_GBK" w:cs="方正仿宋_GBK"/>
      <w:sz w:val="84"/>
      <w:szCs w:val="84"/>
      <w:lang w:val="en-US" w:eastAsia="zh-CN" w:bidi="ar-SA"/>
    </w:rPr>
  </w:style>
  <w:style w:type="paragraph" w:styleId="914">
    <w:name w:val="标题2"/>
    <w:basedOn w:val="862"/>
    <w:next w:val="914"/>
    <w:link w:val="860"/>
    <w:pPr>
      <w:numPr>
        <w:ilvl w:val="1"/>
        <w:numId w:val="2"/>
      </w:numPr>
      <w:keepLines w:val="0"/>
      <w:keepNext w:val="0"/>
      <w:spacing w:before="0" w:after="0" w:line="360" w:lineRule="auto"/>
      <w:tabs>
        <w:tab w:val="left" w:pos="360" w:leader="none"/>
      </w:tabs>
    </w:pPr>
    <w:rPr>
      <w:rFonts w:eastAsia="仿宋_GB2312"/>
      <w:bCs/>
      <w:sz w:val="30"/>
      <w:szCs w:val="32"/>
    </w:rPr>
  </w:style>
  <w:style w:type="paragraph" w:styleId="915">
    <w:name w:val="列表接续 2"/>
    <w:basedOn w:val="860"/>
    <w:next w:val="915"/>
    <w:link w:val="860"/>
    <w:pPr>
      <w:numPr>
        <w:ilvl w:val="0"/>
        <w:numId w:val="3"/>
      </w:numPr>
      <w:ind w:left="840" w:firstLine="0"/>
      <w:spacing w:after="120"/>
      <w:tabs>
        <w:tab w:val="left" w:pos="780" w:leader="none"/>
      </w:tabs>
    </w:pPr>
  </w:style>
  <w:style w:type="paragraph" w:styleId="916">
    <w:name w:val="样式1"/>
    <w:basedOn w:val="860"/>
    <w:next w:val="916"/>
    <w:link w:val="860"/>
    <w:pPr>
      <w:jc w:val="center"/>
      <w:keepLines/>
      <w:keepNext/>
      <w:spacing w:line="520" w:lineRule="exact"/>
      <w:outlineLvl w:val="0"/>
    </w:pPr>
    <w:rPr>
      <w:rFonts w:hint="eastAsia" w:ascii="方正小标宋_GBK" w:hAnsi="方正小标宋_GBK" w:cs="Times New Roman"/>
      <w:sz w:val="21"/>
    </w:rPr>
  </w:style>
  <w:style w:type="paragraph" w:styleId="917">
    <w:name w:val="正文首行缩进 21"/>
    <w:basedOn w:val="938"/>
    <w:next w:val="860"/>
    <w:link w:val="860"/>
    <w:qFormat/>
    <w:pPr>
      <w:ind w:firstLine="420"/>
      <w:spacing w:line="360" w:lineRule="auto"/>
    </w:pPr>
    <w:rPr>
      <w:rFonts w:ascii="宋体" w:hAnsi="宋体" w:eastAsia="宋体"/>
      <w:szCs w:val="20"/>
    </w:rPr>
  </w:style>
  <w:style w:type="paragraph" w:styleId="918">
    <w:name w:val="正文文本"/>
    <w:basedOn w:val="860"/>
    <w:next w:val="860"/>
    <w:link w:val="895"/>
    <w:rPr>
      <w:rFonts w:ascii="仿宋_GB2312" w:hAnsi="Arial" w:eastAsia="仿宋_GB2312" w:cs="Times New Roman"/>
      <w:sz w:val="32"/>
    </w:rPr>
  </w:style>
  <w:style w:type="paragraph" w:styleId="919">
    <w:name w:val="批注主题"/>
    <w:basedOn w:val="930"/>
    <w:next w:val="930"/>
    <w:link w:val="879"/>
    <w:semiHidden/>
    <w:rPr>
      <w:b/>
      <w:bCs/>
    </w:rPr>
  </w:style>
  <w:style w:type="paragraph" w:styleId="920">
    <w:name w:val="标题5"/>
    <w:basedOn w:val="865"/>
    <w:next w:val="920"/>
    <w:link w:val="860"/>
    <w:pPr>
      <w:numPr>
        <w:ilvl w:val="4"/>
        <w:numId w:val="2"/>
      </w:numPr>
      <w:keepLines w:val="0"/>
      <w:keepNext w:val="0"/>
      <w:spacing w:before="0" w:after="0" w:line="360" w:lineRule="auto"/>
      <w:tabs>
        <w:tab w:val="left" w:pos="0" w:leader="none"/>
      </w:tabs>
    </w:pPr>
    <w:rPr>
      <w:rFonts w:eastAsia="仿宋_GB2312"/>
      <w:b w:val="0"/>
      <w:bCs/>
      <w:sz w:val="30"/>
      <w:szCs w:val="30"/>
    </w:rPr>
  </w:style>
  <w:style w:type="paragraph" w:styleId="921">
    <w:name w:val="_Style 3"/>
    <w:basedOn w:val="860"/>
    <w:next w:val="860"/>
    <w:link w:val="860"/>
    <w:uiPriority w:val="99"/>
    <w:unhideWhenUsed/>
    <w:qFormat/>
    <w:pPr>
      <w:jc w:val="center"/>
      <w:widowControl/>
      <w:pBdr>
        <w:top w:val="single" w:color="000000" w:sz="6" w:space="1"/>
      </w:pBdr>
    </w:pPr>
    <w:rPr>
      <w:rFonts w:ascii="Arial" w:hAnsi="Arial" w:eastAsia="仿宋_GB2312"/>
      <w:b/>
      <w:vanish/>
      <w:sz w:val="16"/>
      <w:szCs w:val="16"/>
    </w:rPr>
  </w:style>
  <w:style w:type="paragraph" w:styleId="922">
    <w:name w:val="三级条标题"/>
    <w:basedOn w:val="960"/>
    <w:next w:val="959"/>
    <w:link w:val="860"/>
    <w:pPr>
      <w:numPr>
        <w:ilvl w:val="0"/>
        <w:numId w:val="4"/>
      </w:numPr>
      <w:ind w:left="1680" w:firstLine="0"/>
      <w:tabs>
        <w:tab w:val="left" w:pos="1140" w:leader="none"/>
      </w:tabs>
      <w:outlineLvl w:val="4"/>
    </w:pPr>
  </w:style>
  <w:style w:type="paragraph" w:styleId="923">
    <w:name w:val="正文文本1"/>
    <w:basedOn w:val="860"/>
    <w:next w:val="923"/>
    <w:link w:val="860"/>
    <w:qFormat/>
    <w:pPr>
      <w:ind w:hanging="600"/>
      <w:spacing w:before="540" w:line="463" w:lineRule="exact"/>
      <w:shd w:val="clear" w:color="auto" w:fill="ffffff"/>
    </w:pPr>
    <w:rPr>
      <w:rFonts w:ascii="MingLiU" w:hAnsi="MingLiU" w:eastAsia="MingLiU"/>
      <w:sz w:val="23"/>
      <w:szCs w:val="23"/>
      <w:shd w:val="clear" w:color="auto" w:fill="ffffff"/>
    </w:rPr>
  </w:style>
  <w:style w:type="paragraph" w:styleId="924">
    <w:name w:val="正文文本 2"/>
    <w:basedOn w:val="860"/>
    <w:next w:val="924"/>
    <w:link w:val="860"/>
    <w:qFormat/>
    <w:pPr>
      <w:spacing w:after="120" w:line="480" w:lineRule="auto"/>
    </w:pPr>
    <w:rPr>
      <w:rFonts w:ascii="Calibri" w:hAnsi="Calibri"/>
    </w:rPr>
  </w:style>
  <w:style w:type="paragraph" w:styleId="925">
    <w:name w:val="标准书脚_奇数页"/>
    <w:next w:val="925"/>
    <w:link w:val="860"/>
    <w:pPr>
      <w:jc w:val="right"/>
      <w:spacing w:before="120"/>
    </w:pPr>
    <w:rPr>
      <w:sz w:val="18"/>
      <w:lang w:val="en-US" w:eastAsia="zh-CN" w:bidi="ar-SA"/>
    </w:rPr>
  </w:style>
  <w:style w:type="paragraph" w:styleId="926">
    <w:name w:val="纯文本"/>
    <w:basedOn w:val="860"/>
    <w:next w:val="926"/>
    <w:link w:val="882"/>
    <w:qFormat/>
    <w:rPr>
      <w:rFonts w:ascii="宋体" w:hAnsi="Courier New" w:cs="Times New Roman"/>
      <w:szCs w:val="21"/>
    </w:rPr>
  </w:style>
  <w:style w:type="paragraph" w:styleId="927">
    <w:name w:val="正文缩进"/>
    <w:basedOn w:val="860"/>
    <w:next w:val="927"/>
    <w:link w:val="860"/>
    <w:pPr>
      <w:ind w:firstLine="420"/>
    </w:pPr>
  </w:style>
  <w:style w:type="paragraph" w:styleId="928">
    <w:name w:val="批注框文本"/>
    <w:basedOn w:val="860"/>
    <w:next w:val="928"/>
    <w:link w:val="908"/>
    <w:semiHidden/>
    <w:rPr>
      <w:rFonts w:cs="Times New Roman"/>
      <w:sz w:val="18"/>
      <w:szCs w:val="18"/>
    </w:rPr>
  </w:style>
  <w:style w:type="paragraph" w:styleId="929">
    <w:name w:val="List Paragraph"/>
    <w:basedOn w:val="860"/>
    <w:next w:val="929"/>
    <w:link w:val="860"/>
    <w:uiPriority w:val="99"/>
    <w:qFormat/>
    <w:pPr>
      <w:ind w:firstLine="420"/>
    </w:pPr>
    <w:rPr>
      <w:rFonts w:ascii="Calibri" w:hAnsi="Calibri"/>
      <w:szCs w:val="22"/>
    </w:rPr>
  </w:style>
  <w:style w:type="paragraph" w:styleId="930">
    <w:name w:val="批注文字"/>
    <w:basedOn w:val="860"/>
    <w:next w:val="930"/>
    <w:link w:val="894"/>
    <w:qFormat/>
    <w:pPr>
      <w:jc w:val="left"/>
    </w:pPr>
    <w:rPr>
      <w:rFonts w:cs="Times New Roman"/>
    </w:rPr>
  </w:style>
  <w:style w:type="paragraph" w:styleId="931">
    <w:name w:val="Table Text"/>
    <w:basedOn w:val="860"/>
    <w:next w:val="931"/>
    <w:link w:val="860"/>
    <w:semiHidden/>
    <w:qFormat/>
    <w:rPr>
      <w:rFonts w:ascii="宋体" w:hAnsi="宋体" w:eastAsia="宋体" w:cs="宋体"/>
      <w:sz w:val="23"/>
      <w:szCs w:val="23"/>
      <w:lang w:val="en-US" w:eastAsia="en-US" w:bidi="ar-SA"/>
    </w:rPr>
  </w:style>
  <w:style w:type="paragraph" w:styleId="932">
    <w:name w:val="Char Char Char Char"/>
    <w:basedOn w:val="966"/>
    <w:next w:val="932"/>
    <w:link w:val="860"/>
    <w:pPr>
      <w:spacing w:line="360" w:lineRule="auto"/>
    </w:pPr>
    <w:rPr>
      <w:rFonts w:ascii="Tahoma" w:hAnsi="Tahoma" w:eastAsia="宋体"/>
      <w:sz w:val="24"/>
      <w:szCs w:val="24"/>
    </w:rPr>
  </w:style>
  <w:style w:type="paragraph" w:styleId="933">
    <w:name w:val="普通(网站)"/>
    <w:basedOn w:val="860"/>
    <w:next w:val="933"/>
    <w:link w:val="906"/>
    <w:qFormat/>
    <w:pPr>
      <w:jc w:val="left"/>
      <w:spacing w:before="100" w:beforeAutospacing="1" w:after="100" w:afterAutospacing="1"/>
      <w:widowControl/>
    </w:pPr>
    <w:rPr>
      <w:rFonts w:ascii="宋体" w:hAnsi="宋体" w:eastAsia="宋体" w:cs="Times New Roman"/>
      <w:sz w:val="24"/>
      <w:szCs w:val="24"/>
    </w:rPr>
  </w:style>
  <w:style w:type="paragraph" w:styleId="934">
    <w:name w:val="目录 1"/>
    <w:basedOn w:val="860"/>
    <w:next w:val="860"/>
    <w:link w:val="860"/>
    <w:uiPriority w:val="39"/>
    <w:unhideWhenUsed/>
  </w:style>
  <w:style w:type="paragraph" w:styleId="935">
    <w:name w:val="Table Paragraph"/>
    <w:basedOn w:val="860"/>
    <w:next w:val="935"/>
    <w:link w:val="860"/>
    <w:uiPriority w:val="1"/>
    <w:qFormat/>
    <w:pPr>
      <w:jc w:val="left"/>
    </w:pPr>
    <w:rPr>
      <w:rFonts w:ascii="宋体" w:hAnsi="宋体" w:cs="宋体"/>
      <w:sz w:val="22"/>
      <w:szCs w:val="22"/>
      <w:lang w:val="zh-CN" w:bidi="zh-CN"/>
    </w:rPr>
  </w:style>
  <w:style w:type="paragraph" w:styleId="936">
    <w:name w:val="标题8"/>
    <w:basedOn w:val="867"/>
    <w:next w:val="936"/>
    <w:link w:val="860"/>
    <w:pPr>
      <w:numPr>
        <w:ilvl w:val="7"/>
        <w:numId w:val="2"/>
      </w:numPr>
      <w:jc w:val="both"/>
      <w:keepLines w:val="0"/>
      <w:keepNext w:val="0"/>
      <w:spacing w:before="0" w:after="0" w:line="360" w:lineRule="auto"/>
      <w:tabs>
        <w:tab w:val="left" w:pos="0" w:leader="none"/>
      </w:tabs>
    </w:pPr>
    <w:rPr>
      <w:rFonts w:eastAsia="仿宋_GB2312"/>
      <w:sz w:val="30"/>
    </w:rPr>
  </w:style>
  <w:style w:type="paragraph" w:styleId="937">
    <w:name w:val="正文 New New New New New"/>
    <w:next w:val="937"/>
    <w:link w:val="860"/>
    <w:pPr>
      <w:spacing w:after="200" w:line="276" w:lineRule="auto"/>
    </w:pPr>
    <w:rPr>
      <w:rFonts w:ascii="Times New Roman" w:hAnsi="Times New Roman" w:eastAsia="宋体" w:cs="Times New Roman"/>
      <w:sz w:val="22"/>
      <w:szCs w:val="22"/>
      <w:lang w:val="en-US" w:eastAsia="en-US" w:bidi="ar-SA"/>
    </w:rPr>
  </w:style>
  <w:style w:type="paragraph" w:styleId="938">
    <w:name w:val="正文文本缩进1"/>
    <w:basedOn w:val="860"/>
    <w:next w:val="938"/>
    <w:link w:val="860"/>
    <w:qFormat/>
    <w:pPr>
      <w:ind w:firstLine="645"/>
    </w:pPr>
    <w:rPr>
      <w:rFonts w:ascii="楷体_GB2312" w:eastAsia="楷体_GB2312"/>
      <w:sz w:val="32"/>
      <w:szCs w:val="32"/>
    </w:rPr>
  </w:style>
  <w:style w:type="paragraph" w:styleId="939">
    <w:name w:val="页脚"/>
    <w:basedOn w:val="860"/>
    <w:next w:val="939"/>
    <w:link w:val="905"/>
    <w:uiPriority w:val="99"/>
    <w:unhideWhenUsed/>
    <w:pPr>
      <w:jc w:val="left"/>
      <w:tabs>
        <w:tab w:val="center" w:pos="4153" w:leader="none"/>
        <w:tab w:val="right" w:pos="8306" w:leader="none"/>
      </w:tabs>
    </w:pPr>
    <w:rPr>
      <w:rFonts w:ascii="Calibri" w:hAnsi="Calibri" w:eastAsia="宋体" w:cs="Times New Roman"/>
      <w:sz w:val="18"/>
      <w:szCs w:val="18"/>
    </w:rPr>
  </w:style>
  <w:style w:type="paragraph" w:styleId="940">
    <w:name w:val="四级条标题"/>
    <w:basedOn w:val="922"/>
    <w:next w:val="959"/>
    <w:link w:val="860"/>
    <w:pPr>
      <w:numPr>
        <w:ilvl w:val="5"/>
        <w:numId w:val="5"/>
      </w:numPr>
      <w:tabs>
        <w:tab w:val="left" w:pos="1140" w:leader="none"/>
      </w:tabs>
      <w:outlineLvl w:val="5"/>
    </w:pPr>
  </w:style>
  <w:style w:type="paragraph" w:styleId="941">
    <w:name w:val="正文文本 3"/>
    <w:basedOn w:val="860"/>
    <w:next w:val="941"/>
    <w:link w:val="909"/>
    <w:rPr>
      <w:rFonts w:ascii="仿宋_GB2312" w:hAnsi="华文楷体" w:eastAsia="仿宋_GB2312" w:cs="Times New Roman"/>
      <w:b/>
      <w:sz w:val="28"/>
      <w:szCs w:val="20"/>
    </w:rPr>
  </w:style>
  <w:style w:type="paragraph" w:styleId="942">
    <w:name w:val="正文缩进1"/>
    <w:basedOn w:val="860"/>
    <w:next w:val="942"/>
    <w:link w:val="860"/>
    <w:qFormat/>
    <w:pPr>
      <w:ind w:firstLine="420"/>
    </w:pPr>
    <w:rPr>
      <w:szCs w:val="20"/>
    </w:rPr>
  </w:style>
  <w:style w:type="paragraph" w:styleId="943">
    <w:name w:val="TOC 标题"/>
    <w:basedOn w:val="861"/>
    <w:next w:val="860"/>
    <w:link w:val="860"/>
    <w:uiPriority w:val="39"/>
    <w:qFormat/>
    <w:pPr>
      <w:jc w:val="left"/>
      <w:spacing w:before="480" w:after="0" w:line="276" w:lineRule="auto"/>
      <w:widowControl/>
      <w:outlineLvl w:val="9"/>
    </w:pPr>
    <w:rPr>
      <w:rFonts w:ascii="Cambria" w:hAnsi="Cambria" w:eastAsia="宋体" w:cs="Times New Roman"/>
      <w:b/>
      <w:bCs/>
      <w:color w:val="365f91"/>
      <w:sz w:val="28"/>
      <w:szCs w:val="28"/>
      <w:lang w:val="en-US" w:eastAsia="zh-CN"/>
    </w:rPr>
  </w:style>
  <w:style w:type="paragraph" w:styleId="944">
    <w:name w:val="列表接续"/>
    <w:basedOn w:val="860"/>
    <w:next w:val="944"/>
    <w:link w:val="860"/>
    <w:pPr>
      <w:numPr>
        <w:ilvl w:val="0"/>
        <w:numId w:val="6"/>
      </w:numPr>
      <w:ind w:left="420" w:firstLine="0"/>
      <w:spacing w:after="120"/>
      <w:tabs>
        <w:tab w:val="left" w:pos="360" w:leader="none"/>
      </w:tabs>
    </w:pPr>
  </w:style>
  <w:style w:type="paragraph" w:styleId="945">
    <w:name w:val="标题6"/>
    <w:basedOn w:val="866"/>
    <w:next w:val="945"/>
    <w:link w:val="860"/>
    <w:pPr>
      <w:numPr>
        <w:ilvl w:val="5"/>
        <w:numId w:val="2"/>
      </w:numPr>
      <w:keepLines w:val="0"/>
      <w:keepNext w:val="0"/>
      <w:spacing w:before="0" w:after="0" w:line="360" w:lineRule="auto"/>
      <w:tabs>
        <w:tab w:val="left" w:pos="0" w:leader="none"/>
      </w:tabs>
    </w:pPr>
    <w:rPr>
      <w:rFonts w:eastAsia="仿宋_GB2312"/>
      <w:b w:val="0"/>
      <w:bCs/>
      <w:sz w:val="30"/>
      <w:szCs w:val="24"/>
    </w:rPr>
  </w:style>
  <w:style w:type="paragraph" w:styleId="946">
    <w:name w:val="列出段落"/>
    <w:basedOn w:val="860"/>
    <w:next w:val="946"/>
    <w:link w:val="860"/>
    <w:uiPriority w:val="34"/>
    <w:qFormat/>
    <w:pPr>
      <w:ind w:firstLine="420"/>
    </w:pPr>
  </w:style>
  <w:style w:type="paragraph" w:styleId="947">
    <w:name w:val="Char"/>
    <w:basedOn w:val="860"/>
    <w:next w:val="947"/>
    <w:link w:val="860"/>
    <w:pPr>
      <w:tabs>
        <w:tab w:val="left" w:pos="360" w:leader="none"/>
      </w:tabs>
    </w:pPr>
    <w:rPr>
      <w:sz w:val="24"/>
      <w:szCs w:val="24"/>
    </w:rPr>
  </w:style>
  <w:style w:type="paragraph" w:styleId="948">
    <w:name w:val="纯文本1"/>
    <w:basedOn w:val="860"/>
    <w:next w:val="860"/>
    <w:link w:val="860"/>
    <w:qFormat/>
    <w:rPr>
      <w:rFonts w:ascii="宋体" w:hAnsi="Courier New"/>
      <w:sz w:val="20"/>
      <w:szCs w:val="21"/>
    </w:rPr>
  </w:style>
  <w:style w:type="paragraph" w:styleId="949">
    <w:name w:val="正文文本缩进 3"/>
    <w:basedOn w:val="860"/>
    <w:next w:val="949"/>
    <w:link w:val="874"/>
    <w:pPr>
      <w:ind w:left="645" w:firstLine="645"/>
    </w:pPr>
    <w:rPr>
      <w:rFonts w:ascii="Arial" w:hAnsi="Arial" w:eastAsia="仿宋_GB2312" w:cs="Times New Roman"/>
      <w:color w:val="ffff00"/>
      <w:sz w:val="32"/>
    </w:rPr>
  </w:style>
  <w:style w:type="paragraph" w:styleId="950">
    <w:name w:val="首行缩进"/>
    <w:basedOn w:val="860"/>
    <w:next w:val="950"/>
    <w:link w:val="860"/>
    <w:uiPriority w:val="99"/>
    <w:qFormat/>
    <w:pPr>
      <w:ind w:firstLine="480"/>
      <w:jc w:val="left"/>
      <w:spacing w:line="360" w:lineRule="auto"/>
    </w:pPr>
    <w:rPr>
      <w:rFonts w:ascii="宋体" w:hAnsi="宋体"/>
      <w:sz w:val="24"/>
    </w:rPr>
  </w:style>
  <w:style w:type="paragraph" w:styleId="951">
    <w:name w:val="GP正文(首行缩进)"/>
    <w:basedOn w:val="860"/>
    <w:next w:val="951"/>
    <w:link w:val="860"/>
    <w:qFormat/>
    <w:pPr>
      <w:ind w:firstLine="200"/>
      <w:spacing w:line="360" w:lineRule="auto"/>
    </w:pPr>
    <w:rPr>
      <w:rFonts w:ascii="Times New Roman"/>
      <w:sz w:val="24"/>
      <w:szCs w:val="21"/>
    </w:rPr>
  </w:style>
  <w:style w:type="paragraph" w:styleId="952">
    <w:name w:val="111111"/>
    <w:basedOn w:val="860"/>
    <w:next w:val="952"/>
    <w:link w:val="893"/>
    <w:qFormat/>
    <w:pPr>
      <w:spacing w:line="360" w:lineRule="auto"/>
      <w:shd w:val="clear" w:color="auto" w:fill="ffffff"/>
      <w:widowControl/>
    </w:pPr>
    <w:rPr>
      <w:rFonts w:ascii="宋体" w:hAnsi="宋体" w:eastAsia="宋体" w:cs="Times New Roman"/>
      <w:bCs/>
      <w:color w:val="000000"/>
      <w:sz w:val="21"/>
      <w:szCs w:val="21"/>
    </w:rPr>
  </w:style>
  <w:style w:type="paragraph" w:styleId="953">
    <w:name w:val="一级条标题"/>
    <w:next w:val="959"/>
    <w:link w:val="860"/>
    <w:pPr>
      <w:numPr>
        <w:ilvl w:val="0"/>
        <w:numId w:val="5"/>
      </w:numPr>
      <w:outlineLvl w:val="2"/>
    </w:pPr>
    <w:rPr>
      <w:rFonts w:eastAsia="黑体"/>
      <w:sz w:val="21"/>
      <w:lang w:val="en-US" w:eastAsia="zh-CN" w:bidi="ar-SA"/>
    </w:rPr>
  </w:style>
  <w:style w:type="paragraph" w:styleId="954">
    <w:name w:val="日期"/>
    <w:basedOn w:val="860"/>
    <w:next w:val="860"/>
    <w:link w:val="873"/>
    <w:pPr>
      <w:ind w:left="100"/>
    </w:pPr>
    <w:rPr>
      <w:rFonts w:cs="Times New Roman"/>
    </w:rPr>
  </w:style>
  <w:style w:type="paragraph" w:styleId="955">
    <w:name w:val="封面标准文稿编辑信息"/>
    <w:next w:val="955"/>
    <w:link w:val="860"/>
    <w:pPr>
      <w:numPr>
        <w:ilvl w:val="3"/>
        <w:numId w:val="5"/>
      </w:numPr>
      <w:ind w:left="0"/>
      <w:jc w:val="center"/>
      <w:spacing w:before="180" w:line="180" w:lineRule="exact"/>
    </w:pPr>
    <w:rPr>
      <w:rFonts w:ascii="宋体"/>
      <w:sz w:val="21"/>
      <w:lang w:val="en-US" w:eastAsia="zh-CN" w:bidi="ar-SA"/>
    </w:rPr>
  </w:style>
  <w:style w:type="paragraph" w:styleId="956">
    <w:name w:val="正文首行缩进"/>
    <w:basedOn w:val="918"/>
    <w:next w:val="918"/>
    <w:link w:val="871"/>
    <w:pPr>
      <w:ind w:firstLine="420"/>
      <w:spacing w:after="120"/>
    </w:pPr>
    <w:rPr>
      <w:rFonts w:ascii="宋体" w:hAnsi="宋体" w:eastAsia="宋体"/>
      <w:sz w:val="20"/>
      <w:szCs w:val="20"/>
    </w:rPr>
  </w:style>
  <w:style w:type="paragraph" w:styleId="957">
    <w:name w:val="寄信人地址"/>
    <w:basedOn w:val="860"/>
    <w:next w:val="957"/>
    <w:link w:val="860"/>
    <w:uiPriority w:val="99"/>
    <w:unhideWhenUsed/>
    <w:qFormat/>
    <w:rPr>
      <w:rFonts w:ascii="Arial" w:hAnsi="Arial"/>
    </w:rPr>
  </w:style>
  <w:style w:type="paragraph" w:styleId="958">
    <w:name w:val="索引 4"/>
    <w:basedOn w:val="860"/>
    <w:next w:val="860"/>
    <w:link w:val="860"/>
    <w:semiHidden/>
    <w:qFormat/>
    <w:pPr>
      <w:ind w:left="1260"/>
    </w:pPr>
    <w:rPr>
      <w:rFonts w:ascii="Calibri" w:hAnsi="Calibri" w:eastAsia="宋体" w:cs="Times New Roman"/>
      <w:sz w:val="21"/>
      <w:szCs w:val="24"/>
    </w:rPr>
  </w:style>
  <w:style w:type="paragraph" w:styleId="959">
    <w:name w:val="段"/>
    <w:next w:val="959"/>
    <w:link w:val="860"/>
    <w:qFormat/>
    <w:pPr>
      <w:ind w:firstLine="200"/>
      <w:jc w:val="both"/>
    </w:pPr>
    <w:rPr>
      <w:rFonts w:ascii="宋体"/>
      <w:sz w:val="21"/>
      <w:lang w:val="en-US" w:eastAsia="zh-CN" w:bidi="ar-SA"/>
    </w:rPr>
  </w:style>
  <w:style w:type="paragraph" w:styleId="960">
    <w:name w:val="二级条标题"/>
    <w:basedOn w:val="953"/>
    <w:next w:val="959"/>
    <w:link w:val="860"/>
    <w:pPr>
      <w:numPr>
        <w:ilvl w:val="1"/>
        <w:numId w:val="5"/>
      </w:numPr>
      <w:ind w:left="105"/>
      <w:outlineLvl w:val="3"/>
    </w:pPr>
  </w:style>
  <w:style w:type="paragraph" w:styleId="961">
    <w:name w:val="五级条标题"/>
    <w:basedOn w:val="940"/>
    <w:next w:val="959"/>
    <w:link w:val="860"/>
    <w:pPr>
      <w:numPr>
        <w:ilvl w:val="6"/>
        <w:numId w:val="5"/>
      </w:numPr>
      <w:tabs>
        <w:tab w:val="left" w:pos="1140" w:leader="none"/>
      </w:tabs>
      <w:outlineLvl w:val="6"/>
    </w:pPr>
  </w:style>
  <w:style w:type="paragraph" w:styleId="962">
    <w:name w:val="标题"/>
    <w:basedOn w:val="860"/>
    <w:next w:val="860"/>
    <w:link w:val="860"/>
    <w:qFormat/>
    <w:pPr>
      <w:jc w:val="center"/>
      <w:outlineLvl w:val="0"/>
    </w:pPr>
    <w:rPr>
      <w:rFonts w:ascii="Calibri Light" w:hAnsi="Calibri Light"/>
      <w:b/>
      <w:bCs/>
      <w:sz w:val="44"/>
      <w:szCs w:val="32"/>
    </w:rPr>
  </w:style>
  <w:style w:type="paragraph" w:styleId="963">
    <w:name w:val="正文首行缩进 2"/>
    <w:basedOn w:val="973"/>
    <w:next w:val="956"/>
    <w:link w:val="883"/>
    <w:uiPriority w:val="99"/>
    <w:unhideWhenUsed/>
    <w:qFormat/>
    <w:pPr>
      <w:ind w:firstLine="420"/>
    </w:pPr>
    <w:rPr>
      <w:rFonts w:ascii="Times New Roman" w:hAnsi="Times New Roman"/>
      <w:sz w:val="21"/>
      <w:szCs w:val="24"/>
    </w:rPr>
  </w:style>
  <w:style w:type="paragraph" w:styleId="964">
    <w:name w:val="页眉"/>
    <w:basedOn w:val="860"/>
    <w:next w:val="964"/>
    <w:link w:val="892"/>
    <w:uiPriority w:val="99"/>
    <w:unhideWhenUsed/>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paragraph" w:styleId="965">
    <w:name w:val="p0"/>
    <w:basedOn w:val="860"/>
    <w:next w:val="965"/>
    <w:link w:val="860"/>
    <w:pPr>
      <w:widowControl/>
    </w:pPr>
    <w:rPr>
      <w:rFonts w:ascii="Calibri" w:hAnsi="Calibri" w:eastAsia="宋体" w:cs="宋体"/>
      <w:sz w:val="21"/>
      <w:szCs w:val="21"/>
    </w:rPr>
  </w:style>
  <w:style w:type="paragraph" w:styleId="966">
    <w:name w:val="文档结构图"/>
    <w:basedOn w:val="860"/>
    <w:next w:val="966"/>
    <w:link w:val="876"/>
    <w:semiHidden/>
    <w:pPr>
      <w:shd w:val="clear" w:color="auto" w:fill="000080"/>
    </w:pPr>
    <w:rPr>
      <w:rFonts w:cs="Times New Roman"/>
    </w:rPr>
  </w:style>
  <w:style w:type="paragraph" w:styleId="967">
    <w:name w:val="目录 2"/>
    <w:basedOn w:val="860"/>
    <w:next w:val="860"/>
    <w:link w:val="860"/>
    <w:uiPriority w:val="39"/>
    <w:unhideWhenUsed/>
    <w:pPr>
      <w:ind w:left="420"/>
    </w:pPr>
  </w:style>
  <w:style w:type="paragraph" w:styleId="968">
    <w:name w:val="正文1"/>
    <w:basedOn w:val="860"/>
    <w:next w:val="968"/>
    <w:link w:val="860"/>
    <w:qFormat/>
    <w:pPr>
      <w:ind w:firstLine="510"/>
      <w:spacing w:before="156" w:line="360" w:lineRule="auto"/>
    </w:pPr>
    <w:rPr>
      <w:sz w:val="24"/>
      <w:szCs w:val="20"/>
    </w:rPr>
  </w:style>
  <w:style w:type="paragraph" w:styleId="969">
    <w:name w:val="列表段落"/>
    <w:basedOn w:val="860"/>
    <w:next w:val="969"/>
    <w:link w:val="860"/>
    <w:qFormat/>
    <w:pPr>
      <w:ind w:firstLine="420"/>
    </w:pPr>
    <w:rPr>
      <w:rFonts w:cs="Times New Roman"/>
    </w:rPr>
  </w:style>
  <w:style w:type="paragraph" w:styleId="970">
    <w:name w:val="标题 31"/>
    <w:basedOn w:val="860"/>
    <w:next w:val="942"/>
    <w:link w:val="860"/>
    <w:qFormat/>
    <w:pPr>
      <w:keepLines/>
      <w:keepNext/>
      <w:spacing w:before="260" w:after="260" w:line="416" w:lineRule="auto"/>
      <w:outlineLvl w:val="2"/>
    </w:pPr>
    <w:rPr>
      <w:b/>
      <w:sz w:val="32"/>
      <w:szCs w:val="20"/>
      <w:lang w:val="en-US" w:eastAsia="en-US"/>
    </w:rPr>
  </w:style>
  <w:style w:type="paragraph" w:styleId="971">
    <w:name w:val="目录 3"/>
    <w:basedOn w:val="860"/>
    <w:next w:val="860"/>
    <w:link w:val="860"/>
    <w:uiPriority w:val="39"/>
    <w:unhideWhenUsed/>
    <w:pPr>
      <w:ind w:left="840"/>
    </w:pPr>
  </w:style>
  <w:style w:type="paragraph" w:styleId="972">
    <w:name w:val="文本块"/>
    <w:basedOn w:val="860"/>
    <w:next w:val="972"/>
    <w:link w:val="860"/>
    <w:uiPriority w:val="99"/>
    <w:unhideWhenUsed/>
    <w:qFormat/>
    <w:pPr>
      <w:ind w:left="25" w:hanging="27"/>
      <w:jc w:val="center"/>
      <w:spacing w:after="120"/>
    </w:pPr>
  </w:style>
  <w:style w:type="paragraph" w:styleId="973">
    <w:name w:val="正文文本缩进"/>
    <w:basedOn w:val="860"/>
    <w:next w:val="957"/>
    <w:link w:val="890"/>
    <w:uiPriority w:val="99"/>
    <w:unhideWhenUsed/>
    <w:pPr>
      <w:ind w:left="420"/>
      <w:spacing w:after="120"/>
    </w:pPr>
    <w:rPr>
      <w:rFonts w:cs="Times New Roman"/>
    </w:rPr>
  </w:style>
  <w:style w:type="paragraph" w:styleId="974">
    <w:name w:val="标题3"/>
    <w:basedOn w:val="863"/>
    <w:next w:val="974"/>
    <w:link w:val="860"/>
    <w:pPr>
      <w:numPr>
        <w:ilvl w:val="2"/>
        <w:numId w:val="2"/>
      </w:numPr>
      <w:keepLines w:val="0"/>
      <w:keepNext w:val="0"/>
      <w:spacing w:before="0" w:after="0" w:line="360" w:lineRule="auto"/>
      <w:tabs>
        <w:tab w:val="left" w:pos="0" w:leader="none"/>
      </w:tabs>
    </w:pPr>
    <w:rPr>
      <w:rFonts w:eastAsia="仿宋_GB2312"/>
      <w:bCs/>
      <w:sz w:val="30"/>
      <w:szCs w:val="32"/>
    </w:rPr>
  </w:style>
  <w:style w:type="paragraph" w:styleId="975">
    <w:name w:val="☆ 正文"/>
    <w:basedOn w:val="860"/>
    <w:next w:val="975"/>
    <w:link w:val="860"/>
    <w:qFormat/>
    <w:rPr>
      <w:rFonts w:ascii="Calibri" w:hAnsi="Calibri" w:eastAsia="宋体" w:cs="Times New Roman"/>
      <w:sz w:val="21"/>
      <w:szCs w:val="22"/>
    </w:rPr>
  </w:style>
  <w:style w:type="paragraph" w:styleId="976">
    <w:name w:val="普通正文"/>
    <w:basedOn w:val="860"/>
    <w:next w:val="976"/>
    <w:link w:val="860"/>
    <w:pPr>
      <w:ind w:firstLine="480"/>
      <w:jc w:val="left"/>
      <w:spacing w:before="120" w:after="120" w:line="360" w:lineRule="auto"/>
    </w:pPr>
    <w:rPr>
      <w:rFonts w:ascii="Arial" w:hAnsi="Arial"/>
      <w:sz w:val="24"/>
      <w:szCs w:val="24"/>
    </w:rPr>
  </w:style>
  <w:style w:type="paragraph" w:styleId="977">
    <w:name w:val="标题4"/>
    <w:basedOn w:val="864"/>
    <w:next w:val="977"/>
    <w:link w:val="860"/>
    <w:pPr>
      <w:numPr>
        <w:ilvl w:val="3"/>
        <w:numId w:val="2"/>
      </w:numPr>
      <w:keepLines w:val="0"/>
      <w:keepNext w:val="0"/>
      <w:spacing w:before="0" w:after="0" w:line="360" w:lineRule="auto"/>
      <w:tabs>
        <w:tab w:val="left" w:pos="0" w:leader="none"/>
      </w:tabs>
    </w:pPr>
    <w:rPr>
      <w:rFonts w:eastAsia="仿宋_GB2312"/>
      <w:bCs/>
      <w:sz w:val="30"/>
      <w:szCs w:val="30"/>
    </w:rPr>
  </w:style>
  <w:style w:type="paragraph" w:styleId="978">
    <w:name w:val="Char Char1"/>
    <w:basedOn w:val="966"/>
    <w:next w:val="978"/>
    <w:link w:val="860"/>
    <w:pPr>
      <w:spacing w:line="360" w:lineRule="auto"/>
    </w:pPr>
    <w:rPr>
      <w:rFonts w:ascii="Tahoma" w:hAnsi="Tahoma"/>
      <w:sz w:val="24"/>
      <w:szCs w:val="24"/>
    </w:rPr>
  </w:style>
  <w:style w:type="paragraph" w:styleId="979">
    <w:name w:val="标题9"/>
    <w:basedOn w:val="868"/>
    <w:next w:val="979"/>
    <w:link w:val="860"/>
    <w:pPr>
      <w:numPr>
        <w:ilvl w:val="8"/>
        <w:numId w:val="2"/>
      </w:numPr>
      <w:jc w:val="both"/>
      <w:keepLines w:val="0"/>
      <w:keepNext w:val="0"/>
      <w:spacing w:before="0" w:after="0" w:line="360" w:lineRule="auto"/>
      <w:tabs>
        <w:tab w:val="left" w:pos="0" w:leader="none"/>
      </w:tabs>
    </w:pPr>
    <w:rPr>
      <w:rFonts w:eastAsia="仿宋_GB2312"/>
      <w:sz w:val="30"/>
    </w:rPr>
  </w:style>
  <w:style w:type="table" w:styleId="980">
    <w:name w:val="网格型"/>
    <w:basedOn w:val="870"/>
    <w:next w:val="980"/>
    <w:link w:val="860"/>
    <w:rPr>
      <w:rFonts w:ascii="Calibri" w:hAnsi="Calibri" w:eastAsia="宋体" w:cs="Times New Roman"/>
      <w:sz w:val="20"/>
      <w:szCs w:val="20"/>
    </w:rPr>
    <w:tblPr/>
  </w:style>
  <w:style w:type="character" w:styleId="981" w:default="1">
    <w:name w:val="Default Paragraph Font"/>
    <w:uiPriority w:val="1"/>
    <w:semiHidden/>
    <w:unhideWhenUsed/>
  </w:style>
  <w:style w:type="numbering" w:styleId="982" w:default="1">
    <w:name w:val="No List"/>
    <w:uiPriority w:val="99"/>
    <w:semiHidden/>
    <w:unhideWhenUsed/>
  </w:style>
  <w:style w:type="table" w:styleId="9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749"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47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95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378"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363"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41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陶亮</cp:lastModifiedBy>
  <cp:revision>4</cp:revision>
  <dcterms:created xsi:type="dcterms:W3CDTF">2026-04-24T06:36:00Z</dcterms:created>
  <dcterms:modified xsi:type="dcterms:W3CDTF">2026-09-18T08:26:53Z</dcterms:modified>
</cp:coreProperties>
</file>