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420" w:firstLine="420"/>
        <w:jc w:val="right"/>
        <w:spacing w:line="520" w:lineRule="atLeast"/>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p>
      <w:pPr>
        <w:ind w:firstLine="420"/>
        <w:jc w:val="left"/>
        <w:spacing w:line="520" w:lineRule="atLeast"/>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p>
      <w:pPr>
        <w:ind w:firstLine="420"/>
        <w:jc w:val="left"/>
        <w:spacing w:line="520" w:lineRule="atLeast"/>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p>
      <w:pPr>
        <w:ind w:right="0"/>
        <w:jc w:val="center"/>
        <w:keepLines w:val="0"/>
        <w:keepNext w:val="0"/>
        <w:pageBreakBefore w:val="0"/>
        <w:spacing w:before="100" w:after="100" w:line="360" w:lineRule="auto"/>
        <w:widowControl w:val="off"/>
        <w:tabs>
          <w:tab w:val="center" w:pos="4422" w:leader="none"/>
        </w:tabs>
        <w:rPr>
          <w:rFonts w:hint="eastAsia" w:ascii="宋体" w:hAnsi="宋体" w:eastAsia="宋体" w:cs="宋体"/>
          <w:b/>
          <w:sz w:val="44"/>
          <w:szCs w:val="44"/>
          <w:highlight w:val="none"/>
          <w:lang w:eastAsia="zh-CN"/>
        </w:rPr>
      </w:pPr>
      <w:r>
        <w:rPr>
          <w:rFonts w:hint="eastAsia" w:ascii="宋体" w:hAnsi="宋体" w:eastAsia="宋体" w:cs="宋体"/>
          <w:b/>
          <w:sz w:val="44"/>
          <w:szCs w:val="44"/>
          <w:highlight w:val="none"/>
          <w:lang w:eastAsia="zh-CN"/>
        </w:rPr>
        <w:t xml:space="preserve">江苏省林业局2026年度</w:t>
      </w:r>
      <w:r/>
    </w:p>
    <w:p>
      <w:pPr>
        <w:ind w:right="0"/>
        <w:jc w:val="center"/>
        <w:keepLines w:val="0"/>
        <w:keepNext w:val="0"/>
        <w:pageBreakBefore w:val="0"/>
        <w:spacing w:before="100" w:after="100" w:line="360" w:lineRule="auto"/>
        <w:widowControl w:val="off"/>
        <w:tabs>
          <w:tab w:val="center" w:pos="4422" w:leader="none"/>
        </w:tabs>
        <w:rPr>
          <w:rFonts w:hint="eastAsia" w:ascii="宋体" w:hAnsi="宋体" w:eastAsia="宋体" w:cs="宋体"/>
          <w:b/>
          <w:sz w:val="44"/>
          <w:szCs w:val="44"/>
          <w:highlight w:val="none"/>
          <w:lang w:val="en-US" w:eastAsia="zh-CN"/>
        </w:rPr>
      </w:pPr>
      <w:r>
        <w:rPr>
          <w:rFonts w:hint="eastAsia" w:ascii="宋体" w:hAnsi="宋体" w:eastAsia="宋体" w:cs="宋体"/>
          <w:b/>
          <w:sz w:val="44"/>
          <w:szCs w:val="44"/>
          <w:highlight w:val="none"/>
          <w:lang w:eastAsia="zh-CN"/>
        </w:rPr>
        <w:t xml:space="preserve">森林防火物资</w:t>
      </w:r>
      <w:r>
        <w:rPr>
          <w:rFonts w:hint="eastAsia" w:ascii="宋体" w:hAnsi="宋体" w:eastAsia="宋体" w:cs="宋体"/>
          <w:b/>
          <w:sz w:val="44"/>
          <w:szCs w:val="44"/>
          <w:highlight w:val="none"/>
          <w:lang w:val="en-US" w:eastAsia="zh-CN"/>
        </w:rPr>
        <w:t xml:space="preserve">装备</w:t>
      </w:r>
      <w:r/>
    </w:p>
    <w:p>
      <w:pPr>
        <w:pStyle w:val="703"/>
        <w:ind w:right="0" w:firstLine="1687"/>
        <w:jc w:val="center"/>
        <w:keepLines w:val="0"/>
        <w:keepNext w:val="0"/>
        <w:pageBreakBefore w:val="0"/>
        <w:widowControl w:val="off"/>
        <w:rPr>
          <w:rFonts w:ascii="Microsoft New Tai Lue" w:hAnsi="Microsoft New Tai Lue" w:cs="Microsoft New Tai Lue"/>
          <w:b/>
          <w:sz w:val="84"/>
          <w:szCs w:val="84"/>
          <w:highlight w:val="none"/>
        </w:rPr>
      </w:pPr>
      <w:r>
        <w:rPr>
          <w:rFonts w:ascii="Microsoft New Tai Lue" w:hAnsi="Microsoft New Tai Lue" w:cs="Microsoft New Tai Lue"/>
          <w:b/>
          <w:sz w:val="84"/>
          <w:szCs w:val="84"/>
          <w:highlight w:val="none"/>
        </w:rPr>
      </w:r>
      <w:r/>
    </w:p>
    <w:p>
      <w:pPr>
        <w:pStyle w:val="703"/>
        <w:ind w:right="0" w:firstLine="1687"/>
        <w:keepLines w:val="0"/>
        <w:keepNext w:val="0"/>
        <w:pageBreakBefore w:val="0"/>
        <w:widowControl w:val="off"/>
        <w:rPr>
          <w:rFonts w:ascii="Microsoft New Tai Lue" w:hAnsi="Microsoft New Tai Lue" w:cs="Microsoft New Tai Lue"/>
          <w:b/>
          <w:sz w:val="84"/>
          <w:szCs w:val="84"/>
          <w:highlight w:val="none"/>
        </w:rPr>
      </w:pPr>
      <w:r>
        <w:rPr>
          <w:rFonts w:ascii="Microsoft New Tai Lue" w:hAnsi="Microsoft New Tai Lue" w:cs="Microsoft New Tai Lue"/>
          <w:b/>
          <w:sz w:val="84"/>
          <w:szCs w:val="84"/>
          <w:highlight w:val="none"/>
        </w:rPr>
      </w:r>
      <w:r/>
    </w:p>
    <w:p>
      <w:pPr>
        <w:pStyle w:val="703"/>
        <w:ind w:right="0"/>
        <w:jc w:val="center"/>
        <w:keepLines w:val="0"/>
        <w:keepNext w:val="0"/>
        <w:pageBreakBefore w:val="0"/>
        <w:widowControl w:val="off"/>
        <w:rPr>
          <w:rFonts w:ascii="Microsoft New Tai Lue" w:hAnsi="Microsoft New Tai Lue" w:cs="Microsoft New Tai Lue"/>
          <w:b/>
          <w:sz w:val="84"/>
          <w:szCs w:val="84"/>
          <w:highlight w:val="none"/>
        </w:rPr>
      </w:pPr>
      <w:r>
        <w:rPr>
          <w:rFonts w:ascii="Microsoft New Tai Lue" w:hAnsi="Microsoft New Tai Lue" w:cs="Microsoft New Tai Lue"/>
          <w:b/>
          <w:sz w:val="84"/>
          <w:szCs w:val="84"/>
          <w:highlight w:val="none"/>
        </w:rPr>
        <w:t xml:space="preserve">招 标 文 件</w:t>
      </w:r>
      <w:r/>
    </w:p>
    <w:p>
      <w:pPr>
        <w:ind w:right="0" w:firstLine="1928"/>
        <w:jc w:val="center"/>
        <w:keepLines w:val="0"/>
        <w:keepNext w:val="0"/>
        <w:pageBreakBefore w:val="0"/>
        <w:spacing w:line="440" w:lineRule="exact"/>
        <w:widowControl w:val="off"/>
        <w:rPr>
          <w:rFonts w:ascii="Microsoft New Tai Lue" w:hAnsi="Microsoft New Tai Lue" w:cs="Microsoft New Tai Lue"/>
          <w:b/>
          <w:sz w:val="96"/>
          <w:highlight w:val="none"/>
        </w:rPr>
      </w:pPr>
      <w:r>
        <w:rPr>
          <w:rFonts w:ascii="Microsoft New Tai Lue" w:hAnsi="Microsoft New Tai Lue" w:cs="Microsoft New Tai Lue"/>
          <w:b/>
          <w:sz w:val="96"/>
          <w:highlight w:val="none"/>
        </w:rPr>
      </w:r>
      <w:r/>
    </w:p>
    <w:p>
      <w:pPr>
        <w:ind w:right="0"/>
        <w:jc w:val="center"/>
        <w:keepLines w:val="0"/>
        <w:keepNext w:val="0"/>
        <w:pageBreakBefore w:val="0"/>
        <w:spacing w:line="360" w:lineRule="auto"/>
        <w:widowControl w:val="off"/>
        <w:rPr>
          <w:rFonts w:hint="eastAsia" w:ascii="Microsoft New Tai Lue" w:hAnsi="Microsoft New Tai Lue" w:eastAsia="宋体" w:cs="Microsoft New Tai Lue"/>
          <w:b/>
          <w:sz w:val="40"/>
          <w:szCs w:val="40"/>
          <w:highlight w:val="none"/>
          <w:lang w:eastAsia="zh-CN"/>
        </w:rPr>
      </w:pPr>
      <w:r>
        <w:rPr>
          <w:rFonts w:ascii="Microsoft New Tai Lue" w:hAnsi="Microsoft New Tai Lue" w:cs="Microsoft New Tai Lue"/>
          <w:b/>
          <w:sz w:val="40"/>
          <w:szCs w:val="40"/>
          <w:highlight w:val="none"/>
        </w:rPr>
        <w:t xml:space="preserve">项目编号：</w:t>
      </w:r>
      <w:r>
        <w:rPr>
          <w:rFonts w:hint="eastAsia" w:ascii="Microsoft New Tai Lue" w:hAnsi="Microsoft New Tai Lue" w:cs="Microsoft New Tai Lue"/>
          <w:b/>
          <w:sz w:val="40"/>
          <w:szCs w:val="40"/>
          <w:highlight w:val="none"/>
          <w:lang w:eastAsia="zh-CN"/>
        </w:rPr>
        <w:t xml:space="preserve">JSZC-320000-JITC-G2026-0342</w:t>
      </w:r>
      <w:r/>
    </w:p>
    <w:p>
      <w:pPr>
        <w:ind w:right="0" w:firstLine="640"/>
        <w:keepLines w:val="0"/>
        <w:keepNext w:val="0"/>
        <w:pageBreakBefore w:val="0"/>
        <w:spacing w:line="360" w:lineRule="auto"/>
        <w:widowControl w:val="off"/>
        <w:rPr>
          <w:rFonts w:ascii="Microsoft New Tai Lue" w:hAnsi="Microsoft New Tai Lue" w:cs="Microsoft New Tai Lue"/>
          <w:sz w:val="32"/>
          <w:highlight w:val="none"/>
        </w:rPr>
      </w:pPr>
      <w:r>
        <w:rPr>
          <w:rFonts w:ascii="Microsoft New Tai Lue" w:hAnsi="Microsoft New Tai Lue" w:cs="Microsoft New Tai Lue"/>
          <w:sz w:val="32"/>
          <w:highlight w:val="none"/>
        </w:rPr>
      </w:r>
      <w:r/>
    </w:p>
    <w:p>
      <w:pPr>
        <w:ind w:right="0" w:firstLine="640"/>
        <w:keepLines w:val="0"/>
        <w:keepNext w:val="0"/>
        <w:pageBreakBefore w:val="0"/>
        <w:spacing w:line="360" w:lineRule="auto"/>
        <w:widowControl w:val="off"/>
        <w:rPr>
          <w:rFonts w:ascii="Microsoft New Tai Lue" w:hAnsi="Microsoft New Tai Lue" w:cs="Microsoft New Tai Lue"/>
          <w:sz w:val="32"/>
          <w:highlight w:val="none"/>
        </w:rPr>
      </w:pPr>
      <w:r>
        <w:rPr>
          <w:rFonts w:ascii="Microsoft New Tai Lue" w:hAnsi="Microsoft New Tai Lue" w:cs="Microsoft New Tai Lue"/>
          <w:sz w:val="32"/>
          <w:highlight w:val="none"/>
        </w:rPr>
      </w:r>
      <w:r/>
    </w:p>
    <w:p>
      <w:pPr>
        <w:ind w:right="0" w:firstLine="640"/>
        <w:keepLines w:val="0"/>
        <w:keepNext w:val="0"/>
        <w:pageBreakBefore w:val="0"/>
        <w:spacing w:line="360" w:lineRule="auto"/>
        <w:widowControl w:val="off"/>
        <w:rPr>
          <w:rFonts w:ascii="Microsoft New Tai Lue" w:hAnsi="Microsoft New Tai Lue" w:cs="Microsoft New Tai Lue"/>
          <w:sz w:val="32"/>
          <w:highlight w:val="none"/>
        </w:rPr>
      </w:pPr>
      <w:r>
        <w:rPr>
          <w:rFonts w:ascii="Microsoft New Tai Lue" w:hAnsi="Microsoft New Tai Lue" w:cs="Microsoft New Tai Lue"/>
          <w:sz w:val="32"/>
          <w:highlight w:val="none"/>
        </w:rPr>
      </w:r>
      <w:r/>
    </w:p>
    <w:p>
      <w:pPr>
        <w:ind w:right="0" w:firstLine="640"/>
        <w:keepLines w:val="0"/>
        <w:keepNext w:val="0"/>
        <w:pageBreakBefore w:val="0"/>
        <w:spacing w:line="360" w:lineRule="auto"/>
        <w:widowControl w:val="off"/>
        <w:rPr>
          <w:rFonts w:ascii="Microsoft New Tai Lue" w:hAnsi="Microsoft New Tai Lue" w:cs="Microsoft New Tai Lue"/>
          <w:sz w:val="32"/>
          <w:highlight w:val="none"/>
        </w:rPr>
      </w:pPr>
      <w:r>
        <w:rPr>
          <w:rFonts w:ascii="Microsoft New Tai Lue" w:hAnsi="Microsoft New Tai Lue" w:cs="Microsoft New Tai Lue"/>
          <w:sz w:val="32"/>
          <w:highlight w:val="none"/>
        </w:rPr>
      </w:r>
      <w:r/>
    </w:p>
    <w:p>
      <w:pPr>
        <w:ind w:right="0"/>
        <w:jc w:val="center"/>
        <w:keepLines w:val="0"/>
        <w:keepNext w:val="0"/>
        <w:pageBreakBefore w:val="0"/>
        <w:spacing w:line="360" w:lineRule="auto"/>
        <w:widowControl w:val="off"/>
        <w:tabs>
          <w:tab w:val="left" w:pos="360" w:leader="none"/>
        </w:tabs>
        <w:rPr>
          <w:rFonts w:hint="default" w:ascii="Microsoft New Tai Lue" w:hAnsi="Microsoft New Tai Lue" w:eastAsia="宋体" w:cs="Microsoft New Tai Lue"/>
          <w:b/>
          <w:sz w:val="32"/>
          <w:highlight w:val="none"/>
          <w:lang w:val="en-US" w:eastAsia="zh-CN"/>
        </w:rPr>
      </w:pPr>
      <w:r>
        <w:rPr>
          <w:rFonts w:ascii="Microsoft New Tai Lue" w:hAnsi="Microsoft New Tai Lue" w:cs="Microsoft New Tai Lue"/>
          <w:b/>
          <w:sz w:val="32"/>
          <w:highlight w:val="none"/>
        </w:rPr>
        <w:t xml:space="preserve">采购人：</w:t>
      </w:r>
      <w:r>
        <w:rPr>
          <w:rFonts w:hint="eastAsia" w:ascii="Microsoft New Tai Lue" w:hAnsi="Microsoft New Tai Lue" w:cs="Microsoft New Tai Lue"/>
          <w:b/>
          <w:sz w:val="32"/>
          <w:highlight w:val="none"/>
          <w:lang w:eastAsia="zh-CN"/>
        </w:rPr>
        <w:t xml:space="preserve">江苏省林业局</w:t>
      </w:r>
      <w:r/>
    </w:p>
    <w:p>
      <w:pPr>
        <w:ind w:right="0"/>
        <w:jc w:val="center"/>
        <w:keepLines w:val="0"/>
        <w:keepNext w:val="0"/>
        <w:pageBreakBefore w:val="0"/>
        <w:spacing w:line="360" w:lineRule="auto"/>
        <w:widowControl w:val="off"/>
        <w:tabs>
          <w:tab w:val="left" w:pos="360" w:leader="none"/>
        </w:tabs>
        <w:rPr>
          <w:rFonts w:ascii="Microsoft New Tai Lue" w:hAnsi="Microsoft New Tai Lue" w:cs="Microsoft New Tai Lue"/>
          <w:b/>
          <w:sz w:val="32"/>
          <w:highlight w:val="none"/>
        </w:rPr>
      </w:pPr>
      <w:r>
        <w:rPr>
          <w:rFonts w:ascii="Microsoft New Tai Lue" w:hAnsi="Microsoft New Tai Lue" w:cs="Microsoft New Tai Lue"/>
          <w:b/>
          <w:sz w:val="32"/>
          <w:highlight w:val="none"/>
        </w:rPr>
        <w:t xml:space="preserve">采购代理机构：江苏省招标中心有限公司</w:t>
      </w:r>
      <w:r/>
    </w:p>
    <w:p>
      <w:pPr>
        <w:ind w:right="0"/>
        <w:jc w:val="center"/>
        <w:keepLines w:val="0"/>
        <w:keepNext w:val="0"/>
        <w:pageBreakBefore w:val="0"/>
        <w:widowControl w:val="off"/>
        <w:rPr>
          <w:rFonts w:ascii="Microsoft New Tai Lue" w:hAnsi="Microsoft New Tai Lue" w:cs="Microsoft New Tai Lue"/>
          <w:b/>
          <w:sz w:val="32"/>
          <w:highlight w:val="none"/>
        </w:rPr>
      </w:pPr>
      <w:r>
        <w:rPr>
          <w:rFonts w:ascii="Microsoft New Tai Lue" w:hAnsi="Microsoft New Tai Lue" w:cs="Microsoft New Tai Lue"/>
          <w:b/>
          <w:sz w:val="32"/>
          <w:highlight w:val="none"/>
        </w:rPr>
        <w:t xml:space="preserve">二</w:t>
      </w:r>
      <w:r>
        <w:rPr>
          <w:rFonts w:hint="eastAsia" w:ascii="Microsoft New Tai Lue" w:hAnsi="Microsoft New Tai Lue" w:cs="Microsoft New Tai Lue"/>
          <w:b/>
          <w:sz w:val="32"/>
          <w:highlight w:val="none"/>
        </w:rPr>
        <w:t xml:space="preserve">〇二</w:t>
      </w:r>
      <w:r>
        <w:rPr>
          <w:rFonts w:hint="eastAsia" w:ascii="Microsoft New Tai Lue" w:hAnsi="Microsoft New Tai Lue" w:cs="Microsoft New Tai Lue"/>
          <w:b/>
          <w:sz w:val="32"/>
          <w:highlight w:val="none"/>
          <w:lang w:val="en-US" w:eastAsia="zh-CN"/>
        </w:rPr>
        <w:t xml:space="preserve">六</w:t>
      </w:r>
      <w:r>
        <w:rPr>
          <w:rFonts w:ascii="Microsoft New Tai Lue" w:hAnsi="Microsoft New Tai Lue" w:cs="Microsoft New Tai Lue"/>
          <w:b/>
          <w:sz w:val="32"/>
          <w:highlight w:val="none"/>
        </w:rPr>
        <w:t xml:space="preserve">年</w:t>
      </w:r>
      <w:r>
        <w:rPr>
          <w:rFonts w:hint="eastAsia" w:ascii="Microsoft New Tai Lue" w:hAnsi="Microsoft New Tai Lue" w:cs="Microsoft New Tai Lue"/>
          <w:b/>
          <w:sz w:val="32"/>
          <w:highlight w:val="none"/>
          <w:lang w:val="en-US" w:eastAsia="zh-CN"/>
        </w:rPr>
        <w:t xml:space="preserve">九</w:t>
      </w:r>
      <w:r>
        <w:rPr>
          <w:rFonts w:ascii="Microsoft New Tai Lue" w:hAnsi="Microsoft New Tai Lue" w:cs="Microsoft New Tai Lue"/>
          <w:b/>
          <w:sz w:val="32"/>
          <w:highlight w:val="none"/>
        </w:rPr>
        <w:t xml:space="preserve">月</w:t>
      </w:r>
      <w:r/>
    </w:p>
    <w:p>
      <w:pPr>
        <w:pStyle w:val="721"/>
        <w:ind w:firstLine="643"/>
        <w:rPr>
          <w:rFonts w:ascii="Microsoft New Tai Lue" w:hAnsi="Microsoft New Tai Lue" w:cs="Microsoft New Tai Lue"/>
          <w:highlight w:val="none"/>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highlight w:val="none"/>
        </w:rPr>
      </w:r>
      <w:r/>
    </w:p>
    <w:p>
      <w:pPr>
        <w:ind w:firstLine="643"/>
        <w:jc w:val="center"/>
        <w:spacing w:line="500" w:lineRule="exact"/>
        <w:rPr>
          <w:rFonts w:ascii="Microsoft New Tai Lue" w:hAnsi="Microsoft New Tai Lue" w:cs="Microsoft New Tai Lue"/>
          <w:b/>
          <w:sz w:val="32"/>
          <w:szCs w:val="32"/>
          <w:highlight w:val="none"/>
        </w:rPr>
      </w:pPr>
      <w:r/>
      <w:bookmarkStart w:id="0" w:name="_Toc531620161"/>
      <w:r/>
      <w:bookmarkStart w:id="1" w:name="_Toc80264696"/>
      <w:r>
        <w:rPr>
          <w:rFonts w:ascii="Microsoft New Tai Lue" w:hAnsi="Microsoft New Tai Lue" w:cs="Microsoft New Tai Lue"/>
          <w:b/>
          <w:sz w:val="32"/>
          <w:szCs w:val="32"/>
          <w:highlight w:val="none"/>
        </w:rPr>
        <w:t xml:space="preserve">目   录</w:t>
      </w:r>
      <w:r/>
    </w:p>
    <w:p>
      <w:pPr>
        <w:pStyle w:val="710"/>
        <w:ind w:firstLine="482"/>
        <w:spacing w:line="360" w:lineRule="auto"/>
        <w:tabs>
          <w:tab w:val="right" w:pos="8844" w:leader="dot"/>
        </w:tabs>
        <w:rPr>
          <w:rFonts w:hint="eastAsia" w:ascii="宋体" w:hAnsi="宋体" w:eastAsia="宋体"/>
          <w:b/>
          <w:highlight w:val="none"/>
        </w:rPr>
      </w:pPr>
      <w:r>
        <w:rPr>
          <w:rFonts w:hint="eastAsia" w:ascii="宋体" w:hAnsi="宋体" w:eastAsia="宋体"/>
          <w:b/>
          <w:highlight w:val="none"/>
        </w:rPr>
      </w:r>
      <w:r/>
    </w:p>
    <w:p>
      <w:pPr>
        <w:pStyle w:val="710"/>
        <w:tabs>
          <w:tab w:val="right" w:pos="8730" w:leader="dot"/>
        </w:tabs>
      </w:pPr>
      <w:r>
        <w:rPr>
          <w:rFonts w:ascii="宋体" w:hAnsi="宋体" w:eastAsia="宋体"/>
          <w:b/>
          <w:highlight w:val="none"/>
        </w:rPr>
        <w:fldChar w:fldCharType="begin"/>
      </w:r>
      <w:r>
        <w:rPr>
          <w:rFonts w:ascii="宋体" w:hAnsi="宋体" w:eastAsia="宋体"/>
          <w:b/>
          <w:highlight w:val="none"/>
        </w:rPr>
        <w:instrText xml:space="preserve"> TOC \o "1-3" \h \z \u </w:instrText>
      </w:r>
      <w:r>
        <w:rPr>
          <w:rFonts w:ascii="宋体" w:hAnsi="宋体" w:eastAsia="宋体"/>
          <w:b/>
          <w:highlight w:val="none"/>
        </w:rPr>
        <w:fldChar w:fldCharType="separate"/>
      </w:r>
      <w:r>
        <w:rPr>
          <w:rFonts w:ascii="宋体" w:hAnsi="宋体" w:eastAsia="宋体"/>
          <w:highlight w:val="none"/>
        </w:rPr>
        <w:fldChar w:fldCharType="begin"/>
      </w:r>
      <w:r>
        <w:rPr>
          <w:rFonts w:ascii="宋体" w:hAnsi="宋体" w:eastAsia="宋体"/>
          <w:highlight w:val="none"/>
        </w:rPr>
        <w:instrText xml:space="preserve"> HYPERLINK \l _Toc25091 </w:instrText>
      </w:r>
      <w:r>
        <w:rPr>
          <w:rFonts w:ascii="宋体" w:hAnsi="宋体" w:eastAsia="宋体"/>
          <w:highlight w:val="none"/>
        </w:rPr>
        <w:fldChar w:fldCharType="separate"/>
      </w:r>
      <w:r>
        <w:rPr>
          <w:rFonts w:hint="eastAsia" w:ascii="Microsoft New Tai Lue" w:hAnsi="Microsoft New Tai Lue" w:cs="Microsoft New Tai Lue"/>
          <w:highlight w:val="none"/>
        </w:rPr>
        <w:t xml:space="preserve">第一章</w:t>
      </w:r>
      <w:r>
        <w:rPr>
          <w:rFonts w:hint="eastAsia" w:ascii="Microsoft New Tai Lue" w:hAnsi="Microsoft New Tai Lue" w:cs="Microsoft New Tai Lue"/>
          <w:bCs w:val="0"/>
          <w:highlight w:val="none"/>
        </w:rPr>
        <w:t xml:space="preserve"> </w:t>
      </w:r>
      <w:r>
        <w:rPr>
          <w:rFonts w:hint="eastAsia" w:ascii="Microsoft New Tai Lue" w:hAnsi="Microsoft New Tai Lue" w:cs="Microsoft New Tai Lue"/>
          <w:highlight w:val="none"/>
        </w:rPr>
        <w:t xml:space="preserve">招标公告</w:t>
      </w:r>
      <w:r>
        <w:tab/>
      </w:r>
      <w:r>
        <w:fldChar w:fldCharType="begin"/>
      </w:r>
      <w:r>
        <w:instrText xml:space="preserve"> PAGEREF _Toc25091 \h </w:instrText>
      </w:r>
      <w:r>
        <w:fldChar w:fldCharType="separate"/>
      </w:r>
      <w:r>
        <w:t xml:space="preserve">3</w:t>
      </w:r>
      <w:r>
        <w:fldChar w:fldCharType="end"/>
      </w:r>
      <w:r>
        <w:rPr>
          <w:rFonts w:ascii="宋体" w:hAnsi="宋体" w:eastAsia="宋体"/>
          <w:highlight w:val="none"/>
        </w:rPr>
        <w:fldChar w:fldCharType="end"/>
      </w:r>
      <w:r/>
    </w:p>
    <w:p>
      <w:pPr>
        <w:pStyle w:val="710"/>
        <w:tabs>
          <w:tab w:val="right" w:pos="8730" w:leader="dot"/>
        </w:tabs>
      </w:pPr>
      <w:r>
        <w:rPr>
          <w:rFonts w:ascii="宋体" w:hAnsi="宋体" w:eastAsia="宋体"/>
          <w:highlight w:val="none"/>
        </w:rPr>
        <w:fldChar w:fldCharType="begin"/>
      </w:r>
      <w:r>
        <w:rPr>
          <w:rFonts w:ascii="宋体" w:hAnsi="宋体" w:eastAsia="宋体"/>
          <w:highlight w:val="none"/>
        </w:rPr>
        <w:instrText xml:space="preserve"> HYPERLINK \l _Toc25583 </w:instrText>
      </w:r>
      <w:r>
        <w:rPr>
          <w:rFonts w:ascii="宋体" w:hAnsi="宋体" w:eastAsia="宋体"/>
          <w:highlight w:val="none"/>
        </w:rPr>
        <w:fldChar w:fldCharType="separate"/>
      </w:r>
      <w:r>
        <w:rPr>
          <w:rFonts w:hint="eastAsia"/>
          <w:bCs/>
          <w:szCs w:val="28"/>
          <w:highlight w:val="none"/>
        </w:rPr>
        <w:t xml:space="preserve">第二章</w:t>
      </w:r>
      <w:r>
        <w:rPr>
          <w:bCs/>
          <w:szCs w:val="28"/>
          <w:highlight w:val="none"/>
        </w:rPr>
        <w:t xml:space="preserve">  </w:t>
      </w:r>
      <w:r>
        <w:rPr>
          <w:rFonts w:hint="eastAsia"/>
          <w:bCs/>
          <w:szCs w:val="28"/>
          <w:highlight w:val="none"/>
        </w:rPr>
        <w:t xml:space="preserve">投标人须知</w:t>
      </w:r>
      <w:r>
        <w:tab/>
      </w:r>
      <w:r>
        <w:fldChar w:fldCharType="begin"/>
      </w:r>
      <w:r>
        <w:instrText xml:space="preserve"> PAGEREF _Toc25583 \h </w:instrText>
      </w:r>
      <w:r>
        <w:fldChar w:fldCharType="separate"/>
      </w:r>
      <w:r>
        <w:t xml:space="preserve">8</w:t>
      </w:r>
      <w:r>
        <w:fldChar w:fldCharType="end"/>
      </w:r>
      <w:r>
        <w:rPr>
          <w:rFonts w:ascii="宋体" w:hAnsi="宋体" w:eastAsia="宋体"/>
          <w:highlight w:val="none"/>
        </w:rPr>
        <w:fldChar w:fldCharType="end"/>
      </w:r>
      <w:r/>
    </w:p>
    <w:p>
      <w:pPr>
        <w:pStyle w:val="715"/>
        <w:tabs>
          <w:tab w:val="right" w:pos="8730" w:leader="dot"/>
        </w:tabs>
      </w:pPr>
      <w:r>
        <w:rPr>
          <w:rFonts w:ascii="宋体" w:hAnsi="宋体" w:eastAsia="宋体"/>
          <w:highlight w:val="none"/>
        </w:rPr>
        <w:fldChar w:fldCharType="begin"/>
      </w:r>
      <w:r>
        <w:rPr>
          <w:rFonts w:ascii="宋体" w:hAnsi="宋体" w:eastAsia="宋体"/>
          <w:highlight w:val="none"/>
        </w:rPr>
        <w:instrText xml:space="preserve"> HYPERLINK \l _Toc2179 </w:instrText>
      </w:r>
      <w:r>
        <w:rPr>
          <w:rFonts w:ascii="宋体" w:hAnsi="宋体" w:eastAsia="宋体"/>
          <w:highlight w:val="none"/>
        </w:rPr>
        <w:fldChar w:fldCharType="separate"/>
      </w:r>
      <w:r>
        <w:rPr>
          <w:rFonts w:hint="eastAsia"/>
          <w:highlight w:val="none"/>
        </w:rPr>
        <w:t xml:space="preserve">前附表</w:t>
      </w:r>
      <w:r>
        <w:tab/>
      </w:r>
      <w:r>
        <w:fldChar w:fldCharType="begin"/>
      </w:r>
      <w:r>
        <w:instrText xml:space="preserve"> PAGEREF _Toc2179 \h </w:instrText>
      </w:r>
      <w:r>
        <w:fldChar w:fldCharType="separate"/>
      </w:r>
      <w:r>
        <w:t xml:space="preserve">8</w:t>
      </w:r>
      <w:r>
        <w:fldChar w:fldCharType="end"/>
      </w:r>
      <w:r>
        <w:rPr>
          <w:rFonts w:ascii="宋体" w:hAnsi="宋体" w:eastAsia="宋体"/>
          <w:highlight w:val="none"/>
        </w:rPr>
        <w:fldChar w:fldCharType="end"/>
      </w:r>
      <w:r/>
    </w:p>
    <w:p>
      <w:pPr>
        <w:pStyle w:val="715"/>
        <w:tabs>
          <w:tab w:val="right" w:pos="8730" w:leader="dot"/>
        </w:tabs>
      </w:pPr>
      <w:r>
        <w:rPr>
          <w:rFonts w:ascii="宋体" w:hAnsi="宋体" w:eastAsia="宋体"/>
          <w:highlight w:val="none"/>
        </w:rPr>
        <w:fldChar w:fldCharType="begin"/>
      </w:r>
      <w:r>
        <w:rPr>
          <w:rFonts w:ascii="宋体" w:hAnsi="宋体" w:eastAsia="宋体"/>
          <w:highlight w:val="none"/>
        </w:rPr>
        <w:instrText xml:space="preserve"> HYPERLINK \l _Toc31021 </w:instrText>
      </w:r>
      <w:r>
        <w:rPr>
          <w:rFonts w:ascii="宋体" w:hAnsi="宋体" w:eastAsia="宋体"/>
          <w:highlight w:val="none"/>
        </w:rPr>
        <w:fldChar w:fldCharType="separate"/>
      </w:r>
      <w:r>
        <w:rPr>
          <w:rFonts w:hint="eastAsia"/>
          <w:highlight w:val="none"/>
        </w:rPr>
        <w:t xml:space="preserve">一、总则</w:t>
      </w:r>
      <w:r>
        <w:tab/>
      </w:r>
      <w:r>
        <w:fldChar w:fldCharType="begin"/>
      </w:r>
      <w:r>
        <w:instrText xml:space="preserve"> PAGEREF _Toc31021 \h </w:instrText>
      </w:r>
      <w:r>
        <w:fldChar w:fldCharType="separate"/>
      </w:r>
      <w:r>
        <w:t xml:space="preserve">10</w:t>
      </w:r>
      <w:r>
        <w:fldChar w:fldCharType="end"/>
      </w:r>
      <w:r>
        <w:rPr>
          <w:rFonts w:ascii="宋体" w:hAnsi="宋体" w:eastAsia="宋体"/>
          <w:highlight w:val="none"/>
        </w:rPr>
        <w:fldChar w:fldCharType="end"/>
      </w:r>
      <w:r/>
    </w:p>
    <w:p>
      <w:pPr>
        <w:pStyle w:val="715"/>
        <w:tabs>
          <w:tab w:val="right" w:pos="8730" w:leader="dot"/>
        </w:tabs>
      </w:pPr>
      <w:r>
        <w:rPr>
          <w:rFonts w:ascii="宋体" w:hAnsi="宋体" w:eastAsia="宋体"/>
          <w:highlight w:val="none"/>
        </w:rPr>
        <w:fldChar w:fldCharType="begin"/>
      </w:r>
      <w:r>
        <w:rPr>
          <w:rFonts w:ascii="宋体" w:hAnsi="宋体" w:eastAsia="宋体"/>
          <w:highlight w:val="none"/>
        </w:rPr>
        <w:instrText xml:space="preserve"> HYPERLINK \l _Toc13229 </w:instrText>
      </w:r>
      <w:r>
        <w:rPr>
          <w:rFonts w:ascii="宋体" w:hAnsi="宋体" w:eastAsia="宋体"/>
          <w:highlight w:val="none"/>
        </w:rPr>
        <w:fldChar w:fldCharType="separate"/>
      </w:r>
      <w:r>
        <w:rPr>
          <w:rFonts w:hint="eastAsia"/>
          <w:highlight w:val="none"/>
        </w:rPr>
        <w:t xml:space="preserve">二、招标文件构成</w:t>
      </w:r>
      <w:r>
        <w:tab/>
      </w:r>
      <w:r>
        <w:fldChar w:fldCharType="begin"/>
      </w:r>
      <w:r>
        <w:instrText xml:space="preserve"> PAGEREF _Toc13229 \h </w:instrText>
      </w:r>
      <w:r>
        <w:fldChar w:fldCharType="separate"/>
      </w:r>
      <w:r>
        <w:t xml:space="preserve">10</w:t>
      </w:r>
      <w:r>
        <w:fldChar w:fldCharType="end"/>
      </w:r>
      <w:r>
        <w:rPr>
          <w:rFonts w:ascii="宋体" w:hAnsi="宋体" w:eastAsia="宋体"/>
          <w:highlight w:val="none"/>
        </w:rPr>
        <w:fldChar w:fldCharType="end"/>
      </w:r>
      <w:r/>
    </w:p>
    <w:p>
      <w:pPr>
        <w:pStyle w:val="715"/>
        <w:tabs>
          <w:tab w:val="right" w:pos="8730" w:leader="dot"/>
        </w:tabs>
      </w:pPr>
      <w:r>
        <w:rPr>
          <w:rFonts w:ascii="宋体" w:hAnsi="宋体" w:eastAsia="宋体"/>
          <w:highlight w:val="none"/>
        </w:rPr>
        <w:fldChar w:fldCharType="begin"/>
      </w:r>
      <w:r>
        <w:rPr>
          <w:rFonts w:ascii="宋体" w:hAnsi="宋体" w:eastAsia="宋体"/>
          <w:highlight w:val="none"/>
        </w:rPr>
        <w:instrText xml:space="preserve"> HYPERLINK \l _Toc10147 </w:instrText>
      </w:r>
      <w:r>
        <w:rPr>
          <w:rFonts w:ascii="宋体" w:hAnsi="宋体" w:eastAsia="宋体"/>
          <w:highlight w:val="none"/>
        </w:rPr>
        <w:fldChar w:fldCharType="separate"/>
      </w:r>
      <w:r>
        <w:rPr>
          <w:rFonts w:hint="eastAsia"/>
          <w:highlight w:val="none"/>
        </w:rPr>
        <w:t xml:space="preserve">三、投标文件的编制</w:t>
      </w:r>
      <w:r>
        <w:tab/>
      </w:r>
      <w:r>
        <w:fldChar w:fldCharType="begin"/>
      </w:r>
      <w:r>
        <w:instrText xml:space="preserve"> PAGEREF _Toc10147 \h </w:instrText>
      </w:r>
      <w:r>
        <w:fldChar w:fldCharType="separate"/>
      </w:r>
      <w:r>
        <w:t xml:space="preserve">11</w:t>
      </w:r>
      <w:r>
        <w:fldChar w:fldCharType="end"/>
      </w:r>
      <w:r>
        <w:rPr>
          <w:rFonts w:ascii="宋体" w:hAnsi="宋体" w:eastAsia="宋体"/>
          <w:highlight w:val="none"/>
        </w:rPr>
        <w:fldChar w:fldCharType="end"/>
      </w:r>
      <w:r/>
    </w:p>
    <w:p>
      <w:pPr>
        <w:pStyle w:val="715"/>
        <w:tabs>
          <w:tab w:val="right" w:pos="8730" w:leader="dot"/>
        </w:tabs>
      </w:pPr>
      <w:r>
        <w:rPr>
          <w:rFonts w:ascii="宋体" w:hAnsi="宋体" w:eastAsia="宋体"/>
          <w:highlight w:val="none"/>
        </w:rPr>
        <w:fldChar w:fldCharType="begin"/>
      </w:r>
      <w:r>
        <w:rPr>
          <w:rFonts w:ascii="宋体" w:hAnsi="宋体" w:eastAsia="宋体"/>
          <w:highlight w:val="none"/>
        </w:rPr>
        <w:instrText xml:space="preserve"> HYPERLINK \l _Toc18059 </w:instrText>
      </w:r>
      <w:r>
        <w:rPr>
          <w:rFonts w:ascii="宋体" w:hAnsi="宋体" w:eastAsia="宋体"/>
          <w:highlight w:val="none"/>
        </w:rPr>
        <w:fldChar w:fldCharType="separate"/>
      </w:r>
      <w:r>
        <w:rPr>
          <w:rFonts w:hint="eastAsia"/>
          <w:highlight w:val="none"/>
        </w:rPr>
        <w:t xml:space="preserve">四、投标文件的递交</w:t>
      </w:r>
      <w:r>
        <w:tab/>
      </w:r>
      <w:r>
        <w:fldChar w:fldCharType="begin"/>
      </w:r>
      <w:r>
        <w:instrText xml:space="preserve"> PAGEREF _Toc18059 \h </w:instrText>
      </w:r>
      <w:r>
        <w:fldChar w:fldCharType="separate"/>
      </w:r>
      <w:r>
        <w:t xml:space="preserve">13</w:t>
      </w:r>
      <w:r>
        <w:fldChar w:fldCharType="end"/>
      </w:r>
      <w:r>
        <w:rPr>
          <w:rFonts w:ascii="宋体" w:hAnsi="宋体" w:eastAsia="宋体"/>
          <w:highlight w:val="none"/>
        </w:rPr>
        <w:fldChar w:fldCharType="end"/>
      </w:r>
      <w:r/>
    </w:p>
    <w:p>
      <w:pPr>
        <w:pStyle w:val="715"/>
        <w:tabs>
          <w:tab w:val="right" w:pos="8730" w:leader="dot"/>
        </w:tabs>
      </w:pPr>
      <w:r>
        <w:rPr>
          <w:rFonts w:ascii="宋体" w:hAnsi="宋体" w:eastAsia="宋体"/>
          <w:highlight w:val="none"/>
        </w:rPr>
        <w:fldChar w:fldCharType="begin"/>
      </w:r>
      <w:r>
        <w:rPr>
          <w:rFonts w:ascii="宋体" w:hAnsi="宋体" w:eastAsia="宋体"/>
          <w:highlight w:val="none"/>
        </w:rPr>
        <w:instrText xml:space="preserve"> HYPERLINK \l _Toc2537 </w:instrText>
      </w:r>
      <w:r>
        <w:rPr>
          <w:rFonts w:ascii="宋体" w:hAnsi="宋体" w:eastAsia="宋体"/>
          <w:highlight w:val="none"/>
        </w:rPr>
        <w:fldChar w:fldCharType="separate"/>
      </w:r>
      <w:r>
        <w:rPr>
          <w:rFonts w:hint="eastAsia"/>
          <w:highlight w:val="none"/>
        </w:rPr>
        <w:t xml:space="preserve">五、开标与评标</w:t>
      </w:r>
      <w:r>
        <w:tab/>
      </w:r>
      <w:r>
        <w:fldChar w:fldCharType="begin"/>
      </w:r>
      <w:r>
        <w:instrText xml:space="preserve"> PAGEREF _Toc2537 \h </w:instrText>
      </w:r>
      <w:r>
        <w:fldChar w:fldCharType="separate"/>
      </w:r>
      <w:r>
        <w:t xml:space="preserve">14</w:t>
      </w:r>
      <w:r>
        <w:fldChar w:fldCharType="end"/>
      </w:r>
      <w:r>
        <w:rPr>
          <w:rFonts w:ascii="宋体" w:hAnsi="宋体" w:eastAsia="宋体"/>
          <w:highlight w:val="none"/>
        </w:rPr>
        <w:fldChar w:fldCharType="end"/>
      </w:r>
      <w:r/>
    </w:p>
    <w:p>
      <w:pPr>
        <w:pStyle w:val="715"/>
        <w:tabs>
          <w:tab w:val="right" w:pos="8730" w:leader="dot"/>
        </w:tabs>
      </w:pPr>
      <w:r>
        <w:rPr>
          <w:rFonts w:ascii="宋体" w:hAnsi="宋体" w:eastAsia="宋体"/>
          <w:highlight w:val="none"/>
        </w:rPr>
        <w:fldChar w:fldCharType="begin"/>
      </w:r>
      <w:r>
        <w:rPr>
          <w:rFonts w:ascii="宋体" w:hAnsi="宋体" w:eastAsia="宋体"/>
          <w:highlight w:val="none"/>
        </w:rPr>
        <w:instrText xml:space="preserve"> HYPERLINK \l _Toc28226 </w:instrText>
      </w:r>
      <w:r>
        <w:rPr>
          <w:rFonts w:ascii="宋体" w:hAnsi="宋体" w:eastAsia="宋体"/>
          <w:highlight w:val="none"/>
        </w:rPr>
        <w:fldChar w:fldCharType="separate"/>
      </w:r>
      <w:r>
        <w:rPr>
          <w:rFonts w:hint="eastAsia" w:ascii="宋体" w:hAnsi="宋体"/>
          <w:highlight w:val="none"/>
        </w:rPr>
        <w:t xml:space="preserve">六、授予合同</w:t>
      </w:r>
      <w:r>
        <w:tab/>
      </w:r>
      <w:r>
        <w:fldChar w:fldCharType="begin"/>
      </w:r>
      <w:r>
        <w:instrText xml:space="preserve"> PAGEREF _Toc28226 \h </w:instrText>
      </w:r>
      <w:r>
        <w:fldChar w:fldCharType="separate"/>
      </w:r>
      <w:r>
        <w:t xml:space="preserve">17</w:t>
      </w:r>
      <w:r>
        <w:fldChar w:fldCharType="end"/>
      </w:r>
      <w:r>
        <w:rPr>
          <w:rFonts w:ascii="宋体" w:hAnsi="宋体" w:eastAsia="宋体"/>
          <w:highlight w:val="none"/>
        </w:rPr>
        <w:fldChar w:fldCharType="end"/>
      </w:r>
      <w:r/>
    </w:p>
    <w:p>
      <w:pPr>
        <w:pStyle w:val="715"/>
        <w:tabs>
          <w:tab w:val="right" w:pos="8730" w:leader="dot"/>
        </w:tabs>
      </w:pPr>
      <w:r>
        <w:rPr>
          <w:rFonts w:ascii="宋体" w:hAnsi="宋体" w:eastAsia="宋体"/>
          <w:highlight w:val="none"/>
        </w:rPr>
        <w:fldChar w:fldCharType="begin"/>
      </w:r>
      <w:r>
        <w:rPr>
          <w:rFonts w:ascii="宋体" w:hAnsi="宋体" w:eastAsia="宋体"/>
          <w:highlight w:val="none"/>
        </w:rPr>
        <w:instrText xml:space="preserve"> HYPERLINK \l _Toc18889 </w:instrText>
      </w:r>
      <w:r>
        <w:rPr>
          <w:rFonts w:ascii="宋体" w:hAnsi="宋体" w:eastAsia="宋体"/>
          <w:highlight w:val="none"/>
        </w:rPr>
        <w:fldChar w:fldCharType="separate"/>
      </w:r>
      <w:r>
        <w:rPr>
          <w:rFonts w:hint="eastAsia" w:ascii="宋体" w:hAnsi="宋体" w:cs="楷体_GB2312"/>
          <w:bCs/>
          <w:szCs w:val="21"/>
          <w:highlight w:val="none"/>
          <w:lang w:val="zh-CN"/>
        </w:rPr>
        <w:t xml:space="preserve">35.</w:t>
      </w:r>
      <w:r>
        <w:rPr>
          <w:rFonts w:hint="eastAsia" w:ascii="宋体" w:hAnsi="宋体" w:eastAsia="宋体" w:cs="Times New Roman"/>
          <w:szCs w:val="21"/>
          <w:highlight w:val="none"/>
          <w:lang w:val="zh-CN"/>
        </w:rPr>
        <w:t xml:space="preserve">5确定标准的依据：本项目委托代理协议。</w:t>
      </w:r>
      <w:r>
        <w:rPr>
          <w:rFonts w:hint="eastAsia"/>
          <w:highlight w:val="none"/>
        </w:rPr>
        <w:t xml:space="preserve">七、质疑与投诉</w:t>
      </w:r>
      <w:r>
        <w:tab/>
      </w:r>
      <w:r>
        <w:fldChar w:fldCharType="begin"/>
      </w:r>
      <w:r>
        <w:instrText xml:space="preserve"> PAGEREF _Toc18889 \h </w:instrText>
      </w:r>
      <w:r>
        <w:fldChar w:fldCharType="separate"/>
      </w:r>
      <w:r>
        <w:t xml:space="preserve">19</w:t>
      </w:r>
      <w:r>
        <w:fldChar w:fldCharType="end"/>
      </w:r>
      <w:r>
        <w:rPr>
          <w:rFonts w:ascii="宋体" w:hAnsi="宋体" w:eastAsia="宋体"/>
          <w:highlight w:val="none"/>
        </w:rPr>
        <w:fldChar w:fldCharType="end"/>
      </w:r>
      <w:r/>
    </w:p>
    <w:p>
      <w:pPr>
        <w:pStyle w:val="715"/>
        <w:tabs>
          <w:tab w:val="right" w:pos="8730" w:leader="dot"/>
        </w:tabs>
      </w:pPr>
      <w:r>
        <w:rPr>
          <w:rFonts w:ascii="宋体" w:hAnsi="宋体" w:eastAsia="宋体"/>
          <w:highlight w:val="none"/>
        </w:rPr>
        <w:fldChar w:fldCharType="begin"/>
      </w:r>
      <w:r>
        <w:rPr>
          <w:rFonts w:ascii="宋体" w:hAnsi="宋体" w:eastAsia="宋体"/>
          <w:highlight w:val="none"/>
        </w:rPr>
        <w:instrText xml:space="preserve"> HYPERLINK \l _Toc8619 </w:instrText>
      </w:r>
      <w:r>
        <w:rPr>
          <w:rFonts w:ascii="宋体" w:hAnsi="宋体" w:eastAsia="宋体"/>
          <w:highlight w:val="none"/>
        </w:rPr>
        <w:fldChar w:fldCharType="separate"/>
      </w:r>
      <w:r>
        <w:rPr>
          <w:rFonts w:hint="eastAsia"/>
          <w:highlight w:val="none"/>
        </w:rPr>
        <w:t xml:space="preserve">八、</w:t>
      </w:r>
      <w:r>
        <w:rPr>
          <w:highlight w:val="none"/>
        </w:rPr>
        <w:t xml:space="preserve">评标办法细则</w:t>
      </w:r>
      <w:r>
        <w:tab/>
      </w:r>
      <w:r>
        <w:fldChar w:fldCharType="begin"/>
      </w:r>
      <w:r>
        <w:instrText xml:space="preserve"> PAGEREF _Toc8619 \h </w:instrText>
      </w:r>
      <w:r>
        <w:fldChar w:fldCharType="separate"/>
      </w:r>
      <w:r>
        <w:t xml:space="preserve">20</w:t>
      </w:r>
      <w:r>
        <w:fldChar w:fldCharType="end"/>
      </w:r>
      <w:r>
        <w:rPr>
          <w:rFonts w:ascii="宋体" w:hAnsi="宋体" w:eastAsia="宋体"/>
          <w:highlight w:val="none"/>
        </w:rPr>
        <w:fldChar w:fldCharType="end"/>
      </w:r>
      <w:r/>
    </w:p>
    <w:p>
      <w:pPr>
        <w:pStyle w:val="710"/>
        <w:tabs>
          <w:tab w:val="right" w:pos="8730" w:leader="dot"/>
        </w:tabs>
      </w:pPr>
      <w:r>
        <w:rPr>
          <w:rFonts w:ascii="宋体" w:hAnsi="宋体" w:eastAsia="宋体"/>
          <w:highlight w:val="none"/>
        </w:rPr>
        <w:fldChar w:fldCharType="begin"/>
      </w:r>
      <w:r>
        <w:rPr>
          <w:rFonts w:ascii="宋体" w:hAnsi="宋体" w:eastAsia="宋体"/>
          <w:highlight w:val="none"/>
        </w:rPr>
        <w:instrText xml:space="preserve"> HYPERLINK \l _Toc3602 </w:instrText>
      </w:r>
      <w:r>
        <w:rPr>
          <w:rFonts w:ascii="宋体" w:hAnsi="宋体" w:eastAsia="宋体"/>
          <w:highlight w:val="none"/>
        </w:rPr>
        <w:fldChar w:fldCharType="separate"/>
      </w:r>
      <w:r>
        <w:rPr>
          <w:rFonts w:hint="eastAsia"/>
          <w:bCs/>
          <w:szCs w:val="28"/>
          <w:highlight w:val="none"/>
        </w:rPr>
        <w:t xml:space="preserve">第三章</w:t>
      </w:r>
      <w:r>
        <w:rPr>
          <w:bCs/>
          <w:szCs w:val="28"/>
          <w:highlight w:val="none"/>
        </w:rPr>
        <w:t xml:space="preserve">  </w:t>
      </w:r>
      <w:r>
        <w:rPr>
          <w:rFonts w:hint="eastAsia"/>
          <w:bCs/>
          <w:szCs w:val="28"/>
          <w:highlight w:val="none"/>
        </w:rPr>
        <w:t xml:space="preserve">合同格式</w:t>
      </w:r>
      <w:r>
        <w:tab/>
      </w:r>
      <w:r>
        <w:fldChar w:fldCharType="begin"/>
      </w:r>
      <w:r>
        <w:instrText xml:space="preserve"> PAGEREF _Toc3602 \h </w:instrText>
      </w:r>
      <w:r>
        <w:fldChar w:fldCharType="separate"/>
      </w:r>
      <w:r>
        <w:t xml:space="preserve">25</w:t>
      </w:r>
      <w:r>
        <w:fldChar w:fldCharType="end"/>
      </w:r>
      <w:r>
        <w:rPr>
          <w:rFonts w:ascii="宋体" w:hAnsi="宋体" w:eastAsia="宋体"/>
          <w:highlight w:val="none"/>
        </w:rPr>
        <w:fldChar w:fldCharType="end"/>
      </w:r>
      <w:r/>
    </w:p>
    <w:p>
      <w:pPr>
        <w:pStyle w:val="710"/>
        <w:tabs>
          <w:tab w:val="right" w:pos="8730" w:leader="dot"/>
        </w:tabs>
      </w:pPr>
      <w:r>
        <w:rPr>
          <w:rFonts w:ascii="宋体" w:hAnsi="宋体" w:eastAsia="宋体"/>
          <w:highlight w:val="none"/>
        </w:rPr>
        <w:fldChar w:fldCharType="begin"/>
      </w:r>
      <w:r>
        <w:rPr>
          <w:rFonts w:ascii="宋体" w:hAnsi="宋体" w:eastAsia="宋体"/>
          <w:highlight w:val="none"/>
        </w:rPr>
        <w:instrText xml:space="preserve"> HYPERLINK \l _Toc4710 </w:instrText>
      </w:r>
      <w:r>
        <w:rPr>
          <w:rFonts w:ascii="宋体" w:hAnsi="宋体" w:eastAsia="宋体"/>
          <w:highlight w:val="none"/>
        </w:rPr>
        <w:fldChar w:fldCharType="separate"/>
      </w:r>
      <w:r>
        <w:rPr>
          <w:rFonts w:hint="eastAsia"/>
          <w:bCs/>
          <w:szCs w:val="28"/>
          <w:highlight w:val="none"/>
        </w:rPr>
        <w:t xml:space="preserve">第四章</w:t>
      </w:r>
      <w:r>
        <w:rPr>
          <w:bCs/>
          <w:szCs w:val="28"/>
          <w:highlight w:val="none"/>
        </w:rPr>
        <w:t xml:space="preserve">  </w:t>
      </w:r>
      <w:r>
        <w:rPr>
          <w:rFonts w:hint="eastAsia"/>
          <w:bCs/>
          <w:szCs w:val="28"/>
          <w:highlight w:val="none"/>
        </w:rPr>
        <w:t xml:space="preserve">招标内容与技术要求</w:t>
      </w:r>
      <w:r>
        <w:tab/>
      </w:r>
      <w:r>
        <w:fldChar w:fldCharType="begin"/>
      </w:r>
      <w:r>
        <w:instrText xml:space="preserve"> PAGEREF _Toc4710 \h </w:instrText>
      </w:r>
      <w:r>
        <w:fldChar w:fldCharType="separate"/>
      </w:r>
      <w:r>
        <w:t xml:space="preserve">32</w:t>
      </w:r>
      <w:r>
        <w:fldChar w:fldCharType="end"/>
      </w:r>
      <w:r>
        <w:rPr>
          <w:rFonts w:ascii="宋体" w:hAnsi="宋体" w:eastAsia="宋体"/>
          <w:highlight w:val="none"/>
        </w:rPr>
        <w:fldChar w:fldCharType="end"/>
      </w:r>
      <w:r/>
    </w:p>
    <w:p>
      <w:pPr>
        <w:pStyle w:val="710"/>
        <w:tabs>
          <w:tab w:val="right" w:pos="8730" w:leader="dot"/>
        </w:tabs>
      </w:pPr>
      <w:r>
        <w:rPr>
          <w:rFonts w:ascii="宋体" w:hAnsi="宋体" w:eastAsia="宋体"/>
          <w:highlight w:val="none"/>
        </w:rPr>
        <w:fldChar w:fldCharType="begin"/>
      </w:r>
      <w:r>
        <w:rPr>
          <w:rFonts w:ascii="宋体" w:hAnsi="宋体" w:eastAsia="宋体"/>
          <w:highlight w:val="none"/>
        </w:rPr>
        <w:instrText xml:space="preserve"> HYPERLINK \l _Toc30661 </w:instrText>
      </w:r>
      <w:r>
        <w:rPr>
          <w:rFonts w:ascii="宋体" w:hAnsi="宋体" w:eastAsia="宋体"/>
          <w:highlight w:val="none"/>
        </w:rPr>
        <w:fldChar w:fldCharType="separate"/>
      </w:r>
      <w:r>
        <w:rPr>
          <w:rFonts w:hint="eastAsia"/>
          <w:bCs/>
          <w:szCs w:val="28"/>
          <w:highlight w:val="none"/>
        </w:rPr>
        <w:t xml:space="preserve">第五章  投标文件格式</w:t>
      </w:r>
      <w:r>
        <w:tab/>
      </w:r>
      <w:r>
        <w:fldChar w:fldCharType="begin"/>
      </w:r>
      <w:r>
        <w:instrText xml:space="preserve"> PAGEREF _Toc30661 \h </w:instrText>
      </w:r>
      <w:r>
        <w:fldChar w:fldCharType="separate"/>
      </w:r>
      <w:r>
        <w:t xml:space="preserve">43</w:t>
      </w:r>
      <w:r>
        <w:fldChar w:fldCharType="end"/>
      </w:r>
      <w:r>
        <w:rPr>
          <w:rFonts w:ascii="宋体" w:hAnsi="宋体" w:eastAsia="宋体"/>
          <w:highlight w:val="none"/>
        </w:rPr>
        <w:fldChar w:fldCharType="end"/>
      </w:r>
      <w:r/>
    </w:p>
    <w:p>
      <w:pPr>
        <w:pStyle w:val="715"/>
        <w:tabs>
          <w:tab w:val="right" w:pos="8730" w:leader="dot"/>
        </w:tabs>
      </w:pPr>
      <w:r>
        <w:rPr>
          <w:rFonts w:ascii="宋体" w:hAnsi="宋体" w:eastAsia="宋体"/>
          <w:highlight w:val="none"/>
        </w:rPr>
        <w:fldChar w:fldCharType="begin"/>
      </w:r>
      <w:r>
        <w:rPr>
          <w:rFonts w:ascii="宋体" w:hAnsi="宋体" w:eastAsia="宋体"/>
          <w:highlight w:val="none"/>
        </w:rPr>
        <w:instrText xml:space="preserve"> HYPERLINK \l _Toc17350 </w:instrText>
      </w:r>
      <w:r>
        <w:rPr>
          <w:rFonts w:ascii="宋体" w:hAnsi="宋体" w:eastAsia="宋体"/>
          <w:highlight w:val="none"/>
        </w:rPr>
        <w:fldChar w:fldCharType="separate"/>
      </w:r>
      <w:r>
        <w:rPr>
          <w:rFonts w:hint="eastAsia"/>
          <w:highlight w:val="none"/>
        </w:rPr>
        <w:t xml:space="preserve">一、投标函格式</w:t>
      </w:r>
      <w:r>
        <w:tab/>
      </w:r>
      <w:r>
        <w:fldChar w:fldCharType="begin"/>
      </w:r>
      <w:r>
        <w:instrText xml:space="preserve"> PAGEREF _Toc17350 \h </w:instrText>
      </w:r>
      <w:r>
        <w:fldChar w:fldCharType="separate"/>
      </w:r>
      <w:r>
        <w:t xml:space="preserve">44</w:t>
      </w:r>
      <w:r>
        <w:fldChar w:fldCharType="end"/>
      </w:r>
      <w:r>
        <w:rPr>
          <w:rFonts w:ascii="宋体" w:hAnsi="宋体" w:eastAsia="宋体"/>
          <w:highlight w:val="none"/>
        </w:rPr>
        <w:fldChar w:fldCharType="end"/>
      </w:r>
      <w:r/>
    </w:p>
    <w:p>
      <w:pPr>
        <w:pStyle w:val="715"/>
        <w:tabs>
          <w:tab w:val="right" w:pos="8730" w:leader="dot"/>
        </w:tabs>
      </w:pPr>
      <w:r>
        <w:rPr>
          <w:rFonts w:ascii="宋体" w:hAnsi="宋体" w:eastAsia="宋体"/>
          <w:highlight w:val="none"/>
        </w:rPr>
        <w:fldChar w:fldCharType="begin"/>
      </w:r>
      <w:r>
        <w:rPr>
          <w:rFonts w:ascii="宋体" w:hAnsi="宋体" w:eastAsia="宋体"/>
          <w:highlight w:val="none"/>
        </w:rPr>
        <w:instrText xml:space="preserve"> HYPERLINK \l _Toc12759 </w:instrText>
      </w:r>
      <w:r>
        <w:rPr>
          <w:rFonts w:ascii="宋体" w:hAnsi="宋体" w:eastAsia="宋体"/>
          <w:highlight w:val="none"/>
        </w:rPr>
        <w:fldChar w:fldCharType="separate"/>
      </w:r>
      <w:r>
        <w:rPr>
          <w:rFonts w:hint="eastAsia"/>
          <w:highlight w:val="none"/>
        </w:rPr>
        <w:t xml:space="preserve">二、开标一览表</w:t>
      </w:r>
      <w:r>
        <w:tab/>
      </w:r>
      <w:r>
        <w:fldChar w:fldCharType="begin"/>
      </w:r>
      <w:r>
        <w:instrText xml:space="preserve"> PAGEREF _Toc12759 \h </w:instrText>
      </w:r>
      <w:r>
        <w:fldChar w:fldCharType="separate"/>
      </w:r>
      <w:r>
        <w:t xml:space="preserve">46</w:t>
      </w:r>
      <w:r>
        <w:fldChar w:fldCharType="end"/>
      </w:r>
      <w:r>
        <w:rPr>
          <w:rFonts w:ascii="宋体" w:hAnsi="宋体" w:eastAsia="宋体"/>
          <w:highlight w:val="none"/>
        </w:rPr>
        <w:fldChar w:fldCharType="end"/>
      </w:r>
      <w:r/>
    </w:p>
    <w:p>
      <w:pPr>
        <w:pStyle w:val="715"/>
        <w:tabs>
          <w:tab w:val="right" w:pos="8730" w:leader="dot"/>
        </w:tabs>
      </w:pPr>
      <w:r>
        <w:rPr>
          <w:rFonts w:ascii="宋体" w:hAnsi="宋体" w:eastAsia="宋体"/>
          <w:highlight w:val="none"/>
        </w:rPr>
        <w:fldChar w:fldCharType="begin"/>
      </w:r>
      <w:r>
        <w:rPr>
          <w:rFonts w:ascii="宋体" w:hAnsi="宋体" w:eastAsia="宋体"/>
          <w:highlight w:val="none"/>
        </w:rPr>
        <w:instrText xml:space="preserve"> HYPERLINK \l _Toc24089 </w:instrText>
      </w:r>
      <w:r>
        <w:rPr>
          <w:rFonts w:ascii="宋体" w:hAnsi="宋体" w:eastAsia="宋体"/>
          <w:highlight w:val="none"/>
        </w:rPr>
        <w:fldChar w:fldCharType="separate"/>
      </w:r>
      <w:r>
        <w:rPr>
          <w:rFonts w:hint="eastAsia"/>
          <w:highlight w:val="none"/>
        </w:rPr>
        <w:t xml:space="preserve">三、分项报价表</w:t>
      </w:r>
      <w:r>
        <w:tab/>
      </w:r>
      <w:r>
        <w:fldChar w:fldCharType="begin"/>
      </w:r>
      <w:r>
        <w:instrText xml:space="preserve"> PAGEREF _Toc24089 \h </w:instrText>
      </w:r>
      <w:r>
        <w:fldChar w:fldCharType="separate"/>
      </w:r>
      <w:r>
        <w:t xml:space="preserve">47</w:t>
      </w:r>
      <w:r>
        <w:fldChar w:fldCharType="end"/>
      </w:r>
      <w:r>
        <w:rPr>
          <w:rFonts w:ascii="宋体" w:hAnsi="宋体" w:eastAsia="宋体"/>
          <w:highlight w:val="none"/>
        </w:rPr>
        <w:fldChar w:fldCharType="end"/>
      </w:r>
      <w:r/>
    </w:p>
    <w:p>
      <w:pPr>
        <w:pStyle w:val="715"/>
        <w:tabs>
          <w:tab w:val="right" w:pos="8730" w:leader="dot"/>
        </w:tabs>
      </w:pPr>
      <w:r>
        <w:rPr>
          <w:rFonts w:ascii="宋体" w:hAnsi="宋体" w:eastAsia="宋体"/>
          <w:highlight w:val="none"/>
        </w:rPr>
        <w:fldChar w:fldCharType="begin"/>
      </w:r>
      <w:r>
        <w:rPr>
          <w:rFonts w:ascii="宋体" w:hAnsi="宋体" w:eastAsia="宋体"/>
          <w:highlight w:val="none"/>
        </w:rPr>
        <w:instrText xml:space="preserve"> HYPERLINK \l _Toc28642 </w:instrText>
      </w:r>
      <w:r>
        <w:rPr>
          <w:rFonts w:ascii="宋体" w:hAnsi="宋体" w:eastAsia="宋体"/>
          <w:highlight w:val="none"/>
        </w:rPr>
        <w:fldChar w:fldCharType="separate"/>
      </w:r>
      <w:r>
        <w:rPr>
          <w:rFonts w:hint="eastAsia" w:ascii="宋体" w:hAnsi="宋体" w:eastAsia="宋体" w:cs="华文中宋"/>
          <w:bCs/>
          <w:szCs w:val="21"/>
          <w:highlight w:val="none"/>
          <w14:ligatures w14:val="standardContextual"/>
        </w:rPr>
        <w:t xml:space="preserve">四、商务条款偏离表</w:t>
      </w:r>
      <w:r>
        <w:tab/>
      </w:r>
      <w:r>
        <w:fldChar w:fldCharType="begin"/>
      </w:r>
      <w:r>
        <w:instrText xml:space="preserve"> PAGEREF _Toc28642 \h </w:instrText>
      </w:r>
      <w:r>
        <w:fldChar w:fldCharType="separate"/>
      </w:r>
      <w:r>
        <w:t xml:space="preserve">48</w:t>
      </w:r>
      <w:r>
        <w:fldChar w:fldCharType="end"/>
      </w:r>
      <w:r>
        <w:rPr>
          <w:rFonts w:ascii="宋体" w:hAnsi="宋体" w:eastAsia="宋体"/>
          <w:highlight w:val="none"/>
        </w:rPr>
        <w:fldChar w:fldCharType="end"/>
      </w:r>
      <w:r/>
    </w:p>
    <w:p>
      <w:pPr>
        <w:pStyle w:val="715"/>
        <w:tabs>
          <w:tab w:val="right" w:pos="8730" w:leader="dot"/>
        </w:tabs>
      </w:pPr>
      <w:r>
        <w:rPr>
          <w:rFonts w:ascii="宋体" w:hAnsi="宋体" w:eastAsia="宋体"/>
          <w:highlight w:val="none"/>
        </w:rPr>
        <w:fldChar w:fldCharType="begin"/>
      </w:r>
      <w:r>
        <w:rPr>
          <w:rFonts w:ascii="宋体" w:hAnsi="宋体" w:eastAsia="宋体"/>
          <w:highlight w:val="none"/>
        </w:rPr>
        <w:instrText xml:space="preserve"> HYPERLINK \l _Toc18698 </w:instrText>
      </w:r>
      <w:r>
        <w:rPr>
          <w:rFonts w:ascii="宋体" w:hAnsi="宋体" w:eastAsia="宋体"/>
          <w:highlight w:val="none"/>
        </w:rPr>
        <w:fldChar w:fldCharType="separate"/>
      </w:r>
      <w:r>
        <w:rPr>
          <w:rFonts w:hint="eastAsia" w:ascii="宋体" w:hAnsi="宋体" w:eastAsia="宋体" w:cs="华文中宋"/>
          <w:bCs/>
          <w:szCs w:val="21"/>
          <w:highlight w:val="none"/>
          <w14:ligatures w14:val="standardContextual"/>
        </w:rPr>
        <w:t xml:space="preserve">五、技术需求偏离表</w:t>
      </w:r>
      <w:r>
        <w:tab/>
      </w:r>
      <w:r>
        <w:fldChar w:fldCharType="begin"/>
      </w:r>
      <w:r>
        <w:instrText xml:space="preserve"> PAGEREF _Toc18698 \h </w:instrText>
      </w:r>
      <w:r>
        <w:fldChar w:fldCharType="separate"/>
      </w:r>
      <w:r>
        <w:t xml:space="preserve">49</w:t>
      </w:r>
      <w:r>
        <w:fldChar w:fldCharType="end"/>
      </w:r>
      <w:r>
        <w:rPr>
          <w:rFonts w:ascii="宋体" w:hAnsi="宋体" w:eastAsia="宋体"/>
          <w:highlight w:val="none"/>
        </w:rPr>
        <w:fldChar w:fldCharType="end"/>
      </w:r>
      <w:r/>
    </w:p>
    <w:p>
      <w:pPr>
        <w:pStyle w:val="715"/>
        <w:tabs>
          <w:tab w:val="right" w:pos="8730" w:leader="dot"/>
        </w:tabs>
      </w:pPr>
      <w:r>
        <w:rPr>
          <w:rFonts w:ascii="宋体" w:hAnsi="宋体" w:eastAsia="宋体"/>
          <w:highlight w:val="none"/>
        </w:rPr>
        <w:fldChar w:fldCharType="begin"/>
      </w:r>
      <w:r>
        <w:rPr>
          <w:rFonts w:ascii="宋体" w:hAnsi="宋体" w:eastAsia="宋体"/>
          <w:highlight w:val="none"/>
        </w:rPr>
        <w:instrText xml:space="preserve"> HYPERLINK \l _Toc23415 </w:instrText>
      </w:r>
      <w:r>
        <w:rPr>
          <w:rFonts w:ascii="宋体" w:hAnsi="宋体" w:eastAsia="宋体"/>
          <w:highlight w:val="none"/>
        </w:rPr>
        <w:fldChar w:fldCharType="separate"/>
      </w:r>
      <w:r>
        <w:rPr>
          <w:rFonts w:hint="eastAsia" w:ascii="宋体" w:hAnsi="宋体" w:cs="楷体_GB2312"/>
          <w:highlight w:val="none"/>
          <w:lang w:val="zh-CN"/>
        </w:rPr>
        <w:t xml:space="preserve">六、技术方案</w:t>
      </w:r>
      <w:r>
        <w:tab/>
      </w:r>
      <w:r>
        <w:fldChar w:fldCharType="begin"/>
      </w:r>
      <w:r>
        <w:instrText xml:space="preserve"> PAGEREF _Toc23415 \h </w:instrText>
      </w:r>
      <w:r>
        <w:fldChar w:fldCharType="separate"/>
      </w:r>
      <w:r>
        <w:t xml:space="preserve">50</w:t>
      </w:r>
      <w:r>
        <w:fldChar w:fldCharType="end"/>
      </w:r>
      <w:r>
        <w:rPr>
          <w:rFonts w:ascii="宋体" w:hAnsi="宋体" w:eastAsia="宋体"/>
          <w:highlight w:val="none"/>
        </w:rPr>
        <w:fldChar w:fldCharType="end"/>
      </w:r>
      <w:r/>
    </w:p>
    <w:p>
      <w:pPr>
        <w:pStyle w:val="715"/>
        <w:tabs>
          <w:tab w:val="right" w:pos="8730" w:leader="dot"/>
        </w:tabs>
      </w:pPr>
      <w:r>
        <w:rPr>
          <w:rFonts w:ascii="宋体" w:hAnsi="宋体" w:eastAsia="宋体"/>
          <w:highlight w:val="none"/>
        </w:rPr>
        <w:fldChar w:fldCharType="begin"/>
      </w:r>
      <w:r>
        <w:rPr>
          <w:rFonts w:ascii="宋体" w:hAnsi="宋体" w:eastAsia="宋体"/>
          <w:highlight w:val="none"/>
        </w:rPr>
        <w:instrText xml:space="preserve"> HYPERLINK \l _Toc11824 </w:instrText>
      </w:r>
      <w:r>
        <w:rPr>
          <w:rFonts w:ascii="宋体" w:hAnsi="宋体" w:eastAsia="宋体"/>
          <w:highlight w:val="none"/>
        </w:rPr>
        <w:fldChar w:fldCharType="separate"/>
      </w:r>
      <w:r>
        <w:rPr>
          <w:rFonts w:hint="eastAsia"/>
          <w:highlight w:val="none"/>
        </w:rPr>
        <w:t xml:space="preserve">七、业绩</w:t>
      </w:r>
      <w:r>
        <w:tab/>
      </w:r>
      <w:r>
        <w:fldChar w:fldCharType="begin"/>
      </w:r>
      <w:r>
        <w:instrText xml:space="preserve"> PAGEREF _Toc11824 \h </w:instrText>
      </w:r>
      <w:r>
        <w:fldChar w:fldCharType="separate"/>
      </w:r>
      <w:r>
        <w:t xml:space="preserve">51</w:t>
      </w:r>
      <w:r>
        <w:fldChar w:fldCharType="end"/>
      </w:r>
      <w:r>
        <w:rPr>
          <w:rFonts w:ascii="宋体" w:hAnsi="宋体" w:eastAsia="宋体"/>
          <w:highlight w:val="none"/>
        </w:rPr>
        <w:fldChar w:fldCharType="end"/>
      </w:r>
      <w:r/>
    </w:p>
    <w:p>
      <w:pPr>
        <w:pStyle w:val="715"/>
        <w:tabs>
          <w:tab w:val="right" w:pos="8730" w:leader="dot"/>
        </w:tabs>
      </w:pPr>
      <w:r>
        <w:rPr>
          <w:rFonts w:ascii="宋体" w:hAnsi="宋体" w:eastAsia="宋体"/>
          <w:highlight w:val="none"/>
        </w:rPr>
        <w:fldChar w:fldCharType="begin"/>
      </w:r>
      <w:r>
        <w:rPr>
          <w:rFonts w:ascii="宋体" w:hAnsi="宋体" w:eastAsia="宋体"/>
          <w:highlight w:val="none"/>
        </w:rPr>
        <w:instrText xml:space="preserve"> HYPERLINK \l _Toc11508 </w:instrText>
      </w:r>
      <w:r>
        <w:rPr>
          <w:rFonts w:ascii="宋体" w:hAnsi="宋体" w:eastAsia="宋体"/>
          <w:highlight w:val="none"/>
        </w:rPr>
        <w:fldChar w:fldCharType="separate"/>
      </w:r>
      <w:r>
        <w:rPr>
          <w:rFonts w:hint="eastAsia"/>
          <w:highlight w:val="none"/>
        </w:rPr>
        <w:t xml:space="preserve">八、履约能力</w:t>
      </w:r>
      <w:r>
        <w:tab/>
      </w:r>
      <w:r>
        <w:fldChar w:fldCharType="begin"/>
      </w:r>
      <w:r>
        <w:instrText xml:space="preserve"> PAGEREF _Toc11508 \h </w:instrText>
      </w:r>
      <w:r>
        <w:fldChar w:fldCharType="separate"/>
      </w:r>
      <w:r>
        <w:t xml:space="preserve">52</w:t>
      </w:r>
      <w:r>
        <w:fldChar w:fldCharType="end"/>
      </w:r>
      <w:r>
        <w:rPr>
          <w:rFonts w:ascii="宋体" w:hAnsi="宋体" w:eastAsia="宋体"/>
          <w:highlight w:val="none"/>
        </w:rPr>
        <w:fldChar w:fldCharType="end"/>
      </w:r>
      <w:r/>
    </w:p>
    <w:p>
      <w:pPr>
        <w:pStyle w:val="715"/>
        <w:tabs>
          <w:tab w:val="right" w:pos="8730" w:leader="dot"/>
        </w:tabs>
      </w:pPr>
      <w:r>
        <w:rPr>
          <w:rFonts w:ascii="宋体" w:hAnsi="宋体" w:eastAsia="宋体"/>
          <w:highlight w:val="none"/>
        </w:rPr>
        <w:fldChar w:fldCharType="begin"/>
      </w:r>
      <w:r>
        <w:rPr>
          <w:rFonts w:ascii="宋体" w:hAnsi="宋体" w:eastAsia="宋体"/>
          <w:highlight w:val="none"/>
        </w:rPr>
        <w:instrText xml:space="preserve"> HYPERLINK \l _Toc19725 </w:instrText>
      </w:r>
      <w:r>
        <w:rPr>
          <w:rFonts w:ascii="宋体" w:hAnsi="宋体" w:eastAsia="宋体"/>
          <w:highlight w:val="none"/>
        </w:rPr>
        <w:fldChar w:fldCharType="separate"/>
      </w:r>
      <w:r>
        <w:rPr>
          <w:rFonts w:hint="eastAsia"/>
          <w:highlight w:val="none"/>
        </w:rPr>
        <w:t xml:space="preserve">九、投标人必须提交的资格证明文件</w:t>
      </w:r>
      <w:r>
        <w:tab/>
      </w:r>
      <w:r>
        <w:fldChar w:fldCharType="begin"/>
      </w:r>
      <w:r>
        <w:instrText xml:space="preserve"> PAGEREF _Toc19725 \h </w:instrText>
      </w:r>
      <w:r>
        <w:fldChar w:fldCharType="separate"/>
      </w:r>
      <w:r>
        <w:t xml:space="preserve">53</w:t>
      </w:r>
      <w:r>
        <w:fldChar w:fldCharType="end"/>
      </w:r>
      <w:r>
        <w:rPr>
          <w:rFonts w:ascii="宋体" w:hAnsi="宋体" w:eastAsia="宋体"/>
          <w:highlight w:val="none"/>
        </w:rPr>
        <w:fldChar w:fldCharType="end"/>
      </w:r>
      <w:r/>
    </w:p>
    <w:p>
      <w:pPr>
        <w:pStyle w:val="715"/>
        <w:tabs>
          <w:tab w:val="right" w:pos="8730" w:leader="dot"/>
        </w:tabs>
      </w:pPr>
      <w:r>
        <w:rPr>
          <w:rFonts w:ascii="宋体" w:hAnsi="宋体" w:eastAsia="宋体"/>
          <w:highlight w:val="none"/>
        </w:rPr>
        <w:fldChar w:fldCharType="begin"/>
      </w:r>
      <w:r>
        <w:rPr>
          <w:rFonts w:ascii="宋体" w:hAnsi="宋体" w:eastAsia="宋体"/>
          <w:highlight w:val="none"/>
        </w:rPr>
        <w:instrText xml:space="preserve"> HYPERLINK \l _Toc21508 </w:instrText>
      </w:r>
      <w:r>
        <w:rPr>
          <w:rFonts w:ascii="宋体" w:hAnsi="宋体" w:eastAsia="宋体"/>
          <w:highlight w:val="none"/>
        </w:rPr>
        <w:fldChar w:fldCharType="separate"/>
      </w:r>
      <w:r>
        <w:rPr>
          <w:rFonts w:hint="eastAsia" w:ascii="宋体" w:hAnsi="宋体"/>
          <w:highlight w:val="none"/>
        </w:rPr>
        <w:t xml:space="preserve">十、法定代表人资格证明</w:t>
      </w:r>
      <w:r>
        <w:tab/>
      </w:r>
      <w:r>
        <w:fldChar w:fldCharType="begin"/>
      </w:r>
      <w:r>
        <w:instrText xml:space="preserve"> PAGEREF _Toc21508 \h </w:instrText>
      </w:r>
      <w:r>
        <w:fldChar w:fldCharType="separate"/>
      </w:r>
      <w:r>
        <w:t xml:space="preserve">61</w:t>
      </w:r>
      <w:r>
        <w:fldChar w:fldCharType="end"/>
      </w:r>
      <w:r>
        <w:rPr>
          <w:rFonts w:ascii="宋体" w:hAnsi="宋体" w:eastAsia="宋体"/>
          <w:highlight w:val="none"/>
        </w:rPr>
        <w:fldChar w:fldCharType="end"/>
      </w:r>
      <w:r/>
    </w:p>
    <w:p>
      <w:pPr>
        <w:pStyle w:val="715"/>
        <w:tabs>
          <w:tab w:val="right" w:pos="8730" w:leader="dot"/>
        </w:tabs>
      </w:pPr>
      <w:r>
        <w:rPr>
          <w:rFonts w:ascii="宋体" w:hAnsi="宋体" w:eastAsia="宋体"/>
          <w:highlight w:val="none"/>
        </w:rPr>
        <w:fldChar w:fldCharType="begin"/>
      </w:r>
      <w:r>
        <w:rPr>
          <w:rFonts w:ascii="宋体" w:hAnsi="宋体" w:eastAsia="宋体"/>
          <w:highlight w:val="none"/>
        </w:rPr>
        <w:instrText xml:space="preserve"> HYPERLINK \l _Toc5126 </w:instrText>
      </w:r>
      <w:r>
        <w:rPr>
          <w:rFonts w:ascii="宋体" w:hAnsi="宋体" w:eastAsia="宋体"/>
          <w:highlight w:val="none"/>
        </w:rPr>
        <w:fldChar w:fldCharType="separate"/>
      </w:r>
      <w:r>
        <w:rPr>
          <w:rFonts w:hint="eastAsia" w:ascii="宋体" w:hAnsi="宋体"/>
          <w:highlight w:val="none"/>
        </w:rPr>
        <w:t xml:space="preserve">法人授权委托书</w:t>
      </w:r>
      <w:r>
        <w:tab/>
      </w:r>
      <w:r>
        <w:fldChar w:fldCharType="begin"/>
      </w:r>
      <w:r>
        <w:instrText xml:space="preserve"> PAGEREF _Toc5126 \h </w:instrText>
      </w:r>
      <w:r>
        <w:fldChar w:fldCharType="separate"/>
      </w:r>
      <w:r>
        <w:t xml:space="preserve">62</w:t>
      </w:r>
      <w:r>
        <w:fldChar w:fldCharType="end"/>
      </w:r>
      <w:r>
        <w:rPr>
          <w:rFonts w:ascii="宋体" w:hAnsi="宋体" w:eastAsia="宋体"/>
          <w:highlight w:val="none"/>
        </w:rPr>
        <w:fldChar w:fldCharType="end"/>
      </w:r>
      <w:r/>
    </w:p>
    <w:p>
      <w:pPr>
        <w:pStyle w:val="715"/>
        <w:tabs>
          <w:tab w:val="right" w:pos="8730" w:leader="dot"/>
        </w:tabs>
      </w:pPr>
      <w:r>
        <w:rPr>
          <w:rFonts w:ascii="宋体" w:hAnsi="宋体" w:eastAsia="宋体"/>
          <w:highlight w:val="none"/>
        </w:rPr>
        <w:fldChar w:fldCharType="begin"/>
      </w:r>
      <w:r>
        <w:rPr>
          <w:rFonts w:ascii="宋体" w:hAnsi="宋体" w:eastAsia="宋体"/>
          <w:highlight w:val="none"/>
        </w:rPr>
        <w:instrText xml:space="preserve"> HYPERLINK \l _Toc30012 </w:instrText>
      </w:r>
      <w:r>
        <w:rPr>
          <w:rFonts w:ascii="宋体" w:hAnsi="宋体" w:eastAsia="宋体"/>
          <w:highlight w:val="none"/>
        </w:rPr>
        <w:fldChar w:fldCharType="separate"/>
      </w:r>
      <w:r>
        <w:rPr>
          <w:rFonts w:hint="eastAsia"/>
          <w:highlight w:val="none"/>
        </w:rPr>
        <w:t xml:space="preserve">十一、投标人认为有必要提供并说明的其它资料</w:t>
      </w:r>
      <w:r>
        <w:tab/>
      </w:r>
      <w:r>
        <w:fldChar w:fldCharType="begin"/>
      </w:r>
      <w:r>
        <w:instrText xml:space="preserve"> PAGEREF _Toc30012 \h </w:instrText>
      </w:r>
      <w:r>
        <w:fldChar w:fldCharType="separate"/>
      </w:r>
      <w:r>
        <w:t xml:space="preserve">63</w:t>
      </w:r>
      <w:r>
        <w:fldChar w:fldCharType="end"/>
      </w:r>
      <w:r>
        <w:rPr>
          <w:rFonts w:ascii="宋体" w:hAnsi="宋体" w:eastAsia="宋体"/>
          <w:highlight w:val="none"/>
        </w:rPr>
        <w:fldChar w:fldCharType="end"/>
      </w:r>
      <w:r/>
    </w:p>
    <w:p>
      <w:pPr>
        <w:pStyle w:val="715"/>
        <w:tabs>
          <w:tab w:val="right" w:pos="8730" w:leader="dot"/>
        </w:tabs>
      </w:pPr>
      <w:r>
        <w:rPr>
          <w:rFonts w:ascii="宋体" w:hAnsi="宋体" w:eastAsia="宋体"/>
          <w:highlight w:val="none"/>
        </w:rPr>
        <w:fldChar w:fldCharType="begin"/>
      </w:r>
      <w:r>
        <w:rPr>
          <w:rFonts w:ascii="宋体" w:hAnsi="宋体" w:eastAsia="宋体"/>
          <w:highlight w:val="none"/>
        </w:rPr>
        <w:instrText xml:space="preserve"> HYPERLINK \l _Toc19996 </w:instrText>
      </w:r>
      <w:r>
        <w:rPr>
          <w:rFonts w:ascii="宋体" w:hAnsi="宋体" w:eastAsia="宋体"/>
          <w:highlight w:val="none"/>
        </w:rPr>
        <w:fldChar w:fldCharType="separate"/>
      </w:r>
      <w:r>
        <w:rPr>
          <w:rFonts w:hint="eastAsia"/>
          <w:highlight w:val="none"/>
        </w:rPr>
        <w:t xml:space="preserve">十二、政府采购政策</w:t>
      </w:r>
      <w:r>
        <w:tab/>
      </w:r>
      <w:r>
        <w:fldChar w:fldCharType="begin"/>
      </w:r>
      <w:r>
        <w:instrText xml:space="preserve"> PAGEREF _Toc19996 \h </w:instrText>
      </w:r>
      <w:r>
        <w:fldChar w:fldCharType="separate"/>
      </w:r>
      <w:r>
        <w:t xml:space="preserve">64</w:t>
      </w:r>
      <w:r>
        <w:fldChar w:fldCharType="end"/>
      </w:r>
      <w:r>
        <w:rPr>
          <w:rFonts w:ascii="宋体" w:hAnsi="宋体" w:eastAsia="宋体"/>
          <w:highlight w:val="none"/>
        </w:rPr>
        <w:fldChar w:fldCharType="end"/>
      </w:r>
      <w:r/>
    </w:p>
    <w:p>
      <w:pPr>
        <w:pStyle w:val="710"/>
        <w:ind w:firstLine="480"/>
        <w:spacing w:line="360" w:lineRule="auto"/>
        <w:tabs>
          <w:tab w:val="right" w:pos="8834" w:leader="dot"/>
        </w:tabs>
        <w:rPr>
          <w:rFonts w:hint="eastAsia" w:ascii="宋体" w:hAnsi="宋体" w:eastAsia="宋体"/>
          <w:b/>
          <w:highlight w:val="none"/>
        </w:rPr>
      </w:pPr>
      <w:r>
        <w:rPr>
          <w:rFonts w:ascii="宋体" w:hAnsi="宋体" w:eastAsia="宋体"/>
          <w:highlight w:val="none"/>
        </w:rPr>
        <w:fldChar w:fldCharType="end"/>
      </w:r>
      <w:bookmarkEnd w:id="0"/>
      <w:bookmarkEnd w:id="1"/>
      <w:r/>
    </w:p>
    <w:p>
      <w:pPr>
        <w:rPr>
          <w:rFonts w:ascii="Microsoft New Tai Lue" w:hAnsi="Microsoft New Tai Lue" w:cs="Microsoft New Tai Lue"/>
          <w:b/>
          <w:bCs/>
          <w:highlight w:val="none"/>
        </w:rPr>
      </w:pPr>
      <w:r/>
      <w:bookmarkStart w:id="2" w:name="_Toc23489"/>
      <w:r/>
      <w:bookmarkStart w:id="3" w:name="_Toc80264697"/>
      <w:r/>
      <w:bookmarkStart w:id="4" w:name="_Toc80792688"/>
      <w:r>
        <w:rPr>
          <w:rFonts w:hint="eastAsia" w:ascii="Microsoft New Tai Lue" w:hAnsi="Microsoft New Tai Lue" w:cs="Microsoft New Tai Lue"/>
          <w:b/>
          <w:bCs/>
          <w:highlight w:val="none"/>
        </w:rPr>
        <w:br w:type="page" w:clear="all"/>
      </w:r>
      <w:r/>
    </w:p>
    <w:p>
      <w:pPr>
        <w:pStyle w:val="721"/>
        <w:rPr>
          <w:rFonts w:ascii="Microsoft New Tai Lue" w:hAnsi="Microsoft New Tai Lue" w:cs="Microsoft New Tai Lue"/>
          <w:highlight w:val="none"/>
        </w:rPr>
      </w:pPr>
      <w:r/>
      <w:bookmarkStart w:id="5" w:name="_Toc25091"/>
      <w:r>
        <w:rPr>
          <w:rFonts w:hint="eastAsia" w:ascii="Microsoft New Tai Lue" w:hAnsi="Microsoft New Tai Lue" w:cs="Microsoft New Tai Lue"/>
          <w:highlight w:val="none"/>
        </w:rPr>
        <w:t xml:space="preserve">第一章</w:t>
      </w:r>
      <w:r>
        <w:rPr>
          <w:rFonts w:hint="eastAsia" w:ascii="Microsoft New Tai Lue" w:hAnsi="Microsoft New Tai Lue" w:cs="Microsoft New Tai Lue"/>
          <w:b w:val="0"/>
          <w:bCs w:val="0"/>
          <w:highlight w:val="none"/>
        </w:rPr>
        <w:t xml:space="preserve"> </w:t>
      </w:r>
      <w:r>
        <w:rPr>
          <w:rFonts w:hint="eastAsia" w:ascii="Microsoft New Tai Lue" w:hAnsi="Microsoft New Tai Lue" w:cs="Microsoft New Tai Lue"/>
          <w:highlight w:val="none"/>
        </w:rPr>
        <w:t xml:space="preserve">招标公告</w:t>
      </w:r>
      <w:bookmarkEnd w:id="2"/>
      <w:r/>
      <w:bookmarkEnd w:id="5"/>
      <w:r/>
      <w:r/>
    </w:p>
    <w:p>
      <w:pPr>
        <w:spacing w:line="360" w:lineRule="auto"/>
        <w:rPr>
          <w:rFonts w:ascii="宋体" w:hAnsi="宋体"/>
          <w:b/>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6" w:name="_Toc96347851"/>
      <w:r/>
      <w:bookmarkStart w:id="7" w:name="_Toc93909065"/>
      <w:r>
        <w:rPr>
          <w:rFonts w:hint="eastAsia" w:ascii="宋体" w:hAnsi="宋体"/>
          <w:b/>
          <w:color w:val="000000" w:themeColor="text1"/>
          <w:szCs w:val="21"/>
          <w:highlight w:val="none"/>
          <w14:textFill>
            <w14:solidFill>
              <w14:schemeClr w14:val="tx1"/>
            </w14:solidFill>
          </w14:textFill>
        </w:rPr>
        <w:t xml:space="preserve">项目概况：</w:t>
      </w:r>
      <w:r/>
    </w:p>
    <w:p>
      <w:pPr>
        <w:ind w:firstLine="422"/>
        <w:spacing w:line="360" w:lineRule="auto"/>
        <w:rPr>
          <w:rFonts w:ascii="宋体" w:hAnsi="宋体"/>
          <w:b/>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b/>
          <w:color w:val="000000" w:themeColor="text1"/>
          <w:szCs w:val="21"/>
          <w:highlight w:val="none"/>
          <w:u w:val="single"/>
          <w:lang w:eastAsia="zh-CN"/>
          <w14:textFill>
            <w14:solidFill>
              <w14:schemeClr w14:val="tx1"/>
            </w14:solidFill>
          </w14:textFill>
        </w:rPr>
        <w:t xml:space="preserve">江苏省林业局2026年度森林防火物资</w:t>
      </w:r>
      <w:r>
        <w:rPr>
          <w:rFonts w:hint="eastAsia" w:ascii="宋体" w:hAnsi="宋体"/>
          <w:b/>
          <w:color w:val="000000" w:themeColor="text1"/>
          <w:szCs w:val="21"/>
          <w:highlight w:val="none"/>
          <w:u w:val="single"/>
          <w:lang w:val="en-US" w:eastAsia="zh-CN"/>
          <w14:textFill>
            <w14:solidFill>
              <w14:schemeClr w14:val="tx1"/>
            </w14:solidFill>
          </w14:textFill>
        </w:rPr>
        <w:t xml:space="preserve">装</w:t>
      </w:r>
      <w:r>
        <w:rPr>
          <w:rFonts w:hint="eastAsia" w:ascii="宋体" w:hAnsi="宋体"/>
          <w:b/>
          <w:color w:val="000000" w:themeColor="text1"/>
          <w:szCs w:val="21"/>
          <w:highlight w:val="none"/>
          <w:u w:val="single"/>
          <w:lang w:eastAsia="zh-CN"/>
          <w14:textFill>
            <w14:solidFill>
              <w14:schemeClr w14:val="tx1"/>
            </w14:solidFill>
          </w14:textFill>
        </w:rPr>
        <w:t xml:space="preserve">备</w:t>
      </w:r>
      <w:r>
        <w:rPr>
          <w:rFonts w:hint="eastAsia" w:ascii="宋体" w:hAnsi="宋体"/>
          <w:b/>
          <w:color w:val="000000" w:themeColor="text1"/>
          <w:szCs w:val="21"/>
          <w:highlight w:val="none"/>
          <w14:textFill>
            <w14:solidFill>
              <w14:schemeClr w14:val="tx1"/>
            </w14:solidFill>
          </w14:textFill>
        </w:rPr>
        <w:t xml:space="preserve">的潜在投标人应在</w:t>
      </w:r>
      <w:r>
        <w:rPr>
          <w:rFonts w:hint="eastAsia" w:ascii="宋体" w:hAnsi="宋体"/>
          <w:b/>
          <w:color w:val="000000" w:themeColor="text1"/>
          <w:szCs w:val="21"/>
          <w:highlight w:val="none"/>
          <w:u w:val="single"/>
          <w14:textFill>
            <w14:solidFill>
              <w14:schemeClr w14:val="tx1"/>
            </w14:solidFill>
          </w14:textFill>
        </w:rPr>
        <w:t xml:space="preserve">江苏政府采购网</w:t>
      </w:r>
      <w:r>
        <w:rPr>
          <w:rFonts w:ascii="宋体" w:hAnsi="宋体"/>
          <w:b/>
          <w:color w:val="000000" w:themeColor="text1"/>
          <w:szCs w:val="21"/>
          <w:highlight w:val="none"/>
          <w14:textFill>
            <w14:solidFill>
              <w14:schemeClr w14:val="tx1"/>
            </w14:solidFill>
          </w14:textFill>
        </w:rPr>
        <w:t xml:space="preserve">获取招标文件，并于</w:t>
      </w:r>
      <w:bookmarkStart w:id="8" w:name="_Hlk67471766"/>
      <w:r>
        <w:rPr>
          <w:rFonts w:hint="eastAsia" w:ascii="宋体" w:hAnsi="宋体"/>
          <w:b/>
          <w:color w:val="000000" w:themeColor="text1"/>
          <w:szCs w:val="21"/>
          <w:highlight w:val="none"/>
          <w:u w:val="single"/>
          <w14:textFill>
            <w14:solidFill>
              <w14:schemeClr w14:val="tx1"/>
            </w14:solidFill>
          </w14:textFill>
        </w:rPr>
        <w:t xml:space="preserve">2026年</w:t>
      </w:r>
      <w:r>
        <w:rPr>
          <w:rFonts w:hint="eastAsia" w:ascii="宋体" w:hAnsi="宋体"/>
          <w:b/>
          <w:color w:val="000000" w:themeColor="text1"/>
          <w:szCs w:val="21"/>
          <w:highlight w:val="none"/>
          <w:u w:val="single"/>
          <w:lang w:val="en-US" w:eastAsia="zh-CN"/>
          <w14:textFill>
            <w14:solidFill>
              <w14:schemeClr w14:val="tx1"/>
            </w14:solidFill>
          </w14:textFill>
        </w:rPr>
        <w:t xml:space="preserve">10月15</w:t>
      </w:r>
      <w:r>
        <w:rPr>
          <w:rFonts w:hint="eastAsia" w:ascii="宋体" w:hAnsi="宋体"/>
          <w:b/>
          <w:color w:val="000000" w:themeColor="text1"/>
          <w:szCs w:val="21"/>
          <w:highlight w:val="none"/>
          <w:u w:val="single"/>
          <w14:textFill>
            <w14:solidFill>
              <w14:schemeClr w14:val="tx1"/>
            </w14:solidFill>
          </w14:textFill>
        </w:rPr>
        <w:t xml:space="preserve">日</w:t>
      </w:r>
      <w:r>
        <w:rPr>
          <w:rFonts w:hint="eastAsia" w:ascii="宋体" w:hAnsi="宋体"/>
          <w:b/>
          <w:color w:val="000000" w:themeColor="text1"/>
          <w:szCs w:val="21"/>
          <w:highlight w:val="none"/>
          <w:u w:val="single"/>
          <w:lang w:val="en-US" w:eastAsia="zh-CN"/>
          <w14:textFill>
            <w14:solidFill>
              <w14:schemeClr w14:val="tx1"/>
            </w14:solidFill>
          </w14:textFill>
        </w:rPr>
        <w:t xml:space="preserve">下</w:t>
      </w:r>
      <w:r>
        <w:rPr>
          <w:rFonts w:hint="eastAsia" w:ascii="宋体" w:hAnsi="宋体"/>
          <w:b/>
          <w:color w:val="000000" w:themeColor="text1"/>
          <w:szCs w:val="21"/>
          <w:highlight w:val="none"/>
          <w:u w:val="single"/>
          <w14:textFill>
            <w14:solidFill>
              <w14:schemeClr w14:val="tx1"/>
            </w14:solidFill>
          </w14:textFill>
        </w:rPr>
        <w:t xml:space="preserve">午</w:t>
      </w:r>
      <w:r>
        <w:rPr>
          <w:rFonts w:hint="eastAsia" w:ascii="宋体" w:hAnsi="宋体"/>
          <w:b/>
          <w:color w:val="000000" w:themeColor="text1"/>
          <w:szCs w:val="21"/>
          <w:highlight w:val="none"/>
          <w:u w:val="single"/>
          <w:lang w:val="en-US" w:eastAsia="zh-CN"/>
          <w14:textFill>
            <w14:solidFill>
              <w14:schemeClr w14:val="tx1"/>
            </w14:solidFill>
          </w14:textFill>
        </w:rPr>
        <w:t xml:space="preserve">14</w:t>
      </w:r>
      <w:r>
        <w:rPr>
          <w:rFonts w:hint="eastAsia" w:ascii="宋体" w:hAnsi="宋体"/>
          <w:b/>
          <w:color w:val="000000" w:themeColor="text1"/>
          <w:szCs w:val="21"/>
          <w:highlight w:val="none"/>
          <w:u w:val="single"/>
          <w14:textFill>
            <w14:solidFill>
              <w14:schemeClr w14:val="tx1"/>
            </w14:solidFill>
          </w14:textFill>
        </w:rPr>
        <w:t xml:space="preserve">：</w:t>
      </w:r>
      <w:r>
        <w:rPr>
          <w:rFonts w:hint="eastAsia" w:ascii="宋体" w:hAnsi="宋体"/>
          <w:b/>
          <w:color w:val="000000" w:themeColor="text1"/>
          <w:szCs w:val="21"/>
          <w:highlight w:val="none"/>
          <w:u w:val="single"/>
          <w:lang w:val="en-US" w:eastAsia="zh-CN"/>
          <w14:textFill>
            <w14:solidFill>
              <w14:schemeClr w14:val="tx1"/>
            </w14:solidFill>
          </w14:textFill>
        </w:rPr>
        <w:t xml:space="preserve">3</w:t>
      </w:r>
      <w:r>
        <w:rPr>
          <w:rFonts w:hint="eastAsia" w:ascii="宋体" w:hAnsi="宋体"/>
          <w:b/>
          <w:color w:val="000000" w:themeColor="text1"/>
          <w:szCs w:val="21"/>
          <w:highlight w:val="none"/>
          <w:u w:val="single"/>
          <w14:textFill>
            <w14:solidFill>
              <w14:schemeClr w14:val="tx1"/>
            </w14:solidFill>
          </w14:textFill>
        </w:rPr>
        <w:t xml:space="preserve">0时（北京时间）</w:t>
      </w:r>
      <w:r>
        <w:rPr>
          <w:rFonts w:hint="eastAsia" w:ascii="宋体" w:hAnsi="宋体"/>
          <w:b/>
          <w:color w:val="000000" w:themeColor="text1"/>
          <w:szCs w:val="21"/>
          <w:highlight w:val="none"/>
          <w14:textFill>
            <w14:solidFill>
              <w14:schemeClr w14:val="tx1"/>
            </w14:solidFill>
          </w14:textFill>
        </w:rPr>
        <w:t xml:space="preserve">前</w:t>
      </w:r>
      <w:bookmarkEnd w:id="8"/>
      <w:r>
        <w:rPr>
          <w:rFonts w:hint="eastAsia" w:ascii="宋体" w:hAnsi="宋体"/>
          <w:b/>
          <w:color w:val="000000" w:themeColor="text1"/>
          <w:szCs w:val="21"/>
          <w:highlight w:val="none"/>
          <w14:textFill>
            <w14:solidFill>
              <w14:schemeClr w14:val="tx1"/>
            </w14:solidFill>
          </w14:textFill>
        </w:rPr>
        <w:t xml:space="preserve">递交投标文件。</w:t>
      </w:r>
      <w:r/>
    </w:p>
    <w:p>
      <w:pPr>
        <w:ind w:firstLine="422"/>
        <w:spacing w:line="360" w:lineRule="auto"/>
        <w:rPr>
          <w:rFonts w:ascii="Microsoft New Tai Lue" w:hAnsi="Microsoft New Tai Lue" w:cs="Microsoft New Tai Lue"/>
          <w:b/>
          <w:bCs/>
          <w:szCs w:val="44"/>
          <w:highlight w:val="none"/>
        </w:rPr>
      </w:pPr>
      <w:r>
        <w:rPr>
          <w:rFonts w:ascii="Microsoft New Tai Lue" w:hAnsi="Microsoft New Tai Lue" w:cs="Microsoft New Tai Lue"/>
          <w:b/>
          <w:bCs/>
          <w:szCs w:val="44"/>
          <w:highlight w:val="none"/>
        </w:rPr>
        <w:t xml:space="preserve">一、项目</w:t>
      </w:r>
      <w:bookmarkEnd w:id="3"/>
      <w:r>
        <w:rPr>
          <w:rFonts w:ascii="Microsoft New Tai Lue" w:hAnsi="Microsoft New Tai Lue" w:cs="Microsoft New Tai Lue"/>
          <w:b/>
          <w:bCs/>
          <w:szCs w:val="44"/>
          <w:highlight w:val="none"/>
        </w:rPr>
        <w:t xml:space="preserve">基本情况</w:t>
      </w:r>
      <w:bookmarkEnd w:id="4"/>
      <w:r/>
      <w:bookmarkEnd w:id="6"/>
      <w:r/>
      <w:bookmarkEnd w:id="7"/>
      <w:r/>
      <w:r/>
    </w:p>
    <w:p>
      <w:pPr>
        <w:ind w:firstLine="420"/>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lang w:eastAsia="zh-CN"/>
        </w:rPr>
        <w:t xml:space="preserve">项目编号：</w:t>
      </w:r>
      <w:r>
        <w:rPr>
          <w:rFonts w:hint="eastAsia" w:ascii="宋体" w:hAnsi="宋体" w:cs="宋体"/>
          <w:bCs/>
          <w:szCs w:val="21"/>
          <w:highlight w:val="none"/>
          <w:lang w:eastAsia="zh-CN"/>
        </w:rPr>
        <w:t xml:space="preserve">JSZC-320000-JITC-G2026-0342</w:t>
      </w:r>
      <w:r/>
    </w:p>
    <w:p>
      <w:pPr>
        <w:ind w:firstLine="420"/>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lang w:eastAsia="zh-CN"/>
        </w:rPr>
        <w:t xml:space="preserve">项目名称：江苏省林业局2026年度森林防火物资</w:t>
      </w:r>
      <w:r>
        <w:rPr>
          <w:rFonts w:hint="eastAsia" w:ascii="宋体" w:hAnsi="宋体" w:eastAsia="宋体" w:cs="宋体"/>
          <w:bCs/>
          <w:szCs w:val="21"/>
          <w:highlight w:val="none"/>
          <w:lang w:val="en-US" w:eastAsia="zh-CN"/>
        </w:rPr>
        <w:t xml:space="preserve">装</w:t>
      </w:r>
      <w:r>
        <w:rPr>
          <w:rFonts w:hint="eastAsia" w:ascii="宋体" w:hAnsi="宋体" w:eastAsia="宋体" w:cs="宋体"/>
          <w:bCs/>
          <w:szCs w:val="21"/>
          <w:highlight w:val="none"/>
          <w:lang w:eastAsia="zh-CN"/>
        </w:rPr>
        <w:t xml:space="preserve">备</w:t>
      </w:r>
      <w:r/>
    </w:p>
    <w:p>
      <w:pPr>
        <w:ind w:firstLine="420"/>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eastAsia="zh-CN"/>
        </w:rPr>
        <w:t xml:space="preserve">预算金额：</w:t>
      </w:r>
      <w:r>
        <w:rPr>
          <w:rFonts w:hint="eastAsia" w:ascii="宋体" w:hAnsi="宋体" w:eastAsia="宋体" w:cs="宋体"/>
          <w:bCs/>
          <w:szCs w:val="21"/>
          <w:highlight w:val="none"/>
          <w:lang w:val="en-US" w:eastAsia="zh-CN"/>
        </w:rPr>
        <w:t xml:space="preserve">人民币240</w:t>
      </w:r>
      <w:r>
        <w:rPr>
          <w:rFonts w:hint="eastAsia" w:ascii="宋体" w:hAnsi="宋体" w:eastAsia="宋体" w:cs="宋体"/>
          <w:bCs/>
          <w:szCs w:val="21"/>
          <w:highlight w:val="none"/>
          <w:lang w:eastAsia="zh-CN"/>
        </w:rPr>
        <w:t xml:space="preserve">万元（</w:t>
      </w:r>
      <w:r>
        <w:rPr>
          <w:rFonts w:hint="eastAsia" w:ascii="宋体" w:hAnsi="宋体" w:eastAsia="宋体" w:cs="宋体"/>
          <w:bCs/>
          <w:szCs w:val="21"/>
          <w:highlight w:val="none"/>
          <w:lang w:val="en-US" w:eastAsia="zh-CN"/>
        </w:rPr>
        <w:t xml:space="preserve">含招标代理费）</w:t>
      </w:r>
      <w:r/>
    </w:p>
    <w:p>
      <w:pPr>
        <w:ind w:firstLine="420"/>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lang w:eastAsia="zh-CN"/>
        </w:rPr>
        <w:t xml:space="preserve">最高限价：</w:t>
      </w:r>
      <w:r>
        <w:rPr>
          <w:rFonts w:hint="eastAsia" w:ascii="宋体" w:hAnsi="宋体" w:eastAsia="宋体" w:cs="宋体"/>
          <w:bCs/>
          <w:szCs w:val="21"/>
          <w:highlight w:val="none"/>
          <w:lang w:val="en-US" w:eastAsia="zh-CN"/>
        </w:rPr>
        <w:t xml:space="preserve">人民币240</w:t>
      </w:r>
      <w:r>
        <w:rPr>
          <w:rFonts w:hint="eastAsia" w:ascii="宋体" w:hAnsi="宋体" w:eastAsia="宋体" w:cs="宋体"/>
          <w:bCs/>
          <w:szCs w:val="21"/>
          <w:highlight w:val="none"/>
          <w:lang w:eastAsia="zh-CN"/>
        </w:rPr>
        <w:t xml:space="preserve">万元，</w:t>
      </w:r>
      <w:r>
        <w:rPr>
          <w:rFonts w:hint="eastAsia" w:ascii="宋体" w:hAnsi="宋体" w:eastAsia="宋体" w:cs="宋体"/>
          <w:bCs/>
          <w:szCs w:val="21"/>
          <w:highlight w:val="none"/>
          <w:lang w:val="en-US" w:eastAsia="zh-CN"/>
        </w:rPr>
        <w:t xml:space="preserve">投标人</w:t>
      </w:r>
      <w:r>
        <w:rPr>
          <w:rFonts w:hint="eastAsia" w:ascii="宋体" w:hAnsi="宋体" w:eastAsia="宋体" w:cs="宋体"/>
          <w:bCs/>
          <w:szCs w:val="21"/>
          <w:highlight w:val="none"/>
          <w:lang w:eastAsia="zh-CN"/>
        </w:rPr>
        <w:t xml:space="preserve">超出</w:t>
      </w:r>
      <w:r>
        <w:rPr>
          <w:rFonts w:hint="eastAsia" w:ascii="宋体" w:hAnsi="宋体" w:eastAsia="宋体" w:cs="宋体"/>
          <w:bCs/>
          <w:szCs w:val="21"/>
          <w:highlight w:val="none"/>
          <w:lang w:val="en-US" w:eastAsia="zh-CN"/>
        </w:rPr>
        <w:t xml:space="preserve">最高限价</w:t>
      </w:r>
      <w:r>
        <w:rPr>
          <w:rFonts w:hint="eastAsia" w:ascii="宋体" w:hAnsi="宋体" w:eastAsia="宋体" w:cs="宋体"/>
          <w:bCs/>
          <w:szCs w:val="21"/>
          <w:highlight w:val="none"/>
          <w:lang w:eastAsia="zh-CN"/>
        </w:rPr>
        <w:t xml:space="preserve">的报价视为无效</w:t>
      </w:r>
      <w:r>
        <w:rPr>
          <w:rFonts w:hint="eastAsia" w:ascii="宋体" w:hAnsi="宋体" w:eastAsia="宋体" w:cs="宋体"/>
          <w:bCs/>
          <w:szCs w:val="21"/>
          <w:highlight w:val="none"/>
          <w:lang w:val="en-US" w:eastAsia="zh-CN"/>
        </w:rPr>
        <w:t xml:space="preserve">投标</w:t>
      </w:r>
      <w:r>
        <w:rPr>
          <w:rFonts w:hint="eastAsia" w:ascii="宋体" w:hAnsi="宋体" w:eastAsia="宋体" w:cs="宋体"/>
          <w:bCs/>
          <w:szCs w:val="21"/>
          <w:highlight w:val="none"/>
          <w:lang w:eastAsia="zh-CN"/>
        </w:rPr>
        <w:t xml:space="preserve">。</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eastAsia="zh-CN"/>
        </w:rPr>
        <w:t xml:space="preserve">采购需求：江苏省林业局森林防火物资装备及备品配件、专用工具，免费运抵</w:t>
      </w:r>
      <w:r>
        <w:rPr>
          <w:rFonts w:hint="eastAsia" w:ascii="宋体" w:hAnsi="宋体" w:eastAsia="宋体" w:cs="宋体"/>
          <w:bCs/>
          <w:szCs w:val="21"/>
          <w:highlight w:val="none"/>
          <w:lang w:val="en-US" w:eastAsia="zh-CN"/>
        </w:rPr>
        <w:t xml:space="preserve">招标人</w:t>
      </w:r>
      <w:r>
        <w:rPr>
          <w:rFonts w:hint="eastAsia" w:ascii="宋体" w:hAnsi="宋体" w:eastAsia="宋体" w:cs="宋体"/>
          <w:bCs/>
          <w:szCs w:val="21"/>
          <w:highlight w:val="none"/>
          <w:lang w:eastAsia="zh-CN"/>
        </w:rPr>
        <w:t xml:space="preserve">指定项目现场安装机位，并负责安装、调试，操作人员培训，直至</w:t>
      </w:r>
      <w:r>
        <w:rPr>
          <w:rFonts w:hint="eastAsia" w:ascii="宋体" w:hAnsi="宋体" w:eastAsia="宋体" w:cs="宋体"/>
          <w:bCs/>
          <w:szCs w:val="21"/>
          <w:highlight w:val="none"/>
          <w:lang w:val="en-US" w:eastAsia="zh-CN"/>
        </w:rPr>
        <w:t xml:space="preserve">招标人、投标人</w:t>
      </w:r>
      <w:r>
        <w:rPr>
          <w:rFonts w:hint="eastAsia" w:ascii="宋体" w:hAnsi="宋体" w:eastAsia="宋体" w:cs="宋体"/>
          <w:bCs/>
          <w:szCs w:val="21"/>
          <w:highlight w:val="none"/>
          <w:lang w:eastAsia="zh-CN"/>
        </w:rPr>
        <w:t xml:space="preserve">双方共同验收合格，交付</w:t>
      </w:r>
      <w:r>
        <w:rPr>
          <w:rFonts w:hint="eastAsia" w:ascii="宋体" w:hAnsi="宋体" w:eastAsia="宋体" w:cs="宋体"/>
          <w:bCs/>
          <w:szCs w:val="21"/>
          <w:highlight w:val="none"/>
          <w:lang w:val="en-US" w:eastAsia="zh-CN"/>
        </w:rPr>
        <w:t xml:space="preserve">招标人</w:t>
      </w:r>
      <w:r>
        <w:rPr>
          <w:rFonts w:hint="eastAsia" w:ascii="宋体" w:hAnsi="宋体" w:eastAsia="宋体" w:cs="宋体"/>
          <w:bCs/>
          <w:szCs w:val="21"/>
          <w:highlight w:val="none"/>
          <w:lang w:eastAsia="zh-CN"/>
        </w:rPr>
        <w:t xml:space="preserve">使用，即交钥匙工程。</w:t>
      </w:r>
      <w:r>
        <w:rPr>
          <w:rFonts w:hint="eastAsia" w:ascii="宋体" w:hAnsi="宋体" w:eastAsia="宋体" w:cs="宋体"/>
          <w:bCs/>
          <w:szCs w:val="21"/>
          <w:highlight w:val="none"/>
          <w:lang w:val="en-US" w:eastAsia="zh-CN"/>
        </w:rPr>
        <w:t xml:space="preserve">采购内容如下（技术参数详见招标文件第四章《采购需求》）：</w:t>
      </w:r>
      <w:r/>
    </w:p>
    <w:tbl>
      <w:tblPr>
        <w:tblStyle w:val="687"/>
        <w:tblW w:w="45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4706"/>
        <w:gridCol w:w="2255"/>
      </w:tblGrid>
      <w:tr>
        <w:trPr>
          <w:jc w:val="center"/>
          <w:trHeight w:val="680"/>
        </w:trPr>
        <w:tc>
          <w:tcPr>
            <w:tcW w:w="598" w:type="pct"/>
            <w:vAlign w:val="center"/>
            <w:textDirection w:val="lrTb"/>
            <w:noWrap w:val="false"/>
          </w:tcPr>
          <w:p>
            <w:pPr>
              <w:ind w:left="2"/>
              <w:jc w:val="center"/>
              <w:spacing w:line="320" w:lineRule="exact"/>
              <w:tabs>
                <w:tab w:val="left" w:pos="426"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p>
        </w:tc>
        <w:tc>
          <w:tcPr>
            <w:tcW w:w="2976" w:type="pct"/>
            <w:vAlign w:val="center"/>
            <w:textDirection w:val="lrTb"/>
            <w:noWrap w:val="false"/>
          </w:tcPr>
          <w:p>
            <w:pPr>
              <w:ind w:left="2"/>
              <w:jc w:val="center"/>
              <w:spacing w:line="320" w:lineRule="exact"/>
              <w:tabs>
                <w:tab w:val="left" w:pos="426"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采购内容</w:t>
            </w:r>
            <w:r/>
          </w:p>
        </w:tc>
        <w:tc>
          <w:tcPr>
            <w:tcW w:w="1427" w:type="pct"/>
            <w:vAlign w:val="center"/>
            <w:textDirection w:val="lrTb"/>
            <w:noWrap w:val="false"/>
          </w:tcPr>
          <w:p>
            <w:pPr>
              <w:ind w:left="2"/>
              <w:jc w:val="center"/>
              <w:spacing w:line="320" w:lineRule="exact"/>
              <w:tabs>
                <w:tab w:val="left" w:pos="426"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数量</w:t>
            </w:r>
            <w:r/>
          </w:p>
        </w:tc>
      </w:tr>
      <w:tr>
        <w:trPr>
          <w:jc w:val="center"/>
          <w:trHeight w:val="680"/>
        </w:trPr>
        <w:tc>
          <w:tcPr>
            <w:tcW w:w="598"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2976"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小型多旋翼巡查无人机</w:t>
            </w:r>
            <w:r/>
          </w:p>
        </w:tc>
        <w:tc>
          <w:tcPr>
            <w:tcW w:w="1427"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3台</w:t>
            </w:r>
            <w:r/>
          </w:p>
        </w:tc>
      </w:tr>
      <w:tr>
        <w:trPr>
          <w:jc w:val="center"/>
          <w:trHeight w:val="680"/>
        </w:trPr>
        <w:tc>
          <w:tcPr>
            <w:tcW w:w="598"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2976"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便携式森林消防水泵</w:t>
            </w:r>
            <w:r/>
          </w:p>
        </w:tc>
        <w:tc>
          <w:tcPr>
            <w:tcW w:w="1427"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10台</w:t>
            </w:r>
            <w:r/>
          </w:p>
        </w:tc>
      </w:tr>
      <w:tr>
        <w:trPr>
          <w:jc w:val="center"/>
          <w:trHeight w:val="680"/>
        </w:trPr>
        <w:tc>
          <w:tcPr>
            <w:tcW w:w="598"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2976"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背负式森林消防水泵</w:t>
            </w:r>
            <w:r/>
          </w:p>
        </w:tc>
        <w:tc>
          <w:tcPr>
            <w:tcW w:w="1427"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10台</w:t>
            </w:r>
            <w:r/>
          </w:p>
        </w:tc>
      </w:tr>
      <w:tr>
        <w:trPr>
          <w:jc w:val="center"/>
          <w:trHeight w:val="680"/>
        </w:trPr>
        <w:tc>
          <w:tcPr>
            <w:tcW w:w="598"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2976"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泡沫阻燃森林消防水泵</w:t>
            </w:r>
            <w:r/>
          </w:p>
        </w:tc>
        <w:tc>
          <w:tcPr>
            <w:tcW w:w="1427"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10台</w:t>
            </w:r>
            <w:r/>
          </w:p>
        </w:tc>
      </w:tr>
      <w:tr>
        <w:trPr>
          <w:jc w:val="center"/>
          <w:trHeight w:val="680"/>
        </w:trPr>
        <w:tc>
          <w:tcPr>
            <w:tcW w:w="598"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W w:w="2976"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背负式风力灭火机</w:t>
            </w:r>
            <w:r/>
          </w:p>
        </w:tc>
        <w:tc>
          <w:tcPr>
            <w:tcW w:w="1427"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30台</w:t>
            </w:r>
            <w:r/>
          </w:p>
        </w:tc>
      </w:tr>
      <w:tr>
        <w:trPr>
          <w:jc w:val="center"/>
          <w:trHeight w:val="680"/>
        </w:trPr>
        <w:tc>
          <w:tcPr>
            <w:tcW w:w="598"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tcW w:w="2976"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便携式风力灭火机</w:t>
            </w:r>
            <w:r/>
          </w:p>
        </w:tc>
        <w:tc>
          <w:tcPr>
            <w:tcW w:w="1427"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30台</w:t>
            </w:r>
            <w:r/>
          </w:p>
        </w:tc>
      </w:tr>
      <w:tr>
        <w:trPr>
          <w:jc w:val="center"/>
          <w:trHeight w:val="680"/>
        </w:trPr>
        <w:tc>
          <w:tcPr>
            <w:tcW w:w="598"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p>
        </w:tc>
        <w:tc>
          <w:tcPr>
            <w:tcW w:w="2976"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气压式细水雾灭火水枪</w:t>
            </w:r>
            <w:r/>
          </w:p>
        </w:tc>
        <w:tc>
          <w:tcPr>
            <w:tcW w:w="1427"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20台</w:t>
            </w:r>
            <w:r/>
          </w:p>
        </w:tc>
      </w:tr>
      <w:tr>
        <w:trPr>
          <w:jc w:val="center"/>
          <w:trHeight w:val="680"/>
        </w:trPr>
        <w:tc>
          <w:tcPr>
            <w:tcW w:w="598"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p>
        </w:tc>
        <w:tc>
          <w:tcPr>
            <w:tcW w:w="2976"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手掷式灭火弹</w:t>
            </w:r>
            <w:r/>
          </w:p>
        </w:tc>
        <w:tc>
          <w:tcPr>
            <w:tcW w:w="1427"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250箱</w:t>
            </w:r>
            <w:r/>
          </w:p>
        </w:tc>
      </w:tr>
      <w:tr>
        <w:trPr>
          <w:jc w:val="center"/>
          <w:trHeight w:val="680"/>
        </w:trPr>
        <w:tc>
          <w:tcPr>
            <w:tcW w:w="598"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p>
        </w:tc>
        <w:tc>
          <w:tcPr>
            <w:tcW w:w="2976"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水带背包</w:t>
            </w:r>
            <w:r/>
          </w:p>
        </w:tc>
        <w:tc>
          <w:tcPr>
            <w:tcW w:w="1427"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100个</w:t>
            </w:r>
            <w:r/>
          </w:p>
        </w:tc>
      </w:tr>
      <w:tr>
        <w:trPr>
          <w:jc w:val="center"/>
          <w:trHeight w:val="680"/>
        </w:trPr>
        <w:tc>
          <w:tcPr>
            <w:tcW w:w="598"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p>
        </w:tc>
        <w:tc>
          <w:tcPr>
            <w:tcW w:w="2976"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消防水带</w:t>
            </w:r>
            <w:r/>
          </w:p>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（型号20-40-30）</w:t>
            </w:r>
            <w:r/>
          </w:p>
        </w:tc>
        <w:tc>
          <w:tcPr>
            <w:tcW w:w="1427"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100条</w:t>
            </w:r>
            <w:r/>
          </w:p>
        </w:tc>
      </w:tr>
      <w:tr>
        <w:trPr>
          <w:jc w:val="center"/>
          <w:trHeight w:val="680"/>
        </w:trPr>
        <w:tc>
          <w:tcPr>
            <w:tcW w:w="598"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p>
        </w:tc>
        <w:tc>
          <w:tcPr>
            <w:tcW w:w="2976"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消防水带</w:t>
            </w:r>
            <w:r/>
          </w:p>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（型号20-65-20）</w:t>
            </w:r>
            <w:r/>
          </w:p>
        </w:tc>
        <w:tc>
          <w:tcPr>
            <w:tcW w:w="1427"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100条</w:t>
            </w:r>
            <w:r/>
          </w:p>
        </w:tc>
      </w:tr>
      <w:tr>
        <w:trPr>
          <w:jc w:val="center"/>
          <w:trHeight w:val="680"/>
        </w:trPr>
        <w:tc>
          <w:tcPr>
            <w:tcW w:w="598"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p>
        </w:tc>
        <w:tc>
          <w:tcPr>
            <w:tcW w:w="2976"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油锯</w:t>
            </w:r>
            <w:r/>
          </w:p>
        </w:tc>
        <w:tc>
          <w:tcPr>
            <w:tcW w:w="1427"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20台</w:t>
            </w:r>
            <w:r/>
          </w:p>
        </w:tc>
      </w:tr>
      <w:tr>
        <w:trPr>
          <w:jc w:val="center"/>
          <w:trHeight w:val="680"/>
        </w:trPr>
        <w:tc>
          <w:tcPr>
            <w:tcW w:w="598"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p>
        </w:tc>
        <w:tc>
          <w:tcPr>
            <w:tcW w:w="2976"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森林防火服</w:t>
            </w:r>
            <w:r/>
          </w:p>
        </w:tc>
        <w:tc>
          <w:tcPr>
            <w:tcW w:w="1427"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100套</w:t>
            </w:r>
            <w:r/>
          </w:p>
        </w:tc>
      </w:tr>
      <w:tr>
        <w:trPr>
          <w:jc w:val="center"/>
          <w:trHeight w:val="680"/>
        </w:trPr>
        <w:tc>
          <w:tcPr>
            <w:tcW w:w="598"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w:t>
            </w:r>
            <w:r/>
          </w:p>
        </w:tc>
        <w:tc>
          <w:tcPr>
            <w:tcW w:w="2976"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三号工具</w:t>
            </w:r>
            <w:r/>
          </w:p>
        </w:tc>
        <w:tc>
          <w:tcPr>
            <w:tcW w:w="1427"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300把</w:t>
            </w:r>
            <w:r/>
          </w:p>
        </w:tc>
      </w:tr>
      <w:tr>
        <w:trPr>
          <w:jc w:val="center"/>
          <w:trHeight w:val="680"/>
        </w:trPr>
        <w:tc>
          <w:tcPr>
            <w:tcW w:w="598"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w:t>
            </w:r>
            <w:r/>
          </w:p>
        </w:tc>
        <w:tc>
          <w:tcPr>
            <w:tcW w:w="2976"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便携帐篷</w:t>
            </w:r>
            <w:r/>
          </w:p>
        </w:tc>
        <w:tc>
          <w:tcPr>
            <w:tcW w:w="1427"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100个</w:t>
            </w:r>
            <w:r/>
          </w:p>
        </w:tc>
      </w:tr>
      <w:tr>
        <w:trPr>
          <w:jc w:val="center"/>
          <w:trHeight w:val="680"/>
        </w:trPr>
        <w:tc>
          <w:tcPr>
            <w:tcW w:w="598"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w:t>
            </w:r>
            <w:r/>
          </w:p>
        </w:tc>
        <w:tc>
          <w:tcPr>
            <w:tcW w:w="2976"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羽绒睡袋</w:t>
            </w:r>
            <w:r/>
          </w:p>
        </w:tc>
        <w:tc>
          <w:tcPr>
            <w:tcW w:w="1427" w:type="pct"/>
            <w:vAlign w:val="center"/>
            <w:textDirection w:val="lrTb"/>
            <w:noWrap w:val="false"/>
          </w:tcPr>
          <w:p>
            <w:pPr>
              <w:jc w:val="center"/>
              <w:spacing w:line="32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100个</w:t>
            </w:r>
            <w:r/>
          </w:p>
        </w:tc>
      </w:tr>
    </w:tbl>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合同履行期限：</w:t>
      </w:r>
      <w:bookmarkStart w:id="9" w:name="OLE_LINK6"/>
      <w:r>
        <w:rPr>
          <w:rFonts w:hint="eastAsia" w:ascii="宋体" w:hAnsi="宋体" w:eastAsia="宋体" w:cs="宋体"/>
          <w:color w:val="000000"/>
          <w:sz w:val="21"/>
          <w:szCs w:val="21"/>
        </w:rPr>
        <w:t xml:space="preserve">中标供应商应于合同签订后30天内将所有货物一次性运抵采购人指定的地址</w:t>
      </w: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由采购人进行</w:t>
      </w:r>
      <w:r>
        <w:rPr>
          <w:rFonts w:hint="eastAsia" w:ascii="宋体" w:hAnsi="宋体" w:eastAsia="宋体" w:cs="宋体"/>
          <w:bCs/>
          <w:sz w:val="21"/>
          <w:szCs w:val="21"/>
        </w:rPr>
        <w:t xml:space="preserve">初步验收</w:t>
      </w:r>
      <w:r>
        <w:rPr>
          <w:rFonts w:hint="eastAsia" w:ascii="宋体" w:hAnsi="宋体" w:cs="宋体"/>
          <w:color w:val="000000"/>
          <w:sz w:val="21"/>
          <w:szCs w:val="21"/>
          <w:lang w:val="en-US" w:eastAsia="zh-CN"/>
        </w:rPr>
        <w:t xml:space="preserve">；</w:t>
      </w:r>
      <w:r>
        <w:rPr>
          <w:rFonts w:hint="eastAsia" w:ascii="宋体" w:hAnsi="宋体" w:eastAsia="宋体" w:cs="宋体"/>
          <w:bCs/>
          <w:sz w:val="21"/>
          <w:szCs w:val="21"/>
        </w:rPr>
        <w:t xml:space="preserve">初步验收合格后，中标供应商应根据采购人提供的省内最终用户清单（不少于20个最终交付点），在7个工作日内将货物安全、完好地分送至各指定地点</w:t>
      </w:r>
      <w:r>
        <w:rPr>
          <w:rFonts w:hint="eastAsia" w:ascii="宋体" w:hAnsi="宋体" w:cs="宋体"/>
          <w:bCs/>
          <w:sz w:val="21"/>
          <w:szCs w:val="21"/>
          <w:lang w:val="en-US" w:eastAsia="zh-CN"/>
        </w:rPr>
        <w:t xml:space="preserve">进行交货验收，并</w:t>
      </w:r>
      <w:r>
        <w:rPr>
          <w:rFonts w:hint="eastAsia" w:ascii="宋体" w:hAnsi="宋体" w:eastAsia="宋体" w:cs="宋体"/>
          <w:bCs/>
          <w:szCs w:val="21"/>
          <w:highlight w:val="none"/>
        </w:rPr>
        <w:t xml:space="preserve">安装、调试、</w:t>
      </w:r>
      <w:r>
        <w:rPr>
          <w:rFonts w:hint="eastAsia" w:ascii="宋体" w:hAnsi="宋体" w:cs="宋体"/>
          <w:bCs/>
          <w:szCs w:val="21"/>
          <w:highlight w:val="none"/>
          <w:lang w:val="en-US" w:eastAsia="zh-CN"/>
        </w:rPr>
        <w:t xml:space="preserve">培训，</w:t>
      </w:r>
      <w:r>
        <w:rPr>
          <w:rFonts w:hint="eastAsia" w:ascii="宋体" w:hAnsi="宋体" w:eastAsia="宋体" w:cs="宋体"/>
          <w:bCs/>
          <w:szCs w:val="21"/>
          <w:highlight w:val="none"/>
        </w:rPr>
        <w:t xml:space="preserve">提供</w:t>
      </w:r>
      <w:r>
        <w:rPr>
          <w:rFonts w:hint="eastAsia" w:ascii="宋体" w:hAnsi="宋体" w:cs="宋体"/>
          <w:bCs/>
          <w:szCs w:val="21"/>
          <w:highlight w:val="none"/>
          <w:lang w:val="en-US" w:eastAsia="zh-CN"/>
        </w:rPr>
        <w:t xml:space="preserve">后续</w:t>
      </w:r>
      <w:r>
        <w:rPr>
          <w:rFonts w:hint="eastAsia" w:ascii="宋体" w:hAnsi="宋体" w:eastAsia="宋体" w:cs="宋体"/>
          <w:bCs/>
          <w:szCs w:val="21"/>
          <w:highlight w:val="none"/>
        </w:rPr>
        <w:t xml:space="preserve">相应</w:t>
      </w:r>
      <w:r>
        <w:rPr>
          <w:rFonts w:hint="eastAsia" w:ascii="宋体" w:hAnsi="宋体" w:cs="宋体"/>
          <w:bCs/>
          <w:szCs w:val="21"/>
          <w:highlight w:val="none"/>
          <w:lang w:val="en-US" w:eastAsia="zh-CN"/>
        </w:rPr>
        <w:t xml:space="preserve">售后</w:t>
      </w:r>
      <w:r>
        <w:rPr>
          <w:rFonts w:hint="eastAsia" w:ascii="宋体" w:hAnsi="宋体" w:eastAsia="宋体" w:cs="宋体"/>
          <w:bCs/>
          <w:szCs w:val="21"/>
          <w:highlight w:val="none"/>
        </w:rPr>
        <w:t xml:space="preserve">服务</w:t>
      </w:r>
      <w:r>
        <w:rPr>
          <w:rFonts w:hint="eastAsia" w:ascii="宋体" w:hAnsi="宋体" w:eastAsia="宋体" w:cs="宋体"/>
          <w:bCs/>
          <w:sz w:val="21"/>
          <w:szCs w:val="21"/>
          <w:lang w:eastAsia="zh-CN"/>
        </w:rPr>
        <w:t xml:space="preserve">。</w:t>
      </w:r>
      <w:r>
        <w:rPr>
          <w:rFonts w:hint="eastAsia" w:ascii="宋体" w:hAnsi="宋体" w:eastAsia="宋体" w:cs="宋体"/>
          <w:color w:val="000000"/>
          <w:sz w:val="21"/>
          <w:szCs w:val="21"/>
          <w:lang w:val="en-US" w:eastAsia="zh-CN"/>
        </w:rPr>
        <w:t xml:space="preserve">具体要求详见采购需求</w:t>
      </w:r>
      <w:r>
        <w:rPr>
          <w:rFonts w:hint="eastAsia" w:ascii="宋体" w:hAnsi="宋体" w:eastAsia="宋体" w:cs="宋体"/>
          <w:color w:val="000000"/>
          <w:sz w:val="21"/>
          <w:szCs w:val="21"/>
        </w:rPr>
        <w:t xml:space="preserve">。</w:t>
      </w:r>
      <w:bookmarkEnd w:id="9"/>
      <w:r/>
      <w:r/>
    </w:p>
    <w:p>
      <w:pPr>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本项目（是/否）接受联合体投标：否</w:t>
      </w:r>
      <w:bookmarkStart w:id="10" w:name="_Toc80264698"/>
      <w:r/>
      <w:bookmarkStart w:id="11" w:name="_Toc80792689"/>
      <w:r/>
      <w:bookmarkStart w:id="12" w:name="_Toc93909066"/>
      <w:r/>
      <w:bookmarkStart w:id="13" w:name="_Toc96347852"/>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本项目</w:t>
      </w:r>
      <w:r>
        <w:rPr>
          <w:rFonts w:hint="eastAsia" w:ascii="Microsoft New Tai Lue" w:hAnsi="Microsoft New Tai Lue" w:cs="Microsoft New Tai Lue"/>
          <w:bCs/>
          <w:szCs w:val="21"/>
          <w:highlight w:val="none"/>
        </w:rPr>
        <w:t xml:space="preserve">（是/否）</w:t>
      </w:r>
      <w:r>
        <w:rPr>
          <w:rFonts w:ascii="Microsoft New Tai Lue" w:hAnsi="Microsoft New Tai Lue" w:cs="Microsoft New Tai Lue"/>
          <w:bCs/>
          <w:szCs w:val="21"/>
          <w:highlight w:val="none"/>
        </w:rPr>
        <w:t xml:space="preserve">接受进口产品：</w:t>
      </w:r>
      <w:r>
        <w:rPr>
          <w:rFonts w:hint="eastAsia" w:ascii="Microsoft New Tai Lue" w:hAnsi="Microsoft New Tai Lue" w:cs="Microsoft New Tai Lue"/>
          <w:bCs/>
          <w:szCs w:val="21"/>
          <w:highlight w:val="none"/>
        </w:rPr>
        <w:t xml:space="preserve">否</w:t>
      </w:r>
      <w:r/>
    </w:p>
    <w:p>
      <w:pPr>
        <w:ind w:firstLine="422"/>
        <w:spacing w:line="360" w:lineRule="auto"/>
        <w:rPr>
          <w:rFonts w:ascii="Microsoft New Tai Lue" w:hAnsi="Microsoft New Tai Lue" w:cs="Microsoft New Tai Lue"/>
          <w:b/>
          <w:bCs/>
          <w:szCs w:val="44"/>
          <w:highlight w:val="none"/>
        </w:rPr>
      </w:pPr>
      <w:r>
        <w:rPr>
          <w:rFonts w:ascii="Microsoft New Tai Lue" w:hAnsi="Microsoft New Tai Lue" w:cs="Microsoft New Tai Lue"/>
          <w:b/>
          <w:bCs/>
          <w:szCs w:val="44"/>
          <w:highlight w:val="none"/>
        </w:rPr>
        <w:t xml:space="preserve">二、</w:t>
      </w:r>
      <w:bookmarkEnd w:id="10"/>
      <w:r>
        <w:rPr>
          <w:rFonts w:ascii="Microsoft New Tai Lue" w:hAnsi="Microsoft New Tai Lue" w:cs="Microsoft New Tai Lue"/>
          <w:b/>
          <w:bCs/>
          <w:szCs w:val="44"/>
          <w:highlight w:val="none"/>
        </w:rPr>
        <w:t xml:space="preserve">申请人的资格要求</w:t>
      </w:r>
      <w:bookmarkEnd w:id="11"/>
      <w:r/>
      <w:bookmarkEnd w:id="12"/>
      <w:r>
        <w:rPr>
          <w:rFonts w:ascii="Microsoft New Tai Lue" w:hAnsi="Microsoft New Tai Lue" w:cs="Microsoft New Tai Lue"/>
          <w:b/>
          <w:bCs/>
          <w:szCs w:val="44"/>
          <w:highlight w:val="none"/>
        </w:rPr>
        <w:t xml:space="preserve">：</w:t>
      </w:r>
      <w:bookmarkEnd w:id="13"/>
      <w:r/>
      <w:r/>
    </w:p>
    <w:p>
      <w:pPr>
        <w:ind w:firstLine="420"/>
        <w:spacing w:line="360" w:lineRule="auto"/>
        <w:rPr>
          <w:rFonts w:ascii="Microsoft New Tai Lue" w:hAnsi="Microsoft New Tai Lue" w:cs="Microsoft New Tai Lue"/>
          <w:bCs/>
          <w:szCs w:val="21"/>
          <w:highlight w:val="none"/>
        </w:rPr>
      </w:pPr>
      <w:r/>
      <w:bookmarkStart w:id="14" w:name="_Toc80264699"/>
      <w:r/>
      <w:bookmarkStart w:id="15" w:name="_Toc80792690"/>
      <w:r/>
      <w:bookmarkStart w:id="16" w:name="_Toc96347853"/>
      <w:r/>
      <w:bookmarkStart w:id="17" w:name="_Toc93909067"/>
      <w:r>
        <w:rPr>
          <w:rFonts w:hint="eastAsia" w:ascii="Microsoft New Tai Lue" w:hAnsi="Microsoft New Tai Lue" w:cs="Microsoft New Tai Lue"/>
          <w:bCs/>
          <w:szCs w:val="21"/>
          <w:highlight w:val="none"/>
        </w:rPr>
        <w:t xml:space="preserve">（一）满足《中华人民共和国政府采购法》第二十二条规定：</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1.具有独立承担民事责任的能力</w:t>
      </w:r>
      <w:r>
        <w:rPr>
          <w:rFonts w:hint="eastAsia" w:ascii="Microsoft New Tai Lue" w:hAnsi="Microsoft New Tai Lue" w:cs="Microsoft New Tai Lue"/>
          <w:bCs/>
          <w:szCs w:val="21"/>
          <w:highlight w:val="none"/>
          <w:lang w:eastAsia="zh-CN"/>
        </w:rPr>
        <w:t xml:space="preserve">，</w:t>
      </w:r>
      <w:r>
        <w:rPr>
          <w:rFonts w:hint="eastAsia" w:ascii="Microsoft New Tai Lue" w:hAnsi="Microsoft New Tai Lue" w:cs="Microsoft New Tai Lue"/>
          <w:bCs/>
          <w:szCs w:val="21"/>
          <w:highlight w:val="none"/>
          <w:lang w:val="en-US" w:eastAsia="zh-CN"/>
        </w:rPr>
        <w:t xml:space="preserve">提供</w:t>
      </w:r>
      <w:r>
        <w:rPr>
          <w:rFonts w:hint="eastAsia" w:ascii="Microsoft New Tai Lue" w:hAnsi="Microsoft New Tai Lue" w:cs="Microsoft New Tai Lue"/>
          <w:bCs/>
          <w:szCs w:val="21"/>
          <w:highlight w:val="none"/>
        </w:rPr>
        <w:t xml:space="preserve">法人或者其他组织的营业执照等证明文件</w:t>
      </w:r>
      <w:r>
        <w:rPr>
          <w:rFonts w:hint="eastAsia" w:ascii="Microsoft New Tai Lue" w:hAnsi="Microsoft New Tai Lue" w:cs="Microsoft New Tai Lue"/>
          <w:bCs/>
          <w:szCs w:val="21"/>
          <w:highlight w:val="none"/>
          <w:lang w:eastAsia="zh-CN"/>
        </w:rPr>
        <w:t xml:space="preserve">、</w:t>
      </w:r>
      <w:r>
        <w:rPr>
          <w:rFonts w:hint="eastAsia" w:ascii="Microsoft New Tai Lue" w:hAnsi="Microsoft New Tai Lue" w:cs="Microsoft New Tai Lue"/>
          <w:bCs/>
          <w:szCs w:val="21"/>
          <w:highlight w:val="none"/>
        </w:rPr>
        <w:t xml:space="preserve">自然人的身份证明；</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2.具有良好的商业信誉和健全的财务会计制度，提供202</w:t>
      </w:r>
      <w:r>
        <w:rPr>
          <w:rFonts w:hint="eastAsia" w:ascii="Microsoft New Tai Lue" w:hAnsi="Microsoft New Tai Lue" w:cs="Microsoft New Tai Lue"/>
          <w:bCs/>
          <w:szCs w:val="21"/>
          <w:highlight w:val="none"/>
          <w:lang w:val="en-US" w:eastAsia="zh-CN"/>
        </w:rPr>
        <w:t xml:space="preserve">5</w:t>
      </w:r>
      <w:r>
        <w:rPr>
          <w:rFonts w:hint="eastAsia" w:ascii="Microsoft New Tai Lue" w:hAnsi="Microsoft New Tai Lue" w:cs="Microsoft New Tai Lue"/>
          <w:bCs/>
          <w:szCs w:val="21"/>
          <w:highlight w:val="none"/>
        </w:rPr>
        <w:t xml:space="preserve">年度财务报表（如为成立不满一年的公司，应提供公司成立之后的财务报表）或投标截止时间前</w:t>
      </w:r>
      <w:r>
        <w:rPr>
          <w:rFonts w:ascii="Microsoft New Tai Lue" w:hAnsi="Microsoft New Tai Lue" w:cs="Microsoft New Tai Lue"/>
          <w:bCs/>
          <w:szCs w:val="21"/>
          <w:highlight w:val="none"/>
        </w:rPr>
        <w:t xml:space="preserve">6</w:t>
      </w:r>
      <w:r>
        <w:rPr>
          <w:rFonts w:hint="eastAsia" w:ascii="Microsoft New Tai Lue" w:hAnsi="Microsoft New Tai Lue" w:cs="Microsoft New Tai Lue"/>
          <w:bCs/>
          <w:szCs w:val="21"/>
          <w:highlight w:val="none"/>
        </w:rPr>
        <w:t xml:space="preserve">个月内，由其基本开户银行出具的资信证明或财政部门认可的政府采购专业担保机构出具的投标担保函；</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4.有依法缴纳税收和社会保障资金的良好记录，提供本次采购活动前</w:t>
      </w:r>
      <w:r>
        <w:rPr>
          <w:rFonts w:ascii="Microsoft New Tai Lue" w:hAnsi="Microsoft New Tai Lue" w:cs="Microsoft New Tai Lue"/>
          <w:bCs/>
          <w:szCs w:val="21"/>
          <w:highlight w:val="none"/>
        </w:rPr>
        <w:t xml:space="preserve">6</w:t>
      </w:r>
      <w:r>
        <w:rPr>
          <w:rFonts w:hint="eastAsia" w:ascii="Microsoft New Tai Lue" w:hAnsi="Microsoft New Tai Lue" w:cs="Microsoft New Tai Lue"/>
          <w:bCs/>
          <w:szCs w:val="21"/>
          <w:highlight w:val="none"/>
        </w:rPr>
        <w:t xml:space="preserve">个月内，至少1个月缴纳税收和社会保障资金的凭证，依法享受免缴、缓缴的，提供证明材料；</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6.法律、行政法规规定的其他条件</w:t>
      </w:r>
      <w:r>
        <w:rPr>
          <w:rFonts w:hint="eastAsia" w:ascii="Microsoft New Tai Lue" w:hAnsi="Microsoft New Tai Lue" w:cs="Microsoft New Tai Lue"/>
          <w:bCs/>
          <w:szCs w:val="21"/>
          <w:highlight w:val="none"/>
          <w:lang w:eastAsia="zh-CN"/>
        </w:rPr>
        <w:t xml:space="preserve">，提供声明函或承诺书</w:t>
      </w:r>
      <w:r>
        <w:rPr>
          <w:rFonts w:hint="eastAsia" w:ascii="Microsoft New Tai Lue" w:hAnsi="Microsoft New Tai Lue" w:cs="Microsoft New Tai Lue"/>
          <w:bCs/>
          <w:szCs w:val="21"/>
          <w:highlight w:val="none"/>
        </w:rPr>
        <w:t xml:space="preserve">。</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（二）落实政府采购政策需满足的资格要求：</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1.中小企业政策</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本项目按照以下第（4）种方式落实政府采购促进中小企业发展的要求：</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（1）本项目整体专门面向中小企业采购服务。</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（2）本项目整体专门面向小微企业采购服务。</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（3）本项目通过以下第（）种方式预留部分采购份额采购中小企业服务：</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①本项目要求供应商以联合体形式参加，中小企业合同金额应当达到的比例为_%。</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②本项目要求供应商进行合同分包，中小企业合同金额应当达到的比例为_%。</w:t>
      </w:r>
      <w:r/>
    </w:p>
    <w:p>
      <w:pPr>
        <w:numPr>
          <w:ilvl w:val="0"/>
          <w:numId w:val="0"/>
        </w:num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eastAsia="宋体" w:cs="_x000B__x000C_"/>
          <w:color w:val="000000" w:themeColor="text1"/>
          <w:sz w:val="21"/>
          <w:szCs w:val="21"/>
          <w:lang w:val="en-US" w:eastAsia="zh-CN" w:bidi="ar-SA"/>
          <w14:textFill>
            <w14:solidFill>
              <w14:schemeClr w14:val="tx1"/>
            </w14:solidFill>
          </w14:textFill>
        </w:rPr>
        <w:t xml:space="preserve">（4）</w:t>
      </w:r>
      <w:r>
        <w:rPr>
          <w:rFonts w:hint="eastAsia" w:ascii="宋体" w:hAnsi="宋体" w:cs="_x000B__x000C_"/>
          <w:color w:val="000000" w:themeColor="text1"/>
          <w:szCs w:val="21"/>
          <w:highlight w:val="none"/>
          <w14:textFill>
            <w14:solidFill>
              <w14:schemeClr w14:val="tx1"/>
            </w14:solidFill>
          </w14:textFill>
        </w:rPr>
        <w:t xml:space="preserve">本项目为非预留份额的采购项目或采购包，执行价格扣除优惠政策，具体详见第三章评标办法与标准。</w:t>
      </w:r>
      <w:r/>
    </w:p>
    <w:p>
      <w:pPr>
        <w:numPr>
          <w:ilvl w:val="-1"/>
          <w:numId w:val="0"/>
        </w:numPr>
        <w:ind w:firstLine="420"/>
        <w:spacing w:line="360" w:lineRule="auto"/>
        <w:rPr>
          <w:highlight w:val="none"/>
        </w:rPr>
      </w:pPr>
      <w:r>
        <w:rPr>
          <w:rFonts w:hint="eastAsia" w:ascii="Microsoft New Tai Lue" w:hAnsi="Microsoft New Tai Lue" w:cs="Microsoft New Tai Lue"/>
          <w:bCs/>
          <w:szCs w:val="21"/>
          <w:highlight w:val="none"/>
        </w:rPr>
        <w:t xml:space="preserve">2.其它落实政府采购政策的资格要求：无。</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（三）本项目的特定资格要求：</w:t>
      </w:r>
      <w:r/>
    </w:p>
    <w:p>
      <w:pPr>
        <w:ind w:firstLine="420"/>
        <w:spacing w:line="360" w:lineRule="auto"/>
        <w:rPr>
          <w:rFonts w:hint="eastAsia" w:ascii="Microsoft New Tai Lue" w:hAnsi="Microsoft New Tai Lue" w:eastAsia="宋体" w:cs="Microsoft New Tai Lue"/>
          <w:bCs/>
          <w:szCs w:val="21"/>
          <w:highlight w:val="none"/>
          <w:lang w:eastAsia="zh-CN"/>
        </w:rPr>
      </w:pPr>
      <w:r>
        <w:rPr>
          <w:rFonts w:hint="eastAsia" w:ascii="Microsoft New Tai Lue" w:hAnsi="Microsoft New Tai Lue" w:cs="Microsoft New Tai Lue"/>
          <w:bCs/>
          <w:szCs w:val="21"/>
          <w:highlight w:val="none"/>
        </w:rPr>
        <w:t xml:space="preserve">1.特定资格条件：</w:t>
      </w:r>
      <w:r>
        <w:rPr>
          <w:rFonts w:hint="eastAsia" w:ascii="Microsoft New Tai Lue" w:hAnsi="Microsoft New Tai Lue" w:cs="Microsoft New Tai Lue"/>
          <w:bCs/>
          <w:szCs w:val="21"/>
          <w:highlight w:val="none"/>
          <w:lang w:val="en-US" w:eastAsia="zh-CN"/>
        </w:rPr>
        <w:t xml:space="preserve">无。</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2.供应商存在下列情形的不得参加本次招标活动：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）单位负责人为同一人或者存在直接控股、管理关系的不同供应商，不得参加同一合同项下的政府采购活动。（提供声明函或承诺书）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）除单一来源项目外，凡为采购项目提供整体设计、规范编制或者项目管理、监理、检测等服务的供应商不得再参加本项目的采购活动。（提供声明函或承诺书）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）通过“信用中国”网站（</w:t>
      </w:r>
      <w:r>
        <w:rPr>
          <w:rFonts w:ascii="Microsoft New Tai Lue" w:hAnsi="Microsoft New Tai Lue" w:eastAsia="Microsoft New Tai Lue" w:cs="Microsoft New Tai Lue"/>
          <w:color w:val="000000"/>
          <w:sz w:val="21"/>
        </w:rPr>
        <w:t xml:space="preserve">http://www.creditchina.gov.cn</w:t>
      </w:r>
      <w:r>
        <w:rPr>
          <w:rFonts w:ascii="SimSun" w:hAnsi="SimSun" w:eastAsia="SimSun" w:cs="SimSun"/>
          <w:color w:val="000000"/>
          <w:sz w:val="21"/>
        </w:rPr>
        <w:t xml:space="preserve">）、中国政府采购网（</w:t>
      </w:r>
      <w:r>
        <w:rPr>
          <w:rFonts w:ascii="Microsoft New Tai Lue" w:hAnsi="Microsoft New Tai Lue" w:eastAsia="Microsoft New Tai Lue" w:cs="Microsoft New Tai Lue"/>
          <w:color w:val="000000"/>
          <w:sz w:val="21"/>
        </w:rPr>
        <w:t xml:space="preserve">www.ccgp.gov.cn</w:t>
      </w:r>
      <w:r>
        <w:rPr>
          <w:rFonts w:ascii="SimSun" w:hAnsi="SimSun" w:eastAsia="SimSun" w:cs="SimSun"/>
          <w:color w:val="000000"/>
          <w:sz w:val="21"/>
        </w:rPr>
        <w:t xml:space="preserve">）查询供应商在投标截止时间前的信用记录，通过以上查询渠道，供应商被列入失信被执行人、重大税收违法失信主体名单、政府采购严重违法失信行为记录。（提供网页查询截图加盖投标人公章，查询时间应为本项目采购公告发布后至投标截止时间前）</w:t>
      </w:r>
      <w:r/>
      <w:r>
        <w:rPr>
          <w:rFonts w:ascii="Microsoft New Tai Lue" w:hAnsi="Microsoft New Tai Lue" w:cs="Microsoft New Tai Lue"/>
          <w:bCs/>
          <w:szCs w:val="21"/>
          <w:highlight w:val="none"/>
        </w:rPr>
      </w:r>
      <w:r/>
      <w:r>
        <w:rPr>
          <w:sz w:val="21"/>
        </w:rPr>
      </w:r>
    </w:p>
    <w:p>
      <w:pPr>
        <w:ind w:firstLine="0"/>
        <w:spacing w:line="360" w:lineRule="auto"/>
        <w:rPr>
          <w:rFonts w:ascii="Microsoft New Tai Lue" w:hAnsi="Microsoft New Tai Lue" w:cs="Microsoft New Tai Lue"/>
          <w:b/>
          <w:bCs/>
          <w:szCs w:val="44"/>
          <w:highlight w:val="none"/>
        </w:rPr>
      </w:pPr>
      <w:r>
        <w:rPr>
          <w:rFonts w:hint="eastAsia" w:ascii="Microsoft New Tai Lue" w:hAnsi="Microsoft New Tai Lue" w:cs="Microsoft New Tai Lue"/>
          <w:b/>
          <w:bCs/>
          <w:szCs w:val="44"/>
          <w:highlight w:val="none"/>
        </w:rPr>
        <w:t xml:space="preserve">    三、</w:t>
      </w:r>
      <w:r>
        <w:rPr>
          <w:rFonts w:ascii="Microsoft New Tai Lue" w:hAnsi="Microsoft New Tai Lue" w:cs="Microsoft New Tai Lue"/>
          <w:b/>
          <w:bCs/>
          <w:szCs w:val="44"/>
          <w:highlight w:val="none"/>
        </w:rPr>
        <w:t xml:space="preserve">获取招标文件</w:t>
      </w:r>
      <w:bookmarkEnd w:id="14"/>
      <w:r/>
      <w:bookmarkEnd w:id="15"/>
      <w:r/>
      <w:bookmarkEnd w:id="16"/>
      <w:r/>
      <w:bookmarkEnd w:id="17"/>
      <w:r/>
      <w:bookmarkStart w:id="18" w:name="_Toc80264700"/>
      <w:r/>
      <w:bookmarkEnd w:id="18"/>
      <w:r>
        <w:rPr>
          <w:rFonts w:ascii="Microsoft New Tai Lue" w:hAnsi="Microsoft New Tai Lue" w:cs="Microsoft New Tai Lue"/>
          <w:b/>
          <w:bCs/>
          <w:szCs w:val="44"/>
          <w:highlight w:val="none"/>
        </w:rPr>
      </w:r>
      <w:r/>
    </w:p>
    <w:p>
      <w:pPr>
        <w:ind w:firstLine="420"/>
        <w:spacing w:line="360" w:lineRule="auto"/>
        <w:rPr>
          <w:rFonts w:ascii="宋体" w:hAnsi="宋体"/>
          <w:color w:val="000000" w:themeColor="text1"/>
          <w:szCs w:val="21"/>
          <w:highlight w:val="none"/>
          <w14:textFill>
            <w14:solidFill>
              <w14:schemeClr w14:val="tx1"/>
            </w14:solidFill>
          </w14:textFill>
        </w:rPr>
      </w:pPr>
      <w:r/>
      <w:bookmarkStart w:id="19" w:name="_Toc93909068"/>
      <w:r/>
      <w:bookmarkStart w:id="20" w:name="_Toc96347854"/>
      <w:r>
        <w:rPr>
          <w:rFonts w:hint="eastAsia" w:ascii="宋体" w:hAnsi="宋体"/>
          <w:color w:val="000000" w:themeColor="text1"/>
          <w:szCs w:val="21"/>
          <w:highlight w:val="none"/>
          <w14:textFill>
            <w14:solidFill>
              <w14:schemeClr w14:val="tx1"/>
            </w14:solidFill>
          </w14:textFill>
        </w:rPr>
        <w:t xml:space="preserve">时间：自本公告发布之日起5个工作日</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获取地点：江苏政府采购网“苏采云”系统（网址：http://jszfcg.jsczt.cn/）</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获取方式：登录江苏政府采购网，点击“苏采云”使用CA锁登录系统（新用户应进行“平台用户注册”），点击“项目参与”进行登记，在“可参与项目”中选择“我要参与”，参与成功后到“已参与项目”界面中找到该项目下载文件。（投标人必须在苏采云政府采购交易系统获取招标文件，方可参加本次政府采购项目。）</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售价：0元。</w:t>
      </w:r>
      <w:r/>
    </w:p>
    <w:p>
      <w:pPr>
        <w:ind w:firstLine="422"/>
        <w:spacing w:line="360" w:lineRule="auto"/>
        <w:rPr>
          <w:rFonts w:ascii="Microsoft New Tai Lue" w:hAnsi="Microsoft New Tai Lue" w:cs="Microsoft New Tai Lue"/>
          <w:b/>
          <w:bCs/>
          <w:szCs w:val="44"/>
          <w:highlight w:val="none"/>
        </w:rPr>
      </w:pPr>
      <w:r>
        <w:rPr>
          <w:rFonts w:hint="eastAsia" w:ascii="Microsoft New Tai Lue" w:hAnsi="Microsoft New Tai Lue" w:cs="Microsoft New Tai Lue"/>
          <w:b/>
          <w:bCs/>
          <w:szCs w:val="44"/>
          <w:highlight w:val="none"/>
        </w:rPr>
        <w:t xml:space="preserve">四、</w:t>
      </w:r>
      <w:r>
        <w:rPr>
          <w:rFonts w:ascii="Microsoft New Tai Lue" w:hAnsi="Microsoft New Tai Lue" w:cs="Microsoft New Tai Lue"/>
          <w:b/>
          <w:bCs/>
          <w:szCs w:val="44"/>
          <w:highlight w:val="none"/>
        </w:rPr>
        <w:t xml:space="preserve">提交投标文件截止时间、开标时间和地点</w:t>
      </w:r>
      <w:bookmarkEnd w:id="19"/>
      <w:r/>
      <w:bookmarkEnd w:id="20"/>
      <w:r/>
      <w:r/>
    </w:p>
    <w:p>
      <w:pPr>
        <w:ind w:firstLine="420"/>
        <w:spacing w:line="360" w:lineRule="auto"/>
        <w:rPr>
          <w:rFonts w:ascii="宋体" w:hAnsi="宋体"/>
          <w:color w:val="000000" w:themeColor="text1"/>
          <w:szCs w:val="21"/>
          <w:highlight w:val="none"/>
          <w14:textFill>
            <w14:solidFill>
              <w14:schemeClr w14:val="tx1"/>
            </w14:solidFill>
          </w14:textFill>
        </w:rPr>
      </w:pPr>
      <w:r/>
      <w:bookmarkStart w:id="21" w:name="_Toc93909069"/>
      <w:r/>
      <w:bookmarkStart w:id="22" w:name="_Toc96347855"/>
      <w:r>
        <w:rPr>
          <w:rFonts w:hint="eastAsia" w:ascii="宋体" w:hAnsi="宋体"/>
          <w:color w:val="000000" w:themeColor="text1"/>
          <w:szCs w:val="21"/>
          <w:highlight w:val="none"/>
          <w14:textFill>
            <w14:solidFill>
              <w14:schemeClr w14:val="tx1"/>
            </w14:solidFill>
          </w14:textFill>
        </w:rPr>
        <w:t xml:space="preserve">时间：2026年</w:t>
      </w:r>
      <w:r>
        <w:rPr>
          <w:rFonts w:hint="eastAsia" w:ascii="宋体" w:hAnsi="宋体"/>
          <w:color w:val="000000" w:themeColor="text1"/>
          <w:szCs w:val="21"/>
          <w:highlight w:val="none"/>
          <w:lang w:val="en-US" w:eastAsia="zh-CN"/>
          <w14:textFill>
            <w14:solidFill>
              <w14:schemeClr w14:val="tx1"/>
            </w14:solidFill>
          </w14:textFill>
        </w:rPr>
        <w:t xml:space="preserve">10月15</w:t>
      </w:r>
      <w:r>
        <w:rPr>
          <w:rFonts w:hint="eastAsia" w:ascii="宋体" w:hAnsi="宋体"/>
          <w:color w:val="000000" w:themeColor="text1"/>
          <w:szCs w:val="21"/>
          <w:highlight w:val="none"/>
          <w14:textFill>
            <w14:solidFill>
              <w14:schemeClr w14:val="tx1"/>
            </w14:solidFill>
          </w14:textFill>
        </w:rPr>
        <w:t xml:space="preserve">日</w:t>
      </w:r>
      <w:r>
        <w:rPr>
          <w:rFonts w:hint="eastAsia" w:ascii="宋体" w:hAnsi="宋体"/>
          <w:color w:val="000000" w:themeColor="text1"/>
          <w:szCs w:val="21"/>
          <w:highlight w:val="none"/>
          <w:lang w:val="en-US" w:eastAsia="zh-CN"/>
          <w14:textFill>
            <w14:solidFill>
              <w14:schemeClr w14:val="tx1"/>
            </w14:solidFill>
          </w14:textFill>
        </w:rPr>
        <w:t xml:space="preserve">下</w:t>
      </w:r>
      <w:r>
        <w:rPr>
          <w:rFonts w:hint="eastAsia" w:ascii="宋体" w:hAnsi="宋体"/>
          <w:color w:val="000000" w:themeColor="text1"/>
          <w:szCs w:val="21"/>
          <w:highlight w:val="none"/>
          <w14:textFill>
            <w14:solidFill>
              <w14:schemeClr w14:val="tx1"/>
            </w14:solidFill>
          </w14:textFill>
        </w:rPr>
        <w:t xml:space="preserve">午</w:t>
      </w:r>
      <w:r>
        <w:rPr>
          <w:rFonts w:hint="eastAsia" w:ascii="宋体" w:hAnsi="宋体"/>
          <w:color w:val="000000" w:themeColor="text1"/>
          <w:szCs w:val="21"/>
          <w:highlight w:val="none"/>
          <w:lang w:val="en-US" w:eastAsia="zh-CN"/>
          <w14:textFill>
            <w14:solidFill>
              <w14:schemeClr w14:val="tx1"/>
            </w14:solidFill>
          </w14:textFill>
        </w:rPr>
        <w:t xml:space="preserve">14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0时（北京时间）</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地点：“苏采云”网上开标大厅</w:t>
      </w:r>
      <w:r/>
    </w:p>
    <w:p>
      <w:pPr>
        <w:ind w:firstLine="422"/>
        <w:spacing w:line="360" w:lineRule="auto"/>
        <w:rPr>
          <w:rFonts w:ascii="Microsoft New Tai Lue" w:hAnsi="Microsoft New Tai Lue" w:cs="Microsoft New Tai Lue"/>
          <w:b/>
          <w:bCs/>
          <w:szCs w:val="44"/>
          <w:highlight w:val="none"/>
        </w:rPr>
      </w:pPr>
      <w:r>
        <w:rPr>
          <w:rFonts w:hint="eastAsia" w:ascii="Microsoft New Tai Lue" w:hAnsi="Microsoft New Tai Lue" w:cs="Microsoft New Tai Lue"/>
          <w:b/>
          <w:bCs/>
          <w:szCs w:val="44"/>
          <w:highlight w:val="none"/>
        </w:rPr>
        <w:t xml:space="preserve">五、</w:t>
      </w:r>
      <w:r>
        <w:rPr>
          <w:rFonts w:ascii="Microsoft New Tai Lue" w:hAnsi="Microsoft New Tai Lue" w:cs="Microsoft New Tai Lue"/>
          <w:b/>
          <w:bCs/>
          <w:szCs w:val="44"/>
          <w:highlight w:val="none"/>
        </w:rPr>
        <w:t xml:space="preserve">公告期</w:t>
      </w:r>
      <w:bookmarkEnd w:id="21"/>
      <w:r/>
      <w:bookmarkEnd w:id="22"/>
      <w:r>
        <w:rPr>
          <w:rFonts w:hint="eastAsia" w:ascii="Microsoft New Tai Lue" w:hAnsi="Microsoft New Tai Lue" w:cs="Microsoft New Tai Lue"/>
          <w:b/>
          <w:bCs/>
          <w:szCs w:val="44"/>
          <w:highlight w:val="none"/>
        </w:rPr>
        <w:t xml:space="preserve">限</w:t>
      </w:r>
      <w:r/>
    </w:p>
    <w:p>
      <w:pPr>
        <w:ind w:firstLine="420"/>
        <w:spacing w:line="360" w:lineRule="auto"/>
        <w:rPr>
          <w:rFonts w:ascii="Microsoft New Tai Lue" w:hAnsi="Microsoft New Tai Lue" w:cs="Microsoft New Tai Lue"/>
          <w:highlight w:val="none"/>
        </w:rPr>
      </w:pPr>
      <w:r>
        <w:rPr>
          <w:rFonts w:ascii="Microsoft New Tai Lue" w:hAnsi="Microsoft New Tai Lue" w:cs="Microsoft New Tai Lue"/>
          <w:highlight w:val="none"/>
        </w:rPr>
        <w:t xml:space="preserve">自本公告发布之日起5个工作日。</w:t>
      </w:r>
      <w:bookmarkStart w:id="23" w:name="_Toc96347856"/>
      <w:r/>
      <w:bookmarkStart w:id="24" w:name="_Toc93909070"/>
      <w:r/>
      <w:r/>
    </w:p>
    <w:p>
      <w:pPr>
        <w:ind w:firstLine="422"/>
        <w:spacing w:line="360" w:lineRule="auto"/>
        <w:rPr>
          <w:rFonts w:ascii="Microsoft New Tai Lue" w:hAnsi="Microsoft New Tai Lue" w:cs="Microsoft New Tai Lue"/>
          <w:b/>
          <w:bCs/>
          <w:szCs w:val="44"/>
          <w:highlight w:val="none"/>
        </w:rPr>
      </w:pPr>
      <w:r>
        <w:rPr>
          <w:rFonts w:hint="eastAsia" w:ascii="Microsoft New Tai Lue" w:hAnsi="Microsoft New Tai Lue" w:cs="Microsoft New Tai Lue"/>
          <w:b/>
          <w:bCs/>
          <w:szCs w:val="44"/>
          <w:highlight w:val="none"/>
        </w:rPr>
        <w:t xml:space="preserve">六、</w:t>
      </w:r>
      <w:r>
        <w:rPr>
          <w:rFonts w:ascii="Microsoft New Tai Lue" w:hAnsi="Microsoft New Tai Lue" w:cs="Microsoft New Tai Lue"/>
          <w:b/>
          <w:bCs/>
          <w:szCs w:val="44"/>
          <w:highlight w:val="none"/>
        </w:rPr>
        <w:t xml:space="preserve">其他补充事宜</w:t>
      </w:r>
      <w:bookmarkEnd w:id="23"/>
      <w:r/>
      <w:bookmarkEnd w:id="24"/>
      <w:r/>
      <w:bookmarkStart w:id="25" w:name="_Toc80792694"/>
      <w:r/>
      <w:bookmarkStart w:id="26" w:name="_Toc80264702"/>
      <w:r/>
      <w:bookmarkStart w:id="27" w:name="_Toc93909071"/>
      <w:r/>
      <w:bookmarkStart w:id="28" w:name="_Toc96347857"/>
      <w:r/>
      <w:r/>
    </w:p>
    <w:p>
      <w:pPr>
        <w:ind w:firstLine="420"/>
        <w:spacing w:line="360" w:lineRule="auto"/>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1</w:t>
      </w:r>
      <w:r>
        <w:rPr>
          <w:rFonts w:ascii="Microsoft New Tai Lue" w:hAnsi="Microsoft New Tai Lue" w:cs="Microsoft New Tai Lue"/>
          <w:szCs w:val="21"/>
          <w:highlight w:val="none"/>
        </w:rPr>
        <w:t xml:space="preserve">．</w:t>
      </w:r>
      <w:r>
        <w:rPr>
          <w:rFonts w:ascii="Microsoft New Tai Lue" w:hAnsi="Microsoft New Tai Lue" w:cs="Microsoft New Tai Lue"/>
          <w:highlight w:val="none"/>
        </w:rPr>
        <w:t xml:space="preserve">政府采购支持政策</w:t>
      </w:r>
      <w:r>
        <w:rPr>
          <w:rFonts w:hint="eastAsia" w:ascii="Microsoft New Tai Lue" w:hAnsi="Microsoft New Tai Lue" w:cs="Microsoft New Tai Lue"/>
          <w:highlight w:val="none"/>
        </w:rPr>
        <w:t xml:space="preserve">：</w:t>
      </w:r>
      <w:r/>
    </w:p>
    <w:p>
      <w:pPr>
        <w:ind w:firstLine="420"/>
        <w:spacing w:line="360" w:lineRule="auto"/>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（1）《政府采购促进中小企业发展管理办法》（财库【2020】46号）</w:t>
      </w:r>
      <w:r/>
    </w:p>
    <w:p>
      <w:pPr>
        <w:ind w:firstLine="420"/>
        <w:spacing w:line="360" w:lineRule="auto"/>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（2）《关于进一步加大政府采购支持中小企业力度的通知》（财库【2022】19号）</w:t>
      </w:r>
      <w:r/>
    </w:p>
    <w:p>
      <w:pPr>
        <w:ind w:firstLine="420"/>
        <w:spacing w:line="360" w:lineRule="auto"/>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（3）《关于政府采购支持监狱企业发展有关问题的通知》 </w:t>
      </w:r>
      <w:r/>
    </w:p>
    <w:p>
      <w:pPr>
        <w:ind w:firstLine="420"/>
        <w:spacing w:line="360" w:lineRule="auto"/>
        <w:rPr>
          <w:rFonts w:ascii="Microsoft New Tai Lue" w:hAnsi="Microsoft New Tai Lue" w:cs="Microsoft New Tai Lue"/>
          <w:highlight w:val="none"/>
        </w:rPr>
      </w:pPr>
      <w:r>
        <w:rPr>
          <w:rFonts w:hint="eastAsia" w:ascii="Microsoft New Tai Lue" w:hAnsi="Microsoft New Tai Lue" w:cs="Microsoft New Tai Lue"/>
          <w:highlight w:val="none"/>
        </w:rPr>
        <w:t xml:space="preserve">（4）《关于促进残疾人就业政府采购政策的通知》 </w:t>
      </w:r>
      <w:r/>
    </w:p>
    <w:p>
      <w:pPr>
        <w:ind w:firstLine="420"/>
        <w:spacing w:line="360" w:lineRule="auto"/>
        <w:rPr>
          <w:rFonts w:hint="eastAsia" w:ascii="Microsoft New Tai Lue" w:hAnsi="Microsoft New Tai Lue" w:cs="Microsoft New Tai Lue"/>
          <w:highlight w:val="none"/>
        </w:rPr>
      </w:pPr>
      <w:r>
        <w:rPr>
          <w:rFonts w:hint="eastAsia" w:ascii="Microsoft New Tai Lue" w:hAnsi="Microsoft New Tai Lue" w:cs="Microsoft New Tai Lue"/>
          <w:highlight w:val="none"/>
        </w:rPr>
        <w:t xml:space="preserve">（5）《关于调整优化节能产品、环境标志产品政府采购执行机制的通知》</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ascii="宋体" w:hAnsi="宋体"/>
          <w:color w:val="000000" w:themeColor="text1"/>
          <w:szCs w:val="21"/>
          <w:highlight w:val="none"/>
          <w14:textFill>
            <w14:solidFill>
              <w14:schemeClr w14:val="tx1"/>
            </w14:solidFill>
          </w14:textFill>
        </w:rPr>
        <w:t xml:space="preserve">）《国务院办公厅关于在政府采购中实施本国产品标准及相关政策的通知》；</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7</w:t>
      </w:r>
      <w:r>
        <w:rPr>
          <w:rFonts w:ascii="宋体" w:hAnsi="宋体"/>
          <w:color w:val="000000" w:themeColor="text1"/>
          <w:szCs w:val="21"/>
          <w:highlight w:val="none"/>
          <w14:textFill>
            <w14:solidFill>
              <w14:schemeClr w14:val="tx1"/>
            </w14:solidFill>
          </w14:textFill>
        </w:rPr>
        <w:t xml:space="preserve">）《关于贯彻落实</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国务院办公厅关于在政府采购中实施本国产品标准及相关政策的通知</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的意见》；</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8</w:t>
      </w:r>
      <w:r>
        <w:rPr>
          <w:rFonts w:ascii="宋体" w:hAnsi="宋体"/>
          <w:color w:val="000000" w:themeColor="text1"/>
          <w:szCs w:val="21"/>
          <w:highlight w:val="none"/>
          <w14:textFill>
            <w14:solidFill>
              <w14:schemeClr w14:val="tx1"/>
            </w14:solidFill>
          </w14:textFill>
        </w:rPr>
        <w:t xml:space="preserve">）《关于推动解决政府采购异常低价问题的通知》(财库</w:t>
      </w:r>
      <w:r>
        <w:rPr>
          <w:rFonts w:hint="eastAsia" w:ascii="宋体" w:hAnsi="宋体"/>
          <w:color w:val="000000" w:themeColor="text1"/>
          <w:szCs w:val="21"/>
          <w:highlight w:val="none"/>
          <w14:textFill>
            <w14:solidFill>
              <w14:schemeClr w14:val="tx1"/>
            </w14:solidFill>
          </w14:textFill>
        </w:rPr>
        <w:t xml:space="preserve">〔2026〕2号</w:t>
      </w:r>
      <w:r>
        <w:rPr>
          <w:rFonts w:ascii="宋体" w:hAnsi="宋体"/>
          <w:color w:val="000000" w:themeColor="text1"/>
          <w:szCs w:val="21"/>
          <w:highlight w:val="none"/>
          <w14:textFill>
            <w14:solidFill>
              <w14:schemeClr w14:val="tx1"/>
            </w14:solidFill>
          </w14:textFill>
        </w:rPr>
        <w:t xml:space="preserve">)。</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2、潜在投标人访问政府采购管理交易系统（苏采云）的网络地址和方法：</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（2）“CA数字证书”的获取：投标人需办理CA锁，“苏采云”系统目前仅支持“苏采云”系统下的政务CA，省内各地区办理的“苏采云”系统下的政务CA全省通用。</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（3）“CA数字证书”的办理材料以及投标人操作手册详见：http://jsxcmm.com/help/gys.html。</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（4）潜在投标人访问“苏采云”系统的网络地址和方法：“苏采云”系统的网址：http://jszfcg.jsczt.cn/jszc/login。</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（5）采购文件（后缀名为“.kedt”）、投标人操作手册及政府采购客户端工具也可通过“苏采云”系统--已报名项目--报名详情页面内相应链接进行下载。</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（6）招标代理机构（招标代理机构）将数据电文形式的采购文件加载至“苏采云”系统，供潜在投标人下载或者查阅。</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3、有关本次招标的事项若存在变动或修改，敬请及时关注江苏省招标中心有限公司在“江苏政府采购网”发布的更正公告。</w:t>
      </w:r>
      <w:r/>
    </w:p>
    <w:p>
      <w:pPr>
        <w:ind w:firstLine="422"/>
        <w:spacing w:line="360" w:lineRule="auto"/>
        <w:rPr>
          <w:rFonts w:ascii="Microsoft New Tai Lue" w:hAnsi="Microsoft New Tai Lue" w:cs="Microsoft New Tai Lue"/>
          <w:b/>
          <w:bCs/>
          <w:szCs w:val="44"/>
          <w:highlight w:val="none"/>
        </w:rPr>
      </w:pPr>
      <w:r>
        <w:rPr>
          <w:rFonts w:ascii="Microsoft New Tai Lue" w:hAnsi="Microsoft New Tai Lue" w:cs="Microsoft New Tai Lue"/>
          <w:b/>
          <w:bCs/>
          <w:szCs w:val="44"/>
          <w:highlight w:val="none"/>
        </w:rPr>
        <w:t xml:space="preserve">七、</w:t>
      </w:r>
      <w:bookmarkEnd w:id="25"/>
      <w:r/>
      <w:bookmarkEnd w:id="26"/>
      <w:r>
        <w:rPr>
          <w:rFonts w:ascii="Microsoft New Tai Lue" w:hAnsi="Microsoft New Tai Lue" w:cs="Microsoft New Tai Lue"/>
          <w:b/>
          <w:bCs/>
          <w:szCs w:val="44"/>
          <w:highlight w:val="none"/>
        </w:rPr>
        <w:t xml:space="preserve">对本次招标提出询问，请按以下方式联系。</w:t>
      </w:r>
      <w:bookmarkEnd w:id="27"/>
      <w:r/>
      <w:bookmarkEnd w:id="28"/>
      <w:r/>
      <w:bookmarkStart w:id="29" w:name="_Toc28359085"/>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1．采购人信息</w:t>
      </w:r>
      <w:r/>
    </w:p>
    <w:p>
      <w:pPr>
        <w:ind w:firstLine="420"/>
        <w:spacing w:line="360" w:lineRule="auto"/>
        <w:widowControl/>
        <w:rPr>
          <w:rFonts w:hint="default"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单位名称：</w:t>
      </w:r>
      <w:r>
        <w:rPr>
          <w:rFonts w:hint="eastAsia" w:ascii="宋体" w:hAnsi="宋体"/>
          <w:color w:val="000000" w:themeColor="text1"/>
          <w:szCs w:val="21"/>
          <w:highlight w:val="none"/>
          <w:lang w:eastAsia="zh-CN"/>
          <w14:textFill>
            <w14:solidFill>
              <w14:schemeClr w14:val="tx1"/>
            </w14:solidFill>
          </w14:textFill>
        </w:rPr>
        <w:t xml:space="preserve">江苏省林业局</w:t>
      </w:r>
      <w:r/>
    </w:p>
    <w:p>
      <w:pPr>
        <w:ind w:firstLine="420"/>
        <w:spacing w:line="360" w:lineRule="auto"/>
        <w:widowControl/>
        <w:rPr>
          <w:rFonts w:hint="eastAsia"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单位地址：江苏省南京市定淮门大街22号</w:t>
      </w:r>
      <w:r/>
    </w:p>
    <w:p>
      <w:pPr>
        <w:ind w:firstLine="420"/>
        <w:spacing w:line="360" w:lineRule="auto"/>
        <w:widowControl/>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联系人：</w:t>
      </w:r>
      <w:r>
        <w:rPr>
          <w:rFonts w:hint="eastAsia" w:ascii="宋体" w:hAnsi="宋体"/>
          <w:color w:val="000000" w:themeColor="text1"/>
          <w:szCs w:val="21"/>
          <w:highlight w:val="none"/>
          <w:lang w:val="en-US" w:eastAsia="zh-CN"/>
          <w14:textFill>
            <w14:solidFill>
              <w14:schemeClr w14:val="tx1"/>
            </w14:solidFill>
          </w14:textFill>
        </w:rPr>
        <w:t xml:space="preserve">凌</w:t>
      </w:r>
      <w:r>
        <w:rPr>
          <w:rFonts w:hint="eastAsia" w:ascii="宋体" w:hAnsi="宋体"/>
          <w:color w:val="000000" w:themeColor="text1"/>
          <w:szCs w:val="21"/>
          <w:highlight w:val="none"/>
          <w:lang w:eastAsia="zh-CN"/>
          <w14:textFill>
            <w14:solidFill>
              <w14:schemeClr w14:val="tx1"/>
            </w14:solidFill>
          </w14:textFill>
        </w:rPr>
        <w:t xml:space="preserve">先生</w:t>
      </w:r>
      <w:r/>
    </w:p>
    <w:p>
      <w:pPr>
        <w:ind w:firstLine="420"/>
        <w:spacing w:line="360" w:lineRule="auto"/>
        <w:widowControl/>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联系电话：025-8627555</w:t>
      </w:r>
      <w:r>
        <w:rPr>
          <w:rFonts w:hint="eastAsia" w:ascii="宋体" w:hAnsi="宋体"/>
          <w:color w:val="000000" w:themeColor="text1"/>
          <w:szCs w:val="21"/>
          <w:highlight w:val="none"/>
          <w:lang w:val="en-US" w:eastAsia="zh-CN"/>
          <w14:textFill>
            <w14:solidFill>
              <w14:schemeClr w14:val="tx1"/>
            </w14:solidFill>
          </w14:textFill>
        </w:rPr>
        <w:t xml:space="preserve">3</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2．采购代理机构信息</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单位名称：江苏省招标中心有限公司</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单位地址：江苏省南京市鼓楼区郑和中路118号D座12楼1201室</w:t>
      </w:r>
      <w:r/>
    </w:p>
    <w:p>
      <w:pPr>
        <w:ind w:firstLine="420"/>
        <w:spacing w:line="360" w:lineRule="auto"/>
        <w:widowControl/>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w:t>
      </w:r>
      <w:r>
        <w:rPr>
          <w:rFonts w:hint="eastAsia" w:ascii="宋体" w:hAnsi="宋体"/>
          <w:color w:val="000000" w:themeColor="text1"/>
          <w:szCs w:val="21"/>
          <w:highlight w:val="none"/>
          <w:lang w:eastAsia="zh-CN"/>
          <w14:textFill>
            <w14:solidFill>
              <w14:schemeClr w14:val="tx1"/>
            </w14:solidFill>
          </w14:textFill>
        </w:rPr>
        <w:t xml:space="preserve">殷东亮、左炯、徐悦</w:t>
      </w:r>
      <w:r/>
    </w:p>
    <w:p>
      <w:pPr>
        <w:ind w:firstLine="420"/>
        <w:spacing w:line="360" w:lineRule="auto"/>
        <w:widowControl/>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联系电话：025-</w:t>
      </w:r>
      <w:r>
        <w:rPr>
          <w:rFonts w:hint="eastAsia" w:ascii="宋体" w:hAnsi="宋体"/>
          <w:color w:val="000000" w:themeColor="text1"/>
          <w:szCs w:val="21"/>
          <w:highlight w:val="none"/>
          <w:lang w:eastAsia="zh-CN"/>
          <w14:textFill>
            <w14:solidFill>
              <w14:schemeClr w14:val="tx1"/>
            </w14:solidFill>
          </w14:textFill>
        </w:rPr>
        <w:t xml:space="preserve">82281982</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CN"/>
          <w14:textFill>
            <w14:solidFill>
              <w14:schemeClr w14:val="tx1"/>
            </w14:solidFill>
          </w14:textFill>
        </w:rPr>
        <w:t xml:space="preserve">18251903810、18114465771</w:t>
      </w:r>
      <w:r/>
    </w:p>
    <w:p>
      <w:pPr>
        <w:ind w:firstLine="420"/>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3．项目联系方式</w:t>
      </w:r>
      <w:bookmarkEnd w:id="29"/>
      <w:r/>
    </w:p>
    <w:p>
      <w:pPr>
        <w:ind w:firstLine="420"/>
        <w:spacing w:line="360" w:lineRule="auto"/>
        <w:widowControl/>
        <w:rPr>
          <w:rFonts w:hint="eastAsia" w:ascii="宋体" w:hAnsi="宋体"/>
          <w:color w:val="000000" w:themeColor="text1"/>
          <w:szCs w:val="21"/>
          <w:highlight w:val="none"/>
          <w:lang w:eastAsia="zh-CN"/>
          <w14:textFill>
            <w14:solidFill>
              <w14:schemeClr w14:val="tx1"/>
            </w14:solidFill>
          </w14:textFill>
        </w:rPr>
      </w:pPr>
      <w:r/>
      <w:bookmarkStart w:id="30" w:name="_Toc80264704"/>
      <w:r/>
      <w:bookmarkStart w:id="31" w:name="_Toc71561877"/>
      <w:r>
        <w:rPr>
          <w:rFonts w:hint="eastAsia" w:ascii="宋体" w:hAnsi="宋体"/>
          <w:color w:val="000000" w:themeColor="text1"/>
          <w:szCs w:val="21"/>
          <w:highlight w:val="none"/>
          <w:lang w:val="en-US" w:eastAsia="zh-CN"/>
          <w14:textFill>
            <w14:solidFill>
              <w14:schemeClr w14:val="tx1"/>
            </w14:solidFill>
          </w14:textFill>
        </w:rPr>
        <w:t xml:space="preserve">项目</w:t>
      </w:r>
      <w:r>
        <w:rPr>
          <w:rFonts w:hint="eastAsia" w:ascii="宋体" w:hAnsi="宋体"/>
          <w:color w:val="000000" w:themeColor="text1"/>
          <w:szCs w:val="21"/>
          <w:highlight w:val="none"/>
          <w14:textFill>
            <w14:solidFill>
              <w14:schemeClr w14:val="tx1"/>
            </w14:solidFill>
          </w14:textFill>
        </w:rPr>
        <w:t xml:space="preserve">联系人：</w:t>
      </w:r>
      <w:r>
        <w:rPr>
          <w:rFonts w:hint="eastAsia" w:ascii="宋体" w:hAnsi="宋体"/>
          <w:color w:val="000000" w:themeColor="text1"/>
          <w:szCs w:val="21"/>
          <w:highlight w:val="none"/>
          <w:lang w:eastAsia="zh-CN"/>
          <w14:textFill>
            <w14:solidFill>
              <w14:schemeClr w14:val="tx1"/>
            </w14:solidFill>
          </w14:textFill>
        </w:rPr>
        <w:t xml:space="preserve">殷东亮、左炯、徐悦</w:t>
      </w:r>
      <w:r/>
    </w:p>
    <w:p>
      <w:pPr>
        <w:ind w:firstLine="420"/>
        <w:spacing w:line="360" w:lineRule="auto"/>
        <w:widowControl/>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电话：025-</w:t>
      </w:r>
      <w:r>
        <w:rPr>
          <w:rFonts w:hint="eastAsia" w:ascii="宋体" w:hAnsi="宋体"/>
          <w:color w:val="000000" w:themeColor="text1"/>
          <w:szCs w:val="21"/>
          <w:highlight w:val="none"/>
          <w:lang w:eastAsia="zh-CN"/>
          <w14:textFill>
            <w14:solidFill>
              <w14:schemeClr w14:val="tx1"/>
            </w14:solidFill>
          </w14:textFill>
        </w:rPr>
        <w:t xml:space="preserve">82281982</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CN"/>
          <w14:textFill>
            <w14:solidFill>
              <w14:schemeClr w14:val="tx1"/>
            </w14:solidFill>
          </w14:textFill>
        </w:rPr>
        <w:t xml:space="preserve">18251903810、18114465771</w:t>
      </w:r>
      <w:r/>
    </w:p>
    <w:p>
      <w:pPr>
        <w:ind w:firstLine="420"/>
        <w:spacing w:line="360" w:lineRule="auto"/>
        <w:widowControl/>
        <w:rPr>
          <w:b/>
          <w:bCs/>
          <w:color w:val="000000" w:themeColor="text1"/>
          <w:sz w:val="28"/>
          <w:szCs w:val="28"/>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clear="all"/>
      </w:r>
      <w:bookmarkEnd w:id="30"/>
      <w:r/>
      <w:bookmarkEnd w:id="31"/>
      <w:r/>
      <w:bookmarkStart w:id="32" w:name="_Toc25583"/>
      <w:r/>
      <w:bookmarkStart w:id="33" w:name="_Toc9855"/>
      <w:r>
        <w:rPr>
          <w:rFonts w:hint="eastAsia"/>
          <w:b/>
          <w:bCs/>
          <w:color w:val="000000" w:themeColor="text1"/>
          <w:sz w:val="28"/>
          <w:szCs w:val="28"/>
          <w:highlight w:val="none"/>
          <w14:textFill>
            <w14:solidFill>
              <w14:schemeClr w14:val="tx1"/>
            </w14:solidFill>
          </w14:textFill>
        </w:rPr>
        <w:t xml:space="preserve">第二章</w:t>
      </w:r>
      <w:r>
        <w:rPr>
          <w:b/>
          <w:bCs/>
          <w:color w:val="000000" w:themeColor="text1"/>
          <w:sz w:val="28"/>
          <w:szCs w:val="28"/>
          <w:highlight w:val="none"/>
          <w14:textFill>
            <w14:solidFill>
              <w14:schemeClr w14:val="tx1"/>
            </w14:solidFill>
          </w14:textFill>
        </w:rPr>
        <w:t xml:space="preserve">  </w:t>
      </w:r>
      <w:r>
        <w:rPr>
          <w:rFonts w:hint="eastAsia"/>
          <w:b/>
          <w:bCs/>
          <w:color w:val="000000" w:themeColor="text1"/>
          <w:sz w:val="28"/>
          <w:szCs w:val="28"/>
          <w:highlight w:val="none"/>
          <w14:textFill>
            <w14:solidFill>
              <w14:schemeClr w14:val="tx1"/>
            </w14:solidFill>
          </w14:textFill>
        </w:rPr>
        <w:t xml:space="preserve">投标人须知</w:t>
      </w:r>
      <w:bookmarkEnd w:id="32"/>
      <w:r/>
      <w:bookmarkEnd w:id="33"/>
      <w:r/>
      <w:r/>
    </w:p>
    <w:p>
      <w:pPr>
        <w:pStyle w:val="1070"/>
        <w:jc w:val="center"/>
        <w:rPr>
          <w:color w:val="000000" w:themeColor="text1"/>
          <w:highlight w:val="none"/>
          <w14:textFill>
            <w14:solidFill>
              <w14:schemeClr w14:val="tx1"/>
            </w14:solidFill>
          </w14:textFill>
        </w:rPr>
      </w:pPr>
      <w:r/>
      <w:bookmarkStart w:id="34" w:name="_Toc28973"/>
      <w:r/>
      <w:bookmarkStart w:id="35" w:name="_Toc2179"/>
      <w:r>
        <w:rPr>
          <w:rFonts w:hint="eastAsia"/>
          <w:color w:val="000000" w:themeColor="text1"/>
          <w:highlight w:val="none"/>
          <w14:textFill>
            <w14:solidFill>
              <w14:schemeClr w14:val="tx1"/>
            </w14:solidFill>
          </w14:textFill>
        </w:rPr>
        <w:t xml:space="preserve">前附表</w:t>
      </w:r>
      <w:bookmarkEnd w:id="34"/>
      <w:r/>
      <w:bookmarkEnd w:id="35"/>
      <w:r/>
      <w:r/>
    </w:p>
    <w:tbl>
      <w:tblPr>
        <w:tblStyle w:val="6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4"/>
        <w:gridCol w:w="5619"/>
      </w:tblGrid>
      <w:tr>
        <w:trPr>
          <w:jc w:val="center"/>
          <w:trHeight w:val="458"/>
        </w:trPr>
        <w:tc>
          <w:tcPr>
            <w:tcW w:w="720" w:type="dxa"/>
            <w:vAlign w:val="center"/>
            <w:textDirection w:val="lrTb"/>
            <w:noWrap w:val="false"/>
          </w:tcPr>
          <w:p>
            <w:pPr>
              <w:pStyle w:val="1071"/>
              <w:jc w:val="center"/>
              <w:spacing w:before="0" w:after="0" w:line="360" w:lineRule="exac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序号</w:t>
            </w:r>
            <w:r/>
          </w:p>
        </w:tc>
        <w:tc>
          <w:tcPr>
            <w:tcW w:w="2164" w:type="dxa"/>
            <w:vAlign w:val="center"/>
            <w:textDirection w:val="lrTb"/>
            <w:noWrap w:val="false"/>
          </w:tcPr>
          <w:p>
            <w:pPr>
              <w:pStyle w:val="1071"/>
              <w:jc w:val="center"/>
              <w:spacing w:before="0" w:after="0" w:line="360" w:lineRule="exac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项    目</w:t>
            </w:r>
            <w:r/>
          </w:p>
        </w:tc>
        <w:tc>
          <w:tcPr>
            <w:tcW w:w="5619" w:type="dxa"/>
            <w:vAlign w:val="center"/>
            <w:textDirection w:val="lrTb"/>
            <w:noWrap w:val="false"/>
          </w:tcPr>
          <w:p>
            <w:pPr>
              <w:jc w:val="center"/>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内          容</w:t>
            </w:r>
            <w:r/>
          </w:p>
        </w:tc>
      </w:tr>
      <w:tr>
        <w:trPr>
          <w:jc w:val="center"/>
          <w:trHeight w:val="691"/>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招标代理机构名称</w:t>
            </w:r>
            <w:r/>
          </w:p>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及联系人</w:t>
            </w:r>
            <w:r/>
          </w:p>
        </w:tc>
        <w:tc>
          <w:tcPr>
            <w:tcW w:w="5619" w:type="dxa"/>
            <w:textDirection w:val="lrTb"/>
            <w:noWrap w:val="false"/>
          </w:tcPr>
          <w:p>
            <w:pPr>
              <w:spacing w:line="360" w:lineRule="exact"/>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称：江苏省招标中心有限公司</w:t>
            </w:r>
            <w:r/>
          </w:p>
          <w:p>
            <w:pPr>
              <w:spacing w:line="360" w:lineRule="auto"/>
              <w:rPr>
                <w:rFonts w:hint="eastAsia" w:ascii="宋体" w:hAnsi="宋体" w:cs="宋体"/>
                <w:szCs w:val="21"/>
                <w:highlight w:val="none"/>
                <w:lang w:eastAsia="zh-CN"/>
              </w:rPr>
            </w:pPr>
            <w:r>
              <w:rPr>
                <w:rFonts w:hint="eastAsia" w:ascii="宋体" w:hAnsi="宋体" w:cs="宋体"/>
                <w:szCs w:val="21"/>
                <w:highlight w:val="none"/>
                <w:lang w:val="en-US" w:eastAsia="zh-CN"/>
              </w:rPr>
              <w:t xml:space="preserve">项目</w:t>
            </w:r>
            <w:r>
              <w:rPr>
                <w:rFonts w:hint="eastAsia" w:ascii="宋体" w:hAnsi="宋体" w:cs="宋体"/>
                <w:szCs w:val="21"/>
                <w:highlight w:val="none"/>
              </w:rPr>
              <w:t xml:space="preserve">联系人：</w:t>
            </w:r>
            <w:r>
              <w:rPr>
                <w:rFonts w:hint="eastAsia" w:ascii="宋体" w:hAnsi="宋体" w:cs="宋体"/>
                <w:szCs w:val="21"/>
                <w:highlight w:val="none"/>
                <w:lang w:eastAsia="zh-CN"/>
              </w:rPr>
              <w:t xml:space="preserve">殷东亮、左炯、徐悦</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s="宋体"/>
                <w:szCs w:val="21"/>
                <w:highlight w:val="none"/>
              </w:rPr>
              <w:t xml:space="preserve">电话：</w:t>
            </w:r>
            <w:r>
              <w:rPr>
                <w:rFonts w:hint="eastAsia" w:ascii="宋体" w:hAnsi="宋体" w:cs="宋体"/>
                <w:szCs w:val="21"/>
                <w:highlight w:val="none"/>
              </w:rPr>
              <w:t xml:space="preserve">025-</w:t>
            </w:r>
            <w:r>
              <w:rPr>
                <w:rFonts w:hint="eastAsia" w:ascii="宋体" w:hAnsi="宋体" w:cs="宋体"/>
                <w:szCs w:val="21"/>
                <w:highlight w:val="none"/>
                <w:lang w:eastAsia="zh-CN"/>
              </w:rPr>
              <w:t xml:space="preserve">82281982</w:t>
            </w:r>
            <w:r>
              <w:rPr>
                <w:rFonts w:hint="eastAsia" w:ascii="宋体" w:hAnsi="宋体" w:cs="宋体"/>
                <w:szCs w:val="21"/>
                <w:highlight w:val="none"/>
              </w:rPr>
              <w:t xml:space="preserve">、</w:t>
            </w:r>
            <w:r>
              <w:rPr>
                <w:rFonts w:hint="eastAsia" w:ascii="宋体" w:hAnsi="宋体" w:cs="宋体"/>
                <w:szCs w:val="21"/>
                <w:highlight w:val="none"/>
                <w:lang w:eastAsia="zh-CN"/>
              </w:rPr>
              <w:t xml:space="preserve">18251903810、18114465771</w:t>
            </w:r>
            <w:r/>
          </w:p>
        </w:tc>
      </w:tr>
      <w:tr>
        <w:trPr>
          <w:jc w:val="center"/>
          <w:trHeight w:val="64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招标人名称及联系人</w:t>
            </w:r>
            <w:r/>
          </w:p>
        </w:tc>
        <w:tc>
          <w:tcPr>
            <w:tcW w:w="5619" w:type="dxa"/>
            <w:vAlign w:val="center"/>
            <w:textDirection w:val="lrTb"/>
            <w:noWrap w:val="false"/>
          </w:tcPr>
          <w:p>
            <w:pPr>
              <w:spacing w:line="360" w:lineRule="auto"/>
              <w:rPr>
                <w:rFonts w:hint="default" w:ascii="Microsoft New Tai Lue" w:hAnsi="Microsoft New Tai Lue" w:eastAsia="宋体" w:cs="Microsoft New Tai Lue"/>
                <w:szCs w:val="21"/>
                <w:highlight w:val="none"/>
                <w:lang w:val="en-US" w:eastAsia="zh-CN"/>
              </w:rPr>
            </w:pPr>
            <w:r>
              <w:rPr>
                <w:rFonts w:ascii="Microsoft New Tai Lue" w:hAnsi="Microsoft New Tai Lue" w:cs="Microsoft New Tai Lue"/>
                <w:szCs w:val="21"/>
                <w:highlight w:val="none"/>
              </w:rPr>
              <w:t xml:space="preserve">名称：</w:t>
            </w:r>
            <w:r>
              <w:rPr>
                <w:rFonts w:hint="eastAsia" w:ascii="Microsoft New Tai Lue" w:hAnsi="Microsoft New Tai Lue" w:cs="Microsoft New Tai Lue"/>
                <w:szCs w:val="21"/>
                <w:highlight w:val="none"/>
                <w:lang w:eastAsia="zh-CN"/>
              </w:rPr>
              <w:t xml:space="preserve">江苏省林业局</w:t>
            </w:r>
            <w:r/>
          </w:p>
          <w:p>
            <w:pPr>
              <w:spacing w:line="360" w:lineRule="auto"/>
              <w:rPr>
                <w:rFonts w:hint="eastAsia" w:ascii="宋体" w:hAnsi="宋体" w:cs="Arial"/>
                <w:spacing w:val="8"/>
                <w:highlight w:val="none"/>
                <w:lang w:val="zh-CN"/>
              </w:rPr>
            </w:pPr>
            <w:r>
              <w:rPr>
                <w:rFonts w:ascii="Microsoft New Tai Lue" w:hAnsi="Microsoft New Tai Lue" w:cs="Microsoft New Tai Lue"/>
                <w:szCs w:val="21"/>
                <w:highlight w:val="none"/>
              </w:rPr>
              <w:t xml:space="preserve">地址：</w:t>
            </w:r>
            <w:r>
              <w:rPr>
                <w:rFonts w:hint="eastAsia" w:ascii="Microsoft New Tai Lue" w:hAnsi="Microsoft New Tai Lue" w:cs="Microsoft New Tai Lue"/>
                <w:szCs w:val="21"/>
                <w:highlight w:val="none"/>
              </w:rPr>
              <w:t xml:space="preserve">江苏省南京市定淮门大街22号</w:t>
            </w:r>
            <w:r/>
          </w:p>
          <w:p>
            <w:pPr>
              <w:spacing w:line="360" w:lineRule="auto"/>
              <w:rPr>
                <w:rFonts w:hint="eastAsia" w:ascii="Microsoft New Tai Lue" w:hAnsi="Microsoft New Tai Lue" w:cs="Microsoft New Tai Lue"/>
                <w:szCs w:val="21"/>
                <w:highlight w:val="none"/>
                <w:lang w:eastAsia="zh-CN"/>
              </w:rPr>
            </w:pPr>
            <w:r>
              <w:rPr>
                <w:rFonts w:hint="eastAsia" w:ascii="Microsoft New Tai Lue" w:hAnsi="Microsoft New Tai Lue" w:cs="Microsoft New Tai Lue"/>
                <w:szCs w:val="21"/>
                <w:highlight w:val="none"/>
                <w:lang w:eastAsia="zh-CN"/>
              </w:rPr>
              <w:t xml:space="preserve">联系人：</w:t>
            </w:r>
            <w:r>
              <w:rPr>
                <w:rFonts w:hint="eastAsia" w:ascii="Microsoft New Tai Lue" w:hAnsi="Microsoft New Tai Lue" w:cs="Microsoft New Tai Lue"/>
                <w:szCs w:val="21"/>
                <w:highlight w:val="none"/>
                <w:lang w:val="en-US" w:eastAsia="zh-CN"/>
              </w:rPr>
              <w:t xml:space="preserve">凌</w:t>
            </w:r>
            <w:r>
              <w:rPr>
                <w:rFonts w:hint="eastAsia" w:ascii="Microsoft New Tai Lue" w:hAnsi="Microsoft New Tai Lue" w:cs="Microsoft New Tai Lue"/>
                <w:szCs w:val="21"/>
                <w:highlight w:val="none"/>
                <w:lang w:eastAsia="zh-CN"/>
              </w:rPr>
              <w:t xml:space="preserve">先生</w:t>
            </w:r>
            <w:r/>
          </w:p>
          <w:p>
            <w:pPr>
              <w:spacing w:line="360" w:lineRule="auto"/>
              <w:rPr>
                <w:rFonts w:ascii="宋体" w:hAnsi="宋体"/>
                <w:color w:val="000000" w:themeColor="text1"/>
                <w:szCs w:val="21"/>
                <w:highlight w:val="none"/>
                <w14:textFill>
                  <w14:solidFill>
                    <w14:schemeClr w14:val="tx1"/>
                  </w14:solidFill>
                </w14:textFill>
              </w:rPr>
            </w:pPr>
            <w:r>
              <w:rPr>
                <w:rFonts w:hint="eastAsia" w:ascii="Microsoft New Tai Lue" w:hAnsi="Microsoft New Tai Lue" w:cs="Microsoft New Tai Lue"/>
                <w:szCs w:val="21"/>
                <w:highlight w:val="none"/>
                <w:lang w:eastAsia="zh-CN"/>
              </w:rPr>
              <w:t xml:space="preserve">联系电话：025-8627555</w:t>
            </w:r>
            <w:r>
              <w:rPr>
                <w:rFonts w:hint="eastAsia" w:ascii="Microsoft New Tai Lue" w:hAnsi="Microsoft New Tai Lue" w:cs="Microsoft New Tai Lue"/>
                <w:szCs w:val="21"/>
                <w:highlight w:val="none"/>
                <w:lang w:val="en-US" w:eastAsia="zh-CN"/>
              </w:rPr>
              <w:t xml:space="preserve">3</w:t>
            </w:r>
            <w:r/>
          </w:p>
        </w:tc>
      </w:tr>
      <w:tr>
        <w:trPr>
          <w:jc w:val="center"/>
          <w:trHeight w:val="720"/>
        </w:trPr>
        <w:tc>
          <w:tcPr>
            <w:tcW w:w="720" w:type="dxa"/>
            <w:vAlign w:val="center"/>
            <w:textDirection w:val="lrTb"/>
            <w:noWrap w:val="false"/>
          </w:tcPr>
          <w:p>
            <w:pPr>
              <w:jc w:val="center"/>
              <w:spacing w:line="360" w:lineRule="exact"/>
              <w:tabs>
                <w:tab w:val="left" w:pos="612"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投标有效期</w:t>
            </w:r>
            <w:r/>
          </w:p>
        </w:tc>
        <w:tc>
          <w:tcPr>
            <w:tcW w:w="5619" w:type="dxa"/>
            <w:vAlign w:val="center"/>
            <w:textDirection w:val="lrTb"/>
            <w:noWrap w:val="false"/>
          </w:tcPr>
          <w:p>
            <w:pPr>
              <w:spacing w:line="360" w:lineRule="exact"/>
              <w:tabs>
                <w:tab w:val="center" w:pos="2682"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开标后90日</w:t>
            </w:r>
            <w:r/>
          </w:p>
        </w:tc>
      </w:tr>
      <w:tr>
        <w:trPr>
          <w:jc w:val="center"/>
          <w:trHeight w:val="72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现场踏勘</w:t>
            </w:r>
            <w:r/>
          </w:p>
        </w:tc>
        <w:tc>
          <w:tcPr>
            <w:tcW w:w="5619"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不组织</w:t>
            </w:r>
            <w:r/>
          </w:p>
        </w:tc>
      </w:tr>
      <w:tr>
        <w:trPr>
          <w:jc w:val="center"/>
          <w:trHeight w:val="72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投标保证金</w:t>
            </w:r>
            <w:r/>
          </w:p>
        </w:tc>
        <w:tc>
          <w:tcPr>
            <w:tcW w:w="5619" w:type="dxa"/>
            <w:vAlign w:val="center"/>
            <w:textDirection w:val="lrTb"/>
            <w:noWrap w:val="false"/>
          </w:tcPr>
          <w:p>
            <w:pPr>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本项目不收取投标保证金,但必须随投标文件一并递交投标（响应）保证承诺书（投标函后），否则投标无效！</w:t>
            </w:r>
            <w:r/>
          </w:p>
        </w:tc>
      </w:tr>
      <w:tr>
        <w:trPr>
          <w:jc w:val="center"/>
          <w:trHeight w:val="64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投标文件的组成</w:t>
            </w:r>
            <w:r/>
          </w:p>
        </w:tc>
        <w:tc>
          <w:tcPr>
            <w:tcW w:w="5619"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1、投标函；2、投标报价表；3、资质证明文件；4、货物证明文件；5、其他文件。</w:t>
            </w:r>
            <w:r/>
          </w:p>
        </w:tc>
      </w:tr>
      <w:tr>
        <w:trPr>
          <w:jc w:val="center"/>
          <w:trHeight w:val="64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投标文件的递交</w:t>
            </w:r>
            <w:r/>
          </w:p>
        </w:tc>
        <w:tc>
          <w:tcPr>
            <w:tcW w:w="5619"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投标人应当按照《操作手册》规定，在招标公告规定的投标文件递交截止时间前制作并上传投标文件。招标代理机构拒绝接收提交投标文件截止时间后上传的任何电子投标文件。</w:t>
            </w:r>
            <w:r/>
          </w:p>
        </w:tc>
      </w:tr>
      <w:tr>
        <w:trPr>
          <w:jc w:val="center"/>
          <w:trHeight w:val="72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开标时间和地点</w:t>
            </w:r>
            <w:r/>
          </w:p>
        </w:tc>
        <w:tc>
          <w:tcPr>
            <w:tcW w:w="5619"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时间：2026年</w:t>
            </w:r>
            <w:r>
              <w:rPr>
                <w:rFonts w:hint="eastAsia" w:ascii="宋体" w:hAnsi="宋体"/>
                <w:b/>
                <w:bCs/>
                <w:color w:val="000000" w:themeColor="text1"/>
                <w:szCs w:val="21"/>
                <w:highlight w:val="none"/>
                <w:lang w:val="en-US" w:eastAsia="zh-CN"/>
                <w14:textFill>
                  <w14:solidFill>
                    <w14:schemeClr w14:val="tx1"/>
                  </w14:solidFill>
                </w14:textFill>
              </w:rPr>
              <w:t xml:space="preserve">10月15</w:t>
            </w:r>
            <w:r>
              <w:rPr>
                <w:rFonts w:hint="eastAsia" w:ascii="宋体" w:hAnsi="宋体"/>
                <w:b/>
                <w:bCs/>
                <w:color w:val="000000" w:themeColor="text1"/>
                <w:szCs w:val="21"/>
                <w:highlight w:val="none"/>
                <w14:textFill>
                  <w14:solidFill>
                    <w14:schemeClr w14:val="tx1"/>
                  </w14:solidFill>
                </w14:textFill>
              </w:rPr>
              <w:t xml:space="preserve">日</w:t>
            </w:r>
            <w:r>
              <w:rPr>
                <w:rFonts w:hint="eastAsia" w:ascii="宋体" w:hAnsi="宋体"/>
                <w:b/>
                <w:bCs/>
                <w:color w:val="000000" w:themeColor="text1"/>
                <w:szCs w:val="21"/>
                <w:highlight w:val="none"/>
                <w:lang w:val="en-US" w:eastAsia="zh-CN"/>
                <w14:textFill>
                  <w14:solidFill>
                    <w14:schemeClr w14:val="tx1"/>
                  </w14:solidFill>
                </w14:textFill>
              </w:rPr>
              <w:t xml:space="preserve">下</w:t>
            </w:r>
            <w:r>
              <w:rPr>
                <w:rFonts w:hint="eastAsia" w:ascii="宋体" w:hAnsi="宋体"/>
                <w:b/>
                <w:bCs/>
                <w:color w:val="000000" w:themeColor="text1"/>
                <w:szCs w:val="21"/>
                <w:highlight w:val="none"/>
                <w14:textFill>
                  <w14:solidFill>
                    <w14:schemeClr w14:val="tx1"/>
                  </w14:solidFill>
                </w14:textFill>
              </w:rPr>
              <w:t xml:space="preserve">午</w:t>
            </w:r>
            <w:r>
              <w:rPr>
                <w:rFonts w:hint="eastAsia" w:ascii="宋体" w:hAnsi="宋体"/>
                <w:b/>
                <w:bCs/>
                <w:color w:val="000000" w:themeColor="text1"/>
                <w:szCs w:val="21"/>
                <w:highlight w:val="none"/>
                <w:lang w:val="en-US" w:eastAsia="zh-CN"/>
                <w14:textFill>
                  <w14:solidFill>
                    <w14:schemeClr w14:val="tx1"/>
                  </w14:solidFill>
                </w14:textFill>
              </w:rPr>
              <w:t xml:space="preserve">14</w:t>
            </w:r>
            <w:r>
              <w:rPr>
                <w:rFonts w:hint="eastAsia" w:ascii="宋体" w:hAnsi="宋体"/>
                <w:b/>
                <w:bCs/>
                <w:color w:val="000000" w:themeColor="text1"/>
                <w:szCs w:val="21"/>
                <w:highlight w:val="none"/>
                <w14:textFill>
                  <w14:solidFill>
                    <w14:schemeClr w14:val="tx1"/>
                  </w14:solidFill>
                </w14:textFill>
              </w:rPr>
              <w:t xml:space="preserve">：</w:t>
            </w:r>
            <w:r>
              <w:rPr>
                <w:rFonts w:hint="eastAsia" w:ascii="宋体" w:hAnsi="宋体"/>
                <w:b/>
                <w:bCs/>
                <w:color w:val="000000" w:themeColor="text1"/>
                <w:szCs w:val="21"/>
                <w:highlight w:val="none"/>
                <w:lang w:val="en-US" w:eastAsia="zh-CN"/>
                <w14:textFill>
                  <w14:solidFill>
                    <w14:schemeClr w14:val="tx1"/>
                  </w14:solidFill>
                </w14:textFill>
              </w:rPr>
              <w:t xml:space="preserve">3</w:t>
            </w:r>
            <w:r>
              <w:rPr>
                <w:rFonts w:hint="eastAsia" w:ascii="宋体" w:hAnsi="宋体"/>
                <w:b/>
                <w:bCs/>
                <w:color w:val="000000" w:themeColor="text1"/>
                <w:szCs w:val="21"/>
                <w:highlight w:val="none"/>
                <w14:textFill>
                  <w14:solidFill>
                    <w14:schemeClr w14:val="tx1"/>
                  </w14:solidFill>
                </w14:textFill>
              </w:rPr>
              <w:t xml:space="preserve">0时（北京时间）</w:t>
            </w:r>
            <w:r/>
          </w:p>
          <w:p>
            <w:pPr>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地点：“苏采云”网上开标大厅。</w:t>
            </w:r>
            <w:r/>
          </w:p>
        </w:tc>
      </w:tr>
      <w:tr>
        <w:trPr>
          <w:jc w:val="center"/>
          <w:trHeight w:val="72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评标标准</w:t>
            </w:r>
            <w:r/>
          </w:p>
        </w:tc>
        <w:tc>
          <w:tcPr>
            <w:tcW w:w="5619" w:type="dxa"/>
            <w:vAlign w:val="center"/>
            <w:textDirection w:val="lrTb"/>
            <w:noWrap w:val="false"/>
          </w:tcPr>
          <w:p>
            <w:pPr>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综合评分法。</w:t>
            </w:r>
            <w:r/>
          </w:p>
        </w:tc>
      </w:tr>
      <w:tr>
        <w:trPr>
          <w:jc w:val="center"/>
          <w:trHeight w:val="70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w:t>
            </w:r>
            <w:r/>
          </w:p>
        </w:tc>
        <w:tc>
          <w:tcPr>
            <w:shd w:val="clear" w:color="auto" w:fill="auto"/>
            <w:tcW w:w="2164" w:type="dxa"/>
            <w:vAlign w:val="center"/>
            <w:textDirection w:val="lrTb"/>
            <w:noWrap w:val="false"/>
          </w:tcPr>
          <w:p>
            <w:pPr>
              <w:spacing w:line="360" w:lineRule="exact"/>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合同签订</w:t>
            </w:r>
            <w:r/>
          </w:p>
        </w:tc>
        <w:tc>
          <w:tcPr>
            <w:shd w:val="clear" w:color="auto" w:fill="auto"/>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在中标通知书发出后30日内签订合同。</w:t>
            </w:r>
            <w:r/>
          </w:p>
        </w:tc>
      </w:tr>
      <w:tr>
        <w:trPr>
          <w:jc w:val="center"/>
          <w:trHeight w:val="72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w:t>
            </w:r>
            <w:r/>
          </w:p>
        </w:tc>
        <w:tc>
          <w:tcPr>
            <w:shd w:val="clear" w:color="auto" w:fill="auto"/>
            <w:tcW w:w="2164" w:type="dxa"/>
            <w:vAlign w:val="center"/>
            <w:textDirection w:val="lrTb"/>
            <w:noWrap w:val="false"/>
          </w:tcPr>
          <w:p>
            <w:pPr>
              <w:spacing w:line="360" w:lineRule="exact"/>
              <w:rPr>
                <w:rFonts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履约保证金</w:t>
            </w:r>
            <w:r/>
          </w:p>
        </w:tc>
        <w:tc>
          <w:tcPr>
            <w:shd w:val="clear" w:color="auto" w:fill="auto"/>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ascii="宋体" w:hAnsi="宋体" w:eastAsia="宋体" w:cs="Times New Roman"/>
                <w:color w:val="000000" w:themeColor="text1"/>
                <w:sz w:val="21"/>
                <w:szCs w:val="21"/>
                <w:highlight w:val="none"/>
                <w:lang w:val="zh-CN" w:eastAsia="zh-CN" w:bidi="ar-SA"/>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金额为合同金额的10%，形式为履约保证金（电汇、网银转账）。中标人必须在合同签订之前向招标人缴纳。待合同履约完成且验收合格后一年，无息退还履约保证金。</w:t>
            </w:r>
            <w:r/>
          </w:p>
        </w:tc>
      </w:tr>
      <w:tr>
        <w:trPr>
          <w:jc w:val="center"/>
          <w:trHeight w:val="72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bookmarkStart w:id="36" w:name="_Hlk190955076"/>
            <w:r>
              <w:rPr>
                <w:rFonts w:hint="eastAsia" w:ascii="宋体" w:hAnsi="宋体"/>
                <w:color w:val="000000" w:themeColor="text1"/>
                <w:szCs w:val="21"/>
                <w:highlight w:val="none"/>
                <w14:textFill>
                  <w14:solidFill>
                    <w14:schemeClr w14:val="tx1"/>
                  </w14:solidFill>
                </w14:textFill>
              </w:rPr>
              <w:t xml:space="preserve">12</w:t>
            </w:r>
            <w:r/>
          </w:p>
        </w:tc>
        <w:tc>
          <w:tcPr>
            <w:shd w:val="clear" w:color="auto" w:fill="auto"/>
            <w:tcW w:w="2164" w:type="dxa"/>
            <w:vAlign w:val="center"/>
            <w:textDirection w:val="lrTb"/>
            <w:noWrap w:val="false"/>
          </w:tcPr>
          <w:p>
            <w:pPr>
              <w:spacing w:line="360" w:lineRule="exact"/>
              <w:rPr>
                <w:rFonts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本项目采购标的对应的中小企业划分标准所属行业为</w:t>
            </w:r>
            <w:r/>
          </w:p>
        </w:tc>
        <w:tc>
          <w:tcPr>
            <w:shd w:val="clear" w:color="auto" w:fill="auto"/>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ascii="宋体" w:hAnsi="宋体" w:eastAsia="宋体" w:cs="Times New Roman"/>
                <w:b/>
                <w:bCs/>
                <w:color w:val="000000" w:themeColor="text1"/>
                <w:sz w:val="21"/>
                <w:szCs w:val="21"/>
                <w:highlight w:val="none"/>
                <w:lang w:val="zh-CN" w:eastAsia="zh-CN" w:bidi="ar-SA"/>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工业</w:t>
            </w:r>
            <w:r/>
          </w:p>
        </w:tc>
      </w:tr>
      <w:tr>
        <w:trPr>
          <w:jc w:val="center"/>
          <w:trHeight w:val="423"/>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w:t>
            </w:r>
            <w:r/>
          </w:p>
        </w:tc>
        <w:tc>
          <w:tcPr>
            <w:shd w:val="clear" w:color="auto" w:fill="auto"/>
            <w:tcW w:w="2164"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Times New Roman"/>
                <w:color w:val="000000" w:themeColor="text1"/>
                <w:szCs w:val="21"/>
                <w:highlight w:val="none"/>
                <w:lang w:val="en-US" w:eastAsia="zh-CN"/>
                <w14:textFill>
                  <w14:solidFill>
                    <w14:schemeClr w14:val="tx1"/>
                  </w14:solidFill>
                </w14:textFill>
              </w:rPr>
            </w:pPr>
            <w:r>
              <w:rPr>
                <w:rFonts w:hint="eastAsia" w:ascii="宋体" w:hAnsi="宋体" w:eastAsia="宋体" w:cs="Times New Roman"/>
                <w:color w:val="000000" w:themeColor="text1"/>
                <w:szCs w:val="21"/>
                <w:highlight w:val="none"/>
                <w:lang w:val="zh-CN"/>
                <w14:textFill>
                  <w14:solidFill>
                    <w14:schemeClr w14:val="tx1"/>
                  </w14:solidFill>
                </w14:textFill>
              </w:rPr>
              <w:t xml:space="preserve">招标代理服务费</w:t>
            </w:r>
            <w:bookmarkEnd w:id="36"/>
            <w:r/>
          </w:p>
        </w:tc>
        <w:tc>
          <w:tcPr>
            <w:shd w:val="clear" w:color="auto" w:fill="auto"/>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Times New Roman"/>
                <w:color w:val="000000" w:themeColor="text1"/>
                <w:szCs w:val="21"/>
                <w:highlight w:val="none"/>
                <w:lang w:val="zh-CN"/>
                <w14:textFill>
                  <w14:solidFill>
                    <w14:schemeClr w14:val="tx1"/>
                  </w14:solidFill>
                </w14:textFill>
              </w:rPr>
            </w:pPr>
            <w:r>
              <w:rPr>
                <w:rFonts w:hint="eastAsia" w:ascii="宋体" w:hAnsi="宋体" w:eastAsia="宋体" w:cs="Times New Roman"/>
                <w:color w:val="000000" w:themeColor="text1"/>
                <w:szCs w:val="21"/>
                <w:highlight w:val="none"/>
                <w:lang w:val="zh-CN"/>
                <w14:textFill>
                  <w14:solidFill>
                    <w14:schemeClr w14:val="tx1"/>
                  </w14:solidFill>
                </w14:textFill>
              </w:rPr>
              <w:t xml:space="preserve">1.支付主体和报价要求：本项目采购代理服务费由成交供应商支付，供应商在报价时应将代理服务费全额包含在响应总价中，采购人不再另行支付。</w:t>
            </w:r>
            <w:r/>
          </w:p>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Times New Roman"/>
                <w:color w:val="000000" w:themeColor="text1"/>
                <w:szCs w:val="21"/>
                <w:highlight w:val="none"/>
                <w:lang w:val="zh-CN"/>
                <w14:textFill>
                  <w14:solidFill>
                    <w14:schemeClr w14:val="tx1"/>
                  </w14:solidFill>
                </w14:textFill>
              </w:rPr>
            </w:pPr>
            <w:r>
              <w:rPr>
                <w:rFonts w:hint="eastAsia" w:ascii="宋体" w:hAnsi="宋体" w:eastAsia="宋体" w:cs="Times New Roman"/>
                <w:color w:val="000000" w:themeColor="text1"/>
                <w:szCs w:val="21"/>
                <w:highlight w:val="none"/>
                <w:lang w:val="zh-CN"/>
                <w14:textFill>
                  <w14:solidFill>
                    <w14:schemeClr w14:val="tx1"/>
                  </w14:solidFill>
                </w14:textFill>
              </w:rPr>
              <w:t xml:space="preserve">2.原因：为优化采购资金使用效率，依据《关于进一步规范政府采购活动相关费用管理的通知》(苏财规(2026)1号)规定，经采购人研究确定，本项目代理服务费由成交供应商支付。</w:t>
            </w:r>
            <w:r/>
          </w:p>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Times New Roman"/>
                <w:color w:val="000000" w:themeColor="text1"/>
                <w:szCs w:val="21"/>
                <w:highlight w:val="none"/>
                <w:lang w:val="zh-CN"/>
                <w14:textFill>
                  <w14:solidFill>
                    <w14:schemeClr w14:val="tx1"/>
                  </w14:solidFill>
                </w14:textFill>
              </w:rPr>
            </w:pPr>
            <w:r>
              <w:rPr>
                <w:rFonts w:hint="eastAsia" w:ascii="宋体" w:hAnsi="宋体" w:eastAsia="宋体" w:cs="Times New Roman"/>
                <w:color w:val="000000" w:themeColor="text1"/>
                <w:szCs w:val="21"/>
                <w:highlight w:val="none"/>
                <w:lang w:val="zh-CN"/>
                <w14:textFill>
                  <w14:solidFill>
                    <w14:schemeClr w14:val="tx1"/>
                  </w14:solidFill>
                </w14:textFill>
              </w:rPr>
              <w:t xml:space="preserve">3.收取方式：成交供应商在领取成交通知书前，一次性向采购代理机构足额支付；支付方式为银行转账/电汇/现金。</w:t>
            </w:r>
            <w:r/>
          </w:p>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Times New Roman"/>
                <w:color w:val="000000" w:themeColor="text1"/>
                <w:szCs w:val="21"/>
                <w:highlight w:val="none"/>
                <w:lang w:val="zh-CN"/>
                <w14:textFill>
                  <w14:solidFill>
                    <w14:schemeClr w14:val="tx1"/>
                  </w14:solidFill>
                </w14:textFill>
              </w:rPr>
            </w:pPr>
            <w:r>
              <w:rPr>
                <w:rFonts w:hint="eastAsia" w:ascii="宋体" w:hAnsi="宋体" w:eastAsia="宋体" w:cs="Times New Roman"/>
                <w:color w:val="000000" w:themeColor="text1"/>
                <w:szCs w:val="21"/>
                <w:highlight w:val="none"/>
                <w:lang w:val="zh-CN"/>
                <w14:textFill>
                  <w14:solidFill>
                    <w14:schemeClr w14:val="tx1"/>
                  </w14:solidFill>
                </w14:textFill>
              </w:rPr>
              <w:t xml:space="preserve">4.收费标准：《招标代理服务收费管理暂行办法》(计价格[2002]1980号)所列标准的70%。</w:t>
            </w:r>
            <w:r/>
          </w:p>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Times New Roman"/>
                <w:color w:val="000000" w:themeColor="text1"/>
                <w:szCs w:val="21"/>
                <w:highlight w:val="none"/>
                <w:lang w:val="en-US" w:eastAsia="zh-CN"/>
                <w14:textFill>
                  <w14:solidFill>
                    <w14:schemeClr w14:val="tx1"/>
                  </w14:solidFill>
                </w14:textFill>
              </w:rPr>
            </w:pPr>
            <w:r>
              <w:rPr>
                <w:rFonts w:hint="eastAsia" w:ascii="宋体" w:hAnsi="宋体" w:eastAsia="宋体" w:cs="Times New Roman"/>
                <w:color w:val="000000" w:themeColor="text1"/>
                <w:szCs w:val="21"/>
                <w:highlight w:val="none"/>
                <w:lang w:val="zh-CN"/>
                <w14:textFill>
                  <w14:solidFill>
                    <w14:schemeClr w14:val="tx1"/>
                  </w14:solidFill>
                </w14:textFill>
              </w:rPr>
              <w:t xml:space="preserve">5.确定标准的依据：本项目委托代理协议。</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ascii="Cambria" w:hAnsi="Cambria"/>
          <w:b/>
          <w:bCs/>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070"/>
        <w:rPr>
          <w:color w:val="000000" w:themeColor="text1"/>
          <w:highlight w:val="none"/>
          <w14:textFill>
            <w14:solidFill>
              <w14:schemeClr w14:val="tx1"/>
            </w14:solidFill>
          </w14:textFill>
        </w:rPr>
      </w:pPr>
      <w:r/>
      <w:bookmarkStart w:id="37" w:name="_Toc29705"/>
      <w:r/>
      <w:bookmarkStart w:id="38" w:name="_Toc31021"/>
      <w:r>
        <w:rPr>
          <w:rFonts w:hint="eastAsia"/>
          <w:color w:val="000000" w:themeColor="text1"/>
          <w:highlight w:val="none"/>
          <w14:textFill>
            <w14:solidFill>
              <w14:schemeClr w14:val="tx1"/>
            </w14:solidFill>
          </w14:textFill>
        </w:rPr>
        <w:t xml:space="preserve">一、总则</w:t>
      </w:r>
      <w:bookmarkEnd w:id="37"/>
      <w:r/>
      <w:bookmarkEnd w:id="38"/>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1.适用范围</w:t>
      </w:r>
      <w:r/>
    </w:p>
    <w:p>
      <w:pPr>
        <w:pStyle w:val="774"/>
        <w:ind w:left="0" w:firstLine="420"/>
        <w:spacing w:after="0"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本招标文件仅适用于本次招标所述项目的政府采购。</w:t>
      </w:r>
      <w:r/>
    </w:p>
    <w:p>
      <w:pPr>
        <w:pStyle w:val="774"/>
        <w:ind w:left="0"/>
        <w:spacing w:after="0"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2.合格的投标人</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详见招标公告投标人资质要求。</w:t>
      </w:r>
      <w:r/>
    </w:p>
    <w:p>
      <w:pPr>
        <w:pStyle w:val="774"/>
        <w:ind w:left="0"/>
        <w:spacing w:after="0"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3.投标费用</w:t>
      </w:r>
      <w:r/>
    </w:p>
    <w:p>
      <w:pPr>
        <w:pStyle w:val="774"/>
        <w:ind w:left="0"/>
        <w:spacing w:after="0"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3.1投标人应自行承担所有与参加投标有关的费用。不论投标的结果如何，招标人及招标代理机构在任何情况下均无义务和责任承担这些费用。</w:t>
      </w:r>
      <w:r/>
    </w:p>
    <w:p>
      <w:pPr>
        <w:pStyle w:val="1070"/>
        <w:rPr>
          <w:color w:val="000000" w:themeColor="text1"/>
          <w:highlight w:val="none"/>
          <w14:textFill>
            <w14:solidFill>
              <w14:schemeClr w14:val="tx1"/>
            </w14:solidFill>
          </w14:textFill>
        </w:rPr>
      </w:pPr>
      <w:r/>
      <w:bookmarkStart w:id="39" w:name="_Toc21233"/>
      <w:r/>
      <w:bookmarkStart w:id="40" w:name="_Toc13229"/>
      <w:r>
        <w:rPr>
          <w:rFonts w:hint="eastAsia"/>
          <w:color w:val="000000" w:themeColor="text1"/>
          <w:highlight w:val="none"/>
          <w14:textFill>
            <w14:solidFill>
              <w14:schemeClr w14:val="tx1"/>
            </w14:solidFill>
          </w14:textFill>
        </w:rPr>
        <w:t xml:space="preserve">二、招标文件构成</w:t>
      </w:r>
      <w:bookmarkEnd w:id="39"/>
      <w:r/>
      <w:bookmarkEnd w:id="40"/>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4.招标文件</w:t>
      </w:r>
      <w:r>
        <w:rPr>
          <w:rFonts w:hint="eastAsia" w:ascii="宋体" w:hAnsi="宋体"/>
          <w:b/>
          <w:bCs/>
          <w:color w:val="000000" w:themeColor="text1"/>
          <w:szCs w:val="21"/>
          <w:highlight w:val="none"/>
          <w14:textFill>
            <w14:solidFill>
              <w14:schemeClr w14:val="tx1"/>
            </w14:solidFill>
          </w14:textFill>
        </w:rPr>
        <w:t xml:space="preserve">包</w:t>
      </w:r>
      <w:r>
        <w:rPr>
          <w:rFonts w:hint="eastAsia" w:ascii="宋体" w:hAnsi="宋体"/>
          <w:b/>
          <w:color w:val="000000" w:themeColor="text1"/>
          <w:szCs w:val="21"/>
          <w:highlight w:val="none"/>
          <w14:textFill>
            <w14:solidFill>
              <w14:schemeClr w14:val="tx1"/>
            </w14:solidFill>
          </w14:textFill>
        </w:rPr>
        <w:t xml:space="preserve">括：</w:t>
      </w:r>
      <w:r/>
    </w:p>
    <w:p>
      <w:pPr>
        <w:ind w:firstLine="21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招标公告</w:t>
      </w:r>
      <w:r/>
    </w:p>
    <w:p>
      <w:pPr>
        <w:ind w:firstLine="21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投标人须知</w:t>
      </w:r>
      <w:r/>
    </w:p>
    <w:p>
      <w:pPr>
        <w:ind w:firstLine="21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合同格式</w:t>
      </w:r>
      <w:r/>
    </w:p>
    <w:p>
      <w:pPr>
        <w:ind w:firstLine="21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招标内容与技术要求</w:t>
      </w:r>
      <w:r/>
    </w:p>
    <w:p>
      <w:pPr>
        <w:ind w:firstLine="21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投标文件</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5.招标文件的澄清</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任何对招标文件要求进行澄清的投标人，均应在投标截止时间十五日前以纸质书面形式送达招标代理机构（距开标截止日不足十五日的，招标代理机构将顺延本项目的开标时间），招标代理机构对投标截止时间十五日前收到的任何澄清要求将以书面形式予以答复。由于投标人所留联系方式有问题而导致招标代理机构无法通知的，其责任由投标人自行承担。</w:t>
      </w:r>
      <w:r>
        <w:rPr>
          <w:rFonts w:hint="eastAsia" w:ascii="宋体" w:hAnsi="宋体" w:cs="楷体_GB2312"/>
          <w:color w:val="000000" w:themeColor="text1"/>
          <w:szCs w:val="21"/>
          <w:highlight w:val="none"/>
          <w:lang w:val="zh-CN"/>
          <w14:textFill>
            <w14:solidFill>
              <w14:schemeClr w14:val="tx1"/>
            </w14:solidFill>
          </w14:textFill>
        </w:rPr>
        <w:t xml:space="preserve">逾期递交对招标文件要求进行澄清的招标代理机构将不予受理。</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6.招标文件的修改</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6.1在投标文件提交截止时间前，招标代理机构可以对招标文件进行澄清和修改, 澄清或者修改的内容作为招标文件的组成部分。澄清或者修改的内容可能影响投标文件编制的，招标代理机构将在提交首次投标文件截止时间至少15日前，在“江苏政府采购网”上发布更正公告形式通知所有获取采购文件的投标人, 更正公告内容将作为招标文件的组成部分，并对投标人具有约束力。不足15日的，招标代理机构将顺延提交首次投标文件截止时间。</w:t>
      </w:r>
      <w:r/>
    </w:p>
    <w:p>
      <w:pPr>
        <w:spacing w:line="360" w:lineRule="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6.2为使投标人在准备投标时,有合理的时间考虑招标文件的修改,招标代理机构有权决定推迟招标采购的截止日期,并将此变更通知所有的投标人</w:t>
      </w:r>
      <w:r>
        <w:rPr>
          <w:rFonts w:hint="eastAsia" w:ascii="宋体" w:hAnsi="宋体" w:cs="仿宋_GB2312"/>
          <w:color w:val="000000" w:themeColor="text1"/>
          <w:szCs w:val="21"/>
          <w:highlight w:val="none"/>
          <w:lang w:val="zh-CN"/>
          <w14:textFill>
            <w14:solidFill>
              <w14:schemeClr w14:val="tx1"/>
            </w14:solidFill>
          </w14:textFill>
        </w:rPr>
        <w:t xml:space="preserve">。</w:t>
      </w:r>
      <w:r/>
    </w:p>
    <w:p>
      <w:pPr>
        <w:pStyle w:val="1070"/>
        <w:rPr>
          <w:color w:val="000000" w:themeColor="text1"/>
          <w:highlight w:val="none"/>
          <w14:textFill>
            <w14:solidFill>
              <w14:schemeClr w14:val="tx1"/>
            </w14:solidFill>
          </w14:textFill>
        </w:rPr>
      </w:pPr>
      <w:r/>
      <w:bookmarkStart w:id="41" w:name="_Toc10147"/>
      <w:r/>
      <w:bookmarkStart w:id="42" w:name="_Toc3888"/>
      <w:r>
        <w:rPr>
          <w:rFonts w:hint="eastAsia"/>
          <w:color w:val="000000" w:themeColor="text1"/>
          <w:highlight w:val="none"/>
          <w14:textFill>
            <w14:solidFill>
              <w14:schemeClr w14:val="tx1"/>
            </w14:solidFill>
          </w14:textFill>
        </w:rPr>
        <w:t xml:space="preserve">三、投标文件的编制</w:t>
      </w:r>
      <w:bookmarkEnd w:id="41"/>
      <w:r/>
      <w:bookmarkEnd w:id="42"/>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7.投标文件的语言及计量单位</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7.1投标人提交的投标文件以及投标人与招标代理机构就有关投标的所有来往函电均应使用简体中文。</w:t>
      </w:r>
      <w:r/>
    </w:p>
    <w:p>
      <w:pPr>
        <w:spacing w:line="360" w:lineRule="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w:t>
      </w:r>
      <w:r>
        <w:rPr>
          <w:rFonts w:hint="eastAsia" w:ascii="宋体" w:hAnsi="宋体" w:cs="仿宋_GB2312"/>
          <w:color w:val="000000" w:themeColor="text1"/>
          <w:szCs w:val="21"/>
          <w:highlight w:val="none"/>
          <w:lang w:val="zh-CN"/>
          <w14:textFill>
            <w14:solidFill>
              <w14:schemeClr w14:val="tx1"/>
            </w14:solidFill>
          </w14:textFill>
        </w:rPr>
        <w:t xml:space="preserve">除招标文件中另有规定外，投标文件所使用的计量单位，均须采用国家法定计量单位。</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8.投标文件构成</w:t>
      </w:r>
      <w:r/>
    </w:p>
    <w:p>
      <w:pPr>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8.1</w:t>
      </w:r>
      <w:r>
        <w:rPr>
          <w:rFonts w:hint="eastAsia" w:ascii="宋体" w:hAnsi="宋体"/>
          <w:color w:val="000000" w:themeColor="text1"/>
          <w:szCs w:val="21"/>
          <w:highlight w:val="none"/>
          <w14:textFill>
            <w14:solidFill>
              <w14:schemeClr w14:val="tx1"/>
            </w14:solidFill>
          </w14:textFill>
        </w:rPr>
        <w:t xml:space="preserve">投标人编写的投标文件应包括下列部分：</w:t>
      </w:r>
      <w:r/>
    </w:p>
    <w:p>
      <w:pPr>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8.1.1按照要求填写的投标函；</w:t>
      </w:r>
      <w:r/>
    </w:p>
    <w:p>
      <w:pPr>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8.1.2按照第9条要求填写的</w:t>
      </w:r>
      <w:r>
        <w:rPr>
          <w:rFonts w:hint="eastAsia" w:ascii="宋体" w:hAnsi="宋体"/>
          <w:color w:val="000000" w:themeColor="text1"/>
          <w:szCs w:val="21"/>
          <w:highlight w:val="none"/>
          <w14:textFill>
            <w14:solidFill>
              <w14:schemeClr w14:val="tx1"/>
            </w14:solidFill>
          </w14:textFill>
        </w:rPr>
        <w:t xml:space="preserve">开标一览表</w:t>
      </w:r>
      <w:r>
        <w:rPr>
          <w:rFonts w:hint="eastAsia" w:ascii="宋体" w:hAnsi="宋体" w:cs="Arial"/>
          <w:color w:val="000000" w:themeColor="text1"/>
          <w:szCs w:val="21"/>
          <w:highlight w:val="none"/>
          <w14:textFill>
            <w14:solidFill>
              <w14:schemeClr w14:val="tx1"/>
            </w14:solidFill>
          </w14:textFill>
        </w:rPr>
        <w:t xml:space="preserve">；</w:t>
      </w:r>
      <w:r/>
    </w:p>
    <w:p>
      <w:pPr>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8.1.3</w:t>
      </w:r>
      <w:r>
        <w:rPr>
          <w:rFonts w:hint="eastAsia" w:ascii="宋体" w:hAnsi="宋体" w:cs="Arial"/>
          <w:color w:val="000000" w:themeColor="text1"/>
          <w:szCs w:val="21"/>
          <w:highlight w:val="none"/>
          <w14:textFill>
            <w14:solidFill>
              <w14:schemeClr w14:val="tx1"/>
            </w14:solidFill>
          </w14:textFill>
        </w:rPr>
        <w:t xml:space="preserve">按照第10条要求填写的投标报价表；</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8.1.4</w:t>
      </w:r>
      <w:r>
        <w:rPr>
          <w:rFonts w:hint="eastAsia" w:ascii="宋体" w:hAnsi="宋体" w:cs="Arial"/>
          <w:color w:val="000000" w:themeColor="text1"/>
          <w:szCs w:val="21"/>
          <w:highlight w:val="none"/>
          <w14:textFill>
            <w14:solidFill>
              <w14:schemeClr w14:val="tx1"/>
            </w14:solidFill>
          </w14:textFill>
        </w:rPr>
        <w:t xml:space="preserve">按照第11条要求填写的</w:t>
      </w:r>
      <w:r>
        <w:rPr>
          <w:rFonts w:hint="eastAsia" w:ascii="宋体" w:hAnsi="宋体"/>
          <w:color w:val="000000" w:themeColor="text1"/>
          <w:szCs w:val="21"/>
          <w:highlight w:val="none"/>
          <w14:textFill>
            <w14:solidFill>
              <w14:schemeClr w14:val="tx1"/>
            </w14:solidFill>
          </w14:textFill>
        </w:rPr>
        <w:t xml:space="preserve">技术规格响应偏离表；</w:t>
      </w:r>
      <w:r/>
    </w:p>
    <w:p>
      <w:pPr>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8.1.5</w:t>
      </w:r>
      <w:r>
        <w:rPr>
          <w:rFonts w:hint="eastAsia" w:ascii="宋体" w:hAnsi="宋体" w:cs="Arial"/>
          <w:color w:val="000000" w:themeColor="text1"/>
          <w:szCs w:val="21"/>
          <w:highlight w:val="none"/>
          <w14:textFill>
            <w14:solidFill>
              <w14:schemeClr w14:val="tx1"/>
            </w14:solidFill>
          </w14:textFill>
        </w:rPr>
        <w:t xml:space="preserve">按照第12条要求作出的服务承诺；</w:t>
      </w:r>
      <w:r/>
    </w:p>
    <w:p>
      <w:pPr>
        <w:spacing w:line="360" w:lineRule="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8.1.6按照第13条要求出具资格证明文件；</w:t>
      </w:r>
      <w:r>
        <w:rPr>
          <w:rFonts w:hint="eastAsia" w:ascii="宋体" w:hAnsi="宋体" w:cs="仿宋_GB2312"/>
          <w:color w:val="000000" w:themeColor="text1"/>
          <w:szCs w:val="21"/>
          <w:highlight w:val="none"/>
          <w:lang w:val="zh-CN"/>
          <w14:textFill>
            <w14:solidFill>
              <w14:schemeClr w14:val="tx1"/>
            </w14:solidFill>
          </w14:textFill>
        </w:rPr>
        <w:t xml:space="preserve">证明投标人是合格的，中标人有能力履行合同；</w:t>
      </w:r>
      <w:r/>
    </w:p>
    <w:p>
      <w:pPr>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8.1.7招标文件第一章中要求提供的所有资格证明文件。</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9.开标一览表</w:t>
      </w:r>
      <w:r/>
    </w:p>
    <w:p>
      <w:pPr>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9.1投标人必须按照招标文件中提供的开标一览表的规定格式完整、清晰、正确填写,</w:t>
      </w:r>
      <w:r>
        <w:rPr>
          <w:rFonts w:hint="eastAsia" w:ascii="宋体" w:hAnsi="宋体" w:cs="仿宋_GB2312"/>
          <w:color w:val="000000" w:themeColor="text1"/>
          <w:szCs w:val="21"/>
          <w:highlight w:val="none"/>
          <w:lang w:val="zh-CN"/>
          <w14:textFill>
            <w14:solidFill>
              <w14:schemeClr w14:val="tx1"/>
            </w14:solidFill>
          </w14:textFill>
        </w:rPr>
        <w:t xml:space="preserve">不得自行增减内容。</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9.2开标一览表中不得填报有选择性报价方案，表中内容应与投标文件中的内容完全一致，如不一致的，以开标一览表内容为准。</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10.投标报价</w:t>
      </w:r>
      <w:r/>
    </w:p>
    <w:p>
      <w:pPr>
        <w:pStyle w:val="883"/>
        <w:ind w:firstLine="0"/>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t xml:space="preserve">10</w:t>
      </w:r>
      <w:r>
        <w:rPr>
          <w:rFonts w:ascii="宋体" w:hAnsi="宋体" w:eastAsia="宋体"/>
          <w:bCs/>
          <w:color w:val="000000" w:themeColor="text1"/>
          <w:sz w:val="21"/>
          <w:szCs w:val="21"/>
          <w:highlight w:val="none"/>
          <w14:textFill>
            <w14:solidFill>
              <w14:schemeClr w14:val="tx1"/>
            </w14:solidFill>
          </w14:textFill>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投标人应按照招标文件要求填报开标一览表及分项报价表，必须标明所提供的货物品牌、规格、型号、产地、型号及其功能的中文说明和供货期。所有报价如果单价和总价不符，以单价为准，但单价金额小数点有明显错误的除外。每项货物或服务只允许有一个报价，任何有选择的报价将不予接受，并作投标无效处理。投标文件中，各单价、复合价及总价应填写至小数点后两位。</w:t>
      </w:r>
      <w:r/>
    </w:p>
    <w:p>
      <w:pPr>
        <w:spacing w:line="360" w:lineRule="auto"/>
        <w:widowControl/>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10.2投标人的投标报价应是完成招标采购范围内的全部货物所需的费用。应</w:t>
      </w:r>
      <w:r>
        <w:rPr>
          <w:rFonts w:hint="eastAsia" w:ascii="宋体" w:hAnsi="宋体"/>
          <w:b/>
          <w:color w:val="000000" w:themeColor="text1"/>
          <w:szCs w:val="21"/>
          <w:highlight w:val="none"/>
          <w14:textFill>
            <w14:solidFill>
              <w14:schemeClr w14:val="tx1"/>
            </w14:solidFill>
          </w14:textFill>
        </w:rPr>
        <w:t xml:space="preserve">包括招标范围内所有物资的设计、制造、器材与材料（含辅材、配件）费、包装；项目所需的各种运输费（含至指定地点的机械、搬运费等）、装卸、工料保管费；未移交前的成品保护费、仓储；管理（含各类保险、税、临时设施，抢工）费；安装、调试及试运行、人员培训费、投标人认为需要的其他费用等，直至交付使用所需要的各种费用，还包括质保期内的一切维修、更换零部件、人工等费用。在安装、调试、验收过程中，如发现有漏项、缺件，中标人应无条件、无偿补齐，所发生的一切费用，视为已包含在投标人的报价之中，且并不因此而影响交付实际使用人的时间。</w:t>
      </w:r>
      <w:r/>
    </w:p>
    <w:p>
      <w:pPr>
        <w:spacing w:line="360" w:lineRule="auto"/>
        <w:widowControl/>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10.3 本项目采用固定价格合同；投标人的投标报价在中标后的合同执行过程中，除招标人变更招标采购需求外，供货期间的政策性调整及市场风险等风险费用应含在投标报价中，确定中标后不予调整。</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10.4投标报价既要有总价，还要有设备及服务的分项价格，即投标人必须报出总价及各主材的分项明细价格,否则该</w:t>
      </w:r>
      <w:r>
        <w:rPr>
          <w:rFonts w:hint="eastAsia" w:ascii="宋体" w:hAnsi="宋体"/>
          <w:color w:val="000000" w:themeColor="text1"/>
          <w:szCs w:val="21"/>
          <w:highlight w:val="none"/>
          <w:lang w:val="en-US" w:eastAsia="zh-CN"/>
          <w14:textFill>
            <w14:solidFill>
              <w14:schemeClr w14:val="tx1"/>
            </w14:solidFill>
          </w14:textFill>
        </w:rPr>
        <w:t xml:space="preserve">投标人</w:t>
      </w:r>
      <w:r>
        <w:rPr>
          <w:rFonts w:hint="eastAsia" w:ascii="宋体" w:hAnsi="宋体"/>
          <w:color w:val="000000" w:themeColor="text1"/>
          <w:szCs w:val="21"/>
          <w:highlight w:val="none"/>
          <w14:textFill>
            <w14:solidFill>
              <w14:schemeClr w14:val="tx1"/>
            </w14:solidFill>
          </w14:textFill>
        </w:rPr>
        <w:t xml:space="preserve">报价可能不被接受。</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10.5因投标人所供的货物或其安装质量的原因，导致检验不合格而发生的额外的检测费用由投标人承担；并由投标人承担由此造成招标人的直接和间接的经济损失。</w:t>
      </w:r>
      <w:r/>
    </w:p>
    <w:p>
      <w:pPr>
        <w:spacing w:line="360" w:lineRule="auto"/>
        <w:tabs>
          <w:tab w:val="left" w:pos="993" w:leader="none"/>
          <w:tab w:val="left" w:pos="1276"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10.6招标文件要求应随机配置的项目及服务，其报价均应计入总价。报价未按招标文件要求将某项内容计入总价，如在投标文件中有报价，评标时以供货范围偏离对其进行加价；若投标人有漏报或未按要求报价的项目，开标后将其它有效标中该项的最高价计入其评标总价，但投标人不能增加其总价，若增加其投标将被拒绝；总价中不得包含招标文件要求以外的项目及服务，若包含在评标时不予核减。</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10.7投标人应充分考虑合同中对投标价格有影响的条款，进行报价。</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10.8投标人自行解决项目人员办公、食宿。</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10.9本项目要求投标人制定免费质保期后的保修方案，如对此方案报价，不计入本次投标总价。</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11.技术规格的响应</w:t>
      </w:r>
      <w:r/>
    </w:p>
    <w:p>
      <w:pPr>
        <w:spacing w:line="360" w:lineRule="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11.1技术规格响应偏离表应对招标文件中的技术要求逐项作出实质性响应，否则该投标将被拒绝。</w:t>
      </w:r>
      <w:r/>
    </w:p>
    <w:p>
      <w:pPr>
        <w:spacing w:line="360" w:lineRule="auto"/>
        <w:rPr>
          <w:rFonts w:ascii="宋体" w:hAnsi="宋体" w:cs="仿宋_GB2312"/>
          <w:b/>
          <w:color w:val="000000" w:themeColor="text1"/>
          <w:szCs w:val="21"/>
          <w:highlight w:val="none"/>
          <w:lang w:val="zh-CN"/>
          <w14:textFill>
            <w14:solidFill>
              <w14:schemeClr w14:val="tx1"/>
            </w14:solidFill>
          </w14:textFill>
        </w:rPr>
      </w:pPr>
      <w:r>
        <w:rPr>
          <w:rFonts w:hint="eastAsia" w:ascii="宋体" w:hAnsi="宋体" w:cs="仿宋_GB2312"/>
          <w:b/>
          <w:color w:val="000000" w:themeColor="text1"/>
          <w:szCs w:val="21"/>
          <w:highlight w:val="none"/>
          <w:lang w:val="zh-CN"/>
          <w14:textFill>
            <w14:solidFill>
              <w14:schemeClr w14:val="tx1"/>
            </w14:solidFill>
          </w14:textFill>
        </w:rPr>
        <w:t xml:space="preserve">12.服务承诺</w:t>
      </w:r>
      <w:r/>
    </w:p>
    <w:p>
      <w:pPr>
        <w:spacing w:line="360" w:lineRule="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12.1投标人的服务承诺应按不低于招标文件中基本服务要求的标准，并作出响应。</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13.证明投标人资格的文件</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13.1按照规定，投标人应提交证明其有资格参加投标和中标后有能力履行合同的文件，并作为其投标文件的一部分。</w:t>
      </w:r>
      <w:r/>
    </w:p>
    <w:p>
      <w:pPr>
        <w:spacing w:line="360" w:lineRule="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13.2投标人除必须具有履行合同所必需的提供货物和服务的能力外，还必须具备相应的财务、人员保障方面的能力；</w:t>
      </w:r>
      <w:r/>
    </w:p>
    <w:p>
      <w:pPr>
        <w:ind w:left="771" w:hanging="770"/>
        <w:spacing w:line="360" w:lineRule="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13.3投标人应填写并提交招标文件所附的“资格证明文件”。</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14.投标保证金</w:t>
      </w:r>
      <w:r/>
    </w:p>
    <w:p>
      <w:pPr>
        <w:pStyle w:val="1073"/>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本项目不收取投标保证金,但必须随投标文件一并递交投标（响应）保证承诺书（投标函后），否则投标无效！</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15.投标管理费</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无。</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16.投标有效期</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16.1投标有效期为从开标之日起计算的90天。投标有效期比规定短的将被视为非响应投标而予以拒绝。</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16.2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17.投标文件制作和签署</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17.1 投标人应当按照《操作手册》规定，在招标公告规定的投标截止时间前制作并上传电子投标文件。招标代理机构拒绝接收提交投标文件截止时间后上传的任何电子投标文件。</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17.2 委托受托人必须将以书面形式出具的“授权委托书”附在投标文件正本中。投标文件签署授权委托书格式、签字、盖章及内容均应符合要求，否则投标文件签署授权委托书无效。</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17.3 除投标人对错处做必要修改外，投标文件不得行间插字、涂改或增删，如有修改错漏处，必须由投标人法定代表人或委托受托人签字。</w:t>
      </w:r>
      <w:r/>
    </w:p>
    <w:p>
      <w:pPr>
        <w:pStyle w:val="1070"/>
        <w:rPr>
          <w:color w:val="000000" w:themeColor="text1"/>
          <w:highlight w:val="none"/>
          <w14:textFill>
            <w14:solidFill>
              <w14:schemeClr w14:val="tx1"/>
            </w14:solidFill>
          </w14:textFill>
        </w:rPr>
      </w:pPr>
      <w:r/>
      <w:bookmarkStart w:id="43" w:name="_Toc18059"/>
      <w:r/>
      <w:bookmarkStart w:id="44" w:name="_Toc24890"/>
      <w:r>
        <w:rPr>
          <w:rFonts w:hint="eastAsia"/>
          <w:color w:val="000000" w:themeColor="text1"/>
          <w:highlight w:val="none"/>
          <w14:textFill>
            <w14:solidFill>
              <w14:schemeClr w14:val="tx1"/>
            </w14:solidFill>
          </w14:textFill>
        </w:rPr>
        <w:t xml:space="preserve">四、投标文件的递交</w:t>
      </w:r>
      <w:bookmarkEnd w:id="43"/>
      <w:r/>
      <w:bookmarkEnd w:id="44"/>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18.投标文件的递交</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投标人应当按照《操作手册》规定，在提交投标文件截止时间前制作并上传投标文件。</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19.投标截止日期</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19.1 投标人上传投标文件的时间不得迟于招标公告中规定的提交投标文件截止时间。投标人应充分考虑到网络环境、网络带宽等风险因素，如因投标人自身原因造成的投标文件上传不成功的按照第26.6条规定做无效投标处理。</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19.2招标代理机构可以按照规定，通过修改招标文件酌情延长提交投标文件截止日期，在此情况下，投标人的所有权利和义务以及投标人受制的截止日期均应以延长后新的截止日期为准。</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19.3投标文件由于不可抗力遗失和损坏,招标代理机构概不负责。</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20.</w:t>
      </w:r>
      <w:r>
        <w:rPr>
          <w:rFonts w:hint="eastAsia"/>
          <w:b/>
          <w:bCs/>
          <w:color w:val="000000" w:themeColor="text1"/>
          <w:highlight w:val="none"/>
          <w14:textFill>
            <w14:solidFill>
              <w14:schemeClr w14:val="tx1"/>
            </w14:solidFill>
          </w14:textFill>
        </w:rPr>
        <w:t xml:space="preserve"> </w:t>
      </w:r>
      <w:r>
        <w:rPr>
          <w:rFonts w:hint="eastAsia" w:ascii="宋体" w:hAnsi="宋体" w:cs="楷体_GB2312"/>
          <w:b/>
          <w:bCs/>
          <w:color w:val="000000" w:themeColor="text1"/>
          <w:szCs w:val="21"/>
          <w:highlight w:val="none"/>
          <w:lang w:val="zh-CN"/>
          <w14:textFill>
            <w14:solidFill>
              <w14:schemeClr w14:val="tx1"/>
            </w14:solidFill>
          </w14:textFill>
        </w:rPr>
        <w:t xml:space="preserve">投标文件的拒收</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招标代理机构拒绝接收在其规定的提交投标文件截止时间后上传的任何投标文件。</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21.投标文件的修改和撤回</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21.1投标文件的撤回</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投标人可在提交投标文件截止时间前，撤回其投标文件，具体操作方法见《操作手册》。投标人撤回投标文件，则认为其不再参与本项目招标采购活动。</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21.2投标文件的修改</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投标人可在提交投标文件截止时间前，对其投标文件进行修改，具体操作方法见《操作手册》。</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21.3在提交投标文件截止时间之后，投标人不得对其投标文件作任何修改。</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21.4在提交投标文件截止时间至招标文件中规定的投标有效期满之间的这段时间内，投标人不得撤回其投标文件。</w:t>
      </w:r>
      <w:r/>
    </w:p>
    <w:p>
      <w:pPr>
        <w:pStyle w:val="1070"/>
        <w:rPr>
          <w:color w:val="000000" w:themeColor="text1"/>
          <w:highlight w:val="none"/>
          <w14:textFill>
            <w14:solidFill>
              <w14:schemeClr w14:val="tx1"/>
            </w14:solidFill>
          </w14:textFill>
        </w:rPr>
      </w:pPr>
      <w:r/>
      <w:bookmarkStart w:id="45" w:name="_Toc25018"/>
      <w:r/>
      <w:bookmarkStart w:id="46" w:name="_Toc2537"/>
      <w:r>
        <w:rPr>
          <w:rFonts w:hint="eastAsia"/>
          <w:color w:val="000000" w:themeColor="text1"/>
          <w:highlight w:val="none"/>
          <w14:textFill>
            <w14:solidFill>
              <w14:schemeClr w14:val="tx1"/>
            </w14:solidFill>
          </w14:textFill>
        </w:rPr>
        <w:t xml:space="preserve">五、开标与评标</w:t>
      </w:r>
      <w:bookmarkEnd w:id="45"/>
      <w:r/>
      <w:bookmarkEnd w:id="46"/>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22.开标</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22.1招标代理机构在招标公告中规定的时间和地点组织公开开标。投标人按照《操作手册》规定参加开标活动，并在“苏采云”系统规定的时间内对投标文件进行解密。“苏采云”系统公布各投标人名称和投标价格。</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22.2 投标人在开标过程中涉及到的投标文件解密、开标结果确认等工作，应按照《操作手册》规定执行。投标人未参加开标的，视同认可开标结果。</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22.3投标人不足3家的，不得开标。</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22.4投标人如果对开标过程和开标结果有疑义，应当根据《操作手册》规定提出，“苏采云”系统中《开标记录表》公布后5分钟内未提出的，视同认可开标结果。</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23</w:t>
      </w:r>
      <w:r>
        <w:rPr>
          <w:rFonts w:hint="eastAsia" w:ascii="宋体" w:hAnsi="宋体" w:cs="楷体_GB2312"/>
          <w:b/>
          <w:bCs/>
          <w:color w:val="000000" w:themeColor="text1"/>
          <w:szCs w:val="21"/>
          <w:highlight w:val="none"/>
          <w14:textFill>
            <w14:solidFill>
              <w14:schemeClr w14:val="tx1"/>
            </w14:solidFill>
          </w14:textFill>
        </w:rPr>
        <w:t xml:space="preserve">.</w:t>
      </w:r>
      <w:r>
        <w:rPr>
          <w:rFonts w:hint="eastAsia" w:ascii="宋体" w:hAnsi="宋体" w:cs="楷体_GB2312"/>
          <w:b/>
          <w:bCs/>
          <w:color w:val="000000" w:themeColor="text1"/>
          <w:szCs w:val="21"/>
          <w:highlight w:val="none"/>
          <w:lang w:val="zh-CN"/>
          <w14:textFill>
            <w14:solidFill>
              <w14:schemeClr w14:val="tx1"/>
            </w14:solidFill>
          </w14:textFill>
        </w:rPr>
        <w:t xml:space="preserve">公开招标数额标准以上的采购项目，投标截止后投标人不足3家或者通过资格审查或符合性审查的投标人不足3家的，除采购任务取消情形外，按照以下方式处理：</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（1）招标文件存在不合理条款或者招标程序不符合规定的，招标人、招标代理机构改正后依法重新招标；</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（2）招标文件没有不合理条款、招标程序符合规定，需要采用其他采购方式采购的，招标人依法报财政部门批准，经批准后，可变更为其他采购方式采购。</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24.评标委员会</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24.1唱标结束后，招标代理机构将立即组织评标委员会（以下简称评委会）进行评标。</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24.2评委会由五人及以上单数的行业专家、招标人代表组成。</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24.3评委会独立开展工作，负责审议所有投标文件，并推荐中标候选人。</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24.4评委会应对投标人的商业、技术秘密予以保密。</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25.评标过程的保密</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25.1开标后，直至向中标的投标人授予合同时止，凡是与审查、澄清、评价和比较投标的有关资料以及授权建议等，均不得向任何投标人或与评标无关的其他人员透露。</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25.2在评标过程中，如果投标人试图向招标代理机构和参与评标的人员施加任何影响，都将会导致其投标被拒绝。</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25.3评标委员会名单应在开标前确定，并在招标结果确定前保密。</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26.对投标文件的初审</w:t>
      </w:r>
      <w:r/>
    </w:p>
    <w:p>
      <w:pPr>
        <w:spacing w:line="360" w:lineRule="auto"/>
        <w:rPr>
          <w:rFonts w:ascii="宋体" w:hAnsi="宋体" w:cs="楷体_GB2312"/>
          <w:color w:val="000000" w:themeColor="text1"/>
          <w:szCs w:val="21"/>
          <w:highlight w:val="none"/>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26.1开标后，招标代理机构将组织评委会对投标文件是否完整，有无计算上的错误，文件签署是否合格，投标文件是否大体编排有序且基本符合招标文件的要求。</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26.2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p>
    <w:p>
      <w:pPr>
        <w:ind w:firstLine="420"/>
        <w:spacing w:line="360" w:lineRule="auto"/>
        <w:rPr>
          <w:rFonts w:ascii="宋体" w:hAnsi="宋体" w:cs="楷体_GB2312"/>
          <w:b/>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评委会决定投标文件的响应性只根据投标文件本身的内容，而不寻求外部的证据。</w:t>
      </w:r>
      <w:r>
        <w:rPr>
          <w:rFonts w:hint="eastAsia" w:ascii="宋体" w:hAnsi="宋体" w:cs="楷体_GB2312"/>
          <w:b/>
          <w:color w:val="000000" w:themeColor="text1"/>
          <w:szCs w:val="21"/>
          <w:highlight w:val="none"/>
          <w:lang w:val="zh-CN"/>
          <w14:textFill>
            <w14:solidFill>
              <w14:schemeClr w14:val="tx1"/>
            </w14:solidFill>
          </w14:textFill>
        </w:rPr>
        <w:t xml:space="preserve">本招标文件中标注“</w:t>
      </w:r>
      <w:r>
        <w:rPr>
          <w:rFonts w:hint="eastAsia"/>
          <w:color w:val="000000" w:themeColor="text1"/>
          <w:szCs w:val="21"/>
          <w:highlight w:val="none"/>
          <w14:textFill>
            <w14:solidFill>
              <w14:schemeClr w14:val="tx1"/>
            </w14:solidFill>
          </w14:textFill>
        </w:rPr>
        <w:t xml:space="preserve">★</w:t>
      </w:r>
      <w:r>
        <w:rPr>
          <w:rFonts w:hint="eastAsia" w:ascii="宋体" w:hAnsi="宋体" w:cs="楷体_GB2312"/>
          <w:b/>
          <w:color w:val="000000" w:themeColor="text1"/>
          <w:szCs w:val="21"/>
          <w:highlight w:val="none"/>
          <w:lang w:val="zh-CN"/>
          <w14:textFill>
            <w14:solidFill>
              <w14:schemeClr w14:val="tx1"/>
            </w14:solidFill>
          </w14:textFill>
        </w:rPr>
        <w:t xml:space="preserve">”号的为关键技术参数和关键商务条款（如有的话），对这些关键技术参数和关键商务条款的任何负偏离将导致投标无效。</w:t>
      </w:r>
      <w:r>
        <w:rPr>
          <w:rFonts w:hint="eastAsia" w:ascii="宋体" w:hAnsi="宋体"/>
          <w:b/>
          <w:bCs/>
          <w:color w:val="000000" w:themeColor="text1"/>
          <w:szCs w:val="21"/>
          <w:highlight w:val="none"/>
          <w14:textFill>
            <w14:solidFill>
              <w14:schemeClr w14:val="tx1"/>
            </w14:solidFill>
          </w14:textFill>
        </w:rPr>
        <w:t xml:space="preserve">对打</w:t>
      </w:r>
      <w:r>
        <w:rPr>
          <w:rFonts w:hint="eastAsia" w:ascii="宋体" w:hAnsi="宋体" w:cs="楷体_GB2312"/>
          <w:b/>
          <w:color w:val="000000" w:themeColor="text1"/>
          <w:szCs w:val="21"/>
          <w:highlight w:val="none"/>
          <w:lang w:val="zh-CN"/>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w:t>
      </w:r>
      <w:r>
        <w:rPr>
          <w:rFonts w:hint="eastAsia" w:ascii="宋体" w:hAnsi="宋体" w:cs="楷体_GB2312"/>
          <w:b/>
          <w:color w:val="000000" w:themeColor="text1"/>
          <w:szCs w:val="21"/>
          <w:highlight w:val="none"/>
          <w:lang w:val="zh-CN"/>
          <w14:textFill>
            <w14:solidFill>
              <w14:schemeClr w14:val="tx1"/>
            </w14:solidFill>
          </w14:textFill>
        </w:rPr>
        <w:t xml:space="preserve">”</w:t>
      </w:r>
      <w:r>
        <w:rPr>
          <w:rFonts w:hint="eastAsia" w:ascii="宋体" w:hAnsi="宋体"/>
          <w:b/>
          <w:bCs/>
          <w:color w:val="000000" w:themeColor="text1"/>
          <w:szCs w:val="21"/>
          <w:highlight w:val="none"/>
          <w14:textFill>
            <w14:solidFill>
              <w14:schemeClr w14:val="tx1"/>
            </w14:solidFill>
          </w14:textFill>
        </w:rPr>
        <w:t xml:space="preserve">号技术参数，按招标文件规定提供有效证明资料，由有关政府部门或检测机构合法出具的文件或报告；需要承诺的，需提供承诺书原件。</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26.3如果投标文件实质上没有响应招标文件的要求，评委会将予以拒绝，投标人不得通过修改或撤销不合要求的偏离或保留而使其投标成为实质上响应的投标。</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26.4评委会将对确定为实质性响应的投标进行进一步审核，看其是否有计算上或累加上的算术错误，修正错误的原则如下：</w:t>
      </w:r>
      <w:r/>
    </w:p>
    <w:p>
      <w:pPr>
        <w:ind w:firstLine="422"/>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（1）投标文件中开标一览表（报价表）内容与投标文件中相应内容不一致的，以开标一览表（报价表）为准；</w:t>
      </w:r>
      <w:r/>
    </w:p>
    <w:p>
      <w:pPr>
        <w:ind w:firstLine="420"/>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（2）大写金额和小写金额不一致的，以大写金额为准；</w:t>
      </w:r>
      <w:r/>
    </w:p>
    <w:p>
      <w:pPr>
        <w:ind w:firstLine="420"/>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（3）单价金额小数点或者百分比有明显错位的，以开标一览表的总价为准，并修改单价；</w:t>
      </w:r>
      <w:r/>
    </w:p>
    <w:p>
      <w:pPr>
        <w:ind w:firstLine="420"/>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（4）总价金额与按单价汇总金额不一致的，以单价金额计算结果为准。只有在评委会认为单价有明显的小数点错误时，才能以标出的总价为准，并修改单价；</w:t>
      </w:r>
      <w:r/>
    </w:p>
    <w:p>
      <w:pPr>
        <w:ind w:firstLine="420"/>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（5）同时出现两种以上不一致的，按照前款规定的顺序修正。</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26.5评委会将按上述修正错误的方法调整投标文件中的投标报价，调整后的价格应对投标人具有约束力。如果投标人不接受修正后的价格，则其投标将被拒绝。</w:t>
      </w:r>
      <w:r/>
    </w:p>
    <w:p>
      <w:pPr>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26.6 异常低价投标审查</w:t>
      </w:r>
      <w:r/>
    </w:p>
    <w:p>
      <w:pPr>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26.6.1 采购评审中出现下列情形之一的，评审委员会应当启动异常低价投标（响应）审查程序：</w:t>
      </w:r>
      <w:r/>
    </w:p>
    <w:p>
      <w:pPr>
        <w:ind w:firstLine="42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（1）投标(响应)报价低于全部通过符合性审查投标人投标(响应)报价平均值</w:t>
      </w:r>
      <w:r>
        <w:rPr>
          <w:rFonts w:hint="eastAsia" w:ascii="宋体" w:hAnsi="宋体" w:cs="宋体"/>
          <w:b/>
          <w:bCs/>
          <w:color w:val="000000" w:themeColor="text1"/>
          <w:highlight w:val="none"/>
          <w:lang w:val="en-US" w:eastAsia="zh-CN"/>
          <w14:textFill>
            <w14:solidFill>
              <w14:schemeClr w14:val="tx1"/>
            </w14:solidFill>
          </w14:textFill>
        </w:rPr>
        <w:t xml:space="preserve">65</w:t>
      </w:r>
      <w:r>
        <w:rPr>
          <w:rFonts w:hint="eastAsia" w:ascii="宋体" w:hAnsi="宋体" w:cs="宋体"/>
          <w:b/>
          <w:bCs/>
          <w:color w:val="000000" w:themeColor="text1"/>
          <w:highlight w:val="none"/>
          <w14:textFill>
            <w14:solidFill>
              <w14:schemeClr w14:val="tx1"/>
            </w14:solidFill>
          </w14:textFill>
        </w:rPr>
        <w:t xml:space="preserve">%的，即投标(响应)报价&lt;全部通过符合性审查投标人投标(响应)报价平均值</w:t>
      </w: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65</w:t>
      </w:r>
      <w:r>
        <w:rPr>
          <w:rFonts w:hint="eastAsia" w:ascii="宋体" w:hAnsi="宋体" w:cs="宋体"/>
          <w:b/>
          <w:bCs/>
          <w:color w:val="000000" w:themeColor="text1"/>
          <w:highlight w:val="none"/>
          <w14:textFill>
            <w14:solidFill>
              <w14:schemeClr w14:val="tx1"/>
            </w14:solidFill>
          </w14:textFill>
        </w:rPr>
        <w:t xml:space="preserve">%;</w:t>
      </w:r>
      <w:r/>
    </w:p>
    <w:p>
      <w:pPr>
        <w:ind w:firstLine="42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（2）投标(响应)报价低于通过符合性审查的次低报价投标人投标(响应)报价</w:t>
      </w:r>
      <w:r>
        <w:rPr>
          <w:rFonts w:hint="eastAsia" w:ascii="宋体" w:hAnsi="宋体" w:cs="宋体"/>
          <w:b/>
          <w:bCs/>
          <w:color w:val="000000" w:themeColor="text1"/>
          <w:highlight w:val="none"/>
          <w:lang w:val="en-US" w:eastAsia="zh-CN"/>
          <w14:textFill>
            <w14:solidFill>
              <w14:schemeClr w14:val="tx1"/>
            </w14:solidFill>
          </w14:textFill>
        </w:rPr>
        <w:t xml:space="preserve">65</w:t>
      </w:r>
      <w:r>
        <w:rPr>
          <w:rFonts w:hint="eastAsia" w:ascii="宋体" w:hAnsi="宋体" w:cs="宋体"/>
          <w:b/>
          <w:bCs/>
          <w:color w:val="000000" w:themeColor="text1"/>
          <w:highlight w:val="none"/>
          <w14:textFill>
            <w14:solidFill>
              <w14:schemeClr w14:val="tx1"/>
            </w14:solidFill>
          </w14:textFill>
        </w:rPr>
        <w:t xml:space="preserve">%的，即投标(响应)报价&lt;通过符合性审查的次低报价投标人投标(响应)报价</w:t>
      </w: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65</w:t>
      </w:r>
      <w:r>
        <w:rPr>
          <w:rFonts w:hint="eastAsia" w:ascii="宋体" w:hAnsi="宋体" w:cs="宋体"/>
          <w:b/>
          <w:bCs/>
          <w:color w:val="000000" w:themeColor="text1"/>
          <w:highlight w:val="none"/>
          <w14:textFill>
            <w14:solidFill>
              <w14:schemeClr w14:val="tx1"/>
            </w14:solidFill>
          </w14:textFill>
        </w:rPr>
        <w:t xml:space="preserve">%;</w:t>
      </w:r>
      <w:r/>
    </w:p>
    <w:p>
      <w:pPr>
        <w:ind w:firstLine="42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（3）投标(响应)报价低于采购项目最高限价</w:t>
      </w:r>
      <w:r>
        <w:rPr>
          <w:rFonts w:hint="eastAsia" w:ascii="宋体" w:hAnsi="宋体" w:cs="宋体"/>
          <w:b/>
          <w:bCs/>
          <w:color w:val="000000" w:themeColor="text1"/>
          <w:highlight w:val="none"/>
          <w:lang w:val="en-US" w:eastAsia="zh-CN"/>
          <w14:textFill>
            <w14:solidFill>
              <w14:schemeClr w14:val="tx1"/>
            </w14:solidFill>
          </w14:textFill>
        </w:rPr>
        <w:t xml:space="preserve">60</w:t>
      </w:r>
      <w:r>
        <w:rPr>
          <w:rFonts w:hint="eastAsia" w:ascii="宋体" w:hAnsi="宋体" w:cs="宋体"/>
          <w:b/>
          <w:bCs/>
          <w:color w:val="000000" w:themeColor="text1"/>
          <w:highlight w:val="none"/>
          <w14:textFill>
            <w14:solidFill>
              <w14:schemeClr w14:val="tx1"/>
            </w14:solidFill>
          </w14:textFill>
        </w:rPr>
        <w:t xml:space="preserve">%的，即投标(响应)报价&lt;采购项目最高限价</w:t>
      </w: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60</w:t>
      </w:r>
      <w:r>
        <w:rPr>
          <w:rFonts w:hint="eastAsia" w:ascii="宋体" w:hAnsi="宋体" w:cs="宋体"/>
          <w:b/>
          <w:bCs/>
          <w:color w:val="000000" w:themeColor="text1"/>
          <w:highlight w:val="none"/>
          <w14:textFill>
            <w14:solidFill>
              <w14:schemeClr w14:val="tx1"/>
            </w14:solidFill>
          </w14:textFill>
        </w:rPr>
        <w:t xml:space="preserve">%(未设定最高限价的采购项目，以采购项目预算金额作为最高限价);</w:t>
      </w:r>
      <w:r/>
    </w:p>
    <w:p>
      <w:pPr>
        <w:ind w:firstLine="42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（4）评审委员会基于专业判断，认为投标人报价过低，有可能影响产品质量或者不能诚信履约的其他情形。</w:t>
      </w:r>
      <w:r/>
    </w:p>
    <w:p>
      <w:pPr>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26.6.2 评审委员会启动异常低价投标（响应）审查后，属于前述第1项至第4项情形的，将要求相关投标人在评审现场合理的时间内对投标（响应）价格作出解释，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w:t>
      </w:r>
      <w:r>
        <w:rPr>
          <w:rFonts w:hint="eastAsia" w:ascii="宋体" w:hAnsi="宋体" w:cs="楷体_GB2312"/>
          <w:color w:val="000000" w:themeColor="text1"/>
          <w:szCs w:val="21"/>
          <w:highlight w:val="none"/>
          <w14:textFill>
            <w14:solidFill>
              <w14:schemeClr w14:val="tx1"/>
            </w14:solidFill>
          </w14:textFill>
        </w:rPr>
        <w:t xml:space="preserve">7</w:t>
      </w:r>
      <w:r>
        <w:rPr>
          <w:rFonts w:hint="eastAsia" w:ascii="宋体" w:hAnsi="宋体" w:cs="楷体_GB2312"/>
          <w:color w:val="000000" w:themeColor="text1"/>
          <w:szCs w:val="21"/>
          <w:highlight w:val="none"/>
          <w:lang w:val="zh-CN"/>
          <w14:textFill>
            <w14:solidFill>
              <w14:schemeClr w14:val="tx1"/>
            </w14:solidFill>
          </w14:textFill>
        </w:rPr>
        <w:t xml:space="preserve">投标文件有下列情况之一的，应当在符合性检查时按照无效投标处理：</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（1）投标人在苏采云系统规定的时间内未成功解密</w:t>
      </w:r>
      <w:r>
        <w:rPr>
          <w:rFonts w:hint="eastAsia" w:ascii="宋体" w:hAnsi="宋体" w:cs="楷体_GB2312"/>
          <w:color w:val="000000" w:themeColor="text1"/>
          <w:szCs w:val="21"/>
          <w:highlight w:val="none"/>
          <w14:textFill>
            <w14:solidFill>
              <w14:schemeClr w14:val="tx1"/>
            </w14:solidFill>
          </w14:textFill>
        </w:rPr>
        <w:t xml:space="preserve">投标</w:t>
      </w:r>
      <w:r>
        <w:rPr>
          <w:rFonts w:hint="eastAsia" w:ascii="宋体" w:hAnsi="宋体" w:cs="楷体_GB2312"/>
          <w:color w:val="000000" w:themeColor="text1"/>
          <w:szCs w:val="21"/>
          <w:highlight w:val="none"/>
          <w:lang w:val="zh-CN"/>
          <w14:textFill>
            <w14:solidFill>
              <w14:schemeClr w14:val="tx1"/>
            </w14:solidFill>
          </w14:textFill>
        </w:rPr>
        <w:t xml:space="preserve">文件的；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（2）投标人未按照采购文件要求上传</w:t>
      </w:r>
      <w:r>
        <w:rPr>
          <w:rFonts w:hint="eastAsia" w:ascii="宋体" w:hAnsi="宋体" w:cs="楷体_GB2312"/>
          <w:color w:val="000000" w:themeColor="text1"/>
          <w:szCs w:val="21"/>
          <w:highlight w:val="none"/>
          <w14:textFill>
            <w14:solidFill>
              <w14:schemeClr w14:val="tx1"/>
            </w14:solidFill>
          </w14:textFill>
        </w:rPr>
        <w:t xml:space="preserve">投标</w:t>
      </w:r>
      <w:r>
        <w:rPr>
          <w:rFonts w:hint="eastAsia" w:ascii="宋体" w:hAnsi="宋体" w:cs="楷体_GB2312"/>
          <w:color w:val="000000" w:themeColor="text1"/>
          <w:szCs w:val="21"/>
          <w:highlight w:val="none"/>
          <w:lang w:val="zh-CN"/>
          <w14:textFill>
            <w14:solidFill>
              <w14:schemeClr w14:val="tx1"/>
            </w14:solidFill>
          </w14:textFill>
        </w:rPr>
        <w:t xml:space="preserve">文件的；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（3）同一投标人提交两个（含两个）以上不同的响应文件或者最后报价的；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（4）投标人不具备采购文件中规定资格要求的；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（5）投标人的最后报价超过了采购预算；</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（6）不符合采购文件中规定的实质性要求和条件的；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（7）响应文件含有招标人不能接受的附加条件的； </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（8）响应文件未按照采购文件要求加盖CA电子公章的；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（9）不符合法律、法规和采购文件中规定的其他实质性要求的。</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w:t>
      </w:r>
      <w:r>
        <w:rPr>
          <w:rFonts w:hint="eastAsia" w:ascii="宋体" w:hAnsi="宋体" w:cs="楷体_GB2312"/>
          <w:color w:val="000000" w:themeColor="text1"/>
          <w:szCs w:val="21"/>
          <w:highlight w:val="none"/>
          <w14:textFill>
            <w14:solidFill>
              <w14:schemeClr w14:val="tx1"/>
            </w14:solidFill>
          </w14:textFill>
        </w:rPr>
        <w:t xml:space="preserve">8</w:t>
      </w:r>
      <w:r>
        <w:rPr>
          <w:rFonts w:hint="eastAsia" w:ascii="宋体" w:hAnsi="宋体" w:cs="楷体_GB2312"/>
          <w:color w:val="000000" w:themeColor="text1"/>
          <w:szCs w:val="21"/>
          <w:highlight w:val="none"/>
          <w:lang w:val="zh-CN"/>
          <w14:textFill>
            <w14:solidFill>
              <w14:schemeClr w14:val="tx1"/>
            </w14:solidFill>
          </w14:textFill>
        </w:rPr>
        <w:t xml:space="preserve">在招标采购中，出现下列情形之一的，应予废标：</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（1）符合专业条件的投标人或者对招标文件作实质响应的投标人不足三家且评委会认定剩余有效投标报价无市场竞争性的；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（2）出现影响采购公正的违法、违规行为的；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（3）投标人的报价均超过了采购预算，招标人不能支付的；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（4）因重大变故，采购任务取消的。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废标后，招标人应当将废标理由通知所有投标人。</w:t>
      </w:r>
      <w:r/>
    </w:p>
    <w:p>
      <w:pPr>
        <w:spacing w:line="360" w:lineRule="auto"/>
        <w:rPr>
          <w:rFonts w:ascii="宋体" w:hAnsi="宋体" w:cs="楷体_GB2312"/>
          <w:b/>
          <w:color w:val="000000" w:themeColor="text1"/>
          <w:szCs w:val="21"/>
          <w:highlight w:val="none"/>
          <w:lang w:val="zh-CN"/>
          <w14:textFill>
            <w14:solidFill>
              <w14:schemeClr w14:val="tx1"/>
            </w14:solidFill>
          </w14:textFill>
        </w:rPr>
      </w:pPr>
      <w:r>
        <w:rPr>
          <w:rFonts w:ascii="宋体" w:hAnsi="宋体" w:cs="楷体_GB2312"/>
          <w:b/>
          <w:color w:val="000000" w:themeColor="text1"/>
          <w:szCs w:val="21"/>
          <w:highlight w:val="none"/>
          <w:lang w:val="zh-CN"/>
          <w14:textFill>
            <w14:solidFill>
              <w14:schemeClr w14:val="tx1"/>
            </w14:solidFill>
          </w14:textFill>
        </w:rPr>
        <w:t xml:space="preserve">26.</w:t>
      </w:r>
      <w:r>
        <w:rPr>
          <w:rFonts w:hint="eastAsia" w:ascii="宋体" w:hAnsi="宋体" w:cs="楷体_GB2312"/>
          <w:b/>
          <w:color w:val="000000" w:themeColor="text1"/>
          <w:szCs w:val="21"/>
          <w:highlight w:val="none"/>
          <w14:textFill>
            <w14:solidFill>
              <w14:schemeClr w14:val="tx1"/>
            </w14:solidFill>
          </w14:textFill>
        </w:rPr>
        <w:t xml:space="preserve">9</w:t>
      </w:r>
      <w:r>
        <w:rPr>
          <w:rFonts w:hint="eastAsia" w:ascii="宋体" w:hAnsi="宋体" w:cs="楷体_GB2312"/>
          <w:b/>
          <w:color w:val="000000" w:themeColor="text1"/>
          <w:szCs w:val="21"/>
          <w:highlight w:val="none"/>
          <w:lang w:val="zh-CN"/>
          <w14:textFill>
            <w14:solidFill>
              <w14:schemeClr w14:val="tx1"/>
            </w14:solidFill>
          </w14:textFill>
        </w:rPr>
        <w:t xml:space="preserve">投标人投标文件中的相应证明材料必须真实，一旦经发现存在弄虚作假行为，将直接导致投标无效，并将弄虚作假行为纳入相关企业诚信名单，从投标截止日起三年内不得参加招标人组织的各类招标活动。</w:t>
      </w:r>
      <w:r/>
    </w:p>
    <w:p>
      <w:pPr>
        <w:spacing w:line="360" w:lineRule="auto"/>
        <w:widowControl/>
        <w:rPr>
          <w:rFonts w:ascii="宋体" w:hAnsi="宋体" w:cs="楷体_GB2312"/>
          <w:b/>
          <w:color w:val="000000" w:themeColor="text1"/>
          <w:szCs w:val="21"/>
          <w:highlight w:val="none"/>
          <w:lang w:val="zh-CN"/>
          <w14:textFill>
            <w14:solidFill>
              <w14:schemeClr w14:val="tx1"/>
            </w14:solidFill>
          </w14:textFill>
        </w:rPr>
      </w:pPr>
      <w:r>
        <w:rPr>
          <w:rFonts w:hint="eastAsia" w:ascii="宋体" w:hAnsi="宋体" w:cs="楷体_GB2312"/>
          <w:b/>
          <w:color w:val="000000" w:themeColor="text1"/>
          <w:szCs w:val="21"/>
          <w:highlight w:val="none"/>
          <w:lang w:val="zh-CN"/>
          <w14:textFill>
            <w14:solidFill>
              <w14:schemeClr w14:val="tx1"/>
            </w14:solidFill>
          </w14:textFill>
        </w:rPr>
        <w:t xml:space="preserve">26.</w:t>
      </w:r>
      <w:r>
        <w:rPr>
          <w:rFonts w:hint="eastAsia" w:ascii="宋体" w:hAnsi="宋体" w:cs="楷体_GB2312"/>
          <w:b/>
          <w:color w:val="000000" w:themeColor="text1"/>
          <w:szCs w:val="21"/>
          <w:highlight w:val="none"/>
          <w14:textFill>
            <w14:solidFill>
              <w14:schemeClr w14:val="tx1"/>
            </w14:solidFill>
          </w14:textFill>
        </w:rPr>
        <w:t xml:space="preserve">10</w:t>
      </w:r>
      <w:r>
        <w:rPr>
          <w:rFonts w:ascii="宋体" w:hAnsi="宋体" w:cs="楷体_GB2312"/>
          <w:b/>
          <w:color w:val="000000" w:themeColor="text1"/>
          <w:szCs w:val="21"/>
          <w:highlight w:val="none"/>
          <w:lang w:val="zh-CN"/>
          <w14:textFill>
            <w14:solidFill>
              <w14:schemeClr w14:val="tx1"/>
            </w14:solidFill>
          </w14:textFill>
        </w:rPr>
        <w:t xml:space="preserve">若有不同投标人提供相同品牌的核心产品（</w:t>
      </w:r>
      <w:r>
        <w:rPr>
          <w:rFonts w:hint="eastAsia" w:ascii="宋体" w:hAnsi="宋体" w:cs="楷体_GB2312"/>
          <w:b/>
          <w:color w:val="000000" w:themeColor="text1"/>
          <w:szCs w:val="21"/>
          <w:highlight w:val="none"/>
          <w:lang w:val="zh-CN"/>
          <w14:textFill>
            <w14:solidFill>
              <w14:schemeClr w14:val="tx1"/>
            </w14:solidFill>
          </w14:textFill>
        </w:rPr>
        <w:t xml:space="preserve">各包核心产品详见“</w:t>
      </w:r>
      <w:r>
        <w:rPr>
          <w:rFonts w:ascii="宋体" w:hAnsi="宋体" w:cs="楷体_GB2312"/>
          <w:b/>
          <w:color w:val="000000" w:themeColor="text1"/>
          <w:szCs w:val="21"/>
          <w:highlight w:val="none"/>
          <w:lang w:val="zh-CN"/>
          <w14:textFill>
            <w14:solidFill>
              <w14:schemeClr w14:val="tx1"/>
            </w14:solidFill>
          </w14:textFill>
        </w:rPr>
        <w:t xml:space="preserve">第四章招标内容与技术要求</w:t>
      </w:r>
      <w:r>
        <w:rPr>
          <w:rFonts w:hint="eastAsia" w:ascii="宋体" w:hAnsi="宋体" w:cs="楷体_GB2312"/>
          <w:b/>
          <w:color w:val="000000" w:themeColor="text1"/>
          <w:szCs w:val="21"/>
          <w:highlight w:val="none"/>
          <w:lang w:val="zh-CN"/>
          <w14:textFill>
            <w14:solidFill>
              <w14:schemeClr w14:val="tx1"/>
            </w14:solidFill>
          </w14:textFill>
        </w:rPr>
        <w:t xml:space="preserve">”</w:t>
      </w:r>
      <w:r>
        <w:rPr>
          <w:rFonts w:ascii="宋体" w:hAnsi="宋体" w:cs="楷体_GB2312"/>
          <w:b/>
          <w:color w:val="000000" w:themeColor="text1"/>
          <w:szCs w:val="21"/>
          <w:highlight w:val="none"/>
          <w:lang w:val="zh-CN"/>
          <w14:textFill>
            <w14:solidFill>
              <w14:schemeClr w14:val="tx1"/>
            </w14:solidFill>
          </w14:textFill>
        </w:rPr>
        <w:t xml:space="preserve">）且通过资格审查、符合性审查</w:t>
      </w:r>
      <w:r>
        <w:rPr>
          <w:rFonts w:hint="eastAsia" w:ascii="宋体" w:hAnsi="宋体" w:cs="楷体_GB2312"/>
          <w:b/>
          <w:color w:val="000000" w:themeColor="text1"/>
          <w:szCs w:val="21"/>
          <w:highlight w:val="none"/>
          <w:lang w:val="zh-CN"/>
          <w14:textFill>
            <w14:solidFill>
              <w14:schemeClr w14:val="tx1"/>
            </w14:solidFill>
          </w14:textFill>
        </w:rPr>
        <w:t xml:space="preserve">，</w:t>
      </w:r>
      <w:r>
        <w:rPr>
          <w:rFonts w:ascii="宋体" w:hAnsi="宋体" w:cs="楷体_GB2312"/>
          <w:b/>
          <w:color w:val="000000" w:themeColor="text1"/>
          <w:szCs w:val="21"/>
          <w:highlight w:val="none"/>
          <w:lang w:val="zh-CN"/>
          <w14:textFill>
            <w14:solidFill>
              <w14:schemeClr w14:val="tx1"/>
            </w14:solidFill>
          </w14:textFill>
        </w:rPr>
        <w:t xml:space="preserve">参加同一合同项下投标的，按一家投标人计算，评审后得分最高的同品牌投标人获得中标人推荐资格；评审得分相同的，投标报价最低者获得中标人推荐资格；评标得分且投标报价均相同的，则按技术评审分数得分最高者获得中标人推荐资格。</w:t>
      </w:r>
      <w:r/>
    </w:p>
    <w:p>
      <w:pPr>
        <w:spacing w:line="360" w:lineRule="auto"/>
        <w:widowControl/>
        <w:rPr>
          <w:rFonts w:ascii="宋体" w:hAnsi="宋体" w:cs="楷体_GB2312"/>
          <w:b/>
          <w:color w:val="000000" w:themeColor="text1"/>
          <w:szCs w:val="21"/>
          <w:highlight w:val="none"/>
          <w:lang w:val="zh-CN"/>
          <w14:textFill>
            <w14:solidFill>
              <w14:schemeClr w14:val="tx1"/>
            </w14:solidFill>
          </w14:textFill>
        </w:rPr>
      </w:pPr>
      <w:r>
        <w:rPr>
          <w:rFonts w:hint="eastAsia" w:ascii="宋体" w:hAnsi="宋体" w:cs="楷体_GB2312"/>
          <w:b/>
          <w:color w:val="000000" w:themeColor="text1"/>
          <w:szCs w:val="21"/>
          <w:highlight w:val="none"/>
          <w:lang w:val="zh-CN"/>
          <w14:textFill>
            <w14:solidFill>
              <w14:schemeClr w14:val="tx1"/>
            </w14:solidFill>
          </w14:textFill>
        </w:rPr>
        <w:t xml:space="preserve">26.11</w:t>
      </w:r>
      <w:r>
        <w:rPr>
          <w:rFonts w:hint="eastAsia" w:ascii="宋体" w:hAnsi="宋体" w:cs="楷体_GB2312"/>
          <w:b/>
          <w:color w:val="000000" w:themeColor="text1"/>
          <w:szCs w:val="21"/>
          <w:highlight w:val="none"/>
          <w14:textFill>
            <w14:solidFill>
              <w14:schemeClr w14:val="tx1"/>
            </w14:solidFill>
          </w14:textFill>
        </w:rPr>
        <w:t xml:space="preserve">投标人所提供的产品或服务，必须满足国家相关强制性规定要求（如生产许可证、CCC认证、医疗器械注册证、电器电子产品有害物质限制使用标识等）；由于投标人违反国家相关强制性规定给招标人造成损失，一切责任和后果均由投标人承担。</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27.投标文件的澄清</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在评标期间，为有助于对投标文件的审查、评价和比较，评委会有权要求投标人对其投标文件进行澄清，但并非对每个投标人都作澄清要求。</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28.评标办法</w:t>
      </w:r>
      <w:r/>
    </w:p>
    <w:p>
      <w:pPr>
        <w:pStyle w:val="883"/>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28.1经</w:t>
      </w:r>
      <w:r>
        <w:rPr>
          <w:rFonts w:ascii="宋体" w:hAnsi="宋体" w:eastAsia="宋体"/>
          <w:b/>
          <w:color w:val="000000" w:themeColor="text1"/>
          <w:sz w:val="21"/>
          <w:szCs w:val="21"/>
          <w:highlight w:val="none"/>
          <w14:textFill>
            <w14:solidFill>
              <w14:schemeClr w14:val="tx1"/>
            </w14:solidFill>
          </w14:textFill>
        </w:rPr>
        <w:t xml:space="preserve">评审的最低价</w:t>
      </w:r>
      <w:r>
        <w:rPr>
          <w:rFonts w:hint="eastAsia" w:ascii="宋体" w:hAnsi="宋体" w:eastAsia="宋体"/>
          <w:b/>
          <w:color w:val="000000" w:themeColor="text1"/>
          <w:sz w:val="21"/>
          <w:szCs w:val="21"/>
          <w:highlight w:val="none"/>
          <w14:textFill>
            <w14:solidFill>
              <w14:schemeClr w14:val="tx1"/>
            </w14:solidFill>
          </w14:textFill>
        </w:rPr>
        <w:t xml:space="preserve">法—不采用。</w:t>
      </w:r>
      <w:r/>
    </w:p>
    <w:p>
      <w:pPr>
        <w:spacing w:line="360" w:lineRule="auto"/>
        <w:rPr>
          <w:rFonts w:ascii="宋体" w:hAnsi="宋体" w:cs="楷体_GB2312"/>
          <w:b/>
          <w:color w:val="000000" w:themeColor="text1"/>
          <w:szCs w:val="21"/>
          <w:highlight w:val="none"/>
          <w:lang w:val="zh-CN"/>
          <w14:textFill>
            <w14:solidFill>
              <w14:schemeClr w14:val="tx1"/>
            </w14:solidFill>
          </w14:textFill>
        </w:rPr>
      </w:pPr>
      <w:r>
        <w:rPr>
          <w:rFonts w:hint="eastAsia" w:ascii="宋体" w:hAnsi="宋体" w:cs="楷体_GB2312"/>
          <w:b/>
          <w:color w:val="000000" w:themeColor="text1"/>
          <w:szCs w:val="21"/>
          <w:highlight w:val="none"/>
          <w:lang w:val="zh-CN"/>
          <w14:textFill>
            <w14:solidFill>
              <w14:schemeClr w14:val="tx1"/>
            </w14:solidFill>
          </w14:textFill>
        </w:rPr>
        <w:t xml:space="preserve">28.</w:t>
      </w:r>
      <w:r>
        <w:rPr>
          <w:rFonts w:ascii="宋体" w:hAnsi="宋体" w:cs="楷体_GB2312"/>
          <w:b/>
          <w:color w:val="000000" w:themeColor="text1"/>
          <w:szCs w:val="21"/>
          <w:highlight w:val="none"/>
          <w:lang w:val="zh-CN"/>
          <w14:textFill>
            <w14:solidFill>
              <w14:schemeClr w14:val="tx1"/>
            </w14:solidFill>
          </w14:textFill>
        </w:rPr>
        <w:t xml:space="preserve">2</w:t>
      </w:r>
      <w:r>
        <w:rPr>
          <w:rFonts w:hint="eastAsia" w:ascii="宋体" w:hAnsi="宋体" w:cs="楷体_GB2312"/>
          <w:b/>
          <w:color w:val="000000" w:themeColor="text1"/>
          <w:szCs w:val="21"/>
          <w:highlight w:val="none"/>
          <w:lang w:val="zh-CN"/>
          <w14:textFill>
            <w14:solidFill>
              <w14:schemeClr w14:val="tx1"/>
            </w14:solidFill>
          </w14:textFill>
        </w:rPr>
        <w:t xml:space="preserve">综合评分法：是指对</w:t>
      </w:r>
      <w:r>
        <w:rPr>
          <w:rFonts w:hint="eastAsia" w:ascii="宋体" w:hAnsi="宋体" w:cs="楷体_GB2312"/>
          <w:b/>
          <w:color w:val="000000" w:themeColor="text1"/>
          <w:szCs w:val="21"/>
          <w:highlight w:val="none"/>
          <w14:textFill>
            <w14:solidFill>
              <w14:schemeClr w14:val="tx1"/>
            </w14:solidFill>
          </w14:textFill>
        </w:rPr>
        <w:t xml:space="preserve">各</w:t>
      </w:r>
      <w:r>
        <w:rPr>
          <w:rFonts w:hint="eastAsia" w:ascii="宋体" w:hAnsi="宋体" w:cs="楷体_GB2312"/>
          <w:b/>
          <w:color w:val="000000" w:themeColor="text1"/>
          <w:szCs w:val="21"/>
          <w:highlight w:val="none"/>
          <w:lang w:val="zh-CN"/>
          <w14:textFill>
            <w14:solidFill>
              <w14:schemeClr w14:val="tx1"/>
            </w14:solidFill>
          </w14:textFill>
        </w:rPr>
        <w:t xml:space="preserve">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细则附后。</w:t>
      </w:r>
      <w:r/>
    </w:p>
    <w:p>
      <w:pPr>
        <w:pStyle w:val="1070"/>
        <w:rPr>
          <w:rFonts w:ascii="宋体" w:hAnsi="宋体"/>
          <w:color w:val="000000" w:themeColor="text1"/>
          <w:highlight w:val="none"/>
          <w14:textFill>
            <w14:solidFill>
              <w14:schemeClr w14:val="tx1"/>
            </w14:solidFill>
          </w14:textFill>
        </w:rPr>
      </w:pPr>
      <w:r/>
      <w:bookmarkStart w:id="47" w:name="_Toc7056"/>
      <w:r/>
      <w:bookmarkStart w:id="48" w:name="_Toc28226"/>
      <w:r>
        <w:rPr>
          <w:rFonts w:hint="eastAsia" w:ascii="宋体" w:hAnsi="宋体"/>
          <w:color w:val="000000" w:themeColor="text1"/>
          <w:highlight w:val="none"/>
          <w14:textFill>
            <w14:solidFill>
              <w14:schemeClr w14:val="tx1"/>
            </w14:solidFill>
          </w14:textFill>
        </w:rPr>
        <w:t xml:space="preserve">六、授予合同</w:t>
      </w:r>
      <w:bookmarkEnd w:id="47"/>
      <w:r/>
      <w:bookmarkEnd w:id="48"/>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29.合同授予标准</w:t>
      </w:r>
      <w:r/>
    </w:p>
    <w:p>
      <w:pPr>
        <w:spacing w:line="360" w:lineRule="auto"/>
        <w:tabs>
          <w:tab w:val="left" w:pos="3435" w:leader="none"/>
        </w:tabs>
        <w:rPr>
          <w:rFonts w:ascii="宋体" w:hAnsi="宋体"/>
          <w:color w:val="000000" w:themeColor="text1"/>
          <w:szCs w:val="21"/>
          <w:highlight w:val="none"/>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29.1评委会按第26条规定对实质上响应招标文件要求的投标人进行综合评审，最终按综合评审得分由高到低的顺序推荐出</w:t>
      </w:r>
      <w:r>
        <w:rPr>
          <w:rFonts w:hint="eastAsia" w:ascii="宋体" w:hAnsi="宋体"/>
          <w:color w:val="000000" w:themeColor="text1"/>
          <w:szCs w:val="21"/>
          <w:highlight w:val="none"/>
          <w14:textFill>
            <w14:solidFill>
              <w14:schemeClr w14:val="tx1"/>
            </w14:solidFill>
          </w14:textFill>
        </w:rPr>
        <w:t xml:space="preserve">3名</w:t>
      </w:r>
      <w:r>
        <w:rPr>
          <w:rFonts w:hint="eastAsia" w:ascii="宋体" w:hAnsi="宋体" w:cs="楷体_GB2312"/>
          <w:color w:val="000000" w:themeColor="text1"/>
          <w:szCs w:val="21"/>
          <w:highlight w:val="none"/>
          <w:lang w:val="zh-CN"/>
          <w14:textFill>
            <w14:solidFill>
              <w14:schemeClr w14:val="tx1"/>
            </w14:solidFill>
          </w14:textFill>
        </w:rPr>
        <w:t xml:space="preserve">中标候选人，</w:t>
      </w:r>
      <w:r>
        <w:rPr>
          <w:rFonts w:hint="eastAsia" w:ascii="宋体" w:hAnsi="宋体"/>
          <w:color w:val="000000" w:themeColor="text1"/>
          <w:szCs w:val="21"/>
          <w:highlight w:val="none"/>
          <w14:textFill>
            <w14:solidFill>
              <w14:schemeClr w14:val="tx1"/>
            </w14:solidFill>
          </w14:textFill>
        </w:rPr>
        <w:t xml:space="preserve">得分相同的，按投标报价由低到高顺序排列；得分且投标报价相同的，按技术方案优劣顺序排列</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招标人根据评标委员会推荐的中标候选人排序确定</w:t>
      </w:r>
      <w:r>
        <w:rPr>
          <w:rFonts w:ascii="宋体" w:hAnsi="宋体"/>
          <w:color w:val="000000" w:themeColor="text1"/>
          <w:szCs w:val="21"/>
          <w:highlight w:val="none"/>
          <w14:textFill>
            <w14:solidFill>
              <w14:schemeClr w14:val="tx1"/>
            </w14:solidFill>
          </w14:textFill>
        </w:rPr>
        <w:t xml:space="preserve">1名中标人。</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29.2招标人确定中标人。</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30.投标人不得对招标文件做实质性更改</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30.1投标人不得对招标文件中确定的数量、单价和其他条款和条件作出任何实质性改变。</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31.招标代理机构接受和拒绝任何或所有投标的权利</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31.1招标代理机构保留在授标之前任何时候接受或拒绝任何投标，宣布招标程序无效或拒绝所有投标的权力，对受影响的投标人不承担任何责任，也无义务将这样做的理由通知受影响的投标人。</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32.中标通知书</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32.1招标代理机构在投标有效期期满之前，将以书面形式通知中标人，并确认其投标已被接受。</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32.2中标人在接到招标代理机构通知后五个工作日内必须到招标代理机构领取中标通知书并办理相关交费手续，逾期未办理作自动放弃处理。</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32.3中标通知书将是合同的组成部分。</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33.签订合同</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33.1中标人应按中标通知书指定的时间、地点与招标人签订合同。招标文件、中标人的投标文件及澄清文件等，均为签订合同的依据。</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33.2中标人自中标通知书发出之日起三十日内无正当理由不与招标人签订合同的，将按财政部第87号令相关规定进行处理。</w:t>
      </w:r>
      <w:r/>
    </w:p>
    <w:p>
      <w:pPr>
        <w:spacing w:line="360" w:lineRule="auto"/>
        <w:rPr>
          <w:color w:val="000000" w:themeColor="text1"/>
          <w:highlight w:val="none"/>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33.3 </w:t>
      </w:r>
      <w:bookmarkStart w:id="49" w:name="_Hlk198486341"/>
      <w:r>
        <w:rPr>
          <w:rFonts w:hint="eastAsia" w:ascii="宋体" w:hAnsi="宋体" w:cs="楷体_GB2312"/>
          <w:color w:val="000000" w:themeColor="text1"/>
          <w:szCs w:val="21"/>
          <w:highlight w:val="none"/>
          <w:lang w:val="zh-CN"/>
          <w14:textFill>
            <w14:solidFill>
              <w14:schemeClr w14:val="tx1"/>
            </w14:solidFill>
          </w14:textFill>
        </w:rPr>
        <w:t xml:space="preserve">签订合同后，中标人不得将合同标的进行转包。未经招标人同意，中标人也不得采用分包的形式履行合同，否则招标人有权终止合同。转包或分包造成招标人损失的，中标人应承担相应赔偿责任。</w:t>
      </w:r>
      <w:bookmarkEnd w:id="49"/>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34.履约保证金</w:t>
      </w:r>
      <w:r/>
    </w:p>
    <w:p>
      <w:pPr>
        <w:spacing w:line="360" w:lineRule="auto"/>
        <w:rPr>
          <w:rFonts w:hint="eastAsia"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bCs w:val="0"/>
          <w:color w:val="000000" w:themeColor="text1"/>
          <w:szCs w:val="21"/>
          <w:highlight w:val="none"/>
          <w:lang w:val="zh-CN"/>
          <w14:textFill>
            <w14:solidFill>
              <w14:schemeClr w14:val="tx1"/>
            </w14:solidFill>
          </w14:textFill>
        </w:rPr>
        <w:t xml:space="preserve">金额为合同金额的</w:t>
      </w:r>
      <w:r>
        <w:rPr>
          <w:rFonts w:hint="eastAsia" w:ascii="宋体" w:hAnsi="宋体" w:cs="楷体_GB2312"/>
          <w:bCs w:val="0"/>
          <w:color w:val="000000" w:themeColor="text1"/>
          <w:szCs w:val="21"/>
          <w:highlight w:val="none"/>
          <w:lang w:val="zh-CN" w:eastAsia="zh-CN"/>
          <w14:textFill>
            <w14:solidFill>
              <w14:schemeClr w14:val="tx1"/>
            </w14:solidFill>
          </w14:textFill>
        </w:rPr>
        <w:t xml:space="preserve">10</w:t>
      </w:r>
      <w:r>
        <w:rPr>
          <w:rFonts w:hint="eastAsia" w:ascii="宋体" w:hAnsi="宋体" w:cs="楷体_GB2312"/>
          <w:bCs w:val="0"/>
          <w:color w:val="000000" w:themeColor="text1"/>
          <w:szCs w:val="21"/>
          <w:highlight w:val="none"/>
          <w:lang w:val="zh-CN"/>
          <w14:textFill>
            <w14:solidFill>
              <w14:schemeClr w14:val="tx1"/>
            </w14:solidFill>
          </w14:textFill>
        </w:rPr>
        <w:t xml:space="preserve">%，形式为履约</w:t>
      </w:r>
      <w:r>
        <w:rPr>
          <w:rFonts w:hint="eastAsia" w:ascii="宋体" w:hAnsi="宋体" w:cs="楷体_GB2312"/>
          <w:bCs w:val="0"/>
          <w:color w:val="000000" w:themeColor="text1"/>
          <w:szCs w:val="21"/>
          <w:highlight w:val="none"/>
          <w:lang w:val="zh-CN" w:eastAsia="zh-CN"/>
          <w14:textFill>
            <w14:solidFill>
              <w14:schemeClr w14:val="tx1"/>
            </w14:solidFill>
          </w14:textFill>
        </w:rPr>
        <w:t xml:space="preserve">保证金（</w:t>
      </w:r>
      <w:r>
        <w:rPr>
          <w:rFonts w:hint="eastAsia" w:ascii="宋体" w:hAnsi="宋体" w:cs="楷体_GB2312"/>
          <w:color w:val="000000" w:themeColor="text1"/>
          <w:szCs w:val="21"/>
          <w:highlight w:val="none"/>
          <w:u w:val="none"/>
          <w:lang w:val="zh-CN"/>
          <w14:textFill>
            <w14:solidFill>
              <w14:schemeClr w14:val="tx1"/>
            </w14:solidFill>
          </w14:textFill>
        </w:rPr>
        <w:t xml:space="preserve">电汇、网银转账</w:t>
      </w:r>
      <w:r>
        <w:rPr>
          <w:rFonts w:hint="eastAsia" w:ascii="宋体" w:hAnsi="宋体" w:cs="楷体_GB2312"/>
          <w:bCs w:val="0"/>
          <w:color w:val="000000" w:themeColor="text1"/>
          <w:szCs w:val="21"/>
          <w:highlight w:val="none"/>
          <w:lang w:val="zh-CN" w:eastAsia="zh-CN"/>
          <w14:textFill>
            <w14:solidFill>
              <w14:schemeClr w14:val="tx1"/>
            </w14:solidFill>
          </w14:textFill>
        </w:rPr>
        <w:t xml:space="preserve">）</w:t>
      </w:r>
      <w:r>
        <w:rPr>
          <w:rFonts w:hint="eastAsia" w:ascii="宋体" w:hAnsi="宋体" w:cs="楷体_GB2312"/>
          <w:bCs w:val="0"/>
          <w:color w:val="000000" w:themeColor="text1"/>
          <w:szCs w:val="21"/>
          <w:highlight w:val="none"/>
          <w:lang w:val="zh-CN"/>
          <w14:textFill>
            <w14:solidFill>
              <w14:schemeClr w14:val="tx1"/>
            </w14:solidFill>
          </w14:textFill>
        </w:rPr>
        <w:t xml:space="preserve">。中标人必须在合同签订之前向招标人缴纳</w:t>
      </w:r>
      <w:r>
        <w:rPr>
          <w:rFonts w:hint="eastAsia" w:ascii="宋体" w:hAnsi="宋体" w:cs="楷体_GB2312"/>
          <w:bCs w:val="0"/>
          <w:color w:val="000000" w:themeColor="text1"/>
          <w:szCs w:val="21"/>
          <w:highlight w:val="none"/>
          <w:lang w:val="zh-CN" w:eastAsia="zh-CN"/>
          <w14:textFill>
            <w14:solidFill>
              <w14:schemeClr w14:val="tx1"/>
            </w14:solidFill>
          </w14:textFill>
        </w:rPr>
        <w:t xml:space="preserve">。</w:t>
      </w:r>
      <w:r>
        <w:rPr>
          <w:rFonts w:hint="eastAsia" w:ascii="宋体" w:hAnsi="宋体" w:cs="楷体_GB2312"/>
          <w:color w:val="000000" w:themeColor="text1"/>
          <w:szCs w:val="21"/>
          <w:highlight w:val="none"/>
          <w:lang w:val="zh-CN"/>
          <w14:textFill>
            <w14:solidFill>
              <w14:schemeClr w14:val="tx1"/>
            </w14:solidFill>
          </w14:textFill>
        </w:rPr>
        <w:t xml:space="preserve">待合同履约完成</w:t>
      </w:r>
      <w:r>
        <w:rPr>
          <w:rFonts w:hint="eastAsia" w:ascii="宋体" w:hAnsi="宋体" w:cs="楷体_GB2312"/>
          <w:color w:val="000000" w:themeColor="text1"/>
          <w:szCs w:val="21"/>
          <w:highlight w:val="none"/>
          <w:lang w:val="zh-CN" w:eastAsia="zh-CN"/>
          <w14:textFill>
            <w14:solidFill>
              <w14:schemeClr w14:val="tx1"/>
            </w14:solidFill>
          </w14:textFill>
        </w:rPr>
        <w:t xml:space="preserve">且</w:t>
      </w:r>
      <w:r>
        <w:rPr>
          <w:rFonts w:hint="eastAsia" w:ascii="宋体" w:hAnsi="宋体" w:cs="楷体_GB2312"/>
          <w:color w:val="000000" w:themeColor="text1"/>
          <w:szCs w:val="21"/>
          <w:highlight w:val="none"/>
          <w:lang w:val="zh-CN"/>
          <w14:textFill>
            <w14:solidFill>
              <w14:schemeClr w14:val="tx1"/>
            </w14:solidFill>
          </w14:textFill>
        </w:rPr>
        <w:t xml:space="preserve">验收合格后一年，无息退还履约保证金。</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35.招标代理服务费</w:t>
      </w:r>
      <w:r>
        <w:rPr>
          <w:rFonts w:hint="eastAsia" w:ascii="宋体" w:hAnsi="宋体"/>
          <w:b/>
          <w:bCs/>
          <w:color w:val="000000" w:themeColor="text1"/>
          <w:szCs w:val="21"/>
          <w:highlight w:val="none"/>
          <w:lang w:val="zh-CN"/>
          <w14:textFill>
            <w14:solidFill>
              <w14:schemeClr w14:val="tx1"/>
            </w14:solidFill>
          </w14:textFill>
        </w:rPr>
        <w:t xml:space="preserve">（货物类）</w:t>
      </w:r>
      <w:r/>
    </w:p>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Times New Roman"/>
          <w:color w:val="000000" w:themeColor="text1"/>
          <w:szCs w:val="21"/>
          <w:highlight w:val="none"/>
          <w:lang w:val="zh-CN"/>
          <w14:textFill>
            <w14:solidFill>
              <w14:schemeClr w14:val="tx1"/>
            </w14:solidFill>
          </w14:textFill>
        </w:rPr>
      </w:pPr>
      <w:r/>
      <w:bookmarkStart w:id="50" w:name="_Toc7803"/>
      <w:r>
        <w:rPr>
          <w:rFonts w:hint="eastAsia" w:ascii="宋体" w:hAnsi="宋体" w:cs="楷体_GB2312"/>
          <w:b/>
          <w:bCs/>
          <w:color w:val="000000" w:themeColor="text1"/>
          <w:szCs w:val="21"/>
          <w:highlight w:val="none"/>
          <w:lang w:val="zh-CN"/>
          <w14:textFill>
            <w14:solidFill>
              <w14:schemeClr w14:val="tx1"/>
            </w14:solidFill>
          </w14:textFill>
        </w:rPr>
        <w:t xml:space="preserve">35.</w:t>
      </w:r>
      <w:r>
        <w:rPr>
          <w:rFonts w:hint="eastAsia" w:ascii="宋体" w:hAnsi="宋体" w:eastAsia="宋体" w:cs="Times New Roman"/>
          <w:color w:val="000000" w:themeColor="text1"/>
          <w:szCs w:val="21"/>
          <w:highlight w:val="none"/>
          <w:lang w:val="zh-CN"/>
          <w14:textFill>
            <w14:solidFill>
              <w14:schemeClr w14:val="tx1"/>
            </w14:solidFill>
          </w14:textFill>
        </w:rPr>
        <w:t xml:space="preserve">1支付主体和报价要求：本项目采购代理服务费由成交供应商支付，供应商在报价时应将代理服务费全额包含在响应总价中，采购人不再另行支付。</w:t>
      </w:r>
      <w:r/>
    </w:p>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Times New Roman"/>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35.</w:t>
      </w:r>
      <w:r>
        <w:rPr>
          <w:rFonts w:hint="eastAsia" w:ascii="宋体" w:hAnsi="宋体" w:eastAsia="宋体" w:cs="Times New Roman"/>
          <w:color w:val="000000" w:themeColor="text1"/>
          <w:szCs w:val="21"/>
          <w:highlight w:val="none"/>
          <w:lang w:val="zh-CN"/>
          <w14:textFill>
            <w14:solidFill>
              <w14:schemeClr w14:val="tx1"/>
            </w14:solidFill>
          </w14:textFill>
        </w:rPr>
        <w:t xml:space="preserve">2原因：为优化采购资金使用效率，依据《关于进一步规范政府采购活动相关费用管理的通知》(苏财规(2026)1号)规定，经采购人研究确定，本项目代理服务费由成交供应商支付。</w:t>
      </w:r>
      <w:r/>
    </w:p>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Times New Roman"/>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35.</w:t>
      </w:r>
      <w:r>
        <w:rPr>
          <w:rFonts w:hint="eastAsia" w:ascii="宋体" w:hAnsi="宋体" w:eastAsia="宋体" w:cs="Times New Roman"/>
          <w:color w:val="000000" w:themeColor="text1"/>
          <w:szCs w:val="21"/>
          <w:highlight w:val="none"/>
          <w:lang w:val="zh-CN"/>
          <w14:textFill>
            <w14:solidFill>
              <w14:schemeClr w14:val="tx1"/>
            </w14:solidFill>
          </w14:textFill>
        </w:rPr>
        <w:t xml:space="preserve">3收取方式：成交供应商在领取成交通知书前，一次性向采购代理机构足额支付；支付方式为银行转账/电汇/现金。</w:t>
      </w:r>
      <w:r/>
    </w:p>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cs="Times New Roman"/>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35.</w:t>
      </w:r>
      <w:r>
        <w:rPr>
          <w:rFonts w:hint="eastAsia" w:ascii="宋体" w:hAnsi="宋体" w:eastAsia="宋体" w:cs="Times New Roman"/>
          <w:color w:val="000000" w:themeColor="text1"/>
          <w:szCs w:val="21"/>
          <w:highlight w:val="none"/>
          <w:lang w:val="zh-CN"/>
          <w14:textFill>
            <w14:solidFill>
              <w14:schemeClr w14:val="tx1"/>
            </w14:solidFill>
          </w14:textFill>
        </w:rPr>
        <w:t xml:space="preserve">4收费标准：《招标代理服务收费管理暂行办法》(计价格[2002]1980号)所列标准的70%。</w:t>
      </w:r>
      <w:r/>
    </w:p>
    <w:p>
      <w:pPr>
        <w:pStyle w:val="1070"/>
        <w:rPr>
          <w:rFonts w:hint="eastAsia" w:ascii="宋体" w:hAnsi="宋体" w:eastAsia="宋体" w:cs="Times New Roman"/>
          <w:color w:val="000000" w:themeColor="text1"/>
          <w:szCs w:val="21"/>
          <w:highlight w:val="none"/>
          <w:lang w:val="zh-CN"/>
          <w14:textFill>
            <w14:solidFill>
              <w14:schemeClr w14:val="tx1"/>
            </w14:solidFill>
          </w14:textFill>
        </w:rPr>
      </w:pPr>
      <w:r/>
      <w:bookmarkStart w:id="51" w:name="_Toc18889"/>
      <w:r>
        <w:rPr>
          <w:rFonts w:hint="eastAsia" w:ascii="宋体" w:hAnsi="宋体" w:cs="楷体_GB2312"/>
          <w:b/>
          <w:bCs/>
          <w:color w:val="000000" w:themeColor="text1"/>
          <w:szCs w:val="21"/>
          <w:highlight w:val="none"/>
          <w:lang w:val="zh-CN"/>
          <w14:textFill>
            <w14:solidFill>
              <w14:schemeClr w14:val="tx1"/>
            </w14:solidFill>
          </w14:textFill>
        </w:rPr>
        <w:t xml:space="preserve">35.</w:t>
      </w:r>
      <w:r>
        <w:rPr>
          <w:rFonts w:hint="eastAsia" w:ascii="宋体" w:hAnsi="宋体" w:eastAsia="宋体" w:cs="Times New Roman"/>
          <w:color w:val="000000" w:themeColor="text1"/>
          <w:szCs w:val="21"/>
          <w:highlight w:val="none"/>
          <w:lang w:val="zh-CN"/>
          <w14:textFill>
            <w14:solidFill>
              <w14:schemeClr w14:val="tx1"/>
            </w14:solidFill>
          </w14:textFill>
        </w:rPr>
        <w:t xml:space="preserve">5确定标准的依据：本项目委托代理协议。</w:t>
      </w:r>
      <w:r/>
    </w:p>
    <w:p>
      <w:pPr>
        <w:pStyle w:val="107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七、质疑与投诉</w:t>
      </w:r>
      <w:bookmarkEnd w:id="50"/>
      <w:r/>
      <w:bookmarkEnd w:id="51"/>
      <w:r/>
      <w:r/>
    </w:p>
    <w:p>
      <w:pPr>
        <w:spacing w:line="360" w:lineRule="auto"/>
        <w:tabs>
          <w:tab w:val="left" w:pos="128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36.质疑</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36.1投标人认为招标文件、招标过程和中标、成交结果使自己的权益受到损害的，可以在知道或者应知其权益受到损害之日起七个工作日内，以书面形式向招标代理机构提出质疑。</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36.2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36.3提出质疑的投标人应当是参与所质疑项目采购活动的投标人。潜在投标人已依法获取其可质疑的招标文件的，可以对该文件提出质疑。</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36.4投标人可以委托代理人进行质疑。代理人提出质疑和投诉，应当提交投标人签署的授权委托书。其授权委托书应当载明代理人的姓名或者名称、代理事项、具体权限、期限和相关事项。投标人为自然人的，应当由本人签字；投标人为法人或者其他组织的，应当由法定代表人、主要负责人签字或者盖章，并加盖公章。</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36.5以联合体形式参加政府采购活动的，其质疑投诉应当由组成联合体的所有投标人共同提出。</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36.6投标人质疑应当有明确的请求和必要的证明材料。投标人必须在法定质疑期内一次性提出针对同一采购程序环节的质疑，否则招标代理机构有权不予接受。</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36.7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36.8质疑函应当使用中文。相关当事人提供外文书证或者外国语视听资料的，应当附有中文译本，由翻译机构盖章或者翻译人员签名。</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36.9质疑函应当现场书面提交至招标代理机构联系人（详见招标公告）处，提交时应出示有效身份证明。</w:t>
      </w:r>
      <w:r/>
    </w:p>
    <w:p>
      <w:pPr>
        <w:spacing w:line="360" w:lineRule="auto"/>
        <w:tabs>
          <w:tab w:val="left" w:pos="128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37.投诉</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37.1投标人对招标代理机构的答复不满意或者招标代理机构未在规定的时间内作出答复的，可以在答复期满后十五个工作日内向同级政府采购监督管理部门投诉。</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37.2投标人投诉应当有明确的请求和必要的证明材料。投标人投诉的事项不得超出已质疑事项的范围。</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37.3投诉人对政府采购监督管理部门的投诉处理决定不服或者政府采购监督管理部门逾期未作处理的，可以依法申请行政复议或者向人民法院提起行政诉讼。</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37.4投诉人在全国范围12个月内三次以上投诉查无实据的，由财政部门列入不良行为记录名单。</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37.5投诉人有下列行为之一的，属于虚假、恶意投诉，由财政部门列入不良行为记录名单，禁止其1至3年内参加政府采购活动：</w:t>
      </w:r>
      <w:r/>
    </w:p>
    <w:p>
      <w:pPr>
        <w:ind w:firstLine="420"/>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（1）捏造事实；</w:t>
      </w:r>
      <w:r/>
    </w:p>
    <w:p>
      <w:pPr>
        <w:ind w:firstLine="420"/>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（2）提供虚假材料；</w:t>
      </w:r>
      <w:r/>
    </w:p>
    <w:p>
      <w:pPr>
        <w:ind w:firstLine="420"/>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（3）以非法手段取得证明材料。证据来源的合法性存在明显疑问，投诉人无法证明其取得方式合法的，视为以非法手段取得证明材料。</w:t>
      </w:r>
      <w:r/>
    </w:p>
    <w:p>
      <w:pPr>
        <w:pStyle w:val="1070"/>
        <w:rPr>
          <w:rFonts w:ascii="宋体" w:hAnsi="宋体" w:cs="宋体"/>
          <w:color w:val="000000" w:themeColor="text1"/>
          <w:highlight w:val="none"/>
          <w14:textFill>
            <w14:solidFill>
              <w14:schemeClr w14:val="tx1"/>
            </w14:solidFill>
          </w14:textFill>
        </w:rPr>
      </w:pPr>
      <w:r/>
      <w:bookmarkStart w:id="52" w:name="_Toc8619"/>
      <w:r/>
      <w:bookmarkStart w:id="53" w:name="_Toc7456"/>
      <w:r/>
      <w:bookmarkStart w:id="54" w:name="_Hlk155189666"/>
      <w:r>
        <w:rPr>
          <w:rFonts w:hint="eastAsia"/>
          <w:color w:val="000000" w:themeColor="text1"/>
          <w:highlight w:val="none"/>
          <w14:textFill>
            <w14:solidFill>
              <w14:schemeClr w14:val="tx1"/>
            </w14:solidFill>
          </w14:textFill>
        </w:rPr>
        <w:t xml:space="preserve">八、</w:t>
      </w:r>
      <w:r>
        <w:rPr>
          <w:color w:val="000000" w:themeColor="text1"/>
          <w:highlight w:val="none"/>
          <w14:textFill>
            <w14:solidFill>
              <w14:schemeClr w14:val="tx1"/>
            </w14:solidFill>
          </w14:textFill>
        </w:rPr>
        <w:t xml:space="preserve">评标办法细则</w:t>
      </w:r>
      <w:bookmarkEnd w:id="52"/>
      <w:r/>
      <w:bookmarkEnd w:id="53"/>
      <w:r/>
      <w:r/>
    </w:p>
    <w:p>
      <w:pPr>
        <w:ind w:firstLine="420"/>
        <w:spacing w:line="360" w:lineRule="auto"/>
        <w:tabs>
          <w:tab w:val="left" w:pos="1280" w:leader="none"/>
        </w:tabs>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687"/>
        <w:tblpPr w:horzAnchor="page" w:tblpX="1626" w:vertAnchor="text" w:tblpY="476" w:leftFromText="180" w:topFromText="0" w:rightFromText="180" w:bottomFromText="0"/>
        <w:tblW w:w="484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4"/>
        <w:gridCol w:w="1006"/>
        <w:gridCol w:w="6011"/>
        <w:gridCol w:w="890"/>
      </w:tblGrid>
      <w:tr>
        <w:trPr/>
        <w:tc>
          <w:tcPr>
            <w:tcW w:w="316" w:type="pct"/>
            <w:vAlign w:val="center"/>
            <w:textDirection w:val="lrTb"/>
            <w:noWrap w:val="false"/>
          </w:tcPr>
          <w:p>
            <w:pPr>
              <w:jc w:val="center"/>
              <w:spacing w:line="360" w:lineRule="auto"/>
              <w:tabs>
                <w:tab w:val="left" w:pos="1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596" w:type="pct"/>
            <w:vAlign w:val="center"/>
            <w:textDirection w:val="lrTb"/>
            <w:noWrap w:val="false"/>
          </w:tcPr>
          <w:p>
            <w:pPr>
              <w:jc w:val="center"/>
              <w:spacing w:line="32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评分因素</w:t>
            </w:r>
            <w:r/>
          </w:p>
        </w:tc>
        <w:tc>
          <w:tcPr>
            <w:tcW w:w="3560" w:type="pct"/>
            <w:vAlign w:val="center"/>
            <w:textDirection w:val="lrTb"/>
            <w:noWrap w:val="false"/>
          </w:tcPr>
          <w:p>
            <w:pPr>
              <w:jc w:val="center"/>
              <w:spacing w:line="32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评审细则</w:t>
            </w:r>
            <w:r/>
          </w:p>
        </w:tc>
        <w:tc>
          <w:tcPr>
            <w:tcW w:w="525" w:type="pct"/>
            <w:vAlign w:val="center"/>
            <w:textDirection w:val="lrTb"/>
            <w:noWrap w:val="false"/>
          </w:tcPr>
          <w:p>
            <w:pPr>
              <w:jc w:val="center"/>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分值</w:t>
            </w:r>
            <w:r/>
          </w:p>
        </w:tc>
      </w:tr>
      <w:tr>
        <w:trPr>
          <w:trHeight w:val="1598"/>
        </w:trPr>
        <w:tc>
          <w:tcPr>
            <w:tcW w:w="316" w:type="pct"/>
            <w:vAlign w:val="center"/>
            <w:textDirection w:val="lrTb"/>
            <w:noWrap w:val="false"/>
          </w:tcPr>
          <w:p>
            <w:pPr>
              <w:jc w:val="center"/>
              <w:spacing w:line="360" w:lineRule="auto"/>
              <w:tabs>
                <w:tab w:val="left" w:pos="1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596" w:type="pct"/>
            <w:vAlign w:val="center"/>
            <w:textDirection w:val="lrTb"/>
            <w:noWrap w:val="false"/>
          </w:tcPr>
          <w:p>
            <w:pPr>
              <w:jc w:val="both"/>
              <w:spacing w:line="32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价格（30分）</w:t>
            </w:r>
            <w:r/>
          </w:p>
        </w:tc>
        <w:tc>
          <w:tcPr>
            <w:tcW w:w="3560" w:type="pct"/>
            <w:vAlign w:val="center"/>
            <w:textDirection w:val="lrTb"/>
            <w:noWrap w:val="false"/>
          </w:tcPr>
          <w:p>
            <w:pPr>
              <w:jc w:val="left"/>
              <w:spacing w:line="32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各投标人的有效投标报价（报价超预算金额，按无效投标处理），满足招标文件要求的最低投标报价为评标基准价，其价格为30分。其他投标人的价格分统一按照下列公式计算，最高得分为30分：投标报价得分=30×（评标基准价/投标报价)。</w:t>
            </w:r>
            <w:r/>
          </w:p>
        </w:tc>
        <w:tc>
          <w:tcPr>
            <w:tcW w:w="525" w:type="pct"/>
            <w:vAlign w:val="center"/>
            <w:textDirection w:val="lrTb"/>
            <w:noWrap w:val="false"/>
          </w:tcPr>
          <w:p>
            <w:pPr>
              <w:jc w:val="center"/>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30</w:t>
            </w:r>
            <w:r/>
          </w:p>
        </w:tc>
      </w:tr>
      <w:tr>
        <w:trPr>
          <w:trHeight w:val="919"/>
        </w:trPr>
        <w:tc>
          <w:tcPr>
            <w:tcW w:w="316" w:type="pct"/>
            <w:vAlign w:val="center"/>
            <w:textDirection w:val="lrTb"/>
            <w:noWrap w:val="false"/>
          </w:tcPr>
          <w:p>
            <w:pPr>
              <w:jc w:val="center"/>
              <w:spacing w:line="360" w:lineRule="auto"/>
              <w:tabs>
                <w:tab w:val="left" w:pos="1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596" w:type="pct"/>
            <w:vAlign w:val="center"/>
            <w:textDirection w:val="lrTb"/>
            <w:noWrap w:val="false"/>
          </w:tcPr>
          <w:p>
            <w:pPr>
              <w:jc w:val="left"/>
              <w:spacing w:line="32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技术能力（</w:t>
            </w:r>
            <w:r>
              <w:rPr>
                <w:rFonts w:hint="eastAsia" w:ascii="宋体" w:hAnsi="宋体" w:cs="宋体"/>
                <w:bCs/>
                <w:color w:val="auto"/>
                <w:sz w:val="21"/>
                <w:szCs w:val="21"/>
                <w:lang w:val="en-US" w:eastAsia="zh-CN"/>
              </w:rPr>
              <w:t xml:space="preserve">30</w:t>
            </w:r>
            <w:r>
              <w:rPr>
                <w:rFonts w:hint="eastAsia" w:ascii="宋体" w:hAnsi="宋体" w:eastAsia="宋体" w:cs="宋体"/>
                <w:bCs/>
                <w:color w:val="auto"/>
                <w:sz w:val="21"/>
                <w:szCs w:val="21"/>
              </w:rPr>
              <w:t xml:space="preserve">分）</w:t>
            </w:r>
            <w:r/>
          </w:p>
        </w:tc>
        <w:tc>
          <w:tcPr>
            <w:tcW w:w="3560" w:type="pct"/>
            <w:vAlign w:val="center"/>
            <w:textDirection w:val="lrTb"/>
            <w:noWrap w:val="false"/>
          </w:tcPr>
          <w:p>
            <w:pPr>
              <w:jc w:val="left"/>
              <w:spacing w:line="320" w:lineRule="exact"/>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由评委根据投标人的投标文件中《商务条款偏差表》和《技术条款偏差表》及质量说明等</w:t>
            </w:r>
            <w:r>
              <w:rPr>
                <w:rFonts w:hint="eastAsia" w:ascii="宋体" w:hAnsi="宋体" w:cs="宋体"/>
                <w:bCs/>
                <w:color w:val="auto"/>
                <w:sz w:val="21"/>
                <w:szCs w:val="21"/>
                <w:lang w:val="en-US" w:eastAsia="zh-CN"/>
              </w:rPr>
              <w:t xml:space="preserve">证明材料进行</w:t>
            </w:r>
            <w:r>
              <w:rPr>
                <w:rFonts w:hint="eastAsia" w:ascii="宋体" w:hAnsi="宋体" w:eastAsia="宋体" w:cs="宋体"/>
                <w:bCs/>
                <w:color w:val="auto"/>
                <w:sz w:val="21"/>
                <w:szCs w:val="21"/>
                <w:lang w:val="zh-CN" w:eastAsia="zh-CN"/>
              </w:rPr>
              <w:t xml:space="preserve">打分，所投产品满足招标文件的技术指标、参数要求得</w:t>
            </w:r>
            <w:r>
              <w:rPr>
                <w:rFonts w:hint="eastAsia" w:ascii="宋体" w:hAnsi="宋体" w:cs="宋体"/>
                <w:bCs/>
                <w:color w:val="auto"/>
                <w:sz w:val="21"/>
                <w:szCs w:val="21"/>
                <w:lang w:val="en-US" w:eastAsia="zh-CN"/>
              </w:rPr>
              <w:t xml:space="preserve">30</w:t>
            </w:r>
            <w:r>
              <w:rPr>
                <w:rFonts w:hint="eastAsia" w:ascii="宋体" w:hAnsi="宋体" w:eastAsia="宋体" w:cs="宋体"/>
                <w:bCs/>
                <w:color w:val="auto"/>
                <w:sz w:val="21"/>
                <w:szCs w:val="21"/>
                <w:lang w:val="zh-CN" w:eastAsia="zh-CN"/>
              </w:rPr>
              <w:t xml:space="preserve">分。</w:t>
            </w:r>
            <w:r/>
          </w:p>
          <w:p>
            <w:pPr>
              <w:jc w:val="left"/>
              <w:spacing w:line="320" w:lineRule="exact"/>
              <w:widowControl/>
              <w:rPr>
                <w:rFonts w:hint="eastAsia" w:ascii="宋体" w:hAnsi="宋体" w:eastAsia="宋体" w:cs="宋体"/>
                <w:bCs/>
                <w:color w:val="auto"/>
                <w:sz w:val="21"/>
                <w:szCs w:val="21"/>
                <w:lang w:val="zh-CN" w:eastAsia="zh-CN"/>
              </w:rPr>
            </w:pPr>
            <w:r/>
            <w:bookmarkStart w:id="55" w:name="OLE_LINK4"/>
            <w:r>
              <w:rPr>
                <w:rFonts w:hint="eastAsia" w:ascii="宋体" w:hAnsi="宋体" w:eastAsia="宋体" w:cs="宋体"/>
                <w:bCs/>
                <w:color w:val="auto"/>
                <w:sz w:val="21"/>
                <w:szCs w:val="21"/>
                <w:lang w:val="zh-CN" w:eastAsia="zh-CN"/>
              </w:rPr>
              <w:t xml:space="preserve">（“</w:t>
            </w:r>
            <w:r>
              <w:rPr>
                <w:rFonts w:hint="eastAsia" w:ascii="宋体" w:hAnsi="宋体" w:eastAsia="宋体" w:cs="宋体"/>
                <w:bCs/>
                <w:color w:val="auto"/>
                <w:sz w:val="21"/>
                <w:szCs w:val="21"/>
                <w:lang w:val="en-US" w:eastAsia="zh-CN"/>
              </w:rPr>
              <w:t xml:space="preserve">★”</w:t>
            </w:r>
            <w:r>
              <w:rPr>
                <w:rFonts w:hint="eastAsia" w:ascii="宋体" w:hAnsi="宋体" w:eastAsia="宋体" w:cs="宋体"/>
                <w:bCs/>
                <w:color w:val="auto"/>
                <w:sz w:val="21"/>
                <w:szCs w:val="21"/>
                <w:lang w:val="zh-CN" w:eastAsia="zh-CN"/>
              </w:rPr>
              <w:t xml:space="preserve">号的为关键技术参数和关键商务条款，对这些关键技术参数和关键商务条款的任何负偏离将导致投标无效。“▲”项的为主要指标，不满足的每项减</w:t>
            </w:r>
            <w:r>
              <w:rPr>
                <w:rFonts w:hint="eastAsia" w:ascii="宋体" w:hAnsi="宋体" w:eastAsia="宋体" w:cs="宋体"/>
                <w:bCs/>
                <w:color w:val="auto"/>
                <w:sz w:val="21"/>
                <w:szCs w:val="21"/>
                <w:lang w:val="en-US" w:eastAsia="zh-CN"/>
              </w:rPr>
              <w:t xml:space="preserve">2</w:t>
            </w:r>
            <w:r>
              <w:rPr>
                <w:rFonts w:hint="eastAsia" w:ascii="宋体" w:hAnsi="宋体" w:eastAsia="宋体" w:cs="宋体"/>
                <w:bCs/>
                <w:color w:val="auto"/>
                <w:sz w:val="21"/>
                <w:szCs w:val="21"/>
                <w:lang w:val="zh-CN" w:eastAsia="zh-CN"/>
              </w:rPr>
              <w:t xml:space="preserve">分；其他每有一项偏离扣0.5分；</w:t>
            </w:r>
            <w:r>
              <w:rPr>
                <w:rFonts w:hint="eastAsia" w:ascii="宋体" w:hAnsi="宋体" w:eastAsia="宋体" w:cs="宋体"/>
                <w:bCs/>
                <w:color w:val="auto"/>
                <w:sz w:val="21"/>
                <w:szCs w:val="21"/>
                <w:lang w:val="en-US" w:eastAsia="zh-CN"/>
              </w:rPr>
              <w:t xml:space="preserve">扣完为止。</w:t>
            </w:r>
            <w:bookmarkEnd w:id="55"/>
            <w:r/>
            <w:r/>
          </w:p>
        </w:tc>
        <w:tc>
          <w:tcPr>
            <w:tcW w:w="525" w:type="pct"/>
            <w:vAlign w:val="center"/>
            <w:textDirection w:val="lrTb"/>
            <w:noWrap w:val="false"/>
          </w:tcPr>
          <w:p>
            <w:pPr>
              <w:jc w:val="center"/>
              <w:spacing w:line="320" w:lineRule="exact"/>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30</w:t>
            </w:r>
            <w:r/>
          </w:p>
        </w:tc>
      </w:tr>
      <w:tr>
        <w:trPr>
          <w:trHeight w:val="919"/>
        </w:trPr>
        <w:tc>
          <w:tcPr>
            <w:tcW w:w="316" w:type="pct"/>
            <w:vAlign w:val="center"/>
            <w:textDirection w:val="lrTb"/>
            <w:noWrap w:val="false"/>
          </w:tcPr>
          <w:p>
            <w:pPr>
              <w:jc w:val="center"/>
              <w:spacing w:line="360" w:lineRule="auto"/>
              <w:tabs>
                <w:tab w:val="left" w:pos="1280" w:leader="none"/>
              </w:tabs>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gridSpan w:val="3"/>
            <w:tcW w:w="4683" w:type="pct"/>
            <w:vAlign w:val="center"/>
            <w:textDirection w:val="lrTb"/>
            <w:noWrap w:val="false"/>
          </w:tcPr>
          <w:p>
            <w:pPr>
              <w:jc w:val="center"/>
              <w:spacing w:line="320" w:lineRule="exact"/>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 xml:space="preserve">服务方案（26分）</w:t>
            </w:r>
            <w:r/>
          </w:p>
        </w:tc>
      </w:tr>
      <w:tr>
        <w:trPr>
          <w:trHeight w:val="919"/>
        </w:trPr>
        <w:tc>
          <w:tcPr>
            <w:tcW w:w="316" w:type="pct"/>
            <w:vAlign w:val="center"/>
            <w:textDirection w:val="lrTb"/>
            <w:noWrap w:val="false"/>
          </w:tcPr>
          <w:p>
            <w:pPr>
              <w:jc w:val="center"/>
              <w:spacing w:line="360" w:lineRule="auto"/>
              <w:tabs>
                <w:tab w:val="left" w:pos="1280" w:leader="none"/>
              </w:tabs>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w:t>
            </w:r>
            <w:r/>
          </w:p>
        </w:tc>
        <w:tc>
          <w:tcPr>
            <w:tcW w:w="596" w:type="pct"/>
            <w:vAlign w:val="center"/>
            <w:textDirection w:val="lrTb"/>
            <w:noWrap w:val="false"/>
          </w:tcPr>
          <w:p>
            <w:pPr>
              <w:jc w:val="center"/>
              <w:spacing w:line="320" w:lineRule="exact"/>
              <w:widowControl/>
              <w:rPr>
                <w:rFonts w:hint="eastAsia"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 xml:space="preserve">供货及配送方案</w:t>
            </w:r>
            <w:r>
              <w:rPr>
                <w:rFonts w:hint="eastAsia" w:ascii="宋体" w:hAnsi="宋体" w:cs="宋体"/>
                <w:bCs/>
                <w:color w:val="auto"/>
                <w:szCs w:val="21"/>
              </w:rPr>
              <w:t xml:space="preserve">（10）</w:t>
            </w:r>
            <w:r/>
          </w:p>
        </w:tc>
        <w:tc>
          <w:tcPr>
            <w:tcW w:w="3560" w:type="pct"/>
            <w:vAlign w:val="center"/>
            <w:textDirection w:val="lrTb"/>
            <w:noWrap w:val="false"/>
          </w:tcPr>
          <w:p>
            <w:pPr>
              <w:rPr>
                <w:rFonts w:hint="eastAsia"/>
                <w:color w:val="auto"/>
                <w:lang w:val="en-US" w:eastAsia="zh-CN"/>
              </w:rPr>
            </w:pPr>
            <w:r>
              <w:rPr>
                <w:rFonts w:hint="eastAsia"/>
                <w:color w:val="auto"/>
                <w:lang w:val="en-US" w:eastAsia="zh-CN"/>
              </w:rPr>
              <w:t xml:space="preserve">投标人根据本项目采购需求及相关要求编制完整供货及配送方案，</w:t>
            </w:r>
            <w:r>
              <w:rPr>
                <w:rFonts w:hint="eastAsia"/>
                <w:color w:val="auto"/>
                <w:lang w:val="zh-CN" w:eastAsia="zh-CN"/>
              </w:rPr>
              <w:t xml:space="preserve">内容包</w:t>
            </w:r>
            <w:r>
              <w:rPr>
                <w:rFonts w:hint="eastAsia"/>
                <w:color w:val="auto"/>
                <w:lang w:val="en-US" w:eastAsia="zh-CN"/>
              </w:rPr>
              <w:t xml:space="preserve">含</w:t>
            </w:r>
            <w:r>
              <w:rPr>
                <w:rFonts w:hint="eastAsia"/>
                <w:color w:val="auto"/>
                <w:lang w:val="zh-CN" w:eastAsia="zh-CN"/>
              </w:rPr>
              <w:t xml:space="preserve">：1.</w:t>
            </w:r>
            <w:r>
              <w:rPr>
                <w:rFonts w:hint="eastAsia"/>
                <w:color w:val="auto"/>
                <w:lang w:val="en-US" w:eastAsia="zh-CN"/>
              </w:rPr>
              <w:t xml:space="preserve">供货总体实施方案；</w:t>
            </w:r>
            <w:r>
              <w:rPr>
                <w:rFonts w:hint="eastAsia"/>
                <w:color w:val="auto"/>
                <w:lang w:val="zh-CN" w:eastAsia="zh-CN"/>
              </w:rPr>
              <w:t xml:space="preserve">2.</w:t>
            </w:r>
            <w:r>
              <w:rPr>
                <w:rFonts w:hint="eastAsia"/>
                <w:color w:val="auto"/>
                <w:lang w:val="en-US" w:eastAsia="zh-CN"/>
              </w:rPr>
              <w:t xml:space="preserve">供货进度与服务期保障方案</w:t>
            </w:r>
            <w:r>
              <w:rPr>
                <w:rFonts w:hint="eastAsia"/>
                <w:color w:val="auto"/>
                <w:lang w:val="zh-CN" w:eastAsia="zh-CN"/>
              </w:rPr>
              <w:t xml:space="preserve">；3.</w:t>
            </w:r>
            <w:r>
              <w:rPr>
                <w:rFonts w:hint="eastAsia"/>
                <w:color w:val="auto"/>
                <w:lang w:val="en-US" w:eastAsia="zh-CN"/>
              </w:rPr>
              <w:t xml:space="preserve">货源组织与物资配送方案；4.供货质量与风险管控保障方案；</w:t>
            </w:r>
            <w:r>
              <w:rPr>
                <w:rFonts w:hint="eastAsia"/>
                <w:color w:val="auto"/>
              </w:rPr>
              <w:t xml:space="preserve">5.安装人员配置、调试和验收</w:t>
            </w:r>
            <w:r>
              <w:rPr>
                <w:rFonts w:hint="eastAsia"/>
                <w:color w:val="auto"/>
                <w:lang w:eastAsia="zh-CN"/>
              </w:rPr>
              <w:t xml:space="preserve">。</w:t>
            </w:r>
            <w:r>
              <w:rPr>
                <w:rFonts w:hint="eastAsia"/>
                <w:color w:val="auto"/>
                <w:lang w:val="zh-CN" w:eastAsia="zh-CN"/>
              </w:rPr>
              <w:t xml:space="preserve">以上每项内容逐条阐述。</w:t>
            </w:r>
            <w:r/>
          </w:p>
          <w:p>
            <w:pPr>
              <w:rPr>
                <w:rFonts w:hint="eastAsia"/>
                <w:color w:val="auto"/>
                <w:lang w:val="zh-CN" w:eastAsia="zh-CN"/>
              </w:rPr>
            </w:pPr>
            <w:r>
              <w:rPr>
                <w:rFonts w:hint="eastAsia"/>
                <w:color w:val="auto"/>
              </w:rPr>
              <w:t xml:space="preserve">方案</w:t>
            </w:r>
            <w:r>
              <w:rPr>
                <w:rFonts w:hint="eastAsia"/>
                <w:color w:val="auto"/>
                <w:lang w:val="en-US" w:eastAsia="zh-CN"/>
              </w:rPr>
              <w:t xml:space="preserve">内容完整、合理、具有可操作性，且专门针对本项目编制，完全契合本项目采购供货需求、工期要求、供货场景；</w:t>
            </w:r>
            <w:r/>
          </w:p>
          <w:p>
            <w:pPr>
              <w:rPr>
                <w:rFonts w:hint="eastAsia"/>
                <w:color w:val="auto"/>
                <w:lang w:val="zh-CN" w:eastAsia="zh-CN"/>
              </w:rPr>
            </w:pPr>
            <w:r>
              <w:rPr>
                <w:rFonts w:hint="eastAsia"/>
                <w:color w:val="auto"/>
              </w:rPr>
              <w:t xml:space="preserve">方案</w:t>
            </w:r>
            <w:r>
              <w:rPr>
                <w:rFonts w:hint="eastAsia"/>
                <w:color w:val="auto"/>
                <w:lang w:val="en-US" w:eastAsia="zh-CN"/>
              </w:rPr>
              <w:t xml:space="preserve">内容为通用类供货方案，无本项目专属针对性内容，仅部分契合本项目采购供货需求；</w:t>
            </w:r>
            <w:r/>
          </w:p>
          <w:p>
            <w:pPr>
              <w:rPr>
                <w:rFonts w:hint="eastAsia"/>
                <w:color w:val="auto"/>
                <w:lang w:val="zh-CN" w:eastAsia="zh-CN"/>
              </w:rPr>
            </w:pPr>
            <w:r>
              <w:rPr>
                <w:rFonts w:hint="eastAsia"/>
                <w:color w:val="auto"/>
              </w:rPr>
              <w:t xml:space="preserve">方案</w:t>
            </w:r>
            <w:r>
              <w:rPr>
                <w:rFonts w:hint="eastAsia"/>
                <w:color w:val="auto"/>
                <w:lang w:val="en-US" w:eastAsia="zh-CN"/>
              </w:rPr>
              <w:t xml:space="preserve">内容脱离本项目采购供货需求，无实际参考价值，或未提供对应内容。</w:t>
            </w:r>
            <w:r/>
          </w:p>
          <w:p>
            <w:pPr>
              <w:rPr>
                <w:rFonts w:hint="eastAsia"/>
                <w:color w:val="auto"/>
                <w:lang w:val="zh-CN" w:eastAsia="zh-CN"/>
              </w:rPr>
            </w:pPr>
            <w:r>
              <w:rPr>
                <w:rFonts w:hint="eastAsia"/>
                <w:color w:val="auto"/>
              </w:rPr>
              <w:t xml:space="preserve">上述每项内容</w:t>
            </w:r>
            <w:r>
              <w:rPr>
                <w:color w:val="auto"/>
              </w:rPr>
              <w:t xml:space="preserve">符合得</w:t>
            </w:r>
            <w:r>
              <w:rPr>
                <w:rFonts w:hint="eastAsia"/>
                <w:color w:val="auto"/>
              </w:rPr>
              <w:t xml:space="preserve">2</w:t>
            </w:r>
            <w:r>
              <w:rPr>
                <w:color w:val="auto"/>
              </w:rPr>
              <w:t xml:space="preserve">分；部分符合得</w:t>
            </w:r>
            <w:r>
              <w:rPr>
                <w:rFonts w:hint="eastAsia"/>
                <w:color w:val="auto"/>
              </w:rPr>
              <w:t xml:space="preserve">1</w:t>
            </w:r>
            <w:r>
              <w:rPr>
                <w:color w:val="auto"/>
              </w:rPr>
              <w:t xml:space="preserve">分；不符合或不提供不得分。</w:t>
            </w:r>
            <w:r/>
          </w:p>
        </w:tc>
        <w:tc>
          <w:tcPr>
            <w:tcW w:w="525" w:type="pct"/>
            <w:vAlign w:val="center"/>
            <w:textDirection w:val="lrTb"/>
            <w:noWrap w:val="false"/>
          </w:tcPr>
          <w:p>
            <w:pPr>
              <w:jc w:val="center"/>
              <w:spacing w:line="320" w:lineRule="exact"/>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 xml:space="preserve">10</w:t>
            </w:r>
            <w:r/>
          </w:p>
        </w:tc>
      </w:tr>
      <w:tr>
        <w:trPr>
          <w:trHeight w:val="919"/>
        </w:trPr>
        <w:tc>
          <w:tcPr>
            <w:tcW w:w="316" w:type="pct"/>
            <w:vAlign w:val="center"/>
            <w:textDirection w:val="lrTb"/>
            <w:noWrap w:val="false"/>
          </w:tcPr>
          <w:p>
            <w:pPr>
              <w:jc w:val="center"/>
              <w:spacing w:line="360" w:lineRule="auto"/>
              <w:tabs>
                <w:tab w:val="left" w:pos="1280" w:leader="none"/>
              </w:tabs>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w:t>
            </w:r>
            <w:r/>
          </w:p>
        </w:tc>
        <w:tc>
          <w:tcPr>
            <w:tcW w:w="596" w:type="pct"/>
            <w:vAlign w:val="center"/>
            <w:textDirection w:val="lrTb"/>
            <w:noWrap w:val="false"/>
          </w:tcPr>
          <w:p>
            <w:pPr>
              <w:jc w:val="center"/>
              <w:spacing w:line="320" w:lineRule="exact"/>
              <w:widowControl/>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 xml:space="preserve">培训方案</w:t>
            </w:r>
            <w:r>
              <w:rPr>
                <w:rFonts w:hint="eastAsia" w:ascii="宋体" w:hAnsi="宋体" w:cs="宋体"/>
                <w:bCs/>
                <w:color w:val="auto"/>
                <w:szCs w:val="21"/>
              </w:rPr>
              <w:t xml:space="preserve">（6）</w:t>
            </w:r>
            <w:r/>
          </w:p>
        </w:tc>
        <w:tc>
          <w:tcPr>
            <w:tcW w:w="3560" w:type="pct"/>
            <w:vAlign w:val="center"/>
            <w:textDirection w:val="lrTb"/>
            <w:noWrap w:val="false"/>
          </w:tcPr>
          <w:p>
            <w:pPr>
              <w:jc w:val="left"/>
              <w:spacing w:line="264" w:lineRule="auto"/>
              <w:widowControl/>
              <w:rPr>
                <w:color w:val="auto"/>
                <w:szCs w:val="21"/>
              </w:rPr>
            </w:pPr>
            <w:r>
              <w:rPr>
                <w:rFonts w:hint="eastAsia"/>
                <w:color w:val="auto"/>
                <w:szCs w:val="21"/>
              </w:rPr>
              <w:t xml:space="preserve">根据本项目采购需求及相关要求编制方案，内容</w:t>
            </w:r>
            <w:r>
              <w:rPr>
                <w:color w:val="auto"/>
                <w:szCs w:val="21"/>
              </w:rPr>
              <w:t xml:space="preserve">包括</w:t>
            </w:r>
            <w:r>
              <w:rPr>
                <w:rFonts w:hint="eastAsia"/>
                <w:color w:val="auto"/>
                <w:szCs w:val="21"/>
              </w:rPr>
              <w:t xml:space="preserve">：1.培训内容及培训时长；2.培训日程安排；3.培训质量保障措施。以上每项内容逐条阐述。</w:t>
            </w:r>
            <w:r/>
          </w:p>
          <w:p>
            <w:pPr>
              <w:jc w:val="left"/>
              <w:spacing w:line="264" w:lineRule="auto"/>
              <w:widowControl/>
              <w:rPr>
                <w:color w:val="auto"/>
                <w:szCs w:val="21"/>
              </w:rPr>
            </w:pPr>
            <w:r>
              <w:rPr>
                <w:rFonts w:hint="eastAsia"/>
                <w:color w:val="auto"/>
                <w:szCs w:val="21"/>
              </w:rPr>
              <w:t xml:space="preserve">方案内容</w:t>
            </w:r>
            <w:r>
              <w:rPr>
                <w:color w:val="auto"/>
                <w:szCs w:val="21"/>
              </w:rPr>
              <w:t xml:space="preserve">完整、合理、</w:t>
            </w:r>
            <w:r>
              <w:rPr>
                <w:rFonts w:hint="eastAsia"/>
                <w:color w:val="auto"/>
                <w:szCs w:val="21"/>
              </w:rPr>
              <w:t xml:space="preserve">具有可</w:t>
            </w:r>
            <w:r>
              <w:rPr>
                <w:color w:val="auto"/>
                <w:szCs w:val="21"/>
              </w:rPr>
              <w:t xml:space="preserve">操作性</w:t>
            </w:r>
            <w:r>
              <w:rPr>
                <w:rFonts w:hint="eastAsia"/>
                <w:color w:val="auto"/>
                <w:szCs w:val="21"/>
              </w:rPr>
              <w:t xml:space="preserve">，且专门针对本项目，契合采购需求视为符合；方案内容属于通用类，非专门针对本项目，部分契合采购需求视为部分符合；方案内容非专门针对本项目，脱离采购需求视为不符合。</w:t>
            </w:r>
            <w:r/>
          </w:p>
          <w:p>
            <w:pPr>
              <w:jc w:val="left"/>
              <w:spacing w:line="320" w:lineRule="exact"/>
              <w:widowControl/>
              <w:rPr>
                <w:rFonts w:hint="eastAsia" w:ascii="宋体" w:hAnsi="宋体" w:eastAsia="宋体" w:cs="宋体"/>
                <w:bCs/>
                <w:color w:val="auto"/>
                <w:sz w:val="21"/>
                <w:szCs w:val="21"/>
              </w:rPr>
            </w:pPr>
            <w:r>
              <w:rPr>
                <w:rFonts w:hint="eastAsia"/>
                <w:color w:val="auto"/>
              </w:rPr>
              <w:t xml:space="preserve">上述每项内容符合得</w:t>
            </w:r>
            <w:r>
              <w:rPr>
                <w:rFonts w:hint="eastAsia"/>
                <w:color w:val="auto"/>
                <w:lang w:val="en-US" w:eastAsia="zh-CN"/>
              </w:rPr>
              <w:t xml:space="preserve">2</w:t>
            </w:r>
            <w:r>
              <w:rPr>
                <w:rFonts w:hint="eastAsia"/>
                <w:color w:val="auto"/>
              </w:rPr>
              <w:t xml:space="preserve">分；部分符合得</w:t>
            </w:r>
            <w:r>
              <w:rPr>
                <w:rFonts w:hint="eastAsia"/>
                <w:color w:val="auto"/>
                <w:lang w:val="en-US" w:eastAsia="zh-CN"/>
              </w:rPr>
              <w:t xml:space="preserve">1</w:t>
            </w:r>
            <w:r>
              <w:rPr>
                <w:rFonts w:hint="eastAsia"/>
                <w:color w:val="auto"/>
              </w:rPr>
              <w:t xml:space="preserve">分；不符合或不提供不得分。</w:t>
            </w:r>
            <w:r/>
          </w:p>
        </w:tc>
        <w:tc>
          <w:tcPr>
            <w:tcW w:w="525" w:type="pct"/>
            <w:vAlign w:val="center"/>
            <w:textDirection w:val="lrTb"/>
            <w:noWrap w:val="false"/>
          </w:tcPr>
          <w:p>
            <w:pPr>
              <w:jc w:val="center"/>
              <w:spacing w:line="320" w:lineRule="exact"/>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 xml:space="preserve">6</w:t>
            </w:r>
            <w:r/>
          </w:p>
        </w:tc>
      </w:tr>
      <w:tr>
        <w:trPr>
          <w:trHeight w:val="919"/>
        </w:trPr>
        <w:tc>
          <w:tcPr>
            <w:tcW w:w="316" w:type="pct"/>
            <w:vAlign w:val="center"/>
            <w:textDirection w:val="lrTb"/>
            <w:noWrap w:val="false"/>
          </w:tcPr>
          <w:p>
            <w:pPr>
              <w:jc w:val="center"/>
              <w:spacing w:line="360" w:lineRule="auto"/>
              <w:tabs>
                <w:tab w:val="left" w:pos="1280" w:leader="none"/>
              </w:tabs>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3.3</w:t>
            </w:r>
            <w:r/>
          </w:p>
        </w:tc>
        <w:tc>
          <w:tcPr>
            <w:tcW w:w="596" w:type="pct"/>
            <w:vAlign w:val="center"/>
            <w:textDirection w:val="lrTb"/>
            <w:noWrap w:val="false"/>
          </w:tcPr>
          <w:p>
            <w:pPr>
              <w:jc w:val="left"/>
              <w:spacing w:line="320" w:lineRule="exact"/>
              <w:widowControl/>
              <w:rPr>
                <w:rFonts w:hint="eastAsia"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 xml:space="preserve">售后服务方案</w:t>
            </w:r>
            <w:r>
              <w:rPr>
                <w:rFonts w:hint="eastAsia" w:ascii="宋体" w:hAnsi="宋体" w:cs="宋体"/>
                <w:bCs/>
                <w:color w:val="auto"/>
                <w:szCs w:val="21"/>
              </w:rPr>
              <w:t xml:space="preserve">（10）</w:t>
            </w:r>
            <w:r/>
          </w:p>
        </w:tc>
        <w:tc>
          <w:tcPr>
            <w:tcW w:w="3560" w:type="pct"/>
            <w:vAlign w:val="center"/>
            <w:textDirection w:val="lrTb"/>
            <w:noWrap w:val="false"/>
          </w:tcPr>
          <w:p>
            <w:pPr>
              <w:jc w:val="left"/>
              <w:spacing w:line="264" w:lineRule="auto"/>
              <w:widowControl/>
              <w:rPr>
                <w:color w:val="auto"/>
                <w:szCs w:val="21"/>
              </w:rPr>
            </w:pPr>
            <w:r>
              <w:rPr>
                <w:rFonts w:hint="eastAsia"/>
                <w:color w:val="auto"/>
                <w:szCs w:val="21"/>
              </w:rPr>
              <w:t xml:space="preserve">根据本项目采购需求及相关要求编制方案，内容</w:t>
            </w:r>
            <w:r>
              <w:rPr>
                <w:rFonts w:ascii="宋体" w:hAnsi="宋体" w:cs="宋体"/>
                <w:color w:val="auto"/>
              </w:rPr>
              <w:t xml:space="preserve">包</w:t>
            </w:r>
            <w:r>
              <w:rPr>
                <w:rFonts w:hint="eastAsia" w:ascii="宋体" w:hAnsi="宋体" w:cs="宋体"/>
                <w:color w:val="auto"/>
                <w:lang w:val="en-US" w:eastAsia="zh-CN"/>
              </w:rPr>
              <w:t xml:space="preserve">含</w:t>
            </w:r>
            <w:r>
              <w:rPr>
                <w:rFonts w:hint="eastAsia"/>
                <w:color w:val="auto"/>
                <w:szCs w:val="21"/>
              </w:rPr>
              <w:t xml:space="preserve">：1.售后服务内容；2.售后服务流程；3.服务保障体系（含专业人员保障）</w:t>
            </w:r>
            <w:r>
              <w:rPr>
                <w:rFonts w:hint="eastAsia"/>
                <w:color w:val="auto"/>
                <w:szCs w:val="21"/>
                <w:lang w:val="en-US" w:eastAsia="zh-CN"/>
              </w:rPr>
              <w:t xml:space="preserve">；</w:t>
            </w:r>
            <w:r>
              <w:rPr>
                <w:rFonts w:hint="eastAsia"/>
                <w:color w:val="auto"/>
                <w:szCs w:val="21"/>
              </w:rPr>
              <w:t xml:space="preserve">4.</w:t>
            </w:r>
            <w:r>
              <w:rPr>
                <w:rFonts w:hint="eastAsia"/>
                <w:color w:val="auto"/>
              </w:rPr>
              <w:t xml:space="preserve">应急保障能力；5.提供快速服务响应承诺</w:t>
            </w:r>
            <w:r>
              <w:rPr>
                <w:rFonts w:hint="eastAsia"/>
                <w:color w:val="auto"/>
                <w:szCs w:val="21"/>
              </w:rPr>
              <w:t xml:space="preserve">。以上每项内容逐条阐述。</w:t>
            </w:r>
            <w:r/>
          </w:p>
          <w:p>
            <w:pPr>
              <w:rPr>
                <w:color w:val="auto"/>
              </w:rPr>
            </w:pPr>
            <w:r>
              <w:rPr>
                <w:rFonts w:hint="eastAsia"/>
                <w:color w:val="auto"/>
                <w:szCs w:val="21"/>
              </w:rPr>
              <w:t xml:space="preserve">方案内容</w:t>
            </w:r>
            <w:r>
              <w:rPr>
                <w:color w:val="auto"/>
                <w:szCs w:val="21"/>
              </w:rPr>
              <w:t xml:space="preserve">完整、合理、</w:t>
            </w:r>
            <w:r>
              <w:rPr>
                <w:rFonts w:hint="eastAsia"/>
                <w:color w:val="auto"/>
                <w:szCs w:val="21"/>
              </w:rPr>
              <w:t xml:space="preserve">具有可</w:t>
            </w:r>
            <w:r>
              <w:rPr>
                <w:color w:val="auto"/>
                <w:szCs w:val="21"/>
              </w:rPr>
              <w:t xml:space="preserve">操作性</w:t>
            </w:r>
            <w:r>
              <w:rPr>
                <w:rFonts w:hint="eastAsia"/>
                <w:color w:val="auto"/>
                <w:szCs w:val="21"/>
              </w:rPr>
              <w:t xml:space="preserve">，</w:t>
            </w:r>
            <w:r>
              <w:rPr>
                <w:rFonts w:hint="eastAsia"/>
                <w:color w:val="auto"/>
              </w:rPr>
              <w:t xml:space="preserve">且</w:t>
            </w:r>
            <w:r>
              <w:rPr>
                <w:color w:val="auto"/>
              </w:rPr>
              <w:t xml:space="preserve">专门针对本项目，</w:t>
            </w:r>
            <w:r>
              <w:rPr>
                <w:rFonts w:hint="eastAsia"/>
                <w:color w:val="auto"/>
              </w:rPr>
              <w:t xml:space="preserve">契合</w:t>
            </w:r>
            <w:r>
              <w:rPr>
                <w:color w:val="auto"/>
              </w:rPr>
              <w:t xml:space="preserve">采购需求视为符合；方案内容属于通用类，非专门针对本项目，部分</w:t>
            </w:r>
            <w:r>
              <w:rPr>
                <w:rFonts w:hint="eastAsia"/>
                <w:color w:val="auto"/>
              </w:rPr>
              <w:t xml:space="preserve">契合采购需求</w:t>
            </w:r>
            <w:r>
              <w:rPr>
                <w:color w:val="auto"/>
              </w:rPr>
              <w:t xml:space="preserve">视为部分符合；方案内容非专门针对本项目</w:t>
            </w:r>
            <w:r>
              <w:rPr>
                <w:rFonts w:hint="eastAsia"/>
                <w:color w:val="auto"/>
              </w:rPr>
              <w:t xml:space="preserve">，脱离</w:t>
            </w:r>
            <w:r>
              <w:rPr>
                <w:color w:val="auto"/>
              </w:rPr>
              <w:t xml:space="preserve">采购需求视为不符合。</w:t>
            </w:r>
            <w:r/>
          </w:p>
          <w:p>
            <w:pPr>
              <w:jc w:val="left"/>
              <w:spacing w:line="320" w:lineRule="exact"/>
              <w:widowControl/>
              <w:rPr>
                <w:rFonts w:hint="eastAsia" w:ascii="宋体" w:hAnsi="宋体" w:eastAsia="宋体" w:cs="宋体"/>
                <w:bCs/>
                <w:color w:val="auto"/>
                <w:sz w:val="21"/>
                <w:szCs w:val="21"/>
              </w:rPr>
            </w:pPr>
            <w:r>
              <w:rPr>
                <w:rFonts w:hint="eastAsia"/>
                <w:color w:val="auto"/>
              </w:rPr>
              <w:t xml:space="preserve">上述每项内容</w:t>
            </w:r>
            <w:r>
              <w:rPr>
                <w:color w:val="auto"/>
              </w:rPr>
              <w:t xml:space="preserve">符合得</w:t>
            </w:r>
            <w:r>
              <w:rPr>
                <w:rFonts w:hint="eastAsia"/>
                <w:color w:val="auto"/>
              </w:rPr>
              <w:t xml:space="preserve">2</w:t>
            </w:r>
            <w:r>
              <w:rPr>
                <w:color w:val="auto"/>
              </w:rPr>
              <w:t xml:space="preserve">分；部分符合得</w:t>
            </w:r>
            <w:r>
              <w:rPr>
                <w:rFonts w:hint="eastAsia"/>
                <w:color w:val="auto"/>
              </w:rPr>
              <w:t xml:space="preserve">1</w:t>
            </w:r>
            <w:r>
              <w:rPr>
                <w:color w:val="auto"/>
              </w:rPr>
              <w:t xml:space="preserve">分；不符合或不提供不得分。</w:t>
            </w:r>
            <w:r/>
          </w:p>
        </w:tc>
        <w:tc>
          <w:tcPr>
            <w:tcW w:w="525" w:type="pct"/>
            <w:vAlign w:val="center"/>
            <w:textDirection w:val="lrTb"/>
            <w:noWrap w:val="false"/>
          </w:tcPr>
          <w:p>
            <w:pPr>
              <w:jc w:val="center"/>
              <w:spacing w:line="320" w:lineRule="exact"/>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 xml:space="preserve">10</w:t>
            </w:r>
            <w:r/>
          </w:p>
        </w:tc>
      </w:tr>
      <w:tr>
        <w:trPr>
          <w:trHeight w:val="919"/>
        </w:trPr>
        <w:tc>
          <w:tcPr>
            <w:tcW w:w="316" w:type="pct"/>
            <w:vAlign w:val="center"/>
            <w:textDirection w:val="lrTb"/>
            <w:noWrap w:val="false"/>
          </w:tcPr>
          <w:p>
            <w:pPr>
              <w:jc w:val="center"/>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596" w:type="pct"/>
            <w:vAlign w:val="center"/>
            <w:textDirection w:val="lrTb"/>
            <w:noWrap w:val="false"/>
          </w:tcPr>
          <w:p>
            <w:pPr>
              <w:jc w:val="left"/>
              <w:spacing w:line="32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质保期</w:t>
            </w:r>
            <w:r/>
          </w:p>
          <w:p>
            <w:pPr>
              <w:jc w:val="left"/>
              <w:spacing w:line="32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w:t>
            </w:r>
            <w:r/>
          </w:p>
        </w:tc>
        <w:tc>
          <w:tcPr>
            <w:tcW w:w="3560" w:type="pct"/>
            <w:vAlign w:val="center"/>
            <w:textDirection w:val="lrTb"/>
            <w:noWrap w:val="false"/>
          </w:tcPr>
          <w:p>
            <w:pPr>
              <w:jc w:val="left"/>
              <w:spacing w:line="32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在质保年限</w:t>
            </w:r>
            <w:r>
              <w:rPr>
                <w:rFonts w:hint="eastAsia" w:ascii="宋体" w:hAnsi="宋体" w:eastAsia="宋体" w:cs="宋体"/>
                <w:color w:val="auto"/>
                <w:sz w:val="21"/>
                <w:szCs w:val="21"/>
                <w:lang w:val="en-US" w:eastAsia="zh-CN"/>
              </w:rPr>
              <w:t xml:space="preserve">2年的基础上</w:t>
            </w:r>
            <w:r>
              <w:rPr>
                <w:rFonts w:hint="eastAsia" w:ascii="宋体" w:hAnsi="宋体" w:eastAsia="宋体" w:cs="宋体"/>
                <w:color w:val="auto"/>
                <w:sz w:val="21"/>
                <w:szCs w:val="21"/>
              </w:rPr>
              <w:t xml:space="preserve">，每承诺整体质保期延长1整年，加</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分，该项累计最高加分</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分，即最长认可额外延长2年质保，超出部分不再累加计分</w:t>
            </w:r>
            <w:r>
              <w:rPr>
                <w:rFonts w:hint="eastAsia" w:ascii="宋体" w:hAnsi="宋体" w:cs="宋体"/>
                <w:color w:val="auto"/>
                <w:sz w:val="21"/>
                <w:szCs w:val="21"/>
                <w:lang w:eastAsia="zh-CN"/>
              </w:rPr>
              <w:t xml:space="preserve">。</w:t>
            </w:r>
            <w:r/>
          </w:p>
        </w:tc>
        <w:tc>
          <w:tcPr>
            <w:tcW w:w="525" w:type="pct"/>
            <w:vAlign w:val="center"/>
            <w:textDirection w:val="lrTb"/>
            <w:noWrap w:val="false"/>
          </w:tcPr>
          <w:p>
            <w:pPr>
              <w:jc w:val="center"/>
              <w:spacing w:line="320" w:lineRule="exac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4</w:t>
            </w:r>
            <w:r/>
          </w:p>
        </w:tc>
      </w:tr>
      <w:tr>
        <w:trPr>
          <w:trHeight w:val="1297"/>
        </w:trPr>
        <w:tc>
          <w:tcPr>
            <w:tcW w:w="316" w:type="pct"/>
            <w:vAlign w:val="center"/>
            <w:textDirection w:val="lrTb"/>
            <w:noWrap w:val="false"/>
          </w:tcPr>
          <w:p>
            <w:pPr>
              <w:jc w:val="center"/>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596" w:type="pct"/>
            <w:vAlign w:val="center"/>
            <w:textDirection w:val="lrTb"/>
            <w:noWrap w:val="false"/>
          </w:tcPr>
          <w:p>
            <w:pPr>
              <w:jc w:val="left"/>
              <w:spacing w:line="32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业绩（</w:t>
            </w: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rPr>
              <w:t xml:space="preserve">分）</w:t>
            </w:r>
            <w:r/>
          </w:p>
        </w:tc>
        <w:tc>
          <w:tcPr>
            <w:tcW w:w="3560" w:type="pct"/>
            <w:vAlign w:val="center"/>
            <w:textDirection w:val="lrTb"/>
            <w:noWrap w:val="false"/>
          </w:tcPr>
          <w:p>
            <w:pPr>
              <w:jc w:val="left"/>
              <w:spacing w:line="32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自2023年1月1日（含）以来（时间以合同签订时间为准），投标人承接过</w:t>
            </w:r>
            <w:r>
              <w:rPr>
                <w:rFonts w:hint="eastAsia" w:ascii="宋体" w:hAnsi="宋体" w:cs="宋体"/>
                <w:color w:val="auto"/>
                <w:sz w:val="21"/>
                <w:szCs w:val="21"/>
                <w:lang w:val="en-US" w:eastAsia="zh-CN"/>
              </w:rPr>
              <w:t xml:space="preserve">核心产品的</w:t>
            </w:r>
            <w:r>
              <w:rPr>
                <w:rFonts w:hint="eastAsia" w:ascii="宋体" w:hAnsi="宋体" w:eastAsia="宋体" w:cs="宋体"/>
                <w:color w:val="auto"/>
                <w:sz w:val="21"/>
                <w:szCs w:val="21"/>
              </w:rPr>
              <w:t xml:space="preserve">类似产品的供货业绩的，每提供一份业绩材料得</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分，最多得</w:t>
            </w: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rPr>
              <w:t xml:space="preserve">分。</w:t>
            </w:r>
            <w:r/>
          </w:p>
          <w:p>
            <w:pPr>
              <w:jc w:val="left"/>
              <w:spacing w:line="32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（提供中标或成交通知书、合同证明材料、结算证明材料（验收资料或</w:t>
            </w:r>
            <w:r>
              <w:rPr>
                <w:rFonts w:hint="eastAsia" w:ascii="宋体" w:hAnsi="宋体" w:cs="宋体"/>
                <w:color w:val="auto"/>
                <w:sz w:val="21"/>
                <w:szCs w:val="21"/>
                <w:lang w:val="en-US" w:eastAsia="zh-CN"/>
              </w:rPr>
              <w:t xml:space="preserve">部分</w:t>
            </w:r>
            <w:r>
              <w:rPr>
                <w:rFonts w:hint="eastAsia" w:ascii="宋体" w:hAnsi="宋体" w:eastAsia="宋体" w:cs="宋体"/>
                <w:color w:val="auto"/>
                <w:sz w:val="21"/>
                <w:szCs w:val="21"/>
              </w:rPr>
              <w:t xml:space="preserve">发票或银行汇款记录），合同证明材料包含合同标的内容所在页及签字盖章页，未提供或未按要求提供的不得分。）</w:t>
            </w:r>
            <w:r/>
          </w:p>
        </w:tc>
        <w:tc>
          <w:tcPr>
            <w:tcW w:w="525" w:type="pct"/>
            <w:vAlign w:val="center"/>
            <w:textDirection w:val="lrTb"/>
            <w:noWrap w:val="false"/>
          </w:tcPr>
          <w:p>
            <w:pPr>
              <w:jc w:val="center"/>
              <w:spacing w:line="320" w:lineRule="exact"/>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8</w:t>
            </w:r>
            <w:r/>
          </w:p>
        </w:tc>
      </w:tr>
      <w:tr>
        <w:trPr>
          <w:trHeight w:val="1276"/>
        </w:trPr>
        <w:tc>
          <w:tcPr>
            <w:tcW w:w="316" w:type="pct"/>
            <w:vAlign w:val="center"/>
            <w:vMerge w:val="restart"/>
            <w:textDirection w:val="lrTb"/>
            <w:noWrap w:val="false"/>
          </w:tcPr>
          <w:p>
            <w:pPr>
              <w:jc w:val="center"/>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596" w:type="pct"/>
            <w:vAlign w:val="center"/>
            <w:vMerge w:val="restart"/>
            <w:textDirection w:val="lrTb"/>
            <w:noWrap w:val="false"/>
          </w:tcPr>
          <w:p>
            <w:pPr>
              <w:jc w:val="center"/>
              <w:spacing w:line="32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国家政策导向（2分）</w:t>
            </w:r>
            <w:r/>
          </w:p>
        </w:tc>
        <w:tc>
          <w:tcPr>
            <w:tcW w:w="3560" w:type="pct"/>
            <w:vAlign w:val="center"/>
            <w:textDirection w:val="lrTb"/>
            <w:noWrap w:val="false"/>
          </w:tcPr>
          <w:p>
            <w:pPr>
              <w:jc w:val="left"/>
              <w:spacing w:line="32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环境</w:t>
            </w:r>
            <w:r>
              <w:rPr>
                <w:rFonts w:hint="eastAsia" w:ascii="宋体" w:hAnsi="宋体" w:eastAsia="宋体" w:cs="宋体"/>
                <w:bCs/>
                <w:color w:val="auto"/>
                <w:sz w:val="21"/>
                <w:szCs w:val="21"/>
                <w:lang w:val="zh-CN"/>
              </w:rPr>
              <w:t xml:space="preserve">标志</w:t>
            </w:r>
            <w:r>
              <w:rPr>
                <w:rFonts w:hint="eastAsia" w:ascii="宋体" w:hAnsi="宋体" w:eastAsia="宋体" w:cs="宋体"/>
                <w:color w:val="auto"/>
                <w:sz w:val="21"/>
                <w:szCs w:val="21"/>
              </w:rPr>
              <w:t xml:space="preserve">产品：投标产品有《环境标志产品政府采购品目清单》内产品，并提供参与实施政府采购环境标志产品认证机构出具的认证证书得1分。</w:t>
            </w:r>
            <w:r/>
          </w:p>
        </w:tc>
        <w:tc>
          <w:tcPr>
            <w:tcW w:w="525" w:type="pct"/>
            <w:vAlign w:val="center"/>
            <w:textDirection w:val="lrTb"/>
            <w:noWrap w:val="false"/>
          </w:tcPr>
          <w:p>
            <w:pPr>
              <w:jc w:val="center"/>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r>
      <w:tr>
        <w:trPr>
          <w:trHeight w:val="1124"/>
        </w:trPr>
        <w:tc>
          <w:tcPr>
            <w:tcW w:w="316" w:type="pct"/>
            <w:vAlign w:val="center"/>
            <w:vMerge w:val="continue"/>
            <w:textDirection w:val="lrTb"/>
            <w:noWrap w:val="false"/>
          </w:tcPr>
          <w:p>
            <w:pPr>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96" w:type="pct"/>
            <w:vAlign w:val="center"/>
            <w:vMerge w:val="continue"/>
            <w:textDirection w:val="lrTb"/>
            <w:noWrap w:val="false"/>
          </w:tcPr>
          <w:p>
            <w:pPr>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560" w:type="pct"/>
            <w:vAlign w:val="center"/>
            <w:textDirection w:val="lrTb"/>
            <w:noWrap w:val="false"/>
          </w:tcPr>
          <w:p>
            <w:pPr>
              <w:jc w:val="left"/>
              <w:spacing w:line="32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节能产品：投标产品有《节能产品政府采购品目清单》内产品，并</w:t>
            </w:r>
            <w:r>
              <w:rPr>
                <w:rFonts w:hint="eastAsia" w:ascii="宋体" w:hAnsi="宋体" w:eastAsia="宋体" w:cs="宋体"/>
                <w:bCs/>
                <w:color w:val="auto"/>
                <w:sz w:val="21"/>
                <w:szCs w:val="21"/>
                <w:lang w:val="zh-CN"/>
              </w:rPr>
              <w:t xml:space="preserve">提供</w:t>
            </w:r>
            <w:r>
              <w:rPr>
                <w:rFonts w:hint="eastAsia" w:ascii="宋体" w:hAnsi="宋体" w:eastAsia="宋体" w:cs="宋体"/>
                <w:color w:val="auto"/>
                <w:sz w:val="21"/>
                <w:szCs w:val="21"/>
              </w:rPr>
              <w:t xml:space="preserve">参与实施政府采购节能产品认证机构出具的认证证书得1分。</w:t>
            </w:r>
            <w:r/>
          </w:p>
        </w:tc>
        <w:tc>
          <w:tcPr>
            <w:tcW w:w="525" w:type="pct"/>
            <w:vAlign w:val="center"/>
            <w:textDirection w:val="lrTb"/>
            <w:noWrap w:val="false"/>
          </w:tcPr>
          <w:p>
            <w:pPr>
              <w:jc w:val="center"/>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r>
    </w:tbl>
    <w:p>
      <w:pPr>
        <w:pStyle w:val="700"/>
        <w:spacing w:line="32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p>
      <w:pPr>
        <w:spacing w:line="360" w:lineRule="auto"/>
        <w:rPr>
          <w:rFonts w:ascii="宋体" w:hAnsi="宋体" w:cs="_x000B__x000C_"/>
          <w:b/>
          <w:color w:val="000000" w:themeColor="text1"/>
          <w:szCs w:val="21"/>
          <w:highlight w:val="none"/>
          <w14:textFill>
            <w14:solidFill>
              <w14:schemeClr w14:val="tx1"/>
            </w14:solidFill>
          </w14:textFill>
        </w:rPr>
      </w:pPr>
      <w:r>
        <w:rPr>
          <w:rFonts w:hint="eastAsia" w:ascii="宋体" w:hAnsi="宋体" w:cs="_x000B__x000C_"/>
          <w:b/>
          <w:color w:val="000000" w:themeColor="text1"/>
          <w:szCs w:val="21"/>
          <w:highlight w:val="none"/>
          <w14:textFill>
            <w14:solidFill>
              <w14:schemeClr w14:val="tx1"/>
            </w14:solidFill>
          </w14:textFill>
        </w:rPr>
        <w:t xml:space="preserve">备注：政府采购政策功能落实</w:t>
      </w:r>
      <w:r/>
    </w:p>
    <w:p>
      <w:pPr>
        <w:numPr>
          <w:ilvl w:val="0"/>
          <w:numId w:val="7"/>
        </w:num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小微型企业价格扣除</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（1）本项目对小型和微型企业提供的产品给予</w:t>
      </w:r>
      <w:r>
        <w:rPr>
          <w:rFonts w:hint="eastAsia" w:ascii="宋体" w:hAnsi="宋体" w:cs="_x000B__x000C_"/>
          <w:color w:val="000000" w:themeColor="text1"/>
          <w:szCs w:val="21"/>
          <w:highlight w:val="none"/>
          <w:u w:val="single"/>
          <w14:textFill>
            <w14:solidFill>
              <w14:schemeClr w14:val="tx1"/>
            </w14:solidFill>
          </w14:textFill>
        </w:rPr>
        <w:t xml:space="preserve">10%</w:t>
      </w:r>
      <w:r>
        <w:rPr>
          <w:rFonts w:hint="eastAsia" w:ascii="宋体" w:hAnsi="宋体" w:cs="_x000B__x000C_"/>
          <w:color w:val="000000" w:themeColor="text1"/>
          <w:szCs w:val="21"/>
          <w:highlight w:val="none"/>
          <w14:textFill>
            <w14:solidFill>
              <w14:schemeClr w14:val="tx1"/>
            </w14:solidFill>
          </w14:textFill>
        </w:rPr>
        <w:t xml:space="preserve">的扣除价格，用扣除后的价格参与评审。</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（2）投标人需按照采购文件的要求提供相应的《中小企业声明函》。</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2、残疾人福利单位价格扣除</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（1）本项目对残疾人福利性单位视同小型、微型企业，给予</w:t>
      </w:r>
      <w:r>
        <w:rPr>
          <w:rFonts w:hint="eastAsia" w:ascii="宋体" w:hAnsi="宋体" w:cs="_x000B__x000C_"/>
          <w:color w:val="000000" w:themeColor="text1"/>
          <w:szCs w:val="21"/>
          <w:highlight w:val="none"/>
          <w:u w:val="single"/>
          <w14:textFill>
            <w14:solidFill>
              <w14:schemeClr w14:val="tx1"/>
            </w14:solidFill>
          </w14:textFill>
        </w:rPr>
        <w:t xml:space="preserve">10%</w:t>
      </w:r>
      <w:r>
        <w:rPr>
          <w:rFonts w:hint="eastAsia" w:ascii="宋体" w:hAnsi="宋体" w:cs="_x000B__x000C_"/>
          <w:color w:val="000000" w:themeColor="text1"/>
          <w:szCs w:val="21"/>
          <w:highlight w:val="none"/>
          <w14:textFill>
            <w14:solidFill>
              <w14:schemeClr w14:val="tx1"/>
            </w14:solidFill>
          </w14:textFill>
        </w:rPr>
        <w:t xml:space="preserve">的价格扣除，用扣除后的价格参与评审。</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（2）残疾人福利单位需按照采购文件的要求提供《残疾人福利性单位声明函》。</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（3）残疾人福利单位标准请参照《关于促进残疾人就业政府采购政策的通知》（财库〔2017〕141号）。</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3、监狱和戒毒企业价格扣除</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（1）本项目对监狱和戒毒企业（简称监狱企业）视同小型、微型企业，给予</w:t>
      </w:r>
      <w:r>
        <w:rPr>
          <w:rFonts w:hint="eastAsia" w:ascii="宋体" w:hAnsi="宋体" w:cs="_x000B__x000C_"/>
          <w:color w:val="000000" w:themeColor="text1"/>
          <w:szCs w:val="21"/>
          <w:highlight w:val="none"/>
          <w:u w:val="single"/>
          <w14:textFill>
            <w14:solidFill>
              <w14:schemeClr w14:val="tx1"/>
            </w14:solidFill>
          </w14:textFill>
        </w:rPr>
        <w:t xml:space="preserve">10%</w:t>
      </w:r>
      <w:r>
        <w:rPr>
          <w:rFonts w:hint="eastAsia" w:ascii="宋体" w:hAnsi="宋体" w:cs="_x000B__x000C_"/>
          <w:color w:val="000000" w:themeColor="text1"/>
          <w:szCs w:val="21"/>
          <w:highlight w:val="none"/>
          <w14:textFill>
            <w14:solidFill>
              <w14:schemeClr w14:val="tx1"/>
            </w14:solidFill>
          </w14:textFill>
        </w:rPr>
        <w:t xml:space="preserve">的价格扣除，用扣除后的价格参与评审。</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（3）监狱企业标准请参照《关于政府采购支持监狱企业发展有关问题的通知》（</w:t>
      </w:r>
      <w:r>
        <w:rPr>
          <w:rFonts w:ascii="宋体" w:hAnsi="宋体" w:cs="_x000B__x000C_"/>
          <w:color w:val="000000" w:themeColor="text1"/>
          <w:szCs w:val="21"/>
          <w:highlight w:val="none"/>
          <w14:textFill>
            <w14:solidFill>
              <w14:schemeClr w14:val="tx1"/>
            </w14:solidFill>
          </w14:textFill>
        </w:rPr>
        <w:t xml:space="preserve">财库〔2014〕68号</w:t>
      </w:r>
      <w:r>
        <w:rPr>
          <w:rFonts w:hint="eastAsia" w:ascii="宋体" w:hAnsi="宋体" w:cs="_x000B__x000C_"/>
          <w:color w:val="000000" w:themeColor="text1"/>
          <w:szCs w:val="21"/>
          <w:highlight w:val="none"/>
          <w14:textFill>
            <w14:solidFill>
              <w14:schemeClr w14:val="tx1"/>
            </w14:solidFill>
          </w14:textFill>
        </w:rPr>
        <w:t xml:space="preserve">）。</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4、残疾人福利单位、监狱企业属于小型、微型企业的，不重复享受政策。</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_x000B__x000C_"/>
          <w:color w:val="000000" w:themeColor="text1"/>
          <w:szCs w:val="21"/>
          <w:highlight w:val="none"/>
          <w:u w:val="single"/>
          <w14:textFill>
            <w14:solidFill>
              <w14:schemeClr w14:val="tx1"/>
            </w14:solidFill>
          </w14:textFill>
        </w:rPr>
        <w:t xml:space="preserve">4</w:t>
      </w:r>
      <w:r>
        <w:rPr>
          <w:rFonts w:hint="eastAsia" w:ascii="宋体" w:hAnsi="宋体" w:cs="_x000B__x000C_"/>
          <w:color w:val="000000" w:themeColor="text1"/>
          <w:szCs w:val="21"/>
          <w:highlight w:val="none"/>
          <w:u w:val="single"/>
          <w14:textFill>
            <w14:solidFill>
              <w14:schemeClr w14:val="tx1"/>
            </w14:solidFill>
          </w14:textFill>
        </w:rPr>
        <w:t xml:space="preserve">%</w:t>
      </w:r>
      <w:r>
        <w:rPr>
          <w:rFonts w:hint="eastAsia" w:ascii="宋体" w:hAnsi="宋体" w:cs="_x000B__x000C_"/>
          <w:color w:val="000000" w:themeColor="text1"/>
          <w:szCs w:val="21"/>
          <w:highlight w:val="none"/>
          <w14:textFill>
            <w14:solidFill>
              <w14:schemeClr w14:val="tx1"/>
            </w14:solidFill>
          </w14:textFill>
        </w:rPr>
        <w:t xml:space="preserve">的价格扣除，用扣除后的价格参与评审。</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6、联合体各方均为小型、微型企业（残疾人福利单位、监狱企业）的，联合体享受</w:t>
      </w:r>
      <w:r>
        <w:rPr>
          <w:rFonts w:hint="eastAsia" w:ascii="宋体" w:hAnsi="宋体" w:cs="_x000B__x000C_"/>
          <w:color w:val="000000" w:themeColor="text1"/>
          <w:szCs w:val="21"/>
          <w:highlight w:val="none"/>
          <w:u w:val="single"/>
          <w14:textFill>
            <w14:solidFill>
              <w14:schemeClr w14:val="tx1"/>
            </w14:solidFill>
          </w14:textFill>
        </w:rPr>
        <w:t xml:space="preserve">10%</w:t>
      </w:r>
      <w:r>
        <w:rPr>
          <w:rFonts w:hint="eastAsia" w:ascii="宋体" w:hAnsi="宋体" w:cs="_x000B__x000C_"/>
          <w:color w:val="000000" w:themeColor="text1"/>
          <w:szCs w:val="21"/>
          <w:highlight w:val="none"/>
          <w14:textFill>
            <w14:solidFill>
              <w14:schemeClr w14:val="tx1"/>
            </w14:solidFill>
          </w14:textFill>
        </w:rPr>
        <w:t xml:space="preserve">价格扣除，用扣除后的价格参与评审。</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7、对本国产品的支持政策</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注：</w:t>
      </w:r>
      <w:r/>
    </w:p>
    <w:p>
      <w:pPr>
        <w:pStyle w:val="897"/>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7"/>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评审中发现《符合本国产品标准的声明函》内容含义不明确、同类事项与投标（响应）文件表述不一致或者有明显文字错误等情况的，应当以书面形式要求投标人作出必要的澄清、说明或者补正。经澄清、说明或者补正的《符合本国产品标准的声明函》仍然不符合《国务院办公厅关于在政府采购中实施本国产品标准及相关政策的通知》规定要求的，投标人提供的相关产品视为不符合本国产品标准。</w:t>
      </w:r>
      <w:bookmarkEnd w:id="54"/>
      <w:r/>
      <w:r/>
    </w:p>
    <w:p>
      <w:pPr>
        <w:pStyle w:val="897"/>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8、根据财政部、发展改革委、生态环境部、市场监管总局《关于调整优化节能产品、环境标志产品政府采购执行机制的通知》，投标标的如有属于《环境标志产品政府采购品目清单》（最新一期）内的产品，投标人需提供国家确定的认证机构出具的、处于有效期之内的环境标志产品认证证书，且同时提供《环境标志产品信息表》明确说明此产品在《环境标志产品政府采购品目清单》（最新一期）中归属的编码及名称。以上条件均符合情况下，对相应产品的价格给予1%的扣除，用扣除后的价格参与评审。</w:t>
      </w:r>
      <w:r/>
    </w:p>
    <w:p>
      <w:pPr>
        <w:pStyle w:val="897"/>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9、根据财政部、发展改革委、生态环境部、市场监管总局《关于调整优化节能产品、环境标志产品政府采购执行机制的通知》，投标标的如有属于《节能产品政府采购品目清单》（最新一期）内的产品（不含政府强制采购节能产品），投标人需提供国家确定的认证机构出具的、处于有效期之内的节能产品认证证书，且同时提供《节能产品信息表》明确说明此产品在《节能产品政府采购品目清单》（最新一期）中归属的编码及名称。以上条件均符合情况下，对相应产品的价格给予1%的扣除，用扣除后的价格参与评审。</w:t>
      </w:r>
      <w:r/>
    </w:p>
    <w:p>
      <w:pPr>
        <w:pStyle w:val="897"/>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br w:type="page" w:clear="all"/>
      </w:r>
      <w:r/>
    </w:p>
    <w:p>
      <w:pPr>
        <w:pStyle w:val="897"/>
        <w:ind w:firstLine="0"/>
        <w:jc w:val="center"/>
        <w:spacing w:line="360" w:lineRule="auto"/>
        <w:rPr>
          <w:b/>
          <w:bCs/>
          <w:color w:val="000000" w:themeColor="text1"/>
          <w:sz w:val="28"/>
          <w:szCs w:val="28"/>
          <w:highlight w:val="none"/>
          <w14:textFill>
            <w14:solidFill>
              <w14:schemeClr w14:val="tx1"/>
            </w14:solidFill>
          </w14:textFill>
        </w:rPr>
        <w:outlineLvl w:val="0"/>
      </w:pPr>
      <w:r/>
      <w:bookmarkStart w:id="56" w:name="_Toc3602"/>
      <w:r/>
      <w:bookmarkStart w:id="57" w:name="_Toc244"/>
      <w:r>
        <w:rPr>
          <w:rFonts w:hint="eastAsia"/>
          <w:b/>
          <w:bCs/>
          <w:color w:val="000000" w:themeColor="text1"/>
          <w:sz w:val="28"/>
          <w:szCs w:val="28"/>
          <w:highlight w:val="none"/>
          <w14:textFill>
            <w14:solidFill>
              <w14:schemeClr w14:val="tx1"/>
            </w14:solidFill>
          </w14:textFill>
        </w:rPr>
        <w:t xml:space="preserve">第三章</w:t>
      </w:r>
      <w:r>
        <w:rPr>
          <w:b/>
          <w:bCs/>
          <w:color w:val="000000" w:themeColor="text1"/>
          <w:sz w:val="28"/>
          <w:szCs w:val="28"/>
          <w:highlight w:val="none"/>
          <w14:textFill>
            <w14:solidFill>
              <w14:schemeClr w14:val="tx1"/>
            </w14:solidFill>
          </w14:textFill>
        </w:rPr>
        <w:t xml:space="preserve">  </w:t>
      </w:r>
      <w:bookmarkStart w:id="58" w:name="_Hlk155194278"/>
      <w:r>
        <w:rPr>
          <w:rFonts w:hint="eastAsia"/>
          <w:b/>
          <w:bCs/>
          <w:color w:val="000000" w:themeColor="text1"/>
          <w:sz w:val="28"/>
          <w:szCs w:val="28"/>
          <w:highlight w:val="none"/>
          <w14:textFill>
            <w14:solidFill>
              <w14:schemeClr w14:val="tx1"/>
            </w14:solidFill>
          </w14:textFill>
        </w:rPr>
        <w:t xml:space="preserve">合同格式</w:t>
      </w:r>
      <w:bookmarkEnd w:id="56"/>
      <w:r/>
      <w:bookmarkEnd w:id="57"/>
      <w:r/>
      <w:bookmarkEnd w:id="58"/>
      <w:r/>
      <w:r/>
    </w:p>
    <w:p>
      <w:pPr>
        <w:jc w:val="cente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bookmarkStart w:id="59" w:name="OLE_LINK3"/>
      <w:r/>
      <w:bookmarkStart w:id="60" w:name="_Hlk155189716"/>
      <w:r/>
      <w:r/>
    </w:p>
    <w:p>
      <w:pPr>
        <w:jc w:val="cente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jc w:val="cente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jc w:val="center"/>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jc w:val="center"/>
        <w:spacing w:line="360" w:lineRule="auto"/>
        <w:shd w:val="clear" w:color="auto" w:fill="ffffff"/>
        <w:widowControl/>
        <w:rPr>
          <w:rFonts w:ascii="宋体" w:hAnsi="宋体" w:cs="宋体"/>
          <w:b/>
          <w:bCs/>
          <w:color w:val="000000" w:themeColor="text1"/>
          <w:sz w:val="32"/>
          <w:szCs w:val="32"/>
          <w:highlight w:val="none"/>
          <w:lang w:val="zh-CN"/>
          <w14:textFill>
            <w14:solidFill>
              <w14:schemeClr w14:val="tx1"/>
            </w14:solidFill>
          </w14:textFill>
        </w:rPr>
      </w:pPr>
      <w:r>
        <w:rPr>
          <w:rFonts w:hint="eastAsia" w:ascii="宋体" w:hAnsi="宋体" w:cs="宋体"/>
          <w:b/>
          <w:bCs/>
          <w:color w:val="000000" w:themeColor="text1"/>
          <w:sz w:val="32"/>
          <w:szCs w:val="32"/>
          <w:highlight w:val="none"/>
          <w:lang w:val="zh-CN"/>
          <w14:textFill>
            <w14:solidFill>
              <w14:schemeClr w14:val="tx1"/>
            </w14:solidFill>
          </w14:textFill>
        </w:rPr>
        <w:t xml:space="preserve">政府采购合同</w:t>
      </w:r>
      <w:r/>
    </w:p>
    <w:p>
      <w:pP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1918"/>
        <w:spacing w:line="360" w:lineRule="auto"/>
        <w:shd w:val="clear" w:color="auto" w:fill="ffffff"/>
        <w:widowControl/>
        <w:rPr>
          <w:rFonts w:ascii="宋体" w:hAnsi="宋体" w:cs="宋体"/>
          <w:b/>
          <w:bCs/>
          <w:color w:val="000000" w:themeColor="text1"/>
          <w:sz w:val="30"/>
          <w:szCs w:val="30"/>
          <w:highlight w:val="none"/>
          <w:u w:val="singl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合同编号：</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918"/>
        <w:spacing w:line="360" w:lineRule="auto"/>
        <w:shd w:val="clear" w:color="auto" w:fill="ffffff"/>
        <w:widowControl/>
        <w:rPr>
          <w:rFonts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项目名称：</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918"/>
        <w:spacing w:line="360" w:lineRule="auto"/>
        <w:shd w:val="clear" w:color="auto" w:fill="ffffff"/>
        <w:widowControl/>
        <w:rPr>
          <w:rFonts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使用单位：</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795"/>
        <w:spacing w:line="360" w:lineRule="auto"/>
        <w:shd w:val="clear" w:color="auto" w:fill="ffffff"/>
        <w:widowControl/>
        <w:rPr>
          <w:rFonts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 供 应 商：</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916"/>
        <w:spacing w:line="360" w:lineRule="auto"/>
        <w:shd w:val="clear" w:color="auto" w:fill="ffffff"/>
        <w:widowControl/>
        <w:rPr>
          <w:rFonts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签订日期 ：</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spacing w:line="360" w:lineRule="auto"/>
        <w:shd w:val="clear" w:color="auto" w:fill="ffffff"/>
        <w:widowControl/>
        <w:rPr>
          <w:rFonts w:ascii="宋体" w:hAnsi="宋体" w:eastAsia="Calibri" w:cs="宋体"/>
          <w:color w:val="000000" w:themeColor="text1"/>
          <w:sz w:val="30"/>
          <w:szCs w:val="30"/>
          <w:highlight w:val="none"/>
          <w:lang w:val="zh-CN"/>
          <w14:textFill>
            <w14:solidFill>
              <w14:schemeClr w14:val="tx1"/>
            </w14:solidFill>
          </w14:textFill>
        </w:rPr>
      </w:pPr>
      <w:r>
        <w:rPr>
          <w:rFonts w:hint="eastAsia" w:ascii="宋体" w:hAnsi="宋体" w:eastAsia="Calibri" w:cs="宋体"/>
          <w:color w:val="000000" w:themeColor="text1"/>
          <w:sz w:val="30"/>
          <w:szCs w:val="30"/>
          <w:highlight w:val="none"/>
          <w:lang w:val="zh-CN"/>
          <w14:textFill>
            <w14:solidFill>
              <w14:schemeClr w14:val="tx1"/>
            </w14:solidFill>
          </w14:textFill>
        </w:rPr>
        <w:t xml:space="preserve">      </w:t>
      </w:r>
      <w:r/>
    </w:p>
    <w:p>
      <w:pPr>
        <w:spacing w:line="360" w:lineRule="auto"/>
        <w:shd w:val="clear" w:color="auto" w:fill="ffffff"/>
        <w:widowControl/>
        <w:rPr>
          <w:rFonts w:ascii="宋体" w:hAnsi="宋体" w:eastAsia="Calibri" w:cs="宋体"/>
          <w:color w:val="000000" w:themeColor="text1"/>
          <w:sz w:val="30"/>
          <w:szCs w:val="30"/>
          <w:highlight w:val="none"/>
          <w:lang w:val="zh-CN"/>
          <w14:textFill>
            <w14:solidFill>
              <w14:schemeClr w14:val="tx1"/>
            </w14:solidFill>
          </w14:textFill>
        </w:rPr>
      </w:pPr>
      <w:r>
        <w:rPr>
          <w:rFonts w:ascii="宋体" w:hAnsi="宋体" w:eastAsia="Calibri" w:cs="宋体"/>
          <w:color w:val="000000" w:themeColor="text1"/>
          <w:sz w:val="30"/>
          <w:szCs w:val="30"/>
          <w:highlight w:val="none"/>
          <w:lang w:val="zh-CN"/>
          <w14:textFill>
            <w14:solidFill>
              <w14:schemeClr w14:val="tx1"/>
            </w14:solidFill>
          </w14:textFill>
        </w:rPr>
      </w:r>
      <w:r/>
    </w:p>
    <w:p>
      <w:pPr>
        <w:spacing w:line="360" w:lineRule="auto"/>
        <w:shd w:val="clear" w:color="auto" w:fill="ffffff"/>
        <w:widowControl/>
        <w:rPr>
          <w:rFonts w:ascii="宋体" w:hAnsi="宋体" w:eastAsia="Calibri" w:cs="宋体"/>
          <w:color w:val="000000" w:themeColor="text1"/>
          <w:sz w:val="30"/>
          <w:szCs w:val="30"/>
          <w:highlight w:val="none"/>
          <w:lang w:val="zh-CN"/>
          <w14:textFill>
            <w14:solidFill>
              <w14:schemeClr w14:val="tx1"/>
            </w14:solidFill>
          </w14:textFill>
        </w:rPr>
      </w:pPr>
      <w:r>
        <w:rPr>
          <w:rFonts w:ascii="宋体" w:hAnsi="宋体" w:eastAsia="Calibri" w:cs="宋体"/>
          <w:color w:val="000000" w:themeColor="text1"/>
          <w:sz w:val="30"/>
          <w:szCs w:val="30"/>
          <w:highlight w:val="none"/>
          <w:lang w:val="zh-CN"/>
          <w14:textFill>
            <w14:solidFill>
              <w14:schemeClr w14:val="tx1"/>
            </w14:solidFill>
          </w14:textFill>
        </w:rPr>
      </w:r>
      <w:r/>
    </w:p>
    <w:p>
      <w:pPr>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eastAsia="Calibri" w:cs="宋体"/>
          <w:b/>
          <w:bCs/>
          <w:color w:val="000000" w:themeColor="text1"/>
          <w:sz w:val="30"/>
          <w:szCs w:val="30"/>
          <w:highlight w:val="none"/>
          <w:lang w:val="zh-CN"/>
          <w14:textFill>
            <w14:solidFill>
              <w14:schemeClr w14:val="tx1"/>
            </w14:solidFill>
          </w14:textFill>
        </w:rPr>
        <w:br w:type="page" w:clear="all"/>
      </w:r>
      <w:r>
        <w:rPr>
          <w:rFonts w:hint="eastAsia" w:ascii="宋体" w:hAnsi="宋体" w:cs="宋体"/>
          <w:color w:val="000000" w:themeColor="text1"/>
          <w:szCs w:val="21"/>
          <w:highlight w:val="none"/>
          <w:lang w:val="en-US" w:eastAsia="zh-CN"/>
          <w14:textFill>
            <w14:solidFill>
              <w14:schemeClr w14:val="tx1"/>
            </w14:solidFill>
          </w14:textFill>
        </w:rPr>
        <w:t xml:space="preserve">项目</w:t>
      </w:r>
      <w:r>
        <w:rPr>
          <w:rFonts w:hint="eastAsia" w:ascii="宋体" w:hAnsi="宋体" w:cs="宋体"/>
          <w:color w:val="000000" w:themeColor="text1"/>
          <w:szCs w:val="21"/>
          <w:highlight w:val="none"/>
          <w:lang w:val="zh-CN"/>
          <w14:textFill>
            <w14:solidFill>
              <w14:schemeClr w14:val="tx1"/>
            </w14:solidFill>
          </w14:textFill>
        </w:rPr>
        <w:t xml:space="preserve">编号：</w:t>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政府采购计划号：</w:t>
      </w:r>
      <w:r/>
    </w:p>
    <w:tbl>
      <w:tblPr>
        <w:tblStyle w:val="687"/>
        <w:tblW w:w="9178" w:type="dxa"/>
        <w:tblInd w:w="0" w:type="dxa"/>
        <w:tblLayout w:type="fixed"/>
        <w:tblCellMar>
          <w:left w:w="0" w:type="dxa"/>
          <w:top w:w="0" w:type="dxa"/>
          <w:right w:w="0" w:type="dxa"/>
          <w:bottom w:w="0" w:type="dxa"/>
        </w:tblCellMar>
        <w:tblLook w:val="04A0" w:firstRow="1" w:lastRow="0" w:firstColumn="1" w:lastColumn="0" w:noHBand="0" w:noVBand="1"/>
      </w:tblPr>
      <w:tblGrid>
        <w:gridCol w:w="4535"/>
        <w:gridCol w:w="4643"/>
      </w:tblGrid>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住所地：</w:t>
            </w:r>
            <w:r/>
          </w:p>
        </w:tc>
      </w:tr>
    </w:tbl>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根据《中华人民共和国政府采购法》、《中华人民共和国民法典》等法律法规的规定，甲乙双方按照招标代理机构的招标结果签订本合同。</w:t>
      </w:r>
      <w:r/>
    </w:p>
    <w:p>
      <w:pPr>
        <w:ind w:firstLine="48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第一条 合同标的</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乙方根据甲方需求提供下列货物：</w:t>
      </w:r>
      <w:r/>
    </w:p>
    <w:tbl>
      <w:tblPr>
        <w:tblStyle w:val="687"/>
        <w:tblpPr w:horzAnchor="margin" w:tblpXSpec="center" w:vertAnchor="text" w:tblpY="118"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598"/>
        <w:gridCol w:w="2185"/>
        <w:gridCol w:w="1193"/>
        <w:gridCol w:w="1339"/>
        <w:gridCol w:w="1571"/>
      </w:tblGrid>
      <w:tr>
        <w:trPr>
          <w:trHeight w:val="697"/>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exact"/>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jc w:val="center"/>
              <w:spacing w:line="360" w:lineRule="exact"/>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1253" w:type="pct"/>
            <w:vAlign w:val="center"/>
            <w:textDirection w:val="lrTb"/>
            <w:noWrap w:val="false"/>
          </w:tcPr>
          <w:p>
            <w:pPr>
              <w:jc w:val="center"/>
              <w:spacing w:line="360" w:lineRule="exact"/>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品牌、规格或型号</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spacing w:line="360" w:lineRule="exact"/>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360" w:lineRule="exact"/>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金额（元）</w:t>
            </w:r>
            <w:r/>
          </w:p>
        </w:tc>
      </w:tr>
      <w:tr>
        <w:trPr>
          <w:trHeight w:val="28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53" w:type="pct"/>
            <w:vAlign w:val="center"/>
            <w:textDirection w:val="lrTb"/>
            <w:noWrap w:val="false"/>
          </w:tcPr>
          <w:p>
            <w:pPr>
              <w:jc w:val="center"/>
              <w:spacing w:line="360" w:lineRule="exact"/>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r>
      <w:tr>
        <w:trPr>
          <w:trHeight w:val="28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53" w:type="pct"/>
            <w:vAlign w:val="center"/>
            <w:textDirection w:val="lrTb"/>
            <w:noWrap w:val="false"/>
          </w:tcPr>
          <w:p>
            <w:pPr>
              <w:jc w:val="center"/>
              <w:spacing w:line="360" w:lineRule="exact"/>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r>
      <w:tr>
        <w:trPr>
          <w:trHeight w:val="28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53" w:type="pct"/>
            <w:vAlign w:val="center"/>
            <w:textDirection w:val="lrTb"/>
            <w:noWrap w:val="false"/>
          </w:tcPr>
          <w:p>
            <w:pPr>
              <w:jc w:val="center"/>
              <w:spacing w:line="360" w:lineRule="exact"/>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r>
      <w:tr>
        <w:trPr>
          <w:trHeight w:val="284"/>
        </w:trPr>
        <w:tc>
          <w:tcPr>
            <w:gridSpan w:val="5"/>
            <w:tcBorders>
              <w:top w:val="single" w:color="000000" w:sz="4" w:space="0"/>
              <w:left w:val="single" w:color="000000" w:sz="4" w:space="0"/>
              <w:bottom w:val="single" w:color="000000" w:sz="4" w:space="0"/>
              <w:right w:val="single" w:color="000000" w:sz="4" w:space="0"/>
            </w:tcBorders>
            <w:tcW w:w="4099"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中标物资货款总金额（元）</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r>
    </w:tbl>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货物名称、规格及数量详见乙方投标文件。</w:t>
      </w:r>
      <w:r/>
    </w:p>
    <w:p>
      <w:pPr>
        <w:ind w:firstLine="420"/>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第二条 合同总价款</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本合同项下货物总价款为</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（大写）人民币，分项价款在乙方“投标文件价格部分”中有明确规定。</w:t>
      </w:r>
      <w:r/>
    </w:p>
    <w:p>
      <w:pPr>
        <w:ind w:firstLine="480"/>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本合同总价款是</w:t>
      </w:r>
      <w:bookmarkStart w:id="61" w:name="_Hlk237099476"/>
      <w:r>
        <w:rPr>
          <w:rFonts w:hint="eastAsia" w:ascii="宋体" w:hAnsi="宋体" w:cs="宋体"/>
          <w:color w:val="000000" w:themeColor="text1"/>
          <w:szCs w:val="21"/>
          <w:highlight w:val="none"/>
          <w:lang w:val="zh-CN"/>
          <w14:textFill>
            <w14:solidFill>
              <w14:schemeClr w14:val="tx1"/>
            </w14:solidFill>
          </w14:textFill>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bCs/>
          <w:color w:val="000000" w:themeColor="text1"/>
          <w:szCs w:val="21"/>
          <w:highlight w:val="none"/>
          <w:lang w:val="zh-CN"/>
          <w14:textFill>
            <w14:solidFill>
              <w14:schemeClr w14:val="tx1"/>
            </w14:solidFill>
          </w14:textFill>
        </w:rPr>
        <w:t xml:space="preserve">，以</w:t>
      </w:r>
      <w:r>
        <w:rPr>
          <w:rFonts w:hint="eastAsia" w:ascii="宋体" w:hAnsi="宋体" w:cs="宋体"/>
          <w:color w:val="000000" w:themeColor="text1"/>
          <w:szCs w:val="21"/>
          <w:highlight w:val="none"/>
          <w:lang w:val="zh-CN"/>
          <w14:textFill>
            <w14:solidFill>
              <w14:schemeClr w14:val="tx1"/>
            </w14:solidFill>
          </w14:textFill>
        </w:rPr>
        <w:t xml:space="preserve">及乙方认为需要的其他费用</w:t>
      </w:r>
      <w:bookmarkEnd w:id="61"/>
      <w:r>
        <w:rPr>
          <w:rFonts w:hint="eastAsia" w:ascii="宋体" w:hAnsi="宋体" w:cs="宋体"/>
          <w:color w:val="000000" w:themeColor="text1"/>
          <w:szCs w:val="21"/>
          <w:highlight w:val="none"/>
          <w:lang w:val="zh-CN"/>
          <w14:textFill>
            <w14:solidFill>
              <w14:schemeClr w14:val="tx1"/>
            </w14:solidFill>
          </w14:textFill>
        </w:rPr>
        <w:t xml:space="preserve">等。</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本合同总价款还包含乙方应当提供的伴随服务/售后服务费用。</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本合同执行期间合同总价款不变。</w:t>
      </w:r>
      <w:r/>
    </w:p>
    <w:p>
      <w:pPr>
        <w:ind w:firstLine="48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第三条 组成本合同的有关文件</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下列关于</w:t>
      </w:r>
      <w:bookmarkStart w:id="206" w:name="_GoBack"/>
      <w:r>
        <w:rPr>
          <w:rFonts w:hint="eastAsia" w:ascii="宋体" w:hAnsi="宋体" w:cs="宋体"/>
          <w:color w:val="000000" w:themeColor="text1"/>
          <w:szCs w:val="21"/>
          <w:highlight w:val="none"/>
          <w:u w:val="single"/>
          <w:lang w:val="zh-CN" w:eastAsia="zh-CN"/>
          <w14:textFill>
            <w14:solidFill>
              <w14:schemeClr w14:val="tx1"/>
            </w14:solidFill>
          </w14:textFill>
        </w:rPr>
        <w:t xml:space="preserve">JSZC-320000-JITC-G2026-0342</w:t>
      </w:r>
      <w:bookmarkEnd w:id="206"/>
      <w:r>
        <w:rPr>
          <w:rFonts w:hint="eastAsia" w:ascii="宋体" w:hAnsi="宋体" w:cs="宋体"/>
          <w:color w:val="000000" w:themeColor="text1"/>
          <w:szCs w:val="21"/>
          <w:highlight w:val="none"/>
          <w:lang w:val="zh-CN"/>
          <w14:textFill>
            <w14:solidFill>
              <w14:schemeClr w14:val="tx1"/>
            </w14:solidFill>
          </w14:textFill>
        </w:rPr>
        <w:t xml:space="preserve">号标的招投标文件或与本次采购活动方式相适应的文件及有关附件是本合同不可分割的组成部分，与本合同具有同等法律效力，这些文件包括但不限于：</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乙方提供的投标文件和投标文件价格部分；</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技术条款偏离表；</w:t>
      </w:r>
      <w:r/>
    </w:p>
    <w:p>
      <w:pPr>
        <w:ind w:firstLine="48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3、供货一览表；</w:t>
      </w:r>
      <w:r/>
    </w:p>
    <w:p>
      <w:pPr>
        <w:ind w:firstLine="48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4、交货一览表；</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投标承诺/服务承诺；</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中标通知书；</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甲乙双方商定的其他文件等。</w:t>
      </w:r>
      <w:r/>
    </w:p>
    <w:p>
      <w:pPr>
        <w:ind w:firstLine="48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第四条 权利保证</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乙方应保证甲方在使用该货物或其任何一部分时不受第三方提出侵犯其专利权、版权、商标权或其他权利的起诉。一旦出现侵权，乙方应承担全部责任。</w:t>
      </w:r>
      <w:r/>
    </w:p>
    <w:p>
      <w:pPr>
        <w:ind w:firstLine="48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第五条 质量保证</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1、乙方所提供的货物的技术规格应与招标文件规定的技术规格及投标文件所附的“技术条款偏离表”相一致；若技术性能无特殊说明，则按国家有关部门最新颁布的标准及规范为准。</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第六条 包装要求</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2、每一包装单元内应附详细的装箱单和质量合格凭证。</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3、贮存时要求对每个包装件放置一个RFID标签，并录入产品信息，便于物资出入库的智能管理，所需费用由乙方自行承担。</w:t>
      </w:r>
      <w:r/>
    </w:p>
    <w:p>
      <w:pPr>
        <w:ind w:firstLine="482"/>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第七条 交货和验收</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1、交货时间：自合同签订之日起</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天内完成所有货物的生产并仓储在本省仓库内。</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2、仓储要求：生产完成后，乙方直接交付至指定存储地点。</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3、乙方交付的货物应当完全符合本合同或者招投标文件所规定的货物、数量和规格要求。乙方提供的货物不符合招投标文件和合同规定的，甲方有权拒收货物，由此引起的风险，由乙方承担。</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4、针对</w:t>
      </w:r>
      <w:r>
        <w:rPr>
          <w:rFonts w:hint="eastAsia" w:ascii="宋体" w:hAnsi="宋体" w:cs="宋体"/>
          <w:color w:val="000000" w:themeColor="text1"/>
          <w:szCs w:val="21"/>
          <w:highlight w:val="none"/>
          <w:lang w:val="en-US" w:eastAsia="zh-CN"/>
          <w14:textFill>
            <w14:solidFill>
              <w14:schemeClr w14:val="tx1"/>
            </w14:solidFill>
          </w14:textFill>
        </w:rPr>
        <w:t xml:space="preserve">中标</w:t>
      </w:r>
      <w:r>
        <w:rPr>
          <w:rFonts w:hint="eastAsia" w:ascii="宋体" w:hAnsi="宋体" w:cs="宋体"/>
          <w:color w:val="000000" w:themeColor="text1"/>
          <w:szCs w:val="21"/>
          <w:highlight w:val="none"/>
          <w:lang w:val="zh-CN"/>
          <w14:textFill>
            <w14:solidFill>
              <w14:schemeClr w14:val="tx1"/>
            </w14:solidFill>
          </w14:textFill>
        </w:rPr>
        <w:t xml:space="preserve">产品甲方</w:t>
      </w:r>
      <w:r>
        <w:rPr>
          <w:rFonts w:hint="eastAsia" w:ascii="宋体" w:hAnsi="宋体" w:cs="宋体"/>
          <w:color w:val="000000" w:themeColor="text1"/>
          <w:szCs w:val="21"/>
          <w:highlight w:val="none"/>
          <w:lang w:val="en-US" w:eastAsia="zh-CN"/>
          <w14:textFill>
            <w14:solidFill>
              <w14:schemeClr w14:val="tx1"/>
            </w14:solidFill>
          </w14:textFill>
        </w:rPr>
        <w:t xml:space="preserve">有权</w:t>
      </w:r>
      <w:r>
        <w:rPr>
          <w:rFonts w:hint="eastAsia" w:ascii="宋体" w:hAnsi="宋体" w:cs="宋体"/>
          <w:color w:val="000000" w:themeColor="text1"/>
          <w:szCs w:val="21"/>
          <w:highlight w:val="none"/>
          <w:lang w:val="zh-CN"/>
          <w14:textFill>
            <w14:solidFill>
              <w14:schemeClr w14:val="tx1"/>
            </w14:solidFill>
          </w14:textFill>
        </w:rPr>
        <w:t xml:space="preserve">指定检测机构对乙方中标货物在生产期间所使用的原材料以及生产完成后的成品进行检测，并根据检测结果作为验收的依据，如检测不合格则不予验收，并要求乙方限期整改直至合格。该项检测费用由甲方承担。</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5、货物的到货验收包括：型号、规格、数量、外观质量、及货物包装是否完好。</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乙方应将所提供货物的质量检验检测报告、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7、货物和调试验收标准：按行业通行标准、厂方出厂标准和乙方投标文件的承诺（不低于国家相关标准）。</w:t>
      </w:r>
      <w:r/>
    </w:p>
    <w:p>
      <w:pPr>
        <w:ind w:firstLine="48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第八条 伴随服务／售后服务</w:t>
      </w:r>
      <w:r/>
    </w:p>
    <w:p>
      <w:pPr>
        <w:ind w:firstLine="480"/>
        <w:jc w:val="left"/>
        <w:spacing w:line="360" w:lineRule="auto"/>
        <w:tabs>
          <w:tab w:val="left" w:pos="1620"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1、乙方应按照国家有关法律法规规章和“三包”规定以及招投标文件所规定的“服务承诺”提供服务。</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2、除前款规定外，乙方还应提供下列服务：</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（1）货物的现场安装、调试和/或启动监督；</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（2）就货物的安装、启动、运行及维护等对甲方人员进行免费培训。</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3、若招标文件中不包含有关伴随服务或售后服务的承诺，双方作如下约定：</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3.2所购货物按乙方投标承诺提供免费维护和质量保证，保修费用计入总价。</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3.3保修期内，乙方负责对其提供的货物整机进行维修和系统维护，不再收取任何费用，但不可抗力（如火灾、雷击等）造成的故障除外。</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3.4货物故障报修的响应时间按乙方投标承诺执行。</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3.5若货物故障在检修8小时后仍无法排除，乙方应在48小时内免费提供不低于故障货物规格型号档次的备用货物供甲方使用，直至故障货物修复。</w:t>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3.6所有货物保修服务方式均为乙方上门保修，即由乙方派员到货物使用现场维修，由此产生的一切费用均由乙方承担。</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3.7保修期后的货物维护由双方协商再定。</w:t>
      </w:r>
      <w:r/>
    </w:p>
    <w:p>
      <w:pPr>
        <w:ind w:firstLine="48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第九条 履约保证金</w:t>
      </w:r>
      <w:r/>
    </w:p>
    <w:p>
      <w:pPr>
        <w:ind w:firstLine="480"/>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1、是否需要缴纳履约保证金：</w:t>
      </w:r>
      <w:r>
        <w:rPr>
          <w:rFonts w:hint="eastAsia" w:ascii="宋体" w:hAnsi="宋体" w:cs="宋体"/>
          <w:color w:val="auto"/>
          <w:szCs w:val="21"/>
          <w:u w:val="single"/>
        </w:rPr>
        <w:t xml:space="preserve"> 是 </w:t>
      </w:r>
      <w:r/>
    </w:p>
    <w:p>
      <w:pPr>
        <w:ind w:firstLine="480"/>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2、如需缴纳履约保证金的，按下列条款执行：</w:t>
      </w:r>
      <w:r/>
    </w:p>
    <w:p>
      <w:pPr>
        <w:ind w:firstLine="480"/>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2.1乙方交纳人民币</w:t>
      </w:r>
      <w:r>
        <w:rPr>
          <w:rFonts w:hint="eastAsia" w:ascii="宋体" w:hAnsi="宋体" w:cs="宋体"/>
          <w:color w:val="auto"/>
          <w:szCs w:val="21"/>
          <w:u w:val="single"/>
        </w:rPr>
        <w:t xml:space="preserve">  （合同金额的10%） </w:t>
      </w:r>
      <w:r>
        <w:rPr>
          <w:rFonts w:hint="eastAsia" w:ascii="宋体" w:hAnsi="宋体" w:cs="宋体"/>
          <w:color w:val="auto"/>
          <w:szCs w:val="21"/>
        </w:rPr>
        <w:t xml:space="preserve">元作为本合同的履约保证金。</w:t>
      </w:r>
      <w:r/>
    </w:p>
    <w:p>
      <w:pPr>
        <w:ind w:firstLine="480"/>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2.2乙方自主选择以</w:t>
      </w:r>
      <w:r>
        <w:rPr>
          <w:color w:val="auto"/>
          <w:szCs w:val="21"/>
          <w:highlight w:val="none"/>
          <w:u w:val="single"/>
        </w:rPr>
        <w:t xml:space="preserve">电汇、网银转账</w:t>
      </w:r>
      <w:r>
        <w:rPr>
          <w:rFonts w:hint="eastAsia" w:ascii="宋体" w:hAnsi="宋体" w:cs="宋体"/>
          <w:color w:val="auto"/>
          <w:szCs w:val="21"/>
        </w:rPr>
        <w:t xml:space="preserve">形式提交履约保证金。</w:t>
      </w:r>
      <w:r/>
    </w:p>
    <w:p>
      <w:pPr>
        <w:ind w:firstLine="480"/>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2.3履约保证金的退还：</w:t>
      </w:r>
      <w:r/>
    </w:p>
    <w:p>
      <w:pPr>
        <w:ind w:firstLine="480"/>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2.3.1方式：无息退还至乙方缴纳履约保证金的账户。。</w:t>
      </w:r>
      <w:r/>
    </w:p>
    <w:p>
      <w:pPr>
        <w:ind w:firstLine="480"/>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2.3.2时间：验收合格</w:t>
      </w:r>
      <w:r>
        <w:rPr>
          <w:rFonts w:hint="eastAsia" w:ascii="宋体" w:hAnsi="宋体" w:cs="宋体"/>
          <w:color w:val="auto"/>
          <w:szCs w:val="21"/>
          <w:lang w:val="en-US" w:eastAsia="zh-CN"/>
        </w:rPr>
        <w:t xml:space="preserve">后一年</w:t>
      </w:r>
      <w:r>
        <w:rPr>
          <w:rFonts w:hint="eastAsia" w:ascii="宋体" w:hAnsi="宋体" w:cs="宋体"/>
          <w:color w:val="auto"/>
          <w:szCs w:val="21"/>
        </w:rPr>
        <w:t xml:space="preserve">。</w:t>
      </w:r>
      <w:r/>
    </w:p>
    <w:p>
      <w:pPr>
        <w:ind w:firstLine="480"/>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2.3.3条件：按合同要求全部履约完成并经甲方验收合格。</w:t>
      </w:r>
      <w:r/>
    </w:p>
    <w:p>
      <w:pPr>
        <w:ind w:firstLine="480"/>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2.3.4不予退还情形：</w:t>
      </w:r>
      <w:r/>
    </w:p>
    <w:p>
      <w:pPr>
        <w:ind w:firstLine="480"/>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除不可抗力情况外，乙方出现下列情形之一的，其履约保证金，甲方将视情节决定不予退还或部分不予退还。</w:t>
      </w:r>
      <w:r/>
    </w:p>
    <w:p>
      <w:pPr>
        <w:ind w:firstLine="480"/>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（1）乙方无正当理由拒绝签订合同的，或者在签订合同时向甲方提出附加条件或者更改合同实质性内容要求的；</w:t>
      </w:r>
      <w:r/>
    </w:p>
    <w:p>
      <w:pPr>
        <w:ind w:firstLine="480"/>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（2）乙方不履行与甲方订立的合同的；</w:t>
      </w:r>
      <w:r/>
    </w:p>
    <w:p>
      <w:pPr>
        <w:ind w:firstLine="480"/>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（3）乙方所供货物或服务不符合竞争性磋商文件规定要求的；</w:t>
      </w:r>
      <w:r/>
    </w:p>
    <w:p>
      <w:pPr>
        <w:ind w:firstLine="480"/>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（4）乙方采取欺骗、弄虚作假方式响应的或与其它供应商串通响应的；</w:t>
      </w:r>
      <w:r/>
    </w:p>
    <w:p>
      <w:pPr>
        <w:ind w:firstLine="480"/>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（5）乙方将合同内容转包、违法分包的；</w:t>
      </w:r>
      <w:r/>
    </w:p>
    <w:p>
      <w:pPr>
        <w:ind w:firstLine="480"/>
        <w:jc w:val="left"/>
        <w:spacing w:line="440" w:lineRule="exact"/>
        <w:widowControl/>
        <w:rPr>
          <w:rFonts w:hint="eastAsia" w:ascii="宋体" w:hAnsi="宋体" w:cs="宋体"/>
          <w:color w:val="auto"/>
          <w:szCs w:val="21"/>
        </w:rPr>
      </w:pPr>
      <w:r>
        <w:rPr>
          <w:rFonts w:hint="eastAsia" w:ascii="宋体" w:hAnsi="宋体" w:cs="宋体"/>
          <w:color w:val="auto"/>
          <w:szCs w:val="21"/>
        </w:rPr>
        <w:t xml:space="preserve">（6）乙方故意捏造事实或伪造证明材料，进行虚假恶意投诉或反映的。</w:t>
      </w:r>
      <w:r/>
    </w:p>
    <w:p>
      <w:pPr>
        <w:ind w:firstLine="480"/>
        <w:jc w:val="left"/>
        <w:spacing w:line="440" w:lineRule="exact"/>
        <w:widowControl/>
        <w:rPr>
          <w:color w:val="auto"/>
          <w:szCs w:val="21"/>
        </w:rPr>
      </w:pPr>
      <w:r>
        <w:rPr>
          <w:rFonts w:hint="eastAsia" w:ascii="宋体" w:hAnsi="宋体" w:cs="宋体"/>
          <w:color w:val="auto"/>
          <w:szCs w:val="21"/>
        </w:rPr>
        <w:t xml:space="preserve">2.4逾期退还的违约责任：甲方逾期无故未退还履约保证金的，按中国人民银行同期贷款基准利率上浮20%后的利率支付超期资金占用费，但因乙方自身原因导致无法及时退还的除外。</w:t>
      </w:r>
      <w:r/>
    </w:p>
    <w:p>
      <w:pPr>
        <w:ind w:firstLine="482"/>
        <w:jc w:val="left"/>
        <w:spacing w:line="360" w:lineRule="auto"/>
        <w:rPr>
          <w:rFonts w:ascii="宋体" w:hAnsi="宋体" w:cs="宋体"/>
          <w:b/>
          <w:bCs/>
          <w:i/>
          <w:i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第十条 合同款支付</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1、本合同项下所有款项均以人民币支付。</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2、本合同项下的采购资金由甲方自行支付，乙方向甲方开具发票。</w:t>
      </w:r>
      <w:r/>
    </w:p>
    <w:p>
      <w:pPr>
        <w:ind w:firstLine="480"/>
        <w:jc w:val="left"/>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3、付款条件：</w:t>
      </w:r>
      <w:r/>
    </w:p>
    <w:p>
      <w:pPr>
        <w:ind w:firstLine="480"/>
        <w:jc w:val="left"/>
        <w:spacing w:line="440" w:lineRule="exact"/>
        <w:widowControl/>
        <w:rPr>
          <w:rFonts w:hint="eastAsia" w:ascii="宋体" w:hAnsi="宋体" w:eastAsia="宋体" w:cs="宋体"/>
          <w:color w:val="auto"/>
          <w:szCs w:val="21"/>
        </w:rPr>
      </w:pPr>
      <w:r>
        <w:rPr>
          <w:rFonts w:hint="eastAsia" w:ascii="宋体" w:hAnsi="宋体" w:eastAsia="宋体" w:cs="宋体"/>
          <w:color w:val="auto"/>
          <w:szCs w:val="21"/>
        </w:rPr>
        <w:t xml:space="preserve">合同签订且货物送达采购人指定地点，通过最终验收后30日内，采购人支付合同全部货款给中标</w:t>
      </w:r>
      <w:r>
        <w:rPr>
          <w:rFonts w:hint="eastAsia" w:ascii="宋体" w:hAnsi="宋体" w:eastAsia="宋体" w:cs="宋体"/>
          <w:color w:val="auto"/>
          <w:szCs w:val="21"/>
          <w:lang w:val="en-US" w:eastAsia="zh-CN"/>
        </w:rPr>
        <w:t xml:space="preserve">人</w:t>
      </w:r>
      <w:r>
        <w:rPr>
          <w:rFonts w:hint="eastAsia" w:ascii="宋体" w:hAnsi="宋体" w:eastAsia="宋体" w:cs="宋体"/>
          <w:color w:val="auto"/>
          <w:szCs w:val="21"/>
        </w:rPr>
        <w:t xml:space="preserve">。</w:t>
      </w:r>
      <w:r/>
    </w:p>
    <w:p>
      <w:pPr>
        <w:ind w:firstLine="475"/>
        <w:spacing w:line="360" w:lineRule="auto"/>
        <w:shd w:val="clear" w:color="auto" w:fill="ffffff"/>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第十一条 违约责任</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甲方无正当理由拒收货物、拒付货物款的，由甲方向乙方偿付合同总价的5%违约金。</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甲方未按合同规定的期限向乙方支付货款的，每逾期1天甲方向乙方偿付欠款总额的5‰滞纳金，但累计滞纳金总额不超过欠款总额的5%。</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如乙方不能交付货物、完成安装调试的，乙方应向甲方支付合同总价5%的违约金。</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乙方逾期交付的，每逾期1天，乙方向甲方偿付合同总额的5‰的滞纳金。如乙方逾期交付达10天，甲方有权解除合同，解除合同的通知自到达乙方时生效。</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乙方所交付的货物品种、型号、规格不符合合同规定的，甲方有权拒收。甲方拒收的，乙方应向甲方支付货款总额5%的违约金。甲方未拒收的，招标代理机构发现后将向有关部门反映，并责成乙方按照采购结果提供货物和服务。</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、乙方未按本合同的规定和“服务承诺”提供伴随服务/售后服务的，应按合同总价款的5%向甲方承担违约责任。</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szCs w:val="21"/>
          <w:highlight w:val="none"/>
          <w:lang w:val="zh-CN"/>
          <w14:textFill>
            <w14:solidFill>
              <w14:schemeClr w14:val="tx1"/>
            </w14:solidFill>
          </w14:textFill>
        </w:rPr>
        <w:t xml:space="preserve">、乙方在承担上述4-</w:t>
      </w: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lang w:val="zh-CN"/>
          <w14:textFill>
            <w14:solidFill>
              <w14:schemeClr w14:val="tx1"/>
            </w14:solidFill>
          </w14:textFill>
        </w:rPr>
        <w:t xml:space="preserve">乙方投标属虚假承诺，或经权威部门监测提供的货物不能满足招标文件要求，或是由于乙方的过错造成合同无法继续履行的，乙方应向甲方支付不少于合同总价30%赔偿金。</w:t>
      </w:r>
      <w:r/>
    </w:p>
    <w:p>
      <w:pPr>
        <w:ind w:firstLine="482"/>
        <w:jc w:val="left"/>
        <w:spacing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第十二条</w:t>
      </w:r>
      <w:r>
        <w:rPr>
          <w:rFonts w:hint="eastAsia" w:ascii="宋体" w:hAnsi="宋体" w:cs="宋体"/>
          <w:b/>
          <w:bCs/>
          <w:color w:val="000000" w:themeColor="text1"/>
          <w:szCs w:val="21"/>
          <w:highlight w:val="none"/>
          <w14:textFill>
            <w14:solidFill>
              <w14:schemeClr w14:val="tx1"/>
            </w14:solidFill>
          </w14:textFill>
        </w:rPr>
        <w:t xml:space="preserve"> 项目履约验收</w:t>
      </w:r>
      <w:r/>
    </w:p>
    <w:p>
      <w:pPr>
        <w:ind w:firstLine="48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1、甲方有权对乙方项目实施执行过程及完成结果进行履约验收；</w:t>
      </w:r>
      <w:r/>
    </w:p>
    <w:p>
      <w:pPr>
        <w:ind w:firstLine="48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2、甲方可以邀请参加本项目的其他投标人或者第三方机构参与验收，乙方应积极配合并响应；</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3、参与验收的投标人或者第三方机构的意见作为验收书的参考资料一并存档。</w:t>
      </w:r>
      <w:r/>
    </w:p>
    <w:p>
      <w:pPr>
        <w:ind w:firstLine="482"/>
        <w:jc w:val="left"/>
        <w:spacing w:line="360" w:lineRule="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第十三条 合同的变更和终止</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1、除《政府采购法》第50条规定的情形外，本合同一经签订，甲乙双方不得擅自变更、中止或终止合同。</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2、除发生法律规定的不能预见、不能避免并不能克服的客观情况外，甲乙双方不得放弃或拒绝履行合同。</w:t>
      </w:r>
      <w:r/>
    </w:p>
    <w:p>
      <w:pPr>
        <w:ind w:firstLine="482"/>
        <w:jc w:val="left"/>
        <w:spacing w:line="360" w:lineRule="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第十四条 合同的转让</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乙方不得擅自部分或全部转让其应履行的合同义务。</w:t>
      </w:r>
      <w:r/>
    </w:p>
    <w:p>
      <w:pPr>
        <w:ind w:firstLine="482"/>
        <w:jc w:val="left"/>
        <w:spacing w:line="360" w:lineRule="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第十五条 争议的解决</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1、因产品的质量问题发生争议的，应当邀请国家认可的质量检测机构对产品质量进行鉴定。符合标准的，鉴定费由甲方承担；不符合质量标准的，鉴定费由乙方承担。</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2、因履行本合同引起的或与本合同有关的争议，甲、乙双方应首先通过友好协商解决，如果协商不能解决争议，则采取以下第（ ）种方式解决争议：</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（1）向甲方所在地有管辖权的人民法院提起诉讼；</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（2）向南京仲裁委员会按其仲裁规则申请仲裁。</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如没有约定，默认采取第2种方式解决争议。</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3、在仲裁期间，本合同应继续履行。</w:t>
      </w:r>
      <w:r/>
    </w:p>
    <w:p>
      <w:pPr>
        <w:ind w:firstLine="482"/>
        <w:jc w:val="left"/>
        <w:spacing w:line="360" w:lineRule="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第十六条 诚实信用 </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乙方应诚实信用，严格按照招标文件要求和投标承诺履行合同，不向甲方进行商业贿赂或者提供不正当利益。</w:t>
      </w:r>
      <w:r/>
    </w:p>
    <w:p>
      <w:pPr>
        <w:ind w:firstLine="482"/>
        <w:jc w:val="left"/>
        <w:spacing w:line="360" w:lineRule="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第十七条 合同生效及其他</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1、本合同自签订之日起生效。</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2、本合同一式陆份，甲乙双方各执叁份。</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3、本合同应按照中华人民共和国的现行法律进行解释。</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bl>
      <w:tblPr>
        <w:tblStyle w:val="687"/>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账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账    号：</w:t>
            </w:r>
            <w:r/>
          </w:p>
        </w:tc>
      </w:tr>
    </w:tbl>
    <w:p>
      <w:pPr>
        <w:ind w:firstLine="4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074"/>
        <w:ind w:firstLine="0"/>
        <w:rPr>
          <w:color w:val="000000" w:themeColor="text1"/>
          <w:highlight w:val="none"/>
          <w14:textFill>
            <w14:solidFill>
              <w14:schemeClr w14:val="tx1"/>
            </w14:solidFill>
          </w14:textFill>
        </w:rPr>
      </w:pPr>
      <w:r>
        <w:rPr>
          <w:rFonts w:hint="eastAsia" w:ascii="宋体" w:hAnsi="宋体" w:cs="宋体"/>
          <w:b/>
          <w:color w:val="auto"/>
          <w:szCs w:val="21"/>
          <w:u w:val="single"/>
        </w:rPr>
        <w:t xml:space="preserve">备注：以上为合同模板，</w:t>
      </w:r>
      <w:r>
        <w:rPr>
          <w:rFonts w:hint="eastAsia" w:ascii="宋体" w:hAnsi="宋体" w:cs="宋体"/>
          <w:b/>
          <w:color w:val="auto"/>
          <w:szCs w:val="21"/>
          <w:u w:val="single"/>
          <w:lang w:val="en-US" w:eastAsia="zh-CN"/>
        </w:rPr>
        <w:t xml:space="preserve">采购</w:t>
      </w:r>
      <w:r>
        <w:rPr>
          <w:rFonts w:hint="eastAsia" w:ascii="宋体" w:hAnsi="宋体" w:cs="宋体"/>
          <w:b/>
          <w:color w:val="auto"/>
          <w:szCs w:val="21"/>
          <w:u w:val="single"/>
        </w:rPr>
        <w:t xml:space="preserve">人可根据项目实际情况对相关条款进行调整，最终合同以</w:t>
      </w:r>
      <w:r>
        <w:rPr>
          <w:rFonts w:hint="eastAsia" w:ascii="宋体" w:hAnsi="宋体" w:cs="宋体"/>
          <w:b/>
          <w:color w:val="auto"/>
          <w:szCs w:val="21"/>
          <w:u w:val="single"/>
          <w:lang w:val="en-US" w:eastAsia="zh-CN"/>
        </w:rPr>
        <w:t xml:space="preserve">采购</w:t>
      </w:r>
      <w:r>
        <w:rPr>
          <w:rFonts w:hint="eastAsia" w:ascii="宋体" w:hAnsi="宋体" w:cs="宋体"/>
          <w:b/>
          <w:color w:val="auto"/>
          <w:szCs w:val="21"/>
          <w:u w:val="single"/>
        </w:rPr>
        <w:t xml:space="preserve">人确认为准。</w:t>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br w:type="page" w:clear="all"/>
      </w:r>
      <w:r/>
    </w:p>
    <w:p>
      <w:pPr>
        <w:jc w:val="center"/>
        <w:spacing w:line="360" w:lineRule="auto"/>
        <w:rPr>
          <w:b/>
          <w:bCs/>
          <w:color w:val="000000" w:themeColor="text1"/>
          <w:sz w:val="28"/>
          <w:szCs w:val="28"/>
          <w:highlight w:val="none"/>
          <w14:textFill>
            <w14:solidFill>
              <w14:schemeClr w14:val="tx1"/>
            </w14:solidFill>
          </w14:textFill>
        </w:rPr>
        <w:outlineLvl w:val="0"/>
      </w:pPr>
      <w:r/>
      <w:bookmarkStart w:id="62" w:name="_Toc4710"/>
      <w:r/>
      <w:bookmarkStart w:id="63" w:name="_Toc5218"/>
      <w:r>
        <w:rPr>
          <w:rFonts w:hint="eastAsia"/>
          <w:b/>
          <w:bCs/>
          <w:color w:val="000000" w:themeColor="text1"/>
          <w:sz w:val="28"/>
          <w:szCs w:val="28"/>
          <w:highlight w:val="none"/>
          <w14:textFill>
            <w14:solidFill>
              <w14:schemeClr w14:val="tx1"/>
            </w14:solidFill>
          </w14:textFill>
        </w:rPr>
        <w:t xml:space="preserve">第四章</w:t>
      </w:r>
      <w:r>
        <w:rPr>
          <w:b/>
          <w:bCs/>
          <w:color w:val="000000" w:themeColor="text1"/>
          <w:sz w:val="28"/>
          <w:szCs w:val="28"/>
          <w:highlight w:val="none"/>
          <w14:textFill>
            <w14:solidFill>
              <w14:schemeClr w14:val="tx1"/>
            </w14:solidFill>
          </w14:textFill>
        </w:rPr>
        <w:t xml:space="preserve">  </w:t>
      </w:r>
      <w:bookmarkStart w:id="64" w:name="_Hlk181373383"/>
      <w:r>
        <w:rPr>
          <w:rFonts w:hint="eastAsia"/>
          <w:b/>
          <w:bCs/>
          <w:color w:val="000000" w:themeColor="text1"/>
          <w:sz w:val="28"/>
          <w:szCs w:val="28"/>
          <w:highlight w:val="none"/>
          <w14:textFill>
            <w14:solidFill>
              <w14:schemeClr w14:val="tx1"/>
            </w14:solidFill>
          </w14:textFill>
        </w:rPr>
        <w:t xml:space="preserve">招标内容与技术要求</w:t>
      </w:r>
      <w:bookmarkEnd w:id="59"/>
      <w:r/>
      <w:bookmarkEnd w:id="62"/>
      <w:r/>
      <w:bookmarkEnd w:id="63"/>
      <w:r/>
      <w:r/>
    </w:p>
    <w:p>
      <w:pPr>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一、项目基本情况</w:t>
      </w:r>
      <w:r/>
    </w:p>
    <w:p>
      <w:pPr>
        <w:ind w:firstLine="42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采购内容：江苏省林业局森林防火物资装备及备品配件、专用工具，免费运抵采购人指定项目现场安装机位，并负责安装、调试，操作人员培训，直至采购人、中标供应商双方共同验收合格，交付采购人使用，即交钥匙工程。</w:t>
      </w:r>
      <w:r/>
    </w:p>
    <w:p>
      <w:pPr>
        <w:ind w:firstLine="420"/>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Cs/>
          <w:color w:val="auto"/>
          <w:sz w:val="21"/>
          <w:szCs w:val="21"/>
        </w:rPr>
        <w:t xml:space="preserve">2、预算金额：人民币240万元</w:t>
      </w: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含招标代理费）</w:t>
      </w:r>
      <w:r>
        <w:rPr>
          <w:rFonts w:hint="eastAsia" w:ascii="宋体" w:hAnsi="宋体" w:eastAsia="宋体" w:cs="宋体"/>
          <w:bCs/>
          <w:color w:val="auto"/>
          <w:sz w:val="21"/>
          <w:szCs w:val="21"/>
        </w:rPr>
        <w:t xml:space="preserve">，投标人超出预算金额的报价视为无效投标。</w:t>
      </w:r>
      <w:r/>
    </w:p>
    <w:p>
      <w:pPr>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二、采购内容及要求</w:t>
      </w:r>
      <w:r/>
    </w:p>
    <w:p>
      <w:pPr>
        <w:ind w:firstLine="422"/>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sz w:val="21"/>
          <w:szCs w:val="21"/>
        </w:rPr>
        <w:t xml:space="preserve">1、采购清单：本次招标的核心产品为：</w:t>
      </w:r>
      <w:r>
        <w:rPr>
          <w:rFonts w:hint="eastAsia" w:ascii="宋体" w:hAnsi="宋体" w:eastAsia="宋体" w:cs="宋体"/>
          <w:b/>
          <w:bCs/>
          <w:color w:val="000000"/>
          <w:sz w:val="21"/>
          <w:szCs w:val="21"/>
        </w:rPr>
        <w:t xml:space="preserve">背负式森林消防水泵</w:t>
      </w:r>
      <w:r/>
    </w:p>
    <w:p>
      <w:pPr>
        <w:ind w:firstLine="472"/>
        <w:keepLines w:val="0"/>
        <w:keepNext w:val="0"/>
        <w:pageBreakBefore w:val="0"/>
        <w:spacing w:line="360" w:lineRule="auto"/>
        <w:tabs>
          <w:tab w:val="left" w:pos="709" w:leader="none"/>
        </w:tabs>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lang w:val="zh-CN"/>
          <w14:textFill>
            <w14:solidFill>
              <w14:schemeClr w14:val="tx1"/>
            </w14:solidFill>
          </w14:textFill>
        </w:rPr>
        <w:t xml:space="preserve">核心产品评审说明：多家投标人提供的核心产品品牌相同的，按一家投标人计算，评审后得分最高的同品牌投标人与其他品牌的投标人进行比较与评价。</w:t>
      </w:r>
      <w:r/>
    </w:p>
    <w:p>
      <w:pPr>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lang w:val="zh-CN"/>
          <w14:textFill>
            <w14:solidFill>
              <w14:schemeClr w14:val="tx1"/>
            </w14:solidFill>
          </w14:textFill>
        </w:rPr>
        <w:br w:type="page" w:clear="all"/>
      </w:r>
      <w:r/>
    </w:p>
    <w:p>
      <w:pPr>
        <w:pStyle w:val="688"/>
        <w:rPr>
          <w:rFonts w:hint="eastAsia"/>
          <w:lang w:val="zh-CN"/>
        </w:rPr>
      </w:pPr>
      <w:r>
        <w:rPr>
          <w:rFonts w:hint="eastAsia"/>
          <w:lang w:val="zh-CN"/>
        </w:rPr>
      </w:r>
      <w:r/>
    </w:p>
    <w:tbl>
      <w:tblPr>
        <w:tblStyle w:val="687"/>
        <w:tblW w:w="48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7"/>
        <w:gridCol w:w="4823"/>
        <w:gridCol w:w="2311"/>
      </w:tblGrid>
      <w:tr>
        <w:trPr>
          <w:jc w:val="center"/>
          <w:trHeight w:val="680"/>
        </w:trPr>
        <w:tc>
          <w:tcPr>
            <w:tcW w:w="789" w:type="pct"/>
            <w:vAlign w:val="center"/>
            <w:textDirection w:val="lrTb"/>
            <w:noWrap w:val="false"/>
          </w:tcPr>
          <w:p>
            <w:pPr>
              <w:ind w:left="2"/>
              <w:jc w:val="center"/>
              <w:keepLines w:val="0"/>
              <w:keepNext w:val="0"/>
              <w:pageBreakBefore w:val="0"/>
              <w:spacing w:line="360" w:lineRule="auto"/>
              <w:tabs>
                <w:tab w:val="left" w:pos="426"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p>
        </w:tc>
        <w:tc>
          <w:tcPr>
            <w:tcW w:w="2846" w:type="pct"/>
            <w:vAlign w:val="center"/>
            <w:textDirection w:val="lrTb"/>
            <w:noWrap w:val="false"/>
          </w:tcPr>
          <w:p>
            <w:pPr>
              <w:ind w:left="2"/>
              <w:jc w:val="center"/>
              <w:keepLines w:val="0"/>
              <w:keepNext w:val="0"/>
              <w:pageBreakBefore w:val="0"/>
              <w:spacing w:line="360" w:lineRule="auto"/>
              <w:tabs>
                <w:tab w:val="left" w:pos="426"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采购内容</w:t>
            </w:r>
            <w:r/>
          </w:p>
        </w:tc>
        <w:tc>
          <w:tcPr>
            <w:tcW w:w="1364" w:type="pct"/>
            <w:vAlign w:val="center"/>
            <w:textDirection w:val="lrTb"/>
            <w:noWrap w:val="false"/>
          </w:tcPr>
          <w:p>
            <w:pPr>
              <w:ind w:left="2"/>
              <w:jc w:val="center"/>
              <w:keepLines w:val="0"/>
              <w:keepNext w:val="0"/>
              <w:pageBreakBefore w:val="0"/>
              <w:spacing w:line="360" w:lineRule="auto"/>
              <w:tabs>
                <w:tab w:val="left" w:pos="426"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数量</w:t>
            </w:r>
            <w:r/>
          </w:p>
        </w:tc>
      </w:tr>
      <w:tr>
        <w:trPr>
          <w:jc w:val="center"/>
          <w:trHeight w:val="680"/>
        </w:trPr>
        <w:tc>
          <w:tcPr>
            <w:tcW w:w="78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284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小型多旋翼巡查无人机</w:t>
            </w:r>
            <w:r/>
          </w:p>
        </w:tc>
        <w:tc>
          <w:tcPr>
            <w:tcW w:w="13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3台</w:t>
            </w:r>
            <w:r/>
          </w:p>
        </w:tc>
      </w:tr>
      <w:tr>
        <w:trPr>
          <w:jc w:val="center"/>
          <w:trHeight w:val="680"/>
        </w:trPr>
        <w:tc>
          <w:tcPr>
            <w:tcW w:w="78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284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便携式森林消防水泵</w:t>
            </w:r>
            <w:r/>
          </w:p>
        </w:tc>
        <w:tc>
          <w:tcPr>
            <w:tcW w:w="13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10台</w:t>
            </w:r>
            <w:r/>
          </w:p>
        </w:tc>
      </w:tr>
      <w:tr>
        <w:trPr>
          <w:jc w:val="center"/>
          <w:trHeight w:val="680"/>
        </w:trPr>
        <w:tc>
          <w:tcPr>
            <w:tcW w:w="78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284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背负式森林消防水泵</w:t>
            </w:r>
            <w:r/>
          </w:p>
        </w:tc>
        <w:tc>
          <w:tcPr>
            <w:tcW w:w="13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10台</w:t>
            </w:r>
            <w:r/>
          </w:p>
        </w:tc>
      </w:tr>
      <w:tr>
        <w:trPr>
          <w:jc w:val="center"/>
          <w:trHeight w:val="680"/>
        </w:trPr>
        <w:tc>
          <w:tcPr>
            <w:tcW w:w="78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284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泡沫阻燃森林消防水泵</w:t>
            </w:r>
            <w:r/>
          </w:p>
        </w:tc>
        <w:tc>
          <w:tcPr>
            <w:tcW w:w="13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10台</w:t>
            </w:r>
            <w:r/>
          </w:p>
        </w:tc>
      </w:tr>
      <w:tr>
        <w:trPr>
          <w:jc w:val="center"/>
          <w:trHeight w:val="680"/>
        </w:trPr>
        <w:tc>
          <w:tcPr>
            <w:tcW w:w="78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W w:w="284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背负式风力灭火机</w:t>
            </w:r>
            <w:r/>
          </w:p>
        </w:tc>
        <w:tc>
          <w:tcPr>
            <w:tcW w:w="13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30台</w:t>
            </w:r>
            <w:r/>
          </w:p>
        </w:tc>
      </w:tr>
      <w:tr>
        <w:trPr>
          <w:jc w:val="center"/>
          <w:trHeight w:val="680"/>
        </w:trPr>
        <w:tc>
          <w:tcPr>
            <w:tcW w:w="78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tcW w:w="284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便携式风力灭火机</w:t>
            </w:r>
            <w:r/>
          </w:p>
        </w:tc>
        <w:tc>
          <w:tcPr>
            <w:tcW w:w="13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30台</w:t>
            </w:r>
            <w:r/>
          </w:p>
        </w:tc>
      </w:tr>
      <w:tr>
        <w:trPr>
          <w:jc w:val="center"/>
          <w:trHeight w:val="680"/>
        </w:trPr>
        <w:tc>
          <w:tcPr>
            <w:tcW w:w="78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p>
        </w:tc>
        <w:tc>
          <w:tcPr>
            <w:tcW w:w="284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气压式细水雾灭火水枪</w:t>
            </w:r>
            <w:r/>
          </w:p>
        </w:tc>
        <w:tc>
          <w:tcPr>
            <w:tcW w:w="13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20台</w:t>
            </w:r>
            <w:r/>
          </w:p>
        </w:tc>
      </w:tr>
      <w:tr>
        <w:trPr>
          <w:jc w:val="center"/>
          <w:trHeight w:val="680"/>
        </w:trPr>
        <w:tc>
          <w:tcPr>
            <w:tcW w:w="78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p>
        </w:tc>
        <w:tc>
          <w:tcPr>
            <w:tcW w:w="284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手掷式灭火弹</w:t>
            </w:r>
            <w:r/>
          </w:p>
        </w:tc>
        <w:tc>
          <w:tcPr>
            <w:tcW w:w="13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250箱</w:t>
            </w:r>
            <w:r/>
          </w:p>
        </w:tc>
      </w:tr>
      <w:tr>
        <w:trPr>
          <w:jc w:val="center"/>
          <w:trHeight w:val="680"/>
        </w:trPr>
        <w:tc>
          <w:tcPr>
            <w:tcW w:w="78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p>
        </w:tc>
        <w:tc>
          <w:tcPr>
            <w:tcW w:w="284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水带背包</w:t>
            </w:r>
            <w:r/>
          </w:p>
        </w:tc>
        <w:tc>
          <w:tcPr>
            <w:tcW w:w="13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100个</w:t>
            </w:r>
            <w:r/>
          </w:p>
        </w:tc>
      </w:tr>
      <w:tr>
        <w:trPr>
          <w:jc w:val="center"/>
          <w:trHeight w:val="680"/>
        </w:trPr>
        <w:tc>
          <w:tcPr>
            <w:tcW w:w="78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p>
        </w:tc>
        <w:tc>
          <w:tcPr>
            <w:tcW w:w="284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消防水带</w:t>
            </w:r>
            <w:r/>
          </w:p>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（型号20-40-30）</w:t>
            </w:r>
            <w:r/>
          </w:p>
        </w:tc>
        <w:tc>
          <w:tcPr>
            <w:tcW w:w="13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100条</w:t>
            </w:r>
            <w:r/>
          </w:p>
        </w:tc>
      </w:tr>
      <w:tr>
        <w:trPr>
          <w:jc w:val="center"/>
          <w:trHeight w:val="680"/>
        </w:trPr>
        <w:tc>
          <w:tcPr>
            <w:tcW w:w="78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p>
        </w:tc>
        <w:tc>
          <w:tcPr>
            <w:tcW w:w="284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消防水带</w:t>
            </w:r>
            <w:r/>
          </w:p>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（型号20-65-20）</w:t>
            </w:r>
            <w:r/>
          </w:p>
        </w:tc>
        <w:tc>
          <w:tcPr>
            <w:tcW w:w="13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100条</w:t>
            </w:r>
            <w:r/>
          </w:p>
        </w:tc>
      </w:tr>
      <w:tr>
        <w:trPr>
          <w:jc w:val="center"/>
          <w:trHeight w:val="680"/>
        </w:trPr>
        <w:tc>
          <w:tcPr>
            <w:tcW w:w="78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p>
        </w:tc>
        <w:tc>
          <w:tcPr>
            <w:tcW w:w="284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油锯</w:t>
            </w:r>
            <w:r/>
          </w:p>
        </w:tc>
        <w:tc>
          <w:tcPr>
            <w:tcW w:w="13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20台</w:t>
            </w:r>
            <w:r/>
          </w:p>
        </w:tc>
      </w:tr>
      <w:tr>
        <w:trPr>
          <w:jc w:val="center"/>
          <w:trHeight w:val="680"/>
        </w:trPr>
        <w:tc>
          <w:tcPr>
            <w:tcW w:w="78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p>
        </w:tc>
        <w:tc>
          <w:tcPr>
            <w:tcW w:w="284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森林防火服</w:t>
            </w:r>
            <w:r/>
          </w:p>
        </w:tc>
        <w:tc>
          <w:tcPr>
            <w:tcW w:w="13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100套</w:t>
            </w:r>
            <w:r/>
          </w:p>
        </w:tc>
      </w:tr>
      <w:tr>
        <w:trPr>
          <w:jc w:val="center"/>
          <w:trHeight w:val="680"/>
        </w:trPr>
        <w:tc>
          <w:tcPr>
            <w:tcW w:w="78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w:t>
            </w:r>
            <w:r/>
          </w:p>
        </w:tc>
        <w:tc>
          <w:tcPr>
            <w:tcW w:w="284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三号工具</w:t>
            </w:r>
            <w:r/>
          </w:p>
        </w:tc>
        <w:tc>
          <w:tcPr>
            <w:tcW w:w="13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300把</w:t>
            </w:r>
            <w:r/>
          </w:p>
        </w:tc>
      </w:tr>
      <w:tr>
        <w:trPr>
          <w:jc w:val="center"/>
          <w:trHeight w:val="680"/>
        </w:trPr>
        <w:tc>
          <w:tcPr>
            <w:tcW w:w="78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w:t>
            </w:r>
            <w:r/>
          </w:p>
        </w:tc>
        <w:tc>
          <w:tcPr>
            <w:tcW w:w="284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便携帐篷</w:t>
            </w:r>
            <w:r/>
          </w:p>
        </w:tc>
        <w:tc>
          <w:tcPr>
            <w:tcW w:w="13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100个</w:t>
            </w:r>
            <w:r/>
          </w:p>
        </w:tc>
      </w:tr>
      <w:tr>
        <w:trPr>
          <w:jc w:val="center"/>
          <w:trHeight w:val="680"/>
        </w:trPr>
        <w:tc>
          <w:tcPr>
            <w:tcW w:w="78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w:t>
            </w:r>
            <w:r/>
          </w:p>
        </w:tc>
        <w:tc>
          <w:tcPr>
            <w:tcW w:w="284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羽绒睡袋</w:t>
            </w:r>
            <w:r/>
          </w:p>
        </w:tc>
        <w:tc>
          <w:tcPr>
            <w:tcW w:w="13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100个</w:t>
            </w:r>
            <w:r/>
          </w:p>
        </w:tc>
      </w:tr>
    </w:tbl>
    <w:p>
      <w:p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keepLines w:val="0"/>
        <w:keepNext w:val="0"/>
        <w:pageBreakBefore w:val="0"/>
        <w:spacing w:line="360" w:lineRule="auto"/>
        <w:rPr>
          <w:rFonts w:hint="eastAsia" w:ascii="宋体" w:hAnsi="宋体" w:eastAsia="宋体" w:cs="宋体"/>
          <w:b/>
          <w:sz w:val="21"/>
          <w:szCs w:val="21"/>
        </w:rPr>
      </w:pPr>
      <w:r>
        <w:rPr>
          <w:rFonts w:hint="eastAsia" w:ascii="宋体" w:hAnsi="宋体" w:cs="宋体"/>
          <w:b/>
          <w:sz w:val="21"/>
          <w:szCs w:val="21"/>
          <w:lang w:val="en-US" w:eastAsia="zh-CN"/>
        </w:rPr>
        <w:t xml:space="preserve">三</w:t>
      </w:r>
      <w:r>
        <w:rPr>
          <w:rFonts w:hint="eastAsia" w:ascii="宋体" w:hAnsi="宋体" w:eastAsia="宋体" w:cs="宋体"/>
          <w:b/>
          <w:sz w:val="21"/>
          <w:szCs w:val="21"/>
        </w:rPr>
        <w:t xml:space="preserve">、技术规格、参数</w:t>
      </w:r>
      <w:r/>
    </w:p>
    <w:p>
      <w:pPr>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cs="宋体"/>
          <w:b/>
          <w:bCs/>
          <w:sz w:val="21"/>
          <w:szCs w:val="21"/>
          <w:lang w:val="en-US" w:eastAsia="zh-CN"/>
        </w:rPr>
        <w:t xml:space="preserve">3</w:t>
      </w:r>
      <w:r>
        <w:rPr>
          <w:rFonts w:hint="eastAsia" w:ascii="宋体" w:hAnsi="宋体" w:eastAsia="宋体" w:cs="宋体"/>
          <w:b/>
          <w:bCs/>
          <w:sz w:val="21"/>
          <w:szCs w:val="21"/>
        </w:rPr>
        <w:t xml:space="preserve">.1小型多旋翼巡查无人机                            3台</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.1.1无人机类型：电动四轴多旋翼；最大载重：≥200g；最长飞行时间：≥45min；最大飞行速度：</w:t>
      </w:r>
      <w:r>
        <w:rPr>
          <w:rFonts w:hint="eastAsia" w:ascii="宋体" w:hAnsi="宋体" w:eastAsia="宋体" w:cs="宋体"/>
          <w:sz w:val="21"/>
          <w:szCs w:val="21"/>
        </w:rPr>
        <w:t xml:space="preserve">≥20m/s；RTK模式下悬停精度：垂直≤±0.1 m；水平≤±0.1m；最大信号有效距离：≥15km；最大抗风等级：≥6级；遥控器显示屏尺寸：≥7英寸；图传画面分辨率不低于1080p；整机防护等级：≥IP43；每块电池具备电源开关和电池电量指示灯；广角相机有效像素不低于4800万；长焦相机有效像素不低于4800万；无人机红外相机视频分辨率：≥640*512；负载应同时配备热成像、广角相机、长焦相机；自动避障：可检测障碍物距离并进行飞行制动操作；无人机系统应具备全向双目视觉系统，辅以机身底部三维红外传感器。</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.1.2配备喊话器：有效广播距离：≥300米，广播方式：实时喊话、录音喊话、媒体介入、文字转语音；</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.1.3配备探照灯：工作方式：常亮、爆闪，最大功率：≥30W；</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.1.4图传模块：将飞行器接入4G网络，实现联网、增强图传、网络RTK等多项功能；内嵌100G/年流量卡；</w:t>
      </w:r>
      <w:r>
        <w:rPr>
          <w:rFonts w:hint="eastAsia" w:ascii="宋体" w:hAnsi="宋体" w:eastAsia="宋体" w:cs="宋体"/>
          <w:sz w:val="21"/>
          <w:szCs w:val="21"/>
        </w:rPr>
        <w:br/>
      </w:r>
      <w:r>
        <w:rPr>
          <w:rFonts w:hint="eastAsia" w:ascii="宋体" w:hAnsi="宋体" w:eastAsia="宋体" w:cs="宋体"/>
          <w:sz w:val="21"/>
          <w:szCs w:val="21"/>
        </w:rPr>
        <w:t xml:space="preserve"> </w:t>
      </w:r>
      <w:r>
        <w:rPr>
          <w:rFonts w:hint="eastAsia" w:ascii="宋体" w:hAnsi="宋体" w:eastAsia="宋体" w:cs="宋体"/>
          <w:color w:val="auto"/>
          <w:sz w:val="21"/>
          <w:szCs w:val="21"/>
          <w:highlight w:val="none"/>
        </w:rPr>
        <w:t xml:space="preserve"> ★</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.1.5与现有森林防火监测预警平台实现数据级融合与业务闭环。</w:t>
      </w:r>
      <w:r>
        <w:rPr>
          <w:rFonts w:hint="eastAsia" w:ascii="宋体" w:hAnsi="宋体" w:cs="宋体"/>
          <w:b/>
          <w:bCs/>
          <w:color w:val="auto"/>
          <w:sz w:val="21"/>
          <w:szCs w:val="21"/>
          <w:highlight w:val="none"/>
          <w:lang w:val="en-US" w:eastAsia="zh-CN"/>
        </w:rPr>
        <w:t xml:space="preserve">平台</w:t>
      </w:r>
      <w:r>
        <w:rPr>
          <w:rFonts w:hint="eastAsia" w:ascii="宋体" w:hAnsi="宋体" w:eastAsia="宋体" w:cs="宋体"/>
          <w:b/>
          <w:bCs/>
          <w:color w:val="auto"/>
          <w:sz w:val="21"/>
          <w:szCs w:val="21"/>
          <w:highlight w:val="none"/>
        </w:rPr>
        <w:t xml:space="preserve">系统基于 4G/5G 公网或自建链路，可实现基于GB/T28181-2022或行业主流产品API将可见光与热成像视频流、无人机高精度坐标实时推送至后端指挥中心业务平台；通过GA/T1400或行业主流产品API实现火情报警等相关数据实时推送至后端指挥中心业务平台，满足林火监测预警到扑救指挥的实际需要。（提供承诺书）</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.1.6报价包含一年的保险费用</w:t>
      </w:r>
      <w:r>
        <w:rPr>
          <w:rFonts w:hint="eastAsia" w:ascii="宋体" w:hAnsi="宋体" w:cs="宋体"/>
          <w:sz w:val="21"/>
          <w:szCs w:val="21"/>
          <w:lang w:eastAsia="zh-CN"/>
        </w:rPr>
        <w:t xml:space="preserve">。</w:t>
      </w:r>
      <w:r/>
    </w:p>
    <w:p>
      <w:p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cs="宋体"/>
          <w:b/>
          <w:bCs/>
          <w:sz w:val="21"/>
          <w:szCs w:val="21"/>
          <w:lang w:val="en-US" w:eastAsia="zh-CN"/>
        </w:rPr>
        <w:t xml:space="preserve">3</w:t>
      </w:r>
      <w:r>
        <w:rPr>
          <w:rFonts w:hint="eastAsia" w:ascii="宋体" w:hAnsi="宋体" w:eastAsia="宋体" w:cs="宋体"/>
          <w:b/>
          <w:bCs/>
          <w:sz w:val="21"/>
          <w:szCs w:val="21"/>
        </w:rPr>
        <w:t xml:space="preserve">.2便携式森林消防水泵                              10台</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发动机及水泵结构：单缸二冲程水冷与自然风冷复合冷却发动机；三级及以上铝合金或不锈钢叶轮离心泵；发动机排量：≥110cm³；最大输出功率：≥9kw/12000r/min；吸水深度：≥7m；最大压力：≥3Mpa；</w:t>
      </w:r>
      <w:r>
        <w:rPr>
          <w:rFonts w:hint="eastAsia" w:ascii="宋体" w:hAnsi="宋体" w:eastAsia="宋体" w:cs="宋体"/>
          <w:b/>
          <w:bCs/>
          <w:sz w:val="21"/>
          <w:szCs w:val="21"/>
        </w:rPr>
        <w:t xml:space="preserve"> ★最大扬程：≥300m；</w:t>
      </w:r>
      <w:r>
        <w:rPr>
          <w:rFonts w:hint="eastAsia" w:ascii="宋体" w:hAnsi="宋体" w:eastAsia="宋体" w:cs="宋体"/>
          <w:b w:val="0"/>
          <w:sz w:val="21"/>
          <w:szCs w:val="21"/>
        </w:rPr>
        <w:t xml:space="preserve">最大流量：≥300L/min；射程：≥33m；进水口径：50mm；出水口径：40mm；</w:t>
      </w:r>
      <w:r>
        <w:rPr>
          <w:rFonts w:hint="eastAsia" w:ascii="宋体" w:hAnsi="宋体" w:eastAsia="宋体" w:cs="宋体"/>
          <w:sz w:val="21"/>
          <w:szCs w:val="21"/>
        </w:rPr>
        <w:t xml:space="preserve">压力≥0.5MPa时，流量≥4.5L/s；压力≥1MPa时，流量≥3L/s；压力≥1.9MPa时，流量≥2.0L/s；油箱容积：≥20L；启动方式：手拉启动、一键式电启动；启动性能：直流点火；引水方式：防漏气不锈钢手泵引水；设备输出：具备USB、typeC多功能电源输出端口；净重：≤12Kg</w:t>
      </w:r>
      <w:r>
        <w:rPr>
          <w:rFonts w:hint="eastAsia" w:ascii="宋体" w:hAnsi="宋体" w:cs="宋体"/>
          <w:sz w:val="21"/>
          <w:szCs w:val="21"/>
          <w:lang w:eastAsia="zh-CN"/>
        </w:rPr>
        <w:t xml:space="preserve">。</w:t>
      </w:r>
      <w:r/>
    </w:p>
    <w:p>
      <w:pPr>
        <w:ind w:firstLine="422"/>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提供第三方检验中心出具的检测报告用于佐证“</w:t>
      </w:r>
      <w:r>
        <w:rPr>
          <w:rFonts w:hint="eastAsia" w:ascii="宋体" w:hAnsi="宋体" w:eastAsia="宋体" w:cs="宋体"/>
          <w:color w:val="auto"/>
          <w:sz w:val="21"/>
          <w:szCs w:val="21"/>
        </w:rPr>
        <w:t xml:space="preserve">★</w:t>
      </w:r>
      <w:r>
        <w:rPr>
          <w:rFonts w:hint="eastAsia" w:ascii="宋体" w:hAnsi="宋体" w:eastAsia="宋体" w:cs="宋体"/>
          <w:b/>
          <w:bCs/>
          <w:color w:val="auto"/>
          <w:sz w:val="21"/>
          <w:szCs w:val="21"/>
        </w:rPr>
        <w:t xml:space="preserve">”的重要指标。</w:t>
      </w:r>
      <w:r/>
    </w:p>
    <w:p>
      <w:pPr>
        <w:pStyle w:val="70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cs="宋体"/>
          <w:b/>
          <w:bCs/>
          <w:sz w:val="21"/>
          <w:szCs w:val="21"/>
          <w:lang w:val="en-US" w:eastAsia="zh-CN"/>
        </w:rPr>
        <w:t xml:space="preserve">3</w:t>
      </w:r>
      <w:r>
        <w:rPr>
          <w:rFonts w:hint="eastAsia" w:ascii="宋体" w:hAnsi="宋体" w:eastAsia="宋体" w:cs="宋体"/>
          <w:b/>
          <w:bCs/>
          <w:sz w:val="21"/>
          <w:szCs w:val="21"/>
        </w:rPr>
        <w:t xml:space="preserve">.3背负式森林消防水泵                             10台</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发动机：二冲程强制风冷或水冷汽油发动机，标示功率≥10HP；水泵结构：离心泵；启动方式：手拉和电启动；起动性能：启动时间≤8s；整机净质量：≤31kg；</w:t>
      </w:r>
      <w:r/>
    </w:p>
    <w:p>
      <w:pPr>
        <w:ind w:firstLine="420"/>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整机携行方式便捷，多功能背架，可背负、可手提；燃油箱容积≥12L；油箱结构：带独立加油口；最大工作压力：≥2.6MPa；最大扬程：≥275m；</w:t>
      </w:r>
      <w:r>
        <w:rPr>
          <w:rFonts w:hint="eastAsia" w:ascii="宋体" w:hAnsi="宋体" w:eastAsia="宋体" w:cs="宋体"/>
          <w:b/>
          <w:bCs/>
          <w:sz w:val="21"/>
          <w:szCs w:val="21"/>
        </w:rPr>
        <w:t xml:space="preserve">★最大流量：≥330L/min；★</w:t>
      </w:r>
      <w:r>
        <w:rPr>
          <w:rFonts w:hint="eastAsia" w:ascii="宋体" w:hAnsi="宋体" w:eastAsia="宋体" w:cs="宋体"/>
          <w:b/>
          <w:bCs/>
          <w:sz w:val="21"/>
          <w:szCs w:val="21"/>
          <w:lang w:val="en-US" w:eastAsia="zh-CN"/>
        </w:rPr>
        <w:t xml:space="preserve">当</w:t>
      </w:r>
      <w:r>
        <w:rPr>
          <w:rFonts w:hint="eastAsia" w:ascii="宋体" w:hAnsi="宋体" w:eastAsia="宋体" w:cs="宋体"/>
          <w:b/>
          <w:bCs/>
          <w:sz w:val="21"/>
          <w:szCs w:val="21"/>
        </w:rPr>
        <w:t xml:space="preserve">压力≥2.0MPa，流量≥120L/min</w:t>
      </w:r>
      <w:r>
        <w:rPr>
          <w:rFonts w:hint="eastAsia" w:ascii="宋体" w:hAnsi="宋体" w:cs="宋体"/>
          <w:b/>
          <w:bCs/>
          <w:sz w:val="21"/>
          <w:szCs w:val="21"/>
          <w:lang w:eastAsia="zh-CN"/>
        </w:rPr>
        <w:t xml:space="preserve">。</w:t>
      </w:r>
      <w:r/>
    </w:p>
    <w:p>
      <w:pPr>
        <w:ind w:firstLine="422"/>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sz w:val="21"/>
          <w:szCs w:val="21"/>
        </w:rPr>
        <w:t xml:space="preserve">提供第三方检验中心出具的检测报告用于佐证“</w:t>
      </w:r>
      <w:r>
        <w:rPr>
          <w:rFonts w:hint="eastAsia" w:ascii="宋体" w:hAnsi="宋体" w:eastAsia="宋体" w:cs="宋体"/>
          <w:sz w:val="21"/>
          <w:szCs w:val="21"/>
        </w:rPr>
        <w:t xml:space="preserve">★</w:t>
      </w:r>
      <w:r>
        <w:rPr>
          <w:rFonts w:hint="eastAsia" w:ascii="宋体" w:hAnsi="宋体" w:eastAsia="宋体" w:cs="宋体"/>
          <w:b/>
          <w:bCs/>
          <w:sz w:val="21"/>
          <w:szCs w:val="21"/>
        </w:rPr>
        <w:t xml:space="preserve">”的重要指标</w:t>
      </w:r>
      <w:r>
        <w:rPr>
          <w:rFonts w:hint="eastAsia" w:ascii="宋体" w:hAnsi="宋体" w:eastAsia="宋体" w:cs="宋体"/>
          <w:b/>
          <w:bCs/>
          <w:color w:val="000000"/>
          <w:sz w:val="21"/>
          <w:szCs w:val="21"/>
        </w:rPr>
        <w:t xml:space="preserve">。</w:t>
      </w:r>
      <w:r/>
    </w:p>
    <w:p>
      <w:pPr>
        <w:pStyle w:val="70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cs="宋体"/>
          <w:b/>
          <w:bCs/>
          <w:sz w:val="21"/>
          <w:szCs w:val="21"/>
          <w:lang w:val="en-US" w:eastAsia="zh-CN"/>
        </w:rPr>
        <w:t xml:space="preserve">3</w:t>
      </w:r>
      <w:r>
        <w:rPr>
          <w:rFonts w:hint="eastAsia" w:ascii="宋体" w:hAnsi="宋体" w:eastAsia="宋体" w:cs="宋体"/>
          <w:b/>
          <w:bCs/>
          <w:sz w:val="21"/>
          <w:szCs w:val="21"/>
        </w:rPr>
        <w:t xml:space="preserve">.4泡沫阻燃森林消防水泵                           10台                     </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发动机：单缸、二冲程风冷汽油机；油箱容积≥12 L，可以不停机加油；发动机冷机启动时间≤10s；采用高强度轻质材质，有效减轻发动机重量</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整机净重量：≤15kg；引水方式：手动引水泵；</w:t>
      </w:r>
      <w:r>
        <w:rPr>
          <w:rFonts w:hint="eastAsia" w:ascii="宋体" w:hAnsi="宋体" w:eastAsia="宋体" w:cs="宋体"/>
          <w:b/>
          <w:bCs/>
          <w:sz w:val="21"/>
          <w:szCs w:val="21"/>
        </w:rPr>
        <w:t xml:space="preserve">▲水泵采用三级离心泵设计；</w:t>
      </w:r>
      <w:r>
        <w:rPr>
          <w:rFonts w:hint="eastAsia" w:ascii="宋体" w:hAnsi="宋体" w:eastAsia="宋体" w:cs="宋体"/>
          <w:sz w:val="21"/>
          <w:szCs w:val="21"/>
        </w:rPr>
        <w:t xml:space="preserve">最大工作压力：≥1.7 Mpa；最大流量：≥5.8 L/s；泡沫泵流量：≥5 L/s；</w:t>
      </w:r>
      <w:r>
        <w:rPr>
          <w:rFonts w:hint="eastAsia" w:ascii="宋体" w:hAnsi="宋体" w:eastAsia="宋体" w:cs="宋体"/>
          <w:b/>
          <w:bCs/>
          <w:sz w:val="21"/>
          <w:szCs w:val="21"/>
        </w:rPr>
        <w:t xml:space="preserve">▲泡沫枪发泡倍数：≥8；▲泡沫枪射程：≥23m</w:t>
      </w:r>
      <w:r>
        <w:rPr>
          <w:rFonts w:hint="eastAsia" w:ascii="宋体" w:hAnsi="宋体" w:cs="宋体"/>
          <w:b/>
          <w:bCs/>
          <w:sz w:val="21"/>
          <w:szCs w:val="21"/>
          <w:lang w:eastAsia="zh-CN"/>
        </w:rPr>
        <w:t xml:space="preserve">。</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附件：三通分水器、单向阀、引水管、泡沫枪、雾流水枪、直流水枪、止水钳。</w:t>
      </w:r>
      <w:r/>
    </w:p>
    <w:p>
      <w:pPr>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提供第三方检验中心出具的检测报告或宣传彩页用于佐证“▲”的主要指标。</w:t>
      </w:r>
      <w:r/>
    </w:p>
    <w:p>
      <w:pPr>
        <w:pStyle w:val="70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cs="宋体"/>
          <w:b/>
          <w:bCs/>
          <w:sz w:val="21"/>
          <w:szCs w:val="21"/>
          <w:lang w:val="en-US" w:eastAsia="zh-CN"/>
        </w:rPr>
        <w:t xml:space="preserve">3</w:t>
      </w:r>
      <w:r>
        <w:rPr>
          <w:rFonts w:hint="eastAsia" w:ascii="宋体" w:hAnsi="宋体" w:eastAsia="宋体" w:cs="宋体"/>
          <w:b/>
          <w:bCs/>
          <w:sz w:val="21"/>
          <w:szCs w:val="21"/>
        </w:rPr>
        <w:t xml:space="preserve">.5背负式风力灭火机                             30台</w:t>
      </w:r>
      <w:r/>
    </w:p>
    <w:p>
      <w:pPr>
        <w:ind w:firstLine="420"/>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排量≥75cm³；输出功率≥3kW；有效灭火距离≥1.5m；出风口风量≥1500m³/h；</w:t>
      </w:r>
      <w:r>
        <w:rPr>
          <w:rFonts w:hint="eastAsia" w:ascii="宋体" w:hAnsi="宋体" w:eastAsia="宋体" w:cs="宋体"/>
          <w:b/>
          <w:bCs/>
          <w:sz w:val="21"/>
          <w:szCs w:val="21"/>
        </w:rPr>
        <w:t xml:space="preserve">▲重量≤10kg</w:t>
      </w:r>
      <w:r>
        <w:rPr>
          <w:rFonts w:hint="eastAsia" w:ascii="宋体" w:hAnsi="宋体" w:cs="宋体"/>
          <w:b/>
          <w:bCs/>
          <w:sz w:val="21"/>
          <w:szCs w:val="21"/>
          <w:lang w:val="en-US" w:eastAsia="zh-CN"/>
        </w:rPr>
        <w:t xml:space="preserve">；</w:t>
      </w:r>
      <w:r>
        <w:rPr>
          <w:rFonts w:hint="eastAsia" w:ascii="宋体" w:hAnsi="宋体" w:eastAsia="宋体" w:cs="宋体"/>
          <w:b/>
          <w:bCs/>
          <w:sz w:val="21"/>
          <w:szCs w:val="21"/>
        </w:rPr>
        <w:t xml:space="preserve">▲一次加油连续工作时间：≥75min</w:t>
      </w:r>
      <w:r>
        <w:rPr>
          <w:rFonts w:hint="eastAsia" w:ascii="宋体" w:hAnsi="宋体" w:cs="宋体"/>
          <w:b/>
          <w:bCs/>
          <w:sz w:val="21"/>
          <w:szCs w:val="21"/>
          <w:lang w:eastAsia="zh-CN"/>
        </w:rPr>
        <w:t xml:space="preserve">。</w:t>
      </w:r>
      <w:r/>
    </w:p>
    <w:p>
      <w:pPr>
        <w:ind w:firstLine="422"/>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sz w:val="21"/>
          <w:szCs w:val="21"/>
        </w:rPr>
        <w:t xml:space="preserve">提供第三方检验中心出具的检测报告或宣传彩页用于佐证“</w:t>
      </w:r>
      <w:r>
        <w:rPr>
          <w:rFonts w:hint="eastAsia" w:ascii="宋体" w:hAnsi="宋体" w:eastAsia="宋体" w:cs="宋体"/>
          <w:sz w:val="21"/>
          <w:szCs w:val="21"/>
        </w:rPr>
        <w:t xml:space="preserve">▲</w:t>
      </w:r>
      <w:r>
        <w:rPr>
          <w:rFonts w:hint="eastAsia" w:ascii="宋体" w:hAnsi="宋体" w:eastAsia="宋体" w:cs="宋体"/>
          <w:b/>
          <w:bCs/>
          <w:sz w:val="21"/>
          <w:szCs w:val="21"/>
        </w:rPr>
        <w:t xml:space="preserve">”的主要指标</w:t>
      </w:r>
      <w:r>
        <w:rPr>
          <w:rFonts w:hint="eastAsia" w:ascii="宋体" w:hAnsi="宋体" w:eastAsia="宋体" w:cs="宋体"/>
          <w:b/>
          <w:bCs/>
          <w:color w:val="000000"/>
          <w:sz w:val="21"/>
          <w:szCs w:val="21"/>
        </w:rPr>
        <w:t xml:space="preserve">。</w:t>
      </w:r>
      <w:r/>
    </w:p>
    <w:p>
      <w:pPr>
        <w:pStyle w:val="70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cs="宋体"/>
          <w:b/>
          <w:bCs/>
          <w:sz w:val="21"/>
          <w:szCs w:val="21"/>
          <w:lang w:val="en-US" w:eastAsia="zh-CN"/>
        </w:rPr>
        <w:t xml:space="preserve">3</w:t>
      </w:r>
      <w:r>
        <w:rPr>
          <w:rFonts w:hint="eastAsia" w:ascii="宋体" w:hAnsi="宋体" w:eastAsia="宋体" w:cs="宋体"/>
          <w:b/>
          <w:bCs/>
          <w:sz w:val="21"/>
          <w:szCs w:val="21"/>
        </w:rPr>
        <w:t xml:space="preserve">.6便携式风力灭火机                         30台</w:t>
      </w:r>
      <w:r/>
    </w:p>
    <w:p>
      <w:pPr>
        <w:ind w:firstLine="420"/>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输出功率≥4kW</w:t>
      </w:r>
      <w:r>
        <w:rPr>
          <w:rFonts w:hint="eastAsia" w:ascii="宋体" w:hAnsi="宋体" w:eastAsia="宋体" w:cs="宋体"/>
          <w:b/>
          <w:bCs/>
          <w:sz w:val="21"/>
          <w:szCs w:val="21"/>
        </w:rPr>
        <w:t xml:space="preserve">；▲重量(kg)≤8</w:t>
      </w:r>
      <w:r>
        <w:rPr>
          <w:rFonts w:hint="eastAsia" w:ascii="宋体" w:hAnsi="宋体" w:eastAsia="宋体" w:cs="宋体"/>
          <w:sz w:val="21"/>
          <w:szCs w:val="21"/>
        </w:rPr>
        <w:t xml:space="preserve">；有效灭火距离≥2m；出风口风量≥1600m³/h；</w:t>
      </w:r>
      <w:r>
        <w:rPr>
          <w:rFonts w:hint="eastAsia" w:ascii="宋体" w:hAnsi="宋体" w:eastAsia="宋体" w:cs="宋体"/>
          <w:sz w:val="21"/>
          <w:szCs w:val="21"/>
        </w:rPr>
        <w:br/>
      </w:r>
      <w:r>
        <w:rPr>
          <w:rFonts w:hint="eastAsia" w:ascii="宋体" w:hAnsi="宋体" w:eastAsia="宋体" w:cs="宋体"/>
          <w:b/>
          <w:bCs/>
          <w:sz w:val="21"/>
          <w:szCs w:val="21"/>
        </w:rPr>
        <w:t xml:space="preserve">▲一次加油连续其工作时间≥35min。</w:t>
      </w:r>
      <w:r/>
    </w:p>
    <w:p>
      <w:pPr>
        <w:ind w:firstLine="422"/>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sz w:val="21"/>
          <w:szCs w:val="21"/>
        </w:rPr>
        <w:t xml:space="preserve">提供第三方检验中心出具的检测报告或宣传彩页用于佐证“</w:t>
      </w:r>
      <w:r>
        <w:rPr>
          <w:rFonts w:hint="eastAsia" w:ascii="宋体" w:hAnsi="宋体" w:eastAsia="宋体" w:cs="宋体"/>
          <w:sz w:val="21"/>
          <w:szCs w:val="21"/>
        </w:rPr>
        <w:t xml:space="preserve">▲</w:t>
      </w:r>
      <w:r>
        <w:rPr>
          <w:rFonts w:hint="eastAsia" w:ascii="宋体" w:hAnsi="宋体" w:eastAsia="宋体" w:cs="宋体"/>
          <w:b/>
          <w:bCs/>
          <w:sz w:val="21"/>
          <w:szCs w:val="21"/>
        </w:rPr>
        <w:t xml:space="preserve">”的主要指标</w:t>
      </w:r>
      <w:r>
        <w:rPr>
          <w:rFonts w:hint="eastAsia" w:ascii="宋体" w:hAnsi="宋体" w:eastAsia="宋体" w:cs="宋体"/>
          <w:b/>
          <w:bCs/>
          <w:color w:val="000000"/>
          <w:sz w:val="21"/>
          <w:szCs w:val="21"/>
        </w:rPr>
        <w:t xml:space="preserve">。</w:t>
      </w:r>
      <w:r/>
    </w:p>
    <w:p>
      <w:p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cs="宋体"/>
          <w:b/>
          <w:bCs/>
          <w:sz w:val="21"/>
          <w:szCs w:val="21"/>
          <w:lang w:val="en-US" w:eastAsia="zh-CN"/>
        </w:rPr>
        <w:t xml:space="preserve">3</w:t>
      </w:r>
      <w:r>
        <w:rPr>
          <w:rFonts w:hint="eastAsia" w:ascii="宋体" w:hAnsi="宋体" w:eastAsia="宋体" w:cs="宋体"/>
          <w:b/>
          <w:bCs/>
          <w:sz w:val="21"/>
          <w:szCs w:val="21"/>
        </w:rPr>
        <w:t xml:space="preserve">.7气压式细水雾灭火水枪                        20台</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气瓶：工作容积（L）≥2；工作压力（Mpa) ≥30；储液罐：容积（L）≥9；工作压力（Mpa) ≥0.8；软管长度（m) ≥1.3；装置总质量（kg) ≤35；喷射性能：直流 </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喷射时间（s) ≥30、射程（m) ≥10</w:t>
      </w:r>
      <w:r>
        <w:rPr>
          <w:rFonts w:hint="eastAsia" w:ascii="宋体" w:hAnsi="宋体" w:cs="宋体"/>
          <w:sz w:val="21"/>
          <w:szCs w:val="21"/>
          <w:lang w:eastAsia="zh-CN"/>
        </w:rPr>
        <w:t xml:space="preserve">，</w:t>
      </w:r>
      <w:r>
        <w:rPr>
          <w:rFonts w:hint="eastAsia" w:ascii="宋体" w:hAnsi="宋体" w:eastAsia="宋体" w:cs="宋体"/>
          <w:sz w:val="21"/>
          <w:szCs w:val="21"/>
        </w:rPr>
        <w:t xml:space="preserve">细水雾</w:t>
      </w:r>
      <w:r>
        <w:rPr>
          <w:rFonts w:hint="eastAsia" w:ascii="宋体" w:hAnsi="宋体" w:cs="宋体"/>
          <w:sz w:val="21"/>
          <w:szCs w:val="21"/>
          <w:lang w:eastAsia="zh-CN"/>
        </w:rPr>
        <w:t xml:space="preserve">：</w:t>
      </w:r>
      <w:r>
        <w:rPr>
          <w:rFonts w:hint="eastAsia" w:ascii="宋体" w:hAnsi="宋体" w:eastAsia="宋体" w:cs="宋体"/>
          <w:sz w:val="21"/>
          <w:szCs w:val="21"/>
        </w:rPr>
        <w:t xml:space="preserve">喷射时间（s) ≥30、射程（m) ≥5；喷射剩余率（%）≤1；</w:t>
      </w:r>
      <w:r/>
    </w:p>
    <w:p>
      <w:pPr>
        <w:pStyle w:val="700"/>
        <w:keepLines w:val="0"/>
        <w:keepNext w:val="0"/>
        <w:pageBreakBefore w:val="0"/>
        <w:spacing w:line="360" w:lineRule="auto"/>
        <w:tabs>
          <w:tab w:val="left" w:pos="5245" w:leader="none"/>
        </w:tabs>
        <w:rPr>
          <w:rFonts w:hint="eastAsia" w:ascii="宋体" w:hAnsi="宋体" w:eastAsia="宋体" w:cs="宋体"/>
          <w:sz w:val="21"/>
          <w:szCs w:val="21"/>
        </w:rPr>
      </w:pPr>
      <w:r>
        <w:rPr>
          <w:rFonts w:hint="eastAsia" w:ascii="宋体" w:hAnsi="宋体" w:eastAsia="宋体" w:cs="宋体"/>
          <w:sz w:val="21"/>
          <w:szCs w:val="21"/>
        </w:rPr>
      </w:r>
      <w:r/>
    </w:p>
    <w:p>
      <w:pPr>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cs="宋体"/>
          <w:b/>
          <w:bCs/>
          <w:sz w:val="21"/>
          <w:szCs w:val="21"/>
          <w:lang w:val="en-US" w:eastAsia="zh-CN"/>
        </w:rPr>
        <w:t xml:space="preserve">3</w:t>
      </w:r>
      <w:r>
        <w:rPr>
          <w:rFonts w:hint="eastAsia" w:ascii="宋体" w:hAnsi="宋体" w:eastAsia="宋体" w:cs="宋体"/>
          <w:b/>
          <w:bCs/>
          <w:sz w:val="21"/>
          <w:szCs w:val="21"/>
        </w:rPr>
        <w:t xml:space="preserve">.8手掷式灭火弹                             250箱</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拉发式动力源；超细干粉，高效安全；可靠度≥98%；</w:t>
      </w:r>
      <w:bookmarkStart w:id="65" w:name="OLE_LINK14"/>
      <w:r/>
      <w:bookmarkStart w:id="66" w:name="OLE_LINK15"/>
      <w:r>
        <w:rPr>
          <w:rFonts w:hint="eastAsia" w:ascii="宋体" w:hAnsi="宋体" w:eastAsia="宋体" w:cs="宋体"/>
          <w:b/>
          <w:bCs/>
          <w:sz w:val="21"/>
          <w:szCs w:val="21"/>
        </w:rPr>
        <w:t xml:space="preserve">▲</w:t>
      </w:r>
      <w:bookmarkEnd w:id="65"/>
      <w:r/>
      <w:bookmarkEnd w:id="66"/>
      <w:r>
        <w:rPr>
          <w:rFonts w:hint="eastAsia" w:ascii="宋体" w:hAnsi="宋体" w:eastAsia="宋体" w:cs="宋体"/>
          <w:b/>
          <w:bCs/>
          <w:sz w:val="21"/>
          <w:szCs w:val="21"/>
        </w:rPr>
        <w:t xml:space="preserve">拉火延时≥4s；</w:t>
      </w:r>
      <w:r>
        <w:rPr>
          <w:rFonts w:hint="eastAsia" w:ascii="宋体" w:hAnsi="宋体" w:eastAsia="宋体" w:cs="宋体"/>
          <w:sz w:val="21"/>
          <w:szCs w:val="21"/>
        </w:rPr>
        <w:t xml:space="preserve">灭火面积：≥3㎡；产品规格：弹体方形，无炸药型，纸质外壳，重量1kg（±0.2kg）；</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包装：每箱10只进行包装，每箱附使用说明书；手掷灭火弹是时效性产品，为保证产品的时效性，手掷灭火弹的生产日期应为签订合同日后生产的。</w:t>
      </w:r>
      <w:r/>
    </w:p>
    <w:p>
      <w:pPr>
        <w:ind w:firstLine="422"/>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sz w:val="21"/>
          <w:szCs w:val="21"/>
        </w:rPr>
        <w:t xml:space="preserve">提供第三方检验中心出具的检测报告或宣传彩页用于佐证“</w:t>
      </w:r>
      <w:r>
        <w:rPr>
          <w:rFonts w:hint="eastAsia" w:ascii="宋体" w:hAnsi="宋体" w:eastAsia="宋体" w:cs="宋体"/>
          <w:sz w:val="21"/>
          <w:szCs w:val="21"/>
        </w:rPr>
        <w:t xml:space="preserve">▲</w:t>
      </w:r>
      <w:r>
        <w:rPr>
          <w:rFonts w:hint="eastAsia" w:ascii="宋体" w:hAnsi="宋体" w:eastAsia="宋体" w:cs="宋体"/>
          <w:b/>
          <w:bCs/>
          <w:sz w:val="21"/>
          <w:szCs w:val="21"/>
        </w:rPr>
        <w:t xml:space="preserve">”的主要指标</w:t>
      </w:r>
      <w:r>
        <w:rPr>
          <w:rFonts w:hint="eastAsia" w:ascii="宋体" w:hAnsi="宋体" w:eastAsia="宋体" w:cs="宋体"/>
          <w:b/>
          <w:bCs/>
          <w:color w:val="000000"/>
          <w:sz w:val="21"/>
          <w:szCs w:val="21"/>
        </w:rPr>
        <w:t xml:space="preserve">。</w:t>
      </w:r>
      <w:r/>
    </w:p>
    <w:p>
      <w:pPr>
        <w:pStyle w:val="700"/>
        <w:keepLines w:val="0"/>
        <w:keepNext w:val="0"/>
        <w:pageBreakBefore w:val="0"/>
        <w:spacing w:line="360" w:lineRule="auto"/>
        <w:tabs>
          <w:tab w:val="left" w:pos="5245" w:leader="none"/>
        </w:tabs>
        <w:rPr>
          <w:rFonts w:hint="eastAsia" w:ascii="宋体" w:hAnsi="宋体" w:eastAsia="宋体" w:cs="宋体"/>
          <w:sz w:val="21"/>
          <w:szCs w:val="21"/>
        </w:rPr>
      </w:pPr>
      <w:r>
        <w:rPr>
          <w:rFonts w:hint="eastAsia" w:ascii="宋体" w:hAnsi="宋体" w:eastAsia="宋体" w:cs="宋体"/>
          <w:sz w:val="21"/>
          <w:szCs w:val="21"/>
        </w:rPr>
      </w:r>
      <w:r/>
    </w:p>
    <w:p>
      <w:pPr>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cs="宋体"/>
          <w:b/>
          <w:bCs/>
          <w:sz w:val="21"/>
          <w:szCs w:val="21"/>
          <w:lang w:val="en-US" w:eastAsia="zh-CN"/>
        </w:rPr>
        <w:t xml:space="preserve">3</w:t>
      </w:r>
      <w:r>
        <w:rPr>
          <w:rFonts w:hint="eastAsia" w:ascii="宋体" w:hAnsi="宋体" w:eastAsia="宋体" w:cs="宋体"/>
          <w:b/>
          <w:bCs/>
          <w:sz w:val="21"/>
          <w:szCs w:val="21"/>
        </w:rPr>
        <w:t xml:space="preserve">.9水带背包                                   100个</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在野外抗灾时能提供便携的水带存储与运输方案；装载量:20-40-30水带3-4条；</w:t>
      </w:r>
      <w:r/>
    </w:p>
    <w:p>
      <w:pPr>
        <w:pStyle w:val="700"/>
        <w:keepLines w:val="0"/>
        <w:keepNext w:val="0"/>
        <w:pageBreakBefore w:val="0"/>
        <w:spacing w:line="360" w:lineRule="auto"/>
        <w:tabs>
          <w:tab w:val="left" w:pos="5245" w:leader="none"/>
        </w:tabs>
        <w:rPr>
          <w:rFonts w:hint="eastAsia" w:ascii="宋体" w:hAnsi="宋体" w:eastAsia="宋体" w:cs="宋体"/>
          <w:sz w:val="21"/>
          <w:szCs w:val="21"/>
        </w:rPr>
      </w:pPr>
      <w:r>
        <w:rPr>
          <w:rFonts w:hint="eastAsia" w:ascii="宋体" w:hAnsi="宋体" w:eastAsia="宋体" w:cs="宋体"/>
          <w:sz w:val="21"/>
          <w:szCs w:val="21"/>
        </w:rPr>
      </w:r>
      <w:r/>
    </w:p>
    <w:p>
      <w:pPr>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cs="宋体"/>
          <w:b/>
          <w:bCs/>
          <w:sz w:val="21"/>
          <w:szCs w:val="21"/>
          <w:lang w:val="en-US" w:eastAsia="zh-CN"/>
        </w:rPr>
        <w:t xml:space="preserve">3</w:t>
      </w:r>
      <w:r>
        <w:rPr>
          <w:rFonts w:hint="eastAsia" w:ascii="宋体" w:hAnsi="宋体" w:eastAsia="宋体" w:cs="宋体"/>
          <w:b/>
          <w:bCs/>
          <w:sz w:val="21"/>
          <w:szCs w:val="21"/>
        </w:rPr>
        <w:t xml:space="preserve">.10 消防水带                                 100条       </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型号：20-40-30（卡式接口）；材质：涤纶长丝/涤纶长丝聚氨酯；爆破压力（MPa）：≥6；膨胀率（％）：≤8；延伸率（%）：≤8；长度（米）≥30；</w:t>
      </w:r>
      <w:r/>
    </w:p>
    <w:p>
      <w:pPr>
        <w:pStyle w:val="70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cs="宋体"/>
          <w:b/>
          <w:bCs/>
          <w:sz w:val="21"/>
          <w:szCs w:val="21"/>
          <w:lang w:val="en-US" w:eastAsia="zh-CN"/>
        </w:rPr>
        <w:t xml:space="preserve">3</w:t>
      </w:r>
      <w:r>
        <w:rPr>
          <w:rFonts w:hint="eastAsia" w:ascii="宋体" w:hAnsi="宋体" w:eastAsia="宋体" w:cs="宋体"/>
          <w:b/>
          <w:bCs/>
          <w:sz w:val="21"/>
          <w:szCs w:val="21"/>
        </w:rPr>
        <w:t xml:space="preserve">.11 消防水带                                 100条       </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型号：20-65-20（卡式接口）；材质：涤纶长丝/涤纶长丝聚氨酯；爆破压力（MPa）：≥6；膨胀率（％）：≤8；延伸率（%）：≤8；长度（米）≥20；</w:t>
      </w:r>
      <w:r/>
    </w:p>
    <w:p>
      <w:pPr>
        <w:pStyle w:val="70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cs="宋体"/>
          <w:b/>
          <w:bCs/>
          <w:sz w:val="21"/>
          <w:szCs w:val="21"/>
          <w:lang w:val="en-US" w:eastAsia="zh-CN"/>
        </w:rPr>
        <w:t xml:space="preserve">3</w:t>
      </w:r>
      <w:r>
        <w:rPr>
          <w:rFonts w:hint="eastAsia" w:ascii="宋体" w:hAnsi="宋体" w:eastAsia="宋体" w:cs="宋体"/>
          <w:b/>
          <w:bCs/>
          <w:sz w:val="21"/>
          <w:szCs w:val="21"/>
        </w:rPr>
        <w:t xml:space="preserve">.12 油锯                                      20台</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发动机:二冲程发动机；功率:≥2kw；气缸排量:≥45cm³；重量:≤8Kg；燃油消耗率:≤602 g/kw.h；锯切效率:≥70cm²/s；锯切燃油消耗率:≤80g/m²；手感振动:≤11m/s²；</w:t>
      </w:r>
      <w:r/>
    </w:p>
    <w:p>
      <w:pPr>
        <w:pStyle w:val="700"/>
        <w:keepLines w:val="0"/>
        <w:keepNext w:val="0"/>
        <w:pageBreakBefore w:val="0"/>
        <w:spacing w:line="360" w:lineRule="auto"/>
        <w:tabs>
          <w:tab w:val="left" w:pos="5245" w:leader="none"/>
        </w:tabs>
        <w:rPr>
          <w:rFonts w:hint="eastAsia" w:ascii="宋体" w:hAnsi="宋体" w:eastAsia="宋体" w:cs="宋体"/>
          <w:sz w:val="21"/>
          <w:szCs w:val="21"/>
        </w:rPr>
      </w:pPr>
      <w:r>
        <w:rPr>
          <w:rFonts w:hint="eastAsia" w:ascii="宋体" w:hAnsi="宋体" w:eastAsia="宋体" w:cs="宋体"/>
          <w:sz w:val="21"/>
          <w:szCs w:val="21"/>
        </w:rPr>
      </w:r>
      <w:r/>
    </w:p>
    <w:p>
      <w:pPr>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cs="宋体"/>
          <w:b/>
          <w:bCs/>
          <w:sz w:val="21"/>
          <w:szCs w:val="21"/>
          <w:lang w:val="en-US" w:eastAsia="zh-CN"/>
        </w:rPr>
        <w:t xml:space="preserve">3</w:t>
      </w:r>
      <w:r>
        <w:rPr>
          <w:rFonts w:hint="eastAsia" w:ascii="宋体" w:hAnsi="宋体" w:eastAsia="宋体" w:cs="宋体"/>
          <w:b/>
          <w:bCs/>
          <w:sz w:val="21"/>
          <w:szCs w:val="21"/>
        </w:rPr>
        <w:t xml:space="preserve">.13 森林防火服                               100套 </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.13.1单兵装备包：容积（L）：≥30，两侧有装水壶和便携物品的小包，背包口有收紧拉带和盖子。</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.13.2头盔：</w:t>
      </w:r>
      <w:r>
        <w:rPr>
          <w:rFonts w:hint="eastAsia" w:ascii="宋体" w:hAnsi="宋体" w:eastAsia="宋体" w:cs="宋体"/>
          <w:sz w:val="21"/>
          <w:szCs w:val="21"/>
        </w:rPr>
        <w:br/>
      </w:r>
      <w:r>
        <w:rPr>
          <w:rFonts w:hint="eastAsia" w:ascii="宋体" w:hAnsi="宋体" w:eastAsia="宋体" w:cs="宋体"/>
          <w:sz w:val="21"/>
          <w:szCs w:val="21"/>
        </w:rPr>
        <w:t xml:space="preserve">  </w:t>
      </w:r>
      <w:r>
        <w:rPr>
          <w:rFonts w:hint="eastAsia" w:ascii="宋体" w:hAnsi="宋体" w:eastAsia="宋体" w:cs="宋体"/>
          <w:b/>
          <w:bCs/>
          <w:sz w:val="21"/>
          <w:szCs w:val="21"/>
        </w:rPr>
        <w:t xml:space="preserve"> ▲（1）冲击吸收性能：最大冲击力≤3780N；</w:t>
      </w:r>
      <w:r>
        <w:rPr>
          <w:rFonts w:hint="eastAsia" w:ascii="宋体" w:hAnsi="宋体" w:eastAsia="宋体" w:cs="宋体"/>
          <w:sz w:val="21"/>
          <w:szCs w:val="21"/>
        </w:rPr>
        <w:br/>
      </w:r>
      <w:r>
        <w:rPr>
          <w:rFonts w:hint="eastAsia" w:ascii="宋体" w:hAnsi="宋体" w:eastAsia="宋体" w:cs="宋体"/>
          <w:sz w:val="21"/>
          <w:szCs w:val="21"/>
        </w:rPr>
        <w:t xml:space="preserve">   （2）帽顶部：最大冲击速度≤150gn；</w:t>
      </w:r>
      <w:r>
        <w:rPr>
          <w:rFonts w:hint="eastAsia" w:ascii="宋体" w:hAnsi="宋体" w:eastAsia="宋体" w:cs="宋体"/>
          <w:sz w:val="21"/>
          <w:szCs w:val="21"/>
        </w:rPr>
        <w:br/>
      </w:r>
      <w:r>
        <w:rPr>
          <w:rFonts w:hint="eastAsia" w:ascii="宋体" w:hAnsi="宋体" w:eastAsia="宋体" w:cs="宋体"/>
          <w:sz w:val="21"/>
          <w:szCs w:val="21"/>
        </w:rPr>
        <w:t xml:space="preserve">   （3）耐热性能：帽壳不能触及头模，帽箍、帽托、缓冲层和下颚带均无明显变形和损坏； </w:t>
      </w:r>
      <w:r>
        <w:rPr>
          <w:rFonts w:hint="eastAsia" w:ascii="宋体" w:hAnsi="宋体" w:eastAsia="宋体" w:cs="宋体"/>
          <w:sz w:val="21"/>
          <w:szCs w:val="21"/>
        </w:rPr>
        <w:br/>
      </w:r>
      <w:r>
        <w:rPr>
          <w:rFonts w:hint="eastAsia" w:ascii="宋体" w:hAnsi="宋体" w:eastAsia="宋体" w:cs="宋体"/>
          <w:sz w:val="21"/>
          <w:szCs w:val="21"/>
        </w:rPr>
        <w:t xml:space="preserve">   （4）耐穿透性能：钢锥不与头模建立电接触；</w:t>
      </w:r>
      <w:r>
        <w:rPr>
          <w:rFonts w:hint="eastAsia" w:ascii="宋体" w:hAnsi="宋体" w:eastAsia="宋体" w:cs="宋体"/>
          <w:sz w:val="21"/>
          <w:szCs w:val="21"/>
        </w:rPr>
        <w:br/>
      </w:r>
      <w:r>
        <w:rPr>
          <w:rFonts w:hint="eastAsia" w:ascii="宋体" w:hAnsi="宋体" w:eastAsia="宋体" w:cs="宋体"/>
          <w:b w:val="0"/>
          <w:sz w:val="21"/>
          <w:szCs w:val="21"/>
        </w:rPr>
        <w:t xml:space="preserve">   （5）耐</w:t>
      </w:r>
      <w:r>
        <w:rPr>
          <w:rFonts w:hint="eastAsia" w:ascii="宋体" w:hAnsi="宋体" w:eastAsia="宋体" w:cs="宋体"/>
          <w:sz w:val="21"/>
          <w:szCs w:val="21"/>
        </w:rPr>
        <w:t xml:space="preserve">燃烧</w:t>
      </w:r>
      <w:r>
        <w:rPr>
          <w:rFonts w:hint="eastAsia" w:ascii="宋体" w:hAnsi="宋体" w:eastAsia="宋体" w:cs="宋体"/>
          <w:b w:val="0"/>
          <w:sz w:val="21"/>
          <w:szCs w:val="21"/>
        </w:rPr>
        <w:t xml:space="preserve">性能：火源离开帽壳后，帽壳火焰在5s内自熄，并且没有火焰烧透到帽壳内部</w:t>
      </w:r>
      <w:r>
        <w:rPr>
          <w:rFonts w:hint="eastAsia" w:ascii="宋体" w:hAnsi="宋体" w:eastAsia="宋体" w:cs="宋体"/>
          <w:sz w:val="21"/>
          <w:szCs w:val="21"/>
        </w:rPr>
        <w:t xml:space="preserve">的明显迹象；</w:t>
      </w:r>
      <w:r>
        <w:rPr>
          <w:rFonts w:hint="eastAsia" w:ascii="宋体" w:hAnsi="宋体" w:eastAsia="宋体" w:cs="宋体"/>
          <w:sz w:val="21"/>
          <w:szCs w:val="21"/>
        </w:rPr>
        <w:br/>
      </w:r>
      <w:r>
        <w:rPr>
          <w:rFonts w:hint="eastAsia" w:ascii="宋体" w:hAnsi="宋体" w:eastAsia="宋体" w:cs="宋体"/>
          <w:sz w:val="21"/>
          <w:szCs w:val="21"/>
        </w:rPr>
        <w:t xml:space="preserve">   （6）电绝缘性能：帽壳泄露电流（mA）≤3；</w:t>
      </w:r>
      <w:r>
        <w:rPr>
          <w:rFonts w:hint="eastAsia" w:ascii="宋体" w:hAnsi="宋体" w:eastAsia="宋体" w:cs="宋体"/>
          <w:sz w:val="21"/>
          <w:szCs w:val="21"/>
        </w:rPr>
        <w:br/>
      </w:r>
      <w:r>
        <w:rPr>
          <w:rFonts w:hint="eastAsia" w:ascii="宋体" w:hAnsi="宋体" w:eastAsia="宋体" w:cs="宋体"/>
          <w:sz w:val="21"/>
          <w:szCs w:val="21"/>
        </w:rPr>
        <w:t xml:space="preserve">   （7）跌落性能：无明显缺损、开裂、变形；</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.13.3防护头套：采用芳纶阻燃材料，灭火救援时头面部和颈部防护，具有阻燃、保暖、轻便、舒适性能；</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.13.4护目镜：专业防护眼镜，防风、防烟、防尘、防雾，与人体接触部分采用海绵设计，密封性好，佩戴舒适 携带方便；</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.13.5快速呼吸器：防毒、防火、防热辐射、防烟多种保护、密封性好，适用于成年人各种面型；</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.13.6防火服：</w:t>
      </w:r>
      <w:r>
        <w:rPr>
          <w:rFonts w:hint="eastAsia" w:ascii="宋体" w:hAnsi="宋体" w:eastAsia="宋体" w:cs="宋体"/>
          <w:sz w:val="21"/>
          <w:szCs w:val="21"/>
        </w:rPr>
        <w:br/>
      </w:r>
      <w:r>
        <w:rPr>
          <w:rFonts w:hint="eastAsia" w:ascii="宋体" w:hAnsi="宋体" w:eastAsia="宋体" w:cs="宋体"/>
          <w:sz w:val="21"/>
          <w:szCs w:val="21"/>
        </w:rPr>
        <w:t xml:space="preserve">   （1）符合</w:t>
      </w:r>
      <w:bookmarkStart w:id="67" w:name="OLE_LINK2"/>
      <w:r>
        <w:rPr>
          <w:rFonts w:hint="eastAsia" w:ascii="宋体" w:hAnsi="宋体" w:eastAsia="宋体" w:cs="宋体"/>
          <w:sz w:val="21"/>
          <w:szCs w:val="21"/>
        </w:rPr>
        <w:t xml:space="preserve">GB/T33536-2017</w:t>
      </w:r>
      <w:bookmarkEnd w:id="67"/>
      <w:r>
        <w:rPr>
          <w:rFonts w:hint="eastAsia" w:ascii="宋体" w:hAnsi="宋体" w:eastAsia="宋体" w:cs="宋体"/>
          <w:sz w:val="21"/>
          <w:szCs w:val="21"/>
        </w:rPr>
        <w:t xml:space="preserve">标准；橘黄色，需采用100%芳纶阻燃面料；</w:t>
      </w:r>
      <w:r>
        <w:rPr>
          <w:rFonts w:hint="eastAsia" w:ascii="宋体" w:hAnsi="宋体" w:eastAsia="宋体" w:cs="宋体"/>
          <w:sz w:val="21"/>
          <w:szCs w:val="21"/>
        </w:rPr>
        <w:br/>
      </w:r>
      <w:r>
        <w:rPr>
          <w:rFonts w:hint="eastAsia" w:ascii="宋体" w:hAnsi="宋体" w:eastAsia="宋体" w:cs="宋体"/>
          <w:sz w:val="21"/>
          <w:szCs w:val="21"/>
        </w:rPr>
        <w:t xml:space="preserve"> </w:t>
      </w:r>
      <w:r>
        <w:rPr>
          <w:rFonts w:hint="eastAsia" w:ascii="宋体" w:hAnsi="宋体" w:eastAsia="宋体" w:cs="宋体"/>
          <w:b/>
          <w:bCs/>
          <w:sz w:val="21"/>
          <w:szCs w:val="21"/>
        </w:rPr>
        <w:t xml:space="preserve">  ▲（2）面料洗涤50次后：阻燃性能：续燃时间≤2s,阴燃时间≤2s，损毁长度：经向≤80mm，纬向≤80mm；</w:t>
      </w:r>
      <w:r>
        <w:rPr>
          <w:rFonts w:hint="eastAsia" w:ascii="宋体" w:hAnsi="宋体" w:eastAsia="宋体" w:cs="宋体"/>
          <w:b/>
          <w:bCs/>
          <w:sz w:val="21"/>
          <w:szCs w:val="21"/>
        </w:rPr>
        <w:br/>
      </w:r>
      <w:r>
        <w:rPr>
          <w:rFonts w:hint="eastAsia" w:ascii="宋体" w:hAnsi="宋体" w:eastAsia="宋体" w:cs="宋体"/>
          <w:sz w:val="21"/>
          <w:szCs w:val="21"/>
        </w:rPr>
        <w:t xml:space="preserve">   （3）面料洗涤50次后：断裂强度：经向≥1100N、纬向≥1000N； </w:t>
      </w:r>
      <w:r>
        <w:rPr>
          <w:rFonts w:hint="eastAsia" w:ascii="宋体" w:hAnsi="宋体" w:eastAsia="宋体" w:cs="宋体"/>
          <w:sz w:val="21"/>
          <w:szCs w:val="21"/>
        </w:rPr>
        <w:br/>
      </w:r>
      <w:r>
        <w:rPr>
          <w:rFonts w:hint="eastAsia" w:ascii="宋体" w:hAnsi="宋体" w:eastAsia="宋体" w:cs="宋体"/>
          <w:sz w:val="21"/>
          <w:szCs w:val="21"/>
        </w:rPr>
        <w:t xml:space="preserve">   （4）面料洗涤50次后：撕破强度；经向≥100N、纬向≥100N；</w:t>
      </w:r>
      <w:r>
        <w:rPr>
          <w:rFonts w:hint="eastAsia" w:ascii="宋体" w:hAnsi="宋体" w:eastAsia="宋体" w:cs="宋体"/>
          <w:sz w:val="21"/>
          <w:szCs w:val="21"/>
        </w:rPr>
        <w:br/>
      </w:r>
      <w:r>
        <w:rPr>
          <w:rFonts w:hint="eastAsia" w:ascii="宋体" w:hAnsi="宋体" w:eastAsia="宋体" w:cs="宋体"/>
          <w:sz w:val="21"/>
          <w:szCs w:val="21"/>
        </w:rPr>
        <w:t xml:space="preserve">   （5）无熔融、滴落现象 ，甲醛含量：0mg/kg；</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.13.7防火手套：柔软并且防水阻燃；续燃时间≤2s；阴燃时间≤2s；损毁长度≤100mm；甲醛含量：0mg/kg；</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.13.8防火腰带：具有拉力强度大、耐磨性强、灵活轻便、使用安全等特性。</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.13.9防护靴：帮底结合采用胶黏工艺，鞋底具有防加塞泥沙功能，防穿刺，鞋底抗刺穿性能≥1100N；</w:t>
      </w:r>
      <w:r/>
    </w:p>
    <w:p>
      <w:pPr>
        <w:ind w:firstLine="422"/>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sz w:val="21"/>
          <w:szCs w:val="21"/>
        </w:rPr>
        <w:t xml:space="preserve">提供第三方检验中心出具的检测报告</w:t>
      </w:r>
      <w:r>
        <w:rPr>
          <w:rFonts w:hint="eastAsia" w:ascii="宋体" w:hAnsi="宋体" w:cs="宋体"/>
          <w:b/>
          <w:bCs/>
          <w:szCs w:val="21"/>
        </w:rPr>
        <w:t xml:space="preserve">或宣传彩页</w:t>
      </w:r>
      <w:r>
        <w:rPr>
          <w:rFonts w:hint="eastAsia" w:ascii="宋体" w:hAnsi="宋体" w:eastAsia="宋体" w:cs="宋体"/>
          <w:b/>
          <w:bCs/>
          <w:sz w:val="21"/>
          <w:szCs w:val="21"/>
        </w:rPr>
        <w:t xml:space="preserve">用于佐证“</w:t>
      </w:r>
      <w:r>
        <w:rPr>
          <w:rFonts w:hint="eastAsia" w:ascii="宋体" w:hAnsi="宋体" w:eastAsia="宋体" w:cs="宋体"/>
          <w:sz w:val="21"/>
          <w:szCs w:val="21"/>
        </w:rPr>
        <w:t xml:space="preserve">▲</w:t>
      </w:r>
      <w:r>
        <w:rPr>
          <w:rFonts w:hint="eastAsia" w:ascii="宋体" w:hAnsi="宋体" w:eastAsia="宋体" w:cs="宋体"/>
          <w:b/>
          <w:bCs/>
          <w:sz w:val="21"/>
          <w:szCs w:val="21"/>
        </w:rPr>
        <w:t xml:space="preserve">”的主要指标</w:t>
      </w:r>
      <w:r>
        <w:rPr>
          <w:rFonts w:hint="eastAsia" w:ascii="宋体" w:hAnsi="宋体" w:eastAsia="宋体" w:cs="宋体"/>
          <w:b/>
          <w:bCs/>
          <w:color w:val="000000"/>
          <w:sz w:val="21"/>
          <w:szCs w:val="21"/>
        </w:rPr>
        <w:t xml:space="preserve">。</w:t>
      </w:r>
      <w:r/>
    </w:p>
    <w:p>
      <w:pPr>
        <w:pStyle w:val="70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cs="宋体"/>
          <w:b/>
          <w:bCs/>
          <w:sz w:val="21"/>
          <w:szCs w:val="21"/>
          <w:lang w:val="en-US" w:eastAsia="zh-CN"/>
        </w:rPr>
        <w:t xml:space="preserve">3</w:t>
      </w:r>
      <w:r>
        <w:rPr>
          <w:rFonts w:hint="eastAsia" w:ascii="宋体" w:hAnsi="宋体" w:eastAsia="宋体" w:cs="宋体"/>
          <w:b/>
          <w:bCs/>
          <w:sz w:val="21"/>
          <w:szCs w:val="21"/>
        </w:rPr>
        <w:t xml:space="preserve">.14  三号工具                       300把</w:t>
      </w:r>
      <w:r/>
    </w:p>
    <w:p>
      <w:pPr>
        <w:ind w:firstLine="420"/>
        <w:keepLines w:val="0"/>
        <w:keepNext w:val="0"/>
        <w:pageBreakBefore w:val="0"/>
        <w:spacing w:line="360" w:lineRule="auto"/>
        <w:rPr>
          <w:rFonts w:hint="eastAsia" w:ascii="宋体" w:hAnsi="宋体" w:eastAsia="宋体" w:cs="宋体"/>
          <w:b w:val="0"/>
          <w:sz w:val="21"/>
          <w:szCs w:val="21"/>
        </w:rPr>
      </w:pPr>
      <w:r>
        <w:rPr>
          <w:rFonts w:hint="eastAsia" w:ascii="宋体" w:hAnsi="宋体" w:eastAsia="宋体" w:cs="宋体"/>
          <w:b w:val="0"/>
          <w:sz w:val="21"/>
          <w:szCs w:val="21"/>
        </w:rPr>
        <w:t xml:space="preserve">由金属手柄和金属条组成的扑火工具，是扑打地面火、树冠火的有效工具。</w:t>
      </w:r>
      <w:r/>
    </w:p>
    <w:p>
      <w:p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cs="宋体"/>
          <w:b/>
          <w:bCs/>
          <w:sz w:val="21"/>
          <w:szCs w:val="21"/>
          <w:lang w:val="en-US" w:eastAsia="zh-CN"/>
        </w:rPr>
        <w:t xml:space="preserve">3</w:t>
      </w:r>
      <w:r>
        <w:rPr>
          <w:rFonts w:hint="eastAsia" w:ascii="宋体" w:hAnsi="宋体" w:eastAsia="宋体" w:cs="宋体"/>
          <w:b/>
          <w:bCs/>
          <w:sz w:val="21"/>
          <w:szCs w:val="21"/>
        </w:rPr>
        <w:t xml:space="preserve">.15  便携帐篷                       100个</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防水性能强，重量轻巧方便携带；能对应冬季积雪和强风；自动防雨自动速开帐篷；颜色：数码迷彩色；外形支撑尺寸≥外帐200*200*130cm（长*宽*高）</w:t>
      </w:r>
      <w:r/>
    </w:p>
    <w:p>
      <w:pPr>
        <w:pStyle w:val="70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2"/>
        <w:keepLines w:val="0"/>
        <w:keepNext w:val="0"/>
        <w:pageBreakBefore w:val="0"/>
        <w:spacing w:line="360" w:lineRule="auto"/>
        <w:rPr>
          <w:rFonts w:hint="eastAsia" w:ascii="宋体" w:hAnsi="宋体" w:eastAsia="宋体" w:cs="宋体"/>
          <w:b/>
          <w:bCs/>
          <w:sz w:val="21"/>
          <w:szCs w:val="21"/>
        </w:rPr>
      </w:pPr>
      <w:r>
        <w:rPr>
          <w:rFonts w:hint="eastAsia" w:ascii="宋体" w:hAnsi="宋体" w:cs="宋体"/>
          <w:b/>
          <w:bCs/>
          <w:sz w:val="21"/>
          <w:szCs w:val="21"/>
          <w:lang w:val="en-US" w:eastAsia="zh-CN"/>
        </w:rPr>
        <w:t xml:space="preserve">3</w:t>
      </w:r>
      <w:r>
        <w:rPr>
          <w:rFonts w:hint="eastAsia" w:ascii="宋体" w:hAnsi="宋体" w:eastAsia="宋体" w:cs="宋体"/>
          <w:b/>
          <w:bCs/>
          <w:sz w:val="21"/>
          <w:szCs w:val="21"/>
        </w:rPr>
        <w:t xml:space="preserve">.16  羽绒睡袋                       100个</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颜色：数码迷彩色；长≥2m、宽≥0.9m；填充料:内填充优质羽绒；填充量：≥400g；重量≥2.0kg；户外面料:防水防绒处理；适合野外使用；舒适温度：－10℃~+8℃。</w:t>
      </w:r>
      <w:r/>
    </w:p>
    <w:p>
      <w:pPr>
        <w:pStyle w:val="700"/>
      </w:pPr>
      <w:r/>
      <w:r/>
    </w:p>
    <w:p>
      <w:pPr>
        <w:ind w:firstLine="48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四</w:t>
      </w:r>
      <w:r>
        <w:rPr>
          <w:rFonts w:hint="eastAsia" w:ascii="宋体" w:hAnsi="宋体" w:cs="宋体"/>
          <w:b/>
          <w:bCs/>
          <w:color w:val="000000" w:themeColor="text1"/>
          <w:szCs w:val="21"/>
          <w:highlight w:val="none"/>
          <w:lang w:val="zh-CN"/>
          <w14:textFill>
            <w14:solidFill>
              <w14:schemeClr w14:val="tx1"/>
            </w14:solidFill>
          </w14:textFill>
        </w:rPr>
        <w:t xml:space="preserve">、商务部分要求</w:t>
      </w:r>
      <w:r/>
    </w:p>
    <w:p>
      <w:pPr>
        <w:ind w:firstLine="48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（一）外包装</w:t>
      </w:r>
      <w:r/>
    </w:p>
    <w:p>
      <w:pPr>
        <w:ind w:firstLine="480"/>
        <w:spacing w:line="360" w:lineRule="auto"/>
        <w:rPr>
          <w:rFonts w:ascii="宋体" w:hAnsi="宋体" w:cs="宋体"/>
          <w:b w:val="0"/>
          <w:bCs w:val="0"/>
          <w:color w:val="000000" w:themeColor="text1"/>
          <w:szCs w:val="21"/>
          <w:highlight w:val="none"/>
          <w:lang w:val="zh-CN"/>
          <w14:textFill>
            <w14:solidFill>
              <w14:schemeClr w14:val="tx1"/>
            </w14:solidFill>
          </w14:textFill>
        </w:rPr>
      </w:pPr>
      <w:r>
        <w:rPr>
          <w:rFonts w:hint="eastAsia" w:ascii="宋体" w:hAnsi="宋体" w:cs="宋体"/>
          <w:b w:val="0"/>
          <w:bCs w:val="0"/>
          <w:color w:val="000000" w:themeColor="text1"/>
          <w:szCs w:val="21"/>
          <w:highlight w:val="none"/>
          <w:lang w:val="zh-CN"/>
          <w14:textFill>
            <w14:solidFill>
              <w14:schemeClr w14:val="tx1"/>
            </w14:solidFill>
          </w14:textFill>
        </w:rPr>
        <w:t xml:space="preserve">1、标志</w:t>
      </w:r>
      <w:r/>
    </w:p>
    <w:p>
      <w:pPr>
        <w:ind w:firstLine="480"/>
        <w:spacing w:line="360" w:lineRule="auto"/>
        <w:rPr>
          <w:rFonts w:hint="eastAsia" w:ascii="宋体" w:hAnsi="宋体" w:eastAsia="宋体" w:cs="宋体"/>
          <w:b w:val="0"/>
          <w:bCs w:val="0"/>
          <w:color w:val="ff0000"/>
          <w:szCs w:val="21"/>
          <w:highlight w:val="none"/>
          <w:lang w:val="en-US" w:eastAsia="zh-CN"/>
        </w:rPr>
      </w:pPr>
      <w:r>
        <w:rPr>
          <w:rFonts w:hint="eastAsia" w:ascii="宋体" w:hAnsi="宋体" w:cs="宋体"/>
          <w:b w:val="0"/>
          <w:bCs w:val="0"/>
          <w:color w:val="000000" w:themeColor="text1"/>
          <w:szCs w:val="21"/>
          <w:highlight w:val="none"/>
          <w:lang w:val="zh-CN"/>
          <w14:textFill>
            <w14:solidFill>
              <w14:schemeClr w14:val="tx1"/>
            </w14:solidFill>
          </w14:textFill>
        </w:rPr>
        <w:t xml:space="preserve">供货时单品外包装需印刷物资产品名称、规格</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型号</w:t>
      </w:r>
      <w:r>
        <w:rPr>
          <w:rFonts w:hint="eastAsia" w:ascii="宋体" w:hAnsi="宋体" w:cs="宋体"/>
          <w:b w:val="0"/>
          <w:bCs w:val="0"/>
          <w:color w:val="000000" w:themeColor="text1"/>
          <w:szCs w:val="21"/>
          <w:highlight w:val="none"/>
          <w:lang w:val="zh-CN"/>
          <w14:textFill>
            <w14:solidFill>
              <w14:schemeClr w14:val="tx1"/>
            </w14:solidFill>
          </w14:textFill>
        </w:rPr>
        <w:t xml:space="preserve">、生产批号及日期、建议储备年限、</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生产企业</w:t>
      </w:r>
      <w:r>
        <w:rPr>
          <w:rFonts w:hint="eastAsia" w:ascii="宋体" w:hAnsi="宋体" w:cs="宋体"/>
          <w:b w:val="0"/>
          <w:bCs w:val="0"/>
          <w:color w:val="000000" w:themeColor="text1"/>
          <w:szCs w:val="21"/>
          <w:highlight w:val="none"/>
          <w:lang w:val="zh-CN"/>
          <w14:textFill>
            <w14:solidFill>
              <w14:schemeClr w14:val="tx1"/>
            </w14:solidFill>
          </w14:textFill>
        </w:rPr>
        <w:t xml:space="preserve">名称</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等。</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2、包装</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val="0"/>
          <w:bCs w:val="0"/>
          <w:color w:val="000000" w:themeColor="text1"/>
          <w:szCs w:val="21"/>
          <w:highlight w:val="none"/>
          <w:lang w:val="zh-CN"/>
          <w14:textFill>
            <w14:solidFill>
              <w14:schemeClr w14:val="tx1"/>
            </w14:solidFill>
          </w14:textFill>
        </w:rPr>
        <w:t xml:space="preserve">所有物资必须统一入袋/入箱，</w:t>
      </w:r>
      <w:r>
        <w:rPr>
          <w:rFonts w:hint="eastAsia" w:ascii="宋体" w:hAnsi="宋体" w:cs="宋体"/>
          <w:color w:val="000000" w:themeColor="text1"/>
          <w:szCs w:val="21"/>
          <w:highlight w:val="none"/>
          <w:lang w:val="zh-CN"/>
          <w14:textFill>
            <w14:solidFill>
              <w14:schemeClr w14:val="tx1"/>
            </w14:solidFill>
          </w14:textFill>
        </w:rPr>
        <w:t xml:space="preserve">包装材料应防潮、防水、防老化、结实可靠。</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3、贮存</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物资</w:t>
      </w:r>
      <w:r>
        <w:rPr>
          <w:rFonts w:hint="eastAsia" w:ascii="宋体" w:hAnsi="宋体" w:cs="宋体"/>
          <w:color w:val="000000" w:themeColor="text1"/>
          <w:szCs w:val="21"/>
          <w:highlight w:val="none"/>
          <w:lang w:val="zh-CN"/>
          <w14:textFill>
            <w14:solidFill>
              <w14:schemeClr w14:val="tx1"/>
            </w14:solidFill>
          </w14:textFill>
        </w:rPr>
        <w:t xml:space="preserve">贮存中严禁露天存放，应防止雨淋、日晒、油污、重压。</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eastAsia="宋体" w:cs="宋体"/>
          <w:sz w:val="21"/>
          <w:szCs w:val="21"/>
        </w:rPr>
        <w:t xml:space="preserve">★</w:t>
      </w:r>
      <w:r>
        <w:rPr>
          <w:rFonts w:hint="eastAsia" w:ascii="宋体" w:hAnsi="宋体" w:cs="宋体"/>
          <w:b/>
          <w:color w:val="000000" w:themeColor="text1"/>
          <w:szCs w:val="21"/>
          <w:highlight w:val="none"/>
          <w:lang w:val="zh-CN"/>
          <w14:textFill>
            <w14:solidFill>
              <w14:schemeClr w14:val="tx1"/>
            </w14:solidFill>
          </w14:textFill>
        </w:rPr>
        <w:t xml:space="preserve">（二）货物要求</w:t>
      </w:r>
      <w:r/>
    </w:p>
    <w:p>
      <w:pPr>
        <w:ind w:firstLine="480"/>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、货物应能确保在正常的使用过程中安全、可靠并符合国家</w:t>
      </w:r>
      <w:r>
        <w:rPr>
          <w:rFonts w:hint="eastAsia" w:ascii="宋体" w:hAnsi="宋体" w:cs="宋体"/>
          <w:color w:val="000000" w:themeColor="text1"/>
          <w:szCs w:val="21"/>
          <w:highlight w:val="none"/>
          <w:lang w:val="en-US" w:eastAsia="zh-CN"/>
          <w14:textFill>
            <w14:solidFill>
              <w14:schemeClr w14:val="tx1"/>
            </w14:solidFill>
          </w14:textFill>
        </w:rPr>
        <w:t xml:space="preserve">或行业</w:t>
      </w:r>
      <w:r>
        <w:rPr>
          <w:rFonts w:hint="eastAsia" w:ascii="宋体" w:hAnsi="宋体" w:cs="宋体"/>
          <w:color w:val="000000" w:themeColor="text1"/>
          <w:szCs w:val="21"/>
          <w:highlight w:val="none"/>
          <w:lang w:val="zh-CN"/>
          <w14:textFill>
            <w14:solidFill>
              <w14:schemeClr w14:val="tx1"/>
            </w14:solidFill>
          </w14:textFill>
        </w:rPr>
        <w:t xml:space="preserve">颁布的质量、技术、安全等标准。</w:t>
      </w:r>
      <w:r>
        <w:rPr>
          <w:rFonts w:hint="eastAsia" w:ascii="宋体" w:hAnsi="宋体" w:cs="宋体"/>
          <w:b w:val="0"/>
          <w:bCs w:val="0"/>
          <w:color w:val="000000" w:themeColor="text1"/>
          <w:szCs w:val="21"/>
          <w:highlight w:val="none"/>
          <w:lang w:val="zh-CN"/>
          <w14:textFill>
            <w14:solidFill>
              <w14:schemeClr w14:val="tx1"/>
            </w14:solidFill>
          </w14:textFill>
        </w:rPr>
        <w:t xml:space="preserve">如有最新规范、标准颁布的，均按最新规范、标准执行。</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、所提供货物应是全新的、未使用过的、原包装未拆封的，各项技术质量必须符合国家</w:t>
      </w:r>
      <w:r>
        <w:rPr>
          <w:rFonts w:hint="eastAsia" w:ascii="宋体" w:hAnsi="宋体" w:cs="宋体"/>
          <w:color w:val="000000" w:themeColor="text1"/>
          <w:szCs w:val="21"/>
          <w:highlight w:val="none"/>
          <w:lang w:val="en-US" w:eastAsia="zh-CN"/>
          <w14:textFill>
            <w14:solidFill>
              <w14:schemeClr w14:val="tx1"/>
            </w14:solidFill>
          </w14:textFill>
        </w:rPr>
        <w:t xml:space="preserve">或行业</w:t>
      </w:r>
      <w:r>
        <w:rPr>
          <w:rFonts w:hint="eastAsia" w:ascii="宋体" w:hAnsi="宋体" w:cs="宋体"/>
          <w:color w:val="000000" w:themeColor="text1"/>
          <w:szCs w:val="21"/>
          <w:highlight w:val="none"/>
          <w:lang w:val="zh-CN"/>
          <w14:textFill>
            <w14:solidFill>
              <w14:schemeClr w14:val="tx1"/>
            </w14:solidFill>
          </w14:textFill>
        </w:rPr>
        <w:t xml:space="preserve">相关标准，非标准设备按招标约定的技术要求和规范。如质量出现问题，中标方负责“三包”，费用由中标人负责。</w:t>
      </w:r>
      <w:r/>
    </w:p>
    <w:p>
      <w:pPr>
        <w:ind w:firstLine="48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、中标人在交货时，须提供满足招标人验收要求的证明材料，否则招标人有权拒绝接收产品。</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、本次采购的供货范围，除包括上述货物外，还应包括货物使用所必需的配件。</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w:t>
      </w:r>
      <w:r>
        <w:rPr>
          <w:rFonts w:hint="eastAsia" w:ascii="宋体" w:hAnsi="宋体" w:cs="宋体"/>
          <w:b/>
          <w:color w:val="000000" w:themeColor="text1"/>
          <w:szCs w:val="21"/>
          <w:highlight w:val="none"/>
          <w:lang w:val="en-US" w:eastAsia="zh-CN"/>
          <w14:textFill>
            <w14:solidFill>
              <w14:schemeClr w14:val="tx1"/>
            </w14:solidFill>
          </w14:textFill>
        </w:rPr>
        <w:t xml:space="preserve">三</w:t>
      </w:r>
      <w:r>
        <w:rPr>
          <w:rFonts w:hint="eastAsia" w:ascii="宋体" w:hAnsi="宋体" w:cs="宋体"/>
          <w:b/>
          <w:color w:val="000000" w:themeColor="text1"/>
          <w:szCs w:val="21"/>
          <w:highlight w:val="none"/>
          <w:lang w:val="zh-CN"/>
          <w14:textFill>
            <w14:solidFill>
              <w14:schemeClr w14:val="tx1"/>
            </w14:solidFill>
          </w14:textFill>
        </w:rPr>
        <w:t xml:space="preserve">）报价要求</w:t>
      </w:r>
      <w:r/>
    </w:p>
    <w:p>
      <w:pPr>
        <w:ind w:firstLine="48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投标报价应包括本次招标范围内全部设备、材料、随设备提供的备品配件及专用工具的价格、全部税、包装费、运杂费（运抵采购人</w:t>
      </w:r>
      <w:r>
        <w:rPr>
          <w:rFonts w:hint="eastAsia" w:ascii="宋体" w:hAnsi="宋体" w:cs="宋体"/>
          <w:color w:val="000000" w:themeColor="text1"/>
          <w:szCs w:val="21"/>
          <w:highlight w:val="none"/>
          <w:lang w:val="en-US" w:eastAsia="zh-CN"/>
          <w14:textFill>
            <w14:solidFill>
              <w14:schemeClr w14:val="tx1"/>
            </w14:solidFill>
          </w14:textFill>
        </w:rPr>
        <w:t xml:space="preserve">指定</w:t>
      </w:r>
      <w:r>
        <w:rPr>
          <w:rFonts w:hint="eastAsia" w:ascii="宋体" w:hAnsi="宋体" w:eastAsia="宋体" w:cs="宋体"/>
          <w:color w:val="000000" w:themeColor="text1"/>
          <w:szCs w:val="21"/>
          <w:highlight w:val="none"/>
          <w14:textFill>
            <w14:solidFill>
              <w14:schemeClr w14:val="tx1"/>
            </w14:solidFill>
          </w14:textFill>
        </w:rPr>
        <w:t xml:space="preserve">现场）、保险费、安装费、调试费、采购人操作维护人员培训费、验收检</w:t>
      </w:r>
      <w:r>
        <w:rPr>
          <w:rFonts w:hint="eastAsia" w:ascii="宋体" w:hAnsi="宋体" w:cs="宋体"/>
          <w:color w:val="000000" w:themeColor="text1"/>
          <w:szCs w:val="21"/>
          <w:highlight w:val="none"/>
          <w:lang w:val="en-US" w:eastAsia="zh-CN"/>
          <w14:textFill>
            <w14:solidFill>
              <w14:schemeClr w14:val="tx1"/>
            </w14:solidFill>
          </w14:textFill>
        </w:rPr>
        <w:t xml:space="preserve">测</w:t>
      </w:r>
      <w:r>
        <w:rPr>
          <w:rFonts w:hint="eastAsia" w:ascii="宋体" w:hAnsi="宋体" w:eastAsia="宋体" w:cs="宋体"/>
          <w:color w:val="000000" w:themeColor="text1"/>
          <w:szCs w:val="21"/>
          <w:highlight w:val="none"/>
          <w14:textFill>
            <w14:solidFill>
              <w14:schemeClr w14:val="tx1"/>
            </w14:solidFill>
          </w14:textFill>
        </w:rPr>
        <w:t xml:space="preserve">费及投标人认为需要的其他费用等。</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w:t>
      </w:r>
      <w:r>
        <w:rPr>
          <w:rFonts w:hint="eastAsia" w:ascii="宋体" w:hAnsi="宋体" w:cs="宋体"/>
          <w:b/>
          <w:color w:val="000000" w:themeColor="text1"/>
          <w:szCs w:val="21"/>
          <w:highlight w:val="none"/>
          <w:lang w:val="en-US" w:eastAsia="zh-CN"/>
          <w14:textFill>
            <w14:solidFill>
              <w14:schemeClr w14:val="tx1"/>
            </w14:solidFill>
          </w14:textFill>
        </w:rPr>
        <w:t xml:space="preserve">四</w:t>
      </w:r>
      <w:r>
        <w:rPr>
          <w:rFonts w:hint="eastAsia" w:ascii="宋体" w:hAnsi="宋体" w:cs="宋体"/>
          <w:b/>
          <w:color w:val="000000" w:themeColor="text1"/>
          <w:szCs w:val="21"/>
          <w:highlight w:val="none"/>
          <w:lang w:val="zh-CN"/>
          <w14:textFill>
            <w14:solidFill>
              <w14:schemeClr w14:val="tx1"/>
            </w14:solidFill>
          </w14:textFill>
        </w:rPr>
        <w:t xml:space="preserve">）包装和装运</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1、包装必须与运输方式相适应，包装方式具体由中标人负责并结合招标人相关要求确定；由于不适当的包装而造成货物在运输过程中有任何损坏由中标人负责。</w:t>
      </w:r>
      <w:r/>
    </w:p>
    <w:p>
      <w:pPr>
        <w:ind w:firstLine="480"/>
        <w:spacing w:line="360" w:lineRule="auto"/>
        <w:rPr>
          <w:rFonts w:ascii="宋体" w:hAnsi="宋体" w:cs="宋体"/>
          <w:color w:val="ff0000"/>
          <w:szCs w:val="21"/>
          <w:highlight w:val="none"/>
          <w:lang w:val="zh-CN"/>
        </w:rPr>
      </w:pPr>
      <w:r>
        <w:rPr>
          <w:rFonts w:hint="eastAsia" w:ascii="宋体" w:hAnsi="宋体" w:cs="宋体"/>
          <w:color w:val="ff0000"/>
          <w:szCs w:val="21"/>
          <w:highlight w:val="none"/>
          <w:lang w:val="zh-CN"/>
        </w:rPr>
        <w:t xml:space="preserve">2、包装应足以承受整个过程中的运输、转运、装卸、储存等。</w:t>
      </w:r>
      <w:r>
        <w:rPr>
          <w:rFonts w:hint="eastAsia" w:ascii="宋体" w:hAnsi="宋体" w:cs="宋体"/>
          <w:color w:val="ff0000"/>
          <w:szCs w:val="21"/>
          <w:highlight w:val="none"/>
          <w:lang w:val="en-US" w:eastAsia="zh-CN"/>
        </w:rPr>
        <w:t xml:space="preserve">应急保障要</w:t>
      </w:r>
      <w:r>
        <w:rPr>
          <w:rFonts w:hint="eastAsia" w:ascii="宋体" w:hAnsi="宋体" w:cs="宋体"/>
          <w:color w:val="ff0000"/>
          <w:szCs w:val="21"/>
          <w:highlight w:val="none"/>
          <w:lang w:val="zh-CN"/>
        </w:rPr>
        <w:t xml:space="preserve">充分考虑到运输途中的各种情况（如暴露于恶劣气候等）和江苏地区的气候特点，</w:t>
      </w:r>
      <w:r>
        <w:rPr>
          <w:rFonts w:hint="eastAsia" w:ascii="宋体" w:hAnsi="宋体" w:cs="宋体"/>
          <w:color w:val="ff0000"/>
          <w:szCs w:val="21"/>
          <w:highlight w:val="none"/>
          <w:lang w:val="en-US" w:eastAsia="zh-CN"/>
        </w:rPr>
        <w:t xml:space="preserve">以及采购人临时需加急送达指定地点等</w:t>
      </w:r>
      <w:r>
        <w:rPr>
          <w:rFonts w:hint="eastAsia" w:ascii="宋体" w:hAnsi="宋体" w:cs="宋体"/>
          <w:color w:val="ff0000"/>
          <w:szCs w:val="21"/>
          <w:highlight w:val="none"/>
          <w:lang w:val="zh-CN"/>
        </w:rPr>
        <w:t xml:space="preserve">。</w:t>
      </w:r>
      <w:r/>
    </w:p>
    <w:p>
      <w:pPr>
        <w:ind w:firstLine="420"/>
        <w:spacing w:line="320" w:lineRule="exact"/>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eastAsia="宋体" w:cs="宋体"/>
          <w:bCs/>
          <w:sz w:val="21"/>
          <w:szCs w:val="21"/>
        </w:rPr>
        <w:t xml:space="preserve">★</w:t>
      </w:r>
      <w:r>
        <w:rPr>
          <w:rFonts w:hint="eastAsia" w:ascii="宋体" w:hAnsi="宋体" w:cs="宋体"/>
          <w:b/>
          <w:color w:val="000000" w:themeColor="text1"/>
          <w:szCs w:val="21"/>
          <w:highlight w:val="none"/>
          <w:lang w:val="zh-CN"/>
          <w14:textFill>
            <w14:solidFill>
              <w14:schemeClr w14:val="tx1"/>
            </w14:solidFill>
          </w14:textFill>
        </w:rPr>
        <w:t xml:space="preserve">（</w:t>
      </w:r>
      <w:r>
        <w:rPr>
          <w:rFonts w:hint="eastAsia" w:ascii="宋体" w:hAnsi="宋体" w:cs="宋体"/>
          <w:b/>
          <w:color w:val="000000" w:themeColor="text1"/>
          <w:szCs w:val="21"/>
          <w:highlight w:val="none"/>
          <w:lang w:val="en-US" w:eastAsia="zh-CN"/>
          <w14:textFill>
            <w14:solidFill>
              <w14:schemeClr w14:val="tx1"/>
            </w14:solidFill>
          </w14:textFill>
        </w:rPr>
        <w:t xml:space="preserve">五</w:t>
      </w:r>
      <w:r>
        <w:rPr>
          <w:rFonts w:hint="eastAsia" w:ascii="宋体" w:hAnsi="宋体" w:cs="宋体"/>
          <w:b/>
          <w:color w:val="000000" w:themeColor="text1"/>
          <w:szCs w:val="21"/>
          <w:highlight w:val="none"/>
          <w:lang w:val="zh-CN"/>
          <w14:textFill>
            <w14:solidFill>
              <w14:schemeClr w14:val="tx1"/>
            </w14:solidFill>
          </w14:textFill>
        </w:rPr>
        <w:t xml:space="preserve">）交货时间</w:t>
      </w:r>
      <w:r>
        <w:rPr>
          <w:rFonts w:hint="eastAsia" w:ascii="宋体" w:hAnsi="宋体" w:cs="宋体"/>
          <w:b/>
          <w:color w:val="000000" w:themeColor="text1"/>
          <w:szCs w:val="21"/>
          <w:highlight w:val="none"/>
          <w:lang w:val="en-US" w:eastAsia="zh-CN"/>
          <w14:textFill>
            <w14:solidFill>
              <w14:schemeClr w14:val="tx1"/>
            </w14:solidFill>
          </w14:textFill>
        </w:rPr>
        <w:t xml:space="preserve">及验收要求</w:t>
      </w:r>
      <w:r>
        <w:rPr>
          <w:rFonts w:hint="eastAsia" w:ascii="宋体" w:hAnsi="宋体" w:cs="宋体"/>
          <w:b/>
          <w:color w:val="000000" w:themeColor="text1"/>
          <w:szCs w:val="21"/>
          <w:highlight w:val="none"/>
          <w:lang w:val="zh-CN"/>
          <w14:textFill>
            <w14:solidFill>
              <w14:schemeClr w14:val="tx1"/>
            </w14:solidFill>
          </w14:textFill>
        </w:rPr>
        <w:t xml:space="preserve">：</w:t>
      </w:r>
      <w:r/>
    </w:p>
    <w:p>
      <w:pPr>
        <w:ind w:firstLine="420"/>
        <w:spacing w:line="320" w:lineRule="exact"/>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首次交付与初步验收</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中标供应商应于合同签订后30天内将所有货物一次性运抵采购人指定的地址。采购人对货物的数量、规格型号、配置、</w:t>
      </w:r>
      <w:r>
        <w:rPr>
          <w:rFonts w:hint="eastAsia" w:ascii="宋体" w:hAnsi="宋体" w:cs="宋体"/>
          <w:bCs/>
          <w:sz w:val="21"/>
          <w:szCs w:val="21"/>
          <w:lang w:val="en-US" w:eastAsia="zh-CN"/>
        </w:rPr>
        <w:t xml:space="preserve">合格证、第三方检测报告等</w:t>
      </w:r>
      <w:r>
        <w:rPr>
          <w:rFonts w:hint="eastAsia" w:ascii="宋体" w:hAnsi="宋体" w:eastAsia="宋体" w:cs="宋体"/>
          <w:bCs/>
          <w:sz w:val="21"/>
          <w:szCs w:val="21"/>
        </w:rPr>
        <w:t xml:space="preserve">相关资料进行初步验收，采购人有权在验收时对“★”为重点指标进行现场测试或抽样核验。如发现实际交付产品与招标文件、投标文件或合同约定不一致，中标供应商应按采购人要求及时完成整改、更换或补充，整改完成后重新验收，再次验收不合格的物资采购人有权退回并处以合同价款的5%的罚金；</w:t>
      </w:r>
      <w:r/>
    </w:p>
    <w:p>
      <w:pPr>
        <w:ind w:firstLine="420"/>
        <w:keepLines w:val="0"/>
        <w:keepNext w:val="0"/>
        <w:pageBreakBefore w:val="0"/>
        <w:spacing w:line="360" w:lineRule="auto"/>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rPr>
        <w:t xml:space="preserve">2</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二次分送与</w:t>
      </w:r>
      <w:r>
        <w:rPr>
          <w:rFonts w:hint="eastAsia" w:ascii="宋体" w:hAnsi="宋体" w:cs="宋体"/>
          <w:bCs/>
          <w:sz w:val="21"/>
          <w:szCs w:val="21"/>
          <w:lang w:val="en-US" w:eastAsia="zh-CN"/>
        </w:rPr>
        <w:t xml:space="preserve">交货</w:t>
      </w:r>
      <w:r>
        <w:rPr>
          <w:rFonts w:hint="eastAsia" w:ascii="宋体" w:hAnsi="宋体" w:eastAsia="宋体" w:cs="宋体"/>
          <w:bCs/>
          <w:sz w:val="21"/>
          <w:szCs w:val="21"/>
        </w:rPr>
        <w:t xml:space="preserve">验收</w:t>
      </w:r>
      <w:r/>
    </w:p>
    <w:p>
      <w:pPr>
        <w:ind w:firstLine="482"/>
        <w:keepLines w:val="0"/>
        <w:keepNext w:val="0"/>
        <w:pageBreakBefore w:val="0"/>
        <w:spacing w:line="360" w:lineRule="auto"/>
        <w:widowControl w:val="off"/>
        <w:rPr>
          <w:rFonts w:ascii="宋体" w:hAnsi="宋体" w:cs="宋体"/>
          <w:b/>
          <w:color w:val="0000ff"/>
          <w:szCs w:val="21"/>
          <w:highlight w:val="none"/>
          <w:lang w:val="zh-CN"/>
        </w:rPr>
      </w:pPr>
      <w:r>
        <w:rPr>
          <w:rFonts w:hint="eastAsia" w:ascii="宋体" w:hAnsi="宋体" w:eastAsia="宋体" w:cs="宋体"/>
          <w:bCs/>
          <w:sz w:val="21"/>
          <w:szCs w:val="21"/>
        </w:rPr>
        <w:t xml:space="preserve">初步验收合格后，中标供应商应根据采购人提供的省内最终用户清单（不少于20个最终交付点），在7个工作日内将货物安全、完好地分送至各指定地点安装调试完毕；货物到达各最终地点后，中标供应商和采购人（或采购人授权使用单位）双方共同进行</w:t>
      </w:r>
      <w:r>
        <w:rPr>
          <w:rFonts w:hint="eastAsia" w:ascii="宋体" w:hAnsi="宋体" w:cs="宋体"/>
          <w:bCs/>
          <w:sz w:val="21"/>
          <w:szCs w:val="21"/>
          <w:lang w:val="en-US" w:eastAsia="zh-CN"/>
        </w:rPr>
        <w:t xml:space="preserve">交货</w:t>
      </w:r>
      <w:r>
        <w:rPr>
          <w:rFonts w:hint="eastAsia" w:ascii="宋体" w:hAnsi="宋体" w:eastAsia="宋体" w:cs="宋体"/>
          <w:bCs/>
          <w:sz w:val="21"/>
          <w:szCs w:val="21"/>
        </w:rPr>
        <w:t xml:space="preserve">验收，验收内容主要包括货物数量、规格型号等。</w:t>
      </w:r>
      <w:r/>
    </w:p>
    <w:p>
      <w:pPr>
        <w:numPr>
          <w:ilvl w:val="0"/>
          <w:numId w:val="8"/>
        </w:numPr>
        <w:ind w:left="-62" w:firstLine="482"/>
        <w:spacing w:line="360" w:lineRule="auto"/>
        <w:rPr>
          <w:rFonts w:ascii="宋体" w:hAnsi="宋体" w:cs="宋体"/>
          <w:b/>
          <w:bCs w:val="0"/>
          <w:color w:val="000000" w:themeColor="text1"/>
          <w:szCs w:val="21"/>
          <w:highlight w:val="none"/>
          <w:lang w:val="zh-CN"/>
          <w14:textFill>
            <w14:solidFill>
              <w14:schemeClr w14:val="tx1"/>
            </w14:solidFill>
          </w14:textFill>
        </w:rPr>
      </w:pPr>
      <w:r>
        <w:rPr>
          <w:rFonts w:hint="eastAsia" w:ascii="宋体" w:hAnsi="宋体" w:cs="宋体"/>
          <w:b/>
          <w:bCs w:val="0"/>
          <w:color w:val="000000" w:themeColor="text1"/>
          <w:szCs w:val="21"/>
          <w:highlight w:val="none"/>
          <w:lang w:val="zh-CN"/>
          <w14:textFill>
            <w14:solidFill>
              <w14:schemeClr w14:val="tx1"/>
            </w14:solidFill>
          </w14:textFill>
        </w:rPr>
        <w:t xml:space="preserve">仓储要求：</w:t>
      </w:r>
      <w:r/>
    </w:p>
    <w:p>
      <w:pPr>
        <w:numPr>
          <w:ilvl w:val="0"/>
          <w:numId w:val="0"/>
        </w:numPr>
        <w:ind w:firstLine="420"/>
        <w:spacing w:line="360" w:lineRule="auto"/>
        <w:rPr>
          <w:rFonts w:ascii="宋体" w:hAnsi="宋体" w:cs="宋体"/>
          <w:b w:val="0"/>
          <w:bCs/>
          <w:color w:val="000000" w:themeColor="text1"/>
          <w:szCs w:val="21"/>
          <w:highlight w:val="none"/>
          <w:lang w:val="zh-CN"/>
          <w14:textFill>
            <w14:solidFill>
              <w14:schemeClr w14:val="tx1"/>
            </w14:solidFill>
          </w14:textFill>
        </w:rPr>
      </w:pPr>
      <w:r>
        <w:rPr>
          <w:rFonts w:hint="eastAsia" w:ascii="宋体" w:hAnsi="宋体" w:cs="宋体"/>
          <w:b w:val="0"/>
          <w:bCs/>
          <w:color w:val="000000" w:themeColor="text1"/>
          <w:szCs w:val="21"/>
          <w:highlight w:val="none"/>
          <w:lang w:val="zh-CN"/>
          <w14:textFill>
            <w14:solidFill>
              <w14:schemeClr w14:val="tx1"/>
            </w14:solidFill>
          </w14:textFill>
        </w:rPr>
        <w:t xml:space="preserve">生产完成后，根据招标人要求交付至江苏省内指定存储地点。所产生的运输、装卸等费用由投标人自行承担，并包含在投标报价中，招标人不再另行支付。</w:t>
      </w:r>
      <w:r/>
    </w:p>
    <w:p>
      <w:pPr>
        <w:numPr>
          <w:ilvl w:val="0"/>
          <w:numId w:val="0"/>
        </w:numPr>
        <w:ind w:firstLine="21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eastAsia="宋体" w:cs="宋体"/>
          <w:bCs/>
          <w:sz w:val="21"/>
          <w:szCs w:val="21"/>
        </w:rPr>
        <w:t xml:space="preserve">★</w:t>
      </w:r>
      <w:r>
        <w:rPr>
          <w:rFonts w:hint="eastAsia" w:ascii="宋体" w:hAnsi="宋体" w:cs="宋体"/>
          <w:b/>
          <w:color w:val="000000" w:themeColor="text1"/>
          <w:szCs w:val="21"/>
          <w:highlight w:val="none"/>
          <w:lang w:val="zh-CN"/>
          <w14:textFill>
            <w14:solidFill>
              <w14:schemeClr w14:val="tx1"/>
            </w14:solidFill>
          </w14:textFill>
        </w:rPr>
        <w:t xml:space="preserve">（</w:t>
      </w:r>
      <w:r>
        <w:rPr>
          <w:rFonts w:hint="eastAsia" w:ascii="宋体" w:hAnsi="宋体" w:cs="宋体"/>
          <w:b/>
          <w:color w:val="000000" w:themeColor="text1"/>
          <w:szCs w:val="21"/>
          <w:highlight w:val="none"/>
          <w:lang w:val="en-US" w:eastAsia="zh-CN"/>
          <w14:textFill>
            <w14:solidFill>
              <w14:schemeClr w14:val="tx1"/>
            </w14:solidFill>
          </w14:textFill>
        </w:rPr>
        <w:t xml:space="preserve">七</w:t>
      </w:r>
      <w:r>
        <w:rPr>
          <w:rFonts w:hint="eastAsia" w:ascii="宋体" w:hAnsi="宋体" w:cs="宋体"/>
          <w:b/>
          <w:color w:val="000000" w:themeColor="text1"/>
          <w:szCs w:val="21"/>
          <w:highlight w:val="none"/>
          <w:lang w:val="zh-CN"/>
          <w14:textFill>
            <w14:solidFill>
              <w14:schemeClr w14:val="tx1"/>
            </w14:solidFill>
          </w14:textFill>
        </w:rPr>
        <w:t xml:space="preserve">）交货地点：</w:t>
      </w:r>
      <w:r>
        <w:rPr>
          <w:rFonts w:hint="eastAsia" w:ascii="宋体" w:hAnsi="宋体" w:cs="宋体"/>
          <w:color w:val="000000" w:themeColor="text1"/>
          <w:szCs w:val="21"/>
          <w:highlight w:val="none"/>
          <w:lang w:val="zh-CN"/>
          <w14:textFill>
            <w14:solidFill>
              <w14:schemeClr w14:val="tx1"/>
            </w14:solidFill>
          </w14:textFill>
        </w:rPr>
        <w:t xml:space="preserve">按招标人指定存储地点（江苏省内）。</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eastAsia="宋体" w:cs="宋体"/>
          <w:bCs/>
          <w:color w:val="ff0000"/>
          <w:sz w:val="21"/>
          <w:szCs w:val="21"/>
        </w:rPr>
        <w:t xml:space="preserve">★</w:t>
      </w:r>
      <w:r>
        <w:rPr>
          <w:rFonts w:hint="eastAsia" w:ascii="宋体" w:hAnsi="宋体" w:cs="宋体"/>
          <w:b/>
          <w:color w:val="000000" w:themeColor="text1"/>
          <w:szCs w:val="21"/>
          <w:highlight w:val="none"/>
          <w:lang w:val="zh-CN"/>
          <w14:textFill>
            <w14:solidFill>
              <w14:schemeClr w14:val="tx1"/>
            </w14:solidFill>
          </w14:textFill>
        </w:rPr>
        <w:t xml:space="preserve">（</w:t>
      </w:r>
      <w:r>
        <w:rPr>
          <w:rFonts w:hint="eastAsia" w:ascii="宋体" w:hAnsi="宋体" w:cs="宋体"/>
          <w:b/>
          <w:color w:val="000000" w:themeColor="text1"/>
          <w:szCs w:val="21"/>
          <w:highlight w:val="none"/>
          <w:lang w:val="en-US" w:eastAsia="zh-CN"/>
          <w14:textFill>
            <w14:solidFill>
              <w14:schemeClr w14:val="tx1"/>
            </w14:solidFill>
          </w14:textFill>
        </w:rPr>
        <w:t xml:space="preserve">八</w:t>
      </w:r>
      <w:r>
        <w:rPr>
          <w:rFonts w:hint="eastAsia" w:ascii="宋体" w:hAnsi="宋体" w:cs="宋体"/>
          <w:b/>
          <w:color w:val="000000" w:themeColor="text1"/>
          <w:szCs w:val="21"/>
          <w:highlight w:val="none"/>
          <w:lang w:val="zh-CN"/>
          <w14:textFill>
            <w14:solidFill>
              <w14:schemeClr w14:val="tx1"/>
            </w14:solidFill>
          </w14:textFill>
        </w:rPr>
        <w:t xml:space="preserve">）安装、检验与质量保证</w:t>
      </w:r>
      <w:r/>
    </w:p>
    <w:p>
      <w:pPr>
        <w:ind w:firstLine="48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1、安装、调试与培训</w:t>
      </w:r>
      <w:r/>
    </w:p>
    <w:p>
      <w:pPr>
        <w:ind w:firstLine="482"/>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1.1如有需要安装的货物，</w:t>
      </w:r>
      <w:r>
        <w:rPr>
          <w:rFonts w:hint="eastAsia" w:ascii="宋体" w:hAnsi="宋体" w:eastAsia="宋体" w:cs="宋体"/>
          <w:color w:val="000000" w:themeColor="text1"/>
          <w:szCs w:val="21"/>
          <w:highlight w:val="none"/>
          <w:lang w:val="zh-CN"/>
          <w14:textFill>
            <w14:solidFill>
              <w14:schemeClr w14:val="tx1"/>
            </w14:solidFill>
          </w14:textFill>
        </w:rPr>
        <w:t xml:space="preserve">中标供应商负责在所有最终交付点完成设备的安装与调试，确保设备正常运行。同时，中标供应商需在每个交付点为采购人操作人员提供不少于2小时的现场操作培训，培训内容涵盖操作流程、日常维护及故障排除，直至操作人员能独立操作。</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1.2中标人应负责现场安装人员的安全管理并提供安装中全部所需的工具。</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2、验收依据</w:t>
      </w:r>
      <w:r/>
    </w:p>
    <w:p>
      <w:pPr>
        <w:ind w:firstLine="48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2.1针对</w:t>
      </w:r>
      <w:r>
        <w:rPr>
          <w:rFonts w:hint="eastAsia" w:ascii="宋体" w:hAnsi="宋体" w:cs="宋体"/>
          <w:b/>
          <w:bCs/>
          <w:color w:val="000000" w:themeColor="text1"/>
          <w:szCs w:val="21"/>
          <w:highlight w:val="none"/>
          <w:lang w:val="en-US" w:eastAsia="zh-CN"/>
          <w14:textFill>
            <w14:solidFill>
              <w14:schemeClr w14:val="tx1"/>
            </w14:solidFill>
          </w14:textFill>
        </w:rPr>
        <w:t xml:space="preserve">中标</w:t>
      </w:r>
      <w:r>
        <w:rPr>
          <w:rFonts w:hint="eastAsia" w:ascii="宋体" w:hAnsi="宋体" w:cs="宋体"/>
          <w:b/>
          <w:bCs/>
          <w:color w:val="000000" w:themeColor="text1"/>
          <w:szCs w:val="21"/>
          <w:highlight w:val="none"/>
          <w:lang w:val="zh-CN"/>
          <w14:textFill>
            <w14:solidFill>
              <w14:schemeClr w14:val="tx1"/>
            </w14:solidFill>
          </w14:textFill>
        </w:rPr>
        <w:t xml:space="preserve">产品招标人</w:t>
      </w:r>
      <w:r>
        <w:rPr>
          <w:rFonts w:hint="eastAsia" w:ascii="宋体" w:hAnsi="宋体" w:cs="宋体"/>
          <w:b/>
          <w:bCs/>
          <w:color w:val="000000" w:themeColor="text1"/>
          <w:szCs w:val="21"/>
          <w:highlight w:val="none"/>
          <w:lang w:val="en-US" w:eastAsia="zh-CN"/>
          <w14:textFill>
            <w14:solidFill>
              <w14:schemeClr w14:val="tx1"/>
            </w14:solidFill>
          </w14:textFill>
        </w:rPr>
        <w:t xml:space="preserve">有权</w:t>
      </w:r>
      <w:r>
        <w:rPr>
          <w:rFonts w:hint="eastAsia" w:ascii="宋体" w:hAnsi="宋体" w:cs="宋体"/>
          <w:b/>
          <w:bCs/>
          <w:color w:val="000000" w:themeColor="text1"/>
          <w:szCs w:val="21"/>
          <w:highlight w:val="none"/>
          <w:lang w:val="zh-CN"/>
          <w14:textFill>
            <w14:solidFill>
              <w14:schemeClr w14:val="tx1"/>
            </w14:solidFill>
          </w14:textFill>
        </w:rPr>
        <w:t xml:space="preserve">指定检测机构对投标人中标货物在生产期间所使用的原材料以及生产完成后的成品进行检测，并根据检测结果作为验收的依据，如检测不合格则不予验收，并要求投标人限期整改直至合格。</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2.2招标文件、中标人的投标文件、双方签订的合同文件及其附件。</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中国政府颁布的相关国家标准和行业标准</w:t>
      </w:r>
      <w:r>
        <w:rPr>
          <w:rFonts w:hint="eastAsia" w:ascii="宋体" w:hAnsi="宋体" w:cs="宋体"/>
          <w:color w:val="000000" w:themeColor="text1"/>
          <w:szCs w:val="21"/>
          <w:highlight w:val="none"/>
          <w14:textFill>
            <w14:solidFill>
              <w14:schemeClr w14:val="tx1"/>
            </w14:solidFill>
          </w14:textFill>
        </w:rPr>
        <w:t xml:space="preserve">,若国家、地方或行业对上述标准有更新版或已废止，以最新版本或最新要求为准；检测项表述可略有差异，反映相同内容即可。</w:t>
      </w:r>
      <w:r/>
    </w:p>
    <w:p>
      <w:pPr>
        <w:ind w:firstLine="480"/>
        <w:spacing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3、涉及非投标人本厂生产的产品，需在交货时提供原厂对本批次产品的厂方质保文件，如不能提供，招标人将不予验收。</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、质量保证</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1中标人保证合同货物是全新的，配件为原装的，完全符合国家有关质量标准和合同规定的质量、规格和性能的要求，并有货物“合格证”或“产品质量保证书”，严禁提供假冒伪劣货物，一经发现，招标人有权解除本合同，且因此而产生的一切费用和责任由中标人承担。</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.2 履行中标人在其投标文件中的服务承诺。</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.3若货物验收时货物质量不能满足要求，招标人有权要求更换，同时有权提出索赔，所产生的一切费用（含所有检验费用）由中标人承担。</w:t>
      </w:r>
      <w:r/>
    </w:p>
    <w:p>
      <w:pPr>
        <w:ind w:firstLine="482"/>
        <w:spacing w:line="360" w:lineRule="auto"/>
        <w:rPr>
          <w:rFonts w:hint="eastAsia" w:ascii="宋体" w:hAnsi="宋体" w:eastAsia="宋体" w:cs="宋体"/>
          <w:b/>
          <w:color w:val="000000" w:themeColor="text1"/>
          <w:szCs w:val="21"/>
          <w:highlight w:val="none"/>
          <w:lang w:val="zh-CN"/>
          <w14:textFill>
            <w14:solidFill>
              <w14:schemeClr w14:val="tx1"/>
            </w14:solidFill>
          </w14:textFill>
        </w:rPr>
      </w:pPr>
      <w:r>
        <w:rPr>
          <w:rFonts w:hint="eastAsia" w:ascii="宋体" w:hAnsi="宋体" w:eastAsia="宋体" w:cs="宋体"/>
          <w:bCs/>
          <w:sz w:val="21"/>
          <w:szCs w:val="21"/>
        </w:rPr>
        <w:t xml:space="preserve">★</w:t>
      </w:r>
      <w:r>
        <w:rPr>
          <w:rFonts w:hint="eastAsia" w:ascii="宋体" w:hAnsi="宋体" w:eastAsia="宋体" w:cs="宋体"/>
          <w:b/>
          <w:color w:val="000000" w:themeColor="text1"/>
          <w:szCs w:val="21"/>
          <w:highlight w:val="none"/>
          <w:lang w:val="zh-CN"/>
          <w14:textFill>
            <w14:solidFill>
              <w14:schemeClr w14:val="tx1"/>
            </w14:solidFill>
          </w14:textFill>
        </w:rPr>
        <w:t xml:space="preserve">（</w:t>
      </w:r>
      <w:r>
        <w:rPr>
          <w:rFonts w:hint="eastAsia" w:ascii="宋体" w:hAnsi="宋体" w:cs="宋体"/>
          <w:b/>
          <w:color w:val="000000" w:themeColor="text1"/>
          <w:szCs w:val="21"/>
          <w:highlight w:val="none"/>
          <w:lang w:val="en-US" w:eastAsia="zh-CN"/>
          <w14:textFill>
            <w14:solidFill>
              <w14:schemeClr w14:val="tx1"/>
            </w14:solidFill>
          </w14:textFill>
        </w:rPr>
        <w:t xml:space="preserve">九</w:t>
      </w:r>
      <w:r>
        <w:rPr>
          <w:rFonts w:hint="eastAsia" w:ascii="宋体" w:hAnsi="宋体" w:eastAsia="宋体" w:cs="宋体"/>
          <w:b/>
          <w:color w:val="000000" w:themeColor="text1"/>
          <w:szCs w:val="21"/>
          <w:highlight w:val="none"/>
          <w:lang w:val="zh-CN"/>
          <w14:textFill>
            <w14:solidFill>
              <w14:schemeClr w14:val="tx1"/>
            </w14:solidFill>
          </w14:textFill>
        </w:rPr>
        <w:t xml:space="preserve">）质量保证期及售后服务</w:t>
      </w:r>
      <w:r/>
    </w:p>
    <w:p>
      <w:pPr>
        <w:ind w:firstLine="48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所供设备、材料及安装的质量保证期为2年，自通过最终验收合格之日起算。（质保期限按采购文件及中标供应商投标承诺执行。）</w:t>
      </w:r>
      <w:r/>
    </w:p>
    <w:p>
      <w:pPr>
        <w:ind w:firstLine="48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质保期内，中标供应商应按照采购文件及投标承诺提供免费维修、维护及相关售后服务。设备发生故障或采购人提出服务需求后，中标供应商应在规定时间内响应，并及时完成维修或故障处理。</w:t>
      </w:r>
      <w:r/>
    </w:p>
    <w:p>
      <w:pPr>
        <w:ind w:firstLine="48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中标供应商未按约定提供质保或售后服务的，采购人有权要求其限期整改；逾期仍未履行的，采购人可委托第三方进行维修或处理，因此产生的合理费用及损失由中标供应商承担。</w:t>
      </w:r>
      <w:r/>
    </w:p>
    <w:p>
      <w:pPr>
        <w:ind w:firstLine="48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因中标供应商原因未履行或未按约定履行质保及售后服务义务的，视为违约。采购人有权按照合同约定追究其违约责任；情节严重的，依法依规处理。</w:t>
      </w:r>
      <w:r/>
    </w:p>
    <w:p>
      <w:pPr>
        <w:ind w:firstLine="48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在质保期内，因中标供应商所供设备、材料制造质量或安装问题出现设备故障时，中标供应商在接采购人通知后，2小时内响应，并在5小时内赶到采购人现场，免费予以排除故障、修复或更换零部件。还应支付因更换所发生的运输、保险、安装、检测等有关的全部费用。</w:t>
      </w:r>
      <w:r/>
    </w:p>
    <w:p>
      <w:pPr>
        <w:ind w:firstLine="48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在质保期内，因采购人使用不当原因出现设备故障时，中标供应商在接采购人通知后，应在上述条款中所述的时限内赶到采购人现场，帮助排除故障、修复或更换零部件，需购买零部件时，酌情收取成本费。</w:t>
      </w:r>
      <w:r/>
    </w:p>
    <w:p>
      <w:pPr>
        <w:ind w:firstLine="48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质保期满后，如设备出现故障，中标供应商在接采购人通知后，仍应在上述时间内响应、派人赶到采购人现场，帮助排除故障、修复或更换零部件，需购买零部件时，酌情收取成本费。</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eastAsia="宋体" w:cs="宋体"/>
          <w:bCs/>
          <w:sz w:val="21"/>
          <w:szCs w:val="21"/>
        </w:rPr>
        <w:t xml:space="preserve">★</w:t>
      </w:r>
      <w:r>
        <w:rPr>
          <w:rFonts w:hint="eastAsia" w:ascii="宋体" w:hAnsi="宋体" w:cs="宋体"/>
          <w:b/>
          <w:color w:val="000000" w:themeColor="text1"/>
          <w:szCs w:val="21"/>
          <w:highlight w:val="none"/>
          <w:lang w:val="zh-CN"/>
          <w14:textFill>
            <w14:solidFill>
              <w14:schemeClr w14:val="tx1"/>
            </w14:solidFill>
          </w14:textFill>
        </w:rPr>
        <w:t xml:space="preserve">（十）履约保证金</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见合同条款</w:t>
      </w:r>
      <w:r>
        <w:rPr>
          <w:rFonts w:hint="eastAsia" w:ascii="宋体" w:hAnsi="宋体" w:cs="宋体"/>
          <w:bCs/>
          <w:color w:val="000000" w:themeColor="text1"/>
          <w:szCs w:val="21"/>
          <w:highlight w:val="none"/>
          <w:lang w:val="zh-CN"/>
          <w14:textFill>
            <w14:solidFill>
              <w14:schemeClr w14:val="tx1"/>
            </w14:solidFill>
          </w14:textFill>
        </w:rPr>
        <w:t xml:space="preserve">。</w:t>
      </w:r>
      <w:r/>
    </w:p>
    <w:p>
      <w:pPr>
        <w:numPr>
          <w:ilvl w:val="0"/>
          <w:numId w:val="0"/>
        </w:numPr>
        <w:ind w:firstLine="472"/>
        <w:spacing w:line="360" w:lineRule="auto"/>
        <w:shd w:val="clear" w:color="auto" w:fill="ffffff"/>
        <w:widowControl/>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eastAsia="宋体" w:cs="宋体"/>
          <w:bCs/>
          <w:sz w:val="21"/>
          <w:szCs w:val="21"/>
        </w:rPr>
        <w:t xml:space="preserve">★</w:t>
      </w:r>
      <w:r>
        <w:rPr>
          <w:rFonts w:hint="eastAsia" w:ascii="宋体" w:hAnsi="宋体" w:eastAsia="宋体" w:cs="宋体"/>
          <w:b/>
          <w:bCs/>
          <w:color w:val="000000" w:themeColor="text1"/>
          <w:sz w:val="21"/>
          <w:szCs w:val="21"/>
          <w:lang w:val="zh-CN" w:eastAsia="zh-CN" w:bidi="ar-SA"/>
          <w14:textFill>
            <w14:solidFill>
              <w14:schemeClr w14:val="tx1"/>
            </w14:solidFill>
          </w14:textFill>
        </w:rPr>
        <w:t xml:space="preserve">（十</w:t>
      </w:r>
      <w:r>
        <w:rPr>
          <w:rFonts w:hint="eastAsia" w:ascii="宋体" w:hAnsi="宋体" w:cs="宋体"/>
          <w:b/>
          <w:bCs/>
          <w:color w:val="000000" w:themeColor="text1"/>
          <w:sz w:val="21"/>
          <w:szCs w:val="21"/>
          <w:lang w:val="en-US" w:eastAsia="zh-CN" w:bidi="ar-SA"/>
          <w14:textFill>
            <w14:solidFill>
              <w14:schemeClr w14:val="tx1"/>
            </w14:solidFill>
          </w14:textFill>
        </w:rPr>
        <w:t xml:space="preserve">一</w:t>
      </w:r>
      <w:r>
        <w:rPr>
          <w:rFonts w:hint="eastAsia" w:ascii="宋体" w:hAnsi="宋体" w:eastAsia="宋体" w:cs="宋体"/>
          <w:b/>
          <w:bCs/>
          <w:color w:val="000000" w:themeColor="text1"/>
          <w:sz w:val="21"/>
          <w:szCs w:val="21"/>
          <w:lang w:val="zh-CN" w:eastAsia="zh-CN" w:bidi="ar-SA"/>
          <w14:textFill>
            <w14:solidFill>
              <w14:schemeClr w14:val="tx1"/>
            </w14:solidFill>
          </w14:textFill>
        </w:rPr>
        <w:t xml:space="preserve">）</w:t>
      </w:r>
      <w:r>
        <w:rPr>
          <w:rFonts w:hint="eastAsia" w:ascii="宋体" w:hAnsi="宋体" w:cs="宋体"/>
          <w:b/>
          <w:bCs/>
          <w:color w:val="000000" w:themeColor="text1"/>
          <w:szCs w:val="21"/>
          <w:highlight w:val="none"/>
          <w:lang w:val="zh-CN"/>
          <w14:textFill>
            <w14:solidFill>
              <w14:schemeClr w14:val="tx1"/>
            </w14:solidFill>
          </w14:textFill>
        </w:rPr>
        <w:t xml:space="preserve">付款方式</w:t>
      </w:r>
      <w:r/>
    </w:p>
    <w:p>
      <w:pPr>
        <w:ind w:firstLine="480"/>
        <w:jc w:val="left"/>
        <w:spacing w:line="440" w:lineRule="exact"/>
        <w:widowControl/>
      </w:pPr>
      <w:r>
        <w:rPr>
          <w:rFonts w:hint="eastAsia" w:ascii="宋体" w:hAnsi="宋体" w:eastAsia="宋体" w:cs="宋体"/>
          <w:color w:val="auto"/>
          <w:szCs w:val="21"/>
        </w:rPr>
        <w:t xml:space="preserve">合同签订且货物送达采购人指定地点，通过</w:t>
      </w:r>
      <w:r>
        <w:rPr>
          <w:rFonts w:hint="eastAsia" w:ascii="宋体" w:hAnsi="宋体" w:cs="宋体"/>
          <w:color w:val="auto"/>
          <w:szCs w:val="21"/>
          <w:lang w:val="en-US" w:eastAsia="zh-CN"/>
        </w:rPr>
        <w:t xml:space="preserve">交货</w:t>
      </w:r>
      <w:r>
        <w:rPr>
          <w:rFonts w:hint="eastAsia" w:ascii="宋体" w:hAnsi="宋体" w:eastAsia="宋体" w:cs="宋体"/>
          <w:color w:val="auto"/>
          <w:szCs w:val="21"/>
        </w:rPr>
        <w:t xml:space="preserve">验收后30日内，采购人支付合同全部货款给中标</w:t>
      </w:r>
      <w:r>
        <w:rPr>
          <w:rFonts w:hint="eastAsia" w:ascii="宋体" w:hAnsi="宋体" w:eastAsia="宋体" w:cs="宋体"/>
          <w:color w:val="auto"/>
          <w:szCs w:val="21"/>
          <w:lang w:val="en-US" w:eastAsia="zh-CN"/>
        </w:rPr>
        <w:t xml:space="preserve">人</w:t>
      </w:r>
      <w:r>
        <w:rPr>
          <w:rFonts w:hint="eastAsia" w:ascii="宋体" w:hAnsi="宋体" w:eastAsia="宋体" w:cs="宋体"/>
          <w:color w:val="auto"/>
          <w:szCs w:val="21"/>
        </w:rPr>
        <w:t xml:space="preserve">。</w:t>
      </w:r>
      <w:r/>
    </w:p>
    <w:p>
      <w:pPr>
        <w:ind w:firstLine="472"/>
        <w:spacing w:line="360" w:lineRule="auto"/>
        <w:shd w:val="clear" w:color="auto" w:fill="ffffff"/>
        <w:widowControl/>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Cs w:val="21"/>
          <w:highlight w:val="none"/>
          <w:lang w:val="zh-CN" w:eastAsia="zh-CN"/>
          <w14:textFill>
            <w14:solidFill>
              <w14:schemeClr w14:val="tx1"/>
            </w14:solidFill>
          </w14:textFill>
        </w:rPr>
        <w:t xml:space="preserve">（</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十</w:t>
      </w:r>
      <w:r>
        <w:rPr>
          <w:rFonts w:hint="eastAsia" w:ascii="宋体" w:hAnsi="宋体" w:cs="宋体"/>
          <w:b/>
          <w:bCs/>
          <w:color w:val="000000" w:themeColor="text1"/>
          <w:szCs w:val="21"/>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Cs w:val="21"/>
          <w:highlight w:val="none"/>
          <w:lang w:val="zh-CN" w:eastAsia="zh-CN"/>
          <w14:textFill>
            <w14:solidFill>
              <w14:schemeClr w14:val="tx1"/>
            </w14:solidFill>
          </w14:textFill>
        </w:rPr>
        <w:t xml:space="preserve">）</w:t>
      </w:r>
      <w:r>
        <w:rPr>
          <w:rFonts w:hint="eastAsia" w:ascii="宋体" w:hAnsi="宋体" w:eastAsia="宋体" w:cs="宋体"/>
          <w:b/>
          <w:bCs/>
          <w:color w:val="000000" w:themeColor="text1"/>
          <w:szCs w:val="21"/>
          <w:highlight w:val="none"/>
          <w:lang w:val="zh-CN"/>
          <w14:textFill>
            <w14:solidFill>
              <w14:schemeClr w14:val="tx1"/>
            </w14:solidFill>
          </w14:textFill>
        </w:rPr>
        <w:t xml:space="preserve">风险与费用划分</w:t>
      </w:r>
      <w:r/>
    </w:p>
    <w:p>
      <w:pPr>
        <w:ind w:firstLine="473"/>
        <w:spacing w:line="360" w:lineRule="auto"/>
        <w:shd w:val="clear" w:color="auto" w:fill="ffffff"/>
        <w:widowControl/>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b w:val="0"/>
          <w:bCs/>
          <w:sz w:val="21"/>
          <w:szCs w:val="21"/>
        </w:rPr>
        <w:t xml:space="preserve">   自首次交付至各最终点完成</w:t>
      </w:r>
      <w:r>
        <w:rPr>
          <w:rFonts w:hint="eastAsia" w:ascii="宋体" w:hAnsi="宋体" w:cs="宋体"/>
          <w:b w:val="0"/>
          <w:bCs/>
          <w:sz w:val="21"/>
          <w:szCs w:val="21"/>
          <w:lang w:val="en-US" w:eastAsia="zh-CN"/>
        </w:rPr>
        <w:t xml:space="preserve">交货</w:t>
      </w:r>
      <w:r>
        <w:rPr>
          <w:rFonts w:hint="eastAsia" w:ascii="宋体" w:hAnsi="宋体" w:eastAsia="宋体" w:cs="宋体"/>
          <w:b w:val="0"/>
          <w:bCs/>
          <w:sz w:val="21"/>
          <w:szCs w:val="21"/>
        </w:rPr>
        <w:t xml:space="preserve">验收前，货物的毁损、丢失风险及二次运输、安装、调试、培训所产生的一切费用，均由中标供应商承担。</w:t>
      </w:r>
      <w:r/>
    </w:p>
    <w:p>
      <w:pPr>
        <w:ind w:firstLine="241"/>
        <w:spacing w:line="360" w:lineRule="auto"/>
        <w:shd w:val="clear" w:color="auto" w:fill="ffffff"/>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  备注：</w:t>
      </w:r>
      <w:r/>
    </w:p>
    <w:p>
      <w:pPr>
        <w:ind w:firstLine="482"/>
        <w:spacing w:line="360" w:lineRule="auto"/>
        <w:shd w:val="clear" w:color="auto" w:fill="ffffff"/>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1、本章</w:t>
      </w:r>
      <w:r>
        <w:rPr>
          <w:rFonts w:hint="eastAsia" w:ascii="宋体" w:hAnsi="宋体" w:eastAsia="宋体" w:cs="宋体"/>
          <w:bCs/>
          <w:sz w:val="21"/>
          <w:szCs w:val="21"/>
        </w:rPr>
        <w:t xml:space="preserve">“★”</w:t>
      </w:r>
      <w:r>
        <w:rPr>
          <w:rFonts w:hint="eastAsia" w:ascii="宋体" w:hAnsi="宋体" w:cs="宋体"/>
          <w:b/>
          <w:bCs/>
          <w:color w:val="000000" w:themeColor="text1"/>
          <w:szCs w:val="21"/>
          <w:highlight w:val="none"/>
          <w:lang w:val="zh-CN"/>
          <w14:textFill>
            <w14:solidFill>
              <w14:schemeClr w14:val="tx1"/>
            </w14:solidFill>
          </w14:textFill>
        </w:rPr>
        <w:t xml:space="preserve">为实质性要求，</w:t>
      </w:r>
      <w:r>
        <w:rPr>
          <w:rFonts w:hint="eastAsia" w:ascii="宋体" w:hAnsi="宋体" w:cs="宋体"/>
          <w:b/>
          <w:bCs/>
          <w:color w:val="auto"/>
          <w:szCs w:val="21"/>
          <w:highlight w:val="none"/>
          <w:lang w:val="en-US" w:eastAsia="zh-CN"/>
        </w:rPr>
        <w:t xml:space="preserve">应在《商务偏离表》或《技术偏离表》中进行逐条响应，招标文件要求提供相关证明材料的还须提供证明材料。</w:t>
      </w:r>
      <w:r>
        <w:rPr>
          <w:rFonts w:hint="eastAsia" w:ascii="宋体" w:hAnsi="宋体" w:cs="宋体"/>
          <w:b/>
          <w:bCs/>
          <w:color w:val="000000" w:themeColor="text1"/>
          <w:szCs w:val="21"/>
          <w:highlight w:val="none"/>
          <w:lang w:val="zh-CN"/>
          <w14:textFill>
            <w14:solidFill>
              <w14:schemeClr w14:val="tx1"/>
            </w14:solidFill>
          </w14:textFill>
        </w:rPr>
        <w:t xml:space="preserve">不允许负偏离，否则作为无效投标。</w:t>
      </w:r>
      <w:r/>
    </w:p>
    <w:p>
      <w:pPr>
        <w:ind w:firstLine="482"/>
        <w:spacing w:line="360" w:lineRule="auto"/>
        <w:shd w:val="clear" w:color="auto" w:fill="ffffff"/>
        <w:rPr>
          <w:rFonts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2</w:t>
      </w:r>
      <w:r>
        <w:rPr>
          <w:rFonts w:hint="eastAsia" w:ascii="宋体" w:hAnsi="宋体" w:cs="宋体"/>
          <w:b/>
          <w:bCs/>
          <w:color w:val="000000" w:themeColor="text1"/>
          <w:szCs w:val="21"/>
          <w:highlight w:val="none"/>
          <w:lang w:val="zh-CN"/>
          <w14:textFill>
            <w14:solidFill>
              <w14:schemeClr w14:val="tx1"/>
            </w14:solidFill>
          </w14:textFill>
        </w:rPr>
        <w:t xml:space="preserve">、如有疑问请与代理机构或者招标人联系。</w:t>
      </w:r>
      <w:bookmarkEnd w:id="60"/>
      <w:bookmarkEnd w:id="64"/>
      <w:r/>
    </w:p>
    <w:p>
      <w:pPr>
        <w:ind w:firstLine="42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jc w:val="center"/>
        <w:spacing w:line="360" w:lineRule="auto"/>
        <w:rPr>
          <w:b/>
          <w:bCs/>
          <w:color w:val="000000" w:themeColor="text1"/>
          <w:sz w:val="28"/>
          <w:szCs w:val="28"/>
          <w:highlight w:val="none"/>
          <w14:textFill>
            <w14:solidFill>
              <w14:schemeClr w14:val="tx1"/>
            </w14:solidFill>
          </w14:textFill>
        </w:rPr>
        <w:outlineLvl w:val="0"/>
      </w:pPr>
      <w:r/>
      <w:bookmarkStart w:id="68" w:name="_Toc22501"/>
      <w:r>
        <w:rPr>
          <w:b/>
          <w:bCs/>
          <w:color w:val="000000" w:themeColor="text1"/>
          <w:sz w:val="28"/>
          <w:szCs w:val="28"/>
          <w:highlight w:val="none"/>
          <w14:textFill>
            <w14:solidFill>
              <w14:schemeClr w14:val="tx1"/>
            </w14:solidFill>
          </w14:textFill>
        </w:rPr>
        <w:br w:type="page" w:clear="all"/>
      </w:r>
      <w:bookmarkStart w:id="69" w:name="_Toc30661"/>
      <w:r/>
      <w:bookmarkStart w:id="70" w:name="_Toc17096"/>
      <w:r>
        <w:rPr>
          <w:rFonts w:hint="eastAsia"/>
          <w:b/>
          <w:bCs/>
          <w:color w:val="000000" w:themeColor="text1"/>
          <w:sz w:val="28"/>
          <w:szCs w:val="28"/>
          <w:highlight w:val="none"/>
          <w14:textFill>
            <w14:solidFill>
              <w14:schemeClr w14:val="tx1"/>
            </w14:solidFill>
          </w14:textFill>
        </w:rPr>
        <w:t xml:space="preserve">第五章  投标文件格式</w:t>
      </w:r>
      <w:bookmarkEnd w:id="68"/>
      <w:r/>
      <w:bookmarkEnd w:id="69"/>
      <w:r/>
      <w:bookmarkEnd w:id="70"/>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center"/>
        <w:spacing w:line="360" w:lineRule="auto"/>
        <w:rPr>
          <w:rFonts w:hint="eastAsia" w:ascii="黑体" w:eastAsia="黑体"/>
          <w:color w:val="000000" w:themeColor="text1"/>
          <w:sz w:val="44"/>
          <w:szCs w:val="44"/>
          <w:highlight w:val="none"/>
          <w:lang w:eastAsia="zh-CN"/>
          <w14:textFill>
            <w14:solidFill>
              <w14:schemeClr w14:val="tx1"/>
            </w14:solidFill>
          </w14:textFill>
        </w:rPr>
      </w:pPr>
      <w:r>
        <w:rPr>
          <w:rFonts w:hint="eastAsia" w:ascii="黑体" w:eastAsia="黑体"/>
          <w:color w:val="000000" w:themeColor="text1"/>
          <w:sz w:val="44"/>
          <w:szCs w:val="44"/>
          <w:highlight w:val="none"/>
          <w:lang w:eastAsia="zh-CN"/>
          <w14:textFill>
            <w14:solidFill>
              <w14:schemeClr w14:val="tx1"/>
            </w14:solidFill>
          </w14:textFill>
        </w:rPr>
        <w:t xml:space="preserve">江苏省林业局江苏省林业局2026年度森林防火物资</w:t>
      </w:r>
      <w:r>
        <w:rPr>
          <w:rFonts w:hint="eastAsia" w:ascii="黑体" w:eastAsia="黑体"/>
          <w:color w:val="000000" w:themeColor="text1"/>
          <w:sz w:val="44"/>
          <w:szCs w:val="44"/>
          <w:highlight w:val="none"/>
          <w:lang w:val="en-US" w:eastAsia="zh-CN"/>
          <w14:textFill>
            <w14:solidFill>
              <w14:schemeClr w14:val="tx1"/>
            </w14:solidFill>
          </w14:textFill>
        </w:rPr>
        <w:t xml:space="preserve">装</w:t>
      </w:r>
      <w:r>
        <w:rPr>
          <w:rFonts w:hint="eastAsia" w:ascii="黑体" w:eastAsia="黑体"/>
          <w:color w:val="000000" w:themeColor="text1"/>
          <w:sz w:val="44"/>
          <w:szCs w:val="44"/>
          <w:highlight w:val="none"/>
          <w:lang w:eastAsia="zh-CN"/>
          <w14:textFill>
            <w14:solidFill>
              <w14:schemeClr w14:val="tx1"/>
            </w14:solidFill>
          </w14:textFill>
        </w:rPr>
        <w:t xml:space="preserve">备</w:t>
      </w:r>
      <w:r/>
    </w:p>
    <w:p>
      <w:pPr>
        <w:pStyle w:val="688"/>
        <w:rPr>
          <w:rFonts w:hint="eastAsia"/>
          <w:lang w:eastAsia="zh-CN"/>
        </w:rPr>
      </w:pPr>
      <w:r>
        <w:rPr>
          <w:rFonts w:hint="eastAsia"/>
          <w:lang w:eastAsia="zh-CN"/>
        </w:rPr>
      </w:r>
      <w:r/>
    </w:p>
    <w:p>
      <w:pPr>
        <w:jc w:val="center"/>
        <w:spacing w:line="360" w:lineRule="auto"/>
        <w:rPr>
          <w:rFonts w:ascii="黑体" w:eastAsia="黑体"/>
          <w:color w:val="000000" w:themeColor="text1"/>
          <w:sz w:val="84"/>
          <w:szCs w:val="84"/>
          <w:highlight w:val="none"/>
          <w14:textFill>
            <w14:solidFill>
              <w14:schemeClr w14:val="tx1"/>
            </w14:solidFill>
          </w14:textFill>
        </w:rPr>
      </w:pPr>
      <w:r>
        <w:rPr>
          <w:rFonts w:hint="eastAsia" w:ascii="黑体" w:eastAsia="黑体"/>
          <w:color w:val="000000" w:themeColor="text1"/>
          <w:sz w:val="84"/>
          <w:szCs w:val="84"/>
          <w:highlight w:val="none"/>
          <w14:textFill>
            <w14:solidFill>
              <w14:schemeClr w14:val="tx1"/>
            </w14:solidFill>
          </w14:textFill>
        </w:rPr>
        <w:t xml:space="preserve">投</w:t>
      </w:r>
      <w:r>
        <w:rPr>
          <w:rFonts w:ascii="黑体" w:eastAsia="黑体"/>
          <w:color w:val="000000" w:themeColor="text1"/>
          <w:sz w:val="84"/>
          <w:szCs w:val="84"/>
          <w:highlight w:val="none"/>
          <w14:textFill>
            <w14:solidFill>
              <w14:schemeClr w14:val="tx1"/>
            </w14:solidFill>
          </w14:textFill>
        </w:rPr>
        <w:t xml:space="preserve"> </w:t>
      </w:r>
      <w:r>
        <w:rPr>
          <w:rFonts w:hint="eastAsia" w:ascii="黑体" w:eastAsia="黑体"/>
          <w:color w:val="000000" w:themeColor="text1"/>
          <w:sz w:val="84"/>
          <w:szCs w:val="84"/>
          <w:highlight w:val="none"/>
          <w14:textFill>
            <w14:solidFill>
              <w14:schemeClr w14:val="tx1"/>
            </w14:solidFill>
          </w14:textFill>
        </w:rPr>
        <w:t xml:space="preserve">标</w:t>
      </w:r>
      <w:r>
        <w:rPr>
          <w:rFonts w:ascii="黑体" w:eastAsia="黑体"/>
          <w:color w:val="000000" w:themeColor="text1"/>
          <w:sz w:val="84"/>
          <w:szCs w:val="84"/>
          <w:highlight w:val="none"/>
          <w14:textFill>
            <w14:solidFill>
              <w14:schemeClr w14:val="tx1"/>
            </w14:solidFill>
          </w14:textFill>
        </w:rPr>
        <w:t xml:space="preserve"> </w:t>
      </w:r>
      <w:r>
        <w:rPr>
          <w:rFonts w:hint="eastAsia" w:ascii="黑体" w:eastAsia="黑体"/>
          <w:color w:val="000000" w:themeColor="text1"/>
          <w:sz w:val="84"/>
          <w:szCs w:val="84"/>
          <w:highlight w:val="none"/>
          <w14:textFill>
            <w14:solidFill>
              <w14:schemeClr w14:val="tx1"/>
            </w14:solidFill>
          </w14:textFill>
        </w:rPr>
        <w:t xml:space="preserve">文</w:t>
      </w:r>
      <w:r>
        <w:rPr>
          <w:rFonts w:ascii="黑体" w:eastAsia="黑体"/>
          <w:color w:val="000000" w:themeColor="text1"/>
          <w:sz w:val="84"/>
          <w:szCs w:val="84"/>
          <w:highlight w:val="none"/>
          <w14:textFill>
            <w14:solidFill>
              <w14:schemeClr w14:val="tx1"/>
            </w14:solidFill>
          </w14:textFill>
        </w:rPr>
        <w:t xml:space="preserve"> </w:t>
      </w:r>
      <w:r>
        <w:rPr>
          <w:rFonts w:hint="eastAsia" w:ascii="黑体" w:eastAsia="黑体"/>
          <w:color w:val="000000" w:themeColor="text1"/>
          <w:sz w:val="84"/>
          <w:szCs w:val="84"/>
          <w:highlight w:val="none"/>
          <w14:textFill>
            <w14:solidFill>
              <w14:schemeClr w14:val="tx1"/>
            </w14:solidFill>
          </w14:textFill>
        </w:rPr>
        <w:t xml:space="preserve">件</w:t>
      </w:r>
      <w:r/>
    </w:p>
    <w:p>
      <w:pPr>
        <w:ind w:firstLine="720"/>
        <w:spacing w:line="360" w:lineRule="auto"/>
        <w:rPr>
          <w:rFonts w:ascii="黑体" w:eastAsia="黑体"/>
          <w:color w:val="000000" w:themeColor="text1"/>
          <w:sz w:val="36"/>
          <w:szCs w:val="36"/>
          <w:highlight w:val="none"/>
          <w14:textFill>
            <w14:solidFill>
              <w14:schemeClr w14:val="tx1"/>
            </w14:solidFill>
          </w14:textFill>
        </w:rPr>
      </w:pPr>
      <w:r>
        <w:rPr>
          <w:rFonts w:ascii="黑体" w:eastAsia="黑体"/>
          <w:color w:val="000000" w:themeColor="text1"/>
          <w:sz w:val="36"/>
          <w:szCs w:val="36"/>
          <w:highlight w:val="none"/>
          <w14:textFill>
            <w14:solidFill>
              <w14:schemeClr w14:val="tx1"/>
            </w14:solidFill>
          </w14:textFill>
        </w:rPr>
      </w:r>
      <w:r/>
    </w:p>
    <w:p>
      <w:pPr>
        <w:jc w:val="center"/>
        <w:spacing w:line="360" w:lineRule="auto"/>
        <w:rPr>
          <w:rFonts w:hint="default" w:ascii="黑体" w:eastAsia="黑体"/>
          <w:color w:val="000000" w:themeColor="text1"/>
          <w:sz w:val="36"/>
          <w:szCs w:val="36"/>
          <w:highlight w:val="none"/>
          <w:u w:val="single"/>
          <w:lang w:val="en-US" w:eastAsia="zh-CN"/>
          <w14:textFill>
            <w14:solidFill>
              <w14:schemeClr w14:val="tx1"/>
            </w14:solidFill>
          </w14:textFill>
        </w:rPr>
      </w:pPr>
      <w:r>
        <w:rPr>
          <w:rFonts w:hint="eastAsia" w:ascii="黑体" w:eastAsia="黑体"/>
          <w:color w:val="000000" w:themeColor="text1"/>
          <w:sz w:val="36"/>
          <w:szCs w:val="36"/>
          <w:highlight w:val="none"/>
          <w14:textFill>
            <w14:solidFill>
              <w14:schemeClr w14:val="tx1"/>
            </w14:solidFill>
          </w14:textFill>
        </w:rPr>
        <w:t xml:space="preserve">分包X：</w:t>
      </w:r>
      <w:r>
        <w:rPr>
          <w:rFonts w:hint="eastAsia" w:ascii="黑体" w:eastAsia="黑体"/>
          <w:color w:val="000000" w:themeColor="text1"/>
          <w:sz w:val="36"/>
          <w:szCs w:val="36"/>
          <w:highlight w:val="none"/>
          <w:u w:val="single"/>
          <w:lang w:val="en-US" w:eastAsia="zh-CN"/>
          <w14:textFill>
            <w14:solidFill>
              <w14:schemeClr w14:val="tx1"/>
            </w14:solidFill>
          </w14:textFill>
        </w:rPr>
        <w:t xml:space="preserve">             </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center"/>
        <w:spacing w:line="360" w:lineRule="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投标人：</w:t>
      </w:r>
      <w:r>
        <w:rPr>
          <w:rFonts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（盖单位章）</w:t>
      </w:r>
      <w:r/>
    </w:p>
    <w:p>
      <w:pPr>
        <w:ind w:firstLine="560"/>
        <w:spacing w:line="360" w:lineRule="auto"/>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ind w:firstLine="560"/>
        <w:spacing w:line="360" w:lineRule="auto"/>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ind w:firstLine="1260"/>
        <w:spacing w:line="360" w:lineRule="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法定代表人或其委托代理人：</w:t>
      </w:r>
      <w:r>
        <w:rPr>
          <w:rFonts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（签字或签章）</w:t>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center"/>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年</w:t>
      </w:r>
      <w:r>
        <w:rPr>
          <w:rFonts w:ascii="宋体" w:hAnsi="宋体" w:cs="宋体"/>
          <w:color w:val="000000" w:themeColor="text1"/>
          <w:sz w:val="28"/>
          <w:szCs w:val="28"/>
          <w:highlight w:val="none"/>
          <w:lang w:val="zh-CN"/>
          <w14:textFill>
            <w14:solidFill>
              <w14:schemeClr w14:val="tx1"/>
            </w14:solidFill>
          </w14:textFill>
        </w:rPr>
        <w:t xml:space="preserve"> </w:t>
      </w:r>
      <w:r>
        <w:rPr>
          <w:rFonts w:hint="eastAsia"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月</w:t>
      </w:r>
      <w:r>
        <w:rPr>
          <w:rFonts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日</w:t>
      </w:r>
      <w:r/>
    </w:p>
    <w:p>
      <w:pPr>
        <w:jc w:val="center"/>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spacing w:before="19" w:line="400" w:lineRule="exact"/>
        <w:rPr>
          <w:rFonts w:hAnsi="宋体"/>
          <w:b/>
          <w:color w:val="000000" w:themeColor="text1"/>
          <w:szCs w:val="21"/>
          <w:highlight w:val="none"/>
          <w:u w:val="single"/>
          <w14:textFill>
            <w14:solidFill>
              <w14:schemeClr w14:val="tx1"/>
            </w14:solidFill>
          </w14:textFill>
        </w:rPr>
      </w:pPr>
      <w:r>
        <w:rPr>
          <w:rFonts w:hAnsi="宋体"/>
          <w:b/>
          <w:color w:val="000000" w:themeColor="text1"/>
          <w:szCs w:val="21"/>
          <w:highlight w:val="none"/>
          <w:u w:val="singl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ascii="Cambria" w:hAnsi="Cambria"/>
          <w:b/>
          <w:bCs/>
          <w:color w:val="000000" w:themeColor="text1"/>
          <w:szCs w:val="21"/>
          <w:highlight w:val="none"/>
          <w14:textFill>
            <w14:solidFill>
              <w14:schemeClr w14:val="tx1"/>
            </w14:solidFill>
          </w14:textFill>
        </w:rPr>
      </w:pPr>
      <w:r/>
      <w:bookmarkStart w:id="71" w:name="_Toc468787016"/>
      <w:r/>
      <w:r/>
    </w:p>
    <w:p>
      <w:pPr>
        <w:pStyle w:val="107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72" w:name="_Toc19767"/>
      <w:r/>
      <w:bookmarkStart w:id="73" w:name="_Toc17350"/>
      <w:r>
        <w:rPr>
          <w:rFonts w:hint="eastAsia"/>
          <w:color w:val="000000" w:themeColor="text1"/>
          <w:highlight w:val="none"/>
          <w14:textFill>
            <w14:solidFill>
              <w14:schemeClr w14:val="tx1"/>
            </w14:solidFill>
          </w14:textFill>
        </w:rPr>
        <w:t xml:space="preserve">一、投标函格式</w:t>
      </w:r>
      <w:bookmarkEnd w:id="71"/>
      <w:r/>
      <w:bookmarkEnd w:id="72"/>
      <w:r/>
      <w:bookmarkEnd w:id="73"/>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致:</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p>
    <w:p>
      <w:pPr>
        <w:ind w:firstLine="420"/>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根据贵方招标采购的</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rPr>
          <w:rFonts w:hint="eastAsia" w:ascii="宋体" w:hAnsi="宋体" w:cs="楷体_GB2312"/>
          <w:color w:val="000000" w:themeColor="text1"/>
          <w:szCs w:val="21"/>
          <w:highlight w:val="none"/>
          <w:lang w:val="zh-CN"/>
          <w14:textFill>
            <w14:solidFill>
              <w14:schemeClr w14:val="tx1"/>
            </w14:solidFill>
          </w14:textFill>
        </w:rPr>
        <w:t xml:space="preserve">，正式授权下述签字人 </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rPr>
          <w:rFonts w:hint="eastAsia" w:ascii="宋体" w:hAnsi="宋体" w:cs="楷体_GB2312"/>
          <w:color w:val="000000" w:themeColor="text1"/>
          <w:szCs w:val="21"/>
          <w:highlight w:val="none"/>
          <w:lang w:val="zh-CN"/>
          <w14:textFill>
            <w14:solidFill>
              <w14:schemeClr w14:val="tx1"/>
            </w14:solidFill>
          </w14:textFill>
        </w:rPr>
        <w:t xml:space="preserve"> （姓名和职务）代表我方</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rPr>
          <w:rFonts w:hint="eastAsia" w:ascii="宋体" w:hAnsi="宋体" w:cs="楷体_GB2312"/>
          <w:color w:val="000000" w:themeColor="text1"/>
          <w:szCs w:val="21"/>
          <w:highlight w:val="none"/>
          <w:lang w:val="zh-CN"/>
          <w14:textFill>
            <w14:solidFill>
              <w14:schemeClr w14:val="tx1"/>
            </w14:solidFill>
          </w14:textFill>
        </w:rPr>
        <w:t xml:space="preserve">（投标人单位的名称），全权处理本次项目投标的有关事宜。</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据此函，签字人兹宣布同意如下：</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（1）按招标文件规定的各项要求，我方愿以开标一览表中的投标报价并按招标文件的规定要求提供所需货物和服务。</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（2）我们接受招标文件的所有的条款和规定。</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（3）我们完全理解贵方不一定将合同授予最低报价的投标人，并有权拒绝所有的投标。同时也理解你们不承担我们本次投标的费用。</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（4）我们已详细审核全部招标文件及其有效补充文件（如果有），我们知道必须放弃提出含糊不清或误解的问题的权利。</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5）我们同意按照招标文件第一章“投标人须知”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（6）我们同意向贵方提供贵方可能要求的与投标有关的任何证据或资料。</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（7）一旦我方中标，我方将根据招标文件的规定，严格履行合同的责任和义务，并保证于“合同”中规定的时间完成本项目服务并提交相关资料。</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投标人名称:                    （公章）</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地址:          邮编:          </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电话:          传真:          </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投标单位代表姓名（签字或签章）:       </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职务:               </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日期:      年  月  日</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jc w:val="left"/>
        <w:spacing w:line="360" w:lineRule="auto"/>
        <w:widowControl/>
        <w:tabs>
          <w:tab w:val="left" w:pos="1280" w:leader="none"/>
        </w:tabs>
        <w:rPr>
          <w:rFonts w:hint="eastAsia" w:ascii="宋体" w:hAnsi="宋体" w:cs="楷体_GB2312"/>
          <w:color w:val="000000" w:themeColor="text1"/>
          <w:szCs w:val="21"/>
          <w:highlight w:val="none"/>
          <w:lang w:val="en-US" w:eastAsia="zh-CN"/>
          <w14:textFill>
            <w14:solidFill>
              <w14:schemeClr w14:val="tx1"/>
            </w14:solidFill>
          </w14:textFill>
        </w:rPr>
      </w:pPr>
      <w:r>
        <w:rPr>
          <w:rFonts w:hint="eastAsia" w:ascii="宋体" w:hAnsi="宋体" w:cs="楷体_GB2312"/>
          <w:color w:val="000000" w:themeColor="text1"/>
          <w:szCs w:val="21"/>
          <w:highlight w:val="none"/>
          <w:lang w:val="en-US" w:eastAsia="zh-CN"/>
          <w14:textFill>
            <w14:solidFill>
              <w14:schemeClr w14:val="tx1"/>
            </w14:solidFill>
          </w14:textFill>
        </w:rPr>
        <w:tab/>
      </w:r>
      <w:r/>
    </w:p>
    <w:p>
      <w:pPr>
        <w:jc w:val="left"/>
        <w:spacing w:line="360" w:lineRule="auto"/>
        <w:widowControl/>
        <w:tabs>
          <w:tab w:val="left" w:pos="1280" w:leader="none"/>
        </w:tabs>
        <w:rPr>
          <w:rFonts w:hint="eastAsia" w:ascii="宋体" w:hAnsi="宋体" w:cs="楷体_GB2312"/>
          <w:color w:val="000000" w:themeColor="text1"/>
          <w:szCs w:val="21"/>
          <w:highlight w:val="none"/>
          <w:lang w:val="en-US" w:eastAsia="zh-CN"/>
          <w14:textFill>
            <w14:solidFill>
              <w14:schemeClr w14:val="tx1"/>
            </w14:solidFill>
          </w14:textFill>
        </w:rPr>
      </w:pPr>
      <w:r>
        <w:rPr>
          <w:rFonts w:hint="eastAsia" w:ascii="宋体" w:hAnsi="宋体" w:cs="楷体_GB2312"/>
          <w:color w:val="000000" w:themeColor="text1"/>
          <w:szCs w:val="21"/>
          <w:highlight w:val="none"/>
          <w:lang w:val="en-US" w:eastAsia="zh-CN"/>
          <w14:textFill>
            <w14:solidFill>
              <w14:schemeClr w14:val="tx1"/>
            </w14:solidFill>
          </w14:textFill>
        </w:rPr>
      </w:r>
      <w:r/>
    </w:p>
    <w:p>
      <w:pPr>
        <w:jc w:val="left"/>
        <w:spacing w:line="360" w:lineRule="auto"/>
        <w:widowControl/>
        <w:tabs>
          <w:tab w:val="left" w:pos="1280" w:leader="none"/>
        </w:tabs>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投标保证承诺书</w:t>
      </w:r>
      <w:r/>
    </w:p>
    <w:p>
      <w:pPr>
        <w:jc w:val="center"/>
        <w:spacing w:line="360" w:lineRule="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致：</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招标</w:t>
      </w:r>
      <w:r>
        <w:rPr>
          <w:rFonts w:ascii="宋体" w:hAnsi="宋体"/>
          <w:color w:val="000000" w:themeColor="text1"/>
          <w:highlight w:val="none"/>
          <w:u w:val="single"/>
          <w14:textFill>
            <w14:solidFill>
              <w14:schemeClr w14:val="tx1"/>
            </w14:solidFill>
          </w14:textFill>
        </w:rPr>
        <w:t xml:space="preserve">代理机构名称）</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我（单位</w:t>
      </w:r>
      <w:r>
        <w:rPr>
          <w:rFonts w:ascii="宋体" w:hAnsi="宋体"/>
          <w:color w:val="000000" w:themeColor="text1"/>
          <w:highlight w:val="none"/>
          <w14:textFill>
            <w14:solidFill>
              <w14:schemeClr w14:val="tx1"/>
            </w14:solidFill>
          </w14:textFill>
        </w:rPr>
        <w:t xml:space="preserve">/本人，以下统称我单位）自愿参加</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（项目名称和</w:t>
      </w:r>
      <w:r>
        <w:rPr>
          <w:rFonts w:hint="eastAsia" w:ascii="宋体" w:hAnsi="宋体"/>
          <w:color w:val="000000" w:themeColor="text1"/>
          <w:highlight w:val="none"/>
          <w14:textFill>
            <w14:solidFill>
              <w14:schemeClr w14:val="tx1"/>
            </w14:solidFill>
          </w14:textFill>
        </w:rPr>
        <w:t xml:space="preserve">招标</w:t>
      </w:r>
      <w:r>
        <w:rPr>
          <w:rFonts w:ascii="宋体" w:hAnsi="宋体"/>
          <w:color w:val="000000" w:themeColor="text1"/>
          <w:highlight w:val="none"/>
          <w14:textFill>
            <w14:solidFill>
              <w14:schemeClr w14:val="tx1"/>
            </w14:solidFill>
          </w14:textFill>
        </w:rPr>
        <w:t xml:space="preserve">编号）的投标,并做出如下承诺：</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一、</w:t>
      </w:r>
      <w:r>
        <w:rPr>
          <w:rFonts w:ascii="宋体" w:hAnsi="宋体"/>
          <w:color w:val="000000" w:themeColor="text1"/>
          <w:highlight w:val="none"/>
          <w14:textFill>
            <w14:solidFill>
              <w14:schemeClr w14:val="tx1"/>
            </w14:solidFill>
          </w14:textFill>
        </w:rPr>
        <w:t xml:space="preserve">除不可抗力外，我单位如果发生以下行为，将在行为发生的10个工作日内，向贵方（或招标人）支付本采购文件公布的预算金额（或最高限价）的2%作为违约赔偿金（数量不确定的单价采购须约定具体金额）。</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1.自投标截止时间至本项目发布中标（成交）公告为止，撤销投标；</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2.中标后不依法与招标人签订合同；</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3.中标后不按本采购文件规定向招标人提交履约保证金；</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4.中标后不按本采购文件规定向贵方缴纳</w:t>
      </w:r>
      <w:r>
        <w:rPr>
          <w:rFonts w:hint="eastAsia" w:ascii="宋体" w:hAnsi="宋体"/>
          <w:color w:val="000000" w:themeColor="text1"/>
          <w:highlight w:val="none"/>
          <w14:textFill>
            <w14:solidFill>
              <w14:schemeClr w14:val="tx1"/>
            </w14:solidFill>
          </w14:textFill>
        </w:rPr>
        <w:t xml:space="preserve">招标</w:t>
      </w:r>
      <w:r>
        <w:rPr>
          <w:rFonts w:ascii="宋体" w:hAnsi="宋体"/>
          <w:color w:val="000000" w:themeColor="text1"/>
          <w:highlight w:val="none"/>
          <w14:textFill>
            <w14:solidFill>
              <w14:schemeClr w14:val="tx1"/>
            </w14:solidFill>
          </w14:textFill>
        </w:rPr>
        <w:t xml:space="preserve">代理</w:t>
      </w:r>
      <w:r>
        <w:rPr>
          <w:rFonts w:hint="eastAsia" w:ascii="宋体" w:hAnsi="宋体"/>
          <w:color w:val="000000" w:themeColor="text1"/>
          <w:highlight w:val="none"/>
          <w14:textFill>
            <w14:solidFill>
              <w14:schemeClr w14:val="tx1"/>
            </w14:solidFill>
          </w14:textFill>
        </w:rPr>
        <w:t xml:space="preserve">服务</w:t>
      </w:r>
      <w:r>
        <w:rPr>
          <w:rFonts w:ascii="宋体" w:hAnsi="宋体"/>
          <w:color w:val="000000" w:themeColor="text1"/>
          <w:highlight w:val="none"/>
          <w14:textFill>
            <w14:solidFill>
              <w14:schemeClr w14:val="tx1"/>
            </w14:solidFill>
          </w14:textFill>
        </w:rPr>
        <w:t xml:space="preserve">费。</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二、</w:t>
      </w:r>
      <w:r>
        <w:rPr>
          <w:rFonts w:ascii="宋体" w:hAnsi="宋体"/>
          <w:color w:val="000000" w:themeColor="text1"/>
          <w:highlight w:val="none"/>
          <w14:textFill>
            <w14:solidFill>
              <w14:schemeClr w14:val="tx1"/>
            </w14:solidFill>
          </w14:textFill>
        </w:rPr>
        <w:t xml:space="preserve">我单位知晓上述行为的法律后果，承认本承诺书作为贵方（或招标人）要求我单位履行违约赔偿义务的依据作用。</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投标人：</w:t>
      </w:r>
      <w:r>
        <w:rPr>
          <w:rFonts w:ascii="宋体" w:hAnsi="宋体"/>
          <w:color w:val="000000" w:themeColor="text1"/>
          <w:highlight w:val="none"/>
          <w14:textFill>
            <w14:solidFill>
              <w14:schemeClr w14:val="tx1"/>
            </w14:solidFill>
          </w14:textFill>
        </w:rPr>
        <w:t xml:space="preserve">                               （盖公章）</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地址：</w:t>
      </w:r>
      <w:r>
        <w:rPr>
          <w:rFonts w:ascii="宋体" w:hAnsi="宋体"/>
          <w:color w:val="000000" w:themeColor="text1"/>
          <w:highlight w:val="none"/>
          <w14:textFill>
            <w14:solidFill>
              <w14:schemeClr w14:val="tx1"/>
            </w14:solidFill>
          </w14:textFill>
        </w:rPr>
        <w:t xml:space="preserve">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电话：</w:t>
      </w:r>
      <w:r>
        <w:rPr>
          <w:rFonts w:ascii="宋体" w:hAnsi="宋体"/>
          <w:color w:val="000000" w:themeColor="text1"/>
          <w:highlight w:val="none"/>
          <w14:textFill>
            <w14:solidFill>
              <w14:schemeClr w14:val="tx1"/>
            </w14:solidFill>
          </w14:textFill>
        </w:rPr>
        <w:t xml:space="preserve">                                         传真：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电子邮件：</w:t>
      </w:r>
      <w:r>
        <w:rPr>
          <w:rFonts w:ascii="宋体" w:hAnsi="宋体"/>
          <w:color w:val="000000" w:themeColor="text1"/>
          <w:highlight w:val="none"/>
          <w14:textFill>
            <w14:solidFill>
              <w14:schemeClr w14:val="tx1"/>
            </w14:solidFill>
          </w14:textFill>
        </w:rPr>
        <w:t xml:space="preserve">                                 邮编：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法定代表人或委托代理人</w:t>
      </w:r>
      <w:r>
        <w:rPr>
          <w:rFonts w:ascii="宋体" w:hAnsi="宋体"/>
          <w:color w:val="000000" w:themeColor="text1"/>
          <w:highlight w:val="none"/>
          <w14:textFill>
            <w14:solidFill>
              <w14:schemeClr w14:val="tx1"/>
            </w14:solidFill>
          </w14:textFill>
        </w:rPr>
        <w:t xml:space="preserve">(签字或签章)：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日期：</w:t>
      </w:r>
      <w:r>
        <w:rPr>
          <w:rFonts w:ascii="宋体" w:hAnsi="宋体"/>
          <w:color w:val="000000" w:themeColor="text1"/>
          <w:highlight w:val="none"/>
          <w14:textFill>
            <w14:solidFill>
              <w14:schemeClr w14:val="tx1"/>
            </w14:solidFill>
          </w14:textFill>
        </w:rPr>
        <w:t xml:space="preserve">                         </w:t>
      </w:r>
      <w:r/>
    </w:p>
    <w:p>
      <w:pPr>
        <w:ind w:firstLine="420"/>
        <w:spacing w:line="360" w:lineRule="auto"/>
        <w:tabs>
          <w:tab w:val="left" w:pos="1280" w:leader="none"/>
        </w:tabs>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1073"/>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1073"/>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1073"/>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1073"/>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1073"/>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1073"/>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1070"/>
        <w:jc w:val="center"/>
        <w:rPr>
          <w:color w:val="000000" w:themeColor="text1"/>
          <w:highlight w:val="none"/>
          <w14:textFill>
            <w14:solidFill>
              <w14:schemeClr w14:val="tx1"/>
            </w14:solidFill>
          </w14:textFill>
        </w:rPr>
      </w:pPr>
      <w:r/>
      <w:bookmarkStart w:id="74" w:name="_Toc12759"/>
      <w:r/>
      <w:bookmarkStart w:id="75" w:name="_Toc468787017"/>
      <w:r/>
      <w:bookmarkStart w:id="76" w:name="_Toc15867"/>
      <w:r>
        <w:rPr>
          <w:rFonts w:hint="eastAsia"/>
          <w:color w:val="000000" w:themeColor="text1"/>
          <w:highlight w:val="none"/>
          <w14:textFill>
            <w14:solidFill>
              <w14:schemeClr w14:val="tx1"/>
            </w14:solidFill>
          </w14:textFill>
        </w:rPr>
        <w:t xml:space="preserve">二、开标一览表</w:t>
      </w:r>
      <w:bookmarkEnd w:id="74"/>
      <w:r/>
      <w:bookmarkEnd w:id="75"/>
      <w:r/>
      <w:bookmarkEnd w:id="76"/>
      <w:r/>
      <w:bookmarkStart w:id="77" w:name="_Toc468787018"/>
      <w:r/>
      <w:bookmarkStart w:id="78" w:name="_Toc157775468"/>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pStyle w:val="774"/>
        <w:ind w:left="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分包号及分包内容：</w:t>
      </w:r>
      <w:r/>
    </w:p>
    <w:tbl>
      <w:tblPr>
        <w:tblStyle w:val="687"/>
        <w:tblW w:w="893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995"/>
        <w:gridCol w:w="6936"/>
      </w:tblGrid>
      <w:tr>
        <w:trPr>
          <w:jc w:val="center"/>
          <w:tblCellSpacing w:w="0" w:type="dxa"/>
          <w:trHeight w:val="1582"/>
        </w:trPr>
        <w:tc>
          <w:tcPr>
            <w:tcW w:w="1995" w:type="dxa"/>
            <w:vAlign w:val="center"/>
            <w:textDirection w:val="lrTb"/>
            <w:noWrap w:val="false"/>
          </w:tcPr>
          <w:p>
            <w:pPr>
              <w:jc w:val="center"/>
              <w:spacing w:line="408"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投标总价</w:t>
            </w:r>
            <w:r/>
          </w:p>
        </w:tc>
        <w:tc>
          <w:tcPr>
            <w:tcW w:w="6936" w:type="dxa"/>
            <w:vAlign w:val="center"/>
            <w:textDirection w:val="lrTb"/>
            <w:noWrap w:val="false"/>
          </w:tcPr>
          <w:p>
            <w:pPr>
              <w:ind w:firstLine="1890"/>
              <w:jc w:val="left"/>
              <w:spacing w:line="48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p>
            <w:pPr>
              <w:ind w:firstLine="1890"/>
              <w:jc w:val="left"/>
              <w:spacing w:line="500" w:lineRule="exact"/>
              <w:tabs>
                <w:tab w:val="left" w:pos="142" w:leader="none"/>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tc>
      </w:tr>
      <w:tr>
        <w:trPr>
          <w:jc w:val="center"/>
          <w:tblCellSpacing w:w="0" w:type="dxa"/>
          <w:trHeight w:val="1582"/>
        </w:trPr>
        <w:tc>
          <w:tcPr>
            <w:tcW w:w="1995" w:type="dxa"/>
            <w:vAlign w:val="center"/>
            <w:textDirection w:val="lrTb"/>
            <w:noWrap w:val="false"/>
          </w:tcPr>
          <w:p>
            <w:pPr>
              <w:jc w:val="center"/>
              <w:spacing w:line="408"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交付时间</w:t>
            </w:r>
            <w:r/>
          </w:p>
        </w:tc>
        <w:tc>
          <w:tcPr>
            <w:tcW w:w="6936" w:type="dxa"/>
            <w:vAlign w:val="center"/>
            <w:textDirection w:val="lrTb"/>
            <w:noWrap w:val="false"/>
          </w:tcPr>
          <w:p>
            <w:pPr>
              <w:pStyle w:val="774"/>
              <w:ind w:left="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blCellSpacing w:w="0" w:type="dxa"/>
          <w:trHeight w:val="1090"/>
        </w:trPr>
        <w:tc>
          <w:tcPr>
            <w:tcW w:w="199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是否中小企业</w:t>
            </w:r>
            <w:r/>
          </w:p>
        </w:tc>
        <w:tc>
          <w:tcPr>
            <w:tcW w:w="6936" w:type="dxa"/>
            <w:vAlign w:val="center"/>
            <w:textDirection w:val="lrTb"/>
            <w:noWrap w:val="false"/>
          </w:tcPr>
          <w:p>
            <w:pPr>
              <w:pStyle w:val="1076"/>
              <w:jc w:val="center"/>
              <w:rPr>
                <w:color w:val="000000" w:themeColor="text1"/>
                <w:sz w:val="21"/>
                <w:szCs w:val="21"/>
                <w:highlight w:val="none"/>
                <w:u w:val="singl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是</w:t>
            </w:r>
            <w:r>
              <w:rPr>
                <w:color w:val="000000" w:themeColor="text1"/>
                <w:sz w:val="21"/>
                <w:szCs w:val="21"/>
                <w:highlight w:val="none"/>
                <w14:textFill>
                  <w14:solidFill>
                    <w14:schemeClr w14:val="tx1"/>
                  </w14:solidFill>
                </w14:textFill>
              </w:rPr>
              <w:t xml:space="preserve">□</w:t>
            </w:r>
            <w:r>
              <w:rPr>
                <w:rFonts w:hint="eastAsia"/>
                <w:color w:val="000000" w:themeColor="text1"/>
                <w:sz w:val="21"/>
                <w:szCs w:val="21"/>
                <w:highlight w:val="none"/>
                <w14:textFill>
                  <w14:solidFill>
                    <w14:schemeClr w14:val="tx1"/>
                  </w14:solidFill>
                </w14:textFill>
              </w:rPr>
              <w:t xml:space="preserve">            否</w:t>
            </w:r>
            <w:r>
              <w:rPr>
                <w:color w:val="000000" w:themeColor="text1"/>
                <w:sz w:val="21"/>
                <w:szCs w:val="21"/>
                <w:highlight w:val="none"/>
                <w14:textFill>
                  <w14:solidFill>
                    <w14:schemeClr w14:val="tx1"/>
                  </w14:solidFill>
                </w14:textFill>
              </w:rPr>
              <w:t xml:space="preserve">□</w:t>
            </w:r>
            <w:r/>
          </w:p>
        </w:tc>
      </w:tr>
    </w:tbl>
    <w:p>
      <w:pPr>
        <w:pStyle w:val="1073"/>
        <w:ind w:firstLine="0"/>
        <w:rPr>
          <w:rFonts w:cs="楷体_GB2312"/>
          <w:color w:val="000000" w:themeColor="text1"/>
          <w:highlight w:val="none"/>
          <w14:textFill>
            <w14:solidFill>
              <w14:schemeClr w14:val="tx1"/>
            </w14:solidFill>
          </w14:textFill>
        </w:rPr>
      </w:pPr>
      <w:r>
        <w:rPr>
          <w:rFonts w:cs="楷体_GB2312"/>
          <w:color w:val="000000" w:themeColor="text1"/>
          <w:highlight w:val="none"/>
          <w14:textFill>
            <w14:solidFill>
              <w14:schemeClr w14:val="tx1"/>
            </w14:solidFill>
          </w14:textFill>
        </w:rPr>
      </w:r>
      <w:r/>
    </w:p>
    <w:p>
      <w:pPr>
        <w:pStyle w:val="1073"/>
        <w:ind w:firstLine="0"/>
        <w:rPr>
          <w:rFonts w:cs="楷体_GB2312"/>
          <w:b/>
          <w:bCs/>
          <w:color w:val="000000" w:themeColor="text1"/>
          <w:highlight w:val="none"/>
          <w14:textFill>
            <w14:solidFill>
              <w14:schemeClr w14:val="tx1"/>
            </w14:solidFill>
          </w14:textFill>
        </w:rPr>
      </w:pPr>
      <w:r>
        <w:rPr>
          <w:rFonts w:hint="eastAsia" w:cs="楷体_GB2312"/>
          <w:b/>
          <w:bCs/>
          <w:color w:val="000000" w:themeColor="text1"/>
          <w:highlight w:val="none"/>
          <w:lang w:val="zh-CN"/>
          <w14:textFill>
            <w14:solidFill>
              <w14:schemeClr w14:val="tx1"/>
            </w14:solidFill>
          </w14:textFill>
        </w:rPr>
        <w:t xml:space="preserve">备注：</w:t>
      </w:r>
      <w:r>
        <w:rPr>
          <w:rFonts w:hint="eastAsia"/>
          <w:b/>
          <w:bCs/>
          <w:color w:val="000000" w:themeColor="text1"/>
          <w:highlight w:val="none"/>
          <w14:textFill>
            <w14:solidFill>
              <w14:schemeClr w14:val="tx1"/>
            </w14:solidFill>
          </w14:textFill>
        </w:rPr>
        <w:t xml:space="preserve">投标人的投标报价不得高出所投分包中的物资单价及合计金额，否则作投标无效处理！</w:t>
      </w:r>
      <w:r/>
    </w:p>
    <w:p>
      <w:pPr>
        <w:pStyle w:val="1073"/>
        <w:rPr>
          <w:rFonts w:cs="楷体_GB2312"/>
          <w:color w:val="000000" w:themeColor="text1"/>
          <w:highlight w:val="none"/>
          <w:lang w:val="zh-CN"/>
          <w14:textFill>
            <w14:solidFill>
              <w14:schemeClr w14:val="tx1"/>
            </w14:solidFill>
          </w14:textFill>
        </w:rPr>
      </w:pPr>
      <w:r>
        <w:rPr>
          <w:rFonts w:cs="楷体_GB2312"/>
          <w:color w:val="000000" w:themeColor="text1"/>
          <w:highlight w:val="none"/>
          <w:lang w:val="zh-CN"/>
          <w14:textFill>
            <w14:solidFill>
              <w14:schemeClr w14:val="tx1"/>
            </w14:solidFill>
          </w14:textFill>
        </w:rPr>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投标人名称（盖章）：</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1073"/>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1073"/>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1073"/>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1073"/>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1073"/>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1073"/>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70"/>
        <w:jc w:val="center"/>
        <w:rPr>
          <w:color w:val="000000" w:themeColor="text1"/>
          <w:highlight w:val="none"/>
          <w14:textFill>
            <w14:solidFill>
              <w14:schemeClr w14:val="tx1"/>
            </w14:solidFill>
          </w14:textFill>
        </w:rPr>
      </w:pPr>
      <w:r/>
      <w:bookmarkStart w:id="79" w:name="_Toc2216"/>
      <w:r/>
      <w:bookmarkStart w:id="80" w:name="_Toc24089"/>
      <w:r>
        <w:rPr>
          <w:rFonts w:hint="eastAsia"/>
          <w:color w:val="000000" w:themeColor="text1"/>
          <w:highlight w:val="none"/>
          <w14:textFill>
            <w14:solidFill>
              <w14:schemeClr w14:val="tx1"/>
            </w14:solidFill>
          </w14:textFill>
        </w:rPr>
        <w:t xml:space="preserve">三、分项报价表</w:t>
      </w:r>
      <w:bookmarkEnd w:id="79"/>
      <w:r/>
      <w:bookmarkEnd w:id="80"/>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pStyle w:val="774"/>
        <w:ind w:left="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分包号及分包内容：</w:t>
      </w:r>
      <w:r/>
    </w:p>
    <w:tbl>
      <w:tblPr>
        <w:tblStyle w:val="687"/>
        <w:tblW w:w="5174" w:type="pct"/>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33"/>
        <w:gridCol w:w="1375"/>
        <w:gridCol w:w="742"/>
        <w:gridCol w:w="451"/>
        <w:gridCol w:w="540"/>
        <w:gridCol w:w="782"/>
        <w:gridCol w:w="1189"/>
        <w:gridCol w:w="1242"/>
        <w:gridCol w:w="973"/>
        <w:gridCol w:w="469"/>
        <w:gridCol w:w="366"/>
        <w:gridCol w:w="461"/>
      </w:tblGrid>
      <w:tr>
        <w:trPr>
          <w:cantSplit/>
          <w:trHeight w:val="360"/>
          <w:tblHeader/>
        </w:trPr>
        <w:tc>
          <w:tcPr>
            <w:shd w:val="clear" w:color="auto" w:fill="e0e0e0"/>
            <w:tcW w:w="240" w:type="pct"/>
            <w:vAlign w:val="center"/>
            <w:textDirection w:val="lrTb"/>
            <w:noWrap w:val="false"/>
          </w:tcPr>
          <w:p>
            <w:pPr>
              <w:jc w:val="center"/>
              <w:keepLines w:val="0"/>
              <w:keepNext w:val="0"/>
              <w:pageBreakBefore w:val="0"/>
              <w:spacing w:line="240" w:lineRule="auto"/>
              <w:rPr>
                <w:rFonts w:ascii="宋体" w:hAnsi="宋体"/>
                <w:b/>
                <w:bCs/>
                <w:color w:val="auto"/>
                <w:highlight w:val="none"/>
              </w:rPr>
            </w:pPr>
            <w:r>
              <w:rPr>
                <w:rFonts w:hint="eastAsia" w:ascii="宋体" w:hAnsi="宋体"/>
                <w:b/>
                <w:bCs/>
                <w:color w:val="auto"/>
                <w:highlight w:val="none"/>
              </w:rPr>
              <w:t xml:space="preserve">序号</w:t>
            </w:r>
            <w:r/>
          </w:p>
        </w:tc>
        <w:tc>
          <w:tcPr>
            <w:shd w:val="clear" w:color="auto" w:fill="e0e0e0"/>
            <w:tcMar>
              <w:left w:w="15" w:type="dxa"/>
              <w:top w:w="15" w:type="dxa"/>
              <w:right w:w="15" w:type="dxa"/>
              <w:bottom w:w="0" w:type="dxa"/>
            </w:tcMar>
            <w:tcW w:w="762" w:type="pct"/>
            <w:vAlign w:val="center"/>
            <w:textDirection w:val="lrTb"/>
            <w:noWrap w:val="false"/>
          </w:tcPr>
          <w:p>
            <w:pPr>
              <w:jc w:val="center"/>
              <w:keepLines w:val="0"/>
              <w:keepNext w:val="0"/>
              <w:pageBreakBefore w:val="0"/>
              <w:spacing w:line="240" w:lineRule="auto"/>
              <w:rPr>
                <w:rFonts w:ascii="宋体" w:hAnsi="宋体"/>
                <w:b/>
                <w:bCs/>
                <w:color w:val="auto"/>
                <w:highlight w:val="none"/>
              </w:rPr>
            </w:pPr>
            <w:r>
              <w:rPr>
                <w:rFonts w:hint="eastAsia" w:ascii="宋体" w:hAnsi="宋体"/>
                <w:b/>
                <w:bCs/>
                <w:color w:val="auto"/>
                <w:highlight w:val="none"/>
              </w:rPr>
              <w:t xml:space="preserve">标的名称</w:t>
            </w:r>
            <w:r/>
          </w:p>
        </w:tc>
        <w:tc>
          <w:tcPr>
            <w:shd w:val="clear" w:color="auto" w:fill="e0e0e0"/>
            <w:tcMar>
              <w:left w:w="15" w:type="dxa"/>
              <w:top w:w="15" w:type="dxa"/>
              <w:right w:w="15" w:type="dxa"/>
              <w:bottom w:w="0" w:type="dxa"/>
            </w:tcMar>
            <w:tcW w:w="411" w:type="pct"/>
            <w:vAlign w:val="center"/>
            <w:textDirection w:val="lrTb"/>
            <w:noWrap w:val="false"/>
          </w:tcPr>
          <w:p>
            <w:pPr>
              <w:jc w:val="center"/>
              <w:keepLines w:val="0"/>
              <w:keepNext w:val="0"/>
              <w:pageBreakBefore w:val="0"/>
              <w:spacing w:line="240" w:lineRule="auto"/>
              <w:rPr>
                <w:rFonts w:ascii="宋体" w:hAnsi="宋体"/>
                <w:b/>
                <w:bCs/>
                <w:color w:val="auto"/>
                <w:highlight w:val="none"/>
              </w:rPr>
            </w:pPr>
            <w:r>
              <w:rPr>
                <w:rFonts w:hint="eastAsia" w:ascii="宋体" w:hAnsi="宋体"/>
                <w:b/>
                <w:bCs/>
                <w:color w:val="auto"/>
                <w:highlight w:val="none"/>
              </w:rPr>
              <w:t xml:space="preserve">详细规格型号</w:t>
            </w:r>
            <w:r/>
          </w:p>
        </w:tc>
        <w:tc>
          <w:tcPr>
            <w:shd w:val="clear" w:color="auto" w:fill="e0e0e0"/>
            <w:tcMar>
              <w:left w:w="15" w:type="dxa"/>
              <w:top w:w="15" w:type="dxa"/>
              <w:right w:w="15" w:type="dxa"/>
              <w:bottom w:w="0" w:type="dxa"/>
            </w:tcMar>
            <w:tcW w:w="250" w:type="pct"/>
            <w:vAlign w:val="center"/>
            <w:textDirection w:val="lrTb"/>
            <w:noWrap w:val="false"/>
          </w:tcPr>
          <w:p>
            <w:pPr>
              <w:jc w:val="center"/>
              <w:keepLines w:val="0"/>
              <w:keepNext w:val="0"/>
              <w:pageBreakBefore w:val="0"/>
              <w:spacing w:line="240" w:lineRule="auto"/>
              <w:rPr>
                <w:rFonts w:ascii="宋体" w:hAnsi="宋体"/>
                <w:b/>
                <w:bCs/>
                <w:color w:val="auto"/>
                <w:highlight w:val="none"/>
              </w:rPr>
            </w:pPr>
            <w:r>
              <w:rPr>
                <w:rFonts w:hint="eastAsia" w:ascii="宋体" w:hAnsi="宋体"/>
                <w:b/>
                <w:bCs/>
                <w:color w:val="auto"/>
                <w:highlight w:val="none"/>
              </w:rPr>
              <w:t xml:space="preserve">数量</w:t>
            </w:r>
            <w:r/>
          </w:p>
        </w:tc>
        <w:tc>
          <w:tcPr>
            <w:shd w:val="clear" w:color="auto" w:fill="e0e0e0"/>
            <w:tcW w:w="298" w:type="pct"/>
            <w:vAlign w:val="center"/>
            <w:textDirection w:val="lrTb"/>
            <w:noWrap w:val="false"/>
          </w:tcPr>
          <w:p>
            <w:pPr>
              <w:jc w:val="center"/>
              <w:keepLines w:val="0"/>
              <w:keepNext w:val="0"/>
              <w:pageBreakBefore w:val="0"/>
              <w:spacing w:line="240" w:lineRule="auto"/>
              <w:rPr>
                <w:rFonts w:ascii="宋体" w:hAnsi="宋体"/>
                <w:b/>
                <w:bCs/>
                <w:color w:val="auto"/>
                <w:highlight w:val="none"/>
              </w:rPr>
            </w:pPr>
            <w:r>
              <w:rPr>
                <w:rFonts w:hint="eastAsia" w:ascii="宋体" w:hAnsi="宋体"/>
                <w:b/>
                <w:bCs/>
                <w:color w:val="auto"/>
                <w:highlight w:val="none"/>
              </w:rPr>
              <w:t xml:space="preserve">单位</w:t>
            </w:r>
            <w:r/>
          </w:p>
        </w:tc>
        <w:tc>
          <w:tcPr>
            <w:shd w:val="clear" w:color="auto" w:fill="e0e0e0"/>
            <w:tcW w:w="433" w:type="pct"/>
            <w:vAlign w:val="center"/>
            <w:textDirection w:val="lrTb"/>
            <w:noWrap w:val="false"/>
          </w:tcPr>
          <w:p>
            <w:pPr>
              <w:jc w:val="center"/>
              <w:keepLines w:val="0"/>
              <w:keepNext w:val="0"/>
              <w:pageBreakBefore w:val="0"/>
              <w:spacing w:line="240" w:lineRule="auto"/>
              <w:rPr>
                <w:rFonts w:ascii="宋体" w:hAnsi="宋体"/>
                <w:b/>
                <w:bCs/>
                <w:color w:val="auto"/>
                <w:highlight w:val="none"/>
              </w:rPr>
            </w:pPr>
            <w:r>
              <w:rPr>
                <w:rFonts w:hint="eastAsia" w:ascii="宋体" w:hAnsi="宋体"/>
                <w:b/>
                <w:bCs/>
                <w:color w:val="auto"/>
                <w:highlight w:val="none"/>
              </w:rPr>
              <w:t xml:space="preserve">品牌</w:t>
            </w:r>
            <w:r/>
          </w:p>
        </w:tc>
        <w:tc>
          <w:tcPr>
            <w:shd w:val="clear" w:color="auto" w:fill="e0e0e0"/>
            <w:tcW w:w="659" w:type="pct"/>
            <w:vAlign w:val="center"/>
            <w:textDirection w:val="lrTb"/>
            <w:noWrap w:val="false"/>
          </w:tcPr>
          <w:p>
            <w:pPr>
              <w:jc w:val="center"/>
              <w:keepLines w:val="0"/>
              <w:keepNext w:val="0"/>
              <w:pageBreakBefore w:val="0"/>
              <w:spacing w:line="240" w:lineRule="auto"/>
              <w:rPr>
                <w:rFonts w:ascii="宋体" w:hAnsi="宋体"/>
                <w:b/>
                <w:bCs/>
                <w:color w:val="auto"/>
                <w:highlight w:val="none"/>
              </w:rPr>
            </w:pPr>
            <w:r>
              <w:rPr>
                <w:rFonts w:hint="eastAsia" w:ascii="宋体" w:hAnsi="宋体"/>
                <w:b/>
                <w:bCs/>
                <w:color w:val="auto"/>
                <w:highlight w:val="none"/>
              </w:rPr>
              <w:t xml:space="preserve">币种</w:t>
            </w:r>
            <w:r/>
          </w:p>
        </w:tc>
        <w:tc>
          <w:tcPr>
            <w:shd w:val="clear" w:color="auto" w:fill="e0e0e0"/>
            <w:tcW w:w="688" w:type="pct"/>
            <w:vAlign w:val="center"/>
            <w:textDirection w:val="lrTb"/>
            <w:noWrap w:val="false"/>
          </w:tcPr>
          <w:p>
            <w:pPr>
              <w:jc w:val="center"/>
              <w:keepLines w:val="0"/>
              <w:keepNext w:val="0"/>
              <w:pageBreakBefore w:val="0"/>
              <w:spacing w:line="240" w:lineRule="auto"/>
              <w:rPr>
                <w:rFonts w:ascii="宋体" w:hAnsi="宋体"/>
                <w:b/>
                <w:bCs/>
                <w:color w:val="auto"/>
                <w:highlight w:val="none"/>
              </w:rPr>
            </w:pPr>
            <w:r>
              <w:rPr>
                <w:rFonts w:hint="eastAsia" w:ascii="宋体" w:hAnsi="宋体"/>
                <w:b/>
                <w:bCs/>
                <w:color w:val="auto"/>
                <w:highlight w:val="none"/>
              </w:rPr>
              <w:t xml:space="preserve">单价</w:t>
            </w:r>
            <w:r/>
          </w:p>
        </w:tc>
        <w:tc>
          <w:tcPr>
            <w:shd w:val="clear" w:color="auto" w:fill="e0e0e0"/>
            <w:tcW w:w="539" w:type="pct"/>
            <w:vAlign w:val="center"/>
            <w:textDirection w:val="lrTb"/>
            <w:noWrap w:val="false"/>
          </w:tcPr>
          <w:p>
            <w:pPr>
              <w:jc w:val="center"/>
              <w:keepLines w:val="0"/>
              <w:keepNext w:val="0"/>
              <w:pageBreakBefore w:val="0"/>
              <w:spacing w:line="240" w:lineRule="auto"/>
              <w:rPr>
                <w:rFonts w:ascii="宋体" w:hAnsi="宋体"/>
                <w:b/>
                <w:bCs/>
                <w:color w:val="auto"/>
                <w:highlight w:val="none"/>
              </w:rPr>
            </w:pPr>
            <w:r>
              <w:rPr>
                <w:rFonts w:hint="eastAsia" w:ascii="宋体" w:hAnsi="宋体"/>
                <w:b/>
                <w:bCs/>
                <w:color w:val="auto"/>
                <w:highlight w:val="none"/>
              </w:rPr>
              <w:t xml:space="preserve">总价</w:t>
            </w:r>
            <w:r/>
          </w:p>
        </w:tc>
        <w:tc>
          <w:tcPr>
            <w:shd w:val="clear" w:color="auto" w:fill="e0e0e0"/>
            <w:tcW w:w="260" w:type="pct"/>
            <w:vAlign w:val="center"/>
            <w:textDirection w:val="lrTb"/>
            <w:noWrap w:val="false"/>
          </w:tcPr>
          <w:p>
            <w:pPr>
              <w:jc w:val="center"/>
              <w:keepLines w:val="0"/>
              <w:keepNext w:val="0"/>
              <w:pageBreakBefore w:val="0"/>
              <w:spacing w:line="240" w:lineRule="auto"/>
              <w:rPr>
                <w:rFonts w:ascii="宋体" w:hAnsi="宋体"/>
                <w:b/>
                <w:bCs/>
                <w:color w:val="auto"/>
                <w:highlight w:val="none"/>
              </w:rPr>
            </w:pPr>
            <w:r>
              <w:rPr>
                <w:rFonts w:hint="eastAsia" w:ascii="宋体" w:hAnsi="宋体"/>
                <w:b/>
                <w:bCs/>
                <w:color w:val="auto"/>
                <w:highlight w:val="none"/>
              </w:rPr>
              <w:t xml:space="preserve">制造商、产地</w:t>
            </w:r>
            <w:r/>
          </w:p>
        </w:tc>
        <w:tc>
          <w:tcPr>
            <w:shd w:val="clear" w:color="auto" w:fill="e0e0e0"/>
            <w:tcMar>
              <w:left w:w="15" w:type="dxa"/>
              <w:top w:w="15" w:type="dxa"/>
              <w:right w:w="15" w:type="dxa"/>
              <w:bottom w:w="0" w:type="dxa"/>
            </w:tcMar>
            <w:tcW w:w="203" w:type="pct"/>
            <w:vAlign w:val="center"/>
            <w:textDirection w:val="lrTb"/>
            <w:noWrap w:val="false"/>
          </w:tcPr>
          <w:p>
            <w:pPr>
              <w:jc w:val="center"/>
              <w:keepLines w:val="0"/>
              <w:keepNext w:val="0"/>
              <w:pageBreakBefore w:val="0"/>
              <w:spacing w:line="240" w:lineRule="auto"/>
              <w:rPr>
                <w:rFonts w:ascii="宋体" w:hAnsi="宋体"/>
                <w:b/>
                <w:bCs/>
                <w:color w:val="auto"/>
                <w:highlight w:val="none"/>
              </w:rPr>
            </w:pPr>
            <w:r>
              <w:rPr>
                <w:rFonts w:hint="eastAsia" w:ascii="宋体" w:hAnsi="宋体"/>
                <w:b/>
                <w:bCs/>
                <w:color w:val="auto"/>
                <w:highlight w:val="none"/>
              </w:rPr>
              <w:t xml:space="preserve">质保期</w:t>
            </w:r>
            <w:r/>
          </w:p>
        </w:tc>
        <w:tc>
          <w:tcPr>
            <w:shd w:val="clear" w:color="auto" w:fill="e0e0e0"/>
            <w:tcW w:w="253" w:type="pct"/>
            <w:vAlign w:val="center"/>
            <w:textDirection w:val="lrTb"/>
            <w:noWrap w:val="false"/>
          </w:tcPr>
          <w:p>
            <w:pPr>
              <w:jc w:val="center"/>
              <w:keepLines w:val="0"/>
              <w:keepNext w:val="0"/>
              <w:pageBreakBefore w:val="0"/>
              <w:spacing w:line="240" w:lineRule="auto"/>
              <w:rPr>
                <w:rFonts w:ascii="宋体" w:hAnsi="宋体"/>
                <w:b/>
                <w:bCs/>
                <w:color w:val="auto"/>
                <w:highlight w:val="none"/>
              </w:rPr>
            </w:pPr>
            <w:r>
              <w:rPr>
                <w:rFonts w:hint="eastAsia" w:ascii="宋体" w:hAnsi="宋体"/>
                <w:b/>
                <w:bCs/>
                <w:color w:val="auto"/>
                <w:highlight w:val="none"/>
              </w:rPr>
              <w:t xml:space="preserve">备注</w:t>
            </w:r>
            <w:r/>
          </w:p>
        </w:tc>
      </w:tr>
      <w:tr>
        <w:trPr>
          <w:cantSplit/>
          <w:trHeight w:val="370"/>
        </w:trPr>
        <w:tc>
          <w:tcPr>
            <w:tcW w:w="240" w:type="pct"/>
            <w:vAlign w:val="center"/>
            <w:textDirection w:val="lrTb"/>
            <w:noWrap w:val="false"/>
          </w:tcPr>
          <w:p>
            <w:pPr>
              <w:jc w:val="center"/>
              <w:keepLines w:val="0"/>
              <w:keepNext w:val="0"/>
              <w:pageBreakBefore w:val="0"/>
              <w:spacing w:line="240" w:lineRule="auto"/>
              <w:widowControl/>
              <w:rPr>
                <w:rFonts w:ascii="宋体" w:hAnsi="宋体"/>
                <w:color w:val="auto"/>
                <w:highlight w:val="none"/>
              </w:rPr>
            </w:pPr>
            <w:r>
              <w:rPr>
                <w:rFonts w:hint="eastAsia" w:ascii="宋体" w:hAnsi="宋体" w:eastAsia="宋体" w:cs="宋体"/>
                <w:color w:val="auto"/>
                <w:sz w:val="21"/>
                <w:szCs w:val="21"/>
              </w:rPr>
              <w:t xml:space="preserve">1</w:t>
            </w:r>
            <w:r/>
          </w:p>
        </w:tc>
        <w:tc>
          <w:tcPr>
            <w:tcMar>
              <w:left w:w="15" w:type="dxa"/>
              <w:top w:w="15" w:type="dxa"/>
              <w:right w:w="15" w:type="dxa"/>
              <w:bottom w:w="0" w:type="dxa"/>
            </w:tcMar>
            <w:tcW w:w="762"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hint="eastAsia" w:ascii="宋体" w:hAnsi="宋体" w:eastAsia="宋体" w:cs="宋体"/>
                <w:color w:val="auto"/>
                <w:sz w:val="21"/>
                <w:szCs w:val="21"/>
              </w:rPr>
              <w:t xml:space="preserve">小型多旋翼巡查无人机</w:t>
            </w:r>
            <w:r/>
          </w:p>
        </w:tc>
        <w:tc>
          <w:tcPr>
            <w:tcMar>
              <w:left w:w="15" w:type="dxa"/>
              <w:top w:w="15" w:type="dxa"/>
              <w:right w:w="15" w:type="dxa"/>
              <w:bottom w:w="0" w:type="dxa"/>
            </w:tcMar>
            <w:tcW w:w="411"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ascii="宋体" w:hAnsi="宋体" w:cs="Gulim"/>
                <w:color w:val="auto"/>
                <w:highlight w:val="none"/>
              </w:rPr>
            </w:r>
            <w:r/>
          </w:p>
        </w:tc>
        <w:tc>
          <w:tcPr>
            <w:shd w:val="clear" w:color="auto" w:fill="auto"/>
            <w:tcW w:w="250" w:type="pct"/>
            <w:vAlign w:val="center"/>
            <w:textDirection w:val="lrTb"/>
            <w:noWrap w:val="false"/>
          </w:tcPr>
          <w:p>
            <w:pPr>
              <w:jc w:val="center"/>
              <w:keepLines w:val="0"/>
              <w:keepNext w:val="0"/>
              <w:pageBreakBefore w:val="0"/>
              <w:spacing w:line="240" w:lineRule="auto"/>
              <w:widowControl/>
              <w:rPr>
                <w:rFonts w:hint="eastAsia" w:ascii="宋体" w:hAnsi="宋体" w:eastAsia="宋体" w:cs="Gulim"/>
                <w:color w:val="auto"/>
                <w:sz w:val="21"/>
                <w:szCs w:val="24"/>
                <w:highlight w:val="none"/>
                <w:lang w:val="en-US" w:eastAsia="zh-CN" w:bidi="ar-SA"/>
              </w:rPr>
            </w:pPr>
            <w:r>
              <w:rPr>
                <w:rFonts w:hint="eastAsia" w:ascii="宋体" w:hAnsi="宋体" w:eastAsia="宋体" w:cs="宋体"/>
                <w:color w:val="auto"/>
                <w:sz w:val="21"/>
                <w:szCs w:val="21"/>
              </w:rPr>
              <w:t xml:space="preserve">3</w:t>
            </w:r>
            <w:r/>
          </w:p>
        </w:tc>
        <w:tc>
          <w:tcPr>
            <w:tcW w:w="298" w:type="pct"/>
            <w:vAlign w:val="center"/>
            <w:textDirection w:val="lrTb"/>
            <w:noWrap w:val="false"/>
          </w:tcPr>
          <w:p>
            <w:pPr>
              <w:jc w:val="center"/>
              <w:keepLines w:val="0"/>
              <w:keepNext w:val="0"/>
              <w:pageBreakBefore w:val="0"/>
              <w:spacing w:line="240" w:lineRule="auto"/>
              <w:widowControl/>
              <w:rPr>
                <w:rFonts w:hint="default" w:ascii="宋体" w:hAnsi="宋体" w:eastAsia="宋体" w:cs="Gulim"/>
                <w:color w:val="auto"/>
                <w:sz w:val="21"/>
                <w:szCs w:val="24"/>
                <w:highlight w:val="none"/>
                <w:lang w:val="en-US" w:eastAsia="zh-CN" w:bidi="ar-SA"/>
              </w:rPr>
            </w:pPr>
            <w:r>
              <w:rPr>
                <w:rFonts w:hint="eastAsia" w:ascii="宋体" w:hAnsi="宋体" w:eastAsia="宋体" w:cs="Gulim"/>
                <w:color w:val="auto"/>
                <w:sz w:val="21"/>
                <w:szCs w:val="24"/>
                <w:highlight w:val="none"/>
                <w:lang w:val="en-US" w:eastAsia="zh-CN" w:bidi="ar-SA"/>
              </w:rPr>
              <w:t xml:space="preserve">台</w:t>
            </w:r>
            <w:r/>
          </w:p>
        </w:tc>
        <w:tc>
          <w:tcPr>
            <w:tcW w:w="433" w:type="pct"/>
            <w:vAlign w:val="center"/>
            <w:textDirection w:val="lrTb"/>
            <w:noWrap w:val="false"/>
          </w:tcPr>
          <w:p>
            <w:pPr>
              <w:jc w:val="center"/>
              <w:keepLines w:val="0"/>
              <w:keepNext w:val="0"/>
              <w:pageBreakBefore w:val="0"/>
              <w:spacing w:line="240" w:lineRule="auto"/>
              <w:rPr>
                <w:rFonts w:ascii="宋体" w:hAnsi="宋体"/>
                <w:b/>
                <w:bCs/>
                <w:color w:val="auto"/>
                <w:highlight w:val="none"/>
              </w:rPr>
            </w:pPr>
            <w:r>
              <w:rPr>
                <w:rFonts w:ascii="宋体" w:hAnsi="宋体"/>
                <w:b/>
                <w:bCs/>
                <w:color w:val="auto"/>
                <w:highlight w:val="none"/>
              </w:rPr>
            </w:r>
            <w:r/>
          </w:p>
        </w:tc>
        <w:tc>
          <w:tcPr>
            <w:tcW w:w="659" w:type="pct"/>
            <w:vAlign w:val="center"/>
            <w:textDirection w:val="lrTb"/>
            <w:noWrap w:val="false"/>
          </w:tcPr>
          <w:p>
            <w:pPr>
              <w:jc w:val="center"/>
              <w:keepLines w:val="0"/>
              <w:keepNext w:val="0"/>
              <w:pageBreakBefore w:val="0"/>
              <w:spacing w:line="240" w:lineRule="auto"/>
              <w:rPr>
                <w:rFonts w:ascii="宋体" w:hAnsi="宋体"/>
                <w:b/>
                <w:bCs/>
                <w:color w:val="auto"/>
                <w:highlight w:val="none"/>
              </w:rPr>
            </w:pPr>
            <w:r>
              <w:rPr>
                <w:rFonts w:ascii="宋体" w:hAnsi="宋体"/>
                <w:b/>
                <w:bCs/>
                <w:color w:val="auto"/>
                <w:highlight w:val="none"/>
              </w:rPr>
            </w:r>
            <w:r/>
          </w:p>
        </w:tc>
        <w:tc>
          <w:tcPr>
            <w:tcW w:w="688" w:type="pct"/>
            <w:vAlign w:val="center"/>
            <w:textDirection w:val="lrTb"/>
            <w:noWrap w:val="false"/>
          </w:tcPr>
          <w:p>
            <w:pPr>
              <w:jc w:val="center"/>
              <w:keepLines w:val="0"/>
              <w:keepNext w:val="0"/>
              <w:pageBreakBefore w:val="0"/>
              <w:spacing w:line="240" w:lineRule="auto"/>
              <w:rPr>
                <w:rFonts w:ascii="宋体" w:hAnsi="宋体"/>
                <w:b/>
                <w:bCs/>
                <w:color w:val="auto"/>
                <w:highlight w:val="none"/>
              </w:rPr>
            </w:pPr>
            <w:r>
              <w:rPr>
                <w:rFonts w:ascii="宋体" w:hAnsi="宋体"/>
                <w:b/>
                <w:bCs/>
                <w:color w:val="auto"/>
                <w:highlight w:val="none"/>
              </w:rPr>
            </w:r>
            <w:r/>
          </w:p>
        </w:tc>
        <w:tc>
          <w:tcPr>
            <w:tcW w:w="539" w:type="pct"/>
            <w:vAlign w:val="center"/>
            <w:textDirection w:val="lrTb"/>
            <w:noWrap w:val="false"/>
          </w:tcPr>
          <w:p>
            <w:pPr>
              <w:jc w:val="center"/>
              <w:keepLines w:val="0"/>
              <w:keepNext w:val="0"/>
              <w:pageBreakBefore w:val="0"/>
              <w:spacing w:line="240" w:lineRule="auto"/>
              <w:rPr>
                <w:rFonts w:ascii="宋体" w:hAnsi="宋体"/>
                <w:b/>
                <w:bCs/>
                <w:color w:val="auto"/>
                <w:highlight w:val="none"/>
              </w:rPr>
            </w:pPr>
            <w:r>
              <w:rPr>
                <w:rFonts w:ascii="宋体" w:hAnsi="宋体"/>
                <w:b/>
                <w:bCs/>
                <w:color w:val="auto"/>
                <w:highlight w:val="none"/>
              </w:rPr>
            </w:r>
            <w:r/>
          </w:p>
        </w:tc>
        <w:tc>
          <w:tcPr>
            <w:tcW w:w="260" w:type="pct"/>
            <w:vAlign w:val="center"/>
            <w:textDirection w:val="lrTb"/>
            <w:noWrap w:val="false"/>
          </w:tcPr>
          <w:p>
            <w:pPr>
              <w:jc w:val="center"/>
              <w:keepLines w:val="0"/>
              <w:keepNext w:val="0"/>
              <w:pageBreakBefore w:val="0"/>
              <w:spacing w:line="240" w:lineRule="auto"/>
              <w:rPr>
                <w:rFonts w:ascii="宋体" w:hAnsi="宋体"/>
                <w:b/>
                <w:bCs/>
                <w:color w:val="auto"/>
                <w:highlight w:val="none"/>
              </w:rPr>
            </w:pPr>
            <w:r>
              <w:rPr>
                <w:rFonts w:ascii="宋体" w:hAnsi="宋体"/>
                <w:b/>
                <w:bCs/>
                <w:color w:val="auto"/>
                <w:highlight w:val="none"/>
              </w:rPr>
            </w:r>
            <w:r/>
          </w:p>
        </w:tc>
        <w:tc>
          <w:tcPr>
            <w:tcW w:w="203" w:type="pct"/>
            <w:vAlign w:val="center"/>
            <w:textDirection w:val="lrTb"/>
            <w:noWrap w:val="false"/>
          </w:tcPr>
          <w:p>
            <w:pPr>
              <w:jc w:val="center"/>
              <w:keepLines w:val="0"/>
              <w:keepNext w:val="0"/>
              <w:pageBreakBefore w:val="0"/>
              <w:spacing w:line="240" w:lineRule="auto"/>
              <w:rPr>
                <w:rFonts w:ascii="宋体" w:hAnsi="宋体"/>
                <w:b/>
                <w:bCs/>
                <w:color w:val="auto"/>
                <w:highlight w:val="none"/>
              </w:rPr>
            </w:pPr>
            <w:r>
              <w:rPr>
                <w:rFonts w:ascii="宋体" w:hAnsi="宋体"/>
                <w:b/>
                <w:bCs/>
                <w:color w:val="auto"/>
                <w:highlight w:val="none"/>
              </w:rPr>
            </w:r>
            <w:r/>
          </w:p>
        </w:tc>
        <w:tc>
          <w:tcPr>
            <w:tcW w:w="253" w:type="pct"/>
            <w:vAlign w:val="center"/>
            <w:textDirection w:val="lrTb"/>
            <w:noWrap w:val="false"/>
          </w:tcPr>
          <w:p>
            <w:pPr>
              <w:jc w:val="center"/>
              <w:keepLines w:val="0"/>
              <w:keepNext w:val="0"/>
              <w:pageBreakBefore w:val="0"/>
              <w:spacing w:line="240" w:lineRule="auto"/>
              <w:rPr>
                <w:rFonts w:ascii="宋体" w:hAnsi="宋体"/>
                <w:b/>
                <w:bCs/>
                <w:color w:val="auto"/>
                <w:highlight w:val="none"/>
              </w:rPr>
            </w:pPr>
            <w:r>
              <w:rPr>
                <w:rFonts w:ascii="宋体" w:hAnsi="宋体"/>
                <w:b/>
                <w:bCs/>
                <w:color w:val="auto"/>
                <w:highlight w:val="none"/>
              </w:rPr>
            </w:r>
            <w:r/>
          </w:p>
        </w:tc>
      </w:tr>
      <w:tr>
        <w:trPr>
          <w:cantSplit/>
          <w:trHeight w:val="368"/>
        </w:trPr>
        <w:tc>
          <w:tcPr>
            <w:tcW w:w="240" w:type="pct"/>
            <w:vAlign w:val="center"/>
            <w:textDirection w:val="lrTb"/>
            <w:noWrap w:val="false"/>
          </w:tcPr>
          <w:p>
            <w:pPr>
              <w:jc w:val="center"/>
              <w:keepLines w:val="0"/>
              <w:keepNext w:val="0"/>
              <w:pageBreakBefore w:val="0"/>
              <w:spacing w:line="240" w:lineRule="auto"/>
              <w:widowControl/>
              <w:rPr>
                <w:rFonts w:ascii="宋体" w:hAnsi="宋体"/>
                <w:color w:val="auto"/>
                <w:highlight w:val="none"/>
              </w:rPr>
            </w:pPr>
            <w:r>
              <w:rPr>
                <w:rFonts w:hint="eastAsia" w:ascii="宋体" w:hAnsi="宋体" w:eastAsia="宋体" w:cs="宋体"/>
                <w:color w:val="auto"/>
                <w:sz w:val="21"/>
                <w:szCs w:val="21"/>
              </w:rPr>
              <w:t xml:space="preserve">2</w:t>
            </w:r>
            <w:r/>
          </w:p>
        </w:tc>
        <w:tc>
          <w:tcPr>
            <w:tcMar>
              <w:left w:w="15" w:type="dxa"/>
              <w:top w:w="15" w:type="dxa"/>
              <w:right w:w="15" w:type="dxa"/>
              <w:bottom w:w="0" w:type="dxa"/>
            </w:tcMar>
            <w:tcW w:w="762"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hint="eastAsia" w:ascii="宋体" w:hAnsi="宋体" w:eastAsia="宋体" w:cs="宋体"/>
                <w:color w:val="auto"/>
                <w:sz w:val="21"/>
                <w:szCs w:val="21"/>
              </w:rPr>
              <w:t xml:space="preserve">便携式森林消防水泵</w:t>
            </w:r>
            <w:r/>
          </w:p>
        </w:tc>
        <w:tc>
          <w:tcPr>
            <w:tcMar>
              <w:left w:w="15" w:type="dxa"/>
              <w:top w:w="15" w:type="dxa"/>
              <w:right w:w="15" w:type="dxa"/>
              <w:bottom w:w="0" w:type="dxa"/>
            </w:tcMar>
            <w:tcW w:w="411"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ascii="宋体" w:hAnsi="宋体" w:cs="Gulim"/>
                <w:color w:val="auto"/>
                <w:highlight w:val="none"/>
              </w:rPr>
            </w:r>
            <w:r/>
          </w:p>
        </w:tc>
        <w:tc>
          <w:tcPr>
            <w:shd w:val="clear" w:color="auto" w:fill="auto"/>
            <w:tcW w:w="250" w:type="pct"/>
            <w:vAlign w:val="center"/>
            <w:textDirection w:val="lrTb"/>
            <w:noWrap w:val="false"/>
          </w:tcPr>
          <w:p>
            <w:pPr>
              <w:jc w:val="center"/>
              <w:keepLines w:val="0"/>
              <w:keepNext w:val="0"/>
              <w:pageBreakBefore w:val="0"/>
              <w:spacing w:line="240" w:lineRule="auto"/>
              <w:widowControl/>
              <w:rPr>
                <w:rFonts w:ascii="宋体" w:hAnsi="宋体" w:eastAsia="宋体" w:cs="Gulim"/>
                <w:color w:val="auto"/>
                <w:sz w:val="21"/>
                <w:szCs w:val="24"/>
                <w:highlight w:val="none"/>
                <w:lang w:val="en-US" w:eastAsia="zh-CN" w:bidi="ar-SA"/>
              </w:rPr>
            </w:pPr>
            <w:r>
              <w:rPr>
                <w:rFonts w:hint="eastAsia" w:ascii="宋体" w:hAnsi="宋体" w:eastAsia="宋体" w:cs="宋体"/>
                <w:color w:val="auto"/>
                <w:sz w:val="21"/>
                <w:szCs w:val="21"/>
              </w:rPr>
              <w:t xml:space="preserve">10</w:t>
            </w:r>
            <w:r/>
          </w:p>
        </w:tc>
        <w:tc>
          <w:tcPr>
            <w:tcW w:w="298" w:type="pct"/>
            <w:vAlign w:val="center"/>
            <w:textDirection w:val="lrTb"/>
            <w:noWrap w:val="false"/>
          </w:tcPr>
          <w:p>
            <w:pPr>
              <w:jc w:val="center"/>
              <w:keepLines w:val="0"/>
              <w:keepNext w:val="0"/>
              <w:pageBreakBefore w:val="0"/>
              <w:spacing w:line="240" w:lineRule="auto"/>
              <w:widowControl/>
              <w:rPr>
                <w:rFonts w:hint="eastAsia" w:ascii="宋体" w:hAnsi="宋体" w:eastAsia="宋体" w:cs="Gulim"/>
                <w:color w:val="auto"/>
                <w:sz w:val="21"/>
                <w:szCs w:val="24"/>
                <w:highlight w:val="none"/>
                <w:lang w:val="en-US" w:eastAsia="zh-CN" w:bidi="ar-SA"/>
              </w:rPr>
            </w:pPr>
            <w:r>
              <w:rPr>
                <w:rFonts w:hint="eastAsia" w:ascii="宋体" w:hAnsi="宋体" w:eastAsia="宋体" w:cs="Gulim"/>
                <w:color w:val="auto"/>
                <w:sz w:val="21"/>
                <w:szCs w:val="24"/>
                <w:highlight w:val="none"/>
                <w:lang w:val="en-US" w:eastAsia="zh-CN" w:bidi="ar-SA"/>
              </w:rPr>
              <w:t xml:space="preserve">台</w:t>
            </w:r>
            <w:r/>
          </w:p>
        </w:tc>
        <w:tc>
          <w:tcPr>
            <w:tcW w:w="43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59"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88"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539"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60"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0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5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r>
      <w:tr>
        <w:trPr>
          <w:cantSplit/>
          <w:trHeight w:val="368"/>
        </w:trPr>
        <w:tc>
          <w:tcPr>
            <w:tcW w:w="240" w:type="pct"/>
            <w:vAlign w:val="center"/>
            <w:textDirection w:val="lrTb"/>
            <w:noWrap w:val="false"/>
          </w:tcPr>
          <w:p>
            <w:pPr>
              <w:jc w:val="center"/>
              <w:keepLines w:val="0"/>
              <w:keepNext w:val="0"/>
              <w:pageBreakBefore w:val="0"/>
              <w:spacing w:line="240" w:lineRule="auto"/>
              <w:widowControl/>
              <w:rPr>
                <w:rFonts w:ascii="宋体" w:hAnsi="宋体"/>
                <w:color w:val="auto"/>
                <w:highlight w:val="none"/>
              </w:rPr>
            </w:pPr>
            <w:r>
              <w:rPr>
                <w:rFonts w:hint="eastAsia" w:ascii="宋体" w:hAnsi="宋体" w:eastAsia="宋体" w:cs="宋体"/>
                <w:color w:val="auto"/>
                <w:sz w:val="21"/>
                <w:szCs w:val="21"/>
              </w:rPr>
              <w:t xml:space="preserve">3</w:t>
            </w:r>
            <w:r/>
          </w:p>
        </w:tc>
        <w:tc>
          <w:tcPr>
            <w:tcMar>
              <w:left w:w="15" w:type="dxa"/>
              <w:top w:w="15" w:type="dxa"/>
              <w:right w:w="15" w:type="dxa"/>
              <w:bottom w:w="0" w:type="dxa"/>
            </w:tcMar>
            <w:tcW w:w="762"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hint="eastAsia" w:ascii="宋体" w:hAnsi="宋体" w:eastAsia="宋体" w:cs="宋体"/>
                <w:color w:val="auto"/>
                <w:sz w:val="21"/>
                <w:szCs w:val="21"/>
              </w:rPr>
              <w:t xml:space="preserve">背负式森林消防水泵</w:t>
            </w:r>
            <w:r/>
          </w:p>
        </w:tc>
        <w:tc>
          <w:tcPr>
            <w:tcMar>
              <w:left w:w="15" w:type="dxa"/>
              <w:top w:w="15" w:type="dxa"/>
              <w:right w:w="15" w:type="dxa"/>
              <w:bottom w:w="0" w:type="dxa"/>
            </w:tcMar>
            <w:tcW w:w="411"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ascii="宋体" w:hAnsi="宋体" w:cs="Gulim"/>
                <w:color w:val="auto"/>
                <w:highlight w:val="none"/>
              </w:rPr>
            </w:r>
            <w:r/>
          </w:p>
        </w:tc>
        <w:tc>
          <w:tcPr>
            <w:shd w:val="clear" w:color="auto" w:fill="auto"/>
            <w:tcW w:w="250" w:type="pct"/>
            <w:vAlign w:val="center"/>
            <w:textDirection w:val="lrTb"/>
            <w:noWrap w:val="false"/>
          </w:tcPr>
          <w:p>
            <w:pPr>
              <w:jc w:val="center"/>
              <w:keepLines w:val="0"/>
              <w:keepNext w:val="0"/>
              <w:pageBreakBefore w:val="0"/>
              <w:spacing w:line="240" w:lineRule="auto"/>
              <w:widowControl/>
              <w:rPr>
                <w:rFonts w:ascii="宋体" w:hAnsi="宋体" w:eastAsia="宋体" w:cs="Gulim"/>
                <w:color w:val="auto"/>
                <w:sz w:val="21"/>
                <w:szCs w:val="24"/>
                <w:highlight w:val="none"/>
                <w:lang w:val="en-US" w:eastAsia="zh-CN" w:bidi="ar-SA"/>
              </w:rPr>
            </w:pPr>
            <w:r>
              <w:rPr>
                <w:rFonts w:hint="eastAsia" w:ascii="宋体" w:hAnsi="宋体" w:eastAsia="宋体" w:cs="宋体"/>
                <w:color w:val="auto"/>
                <w:sz w:val="21"/>
                <w:szCs w:val="21"/>
              </w:rPr>
              <w:t xml:space="preserve">10</w:t>
            </w:r>
            <w:r/>
          </w:p>
        </w:tc>
        <w:tc>
          <w:tcPr>
            <w:tcW w:w="298" w:type="pct"/>
            <w:vAlign w:val="center"/>
            <w:textDirection w:val="lrTb"/>
            <w:noWrap w:val="false"/>
          </w:tcPr>
          <w:p>
            <w:pPr>
              <w:jc w:val="center"/>
              <w:keepLines w:val="0"/>
              <w:keepNext w:val="0"/>
              <w:pageBreakBefore w:val="0"/>
              <w:spacing w:line="240" w:lineRule="auto"/>
              <w:widowControl/>
              <w:rPr>
                <w:rFonts w:hint="eastAsia" w:ascii="宋体" w:hAnsi="宋体" w:eastAsia="宋体" w:cs="Gulim"/>
                <w:color w:val="auto"/>
                <w:sz w:val="21"/>
                <w:szCs w:val="24"/>
                <w:highlight w:val="none"/>
                <w:lang w:val="en-US" w:eastAsia="zh-CN" w:bidi="ar-SA"/>
              </w:rPr>
            </w:pPr>
            <w:r>
              <w:rPr>
                <w:rFonts w:hint="eastAsia" w:ascii="宋体" w:hAnsi="宋体" w:eastAsia="宋体" w:cs="Gulim"/>
                <w:color w:val="auto"/>
                <w:sz w:val="21"/>
                <w:szCs w:val="24"/>
                <w:highlight w:val="none"/>
                <w:lang w:val="en-US" w:eastAsia="zh-CN" w:bidi="ar-SA"/>
              </w:rPr>
              <w:t xml:space="preserve">台</w:t>
            </w:r>
            <w:r/>
          </w:p>
        </w:tc>
        <w:tc>
          <w:tcPr>
            <w:tcW w:w="43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59"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88"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539"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60"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0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5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r>
      <w:tr>
        <w:trPr>
          <w:cantSplit/>
          <w:trHeight w:val="368"/>
        </w:trPr>
        <w:tc>
          <w:tcPr>
            <w:tcW w:w="240" w:type="pct"/>
            <w:vAlign w:val="center"/>
            <w:textDirection w:val="lrTb"/>
            <w:noWrap w:val="false"/>
          </w:tcPr>
          <w:p>
            <w:pPr>
              <w:jc w:val="center"/>
              <w:keepLines w:val="0"/>
              <w:keepNext w:val="0"/>
              <w:pageBreakBefore w:val="0"/>
              <w:spacing w:line="240" w:lineRule="auto"/>
              <w:widowControl/>
              <w:rPr>
                <w:rFonts w:ascii="宋体" w:hAnsi="宋体"/>
                <w:color w:val="auto"/>
                <w:highlight w:val="none"/>
              </w:rPr>
            </w:pPr>
            <w:r>
              <w:rPr>
                <w:rFonts w:hint="eastAsia" w:ascii="宋体" w:hAnsi="宋体" w:eastAsia="宋体" w:cs="宋体"/>
                <w:color w:val="auto"/>
                <w:sz w:val="21"/>
                <w:szCs w:val="21"/>
              </w:rPr>
              <w:t xml:space="preserve">4</w:t>
            </w:r>
            <w:r/>
          </w:p>
        </w:tc>
        <w:tc>
          <w:tcPr>
            <w:tcMar>
              <w:left w:w="15" w:type="dxa"/>
              <w:top w:w="15" w:type="dxa"/>
              <w:right w:w="15" w:type="dxa"/>
              <w:bottom w:w="0" w:type="dxa"/>
            </w:tcMar>
            <w:tcW w:w="762"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hint="eastAsia" w:ascii="宋体" w:hAnsi="宋体" w:eastAsia="宋体" w:cs="宋体"/>
                <w:color w:val="auto"/>
                <w:sz w:val="21"/>
                <w:szCs w:val="21"/>
              </w:rPr>
              <w:t xml:space="preserve">泡沫阻燃森林消防水泵</w:t>
            </w:r>
            <w:r/>
          </w:p>
        </w:tc>
        <w:tc>
          <w:tcPr>
            <w:tcMar>
              <w:left w:w="15" w:type="dxa"/>
              <w:top w:w="15" w:type="dxa"/>
              <w:right w:w="15" w:type="dxa"/>
              <w:bottom w:w="0" w:type="dxa"/>
            </w:tcMar>
            <w:tcW w:w="411"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ascii="宋体" w:hAnsi="宋体" w:cs="Gulim"/>
                <w:color w:val="auto"/>
                <w:highlight w:val="none"/>
              </w:rPr>
            </w:r>
            <w:r/>
          </w:p>
        </w:tc>
        <w:tc>
          <w:tcPr>
            <w:shd w:val="clear" w:color="auto" w:fill="auto"/>
            <w:tcW w:w="250" w:type="pct"/>
            <w:vAlign w:val="center"/>
            <w:textDirection w:val="lrTb"/>
            <w:noWrap w:val="false"/>
          </w:tcPr>
          <w:p>
            <w:pPr>
              <w:jc w:val="center"/>
              <w:keepLines w:val="0"/>
              <w:keepNext w:val="0"/>
              <w:pageBreakBefore w:val="0"/>
              <w:spacing w:line="240" w:lineRule="auto"/>
              <w:widowControl/>
              <w:rPr>
                <w:rFonts w:ascii="宋体" w:hAnsi="宋体" w:eastAsia="宋体" w:cs="Gulim"/>
                <w:color w:val="auto"/>
                <w:sz w:val="21"/>
                <w:szCs w:val="24"/>
                <w:highlight w:val="none"/>
                <w:lang w:val="en-US" w:eastAsia="zh-CN" w:bidi="ar-SA"/>
              </w:rPr>
            </w:pPr>
            <w:r>
              <w:rPr>
                <w:rFonts w:hint="eastAsia" w:ascii="宋体" w:hAnsi="宋体" w:eastAsia="宋体" w:cs="宋体"/>
                <w:color w:val="auto"/>
                <w:sz w:val="21"/>
                <w:szCs w:val="21"/>
              </w:rPr>
              <w:t xml:space="preserve">10</w:t>
            </w:r>
            <w:r/>
          </w:p>
        </w:tc>
        <w:tc>
          <w:tcPr>
            <w:tcW w:w="298" w:type="pct"/>
            <w:vAlign w:val="center"/>
            <w:textDirection w:val="lrTb"/>
            <w:noWrap w:val="false"/>
          </w:tcPr>
          <w:p>
            <w:pPr>
              <w:jc w:val="center"/>
              <w:keepLines w:val="0"/>
              <w:keepNext w:val="0"/>
              <w:pageBreakBefore w:val="0"/>
              <w:spacing w:line="240" w:lineRule="auto"/>
              <w:widowControl/>
              <w:rPr>
                <w:rFonts w:hint="eastAsia" w:ascii="宋体" w:hAnsi="宋体" w:eastAsia="宋体" w:cs="Gulim"/>
                <w:color w:val="auto"/>
                <w:sz w:val="21"/>
                <w:szCs w:val="24"/>
                <w:highlight w:val="none"/>
                <w:lang w:val="en-US" w:eastAsia="zh-CN" w:bidi="ar-SA"/>
              </w:rPr>
            </w:pPr>
            <w:r>
              <w:rPr>
                <w:rFonts w:hint="eastAsia" w:ascii="宋体" w:hAnsi="宋体" w:eastAsia="宋体" w:cs="Gulim"/>
                <w:color w:val="auto"/>
                <w:sz w:val="21"/>
                <w:szCs w:val="24"/>
                <w:highlight w:val="none"/>
                <w:lang w:val="en-US" w:eastAsia="zh-CN" w:bidi="ar-SA"/>
              </w:rPr>
              <w:t xml:space="preserve">台</w:t>
            </w:r>
            <w:r/>
          </w:p>
        </w:tc>
        <w:tc>
          <w:tcPr>
            <w:tcW w:w="433"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ascii="宋体" w:hAnsi="宋体" w:cs="Gulim"/>
                <w:color w:val="auto"/>
                <w:highlight w:val="none"/>
              </w:rPr>
            </w:r>
            <w:r/>
          </w:p>
        </w:tc>
        <w:tc>
          <w:tcPr>
            <w:tcW w:w="659"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88"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539"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60"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0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5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r>
      <w:tr>
        <w:trPr>
          <w:cantSplit/>
          <w:trHeight w:val="368"/>
        </w:trPr>
        <w:tc>
          <w:tcPr>
            <w:tcW w:w="240" w:type="pct"/>
            <w:vAlign w:val="center"/>
            <w:textDirection w:val="lrTb"/>
            <w:noWrap w:val="false"/>
          </w:tcPr>
          <w:p>
            <w:pPr>
              <w:jc w:val="center"/>
              <w:keepLines w:val="0"/>
              <w:keepNext w:val="0"/>
              <w:pageBreakBefore w:val="0"/>
              <w:spacing w:line="240" w:lineRule="auto"/>
              <w:widowControl/>
              <w:rPr>
                <w:rFonts w:ascii="宋体" w:hAnsi="宋体"/>
                <w:color w:val="auto"/>
                <w:highlight w:val="none"/>
              </w:rPr>
            </w:pPr>
            <w:r>
              <w:rPr>
                <w:rFonts w:hint="eastAsia" w:ascii="宋体" w:hAnsi="宋体" w:eastAsia="宋体" w:cs="宋体"/>
                <w:color w:val="auto"/>
                <w:sz w:val="21"/>
                <w:szCs w:val="21"/>
              </w:rPr>
              <w:t xml:space="preserve">5</w:t>
            </w:r>
            <w:r/>
          </w:p>
        </w:tc>
        <w:tc>
          <w:tcPr>
            <w:tcMar>
              <w:left w:w="15" w:type="dxa"/>
              <w:top w:w="15" w:type="dxa"/>
              <w:right w:w="15" w:type="dxa"/>
              <w:bottom w:w="0" w:type="dxa"/>
            </w:tcMar>
            <w:tcW w:w="762"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hint="eastAsia" w:ascii="宋体" w:hAnsi="宋体" w:eastAsia="宋体" w:cs="宋体"/>
                <w:color w:val="auto"/>
                <w:sz w:val="21"/>
                <w:szCs w:val="21"/>
              </w:rPr>
              <w:t xml:space="preserve">背负式风力灭火机</w:t>
            </w:r>
            <w:r/>
          </w:p>
        </w:tc>
        <w:tc>
          <w:tcPr>
            <w:tcMar>
              <w:left w:w="15" w:type="dxa"/>
              <w:top w:w="15" w:type="dxa"/>
              <w:right w:w="15" w:type="dxa"/>
              <w:bottom w:w="0" w:type="dxa"/>
            </w:tcMar>
            <w:tcW w:w="411"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ascii="宋体" w:hAnsi="宋体" w:cs="Gulim"/>
                <w:color w:val="auto"/>
                <w:highlight w:val="none"/>
              </w:rPr>
            </w:r>
            <w:r/>
          </w:p>
        </w:tc>
        <w:tc>
          <w:tcPr>
            <w:shd w:val="clear" w:color="auto" w:fill="auto"/>
            <w:tcW w:w="250" w:type="pct"/>
            <w:vAlign w:val="center"/>
            <w:textDirection w:val="lrTb"/>
            <w:noWrap w:val="false"/>
          </w:tcPr>
          <w:p>
            <w:pPr>
              <w:jc w:val="center"/>
              <w:keepLines w:val="0"/>
              <w:keepNext w:val="0"/>
              <w:pageBreakBefore w:val="0"/>
              <w:spacing w:line="240" w:lineRule="auto"/>
              <w:widowControl/>
              <w:rPr>
                <w:rFonts w:ascii="宋体" w:hAnsi="宋体" w:eastAsia="宋体" w:cs="Gulim"/>
                <w:color w:val="auto"/>
                <w:sz w:val="21"/>
                <w:szCs w:val="24"/>
                <w:highlight w:val="none"/>
                <w:lang w:val="en-US" w:eastAsia="zh-CN" w:bidi="ar-SA"/>
              </w:rPr>
            </w:pPr>
            <w:r>
              <w:rPr>
                <w:rFonts w:hint="eastAsia" w:ascii="宋体" w:hAnsi="宋体" w:eastAsia="宋体" w:cs="宋体"/>
                <w:color w:val="auto"/>
                <w:sz w:val="21"/>
                <w:szCs w:val="21"/>
              </w:rPr>
              <w:t xml:space="preserve">30</w:t>
            </w:r>
            <w:r/>
          </w:p>
        </w:tc>
        <w:tc>
          <w:tcPr>
            <w:tcW w:w="298" w:type="pct"/>
            <w:vAlign w:val="center"/>
            <w:textDirection w:val="lrTb"/>
            <w:noWrap w:val="false"/>
          </w:tcPr>
          <w:p>
            <w:pPr>
              <w:jc w:val="center"/>
              <w:keepLines w:val="0"/>
              <w:keepNext w:val="0"/>
              <w:pageBreakBefore w:val="0"/>
              <w:spacing w:line="240" w:lineRule="auto"/>
              <w:widowControl/>
              <w:rPr>
                <w:rFonts w:hint="eastAsia" w:ascii="宋体" w:hAnsi="宋体" w:eastAsia="宋体" w:cs="Gulim"/>
                <w:color w:val="auto"/>
                <w:sz w:val="21"/>
                <w:szCs w:val="24"/>
                <w:highlight w:val="none"/>
                <w:lang w:val="en-US" w:eastAsia="zh-CN" w:bidi="ar-SA"/>
              </w:rPr>
            </w:pPr>
            <w:r>
              <w:rPr>
                <w:rFonts w:hint="eastAsia" w:ascii="宋体" w:hAnsi="宋体" w:eastAsia="宋体" w:cs="Gulim"/>
                <w:color w:val="auto"/>
                <w:sz w:val="21"/>
                <w:szCs w:val="24"/>
                <w:highlight w:val="none"/>
                <w:lang w:val="en-US" w:eastAsia="zh-CN" w:bidi="ar-SA"/>
              </w:rPr>
              <w:t xml:space="preserve">台</w:t>
            </w:r>
            <w:r/>
          </w:p>
        </w:tc>
        <w:tc>
          <w:tcPr>
            <w:tcW w:w="43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59"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88"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539"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60"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0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5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r>
      <w:tr>
        <w:trPr>
          <w:cantSplit/>
          <w:trHeight w:val="368"/>
        </w:trPr>
        <w:tc>
          <w:tcPr>
            <w:tcW w:w="240" w:type="pct"/>
            <w:vAlign w:val="center"/>
            <w:textDirection w:val="lrTb"/>
            <w:noWrap w:val="false"/>
          </w:tcPr>
          <w:p>
            <w:pPr>
              <w:jc w:val="center"/>
              <w:keepLines w:val="0"/>
              <w:keepNext w:val="0"/>
              <w:pageBreakBefore w:val="0"/>
              <w:spacing w:line="240" w:lineRule="auto"/>
              <w:widowControl/>
              <w:rPr>
                <w:rFonts w:ascii="宋体" w:hAnsi="宋体"/>
                <w:color w:val="auto"/>
                <w:highlight w:val="none"/>
              </w:rPr>
            </w:pPr>
            <w:r>
              <w:rPr>
                <w:rFonts w:hint="eastAsia" w:ascii="宋体" w:hAnsi="宋体" w:eastAsia="宋体" w:cs="宋体"/>
                <w:color w:val="auto"/>
                <w:sz w:val="21"/>
                <w:szCs w:val="21"/>
              </w:rPr>
              <w:t xml:space="preserve">6</w:t>
            </w:r>
            <w:r/>
          </w:p>
        </w:tc>
        <w:tc>
          <w:tcPr>
            <w:tcMar>
              <w:left w:w="15" w:type="dxa"/>
              <w:top w:w="15" w:type="dxa"/>
              <w:right w:w="15" w:type="dxa"/>
              <w:bottom w:w="0" w:type="dxa"/>
            </w:tcMar>
            <w:tcW w:w="762"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hint="eastAsia" w:ascii="宋体" w:hAnsi="宋体" w:eastAsia="宋体" w:cs="宋体"/>
                <w:color w:val="auto"/>
                <w:sz w:val="21"/>
                <w:szCs w:val="21"/>
              </w:rPr>
              <w:t xml:space="preserve">便携式风力灭火机</w:t>
            </w:r>
            <w:r/>
          </w:p>
        </w:tc>
        <w:tc>
          <w:tcPr>
            <w:tcMar>
              <w:left w:w="15" w:type="dxa"/>
              <w:top w:w="15" w:type="dxa"/>
              <w:right w:w="15" w:type="dxa"/>
              <w:bottom w:w="0" w:type="dxa"/>
            </w:tcMar>
            <w:tcW w:w="411"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ascii="宋体" w:hAnsi="宋体" w:cs="Gulim"/>
                <w:color w:val="auto"/>
                <w:highlight w:val="none"/>
              </w:rPr>
            </w:r>
            <w:r/>
          </w:p>
        </w:tc>
        <w:tc>
          <w:tcPr>
            <w:shd w:val="clear" w:color="auto" w:fill="auto"/>
            <w:tcW w:w="250" w:type="pct"/>
            <w:vAlign w:val="center"/>
            <w:textDirection w:val="lrTb"/>
            <w:noWrap w:val="false"/>
          </w:tcPr>
          <w:p>
            <w:pPr>
              <w:jc w:val="center"/>
              <w:keepLines w:val="0"/>
              <w:keepNext w:val="0"/>
              <w:pageBreakBefore w:val="0"/>
              <w:spacing w:line="240" w:lineRule="auto"/>
              <w:widowControl/>
              <w:rPr>
                <w:rFonts w:ascii="宋体" w:hAnsi="宋体" w:eastAsia="宋体" w:cs="Gulim"/>
                <w:color w:val="auto"/>
                <w:sz w:val="21"/>
                <w:szCs w:val="24"/>
                <w:highlight w:val="none"/>
                <w:lang w:val="en-US" w:eastAsia="zh-CN" w:bidi="ar-SA"/>
              </w:rPr>
            </w:pPr>
            <w:r>
              <w:rPr>
                <w:rFonts w:hint="eastAsia" w:ascii="宋体" w:hAnsi="宋体" w:eastAsia="宋体" w:cs="宋体"/>
                <w:color w:val="auto"/>
                <w:sz w:val="21"/>
                <w:szCs w:val="21"/>
              </w:rPr>
              <w:t xml:space="preserve">30</w:t>
            </w:r>
            <w:r/>
          </w:p>
        </w:tc>
        <w:tc>
          <w:tcPr>
            <w:tcW w:w="298" w:type="pct"/>
            <w:vAlign w:val="center"/>
            <w:textDirection w:val="lrTb"/>
            <w:noWrap w:val="false"/>
          </w:tcPr>
          <w:p>
            <w:pPr>
              <w:jc w:val="center"/>
              <w:keepLines w:val="0"/>
              <w:keepNext w:val="0"/>
              <w:pageBreakBefore w:val="0"/>
              <w:spacing w:line="240" w:lineRule="auto"/>
              <w:widowControl/>
              <w:rPr>
                <w:rFonts w:hint="eastAsia" w:ascii="宋体" w:hAnsi="宋体" w:eastAsia="宋体" w:cs="Gulim"/>
                <w:color w:val="auto"/>
                <w:sz w:val="21"/>
                <w:szCs w:val="24"/>
                <w:highlight w:val="none"/>
                <w:lang w:val="en-US" w:eastAsia="zh-CN" w:bidi="ar-SA"/>
              </w:rPr>
            </w:pPr>
            <w:r>
              <w:rPr>
                <w:rFonts w:hint="eastAsia" w:ascii="宋体" w:hAnsi="宋体" w:eastAsia="宋体" w:cs="Gulim"/>
                <w:color w:val="auto"/>
                <w:sz w:val="21"/>
                <w:szCs w:val="24"/>
                <w:highlight w:val="none"/>
                <w:lang w:val="en-US" w:eastAsia="zh-CN" w:bidi="ar-SA"/>
              </w:rPr>
              <w:t xml:space="preserve">台</w:t>
            </w:r>
            <w:r/>
          </w:p>
        </w:tc>
        <w:tc>
          <w:tcPr>
            <w:tcW w:w="43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59"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88"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539"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60"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0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5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r>
      <w:tr>
        <w:trPr>
          <w:cantSplit/>
          <w:trHeight w:val="368"/>
        </w:trPr>
        <w:tc>
          <w:tcPr>
            <w:tcW w:w="240" w:type="pct"/>
            <w:vAlign w:val="center"/>
            <w:textDirection w:val="lrTb"/>
            <w:noWrap w:val="false"/>
          </w:tcPr>
          <w:p>
            <w:pPr>
              <w:jc w:val="center"/>
              <w:keepLines w:val="0"/>
              <w:keepNext w:val="0"/>
              <w:pageBreakBefore w:val="0"/>
              <w:spacing w:line="240" w:lineRule="auto"/>
              <w:widowControl/>
              <w:rPr>
                <w:rFonts w:ascii="宋体" w:hAnsi="宋体"/>
                <w:color w:val="auto"/>
                <w:highlight w:val="none"/>
              </w:rPr>
            </w:pPr>
            <w:r>
              <w:rPr>
                <w:rFonts w:hint="eastAsia" w:ascii="宋体" w:hAnsi="宋体" w:eastAsia="宋体" w:cs="宋体"/>
                <w:color w:val="auto"/>
                <w:sz w:val="21"/>
                <w:szCs w:val="21"/>
              </w:rPr>
              <w:t xml:space="preserve">7</w:t>
            </w:r>
            <w:r/>
          </w:p>
        </w:tc>
        <w:tc>
          <w:tcPr>
            <w:tcMar>
              <w:left w:w="15" w:type="dxa"/>
              <w:top w:w="15" w:type="dxa"/>
              <w:right w:w="15" w:type="dxa"/>
              <w:bottom w:w="0" w:type="dxa"/>
            </w:tcMar>
            <w:tcW w:w="762"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hint="eastAsia" w:ascii="宋体" w:hAnsi="宋体" w:eastAsia="宋体" w:cs="宋体"/>
                <w:color w:val="auto"/>
                <w:sz w:val="21"/>
                <w:szCs w:val="21"/>
              </w:rPr>
              <w:t xml:space="preserve">气压式细水雾灭火水枪</w:t>
            </w:r>
            <w:r/>
          </w:p>
        </w:tc>
        <w:tc>
          <w:tcPr>
            <w:tcMar>
              <w:left w:w="15" w:type="dxa"/>
              <w:top w:w="15" w:type="dxa"/>
              <w:right w:w="15" w:type="dxa"/>
              <w:bottom w:w="0" w:type="dxa"/>
            </w:tcMar>
            <w:tcW w:w="411"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ascii="宋体" w:hAnsi="宋体" w:cs="Gulim"/>
                <w:color w:val="auto"/>
                <w:highlight w:val="none"/>
              </w:rPr>
            </w:r>
            <w:r/>
          </w:p>
        </w:tc>
        <w:tc>
          <w:tcPr>
            <w:shd w:val="clear" w:color="auto" w:fill="auto"/>
            <w:tcW w:w="250" w:type="pct"/>
            <w:vAlign w:val="center"/>
            <w:textDirection w:val="lrTb"/>
            <w:noWrap w:val="false"/>
          </w:tcPr>
          <w:p>
            <w:pPr>
              <w:jc w:val="center"/>
              <w:keepLines w:val="0"/>
              <w:keepNext w:val="0"/>
              <w:pageBreakBefore w:val="0"/>
              <w:spacing w:line="240" w:lineRule="auto"/>
              <w:widowControl/>
              <w:rPr>
                <w:rFonts w:ascii="宋体" w:hAnsi="宋体" w:eastAsia="宋体" w:cs="Gulim"/>
                <w:color w:val="auto"/>
                <w:sz w:val="21"/>
                <w:szCs w:val="24"/>
                <w:highlight w:val="none"/>
                <w:lang w:val="en-US" w:eastAsia="zh-CN" w:bidi="ar-SA"/>
              </w:rPr>
            </w:pPr>
            <w:r>
              <w:rPr>
                <w:rFonts w:hint="eastAsia" w:ascii="宋体" w:hAnsi="宋体" w:eastAsia="宋体" w:cs="宋体"/>
                <w:color w:val="auto"/>
                <w:sz w:val="21"/>
                <w:szCs w:val="21"/>
              </w:rPr>
              <w:t xml:space="preserve">20</w:t>
            </w:r>
            <w:r/>
          </w:p>
        </w:tc>
        <w:tc>
          <w:tcPr>
            <w:tcW w:w="298" w:type="pct"/>
            <w:vAlign w:val="center"/>
            <w:textDirection w:val="lrTb"/>
            <w:noWrap w:val="false"/>
          </w:tcPr>
          <w:p>
            <w:pPr>
              <w:jc w:val="center"/>
              <w:keepLines w:val="0"/>
              <w:keepNext w:val="0"/>
              <w:pageBreakBefore w:val="0"/>
              <w:spacing w:line="240" w:lineRule="auto"/>
              <w:widowControl/>
              <w:rPr>
                <w:rFonts w:hint="eastAsia" w:ascii="宋体" w:hAnsi="宋体" w:eastAsia="宋体" w:cs="Gulim"/>
                <w:color w:val="auto"/>
                <w:sz w:val="21"/>
                <w:szCs w:val="24"/>
                <w:highlight w:val="none"/>
                <w:lang w:val="en-US" w:eastAsia="zh-CN" w:bidi="ar-SA"/>
              </w:rPr>
            </w:pPr>
            <w:r>
              <w:rPr>
                <w:rFonts w:hint="eastAsia" w:ascii="宋体" w:hAnsi="宋体" w:eastAsia="宋体" w:cs="Gulim"/>
                <w:color w:val="auto"/>
                <w:sz w:val="21"/>
                <w:szCs w:val="24"/>
                <w:highlight w:val="none"/>
                <w:lang w:val="en-US" w:eastAsia="zh-CN" w:bidi="ar-SA"/>
              </w:rPr>
              <w:t xml:space="preserve">台</w:t>
            </w:r>
            <w:r/>
          </w:p>
        </w:tc>
        <w:tc>
          <w:tcPr>
            <w:tcW w:w="43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59"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88"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539"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60"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0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5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r>
      <w:tr>
        <w:trPr>
          <w:cantSplit/>
          <w:trHeight w:val="368"/>
        </w:trPr>
        <w:tc>
          <w:tcPr>
            <w:tcW w:w="240" w:type="pct"/>
            <w:vAlign w:val="center"/>
            <w:textDirection w:val="lrTb"/>
            <w:noWrap w:val="false"/>
          </w:tcPr>
          <w:p>
            <w:pPr>
              <w:jc w:val="center"/>
              <w:keepLines w:val="0"/>
              <w:keepNext w:val="0"/>
              <w:pageBreakBefore w:val="0"/>
              <w:spacing w:line="240" w:lineRule="auto"/>
              <w:widowControl/>
              <w:rPr>
                <w:rFonts w:ascii="宋体" w:hAnsi="宋体"/>
                <w:color w:val="auto"/>
                <w:highlight w:val="none"/>
              </w:rPr>
            </w:pPr>
            <w:r>
              <w:rPr>
                <w:rFonts w:hint="eastAsia" w:ascii="宋体" w:hAnsi="宋体" w:eastAsia="宋体" w:cs="宋体"/>
                <w:color w:val="auto"/>
                <w:sz w:val="21"/>
                <w:szCs w:val="21"/>
              </w:rPr>
              <w:t xml:space="preserve">8</w:t>
            </w:r>
            <w:r/>
          </w:p>
        </w:tc>
        <w:tc>
          <w:tcPr>
            <w:tcMar>
              <w:left w:w="15" w:type="dxa"/>
              <w:top w:w="15" w:type="dxa"/>
              <w:right w:w="15" w:type="dxa"/>
              <w:bottom w:w="0" w:type="dxa"/>
            </w:tcMar>
            <w:tcW w:w="762"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hint="eastAsia" w:ascii="宋体" w:hAnsi="宋体" w:eastAsia="宋体" w:cs="宋体"/>
                <w:color w:val="auto"/>
                <w:sz w:val="21"/>
                <w:szCs w:val="21"/>
              </w:rPr>
              <w:t xml:space="preserve">手掷式灭火弹</w:t>
            </w:r>
            <w:r/>
          </w:p>
        </w:tc>
        <w:tc>
          <w:tcPr>
            <w:tcMar>
              <w:left w:w="15" w:type="dxa"/>
              <w:top w:w="15" w:type="dxa"/>
              <w:right w:w="15" w:type="dxa"/>
              <w:bottom w:w="0" w:type="dxa"/>
            </w:tcMar>
            <w:tcW w:w="411"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ascii="宋体" w:hAnsi="宋体" w:cs="Gulim"/>
                <w:color w:val="auto"/>
                <w:highlight w:val="none"/>
              </w:rPr>
            </w:r>
            <w:r/>
          </w:p>
        </w:tc>
        <w:tc>
          <w:tcPr>
            <w:shd w:val="clear" w:color="auto" w:fill="auto"/>
            <w:tcW w:w="250" w:type="pct"/>
            <w:vAlign w:val="center"/>
            <w:textDirection w:val="lrTb"/>
            <w:noWrap w:val="false"/>
          </w:tcPr>
          <w:p>
            <w:pPr>
              <w:jc w:val="center"/>
              <w:keepLines w:val="0"/>
              <w:keepNext w:val="0"/>
              <w:pageBreakBefore w:val="0"/>
              <w:spacing w:line="240" w:lineRule="auto"/>
              <w:widowControl/>
              <w:rPr>
                <w:rFonts w:ascii="宋体" w:hAnsi="宋体" w:eastAsia="宋体" w:cs="Gulim"/>
                <w:color w:val="auto"/>
                <w:sz w:val="21"/>
                <w:szCs w:val="24"/>
                <w:highlight w:val="none"/>
                <w:lang w:val="en-US" w:eastAsia="zh-CN" w:bidi="ar-SA"/>
              </w:rPr>
            </w:pPr>
            <w:r>
              <w:rPr>
                <w:rFonts w:hint="eastAsia" w:ascii="宋体" w:hAnsi="宋体" w:eastAsia="宋体" w:cs="宋体"/>
                <w:color w:val="auto"/>
                <w:sz w:val="21"/>
                <w:szCs w:val="21"/>
              </w:rPr>
              <w:t xml:space="preserve">250</w:t>
            </w:r>
            <w:r/>
          </w:p>
        </w:tc>
        <w:tc>
          <w:tcPr>
            <w:tcW w:w="298" w:type="pct"/>
            <w:vAlign w:val="center"/>
            <w:textDirection w:val="lrTb"/>
            <w:noWrap w:val="false"/>
          </w:tcPr>
          <w:p>
            <w:pPr>
              <w:jc w:val="center"/>
              <w:keepLines w:val="0"/>
              <w:keepNext w:val="0"/>
              <w:pageBreakBefore w:val="0"/>
              <w:spacing w:line="240" w:lineRule="auto"/>
              <w:widowControl/>
              <w:rPr>
                <w:rFonts w:hint="eastAsia" w:ascii="宋体" w:hAnsi="宋体" w:eastAsia="宋体" w:cs="Gulim"/>
                <w:color w:val="auto"/>
                <w:sz w:val="21"/>
                <w:szCs w:val="24"/>
                <w:highlight w:val="none"/>
                <w:lang w:val="en-US" w:eastAsia="zh-CN" w:bidi="ar-SA"/>
              </w:rPr>
            </w:pPr>
            <w:r>
              <w:rPr>
                <w:rFonts w:hint="eastAsia" w:ascii="宋体" w:hAnsi="宋体" w:eastAsia="宋体" w:cs="Gulim"/>
                <w:color w:val="auto"/>
                <w:sz w:val="21"/>
                <w:szCs w:val="24"/>
                <w:highlight w:val="none"/>
                <w:lang w:val="en-US" w:eastAsia="zh-CN" w:bidi="ar-SA"/>
              </w:rPr>
              <w:t xml:space="preserve">箱</w:t>
            </w:r>
            <w:r/>
          </w:p>
        </w:tc>
        <w:tc>
          <w:tcPr>
            <w:tcW w:w="43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59"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88"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539"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60"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0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5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r>
      <w:tr>
        <w:trPr>
          <w:cantSplit/>
          <w:trHeight w:val="368"/>
        </w:trPr>
        <w:tc>
          <w:tcPr>
            <w:tcW w:w="240" w:type="pct"/>
            <w:vAlign w:val="center"/>
            <w:textDirection w:val="lrTb"/>
            <w:noWrap w:val="false"/>
          </w:tcPr>
          <w:p>
            <w:pPr>
              <w:jc w:val="center"/>
              <w:keepLines w:val="0"/>
              <w:keepNext w:val="0"/>
              <w:pageBreakBefore w:val="0"/>
              <w:spacing w:line="240" w:lineRule="auto"/>
              <w:widowControl/>
              <w:rPr>
                <w:rFonts w:ascii="宋体" w:hAnsi="宋体"/>
                <w:color w:val="auto"/>
                <w:highlight w:val="none"/>
              </w:rPr>
            </w:pPr>
            <w:r>
              <w:rPr>
                <w:rFonts w:hint="eastAsia" w:ascii="宋体" w:hAnsi="宋体" w:eastAsia="宋体" w:cs="宋体"/>
                <w:color w:val="auto"/>
                <w:sz w:val="21"/>
                <w:szCs w:val="21"/>
              </w:rPr>
              <w:t xml:space="preserve">9</w:t>
            </w:r>
            <w:r/>
          </w:p>
        </w:tc>
        <w:tc>
          <w:tcPr>
            <w:tcMar>
              <w:left w:w="15" w:type="dxa"/>
              <w:top w:w="15" w:type="dxa"/>
              <w:right w:w="15" w:type="dxa"/>
              <w:bottom w:w="0" w:type="dxa"/>
            </w:tcMar>
            <w:tcW w:w="762"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hint="eastAsia" w:ascii="宋体" w:hAnsi="宋体" w:eastAsia="宋体" w:cs="宋体"/>
                <w:color w:val="auto"/>
                <w:sz w:val="21"/>
                <w:szCs w:val="21"/>
              </w:rPr>
              <w:t xml:space="preserve">水带背包</w:t>
            </w:r>
            <w:r/>
          </w:p>
        </w:tc>
        <w:tc>
          <w:tcPr>
            <w:tcMar>
              <w:left w:w="15" w:type="dxa"/>
              <w:top w:w="15" w:type="dxa"/>
              <w:right w:w="15" w:type="dxa"/>
              <w:bottom w:w="0" w:type="dxa"/>
            </w:tcMar>
            <w:tcW w:w="411"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ascii="宋体" w:hAnsi="宋体" w:cs="Gulim"/>
                <w:color w:val="auto"/>
                <w:highlight w:val="none"/>
              </w:rPr>
            </w:r>
            <w:r/>
          </w:p>
        </w:tc>
        <w:tc>
          <w:tcPr>
            <w:shd w:val="clear" w:color="auto" w:fill="auto"/>
            <w:tcW w:w="250" w:type="pct"/>
            <w:vAlign w:val="center"/>
            <w:textDirection w:val="lrTb"/>
            <w:noWrap w:val="false"/>
          </w:tcPr>
          <w:p>
            <w:pPr>
              <w:jc w:val="center"/>
              <w:keepLines w:val="0"/>
              <w:keepNext w:val="0"/>
              <w:pageBreakBefore w:val="0"/>
              <w:spacing w:line="240" w:lineRule="auto"/>
              <w:widowControl/>
              <w:rPr>
                <w:rFonts w:ascii="宋体" w:hAnsi="宋体" w:eastAsia="宋体" w:cs="Gulim"/>
                <w:color w:val="auto"/>
                <w:sz w:val="21"/>
                <w:szCs w:val="24"/>
                <w:highlight w:val="none"/>
                <w:lang w:val="en-US" w:eastAsia="zh-CN" w:bidi="ar-SA"/>
              </w:rPr>
            </w:pPr>
            <w:r>
              <w:rPr>
                <w:rFonts w:hint="eastAsia" w:ascii="宋体" w:hAnsi="宋体" w:eastAsia="宋体" w:cs="宋体"/>
                <w:color w:val="auto"/>
                <w:sz w:val="21"/>
                <w:szCs w:val="21"/>
              </w:rPr>
              <w:t xml:space="preserve">100</w:t>
            </w:r>
            <w:r/>
          </w:p>
        </w:tc>
        <w:tc>
          <w:tcPr>
            <w:tcW w:w="298" w:type="pct"/>
            <w:vAlign w:val="center"/>
            <w:textDirection w:val="lrTb"/>
            <w:noWrap w:val="false"/>
          </w:tcPr>
          <w:p>
            <w:pPr>
              <w:jc w:val="center"/>
              <w:keepLines w:val="0"/>
              <w:keepNext w:val="0"/>
              <w:pageBreakBefore w:val="0"/>
              <w:spacing w:line="240" w:lineRule="auto"/>
              <w:widowControl/>
              <w:rPr>
                <w:rFonts w:hint="eastAsia" w:ascii="宋体" w:hAnsi="宋体" w:eastAsia="宋体" w:cs="Gulim"/>
                <w:color w:val="auto"/>
                <w:sz w:val="21"/>
                <w:szCs w:val="24"/>
                <w:highlight w:val="none"/>
                <w:lang w:val="en-US" w:eastAsia="zh-CN" w:bidi="ar-SA"/>
              </w:rPr>
            </w:pPr>
            <w:r>
              <w:rPr>
                <w:rFonts w:hint="eastAsia" w:ascii="宋体" w:hAnsi="宋体" w:eastAsia="宋体" w:cs="Gulim"/>
                <w:color w:val="auto"/>
                <w:sz w:val="21"/>
                <w:szCs w:val="24"/>
                <w:highlight w:val="none"/>
                <w:lang w:val="en-US" w:eastAsia="zh-CN" w:bidi="ar-SA"/>
              </w:rPr>
              <w:t xml:space="preserve">个</w:t>
            </w:r>
            <w:r/>
          </w:p>
        </w:tc>
        <w:tc>
          <w:tcPr>
            <w:tcW w:w="43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59"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88"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539"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60"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0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5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r>
      <w:tr>
        <w:trPr>
          <w:cantSplit/>
          <w:trHeight w:val="368"/>
        </w:trPr>
        <w:tc>
          <w:tcPr>
            <w:tcW w:w="240" w:type="pct"/>
            <w:vAlign w:val="center"/>
            <w:textDirection w:val="lrTb"/>
            <w:noWrap w:val="false"/>
          </w:tcPr>
          <w:p>
            <w:pPr>
              <w:jc w:val="center"/>
              <w:keepLines w:val="0"/>
              <w:keepNext w:val="0"/>
              <w:pageBreakBefore w:val="0"/>
              <w:spacing w:line="240" w:lineRule="auto"/>
              <w:widowControl/>
              <w:rPr>
                <w:rFonts w:ascii="宋体" w:hAnsi="宋体"/>
                <w:color w:val="auto"/>
                <w:highlight w:val="none"/>
              </w:rPr>
            </w:pPr>
            <w:r>
              <w:rPr>
                <w:rFonts w:hint="eastAsia" w:ascii="宋体" w:hAnsi="宋体" w:eastAsia="宋体" w:cs="宋体"/>
                <w:color w:val="auto"/>
                <w:sz w:val="21"/>
                <w:szCs w:val="21"/>
              </w:rPr>
              <w:t xml:space="preserve">10</w:t>
            </w:r>
            <w:r/>
          </w:p>
        </w:tc>
        <w:tc>
          <w:tcPr>
            <w:tcMar>
              <w:left w:w="15" w:type="dxa"/>
              <w:top w:w="15" w:type="dxa"/>
              <w:right w:w="15" w:type="dxa"/>
              <w:bottom w:w="0" w:type="dxa"/>
            </w:tcMar>
            <w:tcW w:w="76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消防水带</w:t>
            </w:r>
            <w:r/>
          </w:p>
          <w:p>
            <w:pPr>
              <w:jc w:val="center"/>
              <w:keepLines w:val="0"/>
              <w:keepNext w:val="0"/>
              <w:pageBreakBefore w:val="0"/>
              <w:spacing w:line="240" w:lineRule="auto"/>
              <w:widowControl/>
              <w:rPr>
                <w:rFonts w:ascii="宋体" w:hAnsi="宋体" w:cs="Gulim"/>
                <w:color w:val="auto"/>
                <w:highlight w:val="none"/>
              </w:rPr>
            </w:pPr>
            <w:r>
              <w:rPr>
                <w:rFonts w:hint="eastAsia" w:ascii="宋体" w:hAnsi="宋体" w:eastAsia="宋体" w:cs="宋体"/>
                <w:color w:val="auto"/>
                <w:sz w:val="21"/>
                <w:szCs w:val="21"/>
              </w:rPr>
              <w:t xml:space="preserve">（型号20-40-30）</w:t>
            </w:r>
            <w:r/>
          </w:p>
        </w:tc>
        <w:tc>
          <w:tcPr>
            <w:tcMar>
              <w:left w:w="15" w:type="dxa"/>
              <w:top w:w="15" w:type="dxa"/>
              <w:right w:w="15" w:type="dxa"/>
              <w:bottom w:w="0" w:type="dxa"/>
            </w:tcMar>
            <w:tcW w:w="411"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ascii="宋体" w:hAnsi="宋体" w:cs="Gulim"/>
                <w:color w:val="auto"/>
                <w:highlight w:val="none"/>
              </w:rPr>
            </w:r>
            <w:r/>
          </w:p>
        </w:tc>
        <w:tc>
          <w:tcPr>
            <w:shd w:val="clear" w:color="auto" w:fill="auto"/>
            <w:tcW w:w="250" w:type="pct"/>
            <w:vAlign w:val="center"/>
            <w:textDirection w:val="lrTb"/>
            <w:noWrap w:val="false"/>
          </w:tcPr>
          <w:p>
            <w:pPr>
              <w:jc w:val="center"/>
              <w:keepLines w:val="0"/>
              <w:keepNext w:val="0"/>
              <w:pageBreakBefore w:val="0"/>
              <w:spacing w:line="240" w:lineRule="auto"/>
              <w:widowControl/>
              <w:rPr>
                <w:rFonts w:ascii="宋体" w:hAnsi="宋体" w:eastAsia="宋体" w:cs="Gulim"/>
                <w:color w:val="auto"/>
                <w:sz w:val="21"/>
                <w:szCs w:val="24"/>
                <w:highlight w:val="none"/>
                <w:lang w:val="en-US" w:eastAsia="zh-CN" w:bidi="ar-SA"/>
              </w:rPr>
            </w:pPr>
            <w:r>
              <w:rPr>
                <w:rFonts w:hint="eastAsia" w:ascii="宋体" w:hAnsi="宋体" w:eastAsia="宋体" w:cs="宋体"/>
                <w:color w:val="auto"/>
                <w:sz w:val="21"/>
                <w:szCs w:val="21"/>
              </w:rPr>
              <w:t xml:space="preserve">100</w:t>
            </w:r>
            <w:r/>
          </w:p>
        </w:tc>
        <w:tc>
          <w:tcPr>
            <w:tcW w:w="298" w:type="pct"/>
            <w:vAlign w:val="center"/>
            <w:textDirection w:val="lrTb"/>
            <w:noWrap w:val="false"/>
          </w:tcPr>
          <w:p>
            <w:pPr>
              <w:jc w:val="center"/>
              <w:keepLines w:val="0"/>
              <w:keepNext w:val="0"/>
              <w:pageBreakBefore w:val="0"/>
              <w:spacing w:line="240" w:lineRule="auto"/>
              <w:widowControl/>
              <w:rPr>
                <w:rFonts w:hint="eastAsia" w:ascii="宋体" w:hAnsi="宋体" w:eastAsia="宋体" w:cs="Gulim"/>
                <w:color w:val="auto"/>
                <w:sz w:val="21"/>
                <w:szCs w:val="24"/>
                <w:highlight w:val="none"/>
                <w:lang w:val="en-US" w:eastAsia="zh-CN" w:bidi="ar-SA"/>
              </w:rPr>
            </w:pPr>
            <w:r>
              <w:rPr>
                <w:rFonts w:hint="eastAsia" w:ascii="宋体" w:hAnsi="宋体" w:eastAsia="宋体" w:cs="Gulim"/>
                <w:color w:val="auto"/>
                <w:sz w:val="21"/>
                <w:szCs w:val="24"/>
                <w:highlight w:val="none"/>
                <w:lang w:val="en-US" w:eastAsia="zh-CN" w:bidi="ar-SA"/>
              </w:rPr>
              <w:t xml:space="preserve">条</w:t>
            </w:r>
            <w:r/>
          </w:p>
        </w:tc>
        <w:tc>
          <w:tcPr>
            <w:tcW w:w="43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59"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88"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539"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60"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0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5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r>
      <w:tr>
        <w:trPr>
          <w:cantSplit/>
          <w:trHeight w:val="368"/>
        </w:trPr>
        <w:tc>
          <w:tcPr>
            <w:tcW w:w="240" w:type="pct"/>
            <w:vAlign w:val="center"/>
            <w:textDirection w:val="lrTb"/>
            <w:noWrap w:val="false"/>
          </w:tcPr>
          <w:p>
            <w:pPr>
              <w:jc w:val="center"/>
              <w:keepLines w:val="0"/>
              <w:keepNext w:val="0"/>
              <w:pageBreakBefore w:val="0"/>
              <w:spacing w:line="240" w:lineRule="auto"/>
              <w:widowControl/>
              <w:rPr>
                <w:rFonts w:ascii="宋体" w:hAnsi="宋体"/>
                <w:color w:val="auto"/>
                <w:highlight w:val="none"/>
              </w:rPr>
            </w:pPr>
            <w:r>
              <w:rPr>
                <w:rFonts w:hint="eastAsia" w:ascii="宋体" w:hAnsi="宋体" w:eastAsia="宋体" w:cs="宋体"/>
                <w:color w:val="auto"/>
                <w:sz w:val="21"/>
                <w:szCs w:val="21"/>
              </w:rPr>
              <w:t xml:space="preserve">11</w:t>
            </w:r>
            <w:r/>
          </w:p>
        </w:tc>
        <w:tc>
          <w:tcPr>
            <w:tcMar>
              <w:left w:w="15" w:type="dxa"/>
              <w:top w:w="15" w:type="dxa"/>
              <w:right w:w="15" w:type="dxa"/>
              <w:bottom w:w="0" w:type="dxa"/>
            </w:tcMar>
            <w:tcW w:w="76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消防水带</w:t>
            </w:r>
            <w:r/>
          </w:p>
          <w:p>
            <w:pPr>
              <w:jc w:val="center"/>
              <w:keepLines w:val="0"/>
              <w:keepNext w:val="0"/>
              <w:pageBreakBefore w:val="0"/>
              <w:spacing w:line="240" w:lineRule="auto"/>
              <w:widowControl/>
              <w:rPr>
                <w:rFonts w:ascii="宋体" w:hAnsi="宋体" w:cs="Gulim"/>
                <w:color w:val="auto"/>
                <w:highlight w:val="none"/>
              </w:rPr>
            </w:pPr>
            <w:r>
              <w:rPr>
                <w:rFonts w:hint="eastAsia" w:ascii="宋体" w:hAnsi="宋体" w:eastAsia="宋体" w:cs="宋体"/>
                <w:color w:val="auto"/>
                <w:sz w:val="21"/>
                <w:szCs w:val="21"/>
              </w:rPr>
              <w:t xml:space="preserve">（型号20-65-20）</w:t>
            </w:r>
            <w:r/>
          </w:p>
        </w:tc>
        <w:tc>
          <w:tcPr>
            <w:tcMar>
              <w:left w:w="15" w:type="dxa"/>
              <w:top w:w="15" w:type="dxa"/>
              <w:right w:w="15" w:type="dxa"/>
              <w:bottom w:w="0" w:type="dxa"/>
            </w:tcMar>
            <w:tcW w:w="411"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ascii="宋体" w:hAnsi="宋体" w:cs="Gulim"/>
                <w:color w:val="auto"/>
                <w:highlight w:val="none"/>
              </w:rPr>
            </w:r>
            <w:r/>
          </w:p>
        </w:tc>
        <w:tc>
          <w:tcPr>
            <w:shd w:val="clear" w:color="auto" w:fill="auto"/>
            <w:tcW w:w="250" w:type="pct"/>
            <w:vAlign w:val="center"/>
            <w:textDirection w:val="lrTb"/>
            <w:noWrap w:val="false"/>
          </w:tcPr>
          <w:p>
            <w:pPr>
              <w:jc w:val="center"/>
              <w:keepLines w:val="0"/>
              <w:keepNext w:val="0"/>
              <w:pageBreakBefore w:val="0"/>
              <w:spacing w:line="240" w:lineRule="auto"/>
              <w:widowControl/>
              <w:rPr>
                <w:rFonts w:ascii="宋体" w:hAnsi="宋体" w:eastAsia="宋体" w:cs="Gulim"/>
                <w:color w:val="auto"/>
                <w:sz w:val="21"/>
                <w:szCs w:val="24"/>
                <w:highlight w:val="none"/>
                <w:lang w:val="en-US" w:eastAsia="zh-CN" w:bidi="ar-SA"/>
              </w:rPr>
            </w:pPr>
            <w:r>
              <w:rPr>
                <w:rFonts w:hint="eastAsia" w:ascii="宋体" w:hAnsi="宋体" w:eastAsia="宋体" w:cs="宋体"/>
                <w:color w:val="auto"/>
                <w:sz w:val="21"/>
                <w:szCs w:val="21"/>
              </w:rPr>
              <w:t xml:space="preserve">100</w:t>
            </w:r>
            <w:r/>
          </w:p>
        </w:tc>
        <w:tc>
          <w:tcPr>
            <w:tcW w:w="298" w:type="pct"/>
            <w:vAlign w:val="center"/>
            <w:textDirection w:val="lrTb"/>
            <w:noWrap w:val="false"/>
          </w:tcPr>
          <w:p>
            <w:pPr>
              <w:jc w:val="center"/>
              <w:keepLines w:val="0"/>
              <w:keepNext w:val="0"/>
              <w:pageBreakBefore w:val="0"/>
              <w:spacing w:line="240" w:lineRule="auto"/>
              <w:widowControl/>
              <w:rPr>
                <w:rFonts w:hint="eastAsia" w:ascii="宋体" w:hAnsi="宋体" w:eastAsia="宋体" w:cs="Gulim"/>
                <w:color w:val="auto"/>
                <w:sz w:val="21"/>
                <w:szCs w:val="24"/>
                <w:highlight w:val="none"/>
                <w:lang w:val="en-US" w:eastAsia="zh-CN" w:bidi="ar-SA"/>
              </w:rPr>
            </w:pPr>
            <w:r>
              <w:rPr>
                <w:rFonts w:hint="eastAsia" w:ascii="宋体" w:hAnsi="宋体" w:eastAsia="宋体" w:cs="Gulim"/>
                <w:color w:val="auto"/>
                <w:sz w:val="21"/>
                <w:szCs w:val="24"/>
                <w:highlight w:val="none"/>
                <w:lang w:val="en-US" w:eastAsia="zh-CN" w:bidi="ar-SA"/>
              </w:rPr>
              <w:t xml:space="preserve">条</w:t>
            </w:r>
            <w:r/>
          </w:p>
        </w:tc>
        <w:tc>
          <w:tcPr>
            <w:tcW w:w="43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59"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88"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539"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60"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0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5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r>
      <w:tr>
        <w:trPr>
          <w:cantSplit/>
          <w:trHeight w:val="368"/>
        </w:trPr>
        <w:tc>
          <w:tcPr>
            <w:tcW w:w="240" w:type="pct"/>
            <w:vAlign w:val="center"/>
            <w:textDirection w:val="lrTb"/>
            <w:noWrap w:val="false"/>
          </w:tcPr>
          <w:p>
            <w:pPr>
              <w:jc w:val="center"/>
              <w:keepLines w:val="0"/>
              <w:keepNext w:val="0"/>
              <w:pageBreakBefore w:val="0"/>
              <w:spacing w:line="240" w:lineRule="auto"/>
              <w:widowControl/>
              <w:rPr>
                <w:rFonts w:ascii="宋体" w:hAnsi="宋体"/>
                <w:color w:val="auto"/>
                <w:highlight w:val="none"/>
              </w:rPr>
            </w:pPr>
            <w:r>
              <w:rPr>
                <w:rFonts w:hint="eastAsia" w:ascii="宋体" w:hAnsi="宋体" w:eastAsia="宋体" w:cs="宋体"/>
                <w:color w:val="auto"/>
                <w:sz w:val="21"/>
                <w:szCs w:val="21"/>
              </w:rPr>
              <w:t xml:space="preserve">12</w:t>
            </w:r>
            <w:r/>
          </w:p>
        </w:tc>
        <w:tc>
          <w:tcPr>
            <w:tcMar>
              <w:left w:w="15" w:type="dxa"/>
              <w:top w:w="15" w:type="dxa"/>
              <w:right w:w="15" w:type="dxa"/>
              <w:bottom w:w="0" w:type="dxa"/>
            </w:tcMar>
            <w:tcW w:w="762"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hint="eastAsia" w:ascii="宋体" w:hAnsi="宋体" w:eastAsia="宋体" w:cs="宋体"/>
                <w:color w:val="auto"/>
                <w:sz w:val="21"/>
                <w:szCs w:val="21"/>
              </w:rPr>
              <w:t xml:space="preserve">油锯</w:t>
            </w:r>
            <w:r/>
          </w:p>
        </w:tc>
        <w:tc>
          <w:tcPr>
            <w:tcMar>
              <w:left w:w="15" w:type="dxa"/>
              <w:top w:w="15" w:type="dxa"/>
              <w:right w:w="15" w:type="dxa"/>
              <w:bottom w:w="0" w:type="dxa"/>
            </w:tcMar>
            <w:tcW w:w="411"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ascii="宋体" w:hAnsi="宋体" w:cs="Gulim"/>
                <w:color w:val="auto"/>
                <w:highlight w:val="none"/>
              </w:rPr>
            </w:r>
            <w:r/>
          </w:p>
        </w:tc>
        <w:tc>
          <w:tcPr>
            <w:shd w:val="clear" w:color="auto" w:fill="auto"/>
            <w:tcW w:w="250" w:type="pct"/>
            <w:vAlign w:val="center"/>
            <w:textDirection w:val="lrTb"/>
            <w:noWrap w:val="false"/>
          </w:tcPr>
          <w:p>
            <w:pPr>
              <w:jc w:val="center"/>
              <w:keepLines w:val="0"/>
              <w:keepNext w:val="0"/>
              <w:pageBreakBefore w:val="0"/>
              <w:spacing w:line="240" w:lineRule="auto"/>
              <w:widowControl/>
              <w:rPr>
                <w:rFonts w:ascii="宋体" w:hAnsi="宋体" w:eastAsia="宋体" w:cs="Gulim"/>
                <w:color w:val="auto"/>
                <w:sz w:val="21"/>
                <w:szCs w:val="24"/>
                <w:highlight w:val="none"/>
                <w:lang w:val="en-US" w:eastAsia="zh-CN" w:bidi="ar-SA"/>
              </w:rPr>
            </w:pPr>
            <w:r>
              <w:rPr>
                <w:rFonts w:hint="eastAsia" w:ascii="宋体" w:hAnsi="宋体" w:eastAsia="宋体" w:cs="宋体"/>
                <w:color w:val="auto"/>
                <w:sz w:val="21"/>
                <w:szCs w:val="21"/>
              </w:rPr>
              <w:t xml:space="preserve">20</w:t>
            </w:r>
            <w:r/>
          </w:p>
        </w:tc>
        <w:tc>
          <w:tcPr>
            <w:tcW w:w="298" w:type="pct"/>
            <w:vAlign w:val="center"/>
            <w:textDirection w:val="lrTb"/>
            <w:noWrap w:val="false"/>
          </w:tcPr>
          <w:p>
            <w:pPr>
              <w:jc w:val="center"/>
              <w:keepLines w:val="0"/>
              <w:keepNext w:val="0"/>
              <w:pageBreakBefore w:val="0"/>
              <w:spacing w:line="240" w:lineRule="auto"/>
              <w:widowControl/>
              <w:rPr>
                <w:rFonts w:hint="eastAsia" w:ascii="宋体" w:hAnsi="宋体" w:eastAsia="宋体" w:cs="Gulim"/>
                <w:color w:val="auto"/>
                <w:sz w:val="21"/>
                <w:szCs w:val="24"/>
                <w:highlight w:val="none"/>
                <w:lang w:val="en-US" w:eastAsia="zh-CN" w:bidi="ar-SA"/>
              </w:rPr>
            </w:pPr>
            <w:r>
              <w:rPr>
                <w:rFonts w:hint="eastAsia" w:ascii="宋体" w:hAnsi="宋体" w:eastAsia="宋体" w:cs="Gulim"/>
                <w:color w:val="auto"/>
                <w:sz w:val="21"/>
                <w:szCs w:val="24"/>
                <w:highlight w:val="none"/>
                <w:lang w:val="en-US" w:eastAsia="zh-CN" w:bidi="ar-SA"/>
              </w:rPr>
              <w:t xml:space="preserve">台</w:t>
            </w:r>
            <w:r/>
          </w:p>
        </w:tc>
        <w:tc>
          <w:tcPr>
            <w:tcW w:w="43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59"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88"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539"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60"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0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5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r>
      <w:tr>
        <w:trPr>
          <w:cantSplit/>
          <w:trHeight w:val="368"/>
        </w:trPr>
        <w:tc>
          <w:tcPr>
            <w:tcW w:w="240" w:type="pct"/>
            <w:vAlign w:val="center"/>
            <w:textDirection w:val="lrTb"/>
            <w:noWrap w:val="false"/>
          </w:tcPr>
          <w:p>
            <w:pPr>
              <w:jc w:val="center"/>
              <w:keepLines w:val="0"/>
              <w:keepNext w:val="0"/>
              <w:pageBreakBefore w:val="0"/>
              <w:spacing w:line="240" w:lineRule="auto"/>
              <w:widowControl/>
              <w:rPr>
                <w:rFonts w:ascii="宋体" w:hAnsi="宋体"/>
                <w:color w:val="auto"/>
                <w:highlight w:val="none"/>
              </w:rPr>
            </w:pPr>
            <w:r>
              <w:rPr>
                <w:rFonts w:hint="eastAsia" w:ascii="宋体" w:hAnsi="宋体" w:eastAsia="宋体" w:cs="宋体"/>
                <w:color w:val="auto"/>
                <w:sz w:val="21"/>
                <w:szCs w:val="21"/>
              </w:rPr>
              <w:t xml:space="preserve">13</w:t>
            </w:r>
            <w:r/>
          </w:p>
        </w:tc>
        <w:tc>
          <w:tcPr>
            <w:tcMar>
              <w:left w:w="15" w:type="dxa"/>
              <w:top w:w="15" w:type="dxa"/>
              <w:right w:w="15" w:type="dxa"/>
              <w:bottom w:w="0" w:type="dxa"/>
            </w:tcMar>
            <w:tcW w:w="762"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hint="eastAsia" w:ascii="宋体" w:hAnsi="宋体" w:eastAsia="宋体" w:cs="宋体"/>
                <w:color w:val="auto"/>
                <w:sz w:val="21"/>
                <w:szCs w:val="21"/>
              </w:rPr>
              <w:t xml:space="preserve">森林防火服</w:t>
            </w:r>
            <w:r/>
          </w:p>
        </w:tc>
        <w:tc>
          <w:tcPr>
            <w:tcMar>
              <w:left w:w="15" w:type="dxa"/>
              <w:top w:w="15" w:type="dxa"/>
              <w:right w:w="15" w:type="dxa"/>
              <w:bottom w:w="0" w:type="dxa"/>
            </w:tcMar>
            <w:tcW w:w="411"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ascii="宋体" w:hAnsi="宋体" w:cs="Gulim"/>
                <w:color w:val="auto"/>
                <w:highlight w:val="none"/>
              </w:rPr>
            </w:r>
            <w:r/>
          </w:p>
        </w:tc>
        <w:tc>
          <w:tcPr>
            <w:shd w:val="clear" w:color="auto" w:fill="auto"/>
            <w:tcW w:w="250" w:type="pct"/>
            <w:vAlign w:val="center"/>
            <w:textDirection w:val="lrTb"/>
            <w:noWrap w:val="false"/>
          </w:tcPr>
          <w:p>
            <w:pPr>
              <w:jc w:val="center"/>
              <w:keepLines w:val="0"/>
              <w:keepNext w:val="0"/>
              <w:pageBreakBefore w:val="0"/>
              <w:spacing w:line="240" w:lineRule="auto"/>
              <w:widowControl/>
              <w:rPr>
                <w:rFonts w:ascii="宋体" w:hAnsi="宋体" w:eastAsia="宋体" w:cs="Gulim"/>
                <w:color w:val="auto"/>
                <w:sz w:val="21"/>
                <w:szCs w:val="24"/>
                <w:highlight w:val="none"/>
                <w:lang w:val="en-US" w:eastAsia="zh-CN" w:bidi="ar-SA"/>
              </w:rPr>
            </w:pPr>
            <w:r>
              <w:rPr>
                <w:rFonts w:hint="eastAsia" w:ascii="宋体" w:hAnsi="宋体" w:eastAsia="宋体" w:cs="宋体"/>
                <w:color w:val="auto"/>
                <w:sz w:val="21"/>
                <w:szCs w:val="21"/>
              </w:rPr>
              <w:t xml:space="preserve">100</w:t>
            </w:r>
            <w:r/>
          </w:p>
        </w:tc>
        <w:tc>
          <w:tcPr>
            <w:tcW w:w="298" w:type="pct"/>
            <w:vAlign w:val="center"/>
            <w:textDirection w:val="lrTb"/>
            <w:noWrap w:val="false"/>
          </w:tcPr>
          <w:p>
            <w:pPr>
              <w:jc w:val="center"/>
              <w:keepLines w:val="0"/>
              <w:keepNext w:val="0"/>
              <w:pageBreakBefore w:val="0"/>
              <w:spacing w:line="240" w:lineRule="auto"/>
              <w:widowControl/>
              <w:rPr>
                <w:rFonts w:hint="eastAsia" w:ascii="宋体" w:hAnsi="宋体" w:eastAsia="宋体" w:cs="Gulim"/>
                <w:color w:val="auto"/>
                <w:sz w:val="21"/>
                <w:szCs w:val="24"/>
                <w:highlight w:val="none"/>
                <w:lang w:val="en-US" w:eastAsia="zh-CN" w:bidi="ar-SA"/>
              </w:rPr>
            </w:pPr>
            <w:r>
              <w:rPr>
                <w:rFonts w:hint="eastAsia" w:ascii="宋体" w:hAnsi="宋体" w:eastAsia="宋体" w:cs="Gulim"/>
                <w:color w:val="auto"/>
                <w:sz w:val="21"/>
                <w:szCs w:val="24"/>
                <w:highlight w:val="none"/>
                <w:lang w:val="en-US" w:eastAsia="zh-CN" w:bidi="ar-SA"/>
              </w:rPr>
              <w:t xml:space="preserve">套</w:t>
            </w:r>
            <w:r/>
          </w:p>
        </w:tc>
        <w:tc>
          <w:tcPr>
            <w:tcW w:w="43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59"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88"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539"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60"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0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53" w:type="pct"/>
            <w:vAlign w:val="center"/>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r>
      <w:tr>
        <w:trPr>
          <w:cantSplit/>
          <w:trHeight w:val="368"/>
        </w:trPr>
        <w:tc>
          <w:tcPr>
            <w:tcW w:w="24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13.1</w:t>
            </w:r>
            <w:r/>
          </w:p>
        </w:tc>
        <w:tc>
          <w:tcPr>
            <w:tcMar>
              <w:left w:w="15" w:type="dxa"/>
              <w:top w:w="15" w:type="dxa"/>
              <w:right w:w="15" w:type="dxa"/>
              <w:bottom w:w="0" w:type="dxa"/>
            </w:tcMar>
            <w:tcW w:w="76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单兵装备包</w:t>
            </w:r>
            <w:r/>
          </w:p>
        </w:tc>
        <w:tc>
          <w:tcPr>
            <w:tcMar>
              <w:left w:w="15" w:type="dxa"/>
              <w:top w:w="15" w:type="dxa"/>
              <w:right w:w="15" w:type="dxa"/>
              <w:bottom w:w="0" w:type="dxa"/>
            </w:tcMar>
            <w:tcW w:w="41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50"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hint="eastAsia" w:ascii="宋体" w:hAnsi="宋体" w:eastAsia="宋体" w:cs="宋体"/>
                <w:color w:val="auto"/>
                <w:sz w:val="21"/>
                <w:szCs w:val="21"/>
              </w:rPr>
              <w:t xml:space="preserve">100</w:t>
            </w:r>
            <w:r/>
          </w:p>
        </w:tc>
        <w:tc>
          <w:tcPr>
            <w:tcW w:w="298" w:type="pct"/>
            <w:textDirection w:val="lrTb"/>
            <w:noWrap w:val="false"/>
          </w:tcPr>
          <w:p>
            <w:pPr>
              <w:jc w:val="center"/>
              <w:keepLines w:val="0"/>
              <w:keepNext w:val="0"/>
              <w:pageBreakBefore w:val="0"/>
              <w:spacing w:line="240" w:lineRule="auto"/>
              <w:rPr>
                <w:rFonts w:hint="eastAsia" w:ascii="宋体" w:hAnsi="宋体" w:eastAsia="宋体"/>
                <w:b/>
                <w:bCs/>
                <w:color w:val="auto"/>
                <w:highlight w:val="none"/>
                <w:lang w:val="en-US" w:eastAsia="zh-CN"/>
              </w:rPr>
            </w:pPr>
            <w:r>
              <w:rPr>
                <w:rFonts w:hint="eastAsia" w:ascii="宋体" w:hAnsi="宋体"/>
                <w:b/>
                <w:bCs/>
                <w:color w:val="auto"/>
                <w:highlight w:val="none"/>
                <w:lang w:val="en-US" w:eastAsia="zh-CN"/>
              </w:rPr>
              <w:t xml:space="preserve">个</w:t>
            </w:r>
            <w:r/>
          </w:p>
        </w:tc>
        <w:tc>
          <w:tcPr>
            <w:tcW w:w="43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59"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88"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539"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60"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0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5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r>
      <w:tr>
        <w:trPr>
          <w:cantSplit/>
          <w:trHeight w:val="368"/>
        </w:trPr>
        <w:tc>
          <w:tcPr>
            <w:tcW w:w="24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13.2</w:t>
            </w:r>
            <w:r/>
          </w:p>
        </w:tc>
        <w:tc>
          <w:tcPr>
            <w:tcMar>
              <w:left w:w="15" w:type="dxa"/>
              <w:top w:w="15" w:type="dxa"/>
              <w:right w:w="15" w:type="dxa"/>
              <w:bottom w:w="0" w:type="dxa"/>
            </w:tcMar>
            <w:tcW w:w="76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头盔</w:t>
            </w:r>
            <w:r/>
          </w:p>
        </w:tc>
        <w:tc>
          <w:tcPr>
            <w:tcMar>
              <w:left w:w="15" w:type="dxa"/>
              <w:top w:w="15" w:type="dxa"/>
              <w:right w:w="15" w:type="dxa"/>
              <w:bottom w:w="0" w:type="dxa"/>
            </w:tcMar>
            <w:tcW w:w="41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50"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hint="eastAsia" w:ascii="宋体" w:hAnsi="宋体" w:eastAsia="宋体" w:cs="宋体"/>
                <w:color w:val="auto"/>
                <w:sz w:val="21"/>
                <w:szCs w:val="21"/>
              </w:rPr>
              <w:t xml:space="preserve">100</w:t>
            </w:r>
            <w:r/>
          </w:p>
        </w:tc>
        <w:tc>
          <w:tcPr>
            <w:tcW w:w="298" w:type="pct"/>
            <w:textDirection w:val="lrTb"/>
            <w:noWrap w:val="false"/>
          </w:tcPr>
          <w:p>
            <w:pPr>
              <w:jc w:val="center"/>
              <w:keepLines w:val="0"/>
              <w:keepNext w:val="0"/>
              <w:pageBreakBefore w:val="0"/>
              <w:spacing w:line="240" w:lineRule="auto"/>
              <w:rPr>
                <w:rFonts w:hint="eastAsia" w:ascii="宋体" w:hAnsi="宋体" w:eastAsia="宋体"/>
                <w:b/>
                <w:bCs/>
                <w:color w:val="auto"/>
                <w:highlight w:val="none"/>
                <w:lang w:val="en-US" w:eastAsia="zh-CN"/>
              </w:rPr>
            </w:pPr>
            <w:r>
              <w:rPr>
                <w:rFonts w:hint="eastAsia" w:ascii="宋体" w:hAnsi="宋体"/>
                <w:b/>
                <w:bCs/>
                <w:color w:val="auto"/>
                <w:highlight w:val="none"/>
                <w:lang w:val="en-US" w:eastAsia="zh-CN"/>
              </w:rPr>
              <w:t xml:space="preserve">个</w:t>
            </w:r>
            <w:r/>
          </w:p>
        </w:tc>
        <w:tc>
          <w:tcPr>
            <w:tcW w:w="43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59"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88"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539"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60"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0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5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r>
      <w:tr>
        <w:trPr>
          <w:cantSplit/>
          <w:trHeight w:val="368"/>
        </w:trPr>
        <w:tc>
          <w:tcPr>
            <w:tcW w:w="24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13.3</w:t>
            </w:r>
            <w:r/>
          </w:p>
        </w:tc>
        <w:tc>
          <w:tcPr>
            <w:tcMar>
              <w:left w:w="15" w:type="dxa"/>
              <w:top w:w="15" w:type="dxa"/>
              <w:right w:w="15" w:type="dxa"/>
              <w:bottom w:w="0" w:type="dxa"/>
            </w:tcMar>
            <w:tcW w:w="76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防护头套</w:t>
            </w:r>
            <w:r/>
          </w:p>
        </w:tc>
        <w:tc>
          <w:tcPr>
            <w:tcMar>
              <w:left w:w="15" w:type="dxa"/>
              <w:top w:w="15" w:type="dxa"/>
              <w:right w:w="15" w:type="dxa"/>
              <w:bottom w:w="0" w:type="dxa"/>
            </w:tcMar>
            <w:tcW w:w="41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50"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hint="eastAsia" w:ascii="宋体" w:hAnsi="宋体" w:eastAsia="宋体" w:cs="宋体"/>
                <w:color w:val="auto"/>
                <w:sz w:val="21"/>
                <w:szCs w:val="21"/>
              </w:rPr>
              <w:t xml:space="preserve">100</w:t>
            </w:r>
            <w:r/>
          </w:p>
        </w:tc>
        <w:tc>
          <w:tcPr>
            <w:tcW w:w="298" w:type="pct"/>
            <w:textDirection w:val="lrTb"/>
            <w:noWrap w:val="false"/>
          </w:tcPr>
          <w:p>
            <w:pPr>
              <w:jc w:val="center"/>
              <w:keepLines w:val="0"/>
              <w:keepNext w:val="0"/>
              <w:pageBreakBefore w:val="0"/>
              <w:spacing w:line="240" w:lineRule="auto"/>
              <w:rPr>
                <w:rFonts w:hint="default" w:ascii="宋体" w:hAnsi="宋体" w:eastAsia="宋体"/>
                <w:b/>
                <w:bCs/>
                <w:color w:val="auto"/>
                <w:highlight w:val="none"/>
                <w:lang w:val="en-US" w:eastAsia="zh-CN"/>
              </w:rPr>
            </w:pPr>
            <w:r>
              <w:rPr>
                <w:rFonts w:hint="eastAsia" w:ascii="宋体" w:hAnsi="宋体"/>
                <w:b/>
                <w:bCs/>
                <w:color w:val="auto"/>
                <w:highlight w:val="none"/>
                <w:lang w:val="en-US" w:eastAsia="zh-CN"/>
              </w:rPr>
              <w:t xml:space="preserve">个</w:t>
            </w:r>
            <w:r/>
          </w:p>
        </w:tc>
        <w:tc>
          <w:tcPr>
            <w:tcW w:w="43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59"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88"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539"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60"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0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5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r>
      <w:tr>
        <w:trPr>
          <w:cantSplit/>
          <w:trHeight w:val="90"/>
        </w:trPr>
        <w:tc>
          <w:tcPr>
            <w:tcW w:w="24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13.4</w:t>
            </w:r>
            <w:r/>
          </w:p>
        </w:tc>
        <w:tc>
          <w:tcPr>
            <w:tcMar>
              <w:left w:w="15" w:type="dxa"/>
              <w:top w:w="15" w:type="dxa"/>
              <w:right w:w="15" w:type="dxa"/>
              <w:bottom w:w="0" w:type="dxa"/>
            </w:tcMar>
            <w:tcW w:w="76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护目镜</w:t>
            </w:r>
            <w:r/>
          </w:p>
        </w:tc>
        <w:tc>
          <w:tcPr>
            <w:tcMar>
              <w:left w:w="15" w:type="dxa"/>
              <w:top w:w="15" w:type="dxa"/>
              <w:right w:w="15" w:type="dxa"/>
              <w:bottom w:w="0" w:type="dxa"/>
            </w:tcMar>
            <w:tcW w:w="41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50"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hint="eastAsia" w:ascii="宋体" w:hAnsi="宋体" w:eastAsia="宋体" w:cs="宋体"/>
                <w:color w:val="auto"/>
                <w:sz w:val="21"/>
                <w:szCs w:val="21"/>
              </w:rPr>
              <w:t xml:space="preserve">100</w:t>
            </w:r>
            <w:r/>
          </w:p>
        </w:tc>
        <w:tc>
          <w:tcPr>
            <w:tcW w:w="298" w:type="pct"/>
            <w:textDirection w:val="lrTb"/>
            <w:noWrap w:val="false"/>
          </w:tcPr>
          <w:p>
            <w:pPr>
              <w:jc w:val="center"/>
              <w:keepLines w:val="0"/>
              <w:keepNext w:val="0"/>
              <w:pageBreakBefore w:val="0"/>
              <w:spacing w:line="240" w:lineRule="auto"/>
              <w:rPr>
                <w:rFonts w:hint="eastAsia" w:ascii="宋体" w:hAnsi="宋体" w:eastAsia="宋体"/>
                <w:b/>
                <w:bCs/>
                <w:color w:val="auto"/>
                <w:highlight w:val="none"/>
                <w:lang w:val="en-US" w:eastAsia="zh-CN"/>
              </w:rPr>
            </w:pPr>
            <w:r>
              <w:rPr>
                <w:rFonts w:hint="eastAsia" w:ascii="宋体" w:hAnsi="宋体"/>
                <w:b/>
                <w:bCs/>
                <w:color w:val="auto"/>
                <w:highlight w:val="none"/>
                <w:lang w:val="en-US" w:eastAsia="zh-CN"/>
              </w:rPr>
              <w:t xml:space="preserve">个</w:t>
            </w:r>
            <w:r/>
          </w:p>
        </w:tc>
        <w:tc>
          <w:tcPr>
            <w:tcW w:w="43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59"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88"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539"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60"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0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5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r>
      <w:tr>
        <w:trPr>
          <w:cantSplit/>
          <w:trHeight w:val="368"/>
        </w:trPr>
        <w:tc>
          <w:tcPr>
            <w:tcW w:w="24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13.5</w:t>
            </w:r>
            <w:r/>
          </w:p>
        </w:tc>
        <w:tc>
          <w:tcPr>
            <w:tcMar>
              <w:left w:w="15" w:type="dxa"/>
              <w:top w:w="15" w:type="dxa"/>
              <w:right w:w="15" w:type="dxa"/>
              <w:bottom w:w="0" w:type="dxa"/>
            </w:tcMar>
            <w:tcW w:w="76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快速呼吸器</w:t>
            </w:r>
            <w:r/>
          </w:p>
        </w:tc>
        <w:tc>
          <w:tcPr>
            <w:tcMar>
              <w:left w:w="15" w:type="dxa"/>
              <w:top w:w="15" w:type="dxa"/>
              <w:right w:w="15" w:type="dxa"/>
              <w:bottom w:w="0" w:type="dxa"/>
            </w:tcMar>
            <w:tcW w:w="41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50"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hint="eastAsia" w:ascii="宋体" w:hAnsi="宋体" w:eastAsia="宋体" w:cs="宋体"/>
                <w:color w:val="auto"/>
                <w:sz w:val="21"/>
                <w:szCs w:val="21"/>
              </w:rPr>
              <w:t xml:space="preserve">100</w:t>
            </w:r>
            <w:r/>
          </w:p>
        </w:tc>
        <w:tc>
          <w:tcPr>
            <w:tcW w:w="298" w:type="pct"/>
            <w:textDirection w:val="lrTb"/>
            <w:noWrap w:val="false"/>
          </w:tcPr>
          <w:p>
            <w:pPr>
              <w:jc w:val="center"/>
              <w:keepLines w:val="0"/>
              <w:keepNext w:val="0"/>
              <w:pageBreakBefore w:val="0"/>
              <w:spacing w:line="240" w:lineRule="auto"/>
              <w:rPr>
                <w:rFonts w:hint="default" w:ascii="宋体" w:hAnsi="宋体" w:eastAsia="宋体"/>
                <w:b/>
                <w:bCs/>
                <w:color w:val="auto"/>
                <w:highlight w:val="none"/>
                <w:lang w:val="en-US" w:eastAsia="zh-CN"/>
              </w:rPr>
            </w:pPr>
            <w:r>
              <w:rPr>
                <w:rFonts w:hint="eastAsia" w:ascii="宋体" w:hAnsi="宋体"/>
                <w:b/>
                <w:bCs/>
                <w:color w:val="auto"/>
                <w:highlight w:val="none"/>
                <w:lang w:val="en-US" w:eastAsia="zh-CN"/>
              </w:rPr>
              <w:t xml:space="preserve">个</w:t>
            </w:r>
            <w:r/>
          </w:p>
        </w:tc>
        <w:tc>
          <w:tcPr>
            <w:tcW w:w="43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59"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88"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539"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60"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0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5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r>
      <w:tr>
        <w:trPr>
          <w:cantSplit/>
          <w:trHeight w:val="368"/>
        </w:trPr>
        <w:tc>
          <w:tcPr>
            <w:tcW w:w="24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13.6</w:t>
            </w:r>
            <w:r/>
          </w:p>
        </w:tc>
        <w:tc>
          <w:tcPr>
            <w:tcMar>
              <w:left w:w="15" w:type="dxa"/>
              <w:top w:w="15" w:type="dxa"/>
              <w:right w:w="15" w:type="dxa"/>
              <w:bottom w:w="0" w:type="dxa"/>
            </w:tcMar>
            <w:tcW w:w="76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防火服</w:t>
            </w:r>
            <w:r/>
          </w:p>
        </w:tc>
        <w:tc>
          <w:tcPr>
            <w:tcMar>
              <w:left w:w="15" w:type="dxa"/>
              <w:top w:w="15" w:type="dxa"/>
              <w:right w:w="15" w:type="dxa"/>
              <w:bottom w:w="0" w:type="dxa"/>
            </w:tcMar>
            <w:tcW w:w="41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50"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hint="eastAsia" w:ascii="宋体" w:hAnsi="宋体" w:eastAsia="宋体" w:cs="宋体"/>
                <w:color w:val="auto"/>
                <w:sz w:val="21"/>
                <w:szCs w:val="21"/>
              </w:rPr>
              <w:t xml:space="preserve">100</w:t>
            </w:r>
            <w:r/>
          </w:p>
        </w:tc>
        <w:tc>
          <w:tcPr>
            <w:tcW w:w="298" w:type="pct"/>
            <w:textDirection w:val="lrTb"/>
            <w:noWrap w:val="false"/>
          </w:tcPr>
          <w:p>
            <w:pPr>
              <w:jc w:val="center"/>
              <w:keepLines w:val="0"/>
              <w:keepNext w:val="0"/>
              <w:pageBreakBefore w:val="0"/>
              <w:spacing w:line="240" w:lineRule="auto"/>
              <w:rPr>
                <w:rFonts w:hint="default" w:ascii="宋体" w:hAnsi="宋体" w:eastAsia="宋体"/>
                <w:b/>
                <w:bCs/>
                <w:color w:val="auto"/>
                <w:highlight w:val="none"/>
                <w:lang w:val="en-US" w:eastAsia="zh-CN"/>
              </w:rPr>
            </w:pPr>
            <w:r>
              <w:rPr>
                <w:rFonts w:hint="eastAsia" w:ascii="宋体" w:hAnsi="宋体"/>
                <w:b/>
                <w:bCs/>
                <w:color w:val="auto"/>
                <w:highlight w:val="none"/>
                <w:lang w:val="en-US" w:eastAsia="zh-CN"/>
              </w:rPr>
              <w:t xml:space="preserve">件</w:t>
            </w:r>
            <w:r/>
          </w:p>
        </w:tc>
        <w:tc>
          <w:tcPr>
            <w:tcW w:w="43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59"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88"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539"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60"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0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5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r>
      <w:tr>
        <w:trPr>
          <w:cantSplit/>
          <w:trHeight w:val="368"/>
        </w:trPr>
        <w:tc>
          <w:tcPr>
            <w:tcW w:w="24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13.7</w:t>
            </w:r>
            <w:r/>
          </w:p>
        </w:tc>
        <w:tc>
          <w:tcPr>
            <w:tcMar>
              <w:left w:w="15" w:type="dxa"/>
              <w:top w:w="15" w:type="dxa"/>
              <w:right w:w="15" w:type="dxa"/>
              <w:bottom w:w="0" w:type="dxa"/>
            </w:tcMar>
            <w:tcW w:w="76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防火手套</w:t>
            </w:r>
            <w:r/>
          </w:p>
        </w:tc>
        <w:tc>
          <w:tcPr>
            <w:tcMar>
              <w:left w:w="15" w:type="dxa"/>
              <w:top w:w="15" w:type="dxa"/>
              <w:right w:w="15" w:type="dxa"/>
              <w:bottom w:w="0" w:type="dxa"/>
            </w:tcMar>
            <w:tcW w:w="41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50"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hint="eastAsia" w:ascii="宋体" w:hAnsi="宋体" w:eastAsia="宋体" w:cs="宋体"/>
                <w:color w:val="auto"/>
                <w:sz w:val="21"/>
                <w:szCs w:val="21"/>
              </w:rPr>
              <w:t xml:space="preserve">100</w:t>
            </w:r>
            <w:r/>
          </w:p>
        </w:tc>
        <w:tc>
          <w:tcPr>
            <w:tcW w:w="298" w:type="pct"/>
            <w:textDirection w:val="lrTb"/>
            <w:noWrap w:val="false"/>
          </w:tcPr>
          <w:p>
            <w:pPr>
              <w:jc w:val="center"/>
              <w:keepLines w:val="0"/>
              <w:keepNext w:val="0"/>
              <w:pageBreakBefore w:val="0"/>
              <w:spacing w:line="240" w:lineRule="auto"/>
              <w:rPr>
                <w:rFonts w:ascii="宋体" w:hAnsi="宋体"/>
                <w:b/>
                <w:bCs/>
                <w:color w:val="auto"/>
                <w:highlight w:val="none"/>
              </w:rPr>
            </w:pPr>
            <w:r>
              <w:rPr>
                <w:rFonts w:hint="eastAsia" w:ascii="宋体" w:hAnsi="宋体"/>
                <w:b/>
                <w:bCs/>
                <w:color w:val="auto"/>
                <w:highlight w:val="none"/>
                <w:lang w:val="en-US" w:eastAsia="zh-CN"/>
              </w:rPr>
              <w:t xml:space="preserve">副/双</w:t>
            </w:r>
            <w:r/>
          </w:p>
        </w:tc>
        <w:tc>
          <w:tcPr>
            <w:tcW w:w="43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59"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88"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539"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60"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0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5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r>
      <w:tr>
        <w:trPr>
          <w:cantSplit/>
          <w:trHeight w:val="368"/>
        </w:trPr>
        <w:tc>
          <w:tcPr>
            <w:tcW w:w="24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13.8</w:t>
            </w:r>
            <w:r/>
          </w:p>
        </w:tc>
        <w:tc>
          <w:tcPr>
            <w:tcMar>
              <w:left w:w="15" w:type="dxa"/>
              <w:top w:w="15" w:type="dxa"/>
              <w:right w:w="15" w:type="dxa"/>
              <w:bottom w:w="0" w:type="dxa"/>
            </w:tcMar>
            <w:tcW w:w="76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防火腰带</w:t>
            </w:r>
            <w:r/>
          </w:p>
        </w:tc>
        <w:tc>
          <w:tcPr>
            <w:tcMar>
              <w:left w:w="15" w:type="dxa"/>
              <w:top w:w="15" w:type="dxa"/>
              <w:right w:w="15" w:type="dxa"/>
              <w:bottom w:w="0" w:type="dxa"/>
            </w:tcMar>
            <w:tcW w:w="41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50"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hint="eastAsia" w:ascii="宋体" w:hAnsi="宋体" w:eastAsia="宋体" w:cs="宋体"/>
                <w:color w:val="auto"/>
                <w:sz w:val="21"/>
                <w:szCs w:val="21"/>
              </w:rPr>
              <w:t xml:space="preserve">100</w:t>
            </w:r>
            <w:r/>
          </w:p>
        </w:tc>
        <w:tc>
          <w:tcPr>
            <w:tcW w:w="298" w:type="pct"/>
            <w:textDirection w:val="lrTb"/>
            <w:noWrap w:val="false"/>
          </w:tcPr>
          <w:p>
            <w:pPr>
              <w:jc w:val="center"/>
              <w:keepLines w:val="0"/>
              <w:keepNext w:val="0"/>
              <w:pageBreakBefore w:val="0"/>
              <w:spacing w:line="240" w:lineRule="auto"/>
              <w:rPr>
                <w:rFonts w:hint="eastAsia" w:ascii="宋体" w:hAnsi="宋体" w:eastAsia="宋体"/>
                <w:b/>
                <w:bCs/>
                <w:color w:val="auto"/>
                <w:highlight w:val="none"/>
                <w:lang w:val="en-US" w:eastAsia="zh-CN"/>
              </w:rPr>
            </w:pPr>
            <w:r>
              <w:rPr>
                <w:rFonts w:hint="eastAsia" w:ascii="宋体" w:hAnsi="宋体"/>
                <w:b/>
                <w:bCs/>
                <w:color w:val="auto"/>
                <w:highlight w:val="none"/>
                <w:lang w:val="en-US" w:eastAsia="zh-CN"/>
              </w:rPr>
              <w:t xml:space="preserve">根</w:t>
            </w:r>
            <w:r/>
          </w:p>
        </w:tc>
        <w:tc>
          <w:tcPr>
            <w:tcW w:w="43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59"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88"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539"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60"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0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5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r>
      <w:tr>
        <w:trPr>
          <w:cantSplit/>
          <w:trHeight w:val="368"/>
        </w:trPr>
        <w:tc>
          <w:tcPr>
            <w:tcW w:w="24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13.9</w:t>
            </w:r>
            <w:r/>
          </w:p>
        </w:tc>
        <w:tc>
          <w:tcPr>
            <w:tcMar>
              <w:left w:w="15" w:type="dxa"/>
              <w:top w:w="15" w:type="dxa"/>
              <w:right w:w="15" w:type="dxa"/>
              <w:bottom w:w="0" w:type="dxa"/>
            </w:tcMar>
            <w:tcW w:w="76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防护靴</w:t>
            </w:r>
            <w:r/>
          </w:p>
        </w:tc>
        <w:tc>
          <w:tcPr>
            <w:tcMar>
              <w:left w:w="15" w:type="dxa"/>
              <w:top w:w="15" w:type="dxa"/>
              <w:right w:w="15" w:type="dxa"/>
              <w:bottom w:w="0" w:type="dxa"/>
            </w:tcMar>
            <w:tcW w:w="41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50"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hint="eastAsia" w:ascii="宋体" w:hAnsi="宋体" w:eastAsia="宋体" w:cs="宋体"/>
                <w:color w:val="auto"/>
                <w:sz w:val="21"/>
                <w:szCs w:val="21"/>
              </w:rPr>
              <w:t xml:space="preserve">100</w:t>
            </w:r>
            <w:r/>
          </w:p>
        </w:tc>
        <w:tc>
          <w:tcPr>
            <w:tcW w:w="298" w:type="pct"/>
            <w:textDirection w:val="lrTb"/>
            <w:noWrap w:val="false"/>
          </w:tcPr>
          <w:p>
            <w:pPr>
              <w:jc w:val="center"/>
              <w:keepLines w:val="0"/>
              <w:keepNext w:val="0"/>
              <w:pageBreakBefore w:val="0"/>
              <w:spacing w:line="240" w:lineRule="auto"/>
              <w:rPr>
                <w:rFonts w:hint="eastAsia" w:ascii="宋体" w:hAnsi="宋体" w:eastAsia="宋体"/>
                <w:b/>
                <w:bCs/>
                <w:color w:val="auto"/>
                <w:highlight w:val="none"/>
                <w:lang w:val="en-US" w:eastAsia="zh-CN"/>
              </w:rPr>
            </w:pPr>
            <w:r>
              <w:rPr>
                <w:rFonts w:hint="eastAsia" w:ascii="宋体" w:hAnsi="宋体"/>
                <w:b/>
                <w:bCs/>
                <w:color w:val="auto"/>
                <w:highlight w:val="none"/>
                <w:lang w:val="en-US" w:eastAsia="zh-CN"/>
              </w:rPr>
              <w:t xml:space="preserve">双</w:t>
            </w:r>
            <w:r/>
          </w:p>
        </w:tc>
        <w:tc>
          <w:tcPr>
            <w:tcW w:w="43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59"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88"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539"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60"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0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5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r>
      <w:tr>
        <w:trPr>
          <w:cantSplit/>
          <w:trHeight w:val="368"/>
        </w:trPr>
        <w:tc>
          <w:tcPr>
            <w:tcW w:w="240" w:type="pct"/>
            <w:vAlign w:val="center"/>
            <w:textDirection w:val="lrTb"/>
            <w:noWrap w:val="false"/>
          </w:tcPr>
          <w:p>
            <w:pPr>
              <w:jc w:val="center"/>
              <w:keepLines w:val="0"/>
              <w:keepNext w:val="0"/>
              <w:pageBreakBefore w:val="0"/>
              <w:spacing w:line="240" w:lineRule="auto"/>
              <w:widowControl/>
              <w:rPr>
                <w:rFonts w:ascii="宋体" w:hAnsi="宋体"/>
                <w:color w:val="auto"/>
                <w:highlight w:val="none"/>
              </w:rPr>
            </w:pPr>
            <w:r>
              <w:rPr>
                <w:rFonts w:hint="eastAsia" w:ascii="宋体" w:hAnsi="宋体" w:eastAsia="宋体" w:cs="宋体"/>
                <w:color w:val="auto"/>
                <w:sz w:val="21"/>
                <w:szCs w:val="21"/>
              </w:rPr>
              <w:t xml:space="preserve">14</w:t>
            </w:r>
            <w:r/>
          </w:p>
        </w:tc>
        <w:tc>
          <w:tcPr>
            <w:tcMar>
              <w:left w:w="15" w:type="dxa"/>
              <w:top w:w="15" w:type="dxa"/>
              <w:right w:w="15" w:type="dxa"/>
              <w:bottom w:w="0" w:type="dxa"/>
            </w:tcMar>
            <w:tcW w:w="762"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hint="eastAsia" w:ascii="宋体" w:hAnsi="宋体" w:eastAsia="宋体" w:cs="宋体"/>
                <w:color w:val="auto"/>
                <w:sz w:val="21"/>
                <w:szCs w:val="21"/>
              </w:rPr>
              <w:t xml:space="preserve">三号工具</w:t>
            </w:r>
            <w:r/>
          </w:p>
        </w:tc>
        <w:tc>
          <w:tcPr>
            <w:tcMar>
              <w:left w:w="15" w:type="dxa"/>
              <w:top w:w="15" w:type="dxa"/>
              <w:right w:w="15" w:type="dxa"/>
              <w:bottom w:w="0" w:type="dxa"/>
            </w:tcMar>
            <w:tcW w:w="411"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ascii="宋体" w:hAnsi="宋体" w:cs="Gulim"/>
                <w:color w:val="auto"/>
                <w:highlight w:val="none"/>
              </w:rPr>
            </w:r>
            <w:r/>
          </w:p>
        </w:tc>
        <w:tc>
          <w:tcPr>
            <w:tcW w:w="250"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hint="eastAsia" w:ascii="宋体" w:hAnsi="宋体" w:eastAsia="宋体" w:cs="宋体"/>
                <w:color w:val="auto"/>
                <w:sz w:val="21"/>
                <w:szCs w:val="21"/>
              </w:rPr>
              <w:t xml:space="preserve">300</w:t>
            </w:r>
            <w:r/>
          </w:p>
        </w:tc>
        <w:tc>
          <w:tcPr>
            <w:tcW w:w="298" w:type="pct"/>
            <w:textDirection w:val="lrTb"/>
            <w:noWrap w:val="false"/>
          </w:tcPr>
          <w:p>
            <w:pPr>
              <w:jc w:val="center"/>
              <w:keepLines w:val="0"/>
              <w:keepNext w:val="0"/>
              <w:pageBreakBefore w:val="0"/>
              <w:spacing w:line="240" w:lineRule="auto"/>
              <w:rPr>
                <w:rFonts w:ascii="宋体" w:hAnsi="宋体"/>
                <w:b/>
                <w:bCs/>
                <w:color w:val="auto"/>
                <w:highlight w:val="none"/>
              </w:rPr>
            </w:pPr>
            <w:r>
              <w:rPr>
                <w:rFonts w:hint="eastAsia" w:ascii="宋体" w:hAnsi="宋体" w:eastAsia="宋体" w:cs="宋体"/>
                <w:color w:val="auto"/>
                <w:sz w:val="21"/>
                <w:szCs w:val="21"/>
              </w:rPr>
              <w:t xml:space="preserve">把</w:t>
            </w:r>
            <w:r/>
          </w:p>
        </w:tc>
        <w:tc>
          <w:tcPr>
            <w:tcW w:w="43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59"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88"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539"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60"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0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5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r>
      <w:tr>
        <w:trPr>
          <w:cantSplit/>
          <w:trHeight w:val="368"/>
        </w:trPr>
        <w:tc>
          <w:tcPr>
            <w:tcW w:w="240" w:type="pct"/>
            <w:vAlign w:val="center"/>
            <w:textDirection w:val="lrTb"/>
            <w:noWrap w:val="false"/>
          </w:tcPr>
          <w:p>
            <w:pPr>
              <w:jc w:val="center"/>
              <w:keepLines w:val="0"/>
              <w:keepNext w:val="0"/>
              <w:pageBreakBefore w:val="0"/>
              <w:spacing w:line="240" w:lineRule="auto"/>
              <w:widowControl/>
              <w:rPr>
                <w:rFonts w:ascii="宋体" w:hAnsi="宋体"/>
                <w:color w:val="auto"/>
                <w:highlight w:val="none"/>
              </w:rPr>
            </w:pPr>
            <w:r>
              <w:rPr>
                <w:rFonts w:hint="eastAsia" w:ascii="宋体" w:hAnsi="宋体" w:eastAsia="宋体" w:cs="宋体"/>
                <w:color w:val="auto"/>
                <w:sz w:val="21"/>
                <w:szCs w:val="21"/>
              </w:rPr>
              <w:t xml:space="preserve">15</w:t>
            </w:r>
            <w:r/>
          </w:p>
        </w:tc>
        <w:tc>
          <w:tcPr>
            <w:tcMar>
              <w:left w:w="15" w:type="dxa"/>
              <w:top w:w="15" w:type="dxa"/>
              <w:right w:w="15" w:type="dxa"/>
              <w:bottom w:w="0" w:type="dxa"/>
            </w:tcMar>
            <w:tcW w:w="762"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hint="eastAsia" w:ascii="宋体" w:hAnsi="宋体" w:eastAsia="宋体" w:cs="宋体"/>
                <w:color w:val="auto"/>
                <w:sz w:val="21"/>
                <w:szCs w:val="21"/>
              </w:rPr>
              <w:t xml:space="preserve">便携帐篷</w:t>
            </w:r>
            <w:r/>
          </w:p>
        </w:tc>
        <w:tc>
          <w:tcPr>
            <w:tcMar>
              <w:left w:w="15" w:type="dxa"/>
              <w:top w:w="15" w:type="dxa"/>
              <w:right w:w="15" w:type="dxa"/>
              <w:bottom w:w="0" w:type="dxa"/>
            </w:tcMar>
            <w:tcW w:w="411"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ascii="宋体" w:hAnsi="宋体" w:cs="Gulim"/>
                <w:color w:val="auto"/>
                <w:highlight w:val="none"/>
              </w:rPr>
            </w:r>
            <w:r/>
          </w:p>
        </w:tc>
        <w:tc>
          <w:tcPr>
            <w:tcW w:w="250"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hint="eastAsia" w:ascii="宋体" w:hAnsi="宋体" w:eastAsia="宋体" w:cs="宋体"/>
                <w:color w:val="auto"/>
                <w:sz w:val="21"/>
                <w:szCs w:val="21"/>
              </w:rPr>
              <w:t xml:space="preserve">100</w:t>
            </w:r>
            <w:r/>
          </w:p>
        </w:tc>
        <w:tc>
          <w:tcPr>
            <w:tcW w:w="298" w:type="pct"/>
            <w:textDirection w:val="lrTb"/>
            <w:noWrap w:val="false"/>
          </w:tcPr>
          <w:p>
            <w:pPr>
              <w:jc w:val="center"/>
              <w:keepLines w:val="0"/>
              <w:keepNext w:val="0"/>
              <w:pageBreakBefore w:val="0"/>
              <w:spacing w:line="240" w:lineRule="auto"/>
              <w:rPr>
                <w:rFonts w:ascii="宋体" w:hAnsi="宋体"/>
                <w:b/>
                <w:bCs/>
                <w:color w:val="auto"/>
                <w:highlight w:val="none"/>
              </w:rPr>
            </w:pPr>
            <w:r>
              <w:rPr>
                <w:rFonts w:hint="eastAsia" w:ascii="宋体" w:hAnsi="宋体" w:eastAsia="宋体" w:cs="宋体"/>
                <w:color w:val="auto"/>
                <w:sz w:val="21"/>
                <w:szCs w:val="21"/>
              </w:rPr>
              <w:t xml:space="preserve">个</w:t>
            </w:r>
            <w:r/>
          </w:p>
        </w:tc>
        <w:tc>
          <w:tcPr>
            <w:tcW w:w="43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59"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88"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539"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60"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0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5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r>
      <w:tr>
        <w:trPr>
          <w:cantSplit/>
          <w:trHeight w:val="368"/>
        </w:trPr>
        <w:tc>
          <w:tcPr>
            <w:tcW w:w="240" w:type="pct"/>
            <w:vAlign w:val="center"/>
            <w:textDirection w:val="lrTb"/>
            <w:noWrap w:val="false"/>
          </w:tcPr>
          <w:p>
            <w:pPr>
              <w:jc w:val="center"/>
              <w:keepLines w:val="0"/>
              <w:keepNext w:val="0"/>
              <w:pageBreakBefore w:val="0"/>
              <w:spacing w:line="240" w:lineRule="auto"/>
              <w:widowControl/>
              <w:rPr>
                <w:rFonts w:ascii="宋体" w:hAnsi="宋体"/>
                <w:color w:val="auto"/>
                <w:highlight w:val="none"/>
              </w:rPr>
            </w:pPr>
            <w:r>
              <w:rPr>
                <w:rFonts w:hint="eastAsia" w:ascii="宋体" w:hAnsi="宋体" w:eastAsia="宋体" w:cs="宋体"/>
                <w:color w:val="auto"/>
                <w:sz w:val="21"/>
                <w:szCs w:val="21"/>
              </w:rPr>
              <w:t xml:space="preserve">16</w:t>
            </w:r>
            <w:r/>
          </w:p>
        </w:tc>
        <w:tc>
          <w:tcPr>
            <w:tcMar>
              <w:left w:w="15" w:type="dxa"/>
              <w:top w:w="15" w:type="dxa"/>
              <w:right w:w="15" w:type="dxa"/>
              <w:bottom w:w="0" w:type="dxa"/>
            </w:tcMar>
            <w:tcW w:w="762"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hint="eastAsia" w:ascii="宋体" w:hAnsi="宋体" w:eastAsia="宋体" w:cs="宋体"/>
                <w:color w:val="auto"/>
                <w:sz w:val="21"/>
                <w:szCs w:val="21"/>
              </w:rPr>
              <w:t xml:space="preserve">羽绒睡袋</w:t>
            </w:r>
            <w:r/>
          </w:p>
        </w:tc>
        <w:tc>
          <w:tcPr>
            <w:tcMar>
              <w:left w:w="15" w:type="dxa"/>
              <w:top w:w="15" w:type="dxa"/>
              <w:right w:w="15" w:type="dxa"/>
              <w:bottom w:w="0" w:type="dxa"/>
            </w:tcMar>
            <w:tcW w:w="411"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ascii="宋体" w:hAnsi="宋体" w:cs="Gulim"/>
                <w:color w:val="auto"/>
                <w:highlight w:val="none"/>
              </w:rPr>
            </w:r>
            <w:r/>
          </w:p>
        </w:tc>
        <w:tc>
          <w:tcPr>
            <w:tcW w:w="250" w:type="pct"/>
            <w:vAlign w:val="center"/>
            <w:textDirection w:val="lrTb"/>
            <w:noWrap w:val="false"/>
          </w:tcPr>
          <w:p>
            <w:pPr>
              <w:jc w:val="center"/>
              <w:keepLines w:val="0"/>
              <w:keepNext w:val="0"/>
              <w:pageBreakBefore w:val="0"/>
              <w:spacing w:line="240" w:lineRule="auto"/>
              <w:widowControl/>
              <w:rPr>
                <w:rFonts w:ascii="宋体" w:hAnsi="宋体" w:cs="Gulim"/>
                <w:color w:val="auto"/>
                <w:highlight w:val="none"/>
              </w:rPr>
            </w:pPr>
            <w:r>
              <w:rPr>
                <w:rFonts w:hint="eastAsia" w:ascii="宋体" w:hAnsi="宋体" w:eastAsia="宋体" w:cs="宋体"/>
                <w:color w:val="auto"/>
                <w:sz w:val="21"/>
                <w:szCs w:val="21"/>
              </w:rPr>
              <w:t xml:space="preserve">100</w:t>
            </w:r>
            <w:r/>
          </w:p>
        </w:tc>
        <w:tc>
          <w:tcPr>
            <w:tcW w:w="298" w:type="pct"/>
            <w:textDirection w:val="lrTb"/>
            <w:noWrap w:val="false"/>
          </w:tcPr>
          <w:p>
            <w:pPr>
              <w:jc w:val="center"/>
              <w:keepLines w:val="0"/>
              <w:keepNext w:val="0"/>
              <w:pageBreakBefore w:val="0"/>
              <w:spacing w:line="240" w:lineRule="auto"/>
              <w:rPr>
                <w:rFonts w:ascii="宋体" w:hAnsi="宋体"/>
                <w:b/>
                <w:bCs/>
                <w:color w:val="auto"/>
                <w:highlight w:val="none"/>
              </w:rPr>
            </w:pPr>
            <w:r>
              <w:rPr>
                <w:rFonts w:hint="eastAsia" w:ascii="宋体" w:hAnsi="宋体" w:eastAsia="宋体" w:cs="宋体"/>
                <w:color w:val="auto"/>
                <w:sz w:val="21"/>
                <w:szCs w:val="21"/>
              </w:rPr>
              <w:t xml:space="preserve">个</w:t>
            </w:r>
            <w:r/>
          </w:p>
        </w:tc>
        <w:tc>
          <w:tcPr>
            <w:tcW w:w="43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59"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88"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539"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60"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0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5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r>
      <w:tr>
        <w:trPr>
          <w:cantSplit/>
          <w:trHeight w:val="368"/>
        </w:trPr>
        <w:tc>
          <w:tcPr>
            <w:tcW w:w="240" w:type="pct"/>
            <w:vAlign w:val="center"/>
            <w:vMerge w:val="restart"/>
            <w:textDirection w:val="lrTb"/>
            <w:noWrap w:val="false"/>
          </w:tcPr>
          <w:p>
            <w:pPr>
              <w:jc w:val="center"/>
              <w:keepLines w:val="0"/>
              <w:keepNext w:val="0"/>
              <w:pageBreakBefore w:val="0"/>
              <w:spacing w:line="240" w:lineRule="auto"/>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17</w:t>
            </w:r>
            <w:r/>
          </w:p>
        </w:tc>
        <w:tc>
          <w:tcPr>
            <w:tcMar>
              <w:left w:w="15" w:type="dxa"/>
              <w:top w:w="15" w:type="dxa"/>
              <w:right w:w="15" w:type="dxa"/>
              <w:bottom w:w="0" w:type="dxa"/>
            </w:tcMar>
            <w:tcW w:w="762" w:type="pct"/>
            <w:vAlign w:val="center"/>
            <w:vMerge w:val="restart"/>
            <w:textDirection w:val="lrTb"/>
            <w:noWrap w:val="false"/>
          </w:tcPr>
          <w:p>
            <w:pPr>
              <w:jc w:val="center"/>
              <w:keepLines w:val="0"/>
              <w:keepNext w:val="0"/>
              <w:pageBreakBefore w:val="0"/>
              <w:spacing w:line="240" w:lineRule="auto"/>
              <w:rPr>
                <w:rFonts w:ascii="宋体" w:hAnsi="宋体"/>
                <w:b/>
                <w:bCs/>
                <w:color w:val="auto"/>
                <w:szCs w:val="21"/>
                <w:highlight w:val="none"/>
              </w:rPr>
            </w:pPr>
            <w:r>
              <w:rPr>
                <w:rFonts w:hint="eastAsia" w:ascii="宋体" w:hAnsi="宋体"/>
                <w:b/>
                <w:bCs/>
                <w:color w:val="auto"/>
                <w:szCs w:val="21"/>
                <w:highlight w:val="none"/>
              </w:rPr>
              <w:t xml:space="preserve">其 他</w:t>
            </w:r>
            <w:r/>
          </w:p>
        </w:tc>
        <w:tc>
          <w:tcPr>
            <w:tcMar>
              <w:left w:w="15" w:type="dxa"/>
              <w:top w:w="15" w:type="dxa"/>
              <w:right w:w="15" w:type="dxa"/>
              <w:bottom w:w="0" w:type="dxa"/>
            </w:tcMar>
            <w:tcW w:w="411" w:type="pct"/>
            <w:textDirection w:val="lrTb"/>
            <w:noWrap w:val="false"/>
          </w:tcPr>
          <w:p>
            <w:pPr>
              <w:jc w:val="center"/>
              <w:keepLines w:val="0"/>
              <w:keepNext w:val="0"/>
              <w:pageBreakBefore w:val="0"/>
              <w:spacing w:line="240" w:lineRule="auto"/>
              <w:rPr>
                <w:rFonts w:ascii="宋体" w:hAnsi="宋体"/>
                <w:b/>
                <w:bCs/>
                <w:color w:val="auto"/>
                <w:szCs w:val="21"/>
                <w:highlight w:val="none"/>
              </w:rPr>
            </w:pPr>
            <w:r>
              <w:rPr>
                <w:rFonts w:ascii="宋体" w:hAnsi="宋体"/>
                <w:b/>
                <w:bCs/>
                <w:color w:val="auto"/>
                <w:szCs w:val="21"/>
                <w:highlight w:val="none"/>
              </w:rPr>
            </w:r>
            <w:r/>
          </w:p>
        </w:tc>
        <w:tc>
          <w:tcPr>
            <w:tcW w:w="250"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98"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43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59"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88"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539"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60"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0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53"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r>
      <w:tr>
        <w:trPr>
          <w:cantSplit/>
          <w:trHeight w:val="368"/>
        </w:trPr>
        <w:tc>
          <w:tcPr>
            <w:tcW w:w="240" w:type="pct"/>
            <w:vAlign w:val="center"/>
            <w:vMerge w:val="continue"/>
            <w:textDirection w:val="lrTb"/>
            <w:noWrap w:val="false"/>
          </w:tcPr>
          <w:p>
            <w:pPr>
              <w:jc w:val="center"/>
              <w:keepLines w:val="0"/>
              <w:keepNext w:val="0"/>
              <w:pageBreakBefore w:val="0"/>
              <w:spacing w:line="240" w:lineRule="auto"/>
              <w:rPr>
                <w:rFonts w:ascii="宋体" w:hAnsi="宋体"/>
                <w:color w:val="auto"/>
                <w:highlight w:val="none"/>
              </w:rPr>
            </w:pPr>
            <w:r>
              <w:rPr>
                <w:rFonts w:ascii="宋体" w:hAnsi="宋体"/>
                <w:color w:val="auto"/>
                <w:highlight w:val="none"/>
              </w:rPr>
            </w:r>
            <w:r/>
          </w:p>
        </w:tc>
        <w:tc>
          <w:tcPr>
            <w:tcMar>
              <w:left w:w="15" w:type="dxa"/>
              <w:top w:w="15" w:type="dxa"/>
              <w:right w:w="15" w:type="dxa"/>
              <w:bottom w:w="0" w:type="dxa"/>
            </w:tcMar>
            <w:tcW w:w="762" w:type="pct"/>
            <w:vAlign w:val="center"/>
            <w:vMerge w:val="continue"/>
            <w:textDirection w:val="lrTb"/>
            <w:noWrap w:val="false"/>
          </w:tcPr>
          <w:p>
            <w:pPr>
              <w:jc w:val="center"/>
              <w:keepLines w:val="0"/>
              <w:keepNext w:val="0"/>
              <w:pageBreakBefore w:val="0"/>
              <w:spacing w:line="240" w:lineRule="auto"/>
              <w:rPr>
                <w:rFonts w:ascii="宋体" w:hAnsi="宋体"/>
                <w:b/>
                <w:bCs/>
                <w:color w:val="auto"/>
                <w:szCs w:val="21"/>
                <w:highlight w:val="none"/>
              </w:rPr>
            </w:pPr>
            <w:r>
              <w:rPr>
                <w:rFonts w:ascii="宋体" w:hAnsi="宋体"/>
                <w:b/>
                <w:bCs/>
                <w:color w:val="auto"/>
                <w:szCs w:val="21"/>
                <w:highlight w:val="none"/>
              </w:rPr>
            </w:r>
            <w:r/>
          </w:p>
        </w:tc>
        <w:tc>
          <w:tcPr>
            <w:tcMar>
              <w:left w:w="15" w:type="dxa"/>
              <w:top w:w="15" w:type="dxa"/>
              <w:right w:w="15" w:type="dxa"/>
              <w:bottom w:w="0" w:type="dxa"/>
            </w:tcMar>
            <w:tcW w:w="411" w:type="pct"/>
            <w:textDirection w:val="lrTb"/>
            <w:noWrap w:val="false"/>
          </w:tcPr>
          <w:p>
            <w:pPr>
              <w:jc w:val="center"/>
              <w:keepLines w:val="0"/>
              <w:keepNext w:val="0"/>
              <w:pageBreakBefore w:val="0"/>
              <w:spacing w:line="240" w:lineRule="auto"/>
              <w:rPr>
                <w:rFonts w:ascii="宋体" w:hAnsi="宋体"/>
                <w:b/>
                <w:bCs/>
                <w:color w:val="auto"/>
                <w:szCs w:val="21"/>
                <w:highlight w:val="none"/>
              </w:rPr>
            </w:pPr>
            <w:r>
              <w:rPr>
                <w:rFonts w:ascii="宋体" w:hAnsi="宋体"/>
                <w:b/>
                <w:bCs/>
                <w:color w:val="auto"/>
                <w:szCs w:val="21"/>
                <w:highlight w:val="none"/>
              </w:rPr>
            </w:r>
            <w:r/>
          </w:p>
        </w:tc>
        <w:tc>
          <w:tcPr>
            <w:tcW w:w="250"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hint="eastAsia" w:ascii="宋体" w:hAnsi="宋体" w:cs="Gulim"/>
                <w:color w:val="auto"/>
                <w:highlight w:val="none"/>
              </w:rPr>
              <w:t xml:space="preserve"> </w:t>
            </w:r>
            <w:r/>
          </w:p>
        </w:tc>
        <w:tc>
          <w:tcPr>
            <w:tcW w:w="298" w:type="pct"/>
            <w:textDirection w:val="lrTb"/>
            <w:noWrap w:val="false"/>
          </w:tcPr>
          <w:p>
            <w:pPr>
              <w:keepLines w:val="0"/>
              <w:keepNext w:val="0"/>
              <w:pageBreakBefore w:val="0"/>
              <w:spacing w:line="240" w:lineRule="auto"/>
              <w:rPr>
                <w:rFonts w:ascii="宋体" w:hAnsi="宋体" w:cs="Gulim"/>
                <w:color w:val="auto"/>
                <w:highlight w:val="none"/>
              </w:rPr>
            </w:pPr>
            <w:r>
              <w:rPr>
                <w:rFonts w:hint="eastAsia" w:ascii="宋体" w:hAnsi="宋体"/>
                <w:color w:val="auto"/>
                <w:highlight w:val="none"/>
              </w:rPr>
              <w:t xml:space="preserve"> </w:t>
            </w:r>
            <w:r/>
          </w:p>
        </w:tc>
        <w:tc>
          <w:tcPr>
            <w:tcW w:w="433" w:type="pct"/>
            <w:textDirection w:val="lrTb"/>
            <w:noWrap w:val="false"/>
          </w:tcPr>
          <w:p>
            <w:pP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59" w:type="pct"/>
            <w:textDirection w:val="lrTb"/>
            <w:noWrap w:val="false"/>
          </w:tcPr>
          <w:p>
            <w:pP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88" w:type="pct"/>
            <w:textDirection w:val="lrTb"/>
            <w:noWrap w:val="false"/>
          </w:tcPr>
          <w:p>
            <w:pP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539" w:type="pct"/>
            <w:textDirection w:val="lrTb"/>
            <w:noWrap w:val="false"/>
          </w:tcPr>
          <w:p>
            <w:pP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60" w:type="pct"/>
            <w:textDirection w:val="lrTb"/>
            <w:noWrap w:val="false"/>
          </w:tcPr>
          <w:p>
            <w:pP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03" w:type="pct"/>
            <w:textDirection w:val="lrTb"/>
            <w:noWrap w:val="false"/>
          </w:tcPr>
          <w:p>
            <w:pP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53" w:type="pct"/>
            <w:textDirection w:val="lrTb"/>
            <w:noWrap w:val="false"/>
          </w:tcPr>
          <w:p>
            <w:pP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r>
      <w:tr>
        <w:trPr>
          <w:cantSplit/>
          <w:trHeight w:val="368"/>
        </w:trPr>
        <w:tc>
          <w:tcPr>
            <w:tcW w:w="240" w:type="pct"/>
            <w:vAlign w:val="center"/>
            <w:vMerge w:val="continue"/>
            <w:textDirection w:val="lrTb"/>
            <w:noWrap w:val="false"/>
          </w:tcPr>
          <w:p>
            <w:pPr>
              <w:jc w:val="center"/>
              <w:keepLines w:val="0"/>
              <w:keepNext w:val="0"/>
              <w:pageBreakBefore w:val="0"/>
              <w:spacing w:line="240" w:lineRule="auto"/>
              <w:rPr>
                <w:rFonts w:ascii="宋体" w:hAnsi="宋体"/>
                <w:color w:val="auto"/>
                <w:highlight w:val="none"/>
              </w:rPr>
            </w:pPr>
            <w:r>
              <w:rPr>
                <w:rFonts w:ascii="宋体" w:hAnsi="宋体"/>
                <w:color w:val="auto"/>
                <w:highlight w:val="none"/>
              </w:rPr>
            </w:r>
            <w:r/>
          </w:p>
        </w:tc>
        <w:tc>
          <w:tcPr>
            <w:tcMar>
              <w:left w:w="15" w:type="dxa"/>
              <w:top w:w="15" w:type="dxa"/>
              <w:right w:w="15" w:type="dxa"/>
              <w:bottom w:w="0" w:type="dxa"/>
            </w:tcMar>
            <w:tcW w:w="762" w:type="pct"/>
            <w:vAlign w:val="center"/>
            <w:vMerge w:val="continue"/>
            <w:textDirection w:val="lrTb"/>
            <w:noWrap w:val="false"/>
          </w:tcPr>
          <w:p>
            <w:pPr>
              <w:jc w:val="center"/>
              <w:keepLines w:val="0"/>
              <w:keepNext w:val="0"/>
              <w:pageBreakBefore w:val="0"/>
              <w:spacing w:line="240" w:lineRule="auto"/>
              <w:rPr>
                <w:rFonts w:ascii="宋体" w:hAnsi="宋体"/>
                <w:b/>
                <w:bCs/>
                <w:color w:val="auto"/>
                <w:szCs w:val="21"/>
                <w:highlight w:val="none"/>
              </w:rPr>
            </w:pPr>
            <w:r>
              <w:rPr>
                <w:rFonts w:ascii="宋体" w:hAnsi="宋体"/>
                <w:b/>
                <w:bCs/>
                <w:color w:val="auto"/>
                <w:szCs w:val="21"/>
                <w:highlight w:val="none"/>
              </w:rPr>
            </w:r>
            <w:r/>
          </w:p>
        </w:tc>
        <w:tc>
          <w:tcPr>
            <w:tcMar>
              <w:left w:w="15" w:type="dxa"/>
              <w:top w:w="15" w:type="dxa"/>
              <w:right w:w="15" w:type="dxa"/>
              <w:bottom w:w="0" w:type="dxa"/>
            </w:tcMar>
            <w:tcW w:w="411" w:type="pct"/>
            <w:textDirection w:val="lrTb"/>
            <w:noWrap w:val="false"/>
          </w:tcPr>
          <w:p>
            <w:pPr>
              <w:jc w:val="center"/>
              <w:keepLines w:val="0"/>
              <w:keepNext w:val="0"/>
              <w:pageBreakBefore w:val="0"/>
              <w:spacing w:line="240" w:lineRule="auto"/>
              <w:rPr>
                <w:rFonts w:ascii="宋体" w:hAnsi="宋体"/>
                <w:b/>
                <w:bCs/>
                <w:color w:val="auto"/>
                <w:szCs w:val="21"/>
                <w:highlight w:val="none"/>
              </w:rPr>
            </w:pPr>
            <w:r>
              <w:rPr>
                <w:rFonts w:ascii="宋体" w:hAnsi="宋体"/>
                <w:b/>
                <w:bCs/>
                <w:color w:val="auto"/>
                <w:szCs w:val="21"/>
                <w:highlight w:val="none"/>
              </w:rPr>
            </w:r>
            <w:r/>
          </w:p>
        </w:tc>
        <w:tc>
          <w:tcPr>
            <w:tcW w:w="250" w:type="pct"/>
            <w:textDirection w:val="lrTb"/>
            <w:noWrap w:val="false"/>
          </w:tcPr>
          <w:p>
            <w:pPr>
              <w:jc w:val="cente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98" w:type="pct"/>
            <w:textDirection w:val="lrTb"/>
            <w:noWrap w:val="false"/>
          </w:tcPr>
          <w:p>
            <w:pPr>
              <w:keepLines w:val="0"/>
              <w:keepNext w:val="0"/>
              <w:pageBreakBefore w:val="0"/>
              <w:spacing w:line="240" w:lineRule="auto"/>
              <w:rPr>
                <w:rFonts w:ascii="宋体" w:hAnsi="宋体" w:cs="Gulim"/>
                <w:color w:val="auto"/>
                <w:highlight w:val="none"/>
              </w:rPr>
            </w:pPr>
            <w:r>
              <w:rPr>
                <w:rFonts w:hint="eastAsia" w:ascii="宋体" w:hAnsi="宋体"/>
                <w:color w:val="auto"/>
                <w:highlight w:val="none"/>
              </w:rPr>
              <w:t xml:space="preserve"> </w:t>
            </w:r>
            <w:r/>
          </w:p>
        </w:tc>
        <w:tc>
          <w:tcPr>
            <w:tcW w:w="433" w:type="pct"/>
            <w:textDirection w:val="lrTb"/>
            <w:noWrap w:val="false"/>
          </w:tcPr>
          <w:p>
            <w:pP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59" w:type="pct"/>
            <w:textDirection w:val="lrTb"/>
            <w:noWrap w:val="false"/>
          </w:tcPr>
          <w:p>
            <w:pP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688" w:type="pct"/>
            <w:textDirection w:val="lrTb"/>
            <w:noWrap w:val="false"/>
          </w:tcPr>
          <w:p>
            <w:pP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539" w:type="pct"/>
            <w:textDirection w:val="lrTb"/>
            <w:noWrap w:val="false"/>
          </w:tcPr>
          <w:p>
            <w:pP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60" w:type="pct"/>
            <w:textDirection w:val="lrTb"/>
            <w:noWrap w:val="false"/>
          </w:tcPr>
          <w:p>
            <w:pP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03" w:type="pct"/>
            <w:textDirection w:val="lrTb"/>
            <w:noWrap w:val="false"/>
          </w:tcPr>
          <w:p>
            <w:pP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c>
          <w:tcPr>
            <w:tcW w:w="253" w:type="pct"/>
            <w:textDirection w:val="lrTb"/>
            <w:noWrap w:val="false"/>
          </w:tcPr>
          <w:p>
            <w:pPr>
              <w:keepLines w:val="0"/>
              <w:keepNext w:val="0"/>
              <w:pageBreakBefore w:val="0"/>
              <w:spacing w:line="240" w:lineRule="auto"/>
              <w:rPr>
                <w:rFonts w:ascii="宋体" w:hAnsi="宋体" w:cs="Gulim"/>
                <w:color w:val="auto"/>
                <w:highlight w:val="none"/>
              </w:rPr>
            </w:pPr>
            <w:r>
              <w:rPr>
                <w:rFonts w:ascii="宋体" w:hAnsi="宋体" w:cs="Gulim"/>
                <w:color w:val="auto"/>
                <w:highlight w:val="none"/>
              </w:rPr>
            </w:r>
            <w:r/>
          </w:p>
        </w:tc>
      </w:tr>
      <w:tr>
        <w:trPr>
          <w:cantSplit/>
          <w:trHeight w:val="368"/>
        </w:trPr>
        <w:tc>
          <w:tcPr>
            <w:tcW w:w="240" w:type="pct"/>
            <w:vAlign w:val="center"/>
            <w:textDirection w:val="lrTb"/>
            <w:noWrap w:val="false"/>
          </w:tcPr>
          <w:p>
            <w:pPr>
              <w:jc w:val="center"/>
              <w:keepLines w:val="0"/>
              <w:keepNext w:val="0"/>
              <w:pageBreakBefore w:val="0"/>
              <w:spacing w:line="240" w:lineRule="auto"/>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18</w:t>
            </w:r>
            <w:r/>
          </w:p>
        </w:tc>
        <w:tc>
          <w:tcPr>
            <w:gridSpan w:val="4"/>
            <w:tcMar>
              <w:left w:w="15" w:type="dxa"/>
              <w:top w:w="15" w:type="dxa"/>
              <w:right w:w="15" w:type="dxa"/>
              <w:bottom w:w="0" w:type="dxa"/>
            </w:tcMar>
            <w:tcW w:w="1722" w:type="pct"/>
            <w:vAlign w:val="center"/>
            <w:textDirection w:val="lrTb"/>
            <w:noWrap w:val="false"/>
          </w:tcPr>
          <w:p>
            <w:pPr>
              <w:keepLines w:val="0"/>
              <w:keepNext w:val="0"/>
              <w:pageBreakBefore w:val="0"/>
              <w:spacing w:line="240" w:lineRule="auto"/>
              <w:rPr>
                <w:rFonts w:hint="eastAsia" w:ascii="宋体" w:hAnsi="宋体"/>
                <w:color w:val="auto"/>
                <w:highlight w:val="none"/>
              </w:rPr>
            </w:pPr>
            <w:r>
              <w:rPr>
                <w:rFonts w:hint="eastAsia" w:ascii="宋体" w:hAnsi="宋体"/>
                <w:b/>
                <w:bCs/>
                <w:color w:val="auto"/>
                <w:highlight w:val="none"/>
              </w:rPr>
              <w:t xml:space="preserve">投标报价总计</w:t>
            </w:r>
            <w:r/>
          </w:p>
        </w:tc>
        <w:tc>
          <w:tcPr>
            <w:gridSpan w:val="7"/>
            <w:shd w:val="clear" w:color="auto" w:fill="auto"/>
            <w:tcW w:w="3037" w:type="pct"/>
            <w:vAlign w:val="top"/>
            <w:textDirection w:val="lrTb"/>
            <w:noWrap w:val="false"/>
          </w:tcPr>
          <w:p>
            <w:pPr>
              <w:keepLines w:val="0"/>
              <w:keepNext w:val="0"/>
              <w:pageBreakBefore w:val="0"/>
              <w:spacing w:line="240" w:lineRule="auto"/>
              <w:rPr>
                <w:rFonts w:ascii="宋体" w:hAnsi="宋体"/>
                <w:color w:val="auto"/>
                <w:highlight w:val="none"/>
                <w:u w:val="single"/>
              </w:rPr>
            </w:pPr>
            <w:r>
              <w:rPr>
                <w:rFonts w:hint="eastAsia" w:ascii="宋体" w:hAnsi="宋体"/>
                <w:color w:val="auto"/>
                <w:highlight w:val="none"/>
              </w:rPr>
              <w:t xml:space="preserve">小写：</w:t>
            </w:r>
            <w:r>
              <w:rPr>
                <w:rFonts w:hint="eastAsia" w:ascii="宋体" w:hAnsi="宋体"/>
                <w:color w:val="auto"/>
                <w:highlight w:val="none"/>
                <w:u w:val="single"/>
              </w:rPr>
              <w:t xml:space="preserve">                         </w:t>
            </w:r>
            <w:r/>
          </w:p>
          <w:p>
            <w:pPr>
              <w:keepLines w:val="0"/>
              <w:keepNext w:val="0"/>
              <w:pageBreakBefore w:val="0"/>
              <w:spacing w:line="240" w:lineRule="auto"/>
              <w:rPr>
                <w:rFonts w:ascii="宋体" w:hAnsi="宋体" w:eastAsia="宋体" w:cs="Gulim"/>
                <w:color w:val="auto"/>
                <w:sz w:val="21"/>
                <w:szCs w:val="24"/>
                <w:highlight w:val="none"/>
                <w:lang w:val="en-US" w:eastAsia="zh-CN" w:bidi="ar-SA"/>
              </w:rPr>
            </w:pPr>
            <w:r>
              <w:rPr>
                <w:rFonts w:hint="eastAsia" w:ascii="宋体" w:hAnsi="宋体"/>
                <w:color w:val="auto"/>
                <w:highlight w:val="none"/>
              </w:rPr>
              <w:t xml:space="preserve">大写：</w:t>
            </w:r>
            <w:r>
              <w:rPr>
                <w:rFonts w:hint="eastAsia" w:ascii="宋体" w:hAnsi="宋体"/>
                <w:color w:val="auto"/>
                <w:highlight w:val="none"/>
                <w:u w:val="single"/>
              </w:rPr>
              <w:t xml:space="preserve">                         </w:t>
            </w:r>
            <w:r/>
          </w:p>
        </w:tc>
      </w:tr>
    </w:tbl>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1073"/>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备注：</w:t>
      </w:r>
      <w:r/>
    </w:p>
    <w:p>
      <w:pPr>
        <w:pStyle w:val="1073"/>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1、此表为表样，行数可自行添加，但表式不变；</w:t>
      </w:r>
      <w:r/>
    </w:p>
    <w:p>
      <w:pPr>
        <w:pStyle w:val="1073"/>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2、上表中的“投标报价总计”应当等于“报价一览表”中“投标总价”；</w:t>
      </w:r>
      <w:r/>
    </w:p>
    <w:p>
      <w:pPr>
        <w:pStyle w:val="1073"/>
        <w:ind w:firstLine="422"/>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3、投标人须将所投分包填列完整，如未填列完整，由此造成无效投标的风险由投标人承担。</w:t>
      </w:r>
      <w:r/>
    </w:p>
    <w:p>
      <w:pPr>
        <w:pStyle w:val="1073"/>
        <w:ind w:firstLine="422"/>
        <w:rPr>
          <w:rFonts w:hint="default" w:cs="宋体"/>
          <w:color w:val="ff0000"/>
          <w:sz w:val="21"/>
          <w:szCs w:val="21"/>
          <w:highlight w:val="yellow"/>
          <w:lang w:val="en-US" w:eastAsia="zh-CN"/>
        </w:rPr>
      </w:pPr>
      <w:r>
        <w:rPr>
          <w:rFonts w:hint="eastAsia" w:cs="宋体"/>
          <w:color w:val="ff0000"/>
          <w:sz w:val="21"/>
          <w:szCs w:val="21"/>
          <w:highlight w:val="yellow"/>
          <w:lang w:val="en-US" w:eastAsia="zh-CN"/>
        </w:rPr>
        <w:t xml:space="preserve">4、本表所有采购内容不得遗漏，否则作无效响应处理。第13.1-13.9项为第13项的子项报价，投标人应逐项填报，不得遗漏。汇总时，以第13项价格进行汇总，第13项的单价为第13.1-13.9项之和。</w:t>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投标人名称（盖章）：</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678"/>
        <w:jc w:val="center"/>
        <w:keepLines w:val="0"/>
        <w:spacing w:before="0" w:after="0" w:line="360" w:lineRule="auto"/>
        <w:rPr>
          <w:rFonts w:ascii="宋体" w:hAnsi="宋体" w:eastAsia="宋体" w:cs="华文中宋"/>
          <w:b/>
          <w:bCs/>
          <w:color w:val="000000" w:themeColor="text1"/>
          <w:sz w:val="21"/>
          <w:szCs w:val="21"/>
          <w:highlight w:val="none"/>
          <w14:textFill>
            <w14:solidFill>
              <w14:schemeClr w14:val="tx1"/>
            </w14:solidFill>
          </w14:textFill>
          <w14:ligatures w14:val="standardContextual"/>
        </w:rPr>
      </w:pPr>
      <w:r>
        <w:rPr>
          <w:rFonts w:ascii="楷体_GB2312" w:eastAsia="楷体_GB2312" w:cs="楷体_GB2312"/>
          <w:color w:val="000000" w:themeColor="text1"/>
          <w:sz w:val="24"/>
          <w:highlight w:val="none"/>
          <w14:textFill>
            <w14:solidFill>
              <w14:schemeClr w14:val="tx1"/>
            </w14:solidFill>
          </w14:textFill>
        </w:rPr>
        <w:br w:type="page" w:clear="all"/>
      </w:r>
      <w:bookmarkEnd w:id="77"/>
      <w:r/>
      <w:bookmarkStart w:id="81" w:name="_Toc395185555"/>
      <w:r/>
      <w:bookmarkStart w:id="82" w:name="_Toc465782207"/>
      <w:r/>
      <w:bookmarkStart w:id="83" w:name="_Toc357514855"/>
      <w:r/>
      <w:bookmarkStart w:id="84" w:name="_Toc468787022"/>
      <w:r/>
      <w:bookmarkStart w:id="85" w:name="_Toc10784"/>
      <w:r/>
      <w:bookmarkStart w:id="86" w:name="_Toc28642"/>
      <w:r>
        <w:rPr>
          <w:rFonts w:hint="eastAsia" w:ascii="宋体" w:hAnsi="宋体" w:eastAsia="宋体" w:cs="华文中宋"/>
          <w:b/>
          <w:bCs/>
          <w:color w:val="000000" w:themeColor="text1"/>
          <w:sz w:val="21"/>
          <w:szCs w:val="21"/>
          <w:highlight w:val="none"/>
          <w14:textFill>
            <w14:solidFill>
              <w14:schemeClr w14:val="tx1"/>
            </w14:solidFill>
          </w14:textFill>
          <w14:ligatures w14:val="standardContextual"/>
        </w:rPr>
        <w:t xml:space="preserve">四、</w:t>
      </w:r>
      <w:bookmarkEnd w:id="81"/>
      <w:r/>
      <w:bookmarkEnd w:id="82"/>
      <w:r/>
      <w:bookmarkEnd w:id="83"/>
      <w:r/>
      <w:bookmarkEnd w:id="84"/>
      <w:r>
        <w:rPr>
          <w:rFonts w:hint="eastAsia" w:ascii="宋体" w:hAnsi="宋体" w:eastAsia="宋体" w:cs="华文中宋"/>
          <w:b/>
          <w:bCs/>
          <w:color w:val="000000" w:themeColor="text1"/>
          <w:sz w:val="21"/>
          <w:szCs w:val="21"/>
          <w:highlight w:val="none"/>
          <w14:textFill>
            <w14:solidFill>
              <w14:schemeClr w14:val="tx1"/>
            </w14:solidFill>
          </w14:textFill>
          <w14:ligatures w14:val="standardContextual"/>
        </w:rPr>
        <w:t xml:space="preserve">商务条款偏离表</w:t>
      </w:r>
      <w:bookmarkEnd w:id="85"/>
      <w:r/>
      <w:bookmarkEnd w:id="86"/>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项目编号：</w:t>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项目名称：</w:t>
      </w:r>
      <w:r/>
    </w:p>
    <w:p>
      <w:pPr>
        <w:spacing w:line="360" w:lineRule="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分包号及分包内容：</w:t>
      </w:r>
      <w:r/>
    </w:p>
    <w:tbl>
      <w:tblPr>
        <w:tblStyle w:val="687"/>
        <w:tblW w:w="8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3308"/>
        <w:gridCol w:w="1886"/>
        <w:gridCol w:w="2553"/>
      </w:tblGrid>
      <w:tr>
        <w:trPr>
          <w:jc w:val="center"/>
          <w:trHeight w:val="568"/>
        </w:trPr>
        <w:tc>
          <w:tcPr>
            <w:tcW w:w="97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序号</w:t>
            </w:r>
            <w:r/>
          </w:p>
        </w:tc>
        <w:tc>
          <w:tcPr>
            <w:tcW w:w="3308"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采购文件商务条款</w:t>
            </w:r>
            <w:r/>
          </w:p>
        </w:tc>
        <w:tc>
          <w:tcPr>
            <w:tcW w:w="188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商务响应</w:t>
            </w:r>
            <w:r/>
          </w:p>
        </w:tc>
        <w:tc>
          <w:tcPr>
            <w:tcW w:w="2553"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具体说明（响应/偏离）</w:t>
            </w:r>
            <w:r/>
          </w:p>
        </w:tc>
      </w:tr>
      <w:tr>
        <w:trPr>
          <w:jc w:val="center"/>
          <w:trHeight w:val="874"/>
        </w:trPr>
        <w:tc>
          <w:tcPr>
            <w:tcW w:w="97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line="360" w:lineRule="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566"/>
        </w:trPr>
        <w:tc>
          <w:tcPr>
            <w:tcW w:w="97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1245"/>
        </w:trPr>
        <w:tc>
          <w:tcPr>
            <w:tcW w:w="97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74"/>
        </w:trPr>
        <w:tc>
          <w:tcPr>
            <w:tcW w:w="97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74"/>
        </w:trPr>
        <w:tc>
          <w:tcPr>
            <w:tcW w:w="97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89"/>
        </w:trPr>
        <w:tc>
          <w:tcPr>
            <w:tcW w:w="97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74"/>
        </w:trPr>
        <w:tc>
          <w:tcPr>
            <w:tcW w:w="97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bl>
    <w:p>
      <w:pPr>
        <w:spacing w:line="360" w:lineRule="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投标人：</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(加盖CA章)</w:t>
      </w:r>
      <w:r/>
    </w:p>
    <w:p>
      <w:pPr>
        <w:spacing w:line="360" w:lineRule="auto"/>
        <w:rPr>
          <w:rFonts w:ascii="宋体" w:hAnsi="宋体" w:cs="华文中宋"/>
          <w:bCs/>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日期：</w:t>
      </w:r>
      <w:r/>
    </w:p>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注：</w:t>
      </w:r>
      <w:r>
        <w:rPr>
          <w:rFonts w:ascii="宋体" w:hAnsi="宋体" w:cs="华文中宋"/>
          <w:color w:val="000000" w:themeColor="text1"/>
          <w:szCs w:val="21"/>
          <w:highlight w:val="none"/>
          <w14:textFill>
            <w14:solidFill>
              <w14:schemeClr w14:val="tx1"/>
            </w14:solidFill>
          </w14:textFill>
          <w14:ligatures w14:val="standardContextual"/>
        </w:rPr>
        <w:t xml:space="preserve">1.</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如投标人无任何偏离,也需在响应表中注明并在响应文件中递交此表，并注明是否有偏离。</w:t>
      </w:r>
      <w:r/>
    </w:p>
    <w:p>
      <w:pPr>
        <w:ind w:firstLine="420"/>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pStyle w:val="678"/>
        <w:jc w:val="center"/>
        <w:keepLines w:val="0"/>
        <w:spacing w:before="0" w:after="0" w:line="360" w:lineRule="auto"/>
        <w:rPr>
          <w:rFonts w:ascii="宋体" w:hAnsi="宋体" w:eastAsia="宋体" w:cs="华文中宋"/>
          <w:b/>
          <w:bCs/>
          <w:color w:val="000000" w:themeColor="text1"/>
          <w:sz w:val="21"/>
          <w:szCs w:val="21"/>
          <w:highlight w:val="none"/>
          <w14:textFill>
            <w14:solidFill>
              <w14:schemeClr w14:val="tx1"/>
            </w14:solidFill>
          </w14:textFill>
          <w14:ligatures w14:val="standardContextual"/>
        </w:rPr>
      </w:pPr>
      <w:r/>
      <w:bookmarkStart w:id="87" w:name="_Toc463776853"/>
      <w:r/>
      <w:bookmarkEnd w:id="87"/>
      <w:r/>
      <w:bookmarkStart w:id="88" w:name="_Toc492542761"/>
      <w:r/>
      <w:bookmarkEnd w:id="88"/>
      <w:r/>
      <w:bookmarkStart w:id="89" w:name="_Toc73971315"/>
      <w:r/>
      <w:bookmarkEnd w:id="89"/>
      <w:r/>
      <w:bookmarkStart w:id="90" w:name="_Toc70584647"/>
      <w:r/>
      <w:bookmarkEnd w:id="90"/>
      <w:r/>
      <w:bookmarkStart w:id="91" w:name="_Toc5542664"/>
      <w:r/>
      <w:bookmarkEnd w:id="91"/>
      <w:r/>
      <w:bookmarkStart w:id="92" w:name="_Toc48846206"/>
      <w:r/>
      <w:bookmarkEnd w:id="92"/>
      <w:r/>
      <w:bookmarkStart w:id="93" w:name="_Toc48310822"/>
      <w:r/>
      <w:bookmarkEnd w:id="93"/>
      <w:r/>
      <w:bookmarkStart w:id="94" w:name="_Toc72395664"/>
      <w:r/>
      <w:bookmarkEnd w:id="94"/>
      <w:r/>
      <w:bookmarkStart w:id="95" w:name="_Toc130564501"/>
      <w:r/>
      <w:bookmarkEnd w:id="95"/>
      <w:r/>
      <w:bookmarkStart w:id="96" w:name="_Toc49616682"/>
      <w:r/>
      <w:bookmarkEnd w:id="96"/>
      <w:r/>
      <w:bookmarkStart w:id="97" w:name="_Toc463785843"/>
      <w:r/>
      <w:bookmarkEnd w:id="97"/>
      <w:r/>
      <w:bookmarkStart w:id="98" w:name="_Toc462045840"/>
      <w:r/>
      <w:bookmarkEnd w:id="98"/>
      <w:r/>
      <w:bookmarkStart w:id="99" w:name="_Toc8559811"/>
      <w:r/>
      <w:bookmarkEnd w:id="99"/>
      <w:r/>
      <w:bookmarkStart w:id="100" w:name="_Toc72395579"/>
      <w:r/>
      <w:bookmarkEnd w:id="100"/>
      <w:r/>
      <w:bookmarkStart w:id="101" w:name="_Toc130452067"/>
      <w:r/>
      <w:bookmarkEnd w:id="101"/>
      <w:r/>
      <w:bookmarkStart w:id="102" w:name="_Toc289873238"/>
      <w:r/>
      <w:bookmarkEnd w:id="102"/>
      <w:r/>
      <w:bookmarkStart w:id="103" w:name="_Toc65684762"/>
      <w:r/>
      <w:bookmarkEnd w:id="103"/>
      <w:r/>
      <w:bookmarkStart w:id="104" w:name="_Toc401840466"/>
      <w:r/>
      <w:bookmarkEnd w:id="104"/>
      <w:r/>
      <w:bookmarkStart w:id="105" w:name="_Toc42532753"/>
      <w:r/>
      <w:bookmarkEnd w:id="105"/>
      <w:r/>
      <w:bookmarkStart w:id="106" w:name="_Toc72928947"/>
      <w:r/>
      <w:bookmarkEnd w:id="106"/>
      <w:r/>
      <w:bookmarkStart w:id="107" w:name="_Toc161767432"/>
      <w:r/>
      <w:bookmarkEnd w:id="107"/>
      <w:r/>
      <w:bookmarkStart w:id="108" w:name="_Toc49107215"/>
      <w:r/>
      <w:bookmarkEnd w:id="108"/>
      <w:r/>
      <w:bookmarkStart w:id="109" w:name="_Toc479083024"/>
      <w:r/>
      <w:bookmarkEnd w:id="109"/>
      <w:r/>
      <w:bookmarkStart w:id="110" w:name="_Toc450570285"/>
      <w:r/>
      <w:bookmarkEnd w:id="110"/>
      <w:r/>
      <w:bookmarkStart w:id="111" w:name="_Toc479147534"/>
      <w:r/>
      <w:bookmarkEnd w:id="111"/>
      <w:r/>
      <w:bookmarkStart w:id="112" w:name="_Toc135999011"/>
      <w:r/>
      <w:bookmarkEnd w:id="112"/>
      <w:r/>
      <w:bookmarkStart w:id="113" w:name="_Toc150183350"/>
      <w:r/>
      <w:bookmarkStart w:id="114" w:name="_Toc14201"/>
      <w:r/>
      <w:bookmarkStart w:id="115" w:name="_Toc148118725"/>
      <w:r/>
      <w:bookmarkStart w:id="116" w:name="_Toc30702"/>
      <w:r/>
      <w:bookmarkStart w:id="117" w:name="_Toc10746"/>
      <w:r/>
      <w:bookmarkStart w:id="118" w:name="_Toc135993268"/>
      <w:r/>
      <w:bookmarkStart w:id="119" w:name="_Toc193032131"/>
      <w:r/>
      <w:bookmarkStart w:id="120" w:name="_Toc18698"/>
      <w:r/>
      <w:bookmarkStart w:id="121" w:name="_Toc190675314"/>
      <w:r/>
      <w:bookmarkStart w:id="122" w:name="_Toc229243876"/>
      <w:r/>
      <w:bookmarkStart w:id="123" w:name="_Toc148118153"/>
      <w:r>
        <w:rPr>
          <w:rFonts w:hint="eastAsia" w:ascii="宋体" w:hAnsi="宋体" w:eastAsia="宋体" w:cs="华文中宋"/>
          <w:b/>
          <w:bCs/>
          <w:color w:val="000000" w:themeColor="text1"/>
          <w:sz w:val="21"/>
          <w:szCs w:val="21"/>
          <w:highlight w:val="none"/>
          <w14:textFill>
            <w14:solidFill>
              <w14:schemeClr w14:val="tx1"/>
            </w14:solidFill>
          </w14:textFill>
          <w14:ligatures w14:val="standardContextual"/>
        </w:rPr>
        <w:t xml:space="preserve">五、技术需求偏离表</w:t>
      </w:r>
      <w:bookmarkEnd w:id="113"/>
      <w:r/>
      <w:bookmarkEnd w:id="114"/>
      <w:r/>
      <w:bookmarkEnd w:id="115"/>
      <w:r/>
      <w:bookmarkEnd w:id="116"/>
      <w:r/>
      <w:bookmarkEnd w:id="117"/>
      <w:r/>
      <w:bookmarkEnd w:id="118"/>
      <w:r/>
      <w:bookmarkEnd w:id="119"/>
      <w:r/>
      <w:bookmarkEnd w:id="120"/>
      <w:r/>
      <w:bookmarkEnd w:id="121"/>
      <w:r/>
      <w:bookmarkEnd w:id="122"/>
      <w:r/>
      <w:bookmarkEnd w:id="123"/>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项目编号：</w:t>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项目名称：</w:t>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分包号及分包内容：</w:t>
      </w:r>
      <w:r/>
    </w:p>
    <w:tbl>
      <w:tblPr>
        <w:tblStyle w:val="687"/>
        <w:tblW w:w="8080"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3969"/>
        <w:gridCol w:w="1422"/>
        <w:gridCol w:w="1838"/>
      </w:tblGrid>
      <w:tr>
        <w:trPr>
          <w:trHeight w:val="655"/>
        </w:trPr>
        <w:tc>
          <w:tcPr>
            <w:tcW w:w="851" w:type="dxa"/>
            <w:vAlign w:val="center"/>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序号</w:t>
            </w:r>
            <w:r/>
          </w:p>
        </w:tc>
        <w:tc>
          <w:tcPr>
            <w:tcW w:w="3969" w:type="dxa"/>
            <w:vAlign w:val="center"/>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采购文件技术要求</w:t>
            </w:r>
            <w:r/>
          </w:p>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（“第四章 </w:t>
            </w: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招标内容与技术要求</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w:t>
            </w:r>
            <w:r/>
          </w:p>
        </w:tc>
        <w:tc>
          <w:tcPr>
            <w:tcW w:w="1422" w:type="dxa"/>
            <w:vAlign w:val="center"/>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技术响应</w:t>
            </w:r>
            <w:r/>
          </w:p>
        </w:tc>
        <w:tc>
          <w:tcPr>
            <w:tcW w:w="1838" w:type="dxa"/>
            <w:vAlign w:val="center"/>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具体说明</w:t>
            </w:r>
            <w:r/>
          </w:p>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（响应/偏离）</w:t>
            </w:r>
            <w:r/>
          </w:p>
        </w:tc>
      </w:tr>
      <w:tr>
        <w:trPr>
          <w:trHeight w:val="611"/>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bl>
    <w:p>
      <w:pPr>
        <w:spacing w:line="360" w:lineRule="auto"/>
        <w:rPr>
          <w:rFonts w:ascii="宋体" w:hAnsi="宋体" w:cs="华文中宋"/>
          <w:bCs/>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投标人：</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(加盖CA章)</w:t>
      </w:r>
      <w:r/>
    </w:p>
    <w:p>
      <w:pPr>
        <w:spacing w:line="360" w:lineRule="auto"/>
        <w:rPr>
          <w:rFonts w:ascii="宋体" w:hAnsi="宋体" w:cs="华文中宋"/>
          <w:bCs/>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日期：</w:t>
      </w:r>
      <w:r/>
    </w:p>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注：</w:t>
      </w:r>
      <w:r>
        <w:rPr>
          <w:rFonts w:ascii="宋体" w:hAnsi="宋体" w:cs="华文中宋"/>
          <w:color w:val="000000" w:themeColor="text1"/>
          <w:szCs w:val="21"/>
          <w:highlight w:val="none"/>
          <w14:textFill>
            <w14:solidFill>
              <w14:schemeClr w14:val="tx1"/>
            </w14:solidFill>
          </w14:textFill>
          <w14:ligatures w14:val="standardContextual"/>
        </w:rPr>
        <w:t xml:space="preserve">1.</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对于某项指标的数据存在证明文件内容不一致的情况,取指标较低的为准,对于可以用量化形式表示的条款,投标人必须明确回答,或以功能描述回答。</w:t>
      </w:r>
      <w:r/>
    </w:p>
    <w:p>
      <w:pPr>
        <w:ind w:firstLine="435"/>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t xml:space="preserve">2.</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作为响应文件重要的组成部分,不能通过简单拷贝采购文件技术要求或简单标注“符合”“满足”。</w:t>
      </w:r>
      <w:r/>
    </w:p>
    <w:p>
      <w:pPr>
        <w:pStyle w:val="1074"/>
        <w:ind w:firstLine="480"/>
        <w:rPr>
          <w:color w:val="000000" w:themeColor="text1"/>
          <w:highlight w:val="none"/>
          <w:lang w:val="zh-CN"/>
          <w14:textFill>
            <w14:solidFill>
              <w14:schemeClr w14:val="tx1"/>
            </w14:solidFill>
          </w14:textFil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3.如投标人无任何偏离,也需在响应表中注明并在响应文件中递交此表，并注明是否有偏离。</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br w:type="page" w:clear="all"/>
      </w:r>
      <w:r/>
    </w:p>
    <w:p>
      <w:pPr>
        <w:pStyle w:val="678"/>
        <w:jc w:val="center"/>
        <w:keepLines w:val="0"/>
        <w:spacing w:before="0" w:after="0" w:line="360" w:lineRule="auto"/>
        <w:rPr>
          <w:rFonts w:hint="eastAsia" w:ascii="宋体" w:hAnsi="宋体" w:eastAsia="宋体" w:cs="华文中宋"/>
          <w:b/>
          <w:bCs/>
          <w:color w:val="000000" w:themeColor="text1"/>
          <w:sz w:val="21"/>
          <w:szCs w:val="21"/>
          <w:highlight w:val="none"/>
          <w:lang w:val="zh-CN"/>
          <w14:textFill>
            <w14:solidFill>
              <w14:schemeClr w14:val="tx1"/>
            </w14:solidFill>
          </w14:textFill>
          <w14:ligatures w14:val="standardContextual"/>
        </w:rPr>
      </w:pPr>
      <w:r/>
      <w:bookmarkStart w:id="124" w:name="_Toc468787024"/>
      <w:r/>
      <w:bookmarkStart w:id="125" w:name="_Toc23415"/>
      <w:r/>
      <w:bookmarkStart w:id="126" w:name="_Toc5075"/>
      <w:r>
        <w:rPr>
          <w:rFonts w:hint="eastAsia" w:ascii="宋体" w:hAnsi="宋体" w:eastAsia="宋体" w:cs="华文中宋"/>
          <w:b/>
          <w:bCs/>
          <w:color w:val="000000" w:themeColor="text1"/>
          <w:sz w:val="21"/>
          <w:szCs w:val="21"/>
          <w:highlight w:val="none"/>
          <w:lang w:val="zh-CN"/>
          <w14:textFill>
            <w14:solidFill>
              <w14:schemeClr w14:val="tx1"/>
            </w14:solidFill>
          </w14:textFill>
          <w14:ligatures w14:val="standardContextual"/>
        </w:rPr>
        <w:t xml:space="preserve">六、</w:t>
      </w:r>
      <w:bookmarkEnd w:id="78"/>
      <w:r/>
      <w:bookmarkEnd w:id="124"/>
      <w:r/>
      <w:bookmarkStart w:id="127" w:name="_Toc157775469"/>
      <w:r>
        <w:rPr>
          <w:rFonts w:hint="eastAsia" w:ascii="宋体" w:hAnsi="宋体" w:eastAsia="宋体" w:cs="华文中宋"/>
          <w:b/>
          <w:bCs/>
          <w:color w:val="000000" w:themeColor="text1"/>
          <w:sz w:val="21"/>
          <w:szCs w:val="21"/>
          <w:highlight w:val="none"/>
          <w:lang w:val="zh-CN"/>
          <w14:textFill>
            <w14:solidFill>
              <w14:schemeClr w14:val="tx1"/>
            </w14:solidFill>
          </w14:textFill>
          <w14:ligatures w14:val="standardContextual"/>
        </w:rPr>
        <w:t xml:space="preserve">技术方案</w:t>
      </w:r>
      <w:bookmarkEnd w:id="125"/>
      <w:r/>
      <w:bookmarkEnd w:id="126"/>
      <w:r/>
      <w:bookmarkEnd w:id="127"/>
      <w:r/>
      <w:r/>
    </w:p>
    <w:p>
      <w:pPr>
        <w:spacing w:line="400" w:lineRule="exact"/>
        <w:rPr>
          <w:rFonts w:ascii="宋体" w:hAnsi="宋体" w:cs="华文中宋"/>
          <w:color w:val="ff0000"/>
          <w:szCs w:val="21"/>
          <w:highlight w:val="none"/>
          <w:lang w:val="zh-CN"/>
          <w14:ligatures w14:val="standardContextual"/>
        </w:rPr>
      </w:pPr>
      <w:r>
        <w:rPr>
          <w:rFonts w:hint="eastAsia" w:ascii="宋体" w:hAnsi="宋体" w:cs="华文中宋"/>
          <w:color w:val="ff0000"/>
          <w:szCs w:val="21"/>
          <w:highlight w:val="none"/>
          <w:lang w:val="zh-CN"/>
          <w14:ligatures w14:val="standardContextual"/>
        </w:rPr>
        <w:t xml:space="preserve">根据评标办法细则要求提供相应材料</w:t>
      </w:r>
      <w:r/>
    </w:p>
    <w:p>
      <w:pPr>
        <w:spacing w:line="400" w:lineRule="exact"/>
        <w:rPr>
          <w:rFonts w:hint="eastAsia" w:ascii="宋体" w:hAnsi="宋体" w:cs="华文中宋"/>
          <w:color w:val="ff0000"/>
          <w:szCs w:val="21"/>
          <w:highlight w:val="none"/>
          <w:lang w:val="zh-CN"/>
          <w14:ligatures w14:val="standardContextual"/>
        </w:rPr>
      </w:pPr>
      <w:r>
        <w:rPr>
          <w:rFonts w:hint="eastAsia" w:ascii="宋体" w:hAnsi="宋体" w:cs="华文中宋"/>
          <w:color w:val="ff0000"/>
          <w:szCs w:val="21"/>
          <w:highlight w:val="none"/>
          <w:lang w:val="zh-CN"/>
          <w14:ligatures w14:val="standardContextual"/>
        </w:rPr>
        <w:t xml:space="preserve">（一）供货及配送方案（评标办法）</w:t>
      </w:r>
      <w:r/>
    </w:p>
    <w:p>
      <w:pPr>
        <w:spacing w:line="400" w:lineRule="exact"/>
        <w:rPr>
          <w:rFonts w:hint="eastAsia" w:ascii="宋体" w:hAnsi="宋体" w:cs="华文中宋"/>
          <w:color w:val="ff0000"/>
          <w:szCs w:val="21"/>
          <w:highlight w:val="none"/>
          <w:lang w:val="zh-CN"/>
          <w14:ligatures w14:val="standardContextual"/>
        </w:rPr>
      </w:pPr>
      <w:r>
        <w:rPr>
          <w:rFonts w:hint="eastAsia" w:ascii="宋体" w:hAnsi="宋体" w:cs="华文中宋"/>
          <w:color w:val="ff0000"/>
          <w:szCs w:val="21"/>
          <w:highlight w:val="none"/>
          <w:lang w:val="zh-CN"/>
          <w14:ligatures w14:val="standardContextual"/>
        </w:rPr>
        <w:t xml:space="preserve">（二）培训方案（评标办法）</w:t>
      </w:r>
      <w:r/>
    </w:p>
    <w:p>
      <w:pPr>
        <w:spacing w:line="400" w:lineRule="exact"/>
        <w:rPr>
          <w:rFonts w:hint="eastAsia" w:ascii="宋体" w:hAnsi="宋体" w:cs="华文中宋"/>
          <w:color w:val="ff0000"/>
          <w:szCs w:val="21"/>
          <w:highlight w:val="none"/>
          <w:lang w:val="zh-CN"/>
          <w14:ligatures w14:val="standardContextual"/>
        </w:rPr>
      </w:pPr>
      <w:r>
        <w:rPr>
          <w:rFonts w:hint="eastAsia" w:ascii="宋体" w:hAnsi="宋体" w:cs="华文中宋"/>
          <w:color w:val="ff0000"/>
          <w:szCs w:val="21"/>
          <w:highlight w:val="none"/>
          <w:lang w:val="zh-CN"/>
          <w14:ligatures w14:val="standardContextual"/>
        </w:rPr>
        <w:t xml:space="preserve">（三）售后服务方案（评标办法）</w:t>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hint="eastAsia" w:ascii="楷体_GB2312" w:eastAsia="楷体_GB2312" w:cs="楷体_GB2312"/>
          <w:color w:val="000000" w:themeColor="text1"/>
          <w:sz w:val="24"/>
          <w:highlight w:val="none"/>
          <w:lang w:val="zh-CN"/>
          <w14:textFill>
            <w14:solidFill>
              <w14:schemeClr w14:val="tx1"/>
            </w14:solidFill>
          </w14:textFill>
        </w:rPr>
        <w:t xml:space="preserve">  </w:t>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pStyle w:val="1070"/>
        <w:jc w:val="center"/>
        <w:rPr>
          <w:color w:val="000000" w:themeColor="text1"/>
          <w:highlight w:val="none"/>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br w:type="page" w:clear="all"/>
      </w:r>
      <w:bookmarkStart w:id="128" w:name="_Toc468787025"/>
      <w:r/>
      <w:bookmarkStart w:id="129" w:name="OLE_LINK1"/>
      <w:r/>
      <w:bookmarkStart w:id="130" w:name="_Toc11824"/>
      <w:r/>
      <w:bookmarkStart w:id="131" w:name="_Toc7276"/>
      <w:r>
        <w:rPr>
          <w:rFonts w:hint="eastAsia"/>
          <w:color w:val="000000" w:themeColor="text1"/>
          <w:highlight w:val="none"/>
          <w14:textFill>
            <w14:solidFill>
              <w14:schemeClr w14:val="tx1"/>
            </w14:solidFill>
          </w14:textFill>
        </w:rPr>
        <w:t xml:space="preserve">七、</w:t>
      </w:r>
      <w:bookmarkEnd w:id="128"/>
      <w:r/>
      <w:bookmarkEnd w:id="129"/>
      <w:r>
        <w:rPr>
          <w:rFonts w:hint="eastAsia"/>
          <w:color w:val="000000" w:themeColor="text1"/>
          <w:highlight w:val="none"/>
          <w14:textFill>
            <w14:solidFill>
              <w14:schemeClr w14:val="tx1"/>
            </w14:solidFill>
          </w14:textFill>
        </w:rPr>
        <w:t xml:space="preserve">业绩</w:t>
      </w:r>
      <w:bookmarkEnd w:id="130"/>
      <w:r/>
      <w:bookmarkEnd w:id="131"/>
      <w:r/>
      <w:r/>
    </w:p>
    <w:tbl>
      <w:tblPr>
        <w:tblStyle w:val="687"/>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025"/>
        <w:gridCol w:w="1421"/>
        <w:gridCol w:w="1421"/>
        <w:gridCol w:w="1536"/>
        <w:gridCol w:w="1308"/>
      </w:tblGrid>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序号</w:t>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采购单位</w:t>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项目名称</w:t>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项目金额</w:t>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合同签订时间</w:t>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备注</w:t>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ind w:left="420" w:hanging="420"/>
        <w:spacing w:after="156"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注：提供相关证明材料。表格可自行扩充。</w:t>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16"/>
        <w:spacing w:before="65" w:line="227" w:lineRule="auto"/>
        <w:rPr>
          <w:rFonts w:cs="宋体"/>
          <w:color w:val="000000" w:themeColor="text1"/>
          <w:sz w:val="20"/>
          <w:szCs w:val="20"/>
          <w:highlight w:val="none"/>
          <w14:textFill>
            <w14:solidFill>
              <w14:schemeClr w14:val="tx1"/>
            </w14:solidFill>
          </w14:textFill>
        </w:rPr>
      </w:pPr>
      <w:r>
        <w:rPr>
          <w:rFonts w:cs="宋体"/>
          <w:color w:val="000000" w:themeColor="text1"/>
          <w:spacing w:val="8"/>
          <w:sz w:val="20"/>
          <w:szCs w:val="20"/>
          <w:highlight w:val="none"/>
          <w14:textFill>
            <w14:solidFill>
              <w14:schemeClr w14:val="tx1"/>
            </w14:solidFill>
          </w14:textFill>
        </w:rPr>
        <w:t xml:space="preserve">投标人名称（公章</w:t>
      </w:r>
      <w:r>
        <w:rPr>
          <w:rFonts w:cs="宋体"/>
          <w:color w:val="000000" w:themeColor="text1"/>
          <w:spacing w:val="1"/>
          <w:sz w:val="20"/>
          <w:szCs w:val="20"/>
          <w:highlight w:val="none"/>
          <w14:textFill>
            <w14:solidFill>
              <w14:schemeClr w14:val="tx1"/>
            </w14:solidFill>
          </w14:textFill>
        </w:rPr>
        <w:t xml:space="preserve">）：</w:t>
      </w:r>
      <w:r/>
    </w:p>
    <w:p>
      <w:pPr>
        <w:ind w:left="396" w:hanging="182"/>
        <w:spacing w:before="162" w:line="408" w:lineRule="exact"/>
        <w:rPr>
          <w:rFonts w:cs="宋体"/>
          <w:color w:val="000000" w:themeColor="text1"/>
          <w:spacing w:val="-9"/>
          <w:position w:val="15"/>
          <w:sz w:val="20"/>
          <w:szCs w:val="20"/>
          <w:highlight w:val="none"/>
          <w14:textFill>
            <w14:solidFill>
              <w14:schemeClr w14:val="tx1"/>
            </w14:solidFill>
          </w14:textFill>
        </w:rPr>
      </w:pPr>
      <w:r>
        <w:rPr>
          <w:rFonts w:cs="宋体"/>
          <w:color w:val="000000" w:themeColor="text1"/>
          <w:spacing w:val="-9"/>
          <w:position w:val="15"/>
          <w:sz w:val="20"/>
          <w:szCs w:val="20"/>
          <w:highlight w:val="none"/>
          <w14:textFill>
            <w14:solidFill>
              <w14:schemeClr w14:val="tx1"/>
            </w14:solidFill>
          </w14:textFill>
        </w:rPr>
      </w:r>
      <w:r/>
    </w:p>
    <w:p>
      <w:pPr>
        <w:ind w:left="396" w:hanging="182"/>
        <w:spacing w:before="162" w:line="408" w:lineRule="exact"/>
        <w:rPr>
          <w:b/>
          <w:color w:val="000000" w:themeColor="text1"/>
          <w:highlight w:val="none"/>
          <w14:textFill>
            <w14:solidFill>
              <w14:schemeClr w14:val="tx1"/>
            </w14:solidFill>
          </w14:textFill>
        </w:rPr>
      </w:pPr>
      <w:r>
        <w:rPr>
          <w:rFonts w:cs="宋体"/>
          <w:color w:val="000000" w:themeColor="text1"/>
          <w:spacing w:val="-9"/>
          <w:position w:val="15"/>
          <w:sz w:val="20"/>
          <w:szCs w:val="20"/>
          <w:highlight w:val="none"/>
          <w14:textFill>
            <w14:solidFill>
              <w14:schemeClr w14:val="tx1"/>
            </w14:solidFill>
          </w14:textFill>
        </w:rPr>
        <w:t xml:space="preserve">日</w:t>
      </w:r>
      <w:r>
        <w:rPr>
          <w:rFonts w:hint="eastAsia" w:cs="宋体"/>
          <w:color w:val="000000" w:themeColor="text1"/>
          <w:spacing w:val="-9"/>
          <w:position w:val="15"/>
          <w:sz w:val="20"/>
          <w:szCs w:val="20"/>
          <w:highlight w:val="none"/>
          <w14:textFill>
            <w14:solidFill>
              <w14:schemeClr w14:val="tx1"/>
            </w14:solidFill>
          </w14:textFill>
        </w:rPr>
        <w:t xml:space="preserve">   </w:t>
      </w:r>
      <w:r>
        <w:rPr>
          <w:rFonts w:cs="宋体"/>
          <w:color w:val="000000" w:themeColor="text1"/>
          <w:spacing w:val="-9"/>
          <w:position w:val="15"/>
          <w:sz w:val="20"/>
          <w:szCs w:val="20"/>
          <w:highlight w:val="none"/>
          <w14:textFill>
            <w14:solidFill>
              <w14:schemeClr w14:val="tx1"/>
            </w14:solidFill>
          </w14:textFill>
        </w:rPr>
        <w:t xml:space="preserve">期：</w:t>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0"/>
        <w:jc w:val="center"/>
        <w:rPr>
          <w:color w:val="000000" w:themeColor="text1"/>
          <w:highlight w:val="none"/>
          <w14:textFill>
            <w14:solidFill>
              <w14:schemeClr w14:val="tx1"/>
            </w14:solidFill>
          </w14:textFill>
        </w:rPr>
      </w:pPr>
      <w:r/>
      <w:bookmarkStart w:id="132" w:name="_Toc11508"/>
      <w:r/>
      <w:bookmarkStart w:id="133" w:name="_Toc26935"/>
      <w:r>
        <w:rPr>
          <w:rFonts w:hint="eastAsia"/>
          <w:color w:val="000000" w:themeColor="text1"/>
          <w:highlight w:val="none"/>
          <w14:textFill>
            <w14:solidFill>
              <w14:schemeClr w14:val="tx1"/>
            </w14:solidFill>
          </w14:textFill>
        </w:rPr>
        <w:t xml:space="preserve">八、履约能力</w:t>
      </w:r>
      <w:bookmarkEnd w:id="132"/>
      <w:r/>
      <w:bookmarkEnd w:id="133"/>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根据评标办法细则要求提供相应材料</w:t>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0"/>
        <w:jc w:val="center"/>
        <w:rPr>
          <w:color w:val="000000" w:themeColor="text1"/>
          <w:highlight w:val="none"/>
          <w14:textFill>
            <w14:solidFill>
              <w14:schemeClr w14:val="tx1"/>
            </w14:solidFill>
          </w14:textFill>
        </w:rPr>
      </w:pPr>
      <w:r/>
      <w:bookmarkStart w:id="134" w:name="_Toc19725"/>
      <w:r/>
      <w:bookmarkStart w:id="135" w:name="_Toc7359"/>
      <w:r>
        <w:rPr>
          <w:rFonts w:hint="eastAsia"/>
          <w:color w:val="000000" w:themeColor="text1"/>
          <w:highlight w:val="none"/>
          <w14:textFill>
            <w14:solidFill>
              <w14:schemeClr w14:val="tx1"/>
            </w14:solidFill>
          </w14:textFill>
        </w:rPr>
        <w:t xml:space="preserve">九、投标人必须提交的资格证明文件</w:t>
      </w:r>
      <w:bookmarkEnd w:id="134"/>
      <w:r/>
      <w:bookmarkEnd w:id="135"/>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1、满足《中华人民共和国政府采购法》第二十二条规定；</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（1）具有独立承担民事责任的能力（提供法人或其他组织的营业执照）；</w:t>
      </w:r>
      <w:r/>
    </w:p>
    <w:p>
      <w:pPr>
        <w:pStyle w:val="1074"/>
        <w:ind w:firstLine="480"/>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（2）具有良好的商业信誉和健全的财务会计制度；</w:t>
      </w:r>
      <w:r/>
    </w:p>
    <w:p>
      <w:pPr>
        <w:ind w:firstLine="420"/>
        <w:spacing w:line="360" w:lineRule="auto"/>
        <w:shd w:val="clear" w:color="auto" w:fill="ffffff"/>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提供企业2025年度</w:t>
      </w:r>
      <w:r>
        <w:rPr>
          <w:rFonts w:ascii="宋体" w:hAnsi="宋体"/>
          <w:color w:val="000000" w:themeColor="text1"/>
          <w:szCs w:val="21"/>
          <w:highlight w:val="none"/>
          <w14:textFill>
            <w14:solidFill>
              <w14:schemeClr w14:val="tx1"/>
            </w14:solidFill>
          </w14:textFill>
        </w:rPr>
        <w:t xml:space="preserve">财务审计报告或企业</w:t>
      </w:r>
      <w:r>
        <w:rPr>
          <w:rFonts w:hint="eastAsia" w:ascii="宋体" w:hAnsi="宋体"/>
          <w:color w:val="000000" w:themeColor="text1"/>
          <w:szCs w:val="21"/>
          <w:highlight w:val="none"/>
          <w14:textFill>
            <w14:solidFill>
              <w14:schemeClr w14:val="tx1"/>
            </w14:solidFill>
          </w14:textFill>
        </w:rPr>
        <w:t xml:space="preserve">近三个月中任一月份的财务状况报告复印件（至少包括资产负债表和利润表，加盖投标人公章）（法人或者其他组织成立未满三个月的可以不提供）或其基本开户银行出具的资信证明（距开标时间3个月内开具）；</w:t>
      </w:r>
      <w:r/>
    </w:p>
    <w:p>
      <w:pPr>
        <w:pStyle w:val="1074"/>
        <w:ind w:firstLine="480"/>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3</w:t>
      </w:r>
      <w:r>
        <w:rPr>
          <w:rFonts w:hint="eastAsia" w:ascii="宋体" w:hAnsi="宋体"/>
          <w:color w:val="000000" w:themeColor="text1"/>
          <w:sz w:val="21"/>
          <w:szCs w:val="21"/>
          <w:highlight w:val="none"/>
          <w14:textFill>
            <w14:solidFill>
              <w14:schemeClr w14:val="tx1"/>
            </w14:solidFill>
          </w14:textFill>
        </w:rPr>
        <w:t xml:space="preserve">）有依法缴纳税收和社会保障资金的良好记录；</w:t>
      </w:r>
      <w:r/>
    </w:p>
    <w:p>
      <w:pPr>
        <w:ind w:firstLine="420"/>
        <w:spacing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提供企业近三个月中任一月份依法缴纳税收和社会保障资金的相关凭证材料，依法免缴、迟缴的应提供相应文件证明；</w:t>
      </w:r>
      <w:r/>
    </w:p>
    <w:p>
      <w:pPr>
        <w:pStyle w:val="1074"/>
        <w:ind w:firstLine="480"/>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4</w:t>
      </w:r>
      <w:r>
        <w:rPr>
          <w:rFonts w:hint="eastAsia" w:ascii="宋体" w:hAnsi="宋体"/>
          <w:color w:val="000000" w:themeColor="text1"/>
          <w:sz w:val="21"/>
          <w:szCs w:val="21"/>
          <w:highlight w:val="none"/>
          <w14:textFill>
            <w14:solidFill>
              <w14:schemeClr w14:val="tx1"/>
            </w14:solidFill>
          </w14:textFill>
        </w:rPr>
        <w:t xml:space="preserve">）具有履行合同所必需的设备和专业技术能力（根据项目需求提供履行合同所必需的设备和专业技术能力的证明材料或</w:t>
      </w:r>
      <w:r>
        <w:rPr>
          <w:rFonts w:ascii="宋体" w:hAnsi="宋体"/>
          <w:color w:val="000000" w:themeColor="text1"/>
          <w:sz w:val="21"/>
          <w:szCs w:val="21"/>
          <w:highlight w:val="none"/>
          <w14:textFill>
            <w14:solidFill>
              <w14:schemeClr w14:val="tx1"/>
            </w14:solidFill>
          </w14:textFill>
        </w:rPr>
        <w:t xml:space="preserve">提供承诺书</w:t>
      </w:r>
      <w:r>
        <w:rPr>
          <w:rFonts w:hint="eastAsia" w:ascii="宋体" w:hAnsi="宋体"/>
          <w:color w:val="000000" w:themeColor="text1"/>
          <w:sz w:val="21"/>
          <w:szCs w:val="21"/>
          <w:highlight w:val="none"/>
          <w14:textFill>
            <w14:solidFill>
              <w14:schemeClr w14:val="tx1"/>
            </w14:solidFill>
          </w14:textFill>
        </w:rPr>
        <w:t xml:space="preserve">，加盖公章）；</w:t>
      </w:r>
      <w:r/>
    </w:p>
    <w:p>
      <w:pPr>
        <w:pStyle w:val="1074"/>
        <w:ind w:firstLine="480"/>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（5）参加政府采购活动前三年内，在经营活动中没有重大违法记录（提供参加本次政府采购活动前3年内在经营活动中没有重大违法记录的书面声明，加盖公章）；</w:t>
      </w:r>
      <w:r/>
    </w:p>
    <w:p>
      <w:pPr>
        <w:jc w:val="center"/>
        <w:rPr>
          <w:color w:val="000000" w:themeColor="text1"/>
          <w:highlight w:val="none"/>
          <w14:textFill>
            <w14:solidFill>
              <w14:schemeClr w14:val="tx1"/>
            </w14:solidFill>
          </w14:textFill>
        </w:rPr>
      </w:pPr>
      <w:r/>
      <w:bookmarkStart w:id="136" w:name="_Toc189747356"/>
      <w:r/>
      <w:bookmarkStart w:id="137" w:name="_Toc109544918"/>
      <w:r/>
      <w:bookmarkStart w:id="138" w:name="_Toc105434074"/>
      <w:r/>
      <w:bookmarkStart w:id="139" w:name="_Toc191908185"/>
      <w:r/>
      <w:bookmarkStart w:id="140" w:name="_Toc192947636"/>
      <w:r/>
      <w:bookmarkStart w:id="141" w:name="_Toc468787034"/>
      <w:r/>
      <w:bookmarkStart w:id="142" w:name="_Toc11339486"/>
      <w:r/>
      <w:bookmarkStart w:id="143" w:name="_Toc103933431"/>
      <w:r/>
      <w:bookmarkStart w:id="144" w:name="_Toc103695584"/>
      <w:r/>
      <w:bookmarkStart w:id="145" w:name="_Toc11338083"/>
      <w:r/>
      <w:bookmarkStart w:id="146" w:name="_Toc517164020"/>
      <w:r/>
      <w:bookmarkStart w:id="147" w:name="_Toc193565162"/>
      <w:r/>
      <w:bookmarkStart w:id="148" w:name="_Toc193565328"/>
      <w:r/>
      <w:r/>
    </w:p>
    <w:p>
      <w:pPr>
        <w:jc w:val="cente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jc w:val="cente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jc w:val="cente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jc w:val="cente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jc w:val="cente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jc w:val="cente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jc w:val="cente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无重大违法记录声明</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b/>
          <w:bCs/>
          <w:color w:val="000000" w:themeColor="text1"/>
          <w:highlight w:val="none"/>
          <w14:textFill>
            <w14:solidFill>
              <w14:schemeClr w14:val="tx1"/>
            </w14:solidFill>
          </w14:textFill>
        </w:rPr>
        <w:t xml:space="preserve">（参考格式）</w:t>
      </w:r>
      <w:r/>
    </w:p>
    <w:p>
      <w:pPr>
        <w:pStyle w:val="107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tabs>
          <w:tab w:val="left" w:pos="1498"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江苏省</w:t>
      </w:r>
      <w:r>
        <w:rPr>
          <w:rFonts w:hint="eastAsia" w:ascii="宋体" w:hAnsi="宋体"/>
          <w:color w:val="000000" w:themeColor="text1"/>
          <w:szCs w:val="21"/>
          <w:highlight w:val="none"/>
          <w:u w:val="single"/>
          <w:lang w:val="en-US" w:eastAsia="zh-CN"/>
          <w14:textFill>
            <w14:solidFill>
              <w14:schemeClr w14:val="tx1"/>
            </w14:solidFill>
          </w14:textFill>
        </w:rPr>
        <w:t xml:space="preserve">林业局</w:t>
      </w:r>
      <w:r>
        <w:rPr>
          <w:rFonts w:hint="eastAsia" w:ascii="宋体" w:hAnsi="宋体"/>
          <w:color w:val="000000" w:themeColor="text1"/>
          <w:szCs w:val="21"/>
          <w:highlight w:val="none"/>
          <w14:textFill>
            <w14:solidFill>
              <w14:schemeClr w14:val="tx1"/>
            </w14:solidFill>
          </w14:textFill>
        </w:rPr>
        <w:t xml:space="preserve">：</w:t>
      </w:r>
      <w:r/>
    </w:p>
    <w:p>
      <w:pPr>
        <w:ind w:firstLine="6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我公司在参加编号为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号</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项目的政府采购活动前三年内，</w:t>
      </w:r>
      <w:r>
        <w:rPr>
          <w:rFonts w:ascii="宋体" w:hAnsi="宋体"/>
          <w:color w:val="000000" w:themeColor="text1"/>
          <w:szCs w:val="21"/>
          <w:highlight w:val="none"/>
          <w14:textFill>
            <w14:solidFill>
              <w14:schemeClr w14:val="tx1"/>
            </w14:solidFill>
          </w14:textFill>
        </w:rPr>
        <w:t xml:space="preserve">在经营活动中没有重大违法记录</w:t>
      </w:r>
      <w:r>
        <w:rPr>
          <w:rFonts w:hint="eastAsia" w:ascii="宋体" w:hAnsi="宋体"/>
          <w:color w:val="000000" w:themeColor="text1"/>
          <w:szCs w:val="21"/>
          <w:highlight w:val="none"/>
          <w14:textFill>
            <w14:solidFill>
              <w14:schemeClr w14:val="tx1"/>
            </w14:solidFill>
          </w14:textFill>
        </w:rPr>
        <w:t xml:space="preserve">。</w:t>
      </w:r>
      <w:r/>
    </w:p>
    <w:p>
      <w:pPr>
        <w:ind w:firstLine="6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特此声明。</w:t>
      </w:r>
      <w:r/>
    </w:p>
    <w:p>
      <w:pPr>
        <w:ind w:firstLine="60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6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注：重大违法记录，是指投标人因违法经营受到刑事处罚或者责令停产停业、吊销许可证或者执照、较大数额罚款等行政处罚。</w:t>
      </w:r>
      <w:r/>
    </w:p>
    <w:p>
      <w:pPr>
        <w:ind w:firstLine="60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60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jc w:val="left"/>
        <w:spacing w:line="360" w:lineRule="auto"/>
        <w:shd w:val="clear" w:color="auto" w:fill="ffffff"/>
        <w:widowControl/>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投标人</w:t>
      </w:r>
      <w:r>
        <w:rPr>
          <w:rFonts w:ascii="宋体" w:hAnsi="宋体" w:cs="Arial"/>
          <w:color w:val="000000" w:themeColor="text1"/>
          <w:szCs w:val="21"/>
          <w:highlight w:val="none"/>
          <w14:textFill>
            <w14:solidFill>
              <w14:schemeClr w14:val="tx1"/>
            </w14:solidFill>
          </w14:textFill>
        </w:rPr>
        <w:t xml:space="preserve">名称（盖章）：</w:t>
      </w:r>
      <w:r/>
    </w:p>
    <w:p>
      <w:pPr>
        <w:ind w:firstLine="480"/>
        <w:jc w:val="left"/>
        <w:spacing w:line="360" w:lineRule="auto"/>
        <w:shd w:val="clear" w:color="auto" w:fill="ffffff"/>
        <w:widowControl/>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r>
      <w:r/>
    </w:p>
    <w:p>
      <w:pPr>
        <w:ind w:firstLine="525"/>
        <w:spacing w:line="360" w:lineRule="auto"/>
        <w:tabs>
          <w:tab w:val="left" w:pos="1280" w:leader="none"/>
        </w:tabs>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日 期：</w:t>
      </w:r>
      <w:r/>
    </w:p>
    <w:p>
      <w:pPr>
        <w:ind w:firstLine="525"/>
        <w:spacing w:line="360" w:lineRule="auto"/>
        <w:tabs>
          <w:tab w:val="left" w:pos="1280" w:leader="none"/>
        </w:tabs>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r>
      <w:r/>
    </w:p>
    <w:p>
      <w:pPr>
        <w:pStyle w:val="1074"/>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bCs/>
          <w:color w:val="000000" w:themeColor="text1"/>
          <w:szCs w:val="21"/>
          <w:highlight w:val="none"/>
          <w14:textFill>
            <w14:solidFill>
              <w14:schemeClr w14:val="tx1"/>
            </w14:solidFill>
          </w14:textFill>
        </w:rPr>
        <w:br w:type="page" w:clear="all"/>
      </w:r>
      <w:r>
        <w:rPr>
          <w:sz w:val="21"/>
        </w:rPr>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6</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供应商存在下列情形的不得参加本次招标活动：</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）单位负责人为同一人或者存在直接控股、管理关系的不同供应商，不得参加同一合同项下的政府采购活动。（提供声明函或承诺书）</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）除单一来源项目外，凡为采购项目提供整体设计、规范编制或者项目管理、监理、检测等服务的供应商不得再参加本项目的采购活动。（提供声明函或承诺书）</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）通过“信用中国”网站（</w:t>
      </w:r>
      <w:r>
        <w:rPr>
          <w:rFonts w:ascii="Microsoft New Tai Lue" w:hAnsi="Microsoft New Tai Lue" w:eastAsia="Microsoft New Tai Lue" w:cs="Microsoft New Tai Lue"/>
          <w:color w:val="000000"/>
          <w:sz w:val="21"/>
        </w:rPr>
        <w:t xml:space="preserve">http://www.creditchina.gov.cn</w:t>
      </w:r>
      <w:r>
        <w:rPr>
          <w:rFonts w:ascii="SimSun" w:hAnsi="SimSun" w:eastAsia="SimSun" w:cs="SimSun"/>
          <w:color w:val="000000"/>
          <w:sz w:val="21"/>
        </w:rPr>
        <w:t xml:space="preserve">）、中国政府采购网（</w:t>
      </w:r>
      <w:r>
        <w:rPr>
          <w:rFonts w:ascii="Microsoft New Tai Lue" w:hAnsi="Microsoft New Tai Lue" w:eastAsia="Microsoft New Tai Lue" w:cs="Microsoft New Tai Lue"/>
          <w:color w:val="000000"/>
          <w:sz w:val="21"/>
        </w:rPr>
        <w:t xml:space="preserve">www.ccgp.gov.cn</w:t>
      </w:r>
      <w:r>
        <w:rPr>
          <w:rFonts w:ascii="SimSun" w:hAnsi="SimSun" w:eastAsia="SimSun" w:cs="SimSun"/>
          <w:color w:val="000000"/>
          <w:sz w:val="21"/>
        </w:rPr>
        <w:t xml:space="preserve">）查询供应商在投标截止时间前的信用记录，通过以上查询渠道，供应商被列入失信被执行人、重大税收违法失信主体名单、政府采购严重违法失信行为记录。（提供网页查询截图加盖投标人公章，查询时间应为本项目采购公告发布后至投标截止时间前）</w:t>
      </w:r>
      <w:r/>
    </w:p>
    <w:p>
      <w:pPr>
        <w:ind w:left="0" w:right="0" w:firstLine="420"/>
        <w:jc w:val="both"/>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hint="eastAsia" w:ascii="宋体" w:hAnsi="宋体"/>
          <w:bCs/>
          <w:color w:val="000000" w:themeColor="text1"/>
          <w:szCs w:val="21"/>
          <w:highlight w:val="none"/>
          <w14:textFill>
            <w14:solidFill>
              <w14:schemeClr w14:val="tx1"/>
            </w14:solidFill>
          </w14:textFill>
        </w:rPr>
      </w:r>
      <w:r/>
      <w:r/>
    </w:p>
    <w:p>
      <w:pPr>
        <w:ind w:firstLine="420"/>
        <w:spacing w:line="360" w:lineRule="auto"/>
        <w:rPr>
          <w:rFonts w:ascii="宋体" w:hAnsi="宋体"/>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r>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1073"/>
        <w:ind w:left="420"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color w:val="000000" w:themeColor="text1"/>
          <w:highlight w:val="none"/>
          <w14:textFill>
            <w14:solidFill>
              <w14:schemeClr w14:val="tx1"/>
            </w14:solidFill>
          </w14:textFill>
        </w:rPr>
        <w:t xml:space="preserve">（7）本项目不接受任何形式的转包。</w:t>
      </w:r>
      <w:r/>
    </w:p>
    <w:p>
      <w:pPr>
        <w:pStyle w:val="1073"/>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ind w:left="420"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color w:val="000000" w:themeColor="text1"/>
          <w:highlight w:val="none"/>
          <w14:textFill>
            <w14:solidFill>
              <w14:schemeClr w14:val="tx1"/>
            </w14:solidFill>
          </w14:textFill>
        </w:rPr>
        <w:t xml:space="preserve">（8）特定资格要求</w:t>
      </w:r>
      <w:r/>
    </w:p>
    <w:p>
      <w:pPr>
        <w:pStyle w:val="1073"/>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0"/>
        <w:jc w:val="center"/>
        <w:rPr>
          <w:rFonts w:ascii="宋体" w:hAnsi="宋体"/>
          <w:color w:val="000000" w:themeColor="text1"/>
          <w:highlight w:val="none"/>
          <w14:textFill>
            <w14:solidFill>
              <w14:schemeClr w14:val="tx1"/>
            </w14:solidFill>
          </w14:textFill>
        </w:rPr>
      </w:pPr>
      <w:r/>
      <w:bookmarkStart w:id="149" w:name="_Toc193565160"/>
      <w:r/>
      <w:bookmarkStart w:id="150" w:name="_Toc191908183"/>
      <w:r/>
      <w:bookmarkStart w:id="151" w:name="_Toc105434072"/>
      <w:r/>
      <w:bookmarkStart w:id="152" w:name="_Toc189747354"/>
      <w:r/>
      <w:bookmarkStart w:id="153" w:name="_Toc199263282"/>
      <w:r/>
      <w:bookmarkStart w:id="154" w:name="_Toc192947634"/>
      <w:r/>
      <w:bookmarkStart w:id="155" w:name="_Toc517164018"/>
      <w:r/>
      <w:bookmarkStart w:id="156" w:name="_Toc11339484"/>
      <w:r/>
      <w:bookmarkStart w:id="157" w:name="_Toc193565326"/>
      <w:r/>
      <w:bookmarkStart w:id="158" w:name="_Toc468787032"/>
      <w:r/>
      <w:bookmarkStart w:id="159" w:name="_Toc103695582"/>
      <w:r/>
      <w:bookmarkStart w:id="160" w:name="_Toc109544916"/>
      <w:r/>
      <w:bookmarkStart w:id="161" w:name="_Toc103933429"/>
      <w:r/>
      <w:bookmarkStart w:id="162" w:name="_Toc11338081"/>
      <w:r>
        <w:rPr>
          <w:rFonts w:hint="eastAsia" w:ascii="宋体" w:hAnsi="宋体"/>
          <w:color w:val="000000" w:themeColor="text1"/>
          <w:highlight w:val="none"/>
          <w14:textFill>
            <w14:solidFill>
              <w14:schemeClr w14:val="tx1"/>
            </w14:solidFill>
          </w14:textFill>
        </w:rPr>
        <w:br w:type="page" w:clear="all"/>
      </w:r>
      <w:bookmarkStart w:id="163" w:name="_Toc21508"/>
      <w:r/>
      <w:bookmarkStart w:id="164" w:name="_Toc2909"/>
      <w:r>
        <w:rPr>
          <w:rFonts w:hint="eastAsia" w:ascii="宋体" w:hAnsi="宋体"/>
          <w:color w:val="000000" w:themeColor="text1"/>
          <w:highlight w:val="none"/>
          <w14:textFill>
            <w14:solidFill>
              <w14:schemeClr w14:val="tx1"/>
            </w14:solidFill>
          </w14:textFill>
        </w:rPr>
        <w:t xml:space="preserve">十、法定代表人资格证明</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
    </w:p>
    <w:p>
      <w:pPr>
        <w:jc w:val="cente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jc w:val="center"/>
        <w:spacing w:line="360" w:lineRule="auto"/>
        <w:rPr>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法定代表人资格证明</w:t>
      </w:r>
      <w:r/>
    </w:p>
    <w:p>
      <w:pPr>
        <w:jc w:val="center"/>
        <w:spacing w:line="360" w:lineRule="auto"/>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（如法人直接参与本项目则提供此证明，否则提供法人材料授权委托书即可）</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单位名称：</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单位性质：</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地址：</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成立时间：年月日</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经营期限：</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姓名：性别：年龄：职务：</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系（</w:t>
      </w:r>
      <w:r>
        <w:rPr>
          <w:rFonts w:hint="eastAsia" w:ascii="宋体" w:hAnsi="宋体"/>
          <w:color w:val="000000" w:themeColor="text1"/>
          <w:szCs w:val="21"/>
          <w:highlight w:val="none"/>
          <w14:textFill>
            <w14:solidFill>
              <w14:schemeClr w14:val="tx1"/>
            </w14:solidFill>
          </w14:textFill>
        </w:rPr>
        <w:t xml:space="preserve">投标人</w:t>
      </w:r>
      <w:r>
        <w:rPr>
          <w:rFonts w:hint="eastAsia" w:ascii="宋体" w:hAnsi="宋体"/>
          <w:color w:val="000000" w:themeColor="text1"/>
          <w:szCs w:val="21"/>
          <w:highlight w:val="none"/>
          <w:lang w:val="zh-CN"/>
          <w14:textFill>
            <w14:solidFill>
              <w14:schemeClr w14:val="tx1"/>
            </w14:solidFill>
          </w14:textFill>
        </w:rPr>
        <w:t xml:space="preserve">单位名称)的法定代表人。为参与项目,签署上述项目的</w:t>
      </w:r>
      <w:r>
        <w:rPr>
          <w:rFonts w:hint="eastAsia" w:ascii="宋体" w:hAnsi="宋体"/>
          <w:color w:val="000000" w:themeColor="text1"/>
          <w:szCs w:val="21"/>
          <w:highlight w:val="none"/>
          <w14:textFill>
            <w14:solidFill>
              <w14:schemeClr w14:val="tx1"/>
            </w14:solidFill>
          </w14:textFill>
        </w:rPr>
        <w:t xml:space="preserve">投标</w:t>
      </w:r>
      <w:r>
        <w:rPr>
          <w:rFonts w:hint="eastAsia" w:ascii="宋体" w:hAnsi="宋体"/>
          <w:color w:val="000000" w:themeColor="text1"/>
          <w:szCs w:val="21"/>
          <w:highlight w:val="none"/>
          <w:lang w:val="zh-CN"/>
          <w14:textFill>
            <w14:solidFill>
              <w14:schemeClr w14:val="tx1"/>
            </w14:solidFill>
          </w14:textFill>
        </w:rPr>
        <w:t xml:space="preserve">文件，进行采购、签署合同和处理与之有关的一切事务。</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特此证明。</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b/>
          <w:color w:val="000000" w:themeColor="text1"/>
          <w:szCs w:val="21"/>
          <w:highlight w:val="none"/>
          <w:lang w:val="zh-CN"/>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注:</w:t>
      </w:r>
      <w:r>
        <w:rPr>
          <w:rFonts w:hint="eastAsia" w:ascii="宋体" w:hAnsi="宋体"/>
          <w:b/>
          <w:color w:val="000000" w:themeColor="text1"/>
          <w:szCs w:val="21"/>
          <w:highlight w:val="none"/>
          <w14:textFill>
            <w14:solidFill>
              <w14:schemeClr w14:val="tx1"/>
            </w14:solidFill>
          </w14:textFill>
        </w:rPr>
        <w:t xml:space="preserve">投标人</w:t>
      </w:r>
      <w:r>
        <w:rPr>
          <w:rFonts w:hint="eastAsia" w:ascii="宋体" w:hAnsi="宋体"/>
          <w:b/>
          <w:color w:val="000000" w:themeColor="text1"/>
          <w:szCs w:val="21"/>
          <w:highlight w:val="none"/>
          <w:lang w:val="zh-CN"/>
          <w14:textFill>
            <w14:solidFill>
              <w14:schemeClr w14:val="tx1"/>
            </w14:solidFill>
          </w14:textFill>
        </w:rPr>
        <w:t xml:space="preserve">法定代表人参加采购的,必须附法定代表人身份证</w:t>
      </w:r>
      <w:r>
        <w:rPr>
          <w:rFonts w:ascii="宋体" w:hAnsi="宋体"/>
          <w:b/>
          <w:color w:val="000000" w:themeColor="text1"/>
          <w:szCs w:val="21"/>
          <w:highlight w:val="none"/>
          <w:lang w:val="zh-CN"/>
          <w14:textFill>
            <w14:solidFill>
              <w14:schemeClr w14:val="tx1"/>
            </w14:solidFill>
          </w14:textFill>
        </w:rPr>
        <w:t xml:space="preserve">扫描</w:t>
      </w:r>
      <w:r>
        <w:rPr>
          <w:rFonts w:hint="eastAsia" w:ascii="宋体" w:hAnsi="宋体"/>
          <w:b/>
          <w:color w:val="000000" w:themeColor="text1"/>
          <w:szCs w:val="21"/>
          <w:highlight w:val="none"/>
          <w:lang w:val="zh-CN"/>
          <w14:textFill>
            <w14:solidFill>
              <w14:schemeClr w14:val="tx1"/>
            </w14:solidFill>
          </w14:textFill>
        </w:rPr>
        <w:t xml:space="preserve">件并加盖委托单位公章,法定代表人授权其他人参加采购的,仅需填写“授权委托书”。</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w:t>
      </w:r>
      <w:r>
        <w:rPr>
          <w:rFonts w:hint="eastAsia" w:ascii="宋体" w:hAnsi="宋体"/>
          <w:color w:val="000000" w:themeColor="text1"/>
          <w:szCs w:val="21"/>
          <w:highlight w:val="none"/>
          <w:lang w:val="zh-CN"/>
          <w14:textFill>
            <w14:solidFill>
              <w14:schemeClr w14:val="tx1"/>
            </w14:solidFill>
          </w14:textFill>
        </w:rPr>
        <w:t xml:space="preserve">：(盖章)</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日期：年月日</w:t>
      </w:r>
      <w:r/>
    </w:p>
    <w:p>
      <w:pPr>
        <w:pStyle w:val="105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0"/>
        <w:jc w:val="center"/>
        <w:rPr>
          <w:rFonts w:ascii="宋体" w:hAnsi="宋体"/>
          <w:color w:val="000000" w:themeColor="text1"/>
          <w:highlight w:val="none"/>
          <w14:textFill>
            <w14:solidFill>
              <w14:schemeClr w14:val="tx1"/>
            </w14:solidFill>
          </w14:textFill>
        </w:rPr>
      </w:pPr>
      <w:r/>
      <w:bookmarkStart w:id="165" w:name="_Toc70584650"/>
      <w:r/>
      <w:bookmarkEnd w:id="165"/>
      <w:r/>
      <w:bookmarkStart w:id="166" w:name="_Toc72928950"/>
      <w:r/>
      <w:bookmarkEnd w:id="166"/>
      <w:r/>
      <w:bookmarkStart w:id="167" w:name="_Toc49616685"/>
      <w:r/>
      <w:bookmarkEnd w:id="167"/>
      <w:r/>
      <w:bookmarkStart w:id="168" w:name="_Toc72395582"/>
      <w:r/>
      <w:bookmarkEnd w:id="168"/>
      <w:r/>
      <w:bookmarkStart w:id="169" w:name="_Toc130452070"/>
      <w:r/>
      <w:bookmarkEnd w:id="169"/>
      <w:r/>
      <w:bookmarkStart w:id="170" w:name="_Toc48310825"/>
      <w:r/>
      <w:bookmarkEnd w:id="170"/>
      <w:r/>
      <w:bookmarkStart w:id="171" w:name="_Toc8559814"/>
      <w:r/>
      <w:bookmarkEnd w:id="171"/>
      <w:r/>
      <w:bookmarkStart w:id="172" w:name="_Toc479147537"/>
      <w:r/>
      <w:bookmarkEnd w:id="172"/>
      <w:r/>
      <w:bookmarkStart w:id="173" w:name="_Toc42532756"/>
      <w:r/>
      <w:bookmarkEnd w:id="173"/>
      <w:r/>
      <w:bookmarkStart w:id="174" w:name="_Toc5542667"/>
      <w:r/>
      <w:bookmarkEnd w:id="174"/>
      <w:r/>
      <w:bookmarkStart w:id="175" w:name="_Toc48846209"/>
      <w:r/>
      <w:bookmarkEnd w:id="175"/>
      <w:r/>
      <w:bookmarkStart w:id="176" w:name="_Toc130564504"/>
      <w:r/>
      <w:bookmarkEnd w:id="176"/>
      <w:r/>
      <w:bookmarkStart w:id="177" w:name="_Toc492542764"/>
      <w:r/>
      <w:bookmarkEnd w:id="177"/>
      <w:r/>
      <w:bookmarkStart w:id="178" w:name="_Toc73971318"/>
      <w:r/>
      <w:bookmarkEnd w:id="178"/>
      <w:r/>
      <w:bookmarkStart w:id="179" w:name="_Toc72395667"/>
      <w:r/>
      <w:bookmarkEnd w:id="179"/>
      <w:r/>
      <w:bookmarkStart w:id="180" w:name="_Toc65684765"/>
      <w:r/>
      <w:bookmarkEnd w:id="180"/>
      <w:r/>
      <w:bookmarkStart w:id="181" w:name="_Toc49107218"/>
      <w:r/>
      <w:bookmarkEnd w:id="181"/>
      <w:r/>
      <w:bookmarkStart w:id="182" w:name="_Toc5126"/>
      <w:r/>
      <w:bookmarkStart w:id="183" w:name="_Toc193032134"/>
      <w:r/>
      <w:bookmarkStart w:id="184" w:name="_Toc190675317"/>
      <w:r/>
      <w:bookmarkStart w:id="185" w:name="_Toc148118728"/>
      <w:r/>
      <w:bookmarkStart w:id="186" w:name="_Toc31103"/>
      <w:r/>
      <w:bookmarkStart w:id="187" w:name="_Toc148118156"/>
      <w:r/>
      <w:bookmarkStart w:id="188" w:name="_Toc21786"/>
      <w:r/>
      <w:bookmarkStart w:id="189" w:name="_Toc24341"/>
      <w:r/>
      <w:bookmarkStart w:id="190" w:name="_Toc237113513"/>
      <w:r/>
      <w:bookmarkStart w:id="191" w:name="_Toc226375780"/>
      <w:r/>
      <w:bookmarkStart w:id="192" w:name="_Toc150183353"/>
      <w:r/>
      <w:bookmarkStart w:id="193" w:name="_Toc135993271"/>
      <w:r>
        <w:rPr>
          <w:rFonts w:hint="eastAsia" w:ascii="宋体" w:hAnsi="宋体"/>
          <w:color w:val="000000" w:themeColor="text1"/>
          <w:highlight w:val="none"/>
          <w14:textFill>
            <w14:solidFill>
              <w14:schemeClr w14:val="tx1"/>
            </w14:solidFill>
          </w14:textFill>
        </w:rPr>
        <w:t xml:space="preserve">法人授权委托书</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本授权委托书声明：</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本人</w:t>
      </w:r>
      <w:r>
        <w:rPr>
          <w:rFonts w:hint="eastAsia" w:ascii="宋体" w:hAnsi="宋体"/>
          <w:color w:val="000000" w:themeColor="text1"/>
          <w:szCs w:val="21"/>
          <w:highlight w:val="none"/>
          <w:u w:val="single"/>
          <w14:textFill>
            <w14:solidFill>
              <w14:schemeClr w14:val="tx1"/>
            </w14:solidFill>
          </w14:textFill>
        </w:rPr>
        <w:t xml:space="preserve"> （姓名） </w:t>
      </w:r>
      <w:r>
        <w:rPr>
          <w:rFonts w:hint="eastAsia" w:ascii="宋体" w:hAnsi="宋体"/>
          <w:color w:val="000000" w:themeColor="text1"/>
          <w:szCs w:val="21"/>
          <w:highlight w:val="none"/>
          <w14:textFill>
            <w14:solidFill>
              <w14:schemeClr w14:val="tx1"/>
            </w14:solidFill>
          </w14:textFill>
        </w:rPr>
        <w:t xml:space="preserve">系</w:t>
      </w:r>
      <w:r>
        <w:rPr>
          <w:rFonts w:hint="eastAsia" w:ascii="宋体" w:hAnsi="宋体"/>
          <w:color w:val="000000" w:themeColor="text1"/>
          <w:szCs w:val="21"/>
          <w:highlight w:val="none"/>
          <w:u w:val="single"/>
          <w14:textFill>
            <w14:solidFill>
              <w14:schemeClr w14:val="tx1"/>
            </w14:solidFill>
          </w14:textFill>
        </w:rPr>
        <w:t xml:space="preserve">（投标人全称）</w:t>
      </w:r>
      <w:r>
        <w:rPr>
          <w:rFonts w:hint="eastAsia" w:ascii="宋体" w:hAnsi="宋体"/>
          <w:color w:val="000000" w:themeColor="text1"/>
          <w:szCs w:val="21"/>
          <w:highlight w:val="none"/>
          <w14:textFill>
            <w14:solidFill>
              <w14:schemeClr w14:val="tx1"/>
            </w14:solidFill>
          </w14:textFill>
        </w:rPr>
        <w:t xml:space="preserve">的法定代表人，现授权委托我单位正式员工</w:t>
      </w:r>
      <w:r>
        <w:rPr>
          <w:rFonts w:hint="eastAsia" w:ascii="宋体" w:hAnsi="宋体"/>
          <w:color w:val="000000" w:themeColor="text1"/>
          <w:szCs w:val="21"/>
          <w:highlight w:val="none"/>
          <w:u w:val="single"/>
          <w14:textFill>
            <w14:solidFill>
              <w14:schemeClr w14:val="tx1"/>
            </w14:solidFill>
          </w14:textFill>
        </w:rPr>
        <w:t xml:space="preserve">（受委托人姓名）</w:t>
      </w:r>
      <w:r>
        <w:rPr>
          <w:rFonts w:hint="eastAsia" w:ascii="宋体" w:hAnsi="宋体"/>
          <w:color w:val="000000" w:themeColor="text1"/>
          <w:szCs w:val="21"/>
          <w:highlight w:val="none"/>
          <w14:textFill>
            <w14:solidFill>
              <w14:schemeClr w14:val="tx1"/>
            </w14:solidFill>
          </w14:textFill>
        </w:rPr>
        <w:t xml:space="preserve">为我单位受委托人，以我单位的名义参加</w:t>
      </w:r>
      <w:r>
        <w:rPr>
          <w:rFonts w:hint="eastAsia" w:ascii="宋体" w:hAnsi="宋体"/>
          <w:bCs/>
          <w:color w:val="000000" w:themeColor="text1"/>
          <w:szCs w:val="21"/>
          <w:highlight w:val="none"/>
          <w:u w:val="single"/>
          <w14:textFill>
            <w14:solidFill>
              <w14:schemeClr w14:val="tx1"/>
            </w14:solidFill>
          </w14:textFill>
        </w:rPr>
        <w:t xml:space="preserve">                  项目</w:t>
      </w:r>
      <w:r>
        <w:rPr>
          <w:rFonts w:hint="eastAsia" w:ascii="宋体" w:hAnsi="宋体"/>
          <w:color w:val="000000" w:themeColor="text1"/>
          <w:szCs w:val="21"/>
          <w:highlight w:val="none"/>
          <w14:textFill>
            <w14:solidFill>
              <w14:schemeClr w14:val="tx1"/>
            </w14:solidFill>
          </w14:textFill>
        </w:rPr>
        <w:t xml:space="preserve">的招投标活动。该受委托人投标过程中及合同谈判、签约过程中所签署的一切文件和处理与之有关的一切事务，我均予以承认。</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受委托人无权再次委托。</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受委托人提交本授权委托书同时附其身份证</w:t>
      </w:r>
      <w:r>
        <w:rPr>
          <w:rFonts w:ascii="宋体" w:hAnsi="宋体"/>
          <w:color w:val="000000" w:themeColor="text1"/>
          <w:szCs w:val="21"/>
          <w:highlight w:val="none"/>
          <w14:textFill>
            <w14:solidFill>
              <w14:schemeClr w14:val="tx1"/>
            </w14:solidFill>
          </w14:textFill>
        </w:rPr>
        <w:t xml:space="preserve">扫描</w:t>
      </w:r>
      <w:r>
        <w:rPr>
          <w:rFonts w:hint="eastAsia" w:ascii="宋体" w:hAnsi="宋体"/>
          <w:color w:val="000000" w:themeColor="text1"/>
          <w:szCs w:val="21"/>
          <w:highlight w:val="none"/>
          <w14:textFill>
            <w14:solidFill>
              <w14:schemeClr w14:val="tx1"/>
            </w14:solidFill>
          </w14:textFill>
        </w:rPr>
        <w:t xml:space="preserve">件一份。</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本委托书有效期：自</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日至</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ind w:firstLine="57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法定代表人签名或签章：                     受委托人签名：</w:t>
      </w:r>
      <w:r/>
    </w:p>
    <w:p>
      <w:pPr>
        <w:spacing w:line="360" w:lineRule="auto"/>
        <w:tabs>
          <w:tab w:val="left" w:pos="453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性别：                       </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性别：</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年龄：</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                                   年龄：</w:t>
      </w:r>
      <w:r/>
    </w:p>
    <w:p>
      <w:pPr>
        <w:spacing w:line="360" w:lineRule="auto"/>
        <w:tabs>
          <w:tab w:val="left" w:pos="45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联系方式：</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联系方式：</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身份证号码：</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                           身份证号码：</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right="840" w:firstLine="42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投标人（公章）：           </w:t>
      </w:r>
      <w:r/>
    </w:p>
    <w:p>
      <w:pPr>
        <w:ind w:right="960"/>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日期：      年      月     日</w:t>
      </w:r>
      <w:r/>
    </w:p>
    <w:p>
      <w:pPr>
        <w:ind w:right="960"/>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法定代表人身份证扫描件：</w:t>
      </w:r>
      <w:r>
        <w:rPr>
          <w:rFonts w:hint="eastAsia"/>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受委托人身份证扫描件：</w:t>
      </w:r>
      <w:r/>
    </w:p>
    <w:p>
      <w:pPr>
        <w:pStyle w:val="765"/>
        <w:ind w:firstLine="422"/>
        <w:spacing w:line="500" w:lineRule="exact"/>
        <w:rPr>
          <w:rFonts w:ascii="仿宋" w:hAnsi="仿宋" w:eastAsia="仿宋"/>
          <w:color w:val="000000" w:themeColor="text1"/>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r>
      <w:r/>
    </w:p>
    <w:p>
      <w:pPr>
        <w:pStyle w:val="765"/>
        <w:ind w:firstLine="316"/>
        <w:spacing w:line="5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2476500</wp:posOffset>
                </wp:positionH>
                <wp:positionV relativeFrom="paragraph">
                  <wp:posOffset>101600</wp:posOffset>
                </wp:positionV>
                <wp:extent cx="2654300" cy="1701800"/>
                <wp:effectExtent l="6350" t="6350" r="6350" b="6350"/>
                <wp:wrapNone/>
                <wp:docPr id="2" name="矩形 2"/>
                <wp:cNvGraphicFramePr/>
                <a:graphic xmlns:a="http://schemas.openxmlformats.org/drawingml/2006/main">
                  <a:graphicData uri="http://schemas.microsoft.com/office/word/2010/wordprocessingShape">
                    <wps:wsp>
                      <wps:cNvPr id="0" name=""/>
                      <wps:cNvSpPr/>
                      <wps:spPr bwMode="auto">
                        <a:xfrm>
                          <a:off x="0" y="0"/>
                          <a:ext cx="2654300" cy="1701800"/>
                        </a:xfrm>
                        <a:prstGeom prst="rect">
                          <a:avLst/>
                        </a:prstGeom>
                        <a:solidFill>
                          <a:srgbClr val="FFFFFF"/>
                        </a:solidFill>
                        <a:ln w="12700">
                          <a:solidFill>
                            <a:srgbClr val="FFFFFF"/>
                          </a:solidFill>
                        </a:ln>
                      </wps:spPr>
                      <wps:txbx>
                        <w:txbxContent>
                          <w:p>
                            <w:pPr>
                              <w:jc w:val="center"/>
                              <w:rPr>
                                <w:rFonts w:ascii="等线" w:hAnsi="等线" w:eastAsia="等线"/>
                                <w:szCs w:val="21"/>
                              </w:rPr>
                            </w:pPr>
                            <w:r>
                              <w:rPr>
                                <w:rFonts w:ascii="等线" w:hAnsi="等线" w:eastAsia="等线"/>
                                <w:szCs w:val="21"/>
                              </w:rPr>
                            </w:r>
                            <w:r/>
                          </w:p>
                          <w:p>
                            <w:pPr>
                              <w:jc w:val="center"/>
                              <w:rPr>
                                <w:rFonts w:ascii="等线" w:hAnsi="等线" w:eastAsia="等线"/>
                                <w:szCs w:val="21"/>
                              </w:rPr>
                            </w:pPr>
                            <w:r>
                              <w:rPr>
                                <w:rFonts w:ascii="等线" w:hAnsi="等线" w:eastAsia="等线"/>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身份证正反面</w:t>
                            </w:r>
                            <w:r/>
                          </w:p>
                          <w:p>
                            <w:r/>
                            <w:r/>
                          </w:p>
                          <w:p>
                            <w:r/>
                            <w:r/>
                          </w:p>
                        </w:txbxContent>
                      </wps:txbx>
                      <wps:bodyPr wrap="square" lIns="0" tIns="0" rIns="0" bIns="0" upright="1"/>
                    </wps:wsp>
                  </a:graphicData>
                </a:graphic>
              </wp:anchor>
            </w:drawing>
          </mc:Choice>
          <mc:Fallback>
            <w:pict>
              <v:shape id="shape 1" o:spid="_x0000_s1" o:spt="1" type="#_x0000_t1" style="position:absolute;z-index:-251659264;o:allowoverlap:true;o:allowincell:true;mso-position-horizontal-relative:text;margin-left:195.0pt;mso-position-horizontal:absolute;mso-position-vertical-relative:text;margin-top:8.0pt;mso-position-vertical:absolute;width:209.0pt;height:134.0pt;mso-wrap-distance-left:0.0pt;mso-wrap-distance-top:0.0pt;mso-wrap-distance-right:0.0pt;mso-wrap-distance-bottom:0.0pt;visibility:visible;" fillcolor="#FFFFFF" strokecolor="#FFFFFF" strokeweight="1.00pt">
                <v:textbox inset="0,0,0,0">
                  <w:txbxContent>
                    <w:p>
                      <w:pPr>
                        <w:jc w:val="center"/>
                        <w:rPr>
                          <w:rFonts w:ascii="等线" w:hAnsi="等线" w:eastAsia="等线"/>
                          <w:szCs w:val="21"/>
                        </w:rPr>
                      </w:pPr>
                      <w:r>
                        <w:rPr>
                          <w:rFonts w:ascii="等线" w:hAnsi="等线" w:eastAsia="等线"/>
                          <w:szCs w:val="21"/>
                        </w:rPr>
                      </w:r>
                      <w:r/>
                    </w:p>
                    <w:p>
                      <w:pPr>
                        <w:jc w:val="center"/>
                        <w:rPr>
                          <w:rFonts w:ascii="等线" w:hAnsi="等线" w:eastAsia="等线"/>
                          <w:szCs w:val="21"/>
                        </w:rPr>
                      </w:pPr>
                      <w:r>
                        <w:rPr>
                          <w:rFonts w:ascii="等线" w:hAnsi="等线" w:eastAsia="等线"/>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身份证正反面</w:t>
                      </w:r>
                      <w:r/>
                    </w:p>
                    <w:p>
                      <w:r/>
                      <w:r/>
                    </w:p>
                    <w:p>
                      <w:r/>
                      <w:r/>
                    </w:p>
                  </w:txbxContent>
                </v:textbox>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-37465</wp:posOffset>
                </wp:positionH>
                <wp:positionV relativeFrom="paragraph">
                  <wp:posOffset>101600</wp:posOffset>
                </wp:positionV>
                <wp:extent cx="2527300" cy="1701800"/>
                <wp:effectExtent l="6350" t="6350" r="9525" b="6350"/>
                <wp:wrapNone/>
                <wp:docPr id="3" name="矩形 3"/>
                <wp:cNvGraphicFramePr/>
                <a:graphic xmlns:a="http://schemas.openxmlformats.org/drawingml/2006/main">
                  <a:graphicData uri="http://schemas.microsoft.com/office/word/2010/wordprocessingShape">
                    <wps:wsp>
                      <wps:cNvPr id="0" name=""/>
                      <wps:cNvSpPr/>
                      <wps:spPr bwMode="auto">
                        <a:xfrm>
                          <a:off x="0" y="0"/>
                          <a:ext cx="2527300" cy="1701800"/>
                        </a:xfrm>
                        <a:prstGeom prst="rect">
                          <a:avLst/>
                        </a:prstGeom>
                        <a:solidFill>
                          <a:srgbClr val="FFFFFF"/>
                        </a:solidFill>
                        <a:ln w="12700">
                          <a:solidFill>
                            <a:srgbClr val="FFFFFF"/>
                          </a:solidFill>
                          <a:round/>
                        </a:ln>
                      </wps:spPr>
                      <wps:txbx>
                        <w:txbxContent>
                          <w:p>
                            <w:r/>
                            <w:r/>
                          </w:p>
                          <w:p>
                            <w:r/>
                            <w:r/>
                          </w:p>
                          <w:p>
                            <w:r/>
                            <w:r/>
                          </w:p>
                        </w:txbxContent>
                      </wps:txbx>
                      <wps:bodyPr wrap="square" lIns="0" tIns="0" rIns="0" bIns="0" upright="1"/>
                    </wps:wsp>
                  </a:graphicData>
                </a:graphic>
              </wp:anchor>
            </w:drawing>
          </mc:Choice>
          <mc:Fallback>
            <w:pict>
              <v:shape id="shape 2" o:spid="_x0000_s2" o:spt="1" type="#_x0000_t1" style="position:absolute;z-index:-251660288;o:allowoverlap:true;o:allowincell:true;mso-position-horizontal-relative:text;margin-left:-2.9pt;mso-position-horizontal:absolute;mso-position-vertical-relative:text;margin-top:8.0pt;mso-position-vertical:absolute;width:199.0pt;height:134.0pt;mso-wrap-distance-left:0.0pt;mso-wrap-distance-top:0.0pt;mso-wrap-distance-right:0.0pt;mso-wrap-distance-bottom:0.0pt;visibility:visible;" fillcolor="#FFFFFF" strokecolor="#FFFFFF" strokeweight="1.00pt">
                <v:textbox inset="0,0,0,0">
                  <w:txbxContent>
                    <w:p>
                      <w:r/>
                      <w:r/>
                    </w:p>
                    <w:p>
                      <w:r/>
                      <w:r/>
                    </w:p>
                    <w:p>
                      <w:r/>
                      <w:r/>
                    </w:p>
                  </w:txbxContent>
                </v:textbox>
              </v:shape>
            </w:pict>
          </mc:Fallback>
        </mc:AlternateContent>
      </w:r>
      <w:r/>
    </w:p>
    <w:p>
      <w:pPr>
        <w:spacing w:line="400" w:lineRule="exact"/>
        <w:rPr>
          <w:rFonts w:ascii="等线" w:hAnsi="等线" w:eastAsia="等线"/>
          <w:color w:val="000000" w:themeColor="text1"/>
          <w:szCs w:val="21"/>
          <w:highlight w:val="none"/>
          <w14:textFill>
            <w14:solidFill>
              <w14:schemeClr w14:val="tx1"/>
            </w14:solidFill>
          </w14:textFill>
        </w:rPr>
      </w:pPr>
      <w:r>
        <w:rPr>
          <w:rFonts w:ascii="等线" w:hAnsi="等线" w:eastAsia="等线"/>
          <w:color w:val="000000" w:themeColor="text1"/>
          <w:szCs w:val="21"/>
          <w:highlight w:val="none"/>
          <w14:textFill>
            <w14:solidFill>
              <w14:schemeClr w14:val="tx1"/>
            </w14:solidFill>
          </w14:textFill>
        </w:rPr>
      </w:r>
      <w:r/>
    </w:p>
    <w:p>
      <w:pPr>
        <w:ind w:firstLine="126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身份证正反面</w:t>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1050"/>
        <w:ind w:firstLine="0"/>
        <w:rPr>
          <w:b/>
          <w:bCs/>
          <w:color w:val="000000" w:themeColor="text1"/>
          <w:highlight w:val="none"/>
          <w:lang w:bidi="ar"/>
          <w14:textFill>
            <w14:solidFill>
              <w14:schemeClr w14:val="tx1"/>
            </w14:solidFill>
          </w14:textFill>
        </w:rPr>
      </w:pPr>
      <w:r/>
      <w:bookmarkStart w:id="194" w:name="_Toc468787035"/>
      <w:r/>
      <w:r/>
    </w:p>
    <w:p>
      <w:pPr>
        <w:pStyle w:val="1050"/>
        <w:ind w:firstLine="0"/>
        <w:rPr>
          <w:b/>
          <w:bCs/>
          <w:color w:val="000000" w:themeColor="text1"/>
          <w:highlight w:val="none"/>
          <w:lang w:bidi="ar"/>
          <w14:textFill>
            <w14:solidFill>
              <w14:schemeClr w14:val="tx1"/>
            </w14:solidFill>
          </w14:textFill>
        </w:rPr>
      </w:pPr>
      <w:r>
        <w:rPr>
          <w:b/>
          <w:bCs/>
          <w:color w:val="000000" w:themeColor="text1"/>
          <w:highlight w:val="none"/>
          <w:lang w:bidi="ar"/>
          <w14:textFill>
            <w14:solidFill>
              <w14:schemeClr w14:val="tx1"/>
            </w14:solidFill>
          </w14:textFill>
        </w:rPr>
      </w:r>
      <w:r/>
    </w:p>
    <w:p>
      <w:pPr>
        <w:pStyle w:val="1050"/>
        <w:ind w:firstLine="0"/>
        <w:rPr>
          <w:b/>
          <w:bCs/>
          <w:color w:val="000000" w:themeColor="text1"/>
          <w:highlight w:val="none"/>
          <w:lang w:bidi="ar"/>
          <w14:textFill>
            <w14:solidFill>
              <w14:schemeClr w14:val="tx1"/>
            </w14:solidFill>
          </w14:textFill>
        </w:rPr>
      </w:pPr>
      <w:r>
        <w:rPr>
          <w:b/>
          <w:bCs/>
          <w:color w:val="000000" w:themeColor="text1"/>
          <w:highlight w:val="none"/>
          <w:lang w:bidi="ar"/>
          <w14:textFill>
            <w14:solidFill>
              <w14:schemeClr w14:val="tx1"/>
            </w14:solidFill>
          </w14:textFill>
        </w:rPr>
      </w:r>
      <w:r/>
    </w:p>
    <w:p>
      <w:pPr>
        <w:pStyle w:val="1050"/>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1070"/>
        <w:jc w:val="center"/>
        <w:rPr>
          <w:color w:val="000000" w:themeColor="text1"/>
          <w:highlight w:val="none"/>
          <w14:textFill>
            <w14:solidFill>
              <w14:schemeClr w14:val="tx1"/>
            </w14:solidFill>
          </w14:textFill>
        </w:rPr>
      </w:pPr>
      <w:r/>
      <w:bookmarkStart w:id="195" w:name="_Toc30012"/>
      <w:r/>
      <w:bookmarkStart w:id="196" w:name="_Toc5034"/>
      <w:r/>
      <w:bookmarkStart w:id="197" w:name="_Toc468787027"/>
      <w:r>
        <w:rPr>
          <w:rFonts w:hint="eastAsia"/>
          <w:color w:val="000000" w:themeColor="text1"/>
          <w:highlight w:val="none"/>
          <w14:textFill>
            <w14:solidFill>
              <w14:schemeClr w14:val="tx1"/>
            </w14:solidFill>
          </w14:textFill>
        </w:rPr>
        <w:t xml:space="preserve">十一、投标人认为有必要提供并说明的其它资料</w:t>
      </w:r>
      <w:bookmarkEnd w:id="195"/>
      <w:r/>
      <w:bookmarkEnd w:id="196"/>
      <w:r/>
      <w:bookmarkEnd w:id="197"/>
      <w:r/>
      <w:r/>
    </w:p>
    <w:p>
      <w:pPr>
        <w:jc w:val="cente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（格式由投标人自定）</w:t>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jc w:val="left"/>
        <w:widowControl/>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注：1、请投标人按照以上文件的要求格式、内容，顺序制作投标文件，否则，将影响对投标文件的评价。</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2、投标人所提供的资格证明材料应真实、有效，招标代理机构及招标人保留对投标人提供的资格证明材料进行核查的权利。如发现投标人提供虚假资格证明材料，招标代理机构将对其进行严肃处理。</w:t>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198" w:name="_Toc31586"/>
      <w:r/>
      <w:bookmarkStart w:id="199" w:name="_Toc19996"/>
      <w:r>
        <w:rPr>
          <w:rFonts w:hint="eastAsia"/>
          <w:color w:val="000000" w:themeColor="text1"/>
          <w:highlight w:val="none"/>
          <w14:textFill>
            <w14:solidFill>
              <w14:schemeClr w14:val="tx1"/>
            </w14:solidFill>
          </w14:textFill>
        </w:rPr>
        <w:t xml:space="preserve">十二、政府采购政策</w:t>
      </w:r>
      <w:bookmarkEnd w:id="194"/>
      <w:r/>
      <w:bookmarkEnd w:id="198"/>
      <w:r/>
      <w:bookmarkEnd w:id="199"/>
      <w:r/>
      <w:r/>
    </w:p>
    <w:p>
      <w:pPr>
        <w:keepNext/>
        <w:spacing w:after="160" w:line="360" w:lineRule="auto"/>
        <w:widowControl/>
        <w:rPr>
          <w:rFonts w:ascii="宋体"/>
          <w:b/>
          <w:bCs/>
          <w:color w:val="000000" w:themeColor="text1"/>
          <w:szCs w:val="21"/>
          <w:highlight w:val="none"/>
          <w14:textFill>
            <w14:solidFill>
              <w14:schemeClr w14:val="tx1"/>
            </w14:solidFill>
          </w14:textFill>
        </w:rPr>
      </w:pPr>
      <w:r>
        <w:rPr>
          <w:rFonts w:hint="eastAsia" w:ascii="宋体"/>
          <w:b/>
          <w:bCs/>
          <w:color w:val="000000" w:themeColor="text1"/>
          <w:szCs w:val="21"/>
          <w:highlight w:val="none"/>
          <w14:textFill>
            <w14:solidFill>
              <w14:schemeClr w14:val="tx1"/>
            </w14:solidFill>
          </w14:textFill>
        </w:rPr>
        <w:t xml:space="preserve">（一）政府采购促进中小企业发展政策</w:t>
      </w:r>
      <w:r/>
    </w:p>
    <w:p>
      <w:pPr>
        <w:ind w:right="-20"/>
        <w:jc w:val="center"/>
        <w:spacing w:line="360" w:lineRule="auto"/>
        <w:rPr>
          <w:rFonts w:ascii="宋体" w:hAnsi="宋体"/>
          <w:color w:val="000000" w:themeColor="text1"/>
          <w:spacing w:val="2"/>
          <w:position w:val="-3"/>
          <w:highlight w:val="none"/>
          <w14:textFill>
            <w14:solidFill>
              <w14:schemeClr w14:val="tx1"/>
            </w14:solidFill>
          </w14:textFill>
        </w:rPr>
      </w:pPr>
      <w:r>
        <w:rPr>
          <w:rFonts w:ascii="宋体" w:hAnsi="宋体"/>
          <w:color w:val="000000" w:themeColor="text1"/>
          <w:spacing w:val="2"/>
          <w:position w:val="-3"/>
          <w:highlight w:val="none"/>
          <w14:textFill>
            <w14:solidFill>
              <w14:schemeClr w14:val="tx1"/>
            </w14:solidFill>
          </w14:textFill>
        </w:rPr>
        <w:t xml:space="preserve">中小企业声明函（货物）</w:t>
      </w:r>
      <w:r/>
    </w:p>
    <w:p>
      <w:pPr>
        <w:ind w:right="-20" w:firstLine="420"/>
        <w:spacing w:line="360" w:lineRule="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本公司（联合体）郑重声明，根据《政府采购促进中小企业发展管理办法》（财库﹝2020﹞46 号）的规定，本公司（联合体）参加</w:t>
      </w:r>
      <w:r>
        <w:rPr>
          <w:rFonts w:ascii="宋体" w:hAnsi="宋体"/>
          <w:i/>
          <w:color w:val="000000" w:themeColor="text1"/>
          <w:position w:val="-2"/>
          <w:highlight w:val="none"/>
          <w:u w:val="single"/>
          <w14:textFill>
            <w14:solidFill>
              <w14:schemeClr w14:val="tx1"/>
            </w14:solidFill>
          </w14:textFill>
        </w:rPr>
        <w:t xml:space="preserve">（单位名称）</w:t>
      </w:r>
      <w:r>
        <w:rPr>
          <w:rFonts w:ascii="宋体" w:hAnsi="宋体"/>
          <w:color w:val="000000" w:themeColor="text1"/>
          <w:position w:val="-2"/>
          <w:highlight w:val="none"/>
          <w14:textFill>
            <w14:solidFill>
              <w14:schemeClr w14:val="tx1"/>
            </w14:solidFill>
          </w14:textFill>
        </w:rPr>
        <w:t xml:space="preserve">的</w:t>
      </w:r>
      <w:r>
        <w:rPr>
          <w:rFonts w:ascii="宋体" w:hAnsi="宋体"/>
          <w:i/>
          <w:color w:val="000000" w:themeColor="text1"/>
          <w:position w:val="-2"/>
          <w:highlight w:val="none"/>
          <w:u w:val="single"/>
          <w14:textFill>
            <w14:solidFill>
              <w14:schemeClr w14:val="tx1"/>
            </w14:solidFill>
          </w14:textFill>
        </w:rPr>
        <w:t xml:space="preserve">（项目名称）</w:t>
      </w:r>
      <w:r>
        <w:rPr>
          <w:rFonts w:ascii="宋体" w:hAnsi="宋体"/>
          <w:color w:val="000000" w:themeColor="text1"/>
          <w:position w:val="-2"/>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1. </w:t>
      </w:r>
      <w:r>
        <w:rPr>
          <w:rFonts w:ascii="宋体" w:hAnsi="宋体"/>
          <w:i/>
          <w:color w:val="000000" w:themeColor="text1"/>
          <w:position w:val="-2"/>
          <w:highlight w:val="none"/>
          <w:u w:val="single"/>
          <w14:textFill>
            <w14:solidFill>
              <w14:schemeClr w14:val="tx1"/>
            </w14:solidFill>
          </w14:textFill>
        </w:rPr>
        <w:t xml:space="preserve">（标的名称）</w:t>
      </w:r>
      <w:r>
        <w:rPr>
          <w:rFonts w:ascii="宋体" w:hAnsi="宋体"/>
          <w:color w:val="000000" w:themeColor="text1"/>
          <w:position w:val="-2"/>
          <w:highlight w:val="none"/>
          <w14:textFill>
            <w14:solidFill>
              <w14:schemeClr w14:val="tx1"/>
            </w14:solidFill>
          </w14:textFill>
        </w:rPr>
        <w:t xml:space="preserve">，属于</w:t>
      </w:r>
      <w:r>
        <w:rPr>
          <w:rFonts w:ascii="宋体" w:hAnsi="宋体"/>
          <w:i/>
          <w:color w:val="000000" w:themeColor="text1"/>
          <w:position w:val="-2"/>
          <w:highlight w:val="none"/>
          <w:u w:val="single"/>
          <w14:textFill>
            <w14:solidFill>
              <w14:schemeClr w14:val="tx1"/>
            </w14:solidFill>
          </w14:textFill>
        </w:rPr>
        <w:t xml:space="preserve">（采购文件中明确的所属行业）</w:t>
      </w:r>
      <w:r>
        <w:rPr>
          <w:rFonts w:ascii="宋体" w:hAnsi="宋体"/>
          <w:color w:val="000000" w:themeColor="text1"/>
          <w:position w:val="-2"/>
          <w:highlight w:val="none"/>
          <w14:textFill>
            <w14:solidFill>
              <w14:schemeClr w14:val="tx1"/>
            </w14:solidFill>
          </w14:textFill>
        </w:rPr>
        <w:t xml:space="preserve">行业；制造商为</w:t>
      </w:r>
      <w:r>
        <w:rPr>
          <w:rFonts w:ascii="宋体" w:hAnsi="宋体"/>
          <w:i/>
          <w:color w:val="000000" w:themeColor="text1"/>
          <w:position w:val="-2"/>
          <w:highlight w:val="none"/>
          <w:u w:val="single"/>
          <w14:textFill>
            <w14:solidFill>
              <w14:schemeClr w14:val="tx1"/>
            </w14:solidFill>
          </w14:textFill>
        </w:rPr>
        <w:t xml:space="preserve">（企业名称）</w:t>
      </w:r>
      <w:r>
        <w:rPr>
          <w:rFonts w:ascii="宋体" w:hAnsi="宋体"/>
          <w:color w:val="000000" w:themeColor="text1"/>
          <w:position w:val="-2"/>
          <w:highlight w:val="none"/>
          <w14:textFill>
            <w14:solidFill>
              <w14:schemeClr w14:val="tx1"/>
            </w14:solidFill>
          </w14:textFill>
        </w:rPr>
        <w:t xml:space="preserve">，从业人员</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u w:val="single"/>
          <w14:textFill>
            <w14:solidFill>
              <w14:schemeClr w14:val="tx1"/>
            </w14:solidFill>
          </w14:textFill>
        </w:rPr>
        <w:tab/>
      </w:r>
      <w:r>
        <w:rPr>
          <w:rFonts w:ascii="宋体" w:hAnsi="宋体"/>
          <w:color w:val="000000" w:themeColor="text1"/>
          <w:position w:val="-2"/>
          <w:highlight w:val="none"/>
          <w14:textFill>
            <w14:solidFill>
              <w14:schemeClr w14:val="tx1"/>
            </w14:solidFill>
          </w14:textFill>
        </w:rPr>
        <w:t xml:space="preserve">人，营业收 入为</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14:textFill>
            <w14:solidFill>
              <w14:schemeClr w14:val="tx1"/>
            </w14:solidFill>
          </w14:textFill>
        </w:rPr>
        <w:t xml:space="preserve">万元，资产总额为</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u w:val="single"/>
          <w14:textFill>
            <w14:solidFill>
              <w14:schemeClr w14:val="tx1"/>
            </w14:solidFill>
          </w14:textFill>
        </w:rPr>
        <w:tab/>
      </w:r>
      <w:r>
        <w:rPr>
          <w:rFonts w:ascii="宋体" w:hAnsi="宋体"/>
          <w:color w:val="000000" w:themeColor="text1"/>
          <w:position w:val="-2"/>
          <w:highlight w:val="none"/>
          <w14:textFill>
            <w14:solidFill>
              <w14:schemeClr w14:val="tx1"/>
            </w14:solidFill>
          </w14:textFill>
        </w:rPr>
        <w:t xml:space="preserve">万元</w:t>
      </w:r>
      <w:r>
        <w:rPr>
          <w:rFonts w:ascii="宋体" w:hAnsi="宋体"/>
          <w:color w:val="000000" w:themeColor="text1"/>
          <w:position w:val="-2"/>
          <w:highlight w:val="none"/>
          <w:vertAlign w:val="superscript"/>
          <w14:textFill>
            <w14:solidFill>
              <w14:schemeClr w14:val="tx1"/>
            </w14:solidFill>
          </w14:textFill>
        </w:rPr>
        <w:t xml:space="preserve">1</w:t>
      </w:r>
      <w:r>
        <w:rPr>
          <w:rFonts w:ascii="宋体" w:hAnsi="宋体"/>
          <w:color w:val="000000" w:themeColor="text1"/>
          <w:position w:val="-2"/>
          <w:highlight w:val="none"/>
          <w14:textFill>
            <w14:solidFill>
              <w14:schemeClr w14:val="tx1"/>
            </w14:solidFill>
          </w14:textFill>
        </w:rPr>
        <w:t xml:space="preserve">，属于</w:t>
      </w:r>
      <w:r>
        <w:rPr>
          <w:rFonts w:ascii="宋体" w:hAnsi="宋体"/>
          <w:i/>
          <w:color w:val="000000" w:themeColor="text1"/>
          <w:position w:val="-2"/>
          <w:highlight w:val="none"/>
          <w:u w:val="single"/>
          <w14:textFill>
            <w14:solidFill>
              <w14:schemeClr w14:val="tx1"/>
            </w14:solidFill>
          </w14:textFill>
        </w:rPr>
        <w:t xml:space="preserve">（中型企业、小型企业、微型企业）</w:t>
      </w:r>
      <w:r>
        <w:rPr>
          <w:rFonts w:ascii="宋体" w:hAnsi="宋体"/>
          <w:color w:val="000000" w:themeColor="text1"/>
          <w:position w:val="-2"/>
          <w:highlight w:val="none"/>
          <w14:textFill>
            <w14:solidFill>
              <w14:schemeClr w14:val="tx1"/>
            </w14:solidFill>
          </w14:textFill>
        </w:rPr>
        <w:t xml:space="preserve">；</w:t>
      </w:r>
      <w:r/>
    </w:p>
    <w:p>
      <w:pPr>
        <w:ind w:right="-20" w:firstLine="420"/>
        <w:spacing w:line="360" w:lineRule="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2. </w:t>
      </w:r>
      <w:r>
        <w:rPr>
          <w:rFonts w:ascii="宋体" w:hAnsi="宋体"/>
          <w:i/>
          <w:color w:val="000000" w:themeColor="text1"/>
          <w:position w:val="-2"/>
          <w:highlight w:val="none"/>
          <w:u w:val="single"/>
          <w14:textFill>
            <w14:solidFill>
              <w14:schemeClr w14:val="tx1"/>
            </w14:solidFill>
          </w14:textFill>
        </w:rPr>
        <w:t xml:space="preserve">（标的名称）</w:t>
      </w:r>
      <w:r>
        <w:rPr>
          <w:rFonts w:ascii="宋体" w:hAnsi="宋体"/>
          <w:color w:val="000000" w:themeColor="text1"/>
          <w:position w:val="-2"/>
          <w:highlight w:val="none"/>
          <w14:textFill>
            <w14:solidFill>
              <w14:schemeClr w14:val="tx1"/>
            </w14:solidFill>
          </w14:textFill>
        </w:rPr>
        <w:t xml:space="preserve">，属于</w:t>
      </w:r>
      <w:r>
        <w:rPr>
          <w:rFonts w:ascii="宋体" w:hAnsi="宋体"/>
          <w:i/>
          <w:color w:val="000000" w:themeColor="text1"/>
          <w:position w:val="-2"/>
          <w:highlight w:val="none"/>
          <w:u w:val="single"/>
          <w14:textFill>
            <w14:solidFill>
              <w14:schemeClr w14:val="tx1"/>
            </w14:solidFill>
          </w14:textFill>
        </w:rPr>
        <w:t xml:space="preserve">（采购文件中明确的所属行业） </w:t>
      </w:r>
      <w:r>
        <w:rPr>
          <w:rFonts w:ascii="宋体" w:hAnsi="宋体"/>
          <w:color w:val="000000" w:themeColor="text1"/>
          <w:position w:val="-2"/>
          <w:highlight w:val="none"/>
          <w14:textFill>
            <w14:solidFill>
              <w14:schemeClr w14:val="tx1"/>
            </w14:solidFill>
          </w14:textFill>
        </w:rPr>
        <w:t xml:space="preserve">行业；制造商为</w:t>
      </w:r>
      <w:r>
        <w:rPr>
          <w:rFonts w:ascii="宋体" w:hAnsi="宋体"/>
          <w:i/>
          <w:color w:val="000000" w:themeColor="text1"/>
          <w:position w:val="-2"/>
          <w:highlight w:val="none"/>
          <w:u w:val="single"/>
          <w14:textFill>
            <w14:solidFill>
              <w14:schemeClr w14:val="tx1"/>
            </w14:solidFill>
          </w14:textFill>
        </w:rPr>
        <w:t xml:space="preserve">（企业名称）</w:t>
      </w:r>
      <w:r>
        <w:rPr>
          <w:rFonts w:ascii="宋体" w:hAnsi="宋体"/>
          <w:color w:val="000000" w:themeColor="text1"/>
          <w:position w:val="-2"/>
          <w:highlight w:val="none"/>
          <w14:textFill>
            <w14:solidFill>
              <w14:schemeClr w14:val="tx1"/>
            </w14:solidFill>
          </w14:textFill>
        </w:rPr>
        <w:t xml:space="preserve">，从业人员</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u w:val="single"/>
          <w14:textFill>
            <w14:solidFill>
              <w14:schemeClr w14:val="tx1"/>
            </w14:solidFill>
          </w14:textFill>
        </w:rPr>
        <w:tab/>
      </w:r>
      <w:r>
        <w:rPr>
          <w:rFonts w:ascii="宋体" w:hAnsi="宋体"/>
          <w:color w:val="000000" w:themeColor="text1"/>
          <w:position w:val="-2"/>
          <w:highlight w:val="none"/>
          <w14:textFill>
            <w14:solidFill>
              <w14:schemeClr w14:val="tx1"/>
            </w14:solidFill>
          </w14:textFill>
        </w:rPr>
        <w:t xml:space="preserve">人，营业收入为</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14:textFill>
            <w14:solidFill>
              <w14:schemeClr w14:val="tx1"/>
            </w14:solidFill>
          </w14:textFill>
        </w:rPr>
        <w:t xml:space="preserve">万元，资产总额为</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u w:val="single"/>
          <w14:textFill>
            <w14:solidFill>
              <w14:schemeClr w14:val="tx1"/>
            </w14:solidFill>
          </w14:textFill>
        </w:rPr>
        <w:tab/>
      </w:r>
      <w:r>
        <w:rPr>
          <w:rFonts w:ascii="宋体" w:hAnsi="宋体"/>
          <w:color w:val="000000" w:themeColor="text1"/>
          <w:position w:val="-2"/>
          <w:highlight w:val="none"/>
          <w14:textFill>
            <w14:solidFill>
              <w14:schemeClr w14:val="tx1"/>
            </w14:solidFill>
          </w14:textFill>
        </w:rPr>
        <w:t xml:space="preserve">万元，属于</w:t>
      </w:r>
      <w:r>
        <w:rPr>
          <w:rFonts w:ascii="宋体" w:hAnsi="宋体"/>
          <w:i/>
          <w:color w:val="000000" w:themeColor="text1"/>
          <w:position w:val="-2"/>
          <w:highlight w:val="none"/>
          <w:u w:val="single"/>
          <w14:textFill>
            <w14:solidFill>
              <w14:schemeClr w14:val="tx1"/>
            </w14:solidFill>
          </w14:textFill>
        </w:rPr>
        <w:t xml:space="preserve">（中型企业、小型企业、微型企业）</w:t>
      </w:r>
      <w:r>
        <w:rPr>
          <w:rFonts w:ascii="宋体" w:hAnsi="宋体"/>
          <w:color w:val="000000" w:themeColor="text1"/>
          <w:position w:val="-2"/>
          <w:highlight w:val="none"/>
          <w14:textFill>
            <w14:solidFill>
              <w14:schemeClr w14:val="tx1"/>
            </w14:solidFill>
          </w14:textFill>
        </w:rPr>
        <w:t xml:space="preserve">；</w:t>
      </w:r>
      <w:r/>
    </w:p>
    <w:p>
      <w:pPr>
        <w:ind w:right="-20" w:firstLine="420"/>
        <w:spacing w:line="360" w:lineRule="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 </w:t>
      </w:r>
      <w:r/>
    </w:p>
    <w:p>
      <w:pPr>
        <w:ind w:right="-20" w:firstLine="420"/>
        <w:spacing w:line="360" w:lineRule="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本企业对上述声明内容的真实性负责。如有虚假，将依法承担相应责任。</w:t>
      </w:r>
      <w:r/>
    </w:p>
    <w:p>
      <w:pPr>
        <w:ind w:left="3960" w:right="1298"/>
        <w:spacing w:before="21"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企业名称（</w:t>
      </w:r>
      <w:r>
        <w:rPr>
          <w:rFonts w:hint="eastAsia" w:ascii="宋体" w:hAnsi="宋体"/>
          <w:color w:val="000000" w:themeColor="text1"/>
          <w:highlight w:val="none"/>
          <w14:textFill>
            <w14:solidFill>
              <w14:schemeClr w14:val="tx1"/>
            </w14:solidFill>
          </w14:textFill>
        </w:rPr>
        <w:t xml:space="preserve">加盖CA电子公章</w:t>
      </w:r>
      <w:r>
        <w:rPr>
          <w:rFonts w:ascii="宋体" w:hAnsi="宋体"/>
          <w:color w:val="000000" w:themeColor="text1"/>
          <w:highlight w:val="none"/>
          <w14:textFill>
            <w14:solidFill>
              <w14:schemeClr w14:val="tx1"/>
            </w14:solidFill>
          </w14:textFill>
        </w:rPr>
        <w:t xml:space="preserve">）： </w:t>
      </w:r>
      <w:r/>
    </w:p>
    <w:p>
      <w:pPr>
        <w:ind w:left="3960" w:right="1298"/>
        <w:spacing w:before="21"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日</w:t>
      </w:r>
      <w:r>
        <w:rPr>
          <w:rFonts w:ascii="宋体" w:hAnsi="宋体"/>
          <w:color w:val="000000" w:themeColor="text1"/>
          <w:spacing w:val="-88"/>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期：</w:t>
      </w:r>
      <w:r/>
    </w:p>
    <w:p>
      <w:pPr>
        <w:ind w:right="-20" w:firstLine="420"/>
        <w:spacing w:line="360" w:lineRule="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vertAlign w:val="superscript"/>
          <w14:textFill>
            <w14:solidFill>
              <w14:schemeClr w14:val="tx1"/>
            </w14:solidFill>
          </w14:textFill>
        </w:rPr>
        <w:t xml:space="preserve">1</w:t>
      </w:r>
      <w:r>
        <w:rPr>
          <w:rFonts w:ascii="宋体" w:hAnsi="宋体"/>
          <w:color w:val="000000" w:themeColor="text1"/>
          <w:position w:val="-2"/>
          <w:highlight w:val="none"/>
          <w14:textFill>
            <w14:solidFill>
              <w14:schemeClr w14:val="tx1"/>
            </w14:solidFill>
          </w14:textFill>
        </w:rPr>
        <w:t xml:space="preserve">从业人员、营业收入、资产总额填报上一年度数据，无上一年度数据的新成立企业可不填报。</w:t>
      </w:r>
      <w:r/>
    </w:p>
    <w:p>
      <w:pPr>
        <w:ind w:firstLine="480"/>
        <w:spacing w:line="360" w:lineRule="auto"/>
        <w:rPr>
          <w:rFonts w:ascii="宋体" w:hAnsi="宋体"/>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注：</w:t>
      </w:r>
      <w:r>
        <w:rPr>
          <w:rFonts w:hint="eastAsia" w:ascii="宋体" w:hAnsi="宋体"/>
          <w:bCs/>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.专门</w:t>
      </w:r>
      <w:r>
        <w:rPr>
          <w:rFonts w:ascii="宋体" w:hAnsi="宋体"/>
          <w:color w:val="000000" w:themeColor="text1"/>
          <w:szCs w:val="21"/>
          <w:highlight w:val="none"/>
          <w14:textFill>
            <w14:solidFill>
              <w14:schemeClr w14:val="tx1"/>
            </w14:solidFill>
          </w14:textFill>
        </w:rPr>
        <w:t xml:space="preserve">面向中小微型企业</w:t>
      </w:r>
      <w:r>
        <w:rPr>
          <w:rFonts w:hint="eastAsia" w:ascii="宋体" w:hAnsi="宋体"/>
          <w:color w:val="000000" w:themeColor="text1"/>
          <w:szCs w:val="21"/>
          <w:highlight w:val="none"/>
          <w14:textFill>
            <w14:solidFill>
              <w14:schemeClr w14:val="tx1"/>
            </w14:solidFill>
          </w14:textFill>
        </w:rPr>
        <w:t xml:space="preserve">采购</w:t>
      </w:r>
      <w:r>
        <w:rPr>
          <w:rFonts w:ascii="宋体" w:hAnsi="宋体"/>
          <w:color w:val="000000" w:themeColor="text1"/>
          <w:szCs w:val="21"/>
          <w:highlight w:val="none"/>
          <w14:textFill>
            <w14:solidFill>
              <w14:schemeClr w14:val="tx1"/>
            </w14:solidFill>
          </w14:textFill>
        </w:rPr>
        <w:t xml:space="preserve">的项目，</w:t>
      </w:r>
      <w:r>
        <w:rPr>
          <w:rFonts w:hint="eastAsia" w:ascii="宋体" w:hAnsi="宋体"/>
          <w:color w:val="000000" w:themeColor="text1"/>
          <w:szCs w:val="21"/>
          <w:highlight w:val="none"/>
          <w14:textFill>
            <w14:solidFill>
              <w14:schemeClr w14:val="tx1"/>
            </w14:solidFill>
          </w14:textFill>
        </w:rPr>
        <w:t xml:space="preserve">投标人如不提供此声明函，则</w:t>
      </w:r>
      <w:r>
        <w:rPr>
          <w:rFonts w:ascii="宋体" w:hAnsi="宋体"/>
          <w:color w:val="000000" w:themeColor="text1"/>
          <w:szCs w:val="21"/>
          <w:highlight w:val="none"/>
          <w14:textFill>
            <w14:solidFill>
              <w14:schemeClr w14:val="tx1"/>
            </w14:solidFill>
          </w14:textFill>
        </w:rPr>
        <w:t xml:space="preserve">不能通过资格审查；</w:t>
      </w:r>
      <w:r>
        <w:rPr>
          <w:rFonts w:hint="eastAsia" w:ascii="宋体" w:hAnsi="宋体"/>
          <w:color w:val="000000" w:themeColor="text1"/>
          <w:szCs w:val="21"/>
          <w:highlight w:val="none"/>
          <w14:textFill>
            <w14:solidFill>
              <w14:schemeClr w14:val="tx1"/>
            </w14:solidFill>
          </w14:textFill>
        </w:rPr>
        <w:t xml:space="preserve">非专门</w:t>
      </w:r>
      <w:r>
        <w:rPr>
          <w:rFonts w:ascii="宋体" w:hAnsi="宋体"/>
          <w:color w:val="000000" w:themeColor="text1"/>
          <w:szCs w:val="21"/>
          <w:highlight w:val="none"/>
          <w14:textFill>
            <w14:solidFill>
              <w14:schemeClr w14:val="tx1"/>
            </w14:solidFill>
          </w14:textFill>
        </w:rPr>
        <w:t xml:space="preserve">面向中小微型企业</w:t>
      </w:r>
      <w:r>
        <w:rPr>
          <w:rFonts w:hint="eastAsia" w:ascii="宋体" w:hAnsi="宋体"/>
          <w:color w:val="000000" w:themeColor="text1"/>
          <w:szCs w:val="21"/>
          <w:highlight w:val="none"/>
          <w14:textFill>
            <w14:solidFill>
              <w14:schemeClr w14:val="tx1"/>
            </w14:solidFill>
          </w14:textFill>
        </w:rPr>
        <w:t xml:space="preserve">采购</w:t>
      </w:r>
      <w:r>
        <w:rPr>
          <w:rFonts w:ascii="宋体" w:hAnsi="宋体"/>
          <w:color w:val="000000" w:themeColor="text1"/>
          <w:szCs w:val="21"/>
          <w:highlight w:val="none"/>
          <w14:textFill>
            <w14:solidFill>
              <w14:schemeClr w14:val="tx1"/>
            </w14:solidFill>
          </w14:textFill>
        </w:rPr>
        <w:t xml:space="preserve">的项目，</w:t>
      </w:r>
      <w:r>
        <w:rPr>
          <w:rFonts w:hint="eastAsia" w:ascii="宋体" w:hAnsi="宋体"/>
          <w:color w:val="000000" w:themeColor="text1"/>
          <w:szCs w:val="21"/>
          <w:highlight w:val="none"/>
          <w14:textFill>
            <w14:solidFill>
              <w14:schemeClr w14:val="tx1"/>
            </w14:solidFill>
          </w14:textFill>
        </w:rPr>
        <w:t xml:space="preserve">投标人如不提供此声明函，价格将不做相应扣除。</w:t>
      </w:r>
      <w:r/>
    </w:p>
    <w:p>
      <w:pPr>
        <w:ind w:firstLine="840"/>
        <w:spacing w:line="360" w:lineRule="auto"/>
        <w:rPr>
          <w:rStyle w:val="1077"/>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2.投标人</w:t>
      </w:r>
      <w:r>
        <w:rPr>
          <w:rFonts w:ascii="宋体" w:hAnsi="宋体"/>
          <w:bCs/>
          <w:color w:val="000000" w:themeColor="text1"/>
          <w:szCs w:val="21"/>
          <w:highlight w:val="none"/>
          <w14:textFill>
            <w14:solidFill>
              <w14:schemeClr w14:val="tx1"/>
            </w14:solidFill>
          </w14:textFill>
        </w:rPr>
        <w:t xml:space="preserve">自行勾选</w:t>
      </w:r>
      <w:r>
        <w:rPr>
          <w:rFonts w:hint="eastAsia" w:ascii="宋体" w:hAnsi="宋体"/>
          <w:bCs/>
          <w:color w:val="000000" w:themeColor="text1"/>
          <w:szCs w:val="21"/>
          <w:highlight w:val="none"/>
          <w14:textFill>
            <w14:solidFill>
              <w14:schemeClr w14:val="tx1"/>
            </w14:solidFill>
          </w14:textFill>
        </w:rPr>
        <w:t xml:space="preserve">承接企业</w:t>
      </w:r>
      <w:r>
        <w:rPr>
          <w:rFonts w:ascii="宋体" w:hAnsi="宋体"/>
          <w:bCs/>
          <w:color w:val="000000" w:themeColor="text1"/>
          <w:szCs w:val="21"/>
          <w:highlight w:val="none"/>
          <w14:textFill>
            <w14:solidFill>
              <w14:schemeClr w14:val="tx1"/>
            </w14:solidFill>
          </w14:textFill>
        </w:rPr>
        <w:t xml:space="preserve">的企业</w:t>
      </w:r>
      <w:r>
        <w:rPr>
          <w:rFonts w:hint="eastAsia" w:ascii="宋体" w:hAnsi="宋体"/>
          <w:bCs/>
          <w:color w:val="000000" w:themeColor="text1"/>
          <w:szCs w:val="21"/>
          <w:highlight w:val="none"/>
          <w14:textFill>
            <w14:solidFill>
              <w14:schemeClr w14:val="tx1"/>
            </w14:solidFill>
          </w14:textFill>
        </w:rPr>
        <w:t xml:space="preserve">规模类型</w:t>
      </w:r>
      <w:r>
        <w:rPr>
          <w:rFonts w:ascii="宋体" w:hAnsi="宋体"/>
          <w:bCs/>
          <w:color w:val="000000" w:themeColor="text1"/>
          <w:szCs w:val="21"/>
          <w:highlight w:val="none"/>
          <w14:textFill>
            <w14:solidFill>
              <w14:schemeClr w14:val="tx1"/>
            </w14:solidFill>
          </w14:textFill>
        </w:rPr>
        <w:t xml:space="preserve">。</w:t>
      </w:r>
      <w:r/>
    </w:p>
    <w:p>
      <w:pPr>
        <w:pStyle w:val="801"/>
        <w:ind w:firstLine="422"/>
        <w:spacing w:line="360" w:lineRule="auto"/>
        <w:rPr>
          <w:b/>
          <w:bCs/>
          <w:color w:val="000000" w:themeColor="text1"/>
          <w:szCs w:val="21"/>
          <w:highlight w:val="none"/>
          <w14:textFill>
            <w14:solidFill>
              <w14:schemeClr w14:val="tx1"/>
            </w14:solidFill>
          </w14:textFill>
        </w:rPr>
      </w:pPr>
      <w:r>
        <w:rPr>
          <w:rStyle w:val="1077"/>
          <w:rFonts w:hint="eastAsia" w:ascii="宋体" w:hAnsi="宋体"/>
          <w:b/>
          <w:color w:val="000000" w:themeColor="text1"/>
          <w:szCs w:val="21"/>
          <w:highlight w:val="none"/>
          <w14:textFill>
            <w14:solidFill>
              <w14:schemeClr w14:val="tx1"/>
            </w14:solidFill>
          </w14:textFill>
        </w:rPr>
        <w:br w:type="page" w:clear="all"/>
      </w:r>
      <w:r>
        <w:rPr>
          <w:rFonts w:hint="eastAsia"/>
          <w:b/>
          <w:bCs/>
          <w:color w:val="000000" w:themeColor="text1"/>
          <w:szCs w:val="21"/>
          <w:highlight w:val="none"/>
          <w14:textFill>
            <w14:solidFill>
              <w14:schemeClr w14:val="tx1"/>
            </w14:solidFill>
          </w14:textFill>
        </w:rPr>
        <w:t xml:space="preserve">附：中小企业划型标准规定（工信部联企业〔2011 〕300 号）</w:t>
      </w:r>
      <w:r/>
    </w:p>
    <w:p>
      <w:pPr>
        <w:pStyle w:val="801"/>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（一）农、林、牧、渔业。营业收入 20000 万元以下的为中小微型企业。其中，营业收入 500 万元及以上的为中型企业，营业收入 50 万元及以上的为小型企业，营业收入 50 万元以下的为微型企业。</w:t>
      </w:r>
      <w:r/>
    </w:p>
    <w:p>
      <w:pPr>
        <w:pStyle w:val="801"/>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pStyle w:val="801"/>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（三）建筑业。营业收入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pStyle w:val="801"/>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pStyle w:val="801"/>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pStyle w:val="801"/>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pStyle w:val="801"/>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pStyle w:val="801"/>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pStyle w:val="801"/>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801"/>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801"/>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pStyle w:val="801"/>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pStyle w:val="801"/>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pStyle w:val="801"/>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pStyle w:val="801"/>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（十五）租赁和商务服务业。从业人员 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pStyle w:val="801"/>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（十六）其他未列明行业。从业人员 300 人以下的为中小微型企业。其中，从业人员 100 人及以上的为中型企业；从业人员 10 人及以上的为小型企业；从业人员 10 人以下的为微型企业。</w:t>
      </w:r>
      <w:r/>
    </w:p>
    <w:p>
      <w:pPr>
        <w:pStyle w:val="801"/>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1"/>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1"/>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1"/>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8"/>
        <w:spacing w:before="0" w:beforeAutospacing="0" w:after="0" w:afterAutospacing="0" w:line="480" w:lineRule="atLeast"/>
        <w:rPr>
          <w:rFonts w:ascii="Times New Roman" w:hAnsi="Times New Roman"/>
          <w:b/>
          <w:bCs/>
          <w:color w:val="000000" w:themeColor="text1"/>
          <w:sz w:val="21"/>
          <w:szCs w:val="21"/>
          <w:highlight w:val="none"/>
          <w14:textFill>
            <w14:solidFill>
              <w14:schemeClr w14:val="tx1"/>
            </w14:solidFill>
          </w14:textFill>
        </w:rPr>
      </w:pPr>
      <w:r>
        <w:rPr>
          <w:rFonts w:ascii="Times New Roman" w:hAnsi="Times New Roman"/>
          <w:b/>
          <w:bCs/>
          <w:color w:val="000000" w:themeColor="text1"/>
          <w:sz w:val="21"/>
          <w:szCs w:val="21"/>
          <w:highlight w:val="none"/>
          <w14:textFill>
            <w14:solidFill>
              <w14:schemeClr w14:val="tx1"/>
            </w14:solidFill>
          </w14:textFill>
        </w:rPr>
      </w:r>
      <w:r/>
    </w:p>
    <w:p>
      <w:pPr>
        <w:pStyle w:val="1078"/>
        <w:spacing w:before="0" w:beforeAutospacing="0" w:after="0" w:afterAutospacing="0" w:line="480" w:lineRule="atLeast"/>
        <w:rPr>
          <w:rFonts w:ascii="Times New Roman" w:hAnsi="Times New Roman"/>
          <w:b/>
          <w:bCs/>
          <w:color w:val="000000" w:themeColor="text1"/>
          <w:sz w:val="21"/>
          <w:szCs w:val="21"/>
          <w:highlight w:val="none"/>
          <w14:textFill>
            <w14:solidFill>
              <w14:schemeClr w14:val="tx1"/>
            </w14:solidFill>
          </w14:textFill>
        </w:rPr>
      </w:pPr>
      <w:r>
        <w:rPr>
          <w:rFonts w:ascii="Times New Roman" w:hAnsi="Times New Roman"/>
          <w:b/>
          <w:bCs/>
          <w:color w:val="000000" w:themeColor="text1"/>
          <w:sz w:val="21"/>
          <w:szCs w:val="21"/>
          <w:highlight w:val="none"/>
          <w14:textFill>
            <w14:solidFill>
              <w14:schemeClr w14:val="tx1"/>
            </w14:solidFill>
          </w14:textFill>
        </w:rPr>
      </w:r>
      <w:r/>
    </w:p>
    <w:p>
      <w:pPr>
        <w:pStyle w:val="1078"/>
        <w:spacing w:before="0" w:beforeAutospacing="0" w:after="0" w:afterAutospacing="0" w:line="480" w:lineRule="atLeast"/>
        <w:rPr>
          <w:rFonts w:ascii="Times New Roman" w:hAnsi="Times New Roman"/>
          <w:b/>
          <w:bCs/>
          <w:color w:val="000000" w:themeColor="text1"/>
          <w:sz w:val="21"/>
          <w:szCs w:val="21"/>
          <w:highlight w:val="none"/>
          <w14:textFill>
            <w14:solidFill>
              <w14:schemeClr w14:val="tx1"/>
            </w14:solidFill>
          </w14:textFill>
        </w:rPr>
      </w:pPr>
      <w:r>
        <w:rPr>
          <w:rFonts w:hint="eastAsia" w:ascii="Times New Roman" w:hAnsi="Times New Roman"/>
          <w:b/>
          <w:bCs/>
          <w:color w:val="000000" w:themeColor="text1"/>
          <w:sz w:val="21"/>
          <w:szCs w:val="21"/>
          <w:highlight w:val="none"/>
          <w14:textFill>
            <w14:solidFill>
              <w14:schemeClr w14:val="tx1"/>
            </w14:solidFill>
          </w14:textFill>
        </w:rPr>
        <w:t xml:space="preserve">（二）残疾人福利性单位声明函（如适用）</w:t>
      </w:r>
      <w:r/>
    </w:p>
    <w:p>
      <w:pPr>
        <w:pStyle w:val="1078"/>
        <w:spacing w:before="0" w:beforeAutospacing="0" w:after="0" w:afterAutospacing="0" w:line="480" w:lineRule="atLeas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1078"/>
        <w:jc w:val="center"/>
        <w:spacing w:before="0" w:beforeAutospacing="0" w:after="0" w:afterAutospacing="0" w:line="360" w:lineRule="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残疾人福利性单位声明函</w:t>
      </w:r>
      <w:r/>
    </w:p>
    <w:p>
      <w:pPr>
        <w:pStyle w:val="1078"/>
        <w:jc w:val="center"/>
        <w:spacing w:before="0" w:beforeAutospacing="0" w:after="0" w:afterAutospacing="0" w:line="360" w:lineRule="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1078"/>
        <w:ind w:firstLine="420"/>
        <w:spacing w:before="0" w:beforeAutospacing="0" w:after="0" w:afterAutospacing="0" w:line="480" w:lineRule="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78"/>
        <w:ind w:firstLine="420"/>
        <w:spacing w:before="0" w:beforeAutospacing="0" w:after="0" w:afterAutospacing="0" w:line="480" w:lineRule="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78"/>
        <w:spacing w:before="0" w:beforeAutospacing="0" w:after="0" w:afterAutospacing="0" w:line="480" w:lineRule="atLeas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1078"/>
        <w:jc w:val="right"/>
        <w:spacing w:before="0" w:beforeAutospacing="0" w:after="0" w:afterAutospacing="0" w:line="480" w:lineRule="atLeast"/>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投标单位名称（加盖CA电子公章）</w:t>
      </w:r>
      <w:r>
        <w:rPr>
          <w:rFonts w:hint="eastAsia" w:ascii="Times New Roman" w:hAnsi="Times New Roman"/>
          <w:color w:val="000000" w:themeColor="text1"/>
          <w:sz w:val="21"/>
          <w:szCs w:val="21"/>
          <w:highlight w:val="none"/>
          <w14:textFill>
            <w14:solidFill>
              <w14:schemeClr w14:val="tx1"/>
            </w14:solidFill>
          </w14:textFill>
        </w:rPr>
        <w:t xml:space="preserve">                    </w:t>
      </w:r>
      <w:r/>
    </w:p>
    <w:p>
      <w:pPr>
        <w:pStyle w:val="1078"/>
        <w:ind w:firstLine="4200"/>
        <w:jc w:val="both"/>
        <w:spacing w:before="0" w:beforeAutospacing="0" w:after="0" w:afterAutospacing="0" w:line="480" w:lineRule="atLeast"/>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日  期：</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1"/>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2"/>
        <w:spacing w:line="360" w:lineRule="auto"/>
        <w:rPr>
          <w:rStyle w:val="1077"/>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rPr>
          <w:rStyle w:val="1077"/>
          <w:rFonts w:ascii="宋体" w:hAnsi="宋体"/>
          <w:b/>
          <w:color w:val="000000" w:themeColor="text1"/>
          <w:szCs w:val="21"/>
          <w:highlight w:val="none"/>
          <w14:textFill>
            <w14:solidFill>
              <w14:schemeClr w14:val="tx1"/>
            </w14:solidFill>
          </w14:textFill>
        </w:rPr>
      </w:pPr>
      <w:r>
        <w:rPr>
          <w:rStyle w:val="1077"/>
          <w:rFonts w:hint="eastAsia" w:ascii="宋体" w:hAnsi="宋体"/>
          <w:b/>
          <w:color w:val="000000" w:themeColor="text1"/>
          <w:szCs w:val="21"/>
          <w:highlight w:val="none"/>
          <w14:textFill>
            <w14:solidFill>
              <w14:schemeClr w14:val="tx1"/>
            </w14:solidFill>
          </w14:textFill>
        </w:rPr>
        <w:br w:type="page" w:clear="all"/>
      </w:r>
      <w:r/>
    </w:p>
    <w:p>
      <w:pPr>
        <w:pStyle w:val="801"/>
        <w:ind w:firstLine="422"/>
        <w:spacing w:line="360"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《关于符合本国产品标准的声明函》或财政部会同有关部门规定的有关证明文件（如适用）、《成本比例声明函》</w:t>
      </w:r>
      <w:r/>
    </w:p>
    <w:p>
      <w:pPr>
        <w:ind w:firstLine="422"/>
        <w:jc w:val="center"/>
        <w:spacing w:line="360" w:lineRule="auto"/>
        <w:rPr>
          <w:rFonts w:ascii="宋体" w:hAnsi="宋体"/>
          <w:b/>
          <w:bCs/>
          <w:color w:val="000000" w:themeColor="text1"/>
          <w:highlight w:val="none"/>
          <w14:textFill>
            <w14:solidFill>
              <w14:schemeClr w14:val="tx1"/>
            </w14:solidFill>
          </w14:textFill>
        </w:rPr>
      </w:pPr>
      <w:r/>
      <w:bookmarkStart w:id="200" w:name="_Toc223617416"/>
      <w:r/>
      <w:bookmarkStart w:id="201" w:name="_Toc224202492"/>
      <w:r>
        <w:rPr>
          <w:rFonts w:hint="eastAsia" w:ascii="宋体" w:hAnsi="宋体"/>
          <w:b/>
          <w:bCs/>
          <w:color w:val="000000" w:themeColor="text1"/>
          <w:highlight w:val="none"/>
          <w14:textFill>
            <w14:solidFill>
              <w14:schemeClr w14:val="tx1"/>
            </w14:solidFill>
          </w14:textFill>
        </w:rPr>
        <w:t xml:space="preserve">1、</w:t>
      </w:r>
      <w:r>
        <w:rPr>
          <w:rFonts w:ascii="宋体" w:hAnsi="宋体"/>
          <w:b/>
          <w:bCs/>
          <w:color w:val="000000" w:themeColor="text1"/>
          <w:highlight w:val="none"/>
          <w14:textFill>
            <w14:solidFill>
              <w14:schemeClr w14:val="tx1"/>
            </w14:solidFill>
          </w14:textFill>
        </w:rPr>
        <w:t xml:space="preserve">关于符合本国产品标准的声明函</w:t>
      </w:r>
      <w:bookmarkEnd w:id="200"/>
      <w:r/>
      <w:bookmarkEnd w:id="201"/>
      <w:r/>
      <w:r/>
    </w:p>
    <w:p>
      <w:pPr>
        <w:ind w:firstLine="422"/>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ascii="宋体" w:hAnsi="宋体"/>
          <w:b/>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rPr>
          <w:rFonts w:hint="eastAsia" w:ascii="宋体" w:hAnsi="宋体"/>
          <w:i/>
          <w:iCs/>
          <w:color w:val="000000" w:themeColor="text1"/>
          <w:highlight w:val="none"/>
          <w14:textFill>
            <w14:solidFill>
              <w14:schemeClr w14:val="tx1"/>
            </w14:solidFill>
          </w14:textFill>
        </w:rPr>
        <w:t xml:space="preserve">（产品名称1）</w:t>
      </w:r>
      <w:r>
        <w:rPr>
          <w:rFonts w:hint="eastAsia" w:ascii="宋体" w:hAnsi="宋体"/>
          <w:i/>
          <w:iCs/>
          <w:color w:val="000000" w:themeColor="text1"/>
          <w:highlight w:val="none"/>
          <w:vertAlign w:val="superscript"/>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，生产厂为</w:t>
      </w:r>
      <w:r>
        <w:rPr>
          <w:rFonts w:hint="eastAsia" w:ascii="宋体" w:hAnsi="宋体"/>
          <w:i/>
          <w:iCs/>
          <w:color w:val="000000" w:themeColor="text1"/>
          <w:highlight w:val="none"/>
          <w14:textFill>
            <w14:solidFill>
              <w14:schemeClr w14:val="tx1"/>
            </w14:solidFill>
          </w14:textFill>
        </w:rPr>
        <w:t xml:space="preserve">（厂名）</w:t>
      </w:r>
      <w:r>
        <w:rPr>
          <w:rFonts w:hint="eastAsia" w:ascii="宋体" w:hAnsi="宋体"/>
          <w:i/>
          <w:iCs/>
          <w:color w:val="000000" w:themeColor="text1"/>
          <w:highlight w:val="none"/>
          <w:vertAlign w:val="superscript"/>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，厂址为</w:t>
      </w:r>
      <w:r>
        <w:rPr>
          <w:rFonts w:hint="eastAsia" w:ascii="宋体" w:hAnsi="宋体"/>
          <w:i/>
          <w:iCs/>
          <w:color w:val="000000" w:themeColor="text1"/>
          <w:highlight w:val="none"/>
          <w14:textFill>
            <w14:solidFill>
              <w14:schemeClr w14:val="tx1"/>
            </w14:solidFill>
          </w14:textFill>
        </w:rPr>
        <w:t xml:space="preserve">（生产厂址）</w:t>
      </w:r>
      <w:r>
        <w:rPr>
          <w:rFonts w:hint="eastAsia" w:ascii="宋体" w:hAnsi="宋体"/>
          <w:color w:val="000000" w:themeColor="text1"/>
          <w:highlight w:val="none"/>
          <w14:textFill>
            <w14:solidFill>
              <w14:schemeClr w14:val="tx1"/>
            </w14:solidFill>
          </w14:textFill>
        </w:rPr>
        <w:t xml:space="preserve">。</w:t>
      </w:r>
      <w:r>
        <w:rPr>
          <w:rFonts w:hint="eastAsia" w:ascii="宋体" w:hAnsi="宋体"/>
          <w:i/>
          <w:iCs/>
          <w:color w:val="000000" w:themeColor="text1"/>
          <w:highlight w:val="none"/>
          <w14:textFill>
            <w14:solidFill>
              <w14:schemeClr w14:val="tx1"/>
            </w14:solidFill>
          </w14:textFill>
        </w:rPr>
        <w:t xml:space="preserve">（产品名称1）</w:t>
      </w:r>
      <w:r>
        <w:rPr>
          <w:rFonts w:hint="eastAsia" w:ascii="宋体" w:hAnsi="宋体"/>
          <w:color w:val="000000" w:themeColor="text1"/>
          <w:highlight w:val="none"/>
          <w14:textFill>
            <w14:solidFill>
              <w14:schemeClr w14:val="tx1"/>
            </w14:solidFill>
          </w14:textFill>
        </w:rPr>
        <w:t xml:space="preserve">的中国境内生产的组件成本占比≥</w:t>
      </w:r>
      <w:r>
        <w:rPr>
          <w:rFonts w:hint="eastAsia" w:ascii="宋体" w:hAnsi="宋体"/>
          <w:i/>
          <w:iCs/>
          <w:color w:val="000000" w:themeColor="text1"/>
          <w:highlight w:val="none"/>
          <w14:textFill>
            <w14:solidFill>
              <w14:schemeClr w14:val="tx1"/>
            </w14:solidFill>
          </w14:textFill>
        </w:rPr>
        <w:t xml:space="preserve">（规定比例）</w:t>
      </w:r>
      <w:r>
        <w:rPr>
          <w:rFonts w:hint="eastAsia" w:ascii="宋体" w:hAnsi="宋体"/>
          <w:i/>
          <w:iCs/>
          <w:color w:val="000000" w:themeColor="text1"/>
          <w:highlight w:val="none"/>
          <w:vertAlign w:val="superscript"/>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w:t>
      </w:r>
      <w:r>
        <w:rPr>
          <w:rFonts w:hint="eastAsia" w:ascii="宋体" w:hAnsi="宋体"/>
          <w:i/>
          <w:iCs/>
          <w:color w:val="000000" w:themeColor="text1"/>
          <w:highlight w:val="none"/>
          <w14:textFill>
            <w14:solidFill>
              <w14:schemeClr w14:val="tx1"/>
            </w14:solidFill>
          </w14:textFill>
        </w:rPr>
        <w:t xml:space="preserve">（产品名称1）</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i/>
          <w:iCs/>
          <w:color w:val="000000" w:themeColor="text1"/>
          <w:highlight w:val="none"/>
          <w14:textFill>
            <w14:solidFill>
              <w14:schemeClr w14:val="tx1"/>
            </w14:solidFill>
          </w14:textFill>
        </w:rPr>
        <w:t xml:space="preserve">（关键组件）</w:t>
      </w:r>
      <w:r>
        <w:rPr>
          <w:rFonts w:hint="eastAsia" w:ascii="宋体" w:hAnsi="宋体"/>
          <w:i/>
          <w:iCs/>
          <w:color w:val="000000" w:themeColor="text1"/>
          <w:highlight w:val="none"/>
          <w:vertAlign w:val="superscript"/>
          <w14:textFill>
            <w14:solidFill>
              <w14:schemeClr w14:val="tx1"/>
            </w14:solidFill>
          </w14:textFill>
        </w:rPr>
        <w:t xml:space="preserve">4</w:t>
      </w:r>
      <w:r>
        <w:rPr>
          <w:rFonts w:hint="eastAsia" w:ascii="宋体" w:hAnsi="宋体"/>
          <w:color w:val="000000" w:themeColor="text1"/>
          <w:highlight w:val="none"/>
          <w14:textFill>
            <w14:solidFill>
              <w14:schemeClr w14:val="tx1"/>
            </w14:solidFill>
          </w14:textFill>
        </w:rPr>
        <w:t xml:space="preserve">在中国境内生产。</w:t>
      </w:r>
      <w:r>
        <w:rPr>
          <w:rFonts w:hint="eastAsia" w:ascii="宋体" w:hAnsi="宋体"/>
          <w:i/>
          <w:iCs/>
          <w:color w:val="000000" w:themeColor="text1"/>
          <w:highlight w:val="none"/>
          <w14:textFill>
            <w14:solidFill>
              <w14:schemeClr w14:val="tx1"/>
            </w14:solidFill>
          </w14:textFill>
        </w:rPr>
        <w:t xml:space="preserve">（产品名称1）</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i/>
          <w:iCs/>
          <w:color w:val="000000" w:themeColor="text1"/>
          <w:highlight w:val="none"/>
          <w14:textFill>
            <w14:solidFill>
              <w14:schemeClr w14:val="tx1"/>
            </w14:solidFill>
          </w14:textFill>
        </w:rPr>
        <w:t xml:space="preserve">（关键工序）</w:t>
      </w:r>
      <w:r>
        <w:rPr>
          <w:rFonts w:hint="eastAsia" w:ascii="宋体" w:hAnsi="宋体"/>
          <w:i/>
          <w:iCs/>
          <w:color w:val="000000" w:themeColor="text1"/>
          <w:highlight w:val="none"/>
          <w:vertAlign w:val="superscript"/>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在中国境内完成。</w:t>
      </w:r>
      <w:r/>
    </w:p>
    <w:p>
      <w:pPr>
        <w:ind w:firstLine="420"/>
        <w:spacing w:line="360" w:lineRule="auto"/>
        <w:rPr>
          <w:rFonts w:ascii="宋体" w:hAnsi="宋体"/>
          <w:b/>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rPr>
          <w:rFonts w:hint="eastAsia" w:ascii="宋体" w:hAnsi="宋体"/>
          <w:i/>
          <w:iCs/>
          <w:color w:val="000000" w:themeColor="text1"/>
          <w:highlight w:val="none"/>
          <w14:textFill>
            <w14:solidFill>
              <w14:schemeClr w14:val="tx1"/>
            </w14:solidFill>
          </w14:textFill>
        </w:rPr>
        <w:t xml:space="preserve">（产品名称2）</w:t>
      </w:r>
      <w:r>
        <w:rPr>
          <w:rFonts w:hint="eastAsia" w:ascii="宋体" w:hAnsi="宋体"/>
          <w:color w:val="000000" w:themeColor="text1"/>
          <w:highlight w:val="none"/>
          <w14:textFill>
            <w14:solidFill>
              <w14:schemeClr w14:val="tx1"/>
            </w14:solidFill>
          </w14:textFill>
        </w:rPr>
        <w:t xml:space="preserve">，生产厂为</w:t>
      </w:r>
      <w:r>
        <w:rPr>
          <w:rFonts w:hint="eastAsia" w:ascii="宋体" w:hAnsi="宋体"/>
          <w:i/>
          <w:iCs/>
          <w:color w:val="000000" w:themeColor="text1"/>
          <w:highlight w:val="none"/>
          <w14:textFill>
            <w14:solidFill>
              <w14:schemeClr w14:val="tx1"/>
            </w14:solidFill>
          </w14:textFill>
        </w:rPr>
        <w:t xml:space="preserve">（厂名）</w:t>
      </w:r>
      <w:r>
        <w:rPr>
          <w:rFonts w:hint="eastAsia" w:ascii="宋体" w:hAnsi="宋体"/>
          <w:color w:val="000000" w:themeColor="text1"/>
          <w:highlight w:val="none"/>
          <w14:textFill>
            <w14:solidFill>
              <w14:schemeClr w14:val="tx1"/>
            </w14:solidFill>
          </w14:textFill>
        </w:rPr>
        <w:t xml:space="preserve">，厂址为</w:t>
      </w:r>
      <w:r>
        <w:rPr>
          <w:rFonts w:hint="eastAsia" w:ascii="宋体" w:hAnsi="宋体"/>
          <w:i/>
          <w:iCs/>
          <w:color w:val="000000" w:themeColor="text1"/>
          <w:highlight w:val="none"/>
          <w14:textFill>
            <w14:solidFill>
              <w14:schemeClr w14:val="tx1"/>
            </w14:solidFill>
          </w14:textFill>
        </w:rPr>
        <w:t xml:space="preserve">（生产厂址）</w:t>
      </w:r>
      <w:r>
        <w:rPr>
          <w:rFonts w:hint="eastAsia" w:ascii="宋体" w:hAnsi="宋体"/>
          <w:color w:val="000000" w:themeColor="text1"/>
          <w:highlight w:val="none"/>
          <w14:textFill>
            <w14:solidFill>
              <w14:schemeClr w14:val="tx1"/>
            </w14:solidFill>
          </w14:textFill>
        </w:rPr>
        <w:t xml:space="preserve">。</w:t>
      </w:r>
      <w:r>
        <w:rPr>
          <w:rFonts w:hint="eastAsia" w:ascii="宋体" w:hAnsi="宋体"/>
          <w:i/>
          <w:iCs/>
          <w:color w:val="000000" w:themeColor="text1"/>
          <w:highlight w:val="none"/>
          <w14:textFill>
            <w14:solidFill>
              <w14:schemeClr w14:val="tx1"/>
            </w14:solidFill>
          </w14:textFill>
        </w:rPr>
        <w:t xml:space="preserve">（产品名称2）</w:t>
      </w:r>
      <w:r>
        <w:rPr>
          <w:rFonts w:hint="eastAsia" w:ascii="宋体" w:hAnsi="宋体"/>
          <w:color w:val="000000" w:themeColor="text1"/>
          <w:highlight w:val="none"/>
          <w14:textFill>
            <w14:solidFill>
              <w14:schemeClr w14:val="tx1"/>
            </w14:solidFill>
          </w14:textFill>
        </w:rPr>
        <w:t xml:space="preserve">的中国境内生产的组件成本占比≥</w:t>
      </w:r>
      <w:r>
        <w:rPr>
          <w:rFonts w:hint="eastAsia" w:ascii="宋体" w:hAnsi="宋体"/>
          <w:i/>
          <w:iCs/>
          <w:color w:val="000000" w:themeColor="text1"/>
          <w:highlight w:val="none"/>
          <w14:textFill>
            <w14:solidFill>
              <w14:schemeClr w14:val="tx1"/>
            </w14:solidFill>
          </w14:textFill>
        </w:rPr>
        <w:t xml:space="preserve">（规定比例）</w:t>
      </w:r>
      <w:r>
        <w:rPr>
          <w:rFonts w:hint="eastAsia" w:ascii="宋体" w:hAnsi="宋体"/>
          <w:color w:val="000000" w:themeColor="text1"/>
          <w:highlight w:val="none"/>
          <w14:textFill>
            <w14:solidFill>
              <w14:schemeClr w14:val="tx1"/>
            </w14:solidFill>
          </w14:textFill>
        </w:rPr>
        <w:t xml:space="preserve">。</w:t>
      </w:r>
      <w:r>
        <w:rPr>
          <w:rFonts w:hint="eastAsia" w:ascii="宋体" w:hAnsi="宋体"/>
          <w:i/>
          <w:iCs/>
          <w:color w:val="000000" w:themeColor="text1"/>
          <w:highlight w:val="none"/>
          <w14:textFill>
            <w14:solidFill>
              <w14:schemeClr w14:val="tx1"/>
            </w14:solidFill>
          </w14:textFill>
        </w:rPr>
        <w:t xml:space="preserve">（产品名称2）</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i/>
          <w:iCs/>
          <w:color w:val="000000" w:themeColor="text1"/>
          <w:highlight w:val="none"/>
          <w14:textFill>
            <w14:solidFill>
              <w14:schemeClr w14:val="tx1"/>
            </w14:solidFill>
          </w14:textFill>
        </w:rPr>
        <w:t xml:space="preserve">（关键组件）</w:t>
      </w:r>
      <w:r>
        <w:rPr>
          <w:rFonts w:hint="eastAsia" w:ascii="宋体" w:hAnsi="宋体"/>
          <w:color w:val="000000" w:themeColor="text1"/>
          <w:highlight w:val="none"/>
          <w14:textFill>
            <w14:solidFill>
              <w14:schemeClr w14:val="tx1"/>
            </w14:solidFill>
          </w14:textFill>
        </w:rPr>
        <w:t xml:space="preserve">在中国境内生产。</w:t>
      </w:r>
      <w:r>
        <w:rPr>
          <w:rFonts w:hint="eastAsia" w:ascii="宋体" w:hAnsi="宋体"/>
          <w:i/>
          <w:iCs/>
          <w:color w:val="000000" w:themeColor="text1"/>
          <w:highlight w:val="none"/>
          <w14:textFill>
            <w14:solidFill>
              <w14:schemeClr w14:val="tx1"/>
            </w14:solidFill>
          </w14:textFill>
        </w:rPr>
        <w:t xml:space="preserve">（产品名称2）</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i/>
          <w:iCs/>
          <w:color w:val="000000" w:themeColor="text1"/>
          <w:highlight w:val="none"/>
          <w14:textFill>
            <w14:solidFill>
              <w14:schemeClr w14:val="tx1"/>
            </w14:solidFill>
          </w14:textFill>
        </w:rPr>
        <w:t xml:space="preserve">（关键工序）</w:t>
      </w:r>
      <w:r>
        <w:rPr>
          <w:rFonts w:hint="eastAsia" w:ascii="宋体" w:hAnsi="宋体"/>
          <w:color w:val="000000" w:themeColor="text1"/>
          <w:highlight w:val="none"/>
          <w14:textFill>
            <w14:solidFill>
              <w14:schemeClr w14:val="tx1"/>
            </w14:solidFill>
          </w14:textFill>
        </w:rPr>
        <w:t xml:space="preserve">在中国境内完成。</w:t>
      </w:r>
      <w:r/>
    </w:p>
    <w:p>
      <w:pPr>
        <w:ind w:firstLine="420"/>
        <w:spacing w:line="360" w:lineRule="auto"/>
        <w:rPr>
          <w:rFonts w:ascii="宋体" w:hAnsi="宋体"/>
          <w:b/>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p>
    <w:p>
      <w:pPr>
        <w:ind w:firstLine="422"/>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本公司（单位）对上述声明内容的真实性负责。如有虚假，愿承担相应法律责任。</w:t>
      </w:r>
      <w:r/>
    </w:p>
    <w:p>
      <w:pPr>
        <w:spacing w:line="360" w:lineRule="auto"/>
        <w:rPr>
          <w:rFonts w:ascii="宋体" w:hAnsi="宋体"/>
          <w:color w:val="000000" w:themeColor="text1"/>
          <w:highlight w:val="none"/>
          <w14:textFill>
            <w14:solidFill>
              <w14:schemeClr w14:val="tx1"/>
            </w14:solidFill>
          </w14:textFill>
        </w:rPr>
      </w:pPr>
      <w:r>
        <w:rPr>
          <w:rFonts w:ascii="宋体" w:hAnsi="宋体" w:cs="Calibri"/>
          <w:color w:val="000000" w:themeColor="text1"/>
          <w:highlight w:val="none"/>
          <w14:textFill>
            <w14:solidFill>
              <w14:schemeClr w14:val="tx1"/>
            </w14:solidFill>
          </w14:textFill>
        </w:rPr>
        <w:t xml:space="preserve"> </w:t>
      </w:r>
      <w:r/>
    </w:p>
    <w:p>
      <w:pPr>
        <w:ind w:firstLine="4216"/>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公司（单位）名称（加盖CA电子公章）：　        </w:t>
      </w:r>
      <w:r/>
    </w:p>
    <w:p>
      <w:pPr>
        <w:ind w:firstLine="4216"/>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日期：　     </w:t>
      </w:r>
      <w:r>
        <w:rPr>
          <w:rFonts w:hint="eastAsia" w:ascii="宋体" w:hAnsi="宋体" w:cs="宋体"/>
          <w:color w:val="000000" w:themeColor="text1"/>
          <w:highlight w:val="none"/>
          <w14:textFill>
            <w14:solidFill>
              <w14:schemeClr w14:val="tx1"/>
            </w14:solidFill>
          </w14:textFill>
        </w:rPr>
        <w:t xml:space="preserve">年　</w:t>
      </w:r>
      <w:r>
        <w:rPr>
          <w:rFonts w:hint="eastAsia" w:ascii="宋体" w:hAnsi="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　</w:t>
      </w:r>
      <w:r>
        <w:rPr>
          <w:rFonts w:hint="eastAsia" w:ascii="宋体" w:hAnsi="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w:t>
      </w:r>
      <w:r>
        <w:rPr>
          <w:rFonts w:hint="eastAsia" w:ascii="宋体" w:hAnsi="宋体"/>
          <w:color w:val="000000" w:themeColor="text1"/>
          <w:highlight w:val="none"/>
          <w14:textFill>
            <w14:solidFill>
              <w14:schemeClr w14:val="tx1"/>
            </w14:solidFill>
          </w14:textFill>
        </w:rPr>
        <w:t xml:space="preserve">    </w:t>
      </w:r>
      <w:r/>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注：</w:t>
      </w:r>
      <w:r/>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1.产品如有型号，请在“产品名称”栏一并填写。</w:t>
      </w:r>
      <w:r/>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2.生产厂名与厂址应与生产厂营业执照载明的相关信息保持一致。</w:t>
      </w:r>
      <w:r/>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3.该产品的中国境内生产的组件成本占比相关要求实施前，“规定比例”栏可不填，下同。</w:t>
      </w:r>
      <w:r/>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4.该产品的关键组件要求实施前，“关键组件”栏可不填，下同。</w:t>
      </w:r>
      <w:r/>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5.该产品的关键工序要求实施前，“关键工序”栏可不填，下同。</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20"/>
        <w:jc w:val="cente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bookmarkStart w:id="202" w:name="_Toc224202493"/>
      <w:r/>
      <w:bookmarkStart w:id="203" w:name="_Toc223617417"/>
      <w:r>
        <w:rPr>
          <w:rFonts w:hint="eastAsia" w:ascii="宋体" w:hAnsi="宋体"/>
          <w:b/>
          <w:bCs/>
          <w:color w:val="000000" w:themeColor="text1"/>
          <w:highlight w:val="none"/>
          <w14:textFill>
            <w14:solidFill>
              <w14:schemeClr w14:val="tx1"/>
            </w14:solidFill>
          </w14:textFill>
        </w:rPr>
        <w:t xml:space="preserve">2、成本比例声明函</w:t>
      </w:r>
      <w:bookmarkEnd w:id="202"/>
      <w:r/>
      <w:bookmarkEnd w:id="203"/>
      <w:r/>
      <w:r/>
    </w:p>
    <w:p>
      <w:pPr>
        <w:jc w:val="cente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（适用于采购项目或者采购包中含有多种产品时，不提供或者提供声明的比例达不到要求时，不享受价格扣除）</w:t>
      </w:r>
      <w:r/>
    </w:p>
    <w:p>
      <w:pPr>
        <w:ind w:firstLine="422"/>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themeColor="text1"/>
          <w:highlight w:val="none"/>
          <w14:textFill>
            <w14:solidFill>
              <w14:schemeClr w14:val="tx1"/>
            </w14:solidFill>
          </w14:textFill>
        </w:rPr>
        <w:t xml:space="preserve">符合本国产品标准的产品成本之和占</w:t>
      </w:r>
      <w:r>
        <w:rPr>
          <w:rFonts w:hint="eastAsia" w:ascii="宋体" w:hAnsi="宋体"/>
          <w:b/>
          <w:color w:val="000000" w:themeColor="text1"/>
          <w:highlight w:val="none"/>
          <w14:textFill>
            <w14:solidFill>
              <w14:schemeClr w14:val="tx1"/>
            </w14:solidFill>
          </w14:textFill>
        </w:rPr>
        <w:t xml:space="preserve">本公司（单位）</w:t>
      </w:r>
      <w:r>
        <w:rPr>
          <w:rFonts w:hint="eastAsia" w:ascii="宋体" w:hAnsi="宋体"/>
          <w:color w:val="000000" w:themeColor="text1"/>
          <w:highlight w:val="none"/>
          <w14:textFill>
            <w14:solidFill>
              <w14:schemeClr w14:val="tx1"/>
            </w14:solidFill>
          </w14:textFill>
        </w:rPr>
        <w:t xml:space="preserve">提供的全部产品成本之和的比例达到（</w:t>
      </w:r>
      <w:r>
        <w:rPr>
          <w:rFonts w:hint="eastAsia" w:ascii="宋体" w:hAnsi="宋体"/>
          <w:b/>
          <w:i/>
          <w:color w:val="000000" w:themeColor="text1"/>
          <w:highlight w:val="none"/>
          <w:u w:val="single"/>
          <w14:textFill>
            <w14:solidFill>
              <w14:schemeClr w14:val="tx1"/>
            </w14:solidFill>
          </w14:textFill>
        </w:rPr>
        <w:t xml:space="preserve">填写具体百分比</w:t>
      </w:r>
      <w:r>
        <w:rPr>
          <w:rFonts w:hint="eastAsia" w:ascii="宋体" w:hAnsi="宋体"/>
          <w:color w:val="000000" w:themeColor="text1"/>
          <w:highlight w:val="none"/>
          <w14:textFill>
            <w14:solidFill>
              <w14:schemeClr w14:val="tx1"/>
            </w14:solidFill>
          </w14:textFill>
        </w:rPr>
        <w:t xml:space="preserve">）。</w:t>
      </w:r>
      <w:r/>
    </w:p>
    <w:p>
      <w:pPr>
        <w:ind w:firstLine="422"/>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本公司（单位）对上述声明内容的真实性负责。如有虚假，愿承担相应法律责任。</w:t>
      </w:r>
      <w:r/>
    </w:p>
    <w:p>
      <w:pPr>
        <w:ind w:firstLine="4092"/>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公司（单位）名称（加盖CA电子公章）：            </w:t>
      </w:r>
      <w:r/>
    </w:p>
    <w:p>
      <w:pPr>
        <w:ind w:firstLine="4092"/>
        <w:spacing w:line="360" w:lineRule="auto"/>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日期：   年   月   日</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注：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22"/>
        <w:spacing w:line="360" w:lineRule="auto"/>
        <w:rPr>
          <w:rStyle w:val="1077"/>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p>
    <w:p>
      <w:pPr>
        <w:pStyle w:val="801"/>
        <w:ind w:firstLine="422"/>
        <w:spacing w:line="360"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政府采购节能产品政策</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1、根据</w:t>
      </w:r>
      <w:r>
        <w:rPr>
          <w:rFonts w:hint="eastAsia" w:ascii="宋体" w:hAnsi="宋体"/>
          <w:color w:val="000000" w:themeColor="text1"/>
          <w:highlight w:val="none"/>
          <w14:textFill>
            <w14:solidFill>
              <w14:schemeClr w14:val="tx1"/>
            </w14:solidFill>
          </w14:textFill>
        </w:rPr>
        <w:t xml:space="preserve">财政部、发展改革委、生态环境部、市场监管总局《关于调整优化节能产品、环境标志产品政府采购执行机制的通知》，投标标的如属于《节能产品政府采购品目清单》（最新一期）内的产品</w:t>
      </w:r>
      <w:r>
        <w:rPr>
          <w:rFonts w:hint="eastAsia" w:ascii="宋体" w:hAnsi="宋体"/>
          <w:b/>
          <w:bCs/>
          <w:color w:val="000000" w:themeColor="text1"/>
          <w:highlight w:val="none"/>
          <w14:textFill>
            <w14:solidFill>
              <w14:schemeClr w14:val="tx1"/>
            </w14:solidFill>
          </w14:textFill>
        </w:rPr>
        <w:t xml:space="preserve">（不含政府强制采购节能产品）</w:t>
      </w:r>
      <w:r>
        <w:rPr>
          <w:rFonts w:hint="eastAsia" w:ascii="宋体" w:hAnsi="宋体"/>
          <w:color w:val="000000" w:themeColor="text1"/>
          <w:highlight w:val="none"/>
          <w14:textFill>
            <w14:solidFill>
              <w14:schemeClr w14:val="tx1"/>
            </w14:solidFill>
          </w14:textFill>
        </w:rPr>
        <w:t xml:space="preserve">，投标人需提供国家确定的认证机构出具的、处于有效期之内的节能产品认证证书，并提供在投标文件中提供《</w:t>
      </w:r>
      <w:r>
        <w:rPr>
          <w:rFonts w:ascii="宋体" w:hAnsi="宋体"/>
          <w:color w:val="000000" w:themeColor="text1"/>
          <w:highlight w:val="none"/>
          <w14:textFill>
            <w14:solidFill>
              <w14:schemeClr w14:val="tx1"/>
            </w14:solidFill>
          </w14:textFill>
        </w:rPr>
        <w:t xml:space="preserve">节能产品</w:t>
      </w:r>
      <w:r>
        <w:rPr>
          <w:rFonts w:hint="eastAsia" w:ascii="宋体" w:hAnsi="宋体"/>
          <w:color w:val="000000" w:themeColor="text1"/>
          <w:highlight w:val="none"/>
          <w14:textFill>
            <w14:solidFill>
              <w14:schemeClr w14:val="tx1"/>
            </w14:solidFill>
          </w14:textFill>
        </w:rPr>
        <w:t xml:space="preserve">信息表》，如未按要求提供，将不得分。</w:t>
      </w:r>
      <w:r/>
    </w:p>
    <w:p>
      <w:pPr>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w:t>
      </w:r>
      <w:r>
        <w:rPr>
          <w:rFonts w:ascii="宋体" w:hAnsi="宋体"/>
          <w:bCs/>
          <w:color w:val="000000" w:themeColor="text1"/>
          <w:highlight w:val="none"/>
          <w14:textFill>
            <w14:solidFill>
              <w14:schemeClr w14:val="tx1"/>
            </w14:solidFill>
          </w14:textFill>
        </w:rPr>
        <w:t xml:space="preserve">、投标人必须保证使用</w:t>
      </w:r>
      <w:r>
        <w:rPr>
          <w:rFonts w:ascii="宋体" w:hAnsi="宋体"/>
          <w:color w:val="000000" w:themeColor="text1"/>
          <w:highlight w:val="none"/>
          <w14:textFill>
            <w14:solidFill>
              <w14:schemeClr w14:val="tx1"/>
            </w14:solidFill>
          </w14:textFill>
        </w:rPr>
        <w:t xml:space="preserve">节能</w:t>
      </w:r>
      <w:r>
        <w:rPr>
          <w:rFonts w:ascii="宋体" w:hAnsi="宋体"/>
          <w:bCs/>
          <w:color w:val="000000" w:themeColor="text1"/>
          <w:highlight w:val="none"/>
          <w14:textFill>
            <w14:solidFill>
              <w14:schemeClr w14:val="tx1"/>
            </w14:solidFill>
          </w14:textFill>
        </w:rPr>
        <w:t xml:space="preserve">产品参加投标的真实性，如出现虚假响应，一经查实，将按照采购文件具体规定进行处理。</w:t>
      </w:r>
      <w:r/>
    </w:p>
    <w:p>
      <w:pPr>
        <w:jc w:val="center"/>
        <w:spacing w:line="360" w:lineRule="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t xml:space="preserve">节能产品</w:t>
      </w:r>
      <w:r>
        <w:rPr>
          <w:rFonts w:hint="eastAsia" w:ascii="宋体" w:hAnsi="宋体"/>
          <w:b/>
          <w:color w:val="000000" w:themeColor="text1"/>
          <w:highlight w:val="none"/>
          <w14:textFill>
            <w14:solidFill>
              <w14:schemeClr w14:val="tx1"/>
            </w14:solidFill>
          </w14:textFill>
        </w:rPr>
        <w:t xml:space="preserve">信息表</w:t>
      </w:r>
      <w:r/>
    </w:p>
    <w:p>
      <w:pPr>
        <w:spacing w:line="360" w:lineRule="auto"/>
        <w:rPr>
          <w:rFonts w:ascii="宋体" w:hAnsi="宋体"/>
          <w:color w:val="000000" w:themeColor="text1"/>
          <w:highlight w:val="none"/>
          <w:u w:val="singl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投标人（</w:t>
      </w:r>
      <w:r>
        <w:rPr>
          <w:rFonts w:hint="eastAsia" w:ascii="宋体" w:hAnsi="宋体"/>
          <w:color w:val="000000" w:themeColor="text1"/>
          <w:highlight w:val="none"/>
          <w14:textFill>
            <w14:solidFill>
              <w14:schemeClr w14:val="tx1"/>
            </w14:solidFill>
          </w14:textFill>
        </w:rPr>
        <w:t xml:space="preserve">公章</w:t>
      </w:r>
      <w:r>
        <w:rPr>
          <w:rFonts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项目编号：</w:t>
      </w:r>
      <w:r>
        <w:rPr>
          <w:rFonts w:ascii="宋体" w:hAnsi="宋体"/>
          <w:color w:val="000000" w:themeColor="text1"/>
          <w:highlight w:val="none"/>
          <w:u w:val="single"/>
          <w14:textFill>
            <w14:solidFill>
              <w14:schemeClr w14:val="tx1"/>
            </w14:solidFill>
          </w14:textFill>
        </w:rPr>
        <w:t xml:space="preserve">               </w:t>
      </w:r>
      <w:r/>
    </w:p>
    <w:tbl>
      <w:tblPr>
        <w:tblStyle w:val="68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3"/>
        <w:gridCol w:w="1592"/>
        <w:gridCol w:w="485"/>
        <w:gridCol w:w="1385"/>
        <w:gridCol w:w="865"/>
        <w:gridCol w:w="2077"/>
        <w:gridCol w:w="1753"/>
      </w:tblGrid>
      <w:tr>
        <w:trPr>
          <w:jc w:val="center"/>
          <w:trHeight w:val="705"/>
        </w:trPr>
        <w:tc>
          <w:tcPr>
            <w:tcW w:w="323"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序号</w:t>
            </w:r>
            <w:r/>
          </w:p>
        </w:tc>
        <w:tc>
          <w:tcPr>
            <w:tcW w:w="913" w:type="pct"/>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在《节能产品政府采购品目清单》（最新一期）中归属的编码及名称</w:t>
            </w:r>
            <w:r/>
          </w:p>
        </w:tc>
        <w:tc>
          <w:tcPr>
            <w:tcW w:w="278"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产品</w:t>
            </w:r>
            <w:r>
              <w:rPr>
                <w:rFonts w:ascii="宋体" w:hAnsi="宋体"/>
                <w:color w:val="000000" w:themeColor="text1"/>
                <w:highlight w:val="none"/>
                <w14:textFill>
                  <w14:solidFill>
                    <w14:schemeClr w14:val="tx1"/>
                  </w14:solidFill>
                </w14:textFill>
              </w:rPr>
              <w:t xml:space="preserve">名称</w:t>
            </w:r>
            <w:r/>
          </w:p>
        </w:tc>
        <w:tc>
          <w:tcPr>
            <w:tcW w:w="794"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型号和规格</w:t>
            </w:r>
            <w:r/>
          </w:p>
        </w:tc>
        <w:tc>
          <w:tcPr>
            <w:tcW w:w="496"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数量</w:t>
            </w:r>
            <w:r/>
          </w:p>
        </w:tc>
        <w:tc>
          <w:tcPr>
            <w:tcW w:w="1191" w:type="pct"/>
            <w:vAlign w:val="center"/>
            <w:textDirection w:val="lrTb"/>
            <w:noWrap w:val="false"/>
          </w:tcPr>
          <w:p>
            <w:pPr>
              <w:jc w:val="center"/>
              <w:spacing w:before="12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原产地和</w:t>
            </w:r>
            <w:r/>
          </w:p>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制造商名称</w:t>
            </w:r>
            <w:r/>
          </w:p>
        </w:tc>
        <w:tc>
          <w:tcPr>
            <w:tcW w:w="1005"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节能产品认证证书-</w:t>
            </w:r>
            <w:r>
              <w:rPr>
                <w:rFonts w:ascii="宋体" w:hAnsi="宋体"/>
                <w:color w:val="000000" w:themeColor="text1"/>
                <w:highlight w:val="none"/>
                <w14:textFill>
                  <w14:solidFill>
                    <w14:schemeClr w14:val="tx1"/>
                  </w14:solidFill>
                </w14:textFill>
              </w:rPr>
              <w:t xml:space="preserve">证书编号</w:t>
            </w:r>
            <w:r/>
          </w:p>
        </w:tc>
      </w:tr>
      <w:tr>
        <w:trPr>
          <w:jc w:val="center"/>
          <w:trHeight w:val="705"/>
        </w:trPr>
        <w:tc>
          <w:tcPr>
            <w:tcW w:w="323"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913" w:type="pct"/>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78"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94"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496"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91"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05"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705"/>
        </w:trPr>
        <w:tc>
          <w:tcPr>
            <w:tcW w:w="323"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913" w:type="pct"/>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78"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94"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496"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91"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05"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20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授权代表</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签字</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u w:val="single"/>
          <w14:textFill>
            <w14:solidFill>
              <w14:schemeClr w14:val="tx1"/>
            </w14:solidFill>
          </w14:textFill>
        </w:rPr>
        <w:t xml:space="preserve">               </w:t>
      </w:r>
      <w:r/>
    </w:p>
    <w:p>
      <w:pPr>
        <w:ind w:firstLine="420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日期：</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年</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月</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日</w:t>
      </w:r>
      <w:r/>
    </w:p>
    <w:p>
      <w:pPr>
        <w:ind w:firstLine="482"/>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82"/>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01"/>
        <w:ind w:firstLine="422"/>
        <w:spacing w:line="360" w:lineRule="auto"/>
        <w:rPr>
          <w:b/>
          <w:bCs/>
          <w:color w:val="000000" w:themeColor="text1"/>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bookmarkStart w:id="204" w:name="_Toc227595869"/>
      <w:r/>
      <w:bookmarkStart w:id="205" w:name="_Toc225428860"/>
      <w:r>
        <w:rPr>
          <w:rFonts w:hint="eastAsia"/>
          <w:b/>
          <w:bCs/>
          <w:color w:val="000000" w:themeColor="text1"/>
          <w:szCs w:val="21"/>
          <w:highlight w:val="none"/>
          <w14:textFill>
            <w14:solidFill>
              <w14:schemeClr w14:val="tx1"/>
            </w14:solidFill>
          </w14:textFill>
        </w:rPr>
        <w:t xml:space="preserve">政府采购环境标志产品政策</w:t>
      </w:r>
      <w:bookmarkEnd w:id="204"/>
      <w:r/>
      <w:bookmarkEnd w:id="205"/>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根据财政部、发展改革委、生态环境部、市场监管总局《关于调整优化节能产品、环境标志产品政府采购执行机制的通知》，投标标的如属于《环境标志产品政府采购品目清单》（最新一期）内的产品，投标人需提供国家确定的认证机构出具的、处于有效期之内的环境标志产品认证证书，并提供在投标文件中提供《环境标志产品信息表》，如未按要求提供，将不得分。</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rPr>
          <w:rFonts w:ascii="宋体" w:hAnsi="宋体"/>
          <w:color w:val="000000" w:themeColor="text1"/>
          <w:highlight w:val="none"/>
          <w14:textFill>
            <w14:solidFill>
              <w14:schemeClr w14:val="tx1"/>
            </w14:solidFill>
          </w14:textFill>
        </w:rPr>
        <w:t xml:space="preserve">、投标人必须保证使用环境标志产品参加投标的真实性，如出现虚假响应，一经查实，将按照采购文件具体规定进行处理。</w:t>
      </w:r>
      <w:r/>
    </w:p>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环境标志产品信息表</w:t>
      </w:r>
      <w:r/>
    </w:p>
    <w:p>
      <w:pPr>
        <w:spacing w:line="360" w:lineRule="auto"/>
        <w:rPr>
          <w:rFonts w:ascii="宋体" w:hAnsi="宋体"/>
          <w:color w:val="000000" w:themeColor="text1"/>
          <w:highlight w:val="none"/>
          <w:u w:val="singl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投标人（</w:t>
      </w:r>
      <w:r>
        <w:rPr>
          <w:rFonts w:hint="eastAsia" w:ascii="宋体" w:hAnsi="宋体"/>
          <w:color w:val="000000" w:themeColor="text1"/>
          <w:highlight w:val="none"/>
          <w14:textFill>
            <w14:solidFill>
              <w14:schemeClr w14:val="tx1"/>
            </w14:solidFill>
          </w14:textFill>
        </w:rPr>
        <w:t xml:space="preserve">公章</w:t>
      </w:r>
      <w:r>
        <w:rPr>
          <w:rFonts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项目编号：</w:t>
      </w:r>
      <w:r>
        <w:rPr>
          <w:rFonts w:ascii="宋体" w:hAnsi="宋体"/>
          <w:color w:val="000000" w:themeColor="text1"/>
          <w:highlight w:val="none"/>
          <w:u w:val="single"/>
          <w14:textFill>
            <w14:solidFill>
              <w14:schemeClr w14:val="tx1"/>
            </w14:solidFill>
          </w14:textFill>
        </w:rPr>
        <w:t xml:space="preserve">               </w:t>
      </w:r>
      <w:r/>
    </w:p>
    <w:tbl>
      <w:tblPr>
        <w:tblStyle w:val="68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1"/>
        <w:gridCol w:w="1437"/>
        <w:gridCol w:w="642"/>
        <w:gridCol w:w="1385"/>
        <w:gridCol w:w="865"/>
        <w:gridCol w:w="2077"/>
        <w:gridCol w:w="1753"/>
      </w:tblGrid>
      <w:tr>
        <w:trPr>
          <w:jc w:val="center"/>
          <w:trHeight w:val="705"/>
        </w:trPr>
        <w:tc>
          <w:tcPr>
            <w:tcW w:w="322"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序号</w:t>
            </w:r>
            <w:r/>
          </w:p>
        </w:tc>
        <w:tc>
          <w:tcPr>
            <w:tcW w:w="824" w:type="pct"/>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在《环境标志产品政府采购品目清单》（最新一期）中归属的编码及名称</w:t>
            </w:r>
            <w:r/>
          </w:p>
        </w:tc>
        <w:tc>
          <w:tcPr>
            <w:tcW w:w="368"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产品</w:t>
            </w:r>
            <w:r>
              <w:rPr>
                <w:rFonts w:ascii="宋体" w:hAnsi="宋体"/>
                <w:color w:val="000000" w:themeColor="text1"/>
                <w:highlight w:val="none"/>
                <w14:textFill>
                  <w14:solidFill>
                    <w14:schemeClr w14:val="tx1"/>
                  </w14:solidFill>
                </w14:textFill>
              </w:rPr>
              <w:t xml:space="preserve">名称</w:t>
            </w:r>
            <w:r/>
          </w:p>
        </w:tc>
        <w:tc>
          <w:tcPr>
            <w:tcW w:w="794"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型号和规格</w:t>
            </w:r>
            <w:r/>
          </w:p>
        </w:tc>
        <w:tc>
          <w:tcPr>
            <w:tcW w:w="496"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数量</w:t>
            </w:r>
            <w:r/>
          </w:p>
        </w:tc>
        <w:tc>
          <w:tcPr>
            <w:tcW w:w="1191" w:type="pct"/>
            <w:vAlign w:val="center"/>
            <w:textDirection w:val="lrTb"/>
            <w:noWrap w:val="false"/>
          </w:tcPr>
          <w:p>
            <w:pPr>
              <w:jc w:val="center"/>
              <w:spacing w:before="12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原产地和</w:t>
            </w:r>
            <w:r/>
          </w:p>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制造商名称</w:t>
            </w:r>
            <w:r/>
          </w:p>
        </w:tc>
        <w:tc>
          <w:tcPr>
            <w:tcW w:w="1005"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环境标志产品认证证书-</w:t>
            </w:r>
            <w:r>
              <w:rPr>
                <w:rFonts w:ascii="宋体" w:hAnsi="宋体"/>
                <w:color w:val="000000" w:themeColor="text1"/>
                <w:highlight w:val="none"/>
                <w14:textFill>
                  <w14:solidFill>
                    <w14:schemeClr w14:val="tx1"/>
                  </w14:solidFill>
                </w14:textFill>
              </w:rPr>
              <w:t xml:space="preserve">证书编号</w:t>
            </w:r>
            <w:r/>
          </w:p>
        </w:tc>
      </w:tr>
      <w:tr>
        <w:trPr>
          <w:jc w:val="center"/>
          <w:trHeight w:val="705"/>
        </w:trPr>
        <w:tc>
          <w:tcPr>
            <w:tcW w:w="322"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24" w:type="pct"/>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68"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94"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496"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91"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05"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705"/>
        </w:trPr>
        <w:tc>
          <w:tcPr>
            <w:tcW w:w="322"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24" w:type="pct"/>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68"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94"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496"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91"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05"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ind w:firstLine="420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授权代表</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签字</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u w:val="single"/>
          <w14:textFill>
            <w14:solidFill>
              <w14:schemeClr w14:val="tx1"/>
            </w14:solidFill>
          </w14:textFill>
        </w:rPr>
        <w:t xml:space="preserve">               </w:t>
      </w:r>
      <w:r/>
    </w:p>
    <w:p>
      <w:pPr>
        <w:ind w:firstLine="420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日期：</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年</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月</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日</w:t>
      </w:r>
      <w:r/>
    </w:p>
    <w:p>
      <w:pPr>
        <w:ind w:firstLine="482"/>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721"/>
        <w:ind w:firstLine="482"/>
        <w:spacing w:before="0"/>
        <w:rPr>
          <w:rFonts w:ascii="Microsoft New Tai Lue" w:hAnsi="Microsoft New Tai Lue" w:cs="Microsoft New Tai Lue"/>
          <w:highlight w:val="none"/>
        </w:rPr>
      </w:pPr>
      <w:r>
        <w:rPr>
          <w:rFonts w:ascii="Microsoft New Tai Lue" w:hAnsi="Microsoft New Tai Lue" w:cs="Microsoft New Tai Lue"/>
          <w:highlight w:val="none"/>
        </w:rPr>
      </w:r>
      <w:r/>
    </w:p>
    <w:p>
      <w:pPr>
        <w:rPr>
          <w:highlight w:val="none"/>
        </w:rPr>
      </w:pPr>
      <w:r>
        <w:rPr>
          <w:highlight w:val="none"/>
        </w:rPr>
      </w:r>
      <w:r/>
    </w:p>
    <w:p>
      <w:pPr>
        <w:spacing w:before="100" w:after="100" w:line="360" w:lineRule="auto"/>
        <w:rPr>
          <w:rFonts w:ascii="Microsoft New Tai Lue" w:hAnsi="Microsoft New Tai Lue" w:cs="Microsoft New Tai Lue"/>
          <w:highlight w:val="none"/>
        </w:rPr>
      </w:pPr>
      <w:r>
        <w:rPr>
          <w:rFonts w:ascii="Microsoft New Tai Lue" w:hAnsi="Microsoft New Tai Lue" w:cs="Microsoft New Tai Lue"/>
          <w:highlight w:val="none"/>
        </w:rPr>
      </w:r>
      <w:r/>
    </w:p>
    <w:sectPr>
      <w:footerReference w:type="default" r:id="rId10"/>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_x000B__x000C_">
    <w:panose1 w:val="020B0503020202020204"/>
  </w:font>
  <w:font w:name="华文中宋">
    <w:panose1 w:val="02010600040101010101"/>
  </w:font>
  <w:font w:name="Microsoft New Tai Lue">
    <w:panose1 w:val="020B0502040204020203"/>
  </w:font>
  <w:font w:name="??_GB2312">
    <w:panose1 w:val="020B0503020202020204"/>
  </w:font>
  <w:font w:name="Wingdings">
    <w:panose1 w:val="05000000000000000000"/>
  </w:font>
  <w:font w:name="新宋体">
    <w:panose1 w:val="02010609030101010101"/>
  </w:font>
  <w:font w:name="Symbol">
    <w:panose1 w:val="05050102010706020507"/>
  </w:font>
  <w:font w:name="MingLiU">
    <w:panose1 w:val="02020500000000000000"/>
  </w:font>
  <w:font w:name="Arial Unicode MS">
    <w:panose1 w:val="020B0604020202020204"/>
  </w:font>
  <w:font w:name="Garamond">
    <w:panose1 w:val="02020404030301010803"/>
  </w:font>
  <w:font w:name="TimesNewRomanPSMT">
    <w:panose1 w:val="02020603050405020304"/>
  </w:font>
  <w:font w:name="Times">
    <w:panose1 w:val="02020603050405020304"/>
  </w:font>
  <w:font w:name="Agilent TT CondLight">
    <w:panose1 w:val="020B0503020202020204"/>
  </w:font>
  <w:font w:name="华文细黑">
    <w:panose1 w:val="02010600040101010101"/>
  </w:font>
  <w:font w:name="方正书宋简体">
    <w:panose1 w:val="020B0503020202020204"/>
  </w:font>
  <w:font w:name="KNLe">
    <w:panose1 w:val="020B0503020202020204"/>
  </w:font>
  <w:font w:name="Ari">
    <w:panose1 w:val="020B0606020202030204"/>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MS Mincho">
    <w:panose1 w:val="02020603050405090304"/>
  </w:font>
  <w:font w:name="Book Antiqua">
    <w:panose1 w:val="02040602050305030304"/>
  </w:font>
  <w:font w:name="Tahoma">
    <w:panose1 w:val="020B0604030504040204"/>
  </w:font>
  <w:font w:name="方正仿宋简体">
    <w:panose1 w:val="020B0503020202020204"/>
  </w:font>
  <w:font w:name="方正仿宋_GBK">
    <w:panose1 w:val="020B0503020202020204"/>
  </w:font>
  <w:font w:name="Gulim">
    <w:panose1 w:val="020B0600000101010101"/>
  </w:font>
  <w:font w:name="Cambria">
    <w:panose1 w:val="02040503050406030204"/>
  </w:font>
  <w:font w:name="仿宋">
    <w:panose1 w:val="02010609060101010101"/>
  </w:font>
  <w:font w:name="等线 Light">
    <w:panose1 w:val="02010600030101010101"/>
  </w:font>
  <w:font w:name="等线">
    <w:panose1 w:val="02010600030101010101"/>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center"/>
    </w:pPr>
    <w:r/>
    <w:r/>
  </w:p>
  <w:p>
    <w:pPr>
      <w:pStyle w:val="7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sdt>
                          <w:sdtPr>
                            <w15:appearance w15:val="boundingBox"/>
                            <w:id w:val="147472080"/>
                            <w:rPr/>
                          </w:sdtPr>
                          <w:sdtContent>
                            <w:p>
                              <w:pPr>
                                <w:pStyle w:val="708"/>
                                <w:jc w:val="center"/>
                              </w:pPr>
                              <w:r>
                                <w:fldChar w:fldCharType="begin"/>
                              </w:r>
                              <w:r>
                                <w:instrText xml:space="preserve">PAGE   \* MERGEFORMAT</w:instrText>
                              </w:r>
                              <w:r>
                                <w:fldChar w:fldCharType="separate"/>
                              </w:r>
                              <w:r>
                                <w:rPr>
                                  <w:lang w:val="zh-CN"/>
                                </w:rPr>
                                <w:t xml:space="preserve">43</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2080"/>
                      <w:rPr/>
                    </w:sdtPr>
                    <w:sdtContent>
                      <w:p>
                        <w:pPr>
                          <w:pStyle w:val="708"/>
                          <w:jc w:val="center"/>
                        </w:pPr>
                        <w:r>
                          <w:fldChar w:fldCharType="begin"/>
                        </w:r>
                        <w:r>
                          <w:instrText xml:space="preserve">PAGE   \* MERGEFORMAT</w:instrText>
                        </w:r>
                        <w:r>
                          <w:fldChar w:fldCharType="separate"/>
                        </w:r>
                        <w:r>
                          <w:rPr>
                            <w:lang w:val="zh-CN"/>
                          </w:rPr>
                          <w:t xml:space="preserve">43</w:t>
                        </w:r>
                        <w:r>
                          <w:rPr>
                            <w:lang w:val="zh-CN"/>
                          </w:rPr>
                          <w:fldChar w:fldCharType="end"/>
                        </w:r>
                        <w:r/>
                      </w:p>
                    </w:sdtContent>
                  </w:sdt>
                  <w:p>
                    <w:r/>
                    <w:r/>
                  </w:p>
                </w:txbxContent>
              </v:textbox>
            </v:shape>
          </w:pict>
        </mc:Fallback>
      </mc:AlternateContent>
    </w:r>
    <w:r/>
  </w:p>
  <w:p>
    <w:pPr>
      <w:pStyle w:val="7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ind w:left="-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none"/>
      <w:pStyle w:val="922"/>
      <w:isLgl w:val="false"/>
      <w:suff w:val="tab"/>
      <w:lvlText w:val="%1注"/>
      <w:lvlJc w:val="left"/>
      <w:pPr>
        <w:ind w:left="900" w:hanging="500"/>
        <w:tabs>
          <w:tab w:val="left" w:pos="900" w:leader="none"/>
        </w:tabs>
      </w:pPr>
      <w:rPr>
        <w:rFonts w:hint="eastAsia" w:ascii="宋体" w:hAnsi="Times New Roman" w:eastAsia="宋体" w:cs="Times New Roman"/>
        <w:b w:val="0"/>
        <w:bCs w:val="0"/>
        <w:i w:val="0"/>
        <w:iCs w:val="0"/>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none"/>
      <w:isLgl w:val="false"/>
      <w:suff w:val="nothing"/>
      <w:lvlText w:val="%1"/>
      <w:lvlJc w:val="left"/>
      <w:pPr/>
      <w:rPr>
        <w:rFonts w:hint="default" w:ascii="Times New Roman" w:hAnsi="Times New Roman" w:cs="Times New Roman"/>
        <w:b/>
        <w:bCs/>
        <w:i w:val="0"/>
        <w:iCs w:val="0"/>
        <w:sz w:val="21"/>
        <w:szCs w:val="21"/>
      </w:rPr>
    </w:lvl>
    <w:lvl w:ilvl="1">
      <w:start w:val="1"/>
      <w:numFmt w:val="decimal"/>
      <w:pStyle w:val="920"/>
      <w:isLgl w:val="false"/>
      <w:suff w:val="nothing"/>
      <w:lvlText w:val="%1%2　"/>
      <w:lvlJc w:val="left"/>
      <w:pPr/>
      <w:rPr>
        <w:rFonts w:hint="eastAsia" w:ascii="??_GB2312" w:hAnsi="Times New Roman" w:eastAsia="Times New Roman" w:cs="Times New Roman"/>
        <w:b w:val="0"/>
        <w:bCs w:val="0"/>
        <w:i w:val="0"/>
        <w:iCs w:val="0"/>
        <w:sz w:val="28"/>
        <w:szCs w:val="28"/>
      </w:rPr>
    </w:lvl>
    <w:lvl w:ilvl="2">
      <w:start w:val="1"/>
      <w:numFmt w:val="decimal"/>
      <w:isLgl w:val="false"/>
      <w:suff w:val="nothing"/>
      <w:lvlText w:val="%1%2.%3　"/>
      <w:lvlJc w:val="left"/>
      <w:pPr>
        <w:ind w:left="710"/>
      </w:pPr>
      <w:rPr>
        <w:rFonts w:hint="eastAsia" w:ascii="??_GB2312" w:hAnsi="Times New Roman" w:eastAsia="Times New Roman" w:cs="Times New Roman"/>
        <w:b w:val="0"/>
        <w:bCs w:val="0"/>
        <w:i w:val="0"/>
        <w:iCs w:val="0"/>
        <w:sz w:val="28"/>
        <w:szCs w:val="28"/>
      </w:rPr>
    </w:lvl>
    <w:lvl w:ilvl="3">
      <w:start w:val="1"/>
      <w:numFmt w:val="decimal"/>
      <w:isLgl w:val="false"/>
      <w:suff w:val="nothing"/>
      <w:lvlText w:val="%1%2.3.%4　"/>
      <w:lvlJc w:val="left"/>
      <w:pPr>
        <w:ind w:left="993"/>
      </w:pPr>
      <w:rPr>
        <w:rFonts w:hint="eastAsia" w:ascii="??_GB2312" w:hAnsi="Times New Roman" w:eastAsia="Times New Roman" w:cs="Times New Roman"/>
        <w:b w:val="0"/>
        <w:bCs w:val="0"/>
        <w:i w:val="0"/>
        <w:iCs w:val="0"/>
        <w:sz w:val="28"/>
        <w:szCs w:val="28"/>
      </w:rPr>
    </w:lvl>
    <w:lvl w:ilvl="4">
      <w:start w:val="1"/>
      <w:numFmt w:val="decimal"/>
      <w:isLgl w:val="false"/>
      <w:suff w:val="nothing"/>
      <w:lvlText w:val="%1%2.%3.%4.%5　"/>
      <w:lvlJc w:val="left"/>
      <w:pPr/>
      <w:rPr>
        <w:rFonts w:hint="eastAsia" w:ascii="黑体" w:hAnsi="Times New Roman" w:eastAsia="黑体" w:cs="Times New Roman"/>
        <w:b w:val="0"/>
        <w:bCs w:val="0"/>
        <w:i w:val="0"/>
        <w:iCs w:val="0"/>
        <w:sz w:val="21"/>
        <w:szCs w:val="21"/>
      </w:rPr>
    </w:lvl>
    <w:lvl w:ilvl="5">
      <w:start w:val="1"/>
      <w:numFmt w:val="decimal"/>
      <w:isLgl w:val="false"/>
      <w:suff w:val="nothing"/>
      <w:lvlText w:val="%1%2.%3.%4.%5.%6　"/>
      <w:lvlJc w:val="left"/>
      <w:pPr/>
      <w:rPr>
        <w:rFonts w:hint="eastAsia" w:ascii="黑体" w:hAnsi="Times New Roman" w:eastAsia="黑体" w:cs="Times New Roman"/>
        <w:b w:val="0"/>
        <w:bCs w:val="0"/>
        <w:i w:val="0"/>
        <w:iCs w:val="0"/>
        <w:sz w:val="21"/>
        <w:szCs w:val="21"/>
      </w:rPr>
    </w:lvl>
    <w:lvl w:ilvl="6">
      <w:start w:val="1"/>
      <w:numFmt w:val="decimal"/>
      <w:isLgl w:val="false"/>
      <w:suff w:val="nothing"/>
      <w:lvlText w:val="%1%2.%3.%4.%5.%6.%7　"/>
      <w:lvlJc w:val="left"/>
      <w:pPr>
        <w:ind w:left="4200"/>
      </w:pPr>
      <w:rPr>
        <w:rFonts w:hint="eastAsia" w:ascii="黑体" w:hAnsi="Times New Roman" w:eastAsia="黑体" w:cs="Times New Roman"/>
        <w:b w:val="0"/>
        <w:bCs w:val="0"/>
        <w:i w:val="0"/>
        <w:iCs w:val="0"/>
        <w:sz w:val="21"/>
        <w:szCs w:val="21"/>
      </w:rPr>
    </w:lvl>
    <w:lvl w:ilvl="7">
      <w:start w:val="1"/>
      <w:numFmt w:val="decimal"/>
      <w:isLgl w:val="false"/>
      <w:suff w:val="tab"/>
      <w:lvlText w:val="%1.%2.%3.%4.%5.%6.%7.%8"/>
      <w:lvlJc w:val="left"/>
      <w:pPr>
        <w:ind w:left="3969" w:hanging="1418"/>
        <w:tabs>
          <w:tab w:val="left" w:pos="4351" w:leader="none"/>
        </w:tabs>
      </w:pPr>
      <w:rPr>
        <w:rFonts w:hint="eastAsia" w:cs="Times New Roman"/>
      </w:rPr>
    </w:lvl>
    <w:lvl w:ilvl="8">
      <w:start w:val="1"/>
      <w:numFmt w:val="decimal"/>
      <w:isLgl w:val="false"/>
      <w:suff w:val="tab"/>
      <w:lvlText w:val="%1.%2.%3.%4.%5.%6.%7.%8.%9"/>
      <w:lvlJc w:val="left"/>
      <w:pPr>
        <w:ind w:left="4677" w:hanging="1700"/>
        <w:tabs>
          <w:tab w:val="left" w:pos="4777" w:leader="none"/>
        </w:tabs>
      </w:pPr>
      <w:rPr>
        <w:rFonts w:hint="eastAsia" w:cs="Times New Roma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864"/>
      <w:isLgl w:val="false"/>
      <w:suff w:val="tab"/>
      <w:lvlText w:val="%1"/>
      <w:lvlJc w:val="left"/>
      <w:pPr>
        <w:ind w:left="425" w:hanging="425"/>
      </w:pPr>
      <w:rPr>
        <w:rFonts w:hint="eastAsia" w:ascii="Arial Unicode MS" w:hAnsi="Arial Unicode MS" w:eastAsia="微软雅黑" w:cs="Times New Roman"/>
        <w:b/>
        <w:i w:val="0"/>
      </w:rPr>
    </w:lvl>
    <w:lvl w:ilvl="1">
      <w:start w:val="1"/>
      <w:numFmt w:val="decimal"/>
      <w:pStyle w:val="881"/>
      <w:isLgl/>
      <w:suff w:val="tab"/>
      <w:lvlText w:val="%1.%2"/>
      <w:lvlJc w:val="left"/>
      <w:pPr>
        <w:ind w:left="425" w:hanging="425"/>
      </w:pPr>
      <w:rPr>
        <w:rFonts w:hint="eastAsia" w:ascii="Arial Unicode MS" w:hAnsi="Arial Unicode MS" w:eastAsia="微软雅黑" w:cs="Times New Roman"/>
        <w:b/>
        <w:i w:val="0"/>
      </w:rPr>
    </w:lvl>
    <w:lvl w:ilvl="2">
      <w:start w:val="1"/>
      <w:numFmt w:val="decimal"/>
      <w:pStyle w:val="894"/>
      <w:isLgl/>
      <w:suff w:val="tab"/>
      <w:lvlText w:val="%1.%2.%3"/>
      <w:lvlJc w:val="left"/>
      <w:pPr>
        <w:ind w:left="425" w:hanging="425"/>
      </w:pPr>
      <w:rPr>
        <w:rFonts w:hint="eastAsia" w:ascii="Arial Unicode MS" w:hAnsi="Arial Unicode MS" w:eastAsia="微软雅黑" w:cs="Times New Roman"/>
        <w:b/>
        <w:i w:val="0"/>
      </w:rPr>
    </w:lvl>
    <w:lvl w:ilvl="3">
      <w:start w:val="1"/>
      <w:numFmt w:val="decimal"/>
      <w:isLgl/>
      <w:suff w:val="tab"/>
      <w:lvlText w:val="%1.%2.%3.%4"/>
      <w:lvlJc w:val="left"/>
      <w:pPr>
        <w:ind w:left="425" w:hanging="425"/>
      </w:pPr>
      <w:rPr>
        <w:rFonts w:hint="eastAsia" w:ascii="Arial Unicode MS" w:hAnsi="Arial Unicode MS" w:eastAsia="微软雅黑" w:cs="Times New Roman"/>
        <w:b/>
        <w:i w:val="0"/>
      </w:rPr>
    </w:lvl>
    <w:lvl w:ilvl="4">
      <w:start w:val="1"/>
      <w:numFmt w:val="decimal"/>
      <w:isLgl/>
      <w:suff w:val="tab"/>
      <w:lvlText w:val="%1.%2.%3.%4.%5"/>
      <w:lvlJc w:val="left"/>
      <w:pPr>
        <w:ind w:left="425" w:hanging="425"/>
      </w:pPr>
      <w:rPr>
        <w:rFonts w:hint="eastAsia" w:ascii="Arial Unicode MS" w:hAnsi="Arial Unicode MS" w:eastAsia="微软雅黑" w:cs="Times New Roman"/>
        <w:b/>
        <w:i w:val="0"/>
      </w:rPr>
    </w:lvl>
    <w:lvl w:ilvl="5">
      <w:start w:val="1"/>
      <w:numFmt w:val="none"/>
      <w:isLgl w:val="false"/>
      <w:suff w:val="tab"/>
      <w:lvlText w:val="%1.%2.%3.%4.%5.%6"/>
      <w:lvlJc w:val="left"/>
      <w:pPr>
        <w:ind w:left="425" w:hanging="425"/>
      </w:pPr>
      <w:rPr>
        <w:rFonts w:hint="eastAsia" w:cs="Times New Roman"/>
      </w:rPr>
    </w:lvl>
    <w:lvl w:ilvl="6">
      <w:start w:val="1"/>
      <w:numFmt w:val="decimal"/>
      <w:isLgl w:val="false"/>
      <w:suff w:val="tab"/>
      <w:lvlText w:val="%1.%2.%3.%4.%5.%6.%7"/>
      <w:lvlJc w:val="left"/>
      <w:pPr>
        <w:ind w:left="425" w:hanging="425"/>
      </w:pPr>
      <w:rPr>
        <w:rFonts w:hint="eastAsia" w:cs="Times New Roman"/>
      </w:rPr>
    </w:lvl>
    <w:lvl w:ilvl="7">
      <w:start w:val="1"/>
      <w:numFmt w:val="decimal"/>
      <w:isLgl w:val="false"/>
      <w:suff w:val="tab"/>
      <w:lvlText w:val="%1.%2.%3.%4.%5.%6.%7.%8"/>
      <w:lvlJc w:val="left"/>
      <w:pPr>
        <w:ind w:left="425" w:hanging="425"/>
      </w:pPr>
      <w:rPr>
        <w:rFonts w:hint="eastAsia" w:cs="Times New Roman"/>
      </w:rPr>
    </w:lvl>
    <w:lvl w:ilvl="8">
      <w:start w:val="1"/>
      <w:numFmt w:val="decimal"/>
      <w:isLgl w:val="false"/>
      <w:suff w:val="tab"/>
      <w:lvlText w:val="%1.%2.%3.%4.%5.%6.%7.%8.%9"/>
      <w:lvlJc w:val="left"/>
      <w:pPr>
        <w:ind w:left="425" w:hanging="425"/>
      </w:pPr>
      <w:rPr>
        <w:rFonts w:hint="eastAsia" w:cs="Times New Roman"/>
      </w:rPr>
    </w:lvl>
  </w:abstractNum>
  <w:abstractNum w:abstractNumId="5">
    <w:multiLevelType w:val="hybridMultilevel"/>
    <w:lvl w:ilvl="0">
      <w:start w:val="3"/>
      <w:numFmt w:val="decimal"/>
      <w:isLgl w:val="false"/>
      <w:suff w:val="tab"/>
      <w:lvlText w:val="%1"/>
      <w:lvlJc w:val="left"/>
      <w:pPr>
        <w:ind w:left="360" w:hanging="360"/>
      </w:pPr>
      <w:rPr>
        <w:rFonts w:hint="default" w:cs="Times New Roman"/>
      </w:rPr>
    </w:lvl>
    <w:lvl w:ilvl="1">
      <w:start w:val="1"/>
      <w:numFmt w:val="decimal"/>
      <w:isLgl w:val="false"/>
      <w:suff w:val="tab"/>
      <w:lvlText w:val="%1.%2"/>
      <w:lvlJc w:val="left"/>
      <w:pPr>
        <w:ind w:left="644" w:hanging="360"/>
      </w:pPr>
      <w:rPr>
        <w:rFonts w:hint="default" w:ascii="Times New Roman" w:hAnsi="Times New Roman" w:cs="Times New Roman"/>
        <w:b w:val="0"/>
      </w:rPr>
    </w:lvl>
    <w:lvl w:ilvl="2">
      <w:start w:val="1"/>
      <w:numFmt w:val="decimal"/>
      <w:pStyle w:val="912"/>
      <w:isLgl w:val="false"/>
      <w:suff w:val="tab"/>
      <w:lvlText w:val="%1.%2.%3"/>
      <w:lvlJc w:val="left"/>
      <w:pPr>
        <w:ind w:left="720" w:hanging="720"/>
      </w:pPr>
      <w:rPr>
        <w:rFonts w:hint="default" w:cs="Times New Roman"/>
        <w:b w:val="0"/>
      </w:rPr>
    </w:lvl>
    <w:lvl w:ilvl="3">
      <w:start w:val="1"/>
      <w:numFmt w:val="decimal"/>
      <w:isLgl w:val="false"/>
      <w:suff w:val="tab"/>
      <w:lvlText w:val="%1.%2.%3.%4"/>
      <w:lvlJc w:val="left"/>
      <w:pPr>
        <w:ind w:left="720" w:hanging="720"/>
      </w:pPr>
      <w:rPr>
        <w:rFonts w:hint="default" w:cs="Times New Roman"/>
      </w:rPr>
    </w:lvl>
    <w:lvl w:ilvl="4">
      <w:start w:val="1"/>
      <w:numFmt w:val="decimal"/>
      <w:isLgl w:val="false"/>
      <w:suff w:val="tab"/>
      <w:lvlText w:val="%1.%2.%3.%4.%5"/>
      <w:lvlJc w:val="left"/>
      <w:pPr>
        <w:ind w:left="1080" w:hanging="1080"/>
      </w:pPr>
      <w:rPr>
        <w:rFonts w:hint="default" w:cs="Times New Roman"/>
      </w:rPr>
    </w:lvl>
    <w:lvl w:ilvl="5">
      <w:start w:val="1"/>
      <w:numFmt w:val="decimal"/>
      <w:isLgl w:val="false"/>
      <w:suff w:val="tab"/>
      <w:lvlText w:val="%1.%2.%3.%4.%5.%6"/>
      <w:lvlJc w:val="left"/>
      <w:pPr>
        <w:ind w:left="1080" w:hanging="1080"/>
      </w:pPr>
      <w:rPr>
        <w:rFonts w:hint="default" w:cs="Times New Roman"/>
      </w:rPr>
    </w:lvl>
    <w:lvl w:ilvl="6">
      <w:start w:val="1"/>
      <w:numFmt w:val="decimal"/>
      <w:isLgl w:val="false"/>
      <w:suff w:val="tab"/>
      <w:lvlText w:val="%1.%2.%3.%4.%5.%6.%7"/>
      <w:lvlJc w:val="left"/>
      <w:pPr>
        <w:ind w:left="1080" w:hanging="1080"/>
      </w:pPr>
      <w:rPr>
        <w:rFonts w:hint="default" w:cs="Times New Roman"/>
      </w:rPr>
    </w:lvl>
    <w:lvl w:ilvl="7">
      <w:start w:val="1"/>
      <w:numFmt w:val="decimal"/>
      <w:isLgl w:val="false"/>
      <w:suff w:val="tab"/>
      <w:lvlText w:val="%1.%2.%3.%4.%5.%6.%7.%8"/>
      <w:lvlJc w:val="left"/>
      <w:pPr>
        <w:ind w:left="1440" w:hanging="1440"/>
      </w:pPr>
      <w:rPr>
        <w:rFonts w:hint="default" w:cs="Times New Roman"/>
      </w:rPr>
    </w:lvl>
    <w:lvl w:ilvl="8">
      <w:start w:val="1"/>
      <w:numFmt w:val="decimal"/>
      <w:isLgl w:val="false"/>
      <w:suff w:val="tab"/>
      <w:lvlText w:val="%1.%2.%3.%4.%5.%6.%7.%8.%9"/>
      <w:lvlJc w:val="left"/>
      <w:pPr>
        <w:ind w:left="1440" w:hanging="1440"/>
      </w:pPr>
      <w:rPr>
        <w:rFonts w:hint="default" w:cs="Times New Roman"/>
      </w:rPr>
    </w:lvl>
  </w:abstractNum>
  <w:abstractNum w:abstractNumId="6">
    <w:multiLevelType w:val="hybridMultilevel"/>
    <w:lvl w:ilvl="0">
      <w:start w:val="1"/>
      <w:numFmt w:val="decimal"/>
      <w:pStyle w:val="948"/>
      <w:isLgl w:val="false"/>
      <w:suff w:val="tab"/>
      <w:lvlText w:val="%1."/>
      <w:lvlJc w:val="left"/>
      <w:pPr>
        <w:tabs>
          <w:tab w:val="left" w:pos="360" w:leader="none"/>
        </w:tabs>
      </w:pPr>
      <w:rPr>
        <w:rFonts w:hint="eastAsia" w:cs="Times New Roman"/>
      </w:rPr>
    </w:lvl>
    <w:lvl w:ilvl="1">
      <w:start w:val="1"/>
      <w:numFmt w:val="decimal"/>
      <w:isLgl w:val="false"/>
      <w:suff w:val="tab"/>
      <w:lvlText w:val="%1.%2"/>
      <w:lvlJc w:val="left"/>
      <w:pPr>
        <w:tabs>
          <w:tab w:val="left" w:pos="720" w:leader="none"/>
        </w:tabs>
      </w:pPr>
      <w:rPr>
        <w:rFonts w:hint="eastAsia" w:cs="Times New Roman"/>
        <w:b w:val="0"/>
        <w:bCs w:val="0"/>
        <w:i w:val="0"/>
        <w:iCs w:val="0"/>
      </w:rPr>
    </w:lvl>
    <w:lvl w:ilvl="2">
      <w:start w:val="1"/>
      <w:numFmt w:val="decimal"/>
      <w:isLgl w:val="false"/>
      <w:suff w:val="tab"/>
      <w:lvlText w:val="%1.%2.%3"/>
      <w:lvlJc w:val="left"/>
      <w:pPr>
        <w:tabs>
          <w:tab w:val="left" w:pos="720" w:leader="none"/>
        </w:tabs>
      </w:pPr>
      <w:rPr>
        <w:rFonts w:hint="eastAsia" w:cs="Times New Roman"/>
      </w:rPr>
    </w:lvl>
    <w:lvl w:ilvl="3">
      <w:start w:val="1"/>
      <w:numFmt w:val="decimal"/>
      <w:isLgl w:val="false"/>
      <w:suff w:val="tab"/>
      <w:lvlText w:val="%1.%2.%3.%4."/>
      <w:lvlJc w:val="left"/>
      <w:pPr>
        <w:ind w:left="851" w:hanging="851"/>
        <w:tabs>
          <w:tab w:val="left" w:pos="851" w:leader="none"/>
        </w:tabs>
      </w:pPr>
      <w:rPr>
        <w:rFonts w:hint="eastAsia" w:cs="Times New Roman"/>
      </w:rPr>
    </w:lvl>
    <w:lvl w:ilvl="4">
      <w:start w:val="1"/>
      <w:numFmt w:val="decimal"/>
      <w:isLgl w:val="false"/>
      <w:suff w:val="tab"/>
      <w:lvlText w:val="%1.%2.%3.%4.%5."/>
      <w:lvlJc w:val="left"/>
      <w:pPr>
        <w:ind w:left="992" w:hanging="992"/>
        <w:tabs>
          <w:tab w:val="left" w:pos="992" w:leader="none"/>
        </w:tabs>
      </w:pPr>
      <w:rPr>
        <w:rFonts w:hint="eastAsia" w:cs="Times New Roman"/>
      </w:rPr>
    </w:lvl>
    <w:lvl w:ilvl="5">
      <w:start w:val="1"/>
      <w:numFmt w:val="decimal"/>
      <w:isLgl w:val="false"/>
      <w:suff w:val="tab"/>
      <w:lvlText w:val="%1.%2.%3.%4.%5.%6."/>
      <w:lvlJc w:val="left"/>
      <w:pPr>
        <w:ind w:left="1134" w:hanging="1134"/>
        <w:tabs>
          <w:tab w:val="left" w:pos="1134" w:leader="none"/>
        </w:tabs>
      </w:pPr>
      <w:rPr>
        <w:rFonts w:hint="eastAsia" w:cs="Times New Roman"/>
      </w:rPr>
    </w:lvl>
    <w:lvl w:ilvl="6">
      <w:start w:val="1"/>
      <w:numFmt w:val="decimal"/>
      <w:isLgl w:val="false"/>
      <w:suff w:val="tab"/>
      <w:lvlText w:val="%1.%2.%3.%4.%5.%6.%7."/>
      <w:lvlJc w:val="left"/>
      <w:pPr>
        <w:ind w:left="1276" w:hanging="1276"/>
        <w:tabs>
          <w:tab w:val="left" w:pos="1276" w:leader="none"/>
        </w:tabs>
      </w:pPr>
      <w:rPr>
        <w:rFonts w:hint="eastAsia" w:cs="Times New Roman"/>
      </w:rPr>
    </w:lvl>
    <w:lvl w:ilvl="7">
      <w:start w:val="1"/>
      <w:numFmt w:val="decimal"/>
      <w:isLgl w:val="false"/>
      <w:suff w:val="tab"/>
      <w:lvlText w:val="%1.%2.%3.%4.%5.%6.%7.%8."/>
      <w:lvlJc w:val="left"/>
      <w:pPr>
        <w:ind w:left="1418" w:hanging="1418"/>
        <w:tabs>
          <w:tab w:val="left" w:pos="1418" w:leader="none"/>
        </w:tabs>
      </w:pPr>
      <w:rPr>
        <w:rFonts w:hint="eastAsia" w:cs="Times New Roman"/>
      </w:rPr>
    </w:lvl>
    <w:lvl w:ilvl="8">
      <w:start w:val="1"/>
      <w:numFmt w:val="decimal"/>
      <w:isLgl w:val="false"/>
      <w:suff w:val="tab"/>
      <w:lvlText w:val="%1.%2.%3.%4.%5.%6.%7.%8.%9."/>
      <w:lvlJc w:val="left"/>
      <w:pPr>
        <w:ind w:left="1559" w:hanging="1559"/>
        <w:tabs>
          <w:tab w:val="left" w:pos="1559" w:leader="none"/>
        </w:tabs>
      </w:pPr>
      <w:rPr>
        <w:rFonts w:hint="eastAsia" w:cs="Times New Roman"/>
      </w:rPr>
    </w:lvl>
  </w:abstractNum>
  <w:abstractNum w:abstractNumId="7">
    <w:multiLevelType w:val="hybridMultilevel"/>
    <w:lvl w:ilvl="0">
      <w:start w:val="1"/>
      <w:numFmt w:val="lowerLetter"/>
      <w:isLgl w:val="false"/>
      <w:suff w:val="tab"/>
      <w:lvlText w:val="%1)"/>
      <w:lvlJc w:val="left"/>
      <w:pPr>
        <w:ind w:left="990" w:hanging="360"/>
        <w:tabs>
          <w:tab w:val="left" w:pos="990" w:leader="none"/>
        </w:tabs>
      </w:pPr>
      <w:rPr>
        <w:rFonts w:hint="eastAsia" w:cs="Times New Roman"/>
      </w:rPr>
    </w:lvl>
    <w:lvl w:ilvl="1">
      <w:start w:val="1"/>
      <w:numFmt w:val="lowerLetter"/>
      <w:pStyle w:val="946"/>
      <w:isLgl w:val="false"/>
      <w:suff w:val="tab"/>
      <w:lvlText w:val="%2)"/>
      <w:lvlJc w:val="left"/>
      <w:pPr>
        <w:ind w:left="1470" w:hanging="420"/>
        <w:tabs>
          <w:tab w:val="left" w:pos="1470" w:leader="none"/>
        </w:tabs>
      </w:pPr>
      <w:rPr>
        <w:rFonts w:cs="Times New Roman"/>
      </w:rPr>
    </w:lvl>
    <w:lvl w:ilvl="2">
      <w:start w:val="1"/>
      <w:numFmt w:val="lowerRoman"/>
      <w:isLgl w:val="false"/>
      <w:suff w:val="tab"/>
      <w:lvlText w:val="%3."/>
      <w:lvlJc w:val="right"/>
      <w:pPr>
        <w:ind w:left="1890" w:hanging="420"/>
        <w:tabs>
          <w:tab w:val="left" w:pos="1890" w:leader="none"/>
        </w:tabs>
      </w:pPr>
      <w:rPr>
        <w:rFonts w:cs="Times New Roman"/>
      </w:rPr>
    </w:lvl>
    <w:lvl w:ilvl="3">
      <w:start w:val="1"/>
      <w:numFmt w:val="decimal"/>
      <w:isLgl w:val="false"/>
      <w:suff w:val="tab"/>
      <w:lvlText w:val="%4."/>
      <w:lvlJc w:val="left"/>
      <w:pPr>
        <w:ind w:left="2310" w:hanging="420"/>
        <w:tabs>
          <w:tab w:val="left" w:pos="2310" w:leader="none"/>
        </w:tabs>
      </w:pPr>
      <w:rPr>
        <w:rFonts w:cs="Times New Roman"/>
      </w:rPr>
    </w:lvl>
    <w:lvl w:ilvl="4">
      <w:start w:val="1"/>
      <w:numFmt w:val="lowerLetter"/>
      <w:isLgl w:val="false"/>
      <w:suff w:val="tab"/>
      <w:lvlText w:val="%5)"/>
      <w:lvlJc w:val="left"/>
      <w:pPr>
        <w:ind w:left="2730" w:hanging="420"/>
        <w:tabs>
          <w:tab w:val="left" w:pos="2730" w:leader="none"/>
        </w:tabs>
      </w:pPr>
      <w:rPr>
        <w:rFonts w:cs="Times New Roman"/>
      </w:rPr>
    </w:lvl>
    <w:lvl w:ilvl="5">
      <w:start w:val="1"/>
      <w:numFmt w:val="lowerRoman"/>
      <w:isLgl w:val="false"/>
      <w:suff w:val="tab"/>
      <w:lvlText w:val="%6."/>
      <w:lvlJc w:val="right"/>
      <w:pPr>
        <w:ind w:left="3150" w:hanging="420"/>
        <w:tabs>
          <w:tab w:val="left" w:pos="3150" w:leader="none"/>
        </w:tabs>
      </w:pPr>
      <w:rPr>
        <w:rFonts w:cs="Times New Roman"/>
      </w:rPr>
    </w:lvl>
    <w:lvl w:ilvl="6">
      <w:start w:val="1"/>
      <w:numFmt w:val="decimal"/>
      <w:isLgl w:val="false"/>
      <w:suff w:val="tab"/>
      <w:lvlText w:val="%7."/>
      <w:lvlJc w:val="left"/>
      <w:pPr>
        <w:ind w:left="3570" w:hanging="420"/>
        <w:tabs>
          <w:tab w:val="left" w:pos="3570" w:leader="none"/>
        </w:tabs>
      </w:pPr>
      <w:rPr>
        <w:rFonts w:cs="Times New Roman"/>
      </w:rPr>
    </w:lvl>
    <w:lvl w:ilvl="7">
      <w:start w:val="1"/>
      <w:numFmt w:val="lowerLetter"/>
      <w:isLgl w:val="false"/>
      <w:suff w:val="tab"/>
      <w:lvlText w:val="%8)"/>
      <w:lvlJc w:val="left"/>
      <w:pPr>
        <w:ind w:left="3990" w:hanging="420"/>
        <w:tabs>
          <w:tab w:val="left" w:pos="3990" w:leader="none"/>
        </w:tabs>
      </w:pPr>
      <w:rPr>
        <w:rFonts w:cs="Times New Roman"/>
      </w:rPr>
    </w:lvl>
    <w:lvl w:ilvl="8">
      <w:start w:val="1"/>
      <w:numFmt w:val="lowerRoman"/>
      <w:isLgl w:val="false"/>
      <w:suff w:val="tab"/>
      <w:lvlText w:val="%9."/>
      <w:lvlJc w:val="right"/>
      <w:pPr>
        <w:ind w:left="4410" w:hanging="420"/>
        <w:tabs>
          <w:tab w:val="left" w:pos="4410" w:leader="none"/>
        </w:tabs>
      </w:pPr>
      <w:rPr>
        <w:rFonts w:cs="Times New Roman"/>
      </w:rPr>
    </w:lvl>
  </w:abstractNum>
  <w:num w:numId="1">
    <w:abstractNumId w:val="4"/>
  </w:num>
  <w:num w:numId="2">
    <w:abstractNumId w:val="5"/>
  </w:num>
  <w:num w:numId="3">
    <w:abstractNumId w:val="2"/>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6"/>
    <w:link w:val="677"/>
    <w:uiPriority w:val="9"/>
    <w:rPr>
      <w:rFonts w:ascii="Arial" w:hAnsi="Arial" w:eastAsia="Arial" w:cs="Arial"/>
      <w:sz w:val="40"/>
      <w:szCs w:val="40"/>
    </w:rPr>
  </w:style>
  <w:style w:type="character" w:styleId="15">
    <w:name w:val="Heading 2 Char"/>
    <w:basedOn w:val="686"/>
    <w:link w:val="755"/>
    <w:uiPriority w:val="9"/>
    <w:rPr>
      <w:rFonts w:ascii="Arial" w:hAnsi="Arial" w:eastAsia="Arial" w:cs="Arial"/>
      <w:sz w:val="34"/>
    </w:rPr>
  </w:style>
  <w:style w:type="character" w:styleId="19">
    <w:name w:val="Heading 4 Char"/>
    <w:basedOn w:val="686"/>
    <w:link w:val="680"/>
    <w:uiPriority w:val="9"/>
    <w:rPr>
      <w:rFonts w:ascii="Arial" w:hAnsi="Arial" w:eastAsia="Arial" w:cs="Arial"/>
      <w:b/>
      <w:bCs/>
      <w:sz w:val="26"/>
      <w:szCs w:val="26"/>
    </w:rPr>
  </w:style>
  <w:style w:type="character" w:styleId="21">
    <w:name w:val="Heading 5 Char"/>
    <w:basedOn w:val="686"/>
    <w:link w:val="681"/>
    <w:uiPriority w:val="9"/>
    <w:rPr>
      <w:rFonts w:ascii="Arial" w:hAnsi="Arial" w:eastAsia="Arial" w:cs="Arial"/>
      <w:b/>
      <w:bCs/>
      <w:sz w:val="24"/>
      <w:szCs w:val="24"/>
    </w:rPr>
  </w:style>
  <w:style w:type="character" w:styleId="23">
    <w:name w:val="Heading 6 Char"/>
    <w:basedOn w:val="686"/>
    <w:link w:val="682"/>
    <w:uiPriority w:val="9"/>
    <w:rPr>
      <w:rFonts w:ascii="Arial" w:hAnsi="Arial" w:eastAsia="Arial" w:cs="Arial"/>
      <w:b/>
      <w:bCs/>
      <w:sz w:val="22"/>
      <w:szCs w:val="22"/>
    </w:rPr>
  </w:style>
  <w:style w:type="character" w:styleId="25">
    <w:name w:val="Heading 7 Char"/>
    <w:basedOn w:val="686"/>
    <w:link w:val="683"/>
    <w:uiPriority w:val="9"/>
    <w:rPr>
      <w:rFonts w:ascii="Arial" w:hAnsi="Arial" w:eastAsia="Arial" w:cs="Arial"/>
      <w:b/>
      <w:bCs/>
      <w:i/>
      <w:iCs/>
      <w:sz w:val="22"/>
      <w:szCs w:val="22"/>
    </w:rPr>
  </w:style>
  <w:style w:type="character" w:styleId="27">
    <w:name w:val="Heading 8 Char"/>
    <w:basedOn w:val="686"/>
    <w:link w:val="684"/>
    <w:uiPriority w:val="9"/>
    <w:rPr>
      <w:rFonts w:ascii="Arial" w:hAnsi="Arial" w:eastAsia="Arial" w:cs="Arial"/>
      <w:i/>
      <w:iCs/>
      <w:sz w:val="22"/>
      <w:szCs w:val="22"/>
    </w:rPr>
  </w:style>
  <w:style w:type="character" w:styleId="29">
    <w:name w:val="Heading 9 Char"/>
    <w:basedOn w:val="686"/>
    <w:link w:val="685"/>
    <w:uiPriority w:val="9"/>
    <w:rPr>
      <w:rFonts w:ascii="Arial" w:hAnsi="Arial" w:eastAsia="Arial" w:cs="Arial"/>
      <w:i/>
      <w:iCs/>
      <w:sz w:val="21"/>
      <w:szCs w:val="21"/>
    </w:rPr>
  </w:style>
  <w:style w:type="character" w:styleId="34">
    <w:name w:val="Title Char"/>
    <w:basedOn w:val="686"/>
    <w:link w:val="721"/>
    <w:uiPriority w:val="10"/>
    <w:rPr>
      <w:sz w:val="48"/>
      <w:szCs w:val="48"/>
    </w:rPr>
  </w:style>
  <w:style w:type="character" w:styleId="36">
    <w:name w:val="Subtitle Char"/>
    <w:basedOn w:val="686"/>
    <w:link w:val="712"/>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6"/>
    <w:link w:val="709"/>
    <w:uiPriority w:val="99"/>
  </w:style>
  <w:style w:type="character" w:styleId="44">
    <w:name w:val="Footer Char"/>
    <w:basedOn w:val="686"/>
    <w:link w:val="708"/>
    <w:uiPriority w:val="99"/>
  </w:style>
  <w:style w:type="character" w:styleId="46">
    <w:name w:val="Caption Char"/>
    <w:basedOn w:val="695"/>
    <w:link w:val="708"/>
    <w:uiPriority w:val="99"/>
  </w:style>
  <w:style w:type="table" w:styleId="48">
    <w:name w:val="Table Grid Light"/>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6"/>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6"/>
    <w:uiPriority w:val="99"/>
    <w:semiHidden/>
    <w:unhideWhenUsed/>
    <w:rPr>
      <w:vertAlign w:val="superscript"/>
    </w:r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next w:val="688"/>
    <w:uiPriority w:val="0"/>
    <w:qFormat/>
    <w:pPr>
      <w:jc w:val="both"/>
      <w:widowControl w:val="off"/>
    </w:pPr>
    <w:rPr>
      <w:rFonts w:ascii="Times New Roman" w:hAnsi="Times New Roman" w:eastAsia="宋体" w:cs="Times New Roman"/>
      <w:sz w:val="21"/>
      <w:szCs w:val="24"/>
      <w:lang w:val="en-US" w:eastAsia="zh-CN" w:bidi="ar-SA"/>
    </w:rPr>
  </w:style>
  <w:style w:type="paragraph" w:styleId="677">
    <w:name w:val="Heading 1"/>
    <w:basedOn w:val="676"/>
    <w:next w:val="676"/>
    <w:link w:val="733"/>
    <w:uiPriority w:val="9"/>
    <w:qFormat/>
    <w:pPr>
      <w:ind w:left="100" w:right="100"/>
      <w:keepLines/>
      <w:keepNext/>
      <w:spacing w:before="120" w:after="120"/>
      <w:outlineLvl w:val="0"/>
    </w:pPr>
    <w:rPr>
      <w:b/>
      <w:bCs/>
      <w:szCs w:val="44"/>
    </w:rPr>
  </w:style>
  <w:style w:type="paragraph" w:styleId="678">
    <w:name w:val="Heading 2"/>
    <w:basedOn w:val="676"/>
    <w:next w:val="676"/>
    <w:link w:val="734"/>
    <w:uiPriority w:val="0"/>
    <w:qFormat/>
    <w:pPr>
      <w:keepLines/>
      <w:keepNext/>
      <w:spacing w:before="260" w:after="260" w:line="416" w:lineRule="auto"/>
      <w:outlineLvl w:val="1"/>
    </w:pPr>
    <w:rPr>
      <w:rFonts w:ascii="等线 Light" w:hAnsi="等线 Light" w:eastAsia="等线 Light"/>
      <w:b/>
      <w:bCs/>
      <w:sz w:val="32"/>
      <w:szCs w:val="32"/>
    </w:rPr>
  </w:style>
  <w:style w:type="paragraph" w:styleId="679">
    <w:name w:val="Heading 3"/>
    <w:basedOn w:val="676"/>
    <w:next w:val="676"/>
    <w:link w:val="735"/>
    <w:uiPriority w:val="0"/>
    <w:qFormat/>
    <w:pPr>
      <w:keepLines/>
      <w:keepNext/>
      <w:spacing w:before="260" w:after="260" w:line="416" w:lineRule="auto"/>
      <w:outlineLvl w:val="2"/>
    </w:pPr>
    <w:rPr>
      <w:b/>
      <w:bCs/>
      <w:sz w:val="32"/>
      <w:szCs w:val="32"/>
    </w:rPr>
  </w:style>
  <w:style w:type="paragraph" w:styleId="680">
    <w:name w:val="Heading 4"/>
    <w:basedOn w:val="676"/>
    <w:next w:val="676"/>
    <w:link w:val="736"/>
    <w:uiPriority w:val="0"/>
    <w:qFormat/>
    <w:pPr>
      <w:keepLines/>
      <w:keepNext/>
      <w:spacing w:before="280" w:after="290" w:line="376" w:lineRule="auto"/>
      <w:outlineLvl w:val="3"/>
    </w:pPr>
    <w:rPr>
      <w:rFonts w:ascii="等线 Light" w:hAnsi="等线 Light" w:eastAsia="等线 Light"/>
      <w:b/>
      <w:bCs/>
      <w:sz w:val="28"/>
      <w:szCs w:val="28"/>
    </w:rPr>
  </w:style>
  <w:style w:type="paragraph" w:styleId="681">
    <w:name w:val="Heading 5"/>
    <w:basedOn w:val="676"/>
    <w:next w:val="676"/>
    <w:link w:val="787"/>
    <w:uiPriority w:val="99"/>
    <w:qFormat/>
    <w:pPr>
      <w:keepLines/>
      <w:keepNext/>
      <w:spacing w:before="280" w:after="290" w:line="376" w:lineRule="auto"/>
      <w:outlineLvl w:val="4"/>
    </w:pPr>
    <w:rPr>
      <w:b/>
      <w:bCs/>
      <w:sz w:val="28"/>
      <w:szCs w:val="28"/>
    </w:rPr>
  </w:style>
  <w:style w:type="paragraph" w:styleId="682">
    <w:name w:val="Heading 6"/>
    <w:basedOn w:val="676"/>
    <w:next w:val="676"/>
    <w:link w:val="737"/>
    <w:uiPriority w:val="99"/>
    <w:qFormat/>
    <w:pPr>
      <w:keepLines/>
      <w:keepNext/>
      <w:spacing w:before="240" w:after="64" w:line="320" w:lineRule="auto"/>
      <w:outlineLvl w:val="5"/>
    </w:pPr>
    <w:rPr>
      <w:rFonts w:ascii="等线 Light" w:hAnsi="等线 Light" w:eastAsia="等线 Light"/>
      <w:b/>
      <w:bCs/>
      <w:sz w:val="24"/>
    </w:rPr>
  </w:style>
  <w:style w:type="paragraph" w:styleId="683">
    <w:name w:val="Heading 7"/>
    <w:basedOn w:val="676"/>
    <w:next w:val="676"/>
    <w:link w:val="788"/>
    <w:uiPriority w:val="99"/>
    <w:qFormat/>
    <w:pPr>
      <w:keepLines/>
      <w:keepNext/>
      <w:spacing w:before="240" w:after="64" w:line="320" w:lineRule="auto"/>
      <w:outlineLvl w:val="6"/>
    </w:pPr>
    <w:rPr>
      <w:b/>
      <w:bCs/>
      <w:sz w:val="24"/>
    </w:rPr>
  </w:style>
  <w:style w:type="paragraph" w:styleId="684">
    <w:name w:val="Heading 8"/>
    <w:basedOn w:val="676"/>
    <w:next w:val="676"/>
    <w:link w:val="738"/>
    <w:uiPriority w:val="99"/>
    <w:qFormat/>
    <w:pPr>
      <w:keepLines/>
      <w:keepNext/>
      <w:spacing w:before="240" w:after="64" w:line="320" w:lineRule="auto"/>
      <w:outlineLvl w:val="7"/>
    </w:pPr>
    <w:rPr>
      <w:rFonts w:ascii="等线 Light" w:hAnsi="等线 Light" w:eastAsia="等线 Light"/>
      <w:sz w:val="24"/>
    </w:rPr>
  </w:style>
  <w:style w:type="paragraph" w:styleId="685">
    <w:name w:val="Heading 9"/>
    <w:basedOn w:val="676"/>
    <w:next w:val="676"/>
    <w:link w:val="789"/>
    <w:uiPriority w:val="99"/>
    <w:qFormat/>
    <w:pPr>
      <w:keepLines/>
      <w:keepNext/>
      <w:spacing w:before="240" w:after="64" w:line="320" w:lineRule="auto"/>
      <w:outlineLvl w:val="8"/>
    </w:pPr>
    <w:rPr>
      <w:rFonts w:ascii="Cambria" w:hAnsi="Cambria"/>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name w:val="Body Text First Indent 2"/>
    <w:basedOn w:val="689"/>
    <w:next w:val="676"/>
    <w:link w:val="926"/>
    <w:uiPriority w:val="99"/>
    <w:unhideWhenUsed/>
    <w:qFormat/>
    <w:pPr>
      <w:ind w:firstLine="420"/>
      <w:jc w:val="left"/>
      <w:widowControl/>
    </w:pPr>
    <w:rPr>
      <w:rFonts w:ascii="Tahoma" w:hAnsi="Tahoma" w:eastAsia="微软雅黑"/>
      <w:sz w:val="22"/>
      <w:szCs w:val="22"/>
    </w:rPr>
  </w:style>
  <w:style w:type="paragraph" w:styleId="689">
    <w:name w:val="Body Text Indent"/>
    <w:basedOn w:val="676"/>
    <w:next w:val="690"/>
    <w:link w:val="925"/>
    <w:uiPriority w:val="99"/>
    <w:qFormat/>
    <w:pPr>
      <w:ind w:left="420"/>
      <w:spacing w:after="120"/>
    </w:pPr>
  </w:style>
  <w:style w:type="paragraph" w:styleId="690">
    <w:name w:val="envelope return"/>
    <w:basedOn w:val="676"/>
    <w:uiPriority w:val="0"/>
    <w:qFormat/>
    <w:rPr>
      <w:rFonts w:ascii="Arial" w:hAnsi="Arial"/>
    </w:rPr>
  </w:style>
  <w:style w:type="paragraph" w:styleId="691">
    <w:name w:val="List 3"/>
    <w:basedOn w:val="676"/>
    <w:uiPriority w:val="99"/>
    <w:qFormat/>
    <w:pPr>
      <w:contextualSpacing/>
      <w:ind w:left="100" w:hanging="200"/>
      <w:jc w:val="left"/>
      <w:widowControl/>
    </w:pPr>
    <w:rPr>
      <w:sz w:val="20"/>
      <w:szCs w:val="20"/>
    </w:rPr>
  </w:style>
  <w:style w:type="paragraph" w:styleId="692">
    <w:name w:val="toc 7"/>
    <w:basedOn w:val="676"/>
    <w:next w:val="676"/>
    <w:uiPriority w:val="0"/>
    <w:unhideWhenUsed/>
    <w:qFormat/>
    <w:pPr>
      <w:ind w:left="2520"/>
    </w:pPr>
    <w:rPr>
      <w:rFonts w:ascii="等线" w:hAnsi="等线" w:eastAsia="等线"/>
      <w:szCs w:val="22"/>
    </w:rPr>
  </w:style>
  <w:style w:type="paragraph" w:styleId="693">
    <w:name w:val="Note Heading"/>
    <w:basedOn w:val="676"/>
    <w:next w:val="676"/>
    <w:link w:val="791"/>
    <w:uiPriority w:val="99"/>
    <w:qFormat/>
    <w:rPr>
      <w:rFonts w:ascii="Verdana" w:hAnsi="Verdana"/>
      <w:szCs w:val="20"/>
    </w:rPr>
  </w:style>
  <w:style w:type="paragraph" w:styleId="694">
    <w:name w:val="Normal Indent"/>
    <w:basedOn w:val="676"/>
    <w:link w:val="739"/>
    <w:uiPriority w:val="99"/>
    <w:qFormat/>
    <w:pPr>
      <w:ind w:firstLine="420"/>
    </w:pPr>
    <w:rPr>
      <w:szCs w:val="20"/>
    </w:rPr>
  </w:style>
  <w:style w:type="paragraph" w:styleId="695">
    <w:name w:val="Caption"/>
    <w:basedOn w:val="676"/>
    <w:next w:val="676"/>
    <w:uiPriority w:val="0"/>
    <w:qFormat/>
    <w:rPr>
      <w:rFonts w:ascii="Cambria" w:hAnsi="Cambria" w:eastAsia="黑体"/>
      <w:sz w:val="20"/>
      <w:szCs w:val="22"/>
    </w:rPr>
  </w:style>
  <w:style w:type="paragraph" w:styleId="696">
    <w:name w:val="Document Map"/>
    <w:basedOn w:val="676"/>
    <w:link w:val="740"/>
    <w:uiPriority w:val="99"/>
    <w:qFormat/>
    <w:pPr>
      <w:shd w:val="clear" w:color="auto" w:fill="000080"/>
    </w:pPr>
  </w:style>
  <w:style w:type="paragraph" w:styleId="697">
    <w:name w:val="annotation text"/>
    <w:basedOn w:val="676"/>
    <w:link w:val="741"/>
    <w:uiPriority w:val="0"/>
    <w:qFormat/>
    <w:pPr>
      <w:jc w:val="left"/>
    </w:pPr>
  </w:style>
  <w:style w:type="paragraph" w:styleId="698">
    <w:name w:val="Body Text 3"/>
    <w:basedOn w:val="676"/>
    <w:link w:val="792"/>
    <w:uiPriority w:val="99"/>
    <w:qFormat/>
    <w:rPr>
      <w:rFonts w:ascii="宋体"/>
      <w:sz w:val="24"/>
      <w:szCs w:val="20"/>
    </w:rPr>
  </w:style>
  <w:style w:type="paragraph" w:styleId="699">
    <w:name w:val="Body Text"/>
    <w:basedOn w:val="676"/>
    <w:link w:val="742"/>
    <w:uiPriority w:val="99"/>
    <w:qFormat/>
    <w:pPr>
      <w:spacing w:after="120"/>
    </w:pPr>
  </w:style>
  <w:style w:type="paragraph" w:styleId="700">
    <w:name w:val="index 4"/>
    <w:basedOn w:val="676"/>
    <w:next w:val="676"/>
    <w:uiPriority w:val="99"/>
    <w:unhideWhenUsed/>
    <w:qFormat/>
    <w:pPr>
      <w:ind w:left="600"/>
    </w:pPr>
    <w:rPr>
      <w:rFonts w:ascii="宋体"/>
      <w:b/>
      <w:position w:val="-10"/>
      <w:sz w:val="24"/>
      <w:szCs w:val="20"/>
    </w:rPr>
  </w:style>
  <w:style w:type="paragraph" w:styleId="701">
    <w:name w:val="toc 5"/>
    <w:basedOn w:val="676"/>
    <w:next w:val="676"/>
    <w:uiPriority w:val="0"/>
    <w:unhideWhenUsed/>
    <w:qFormat/>
    <w:pPr>
      <w:ind w:left="1680"/>
    </w:pPr>
    <w:rPr>
      <w:rFonts w:ascii="等线" w:hAnsi="等线" w:eastAsia="等线"/>
      <w:szCs w:val="22"/>
    </w:rPr>
  </w:style>
  <w:style w:type="paragraph" w:styleId="702">
    <w:name w:val="toc 3"/>
    <w:basedOn w:val="676"/>
    <w:next w:val="676"/>
    <w:uiPriority w:val="39"/>
    <w:unhideWhenUsed/>
    <w:qFormat/>
    <w:pPr>
      <w:ind w:left="440"/>
      <w:jc w:val="left"/>
      <w:spacing w:after="100" w:line="259" w:lineRule="auto"/>
      <w:widowControl/>
    </w:pPr>
    <w:rPr>
      <w:rFonts w:ascii="等线" w:hAnsi="等线" w:eastAsia="等线"/>
      <w:sz w:val="22"/>
      <w:szCs w:val="22"/>
    </w:rPr>
  </w:style>
  <w:style w:type="paragraph" w:styleId="703">
    <w:name w:val="Plain Text"/>
    <w:basedOn w:val="676"/>
    <w:link w:val="743"/>
    <w:uiPriority w:val="0"/>
    <w:qFormat/>
    <w:rPr>
      <w:rFonts w:ascii="宋体" w:hAnsi="Courier New" w:cs="Courier New"/>
      <w:szCs w:val="21"/>
    </w:rPr>
  </w:style>
  <w:style w:type="paragraph" w:styleId="704">
    <w:name w:val="toc 8"/>
    <w:basedOn w:val="676"/>
    <w:next w:val="676"/>
    <w:uiPriority w:val="0"/>
    <w:unhideWhenUsed/>
    <w:qFormat/>
    <w:pPr>
      <w:ind w:left="2940"/>
    </w:pPr>
    <w:rPr>
      <w:rFonts w:ascii="等线" w:hAnsi="等线" w:eastAsia="等线"/>
      <w:szCs w:val="22"/>
    </w:rPr>
  </w:style>
  <w:style w:type="paragraph" w:styleId="705">
    <w:name w:val="Date"/>
    <w:basedOn w:val="676"/>
    <w:next w:val="676"/>
    <w:link w:val="744"/>
    <w:uiPriority w:val="0"/>
    <w:qFormat/>
    <w:rPr>
      <w:sz w:val="24"/>
      <w:szCs w:val="20"/>
    </w:rPr>
  </w:style>
  <w:style w:type="paragraph" w:styleId="706">
    <w:name w:val="Body Text Indent 2"/>
    <w:basedOn w:val="676"/>
    <w:link w:val="795"/>
    <w:uiPriority w:val="0"/>
    <w:qFormat/>
    <w:pPr>
      <w:ind w:firstLine="525"/>
      <w:spacing w:line="420" w:lineRule="exact"/>
    </w:pPr>
    <w:rPr>
      <w:rFonts w:ascii="宋体"/>
      <w:sz w:val="20"/>
      <w:szCs w:val="20"/>
    </w:rPr>
  </w:style>
  <w:style w:type="paragraph" w:styleId="707">
    <w:name w:val="Balloon Text"/>
    <w:basedOn w:val="676"/>
    <w:link w:val="745"/>
    <w:uiPriority w:val="99"/>
    <w:qFormat/>
    <w:rPr>
      <w:sz w:val="18"/>
      <w:szCs w:val="18"/>
    </w:rPr>
  </w:style>
  <w:style w:type="paragraph" w:styleId="708">
    <w:name w:val="Footer"/>
    <w:basedOn w:val="676"/>
    <w:link w:val="746"/>
    <w:uiPriority w:val="99"/>
    <w:qFormat/>
    <w:pPr>
      <w:jc w:val="left"/>
      <w:tabs>
        <w:tab w:val="center" w:pos="4153" w:leader="none"/>
        <w:tab w:val="right" w:pos="8306" w:leader="none"/>
      </w:tabs>
    </w:pPr>
    <w:rPr>
      <w:sz w:val="18"/>
      <w:szCs w:val="18"/>
    </w:rPr>
  </w:style>
  <w:style w:type="paragraph" w:styleId="709">
    <w:name w:val="Header"/>
    <w:basedOn w:val="676"/>
    <w:link w:val="747"/>
    <w:uiPriority w:val="99"/>
    <w:qFormat/>
    <w:pPr>
      <w:jc w:val="center"/>
      <w:tabs>
        <w:tab w:val="center" w:pos="4153" w:leader="none"/>
        <w:tab w:val="right" w:pos="8306" w:leader="none"/>
      </w:tabs>
      <w:pBdr>
        <w:bottom w:val="single" w:color="auto" w:sz="6" w:space="1"/>
      </w:pBdr>
    </w:pPr>
    <w:rPr>
      <w:sz w:val="18"/>
      <w:szCs w:val="18"/>
    </w:rPr>
  </w:style>
  <w:style w:type="paragraph" w:styleId="710">
    <w:name w:val="toc 1"/>
    <w:basedOn w:val="676"/>
    <w:next w:val="676"/>
    <w:uiPriority w:val="39"/>
    <w:qFormat/>
    <w:rPr>
      <w:rFonts w:ascii="仿宋_GB2312" w:eastAsia="仿宋_GB2312"/>
      <w:sz w:val="24"/>
    </w:rPr>
  </w:style>
  <w:style w:type="paragraph" w:styleId="711">
    <w:name w:val="toc 4"/>
    <w:basedOn w:val="676"/>
    <w:next w:val="676"/>
    <w:uiPriority w:val="99"/>
    <w:unhideWhenUsed/>
    <w:qFormat/>
    <w:pPr>
      <w:ind w:left="1260"/>
    </w:pPr>
    <w:rPr>
      <w:rFonts w:ascii="等线" w:hAnsi="等线" w:eastAsia="等线"/>
      <w:szCs w:val="22"/>
    </w:rPr>
  </w:style>
  <w:style w:type="paragraph" w:styleId="712">
    <w:name w:val="Subtitle"/>
    <w:basedOn w:val="676"/>
    <w:next w:val="676"/>
    <w:link w:val="796"/>
    <w:uiPriority w:val="0"/>
    <w:qFormat/>
    <w:pPr>
      <w:jc w:val="center"/>
      <w:spacing w:before="240" w:after="60" w:line="312" w:lineRule="auto"/>
      <w:outlineLvl w:val="1"/>
    </w:pPr>
    <w:rPr>
      <w:rFonts w:ascii="Cambria" w:hAnsi="Cambria"/>
      <w:b/>
      <w:bCs/>
      <w:sz w:val="32"/>
      <w:szCs w:val="32"/>
    </w:rPr>
  </w:style>
  <w:style w:type="paragraph" w:styleId="713">
    <w:name w:val="toc 6"/>
    <w:basedOn w:val="676"/>
    <w:next w:val="676"/>
    <w:uiPriority w:val="0"/>
    <w:unhideWhenUsed/>
    <w:qFormat/>
    <w:pPr>
      <w:ind w:left="2100"/>
    </w:pPr>
    <w:rPr>
      <w:rFonts w:ascii="等线" w:hAnsi="等线" w:eastAsia="等线"/>
      <w:szCs w:val="22"/>
    </w:rPr>
  </w:style>
  <w:style w:type="paragraph" w:styleId="714">
    <w:name w:val="Body Text Indent 3"/>
    <w:basedOn w:val="676"/>
    <w:link w:val="797"/>
    <w:uiPriority w:val="0"/>
    <w:qFormat/>
    <w:pPr>
      <w:ind w:left="420"/>
      <w:spacing w:after="120"/>
    </w:pPr>
    <w:rPr>
      <w:sz w:val="16"/>
      <w:szCs w:val="20"/>
    </w:rPr>
  </w:style>
  <w:style w:type="paragraph" w:styleId="715">
    <w:name w:val="toc 2"/>
    <w:basedOn w:val="676"/>
    <w:next w:val="676"/>
    <w:uiPriority w:val="39"/>
    <w:unhideWhenUsed/>
    <w:qFormat/>
    <w:pPr>
      <w:ind w:left="220"/>
      <w:jc w:val="left"/>
      <w:spacing w:after="100" w:line="259" w:lineRule="auto"/>
      <w:widowControl/>
    </w:pPr>
    <w:rPr>
      <w:rFonts w:ascii="等线" w:hAnsi="等线" w:eastAsia="等线"/>
      <w:sz w:val="22"/>
      <w:szCs w:val="22"/>
    </w:rPr>
  </w:style>
  <w:style w:type="paragraph" w:styleId="716">
    <w:name w:val="toc 9"/>
    <w:basedOn w:val="676"/>
    <w:next w:val="676"/>
    <w:uiPriority w:val="0"/>
    <w:unhideWhenUsed/>
    <w:qFormat/>
    <w:pPr>
      <w:ind w:left="3360"/>
    </w:pPr>
    <w:rPr>
      <w:rFonts w:ascii="等线" w:hAnsi="等线" w:eastAsia="等线"/>
      <w:szCs w:val="22"/>
    </w:rPr>
  </w:style>
  <w:style w:type="paragraph" w:styleId="717">
    <w:name w:val="Body Text 2"/>
    <w:basedOn w:val="676"/>
    <w:link w:val="748"/>
    <w:uiPriority w:val="0"/>
    <w:qFormat/>
    <w:pPr>
      <w:spacing w:after="120" w:line="480" w:lineRule="auto"/>
    </w:pPr>
    <w:rPr>
      <w:rFonts w:ascii="Calibri" w:hAnsi="Calibri"/>
    </w:rPr>
  </w:style>
  <w:style w:type="paragraph" w:styleId="718">
    <w:name w:val="HTML Preformatted"/>
    <w:basedOn w:val="676"/>
    <w:link w:val="79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19">
    <w:name w:val="Normal (Web)"/>
    <w:basedOn w:val="676"/>
    <w:uiPriority w:val="0"/>
    <w:qFormat/>
    <w:pPr>
      <w:jc w:val="left"/>
      <w:spacing w:before="100" w:beforeAutospacing="1" w:after="100" w:afterAutospacing="1"/>
      <w:widowControl/>
    </w:pPr>
    <w:rPr>
      <w:sz w:val="24"/>
    </w:rPr>
  </w:style>
  <w:style w:type="paragraph" w:styleId="720">
    <w:name w:val="index 1"/>
    <w:basedOn w:val="676"/>
    <w:next w:val="676"/>
    <w:uiPriority w:val="99"/>
    <w:qFormat/>
    <w:pPr>
      <w:jc w:val="center"/>
      <w:spacing w:line="220" w:lineRule="exact"/>
    </w:pPr>
    <w:rPr>
      <w:rFonts w:ascii="仿宋_GB2312" w:hAnsi="Calibri" w:eastAsia="仿宋_GB2312"/>
      <w:szCs w:val="22"/>
    </w:rPr>
  </w:style>
  <w:style w:type="paragraph" w:styleId="721">
    <w:name w:val="Title"/>
    <w:basedOn w:val="676"/>
    <w:next w:val="676"/>
    <w:link w:val="749"/>
    <w:uiPriority w:val="10"/>
    <w:qFormat/>
    <w:pPr>
      <w:jc w:val="center"/>
      <w:spacing w:before="240" w:after="60"/>
      <w:outlineLvl w:val="0"/>
    </w:pPr>
    <w:rPr>
      <w:rFonts w:ascii="等线 Light" w:hAnsi="等线 Light"/>
      <w:b/>
      <w:bCs/>
      <w:sz w:val="32"/>
      <w:szCs w:val="32"/>
    </w:rPr>
  </w:style>
  <w:style w:type="paragraph" w:styleId="722">
    <w:name w:val="annotation subject"/>
    <w:basedOn w:val="697"/>
    <w:next w:val="697"/>
    <w:link w:val="750"/>
    <w:uiPriority w:val="99"/>
    <w:qFormat/>
    <w:rPr>
      <w:b/>
      <w:bCs/>
    </w:rPr>
  </w:style>
  <w:style w:type="table" w:styleId="723">
    <w:name w:val="Table Grid"/>
    <w:basedOn w:val="68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4">
    <w:name w:val="Strong"/>
    <w:uiPriority w:val="0"/>
    <w:qFormat/>
    <w:rPr>
      <w:b/>
      <w:bCs/>
    </w:rPr>
  </w:style>
  <w:style w:type="character" w:styleId="725">
    <w:name w:val="page number"/>
    <w:uiPriority w:val="0"/>
    <w:qFormat/>
  </w:style>
  <w:style w:type="character" w:styleId="726">
    <w:name w:val="FollowedHyperlink"/>
    <w:uiPriority w:val="99"/>
    <w:qFormat/>
    <w:rPr>
      <w:rFonts w:cs="Times New Roman"/>
      <w:color w:val="800080"/>
      <w:u w:val="single"/>
    </w:rPr>
  </w:style>
  <w:style w:type="character" w:styleId="727">
    <w:name w:val="Emphasis"/>
    <w:uiPriority w:val="0"/>
    <w:qFormat/>
    <w:rPr>
      <w:i/>
      <w:iCs/>
    </w:rPr>
  </w:style>
  <w:style w:type="character" w:styleId="728">
    <w:name w:val="Hyperlink"/>
    <w:uiPriority w:val="0"/>
    <w:qFormat/>
    <w:rPr>
      <w:color w:val="auto"/>
      <w:u w:val="none"/>
    </w:rPr>
  </w:style>
  <w:style w:type="character" w:styleId="729">
    <w:name w:val="annotation reference"/>
    <w:uiPriority w:val="99"/>
    <w:qFormat/>
    <w:rPr>
      <w:sz w:val="21"/>
      <w:szCs w:val="21"/>
    </w:rPr>
  </w:style>
  <w:style w:type="character" w:styleId="730">
    <w:name w:val="HTML Cite"/>
    <w:uiPriority w:val="99"/>
    <w:qFormat/>
    <w:rPr>
      <w:rFonts w:cs="Times New Roman"/>
      <w:color w:val="008000"/>
    </w:rPr>
  </w:style>
  <w:style w:type="paragraph" w:styleId="731" w:customStyle="1">
    <w:name w:val="BodyText1I"/>
    <w:basedOn w:val="732"/>
    <w:next w:val="676"/>
    <w:uiPriority w:val="0"/>
    <w:qFormat/>
    <w:pPr>
      <w:ind w:firstLine="420"/>
      <w:spacing w:after="120"/>
    </w:pPr>
    <w:rPr>
      <w:sz w:val="24"/>
    </w:rPr>
  </w:style>
  <w:style w:type="paragraph" w:styleId="732" w:customStyle="1">
    <w:name w:val="BodyText"/>
    <w:basedOn w:val="676"/>
    <w:uiPriority w:val="0"/>
    <w:qFormat/>
    <w:rPr>
      <w:rFonts w:ascii="Calibri" w:hAnsi="Calibri" w:cs="宋体"/>
      <w:sz w:val="32"/>
      <w:szCs w:val="22"/>
    </w:rPr>
  </w:style>
  <w:style w:type="character" w:styleId="733" w:customStyle="1">
    <w:name w:val="标题 1 字符"/>
    <w:link w:val="677"/>
    <w:uiPriority w:val="9"/>
    <w:qFormat/>
    <w:rPr>
      <w:b/>
      <w:bCs/>
      <w:sz w:val="21"/>
      <w:szCs w:val="44"/>
    </w:rPr>
  </w:style>
  <w:style w:type="character" w:styleId="734" w:customStyle="1">
    <w:name w:val="标题 2 字符"/>
    <w:link w:val="678"/>
    <w:uiPriority w:val="0"/>
    <w:qFormat/>
    <w:rPr>
      <w:rFonts w:ascii="等线 Light" w:hAnsi="等线 Light" w:eastAsia="等线 Light" w:cs="Times New Roman"/>
      <w:b/>
      <w:bCs/>
      <w:sz w:val="32"/>
      <w:szCs w:val="32"/>
    </w:rPr>
  </w:style>
  <w:style w:type="character" w:styleId="735" w:customStyle="1">
    <w:name w:val="标题 3 字符"/>
    <w:link w:val="679"/>
    <w:uiPriority w:val="9"/>
    <w:qFormat/>
    <w:rPr>
      <w:rFonts w:eastAsia="宋体"/>
      <w:b/>
      <w:bCs/>
      <w:sz w:val="32"/>
      <w:szCs w:val="32"/>
      <w:lang w:val="en-US" w:eastAsia="zh-CN" w:bidi="ar-SA"/>
    </w:rPr>
  </w:style>
  <w:style w:type="character" w:styleId="736" w:customStyle="1">
    <w:name w:val="标题 4 字符"/>
    <w:link w:val="680"/>
    <w:uiPriority w:val="9"/>
    <w:qFormat/>
    <w:rPr>
      <w:rFonts w:ascii="等线 Light" w:hAnsi="等线 Light" w:eastAsia="等线 Light" w:cs="Times New Roman"/>
      <w:b/>
      <w:bCs/>
      <w:sz w:val="28"/>
      <w:szCs w:val="28"/>
    </w:rPr>
  </w:style>
  <w:style w:type="character" w:styleId="737" w:customStyle="1">
    <w:name w:val="标题 6 字符"/>
    <w:link w:val="682"/>
    <w:uiPriority w:val="99"/>
    <w:qFormat/>
    <w:rPr>
      <w:rFonts w:ascii="等线 Light" w:hAnsi="等线 Light" w:eastAsia="等线 Light" w:cs="Times New Roman"/>
      <w:b/>
      <w:bCs/>
      <w:sz w:val="24"/>
      <w:szCs w:val="24"/>
    </w:rPr>
  </w:style>
  <w:style w:type="character" w:styleId="738" w:customStyle="1">
    <w:name w:val="标题 8 字符"/>
    <w:link w:val="684"/>
    <w:uiPriority w:val="99"/>
    <w:qFormat/>
    <w:rPr>
      <w:rFonts w:ascii="等线 Light" w:hAnsi="等线 Light" w:eastAsia="等线 Light" w:cs="Times New Roman"/>
      <w:sz w:val="24"/>
      <w:szCs w:val="24"/>
    </w:rPr>
  </w:style>
  <w:style w:type="character" w:styleId="739" w:customStyle="1">
    <w:name w:val="正文缩进 字符"/>
    <w:link w:val="694"/>
    <w:uiPriority w:val="0"/>
    <w:qFormat/>
    <w:rPr>
      <w:sz w:val="21"/>
    </w:rPr>
  </w:style>
  <w:style w:type="character" w:styleId="740" w:customStyle="1">
    <w:name w:val="文档结构图 字符"/>
    <w:link w:val="696"/>
    <w:uiPriority w:val="99"/>
    <w:qFormat/>
    <w:rPr>
      <w:sz w:val="21"/>
      <w:szCs w:val="24"/>
      <w:shd w:val="clear" w:color="auto" w:fill="000080"/>
    </w:rPr>
  </w:style>
  <w:style w:type="character" w:styleId="741" w:customStyle="1">
    <w:name w:val="批注文字 字符"/>
    <w:link w:val="697"/>
    <w:uiPriority w:val="99"/>
    <w:qFormat/>
    <w:rPr>
      <w:sz w:val="21"/>
      <w:szCs w:val="24"/>
    </w:rPr>
  </w:style>
  <w:style w:type="character" w:styleId="742" w:customStyle="1">
    <w:name w:val="正文文本 字符"/>
    <w:link w:val="699"/>
    <w:uiPriority w:val="99"/>
    <w:qFormat/>
    <w:rPr>
      <w:sz w:val="21"/>
      <w:szCs w:val="24"/>
    </w:rPr>
  </w:style>
  <w:style w:type="character" w:styleId="743" w:customStyle="1">
    <w:name w:val="纯文本 字符"/>
    <w:link w:val="703"/>
    <w:uiPriority w:val="99"/>
    <w:qFormat/>
    <w:rPr>
      <w:rFonts w:ascii="宋体" w:hAnsi="Courier New" w:cs="Courier New"/>
      <w:sz w:val="21"/>
      <w:szCs w:val="21"/>
    </w:rPr>
  </w:style>
  <w:style w:type="character" w:styleId="744" w:customStyle="1">
    <w:name w:val="日期 字符"/>
    <w:link w:val="705"/>
    <w:uiPriority w:val="0"/>
    <w:qFormat/>
    <w:rPr>
      <w:sz w:val="24"/>
    </w:rPr>
  </w:style>
  <w:style w:type="character" w:styleId="745" w:customStyle="1">
    <w:name w:val="批注框文本 字符"/>
    <w:link w:val="707"/>
    <w:uiPriority w:val="99"/>
    <w:qFormat/>
    <w:rPr>
      <w:sz w:val="18"/>
      <w:szCs w:val="18"/>
    </w:rPr>
  </w:style>
  <w:style w:type="character" w:styleId="746" w:customStyle="1">
    <w:name w:val="页脚 字符"/>
    <w:link w:val="708"/>
    <w:uiPriority w:val="99"/>
    <w:qFormat/>
    <w:rPr>
      <w:sz w:val="18"/>
      <w:szCs w:val="18"/>
    </w:rPr>
  </w:style>
  <w:style w:type="character" w:styleId="747" w:customStyle="1">
    <w:name w:val="页眉 字符"/>
    <w:link w:val="709"/>
    <w:uiPriority w:val="99"/>
    <w:qFormat/>
    <w:rPr>
      <w:sz w:val="18"/>
      <w:szCs w:val="18"/>
    </w:rPr>
  </w:style>
  <w:style w:type="character" w:styleId="748" w:customStyle="1">
    <w:name w:val="正文文本 2 字符"/>
    <w:link w:val="717"/>
    <w:uiPriority w:val="0"/>
    <w:qFormat/>
    <w:rPr>
      <w:rFonts w:ascii="Calibri" w:hAnsi="Calibri"/>
      <w:sz w:val="21"/>
      <w:szCs w:val="24"/>
    </w:rPr>
  </w:style>
  <w:style w:type="character" w:styleId="749" w:customStyle="1">
    <w:name w:val="标题 字符"/>
    <w:link w:val="721"/>
    <w:uiPriority w:val="99"/>
    <w:qFormat/>
    <w:rPr>
      <w:rFonts w:ascii="等线 Light" w:hAnsi="等线 Light" w:cs="Times New Roman"/>
      <w:b/>
      <w:bCs/>
      <w:sz w:val="32"/>
      <w:szCs w:val="32"/>
    </w:rPr>
  </w:style>
  <w:style w:type="character" w:styleId="750" w:customStyle="1">
    <w:name w:val="批注主题 字符"/>
    <w:link w:val="722"/>
    <w:uiPriority w:val="99"/>
    <w:qFormat/>
    <w:rPr>
      <w:b/>
      <w:bCs/>
      <w:sz w:val="21"/>
      <w:szCs w:val="24"/>
    </w:rPr>
  </w:style>
  <w:style w:type="character" w:styleId="751" w:customStyle="1">
    <w:name w:val="p0 Char"/>
    <w:link w:val="752"/>
    <w:uiPriority w:val="0"/>
    <w:qFormat/>
    <w:rPr>
      <w:rFonts w:eastAsia="宋体"/>
      <w:sz w:val="21"/>
      <w:szCs w:val="21"/>
      <w:lang w:val="en-US" w:eastAsia="zh-CN" w:bidi="ar-SA"/>
    </w:rPr>
  </w:style>
  <w:style w:type="paragraph" w:styleId="752" w:customStyle="1">
    <w:name w:val="p0"/>
    <w:basedOn w:val="676"/>
    <w:link w:val="751"/>
    <w:uiPriority w:val="0"/>
    <w:qFormat/>
    <w:pPr>
      <w:widowControl/>
    </w:pPr>
    <w:rPr>
      <w:szCs w:val="21"/>
    </w:rPr>
  </w:style>
  <w:style w:type="character" w:styleId="753" w:customStyle="1">
    <w:name w:val="标题 2 Char Char Char"/>
    <w:uiPriority w:val="0"/>
    <w:qFormat/>
    <w:rPr>
      <w:rFonts w:ascii="Arial" w:hAnsi="Arial" w:eastAsia="黑体"/>
      <w:b/>
      <w:bCs/>
      <w:sz w:val="32"/>
      <w:szCs w:val="32"/>
      <w:lang w:val="en-US" w:eastAsia="zh-CN" w:bidi="ar-SA"/>
    </w:rPr>
  </w:style>
  <w:style w:type="character" w:styleId="754" w:customStyle="1">
    <w:name w:val="NormalCharacter"/>
    <w:uiPriority w:val="0"/>
    <w:qFormat/>
  </w:style>
  <w:style w:type="paragraph" w:styleId="755" w:customStyle="1">
    <w:name w:val="Heading 2"/>
    <w:basedOn w:val="676"/>
    <w:next w:val="676"/>
    <w:uiPriority w:val="0"/>
    <w:qFormat/>
    <w:pPr>
      <w:jc w:val="center"/>
      <w:keepNext/>
      <w:widowControl/>
    </w:pPr>
    <w:rPr>
      <w:rFonts w:ascii="楷体_GB2312" w:eastAsia="楷体_GB2312"/>
      <w:sz w:val="18"/>
      <w:szCs w:val="20"/>
    </w:rPr>
  </w:style>
  <w:style w:type="paragraph" w:styleId="756" w:customStyle="1">
    <w:name w:val="TOC 标题1"/>
    <w:basedOn w:val="677"/>
    <w:next w:val="676"/>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757">
    <w:name w:val="No Spacing"/>
    <w:link w:val="929"/>
    <w:uiPriority w:val="1"/>
    <w:qFormat/>
    <w:pPr>
      <w:jc w:val="both"/>
      <w:widowControl w:val="off"/>
    </w:pPr>
    <w:rPr>
      <w:rFonts w:ascii="Times New Roman" w:hAnsi="Times New Roman" w:eastAsia="宋体" w:cs="Times New Roman"/>
      <w:sz w:val="21"/>
      <w:szCs w:val="24"/>
      <w:lang w:val="en-US" w:eastAsia="zh-CN" w:bidi="ar-SA"/>
    </w:rPr>
  </w:style>
  <w:style w:type="paragraph" w:styleId="758" w:customStyle="1">
    <w:name w:val="样式1"/>
    <w:basedOn w:val="677"/>
    <w:link w:val="759"/>
    <w:uiPriority w:val="0"/>
    <w:qFormat/>
    <w:pPr>
      <w:ind w:left="210" w:right="210"/>
    </w:pPr>
  </w:style>
  <w:style w:type="character" w:styleId="759" w:customStyle="1">
    <w:name w:val="样式1 字符"/>
    <w:link w:val="758"/>
    <w:uiPriority w:val="0"/>
    <w:qFormat/>
  </w:style>
  <w:style w:type="paragraph" w:styleId="760" w:customStyle="1">
    <w:name w:val="标题 21"/>
    <w:basedOn w:val="67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761">
    <w:name w:val="List Paragraph"/>
    <w:basedOn w:val="676"/>
    <w:uiPriority w:val="34"/>
    <w:qFormat/>
    <w:pPr>
      <w:ind w:left="400" w:firstLine="420"/>
      <w:jc w:val="left"/>
    </w:pPr>
    <w:rPr>
      <w:rFonts w:ascii="宋体" w:hAnsi="宋体" w:cs="宋体"/>
      <w:sz w:val="22"/>
      <w:szCs w:val="22"/>
      <w:lang w:val="zh-CN" w:bidi="zh-CN"/>
    </w:rPr>
  </w:style>
  <w:style w:type="paragraph" w:styleId="762" w:customStyle="1">
    <w:name w:val="Table Paragraph"/>
    <w:basedOn w:val="676"/>
    <w:uiPriority w:val="0"/>
    <w:qFormat/>
    <w:pPr>
      <w:jc w:val="left"/>
    </w:pPr>
    <w:rPr>
      <w:rFonts w:ascii="宋体" w:hAnsi="宋体" w:cs="宋体"/>
      <w:sz w:val="22"/>
      <w:szCs w:val="22"/>
      <w:lang w:val="zh-CN" w:bidi="zh-CN"/>
    </w:rPr>
  </w:style>
  <w:style w:type="character" w:styleId="763" w:customStyle="1">
    <w:name w:val="ask-title2"/>
    <w:uiPriority w:val="0"/>
    <w:qFormat/>
  </w:style>
  <w:style w:type="paragraph" w:styleId="764" w:customStyle="1">
    <w:name w:val="列出段落2"/>
    <w:basedOn w:val="676"/>
    <w:uiPriority w:val="0"/>
    <w:unhideWhenUsed/>
    <w:qFormat/>
    <w:pPr>
      <w:ind w:firstLine="420"/>
      <w:jc w:val="left"/>
    </w:pPr>
    <w:rPr>
      <w:rFonts w:ascii="宋体"/>
      <w:sz w:val="20"/>
      <w:szCs w:val="20"/>
    </w:rPr>
  </w:style>
  <w:style w:type="paragraph" w:styleId="765" w:customStyle="1">
    <w:name w:val="纯文本1"/>
    <w:basedOn w:val="676"/>
    <w:uiPriority w:val="0"/>
    <w:qFormat/>
    <w:rPr>
      <w:rFonts w:ascii="宋体" w:hAnsi="Courier New"/>
      <w:sz w:val="20"/>
      <w:szCs w:val="21"/>
    </w:rPr>
  </w:style>
  <w:style w:type="character" w:styleId="766" w:customStyle="1">
    <w:name w:val="纯文本 Char2"/>
    <w:uiPriority w:val="0"/>
    <w:qFormat/>
    <w:rPr>
      <w:rFonts w:ascii="宋体" w:hAnsi="Courier New"/>
      <w:sz w:val="21"/>
    </w:rPr>
  </w:style>
  <w:style w:type="paragraph" w:styleId="767" w:customStyle="1">
    <w:name w:val="列出段落1"/>
    <w:basedOn w:val="676"/>
    <w:uiPriority w:val="99"/>
    <w:qFormat/>
    <w:pPr>
      <w:ind w:firstLine="420"/>
      <w:spacing w:line="0" w:lineRule="atLeast"/>
    </w:pPr>
    <w:rPr>
      <w:rFonts w:eastAsia="微软雅黑"/>
      <w:sz w:val="20"/>
      <w:szCs w:val="20"/>
    </w:rPr>
  </w:style>
  <w:style w:type="character" w:styleId="768" w:customStyle="1">
    <w:name w:val="纯文本 Char"/>
    <w:link w:val="769"/>
    <w:uiPriority w:val="0"/>
    <w:qFormat/>
    <w:rPr>
      <w:rFonts w:ascii="宋体" w:hAnsi="Courier New"/>
    </w:rPr>
  </w:style>
  <w:style w:type="paragraph" w:styleId="769" w:customStyle="1">
    <w:name w:val="纯文本2"/>
    <w:basedOn w:val="676"/>
    <w:link w:val="768"/>
    <w:uiPriority w:val="99"/>
    <w:qFormat/>
    <w:pPr>
      <w:ind w:firstLine="200"/>
      <w:spacing w:line="360" w:lineRule="auto"/>
    </w:pPr>
    <w:rPr>
      <w:rFonts w:ascii="宋体" w:hAnsi="Courier New"/>
      <w:sz w:val="20"/>
      <w:szCs w:val="20"/>
    </w:rPr>
  </w:style>
  <w:style w:type="character" w:styleId="770" w:customStyle="1">
    <w:name w:val="页脚 Char"/>
    <w:uiPriority w:val="0"/>
    <w:qFormat/>
    <w:rPr>
      <w:sz w:val="18"/>
      <w:szCs w:val="18"/>
    </w:rPr>
  </w:style>
  <w:style w:type="paragraph" w:styleId="771" w:customStyle="1">
    <w:name w:val="_Style 83"/>
    <w:basedOn w:val="676"/>
    <w:next w:val="761"/>
    <w:uiPriority w:val="99"/>
    <w:qFormat/>
    <w:pPr>
      <w:ind w:firstLine="420"/>
    </w:pPr>
  </w:style>
  <w:style w:type="paragraph" w:styleId="772"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773" w:customStyle="1">
    <w:name w:val="正文首行缩进 21"/>
    <w:basedOn w:val="774"/>
    <w:uiPriority w:val="0"/>
    <w:qFormat/>
    <w:pPr>
      <w:ind w:firstLine="420"/>
    </w:pPr>
  </w:style>
  <w:style w:type="paragraph" w:styleId="774" w:customStyle="1">
    <w:name w:val="正文文本缩进1"/>
    <w:basedOn w:val="676"/>
    <w:next w:val="676"/>
    <w:uiPriority w:val="0"/>
    <w:qFormat/>
    <w:pPr>
      <w:ind w:left="420"/>
      <w:spacing w:after="120"/>
    </w:pPr>
    <w:rPr>
      <w:szCs w:val="21"/>
    </w:rPr>
  </w:style>
  <w:style w:type="character" w:styleId="775" w:customStyle="1">
    <w:name w:val="font11"/>
    <w:basedOn w:val="686"/>
    <w:uiPriority w:val="0"/>
    <w:qFormat/>
    <w:rPr>
      <w:rFonts w:hint="eastAsia" w:ascii="方正仿宋_GBK" w:hAnsi="方正仿宋_GBK" w:eastAsia="方正仿宋_GBK" w:cs="方正仿宋_GBK"/>
      <w:color w:val="000000"/>
      <w:sz w:val="32"/>
      <w:szCs w:val="32"/>
      <w:u w:val="none"/>
    </w:rPr>
  </w:style>
  <w:style w:type="character" w:styleId="776" w:customStyle="1">
    <w:name w:val="font21"/>
    <w:uiPriority w:val="99"/>
    <w:qFormat/>
    <w:rPr>
      <w:rFonts w:hint="eastAsia" w:ascii="方正仿宋_GBK" w:hAnsi="方正仿宋_GBK" w:eastAsia="方正仿宋_GBK" w:cs="方正仿宋_GBK"/>
      <w:color w:val="000000"/>
      <w:sz w:val="32"/>
      <w:szCs w:val="32"/>
      <w:u w:val="none"/>
    </w:rPr>
  </w:style>
  <w:style w:type="character" w:styleId="777" w:customStyle="1">
    <w:name w:val="font01"/>
    <w:uiPriority w:val="0"/>
    <w:qFormat/>
    <w:rPr>
      <w:rFonts w:hint="eastAsia" w:ascii="方正仿宋_GBK" w:hAnsi="方正仿宋_GBK" w:eastAsia="方正仿宋_GBK" w:cs="方正仿宋_GBK"/>
      <w:color w:val="000000"/>
      <w:sz w:val="32"/>
      <w:szCs w:val="32"/>
      <w:u w:val="none"/>
    </w:rPr>
  </w:style>
  <w:style w:type="character" w:styleId="778" w:customStyle="1">
    <w:name w:val="font31"/>
    <w:uiPriority w:val="99"/>
    <w:qFormat/>
    <w:rPr>
      <w:rFonts w:hint="eastAsia" w:ascii="方正仿宋_GBK" w:hAnsi="方正仿宋_GBK" w:eastAsia="方正仿宋_GBK" w:cs="方正仿宋_GBK"/>
      <w:color w:val="000000"/>
      <w:sz w:val="32"/>
      <w:szCs w:val="32"/>
      <w:u w:val="none"/>
    </w:rPr>
  </w:style>
  <w:style w:type="table" w:styleId="779" w:customStyle="1">
    <w:name w:val="Table Normal"/>
    <w:uiPriority w:val="0"/>
    <w:unhideWhenUsed/>
    <w:qFormat/>
    <w:tblPr>
      <w:tblCellMar>
        <w:left w:w="0" w:type="dxa"/>
        <w:top w:w="0" w:type="dxa"/>
        <w:right w:w="0" w:type="dxa"/>
        <w:bottom w:w="0" w:type="dxa"/>
      </w:tblCellMar>
    </w:tblPr>
  </w:style>
  <w:style w:type="character" w:styleId="780" w:customStyle="1">
    <w:name w:val="font81"/>
    <w:basedOn w:val="686"/>
    <w:uiPriority w:val="0"/>
    <w:qFormat/>
    <w:rPr>
      <w:rFonts w:hint="eastAsia" w:ascii="宋体" w:hAnsi="宋体" w:eastAsia="宋体" w:cs="宋体"/>
      <w:b/>
      <w:bCs/>
      <w:color w:val="000000"/>
      <w:sz w:val="20"/>
      <w:szCs w:val="20"/>
      <w:u w:val="none"/>
    </w:rPr>
  </w:style>
  <w:style w:type="character" w:styleId="781" w:customStyle="1">
    <w:name w:val="font51"/>
    <w:basedOn w:val="686"/>
    <w:uiPriority w:val="0"/>
    <w:qFormat/>
    <w:rPr>
      <w:rFonts w:hint="default" w:ascii="Times New Roman" w:hAnsi="Times New Roman" w:cs="Times New Roman"/>
      <w:b/>
      <w:bCs/>
      <w:color w:val="000000"/>
      <w:sz w:val="20"/>
      <w:szCs w:val="20"/>
      <w:u w:val="none"/>
    </w:rPr>
  </w:style>
  <w:style w:type="character" w:styleId="782" w:customStyle="1">
    <w:name w:val="font101"/>
    <w:basedOn w:val="686"/>
    <w:uiPriority w:val="0"/>
    <w:qFormat/>
    <w:rPr>
      <w:rFonts w:hint="eastAsia" w:ascii="宋体" w:hAnsi="宋体" w:eastAsia="宋体" w:cs="宋体"/>
      <w:b/>
      <w:bCs/>
      <w:color w:val="000000"/>
      <w:sz w:val="24"/>
      <w:szCs w:val="24"/>
      <w:u w:val="none"/>
    </w:rPr>
  </w:style>
  <w:style w:type="character" w:styleId="783" w:customStyle="1">
    <w:name w:val="font71"/>
    <w:basedOn w:val="686"/>
    <w:uiPriority w:val="0"/>
    <w:qFormat/>
    <w:rPr>
      <w:rFonts w:hint="default" w:ascii="Times New Roman" w:hAnsi="Times New Roman" w:cs="Times New Roman"/>
      <w:b/>
      <w:bCs/>
      <w:color w:val="000000"/>
      <w:sz w:val="24"/>
      <w:szCs w:val="24"/>
      <w:u w:val="none"/>
    </w:rPr>
  </w:style>
  <w:style w:type="character" w:styleId="784" w:customStyle="1">
    <w:name w:val="font91"/>
    <w:basedOn w:val="686"/>
    <w:uiPriority w:val="0"/>
    <w:qFormat/>
    <w:rPr>
      <w:rFonts w:hint="eastAsia" w:ascii="宋体" w:hAnsi="宋体" w:eastAsia="宋体" w:cs="宋体"/>
      <w:color w:val="ff0000"/>
      <w:sz w:val="20"/>
      <w:szCs w:val="20"/>
      <w:u w:val="none"/>
    </w:rPr>
  </w:style>
  <w:style w:type="character" w:styleId="785" w:customStyle="1">
    <w:name w:val="font41"/>
    <w:basedOn w:val="686"/>
    <w:uiPriority w:val="0"/>
    <w:qFormat/>
    <w:rPr>
      <w:rFonts w:hint="eastAsia" w:ascii="宋体" w:hAnsi="宋体" w:eastAsia="宋体" w:cs="宋体"/>
      <w:color w:val="ff0000"/>
      <w:sz w:val="20"/>
      <w:szCs w:val="20"/>
      <w:u w:val="none"/>
    </w:rPr>
  </w:style>
  <w:style w:type="paragraph" w:styleId="786"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787" w:customStyle="1">
    <w:name w:val="标题 5 字符"/>
    <w:basedOn w:val="686"/>
    <w:link w:val="681"/>
    <w:uiPriority w:val="99"/>
    <w:qFormat/>
    <w:rPr>
      <w:b/>
      <w:bCs/>
      <w:sz w:val="28"/>
      <w:szCs w:val="28"/>
    </w:rPr>
  </w:style>
  <w:style w:type="character" w:styleId="788" w:customStyle="1">
    <w:name w:val="标题 7 字符"/>
    <w:basedOn w:val="686"/>
    <w:link w:val="683"/>
    <w:uiPriority w:val="99"/>
    <w:qFormat/>
    <w:rPr>
      <w:b/>
      <w:bCs/>
      <w:sz w:val="24"/>
      <w:szCs w:val="24"/>
    </w:rPr>
  </w:style>
  <w:style w:type="character" w:styleId="789" w:customStyle="1">
    <w:name w:val="标题 9 字符"/>
    <w:basedOn w:val="686"/>
    <w:link w:val="685"/>
    <w:uiPriority w:val="99"/>
    <w:qFormat/>
    <w:rPr>
      <w:rFonts w:ascii="Cambria" w:hAnsi="Cambria"/>
      <w:sz w:val="21"/>
      <w:szCs w:val="21"/>
    </w:rPr>
  </w:style>
  <w:style w:type="character" w:styleId="790" w:customStyle="1">
    <w:name w:val="标题 1 Char"/>
    <w:basedOn w:val="686"/>
    <w:uiPriority w:val="9"/>
    <w:qFormat/>
    <w:rPr>
      <w:rFonts w:ascii="Tahoma" w:hAnsi="Tahoma"/>
      <w:b/>
      <w:bCs/>
      <w:sz w:val="44"/>
      <w:szCs w:val="44"/>
    </w:rPr>
  </w:style>
  <w:style w:type="character" w:styleId="791" w:customStyle="1">
    <w:name w:val="注释标题 字符"/>
    <w:basedOn w:val="686"/>
    <w:link w:val="693"/>
    <w:uiPriority w:val="99"/>
    <w:qFormat/>
    <w:rPr>
      <w:rFonts w:ascii="Verdana" w:hAnsi="Verdana"/>
      <w:sz w:val="21"/>
    </w:rPr>
  </w:style>
  <w:style w:type="character" w:styleId="792" w:customStyle="1">
    <w:name w:val="正文文本 3 字符"/>
    <w:basedOn w:val="686"/>
    <w:link w:val="698"/>
    <w:uiPriority w:val="99"/>
    <w:qFormat/>
    <w:rPr>
      <w:rFonts w:ascii="宋体"/>
      <w:sz w:val="24"/>
    </w:rPr>
  </w:style>
  <w:style w:type="character" w:styleId="793" w:customStyle="1">
    <w:name w:val="正文文本缩进 字符"/>
    <w:basedOn w:val="686"/>
    <w:uiPriority w:val="0"/>
    <w:qFormat/>
    <w:rPr>
      <w:rFonts w:ascii="Times New Roman" w:hAnsi="Times New Roman" w:eastAsia="宋体"/>
      <w:sz w:val="21"/>
      <w:szCs w:val="24"/>
    </w:rPr>
  </w:style>
  <w:style w:type="character" w:styleId="794" w:customStyle="1">
    <w:name w:val="纯文本 字符1"/>
    <w:basedOn w:val="686"/>
    <w:uiPriority w:val="0"/>
    <w:qFormat/>
    <w:rPr>
      <w:rFonts w:ascii="Ari" w:hAnsi="Times New Roman" w:eastAsia="宋体"/>
    </w:rPr>
  </w:style>
  <w:style w:type="character" w:styleId="795" w:customStyle="1">
    <w:name w:val="正文文本缩进 2 字符"/>
    <w:basedOn w:val="686"/>
    <w:link w:val="706"/>
    <w:uiPriority w:val="0"/>
    <w:qFormat/>
    <w:rPr>
      <w:rFonts w:ascii="宋体"/>
    </w:rPr>
  </w:style>
  <w:style w:type="character" w:styleId="796" w:customStyle="1">
    <w:name w:val="副标题 字符"/>
    <w:basedOn w:val="686"/>
    <w:link w:val="712"/>
    <w:uiPriority w:val="0"/>
    <w:qFormat/>
    <w:rPr>
      <w:rFonts w:ascii="Cambria" w:hAnsi="Cambria"/>
      <w:b/>
      <w:bCs/>
      <w:sz w:val="32"/>
      <w:szCs w:val="32"/>
    </w:rPr>
  </w:style>
  <w:style w:type="character" w:styleId="797" w:customStyle="1">
    <w:name w:val="正文文本缩进 3 字符"/>
    <w:basedOn w:val="686"/>
    <w:link w:val="714"/>
    <w:uiPriority w:val="0"/>
    <w:qFormat/>
    <w:rPr>
      <w:sz w:val="16"/>
    </w:rPr>
  </w:style>
  <w:style w:type="character" w:styleId="798" w:customStyle="1">
    <w:name w:val="HTML 预设格式 字符"/>
    <w:basedOn w:val="686"/>
    <w:link w:val="718"/>
    <w:uiPriority w:val="0"/>
    <w:qFormat/>
    <w:rPr>
      <w:rFonts w:ascii="宋体" w:hAnsi="宋体"/>
      <w:sz w:val="24"/>
      <w:szCs w:val="24"/>
    </w:rPr>
  </w:style>
  <w:style w:type="paragraph" w:styleId="799" w:customStyle="1">
    <w:name w:val="[Normal]"/>
    <w:uiPriority w:val="99"/>
    <w:qFormat/>
    <w:rPr>
      <w:rFonts w:ascii="方正仿宋简体" w:hAnsi="方正仿宋简体" w:eastAsia="方正仿宋简体" w:cs="Courier New"/>
      <w:sz w:val="24"/>
      <w:szCs w:val="22"/>
      <w:lang w:val="zh-CN" w:eastAsia="zh-CN" w:bidi="ar-SA"/>
    </w:rPr>
  </w:style>
  <w:style w:type="character" w:styleId="800" w:customStyle="1">
    <w:name w:val="Heading 3 Char"/>
    <w:uiPriority w:val="99"/>
    <w:qFormat/>
    <w:rPr>
      <w:rFonts w:ascii="Times New Roman" w:hAnsi="Times New Roman" w:eastAsia="宋体" w:cs="Times New Roman"/>
      <w:b/>
      <w:bCs/>
      <w:sz w:val="24"/>
      <w:szCs w:val="24"/>
    </w:rPr>
  </w:style>
  <w:style w:type="paragraph" w:styleId="801" w:customStyle="1">
    <w:name w:val="首行缩进"/>
    <w:basedOn w:val="676"/>
    <w:uiPriority w:val="0"/>
    <w:qFormat/>
    <w:pPr>
      <w:ind w:firstLine="480"/>
      <w:jc w:val="left"/>
      <w:spacing w:line="360" w:lineRule="auto"/>
    </w:pPr>
    <w:rPr>
      <w:rFonts w:ascii="宋体" w:hAnsi="宋体"/>
      <w:sz w:val="24"/>
    </w:rPr>
  </w:style>
  <w:style w:type="character" w:styleId="802" w:customStyle="1">
    <w:name w:val="明显强调1"/>
    <w:uiPriority w:val="99"/>
    <w:qFormat/>
    <w:rPr>
      <w:b/>
      <w:i/>
      <w:color w:val="4f81bd"/>
    </w:rPr>
  </w:style>
  <w:style w:type="character" w:styleId="803" w:customStyle="1">
    <w:name w:val="批注文字 Char2"/>
    <w:uiPriority w:val="99"/>
    <w:qFormat/>
    <w:rPr>
      <w:sz w:val="21"/>
    </w:rPr>
  </w:style>
  <w:style w:type="character" w:styleId="804" w:customStyle="1">
    <w:name w:val="标题 3 Char_0"/>
    <w:link w:val="805"/>
    <w:uiPriority w:val="99"/>
    <w:qFormat/>
    <w:rPr>
      <w:b/>
      <w:sz w:val="32"/>
    </w:rPr>
  </w:style>
  <w:style w:type="paragraph" w:styleId="805" w:customStyle="1">
    <w:name w:val="标题 3_0"/>
    <w:basedOn w:val="806"/>
    <w:next w:val="806"/>
    <w:link w:val="804"/>
    <w:uiPriority w:val="99"/>
    <w:qFormat/>
    <w:pPr>
      <w:keepLines/>
      <w:keepNext/>
      <w:spacing w:before="260" w:after="260" w:line="416" w:lineRule="auto"/>
      <w:outlineLvl w:val="2"/>
    </w:pPr>
    <w:rPr>
      <w:b/>
      <w:sz w:val="32"/>
      <w:szCs w:val="20"/>
    </w:rPr>
  </w:style>
  <w:style w:type="paragraph" w:styleId="806" w:customStyle="1">
    <w:name w:val="正文_0"/>
    <w:uiPriority w:val="0"/>
    <w:qFormat/>
    <w:pPr>
      <w:jc w:val="both"/>
      <w:widowControl w:val="off"/>
    </w:pPr>
    <w:rPr>
      <w:rFonts w:ascii="Times New Roman" w:hAnsi="Times New Roman" w:eastAsia="宋体" w:cs="Times New Roman"/>
      <w:szCs w:val="24"/>
      <w:lang w:val="en-US" w:eastAsia="zh-CN" w:bidi="ar-SA"/>
    </w:rPr>
  </w:style>
  <w:style w:type="character" w:styleId="807" w:customStyle="1">
    <w:name w:val="正文文本 Char2"/>
    <w:uiPriority w:val="99"/>
    <w:semiHidden/>
    <w:qFormat/>
    <w:rPr>
      <w:rFonts w:ascii="Calibri" w:hAnsi="Calibri" w:eastAsia="宋体"/>
    </w:rPr>
  </w:style>
  <w:style w:type="character" w:styleId="808" w:customStyle="1">
    <w:name w:val="页脚 Char1"/>
    <w:uiPriority w:val="99"/>
    <w:semiHidden/>
    <w:qFormat/>
    <w:rPr>
      <w:rFonts w:ascii="Calibri" w:hAnsi="Calibri" w:eastAsia="宋体"/>
      <w:sz w:val="18"/>
    </w:rPr>
  </w:style>
  <w:style w:type="character" w:styleId="809" w:customStyle="1">
    <w:name w:val="明显引用 Char2"/>
    <w:uiPriority w:val="99"/>
    <w:qFormat/>
    <w:rPr>
      <w:b/>
      <w:i/>
      <w:color w:val="4f81bd"/>
      <w:sz w:val="24"/>
    </w:rPr>
  </w:style>
  <w:style w:type="character" w:styleId="810" w:customStyle="1">
    <w:name w:val="引用 Char"/>
    <w:link w:val="811"/>
    <w:uiPriority w:val="99"/>
    <w:qFormat/>
    <w:rPr>
      <w:i/>
      <w:color w:val="000000"/>
    </w:rPr>
  </w:style>
  <w:style w:type="paragraph" w:styleId="811" w:customStyle="1">
    <w:name w:val="引用1"/>
    <w:basedOn w:val="676"/>
    <w:next w:val="676"/>
    <w:link w:val="810"/>
    <w:uiPriority w:val="99"/>
    <w:qFormat/>
    <w:rPr>
      <w:i/>
      <w:color w:val="000000"/>
      <w:sz w:val="20"/>
      <w:szCs w:val="20"/>
    </w:rPr>
  </w:style>
  <w:style w:type="character" w:styleId="812" w:customStyle="1">
    <w:name w:val="标题 1 Char_0"/>
    <w:link w:val="813"/>
    <w:uiPriority w:val="99"/>
    <w:qFormat/>
    <w:rPr>
      <w:b/>
      <w:sz w:val="44"/>
    </w:rPr>
  </w:style>
  <w:style w:type="paragraph" w:styleId="813" w:customStyle="1">
    <w:name w:val="标题 1_0"/>
    <w:basedOn w:val="806"/>
    <w:next w:val="806"/>
    <w:link w:val="812"/>
    <w:uiPriority w:val="99"/>
    <w:qFormat/>
    <w:pPr>
      <w:keepLines/>
      <w:keepNext/>
      <w:spacing w:before="340" w:after="330" w:line="578" w:lineRule="auto"/>
      <w:outlineLvl w:val="0"/>
    </w:pPr>
    <w:rPr>
      <w:b/>
      <w:sz w:val="44"/>
      <w:szCs w:val="20"/>
    </w:rPr>
  </w:style>
  <w:style w:type="character" w:styleId="814" w:customStyle="1">
    <w:name w:val="正文文本缩进 3 Char1"/>
    <w:uiPriority w:val="99"/>
    <w:semiHidden/>
    <w:qFormat/>
    <w:rPr>
      <w:sz w:val="16"/>
    </w:rPr>
  </w:style>
  <w:style w:type="character" w:styleId="815" w:customStyle="1">
    <w:name w:val="引用 Char1"/>
    <w:uiPriority w:val="99"/>
    <w:qFormat/>
    <w:rPr>
      <w:i/>
      <w:color w:val="000000"/>
      <w:sz w:val="21"/>
    </w:rPr>
  </w:style>
  <w:style w:type="character" w:styleId="816" w:customStyle="1">
    <w:name w:val="font161"/>
    <w:uiPriority w:val="99"/>
    <w:qFormat/>
    <w:rPr>
      <w:b/>
      <w:sz w:val="32"/>
    </w:rPr>
  </w:style>
  <w:style w:type="character" w:styleId="817" w:customStyle="1">
    <w:name w:val="标题 4 Char_0"/>
    <w:link w:val="818"/>
    <w:uiPriority w:val="99"/>
    <w:qFormat/>
    <w:rPr>
      <w:rFonts w:ascii="Arial" w:hAnsi="Arial" w:eastAsia="黑体"/>
      <w:b/>
      <w:sz w:val="28"/>
    </w:rPr>
  </w:style>
  <w:style w:type="paragraph" w:styleId="818" w:customStyle="1">
    <w:name w:val="标题 4_0"/>
    <w:basedOn w:val="806"/>
    <w:next w:val="806"/>
    <w:link w:val="817"/>
    <w:uiPriority w:val="99"/>
    <w:qFormat/>
    <w:pPr>
      <w:keepLines/>
      <w:keepNext/>
      <w:spacing w:before="280" w:after="290" w:line="376" w:lineRule="auto"/>
      <w:outlineLvl w:val="3"/>
    </w:pPr>
    <w:rPr>
      <w:rFonts w:ascii="Arial" w:hAnsi="Arial" w:eastAsia="黑体"/>
      <w:b/>
      <w:sz w:val="28"/>
      <w:szCs w:val="20"/>
    </w:rPr>
  </w:style>
  <w:style w:type="character" w:styleId="819" w:customStyle="1">
    <w:name w:val="引用 Char2"/>
    <w:uiPriority w:val="99"/>
    <w:qFormat/>
    <w:rPr>
      <w:i/>
      <w:color w:val="000000"/>
      <w:sz w:val="24"/>
    </w:rPr>
  </w:style>
  <w:style w:type="character" w:styleId="820" w:customStyle="1">
    <w:name w:val="rvts11"/>
    <w:uiPriority w:val="99"/>
    <w:qFormat/>
    <w:rPr>
      <w:rFonts w:ascii="KNLe" w:hAnsi="KNLe"/>
      <w:sz w:val="24"/>
      <w:u w:val="single"/>
    </w:rPr>
  </w:style>
  <w:style w:type="character" w:styleId="821" w:customStyle="1">
    <w:name w:val="标题5 Char Char"/>
    <w:link w:val="822"/>
    <w:uiPriority w:val="99"/>
    <w:qFormat/>
    <w:rPr>
      <w:rFonts w:ascii="Arial" w:hAnsi="Arial"/>
      <w:b/>
      <w:sz w:val="32"/>
    </w:rPr>
  </w:style>
  <w:style w:type="paragraph" w:styleId="822" w:customStyle="1">
    <w:name w:val="标题5"/>
    <w:basedOn w:val="679"/>
    <w:link w:val="821"/>
    <w:uiPriority w:val="99"/>
    <w:qFormat/>
    <w:pPr>
      <w:spacing w:line="413" w:lineRule="auto"/>
    </w:pPr>
    <w:rPr>
      <w:rFonts w:ascii="Arial" w:hAnsi="Arial"/>
      <w:bCs w:val="0"/>
      <w:szCs w:val="20"/>
    </w:rPr>
  </w:style>
  <w:style w:type="character" w:styleId="823" w:customStyle="1">
    <w:name w:val="副标题 Char2"/>
    <w:uiPriority w:val="99"/>
    <w:qFormat/>
    <w:rPr>
      <w:rFonts w:ascii="Cambria" w:hAnsi="Cambria"/>
      <w:b/>
      <w:sz w:val="32"/>
    </w:rPr>
  </w:style>
  <w:style w:type="character" w:styleId="824" w:customStyle="1">
    <w:name w:val="批注主题 Char1"/>
    <w:uiPriority w:val="99"/>
    <w:qFormat/>
    <w:rPr>
      <w:b/>
      <w:sz w:val="22"/>
    </w:rPr>
  </w:style>
  <w:style w:type="character" w:styleId="825" w:customStyle="1">
    <w:name w:val="明显引用 Char"/>
    <w:link w:val="826"/>
    <w:uiPriority w:val="99"/>
    <w:qFormat/>
    <w:rPr>
      <w:b/>
      <w:i/>
      <w:color w:val="4f81bd"/>
    </w:rPr>
  </w:style>
  <w:style w:type="paragraph" w:styleId="826" w:customStyle="1">
    <w:name w:val="明显引用1"/>
    <w:basedOn w:val="676"/>
    <w:next w:val="676"/>
    <w:link w:val="825"/>
    <w:uiPriority w:val="99"/>
    <w:qFormat/>
    <w:pPr>
      <w:ind w:left="936" w:right="936"/>
      <w:spacing w:before="200" w:after="280"/>
      <w:pBdr>
        <w:bottom w:val="single" w:color="4F81BD" w:sz="4" w:space="4"/>
      </w:pBdr>
    </w:pPr>
    <w:rPr>
      <w:b/>
      <w:i/>
      <w:color w:val="4f81bd"/>
      <w:sz w:val="20"/>
      <w:szCs w:val="20"/>
    </w:rPr>
  </w:style>
  <w:style w:type="character" w:styleId="827" w:customStyle="1">
    <w:name w:val="日期 Char1"/>
    <w:uiPriority w:val="99"/>
    <w:qFormat/>
    <w:rPr>
      <w:rFonts w:ascii="Calibri" w:hAnsi="Calibri" w:eastAsia="宋体"/>
    </w:rPr>
  </w:style>
  <w:style w:type="character" w:styleId="828" w:customStyle="1">
    <w:name w:val="批注框文本 Char1"/>
    <w:uiPriority w:val="99"/>
    <w:qFormat/>
    <w:rPr>
      <w:sz w:val="18"/>
    </w:rPr>
  </w:style>
  <w:style w:type="character" w:styleId="829" w:customStyle="1">
    <w:name w:val="标题 Char1"/>
    <w:uiPriority w:val="99"/>
    <w:qFormat/>
    <w:rPr>
      <w:rFonts w:ascii="Cambria" w:hAnsi="Cambria" w:eastAsia="宋体"/>
      <w:b/>
      <w:sz w:val="32"/>
    </w:rPr>
  </w:style>
  <w:style w:type="character" w:styleId="830" w:customStyle="1">
    <w:name w:val="不明显参考1"/>
    <w:uiPriority w:val="99"/>
    <w:qFormat/>
    <w:rPr>
      <w:smallCaps/>
      <w:color w:val="c0504d"/>
      <w:u w:val="single"/>
    </w:rPr>
  </w:style>
  <w:style w:type="character" w:styleId="831" w:customStyle="1">
    <w:name w:val="批注文字 Char1"/>
    <w:uiPriority w:val="0"/>
    <w:qFormat/>
    <w:rPr>
      <w:rFonts w:ascii="Calibri" w:hAnsi="Calibri" w:eastAsia="宋体"/>
    </w:rPr>
  </w:style>
  <w:style w:type="character" w:styleId="832" w:customStyle="1">
    <w:name w:val="标题 Char2"/>
    <w:uiPriority w:val="99"/>
    <w:qFormat/>
    <w:rPr>
      <w:rFonts w:ascii="Cambria" w:hAnsi="Cambria"/>
      <w:b/>
      <w:sz w:val="32"/>
    </w:rPr>
  </w:style>
  <w:style w:type="character" w:styleId="833" w:customStyle="1">
    <w:name w:val="正文文本 3 Char1"/>
    <w:uiPriority w:val="99"/>
    <w:semiHidden/>
    <w:qFormat/>
    <w:rPr>
      <w:sz w:val="16"/>
    </w:rPr>
  </w:style>
  <w:style w:type="character" w:styleId="834" w:customStyle="1">
    <w:name w:val="批注主题 Char2"/>
    <w:uiPriority w:val="99"/>
    <w:qFormat/>
    <w:rPr>
      <w:b/>
      <w:sz w:val="21"/>
    </w:rPr>
  </w:style>
  <w:style w:type="character" w:styleId="835" w:customStyle="1">
    <w:name w:val="正文文本 Char_0"/>
    <w:link w:val="836"/>
    <w:uiPriority w:val="99"/>
    <w:qFormat/>
    <w:rPr>
      <w:sz w:val="24"/>
    </w:rPr>
  </w:style>
  <w:style w:type="paragraph" w:styleId="836" w:customStyle="1">
    <w:name w:val="正文文本_0"/>
    <w:basedOn w:val="806"/>
    <w:link w:val="835"/>
    <w:uiPriority w:val="99"/>
    <w:qFormat/>
    <w:pPr>
      <w:spacing w:after="120"/>
    </w:pPr>
    <w:rPr>
      <w:sz w:val="24"/>
      <w:szCs w:val="20"/>
    </w:rPr>
  </w:style>
  <w:style w:type="character" w:styleId="837" w:customStyle="1">
    <w:name w:val="bookmark"/>
    <w:uiPriority w:val="99"/>
    <w:qFormat/>
    <w:rPr>
      <w:rFonts w:cs="Times New Roman"/>
    </w:rPr>
  </w:style>
  <w:style w:type="character" w:styleId="838" w:customStyle="1">
    <w:name w:val="标题 5 Char_0"/>
    <w:link w:val="839"/>
    <w:uiPriority w:val="99"/>
    <w:qFormat/>
    <w:rPr>
      <w:b/>
      <w:sz w:val="28"/>
    </w:rPr>
  </w:style>
  <w:style w:type="paragraph" w:styleId="839" w:customStyle="1">
    <w:name w:val="标题 5_0"/>
    <w:basedOn w:val="806"/>
    <w:next w:val="806"/>
    <w:link w:val="838"/>
    <w:uiPriority w:val="99"/>
    <w:qFormat/>
    <w:pPr>
      <w:keepLines/>
      <w:keepNext/>
      <w:spacing w:before="280" w:after="290" w:line="372" w:lineRule="auto"/>
      <w:outlineLvl w:val="4"/>
    </w:pPr>
    <w:rPr>
      <w:b/>
      <w:sz w:val="28"/>
      <w:szCs w:val="20"/>
    </w:rPr>
  </w:style>
  <w:style w:type="character" w:styleId="840" w:customStyle="1">
    <w:name w:val="明显参考1"/>
    <w:uiPriority w:val="99"/>
    <w:qFormat/>
    <w:rPr>
      <w:b/>
      <w:smallCaps/>
      <w:color w:val="c0504d"/>
      <w:spacing w:val="5"/>
      <w:u w:val="single"/>
    </w:rPr>
  </w:style>
  <w:style w:type="character" w:styleId="841" w:customStyle="1">
    <w:name w:val="超链接_0"/>
    <w:uiPriority w:val="99"/>
    <w:qFormat/>
    <w:rPr>
      <w:rFonts w:ascii="Calibri" w:hAnsi="Calibri"/>
      <w:color w:val="0000ff"/>
      <w:u w:val="single"/>
    </w:rPr>
  </w:style>
  <w:style w:type="character" w:styleId="842" w:customStyle="1">
    <w:name w:val="文档结构图 Char2"/>
    <w:uiPriority w:val="99"/>
    <w:semiHidden/>
    <w:qFormat/>
    <w:rPr>
      <w:rFonts w:ascii="宋体" w:hAnsi="Calibri" w:eastAsia="宋体"/>
      <w:sz w:val="18"/>
    </w:rPr>
  </w:style>
  <w:style w:type="character" w:styleId="843" w:customStyle="1">
    <w:name w:val="textcontents"/>
    <w:uiPriority w:val="99"/>
    <w:qFormat/>
  </w:style>
  <w:style w:type="character" w:styleId="844" w:customStyle="1">
    <w:name w:val="副标题 Char1"/>
    <w:uiPriority w:val="99"/>
    <w:qFormat/>
    <w:rPr>
      <w:rFonts w:ascii="Cambria" w:hAnsi="Cambria"/>
      <w:b/>
      <w:sz w:val="32"/>
    </w:rPr>
  </w:style>
  <w:style w:type="character" w:styleId="845" w:customStyle="1">
    <w:name w:val="书籍标题1"/>
    <w:uiPriority w:val="99"/>
    <w:qFormat/>
    <w:rPr>
      <w:b/>
      <w:smallCaps/>
      <w:spacing w:val="5"/>
    </w:rPr>
  </w:style>
  <w:style w:type="character" w:styleId="846" w:customStyle="1">
    <w:name w:val="标题4 Char Char"/>
    <w:link w:val="847"/>
    <w:uiPriority w:val="99"/>
    <w:qFormat/>
    <w:rPr>
      <w:rFonts w:ascii="Arial" w:hAnsi="Arial"/>
      <w:b/>
      <w:sz w:val="32"/>
    </w:rPr>
  </w:style>
  <w:style w:type="paragraph" w:styleId="847" w:customStyle="1">
    <w:name w:val="标题4"/>
    <w:basedOn w:val="678"/>
    <w:next w:val="700"/>
    <w:link w:val="846"/>
    <w:uiPriority w:val="99"/>
    <w:qFormat/>
    <w:pPr>
      <w:spacing w:line="413" w:lineRule="auto"/>
    </w:pPr>
    <w:rPr>
      <w:rFonts w:ascii="Arial" w:hAnsi="Arial" w:eastAsia="宋体"/>
      <w:bCs w:val="0"/>
      <w:szCs w:val="20"/>
    </w:rPr>
  </w:style>
  <w:style w:type="character" w:styleId="848" w:customStyle="1">
    <w:name w:val="正文文本 Char1"/>
    <w:uiPriority w:val="99"/>
    <w:qFormat/>
    <w:rPr>
      <w:rFonts w:ascii="Calibri" w:hAnsi="Calibri" w:eastAsia="宋体"/>
    </w:rPr>
  </w:style>
  <w:style w:type="character" w:styleId="849" w:customStyle="1">
    <w:name w:val="明显引用 Char1"/>
    <w:uiPriority w:val="99"/>
    <w:qFormat/>
    <w:rPr>
      <w:b/>
      <w:i/>
      <w:color w:val="4f81bd"/>
      <w:sz w:val="21"/>
    </w:rPr>
  </w:style>
  <w:style w:type="character" w:styleId="850" w:customStyle="1">
    <w:name w:val="页眉 Char1"/>
    <w:uiPriority w:val="99"/>
    <w:semiHidden/>
    <w:qFormat/>
    <w:rPr>
      <w:rFonts w:ascii="Calibri" w:hAnsi="Calibri" w:eastAsia="宋体"/>
      <w:sz w:val="18"/>
    </w:rPr>
  </w:style>
  <w:style w:type="character" w:styleId="851" w:customStyle="1">
    <w:name w:val="不明显强调1"/>
    <w:uiPriority w:val="99"/>
    <w:qFormat/>
    <w:rPr>
      <w:i/>
      <w:color w:val="808080"/>
    </w:rPr>
  </w:style>
  <w:style w:type="character" w:styleId="852" w:customStyle="1">
    <w:name w:val="文档结构图 Char1"/>
    <w:uiPriority w:val="99"/>
    <w:qFormat/>
    <w:rPr>
      <w:rFonts w:ascii="宋体" w:hAnsi="Calibri" w:eastAsia="宋体"/>
      <w:sz w:val="18"/>
    </w:rPr>
  </w:style>
  <w:style w:type="character" w:styleId="853" w:customStyle="1">
    <w:name w:val="标题 2 Char_0"/>
    <w:link w:val="854"/>
    <w:uiPriority w:val="99"/>
    <w:qFormat/>
    <w:rPr>
      <w:rFonts w:ascii="Cambria" w:hAnsi="Cambria"/>
      <w:b/>
      <w:sz w:val="32"/>
    </w:rPr>
  </w:style>
  <w:style w:type="paragraph" w:styleId="854" w:customStyle="1">
    <w:name w:val="标题 2_0"/>
    <w:basedOn w:val="806"/>
    <w:next w:val="806"/>
    <w:link w:val="853"/>
    <w:uiPriority w:val="99"/>
    <w:qFormat/>
    <w:pPr>
      <w:keepLines/>
      <w:keepNext/>
      <w:spacing w:before="260" w:after="260" w:line="416" w:lineRule="auto"/>
      <w:outlineLvl w:val="1"/>
    </w:pPr>
    <w:rPr>
      <w:rFonts w:ascii="Cambria" w:hAnsi="Cambria"/>
      <w:b/>
      <w:sz w:val="32"/>
      <w:szCs w:val="20"/>
    </w:rPr>
  </w:style>
  <w:style w:type="character" w:styleId="855" w:customStyle="1">
    <w:name w:val="日期 Char2"/>
    <w:uiPriority w:val="99"/>
    <w:semiHidden/>
    <w:qFormat/>
    <w:rPr>
      <w:rFonts w:ascii="Calibri" w:hAnsi="Calibri" w:eastAsia="宋体"/>
    </w:rPr>
  </w:style>
  <w:style w:type="character" w:styleId="856" w:customStyle="1">
    <w:name w:val="批注框文本 Char2"/>
    <w:uiPriority w:val="99"/>
    <w:semiHidden/>
    <w:qFormat/>
    <w:rPr>
      <w:rFonts w:ascii="Calibri" w:hAnsi="Calibri" w:eastAsia="宋体"/>
      <w:sz w:val="18"/>
    </w:rPr>
  </w:style>
  <w:style w:type="character" w:styleId="857" w:customStyle="1">
    <w:name w:val="列出段落 Char"/>
    <w:link w:val="858"/>
    <w:uiPriority w:val="99"/>
    <w:qFormat/>
    <w:rPr>
      <w:sz w:val="24"/>
    </w:rPr>
  </w:style>
  <w:style w:type="paragraph" w:styleId="858" w:customStyle="1">
    <w:name w:val="List Paragraph1"/>
    <w:basedOn w:val="676"/>
    <w:link w:val="857"/>
    <w:uiPriority w:val="99"/>
    <w:qFormat/>
    <w:pPr>
      <w:ind w:firstLine="420"/>
    </w:pPr>
    <w:rPr>
      <w:sz w:val="24"/>
      <w:szCs w:val="20"/>
    </w:rPr>
  </w:style>
  <w:style w:type="paragraph" w:styleId="859" w:customStyle="1">
    <w:name w:val="样式 标题 3 + (中文) 黑体 小四 非加粗 段前: 7.8 磅 段后: 0 磅 行距: 固定值 20 磅"/>
    <w:basedOn w:val="679"/>
    <w:next w:val="676"/>
    <w:uiPriority w:val="99"/>
    <w:qFormat/>
    <w:pPr>
      <w:spacing w:before="0" w:after="0" w:line="400" w:lineRule="exact"/>
    </w:pPr>
    <w:rPr>
      <w:rFonts w:eastAsia="黑体" w:cs="宋体"/>
      <w:b w:val="0"/>
      <w:bCs w:val="0"/>
      <w:sz w:val="24"/>
      <w:szCs w:val="20"/>
    </w:rPr>
  </w:style>
  <w:style w:type="paragraph" w:styleId="860" w:customStyle="1">
    <w:name w:val="_Style 34"/>
    <w:next w:val="676"/>
    <w:uiPriority w:val="99"/>
    <w:qFormat/>
    <w:pPr>
      <w:jc w:val="both"/>
      <w:widowControl w:val="off"/>
    </w:pPr>
    <w:rPr>
      <w:rFonts w:ascii="Times New Roman" w:hAnsi="Times New Roman" w:eastAsia="宋体" w:cs="Times New Roman"/>
      <w:sz w:val="21"/>
      <w:lang w:val="en-US" w:eastAsia="zh-CN" w:bidi="ar-SA"/>
    </w:rPr>
  </w:style>
  <w:style w:type="paragraph" w:styleId="861" w:customStyle="1">
    <w:name w:val="正文_3"/>
    <w:uiPriority w:val="99"/>
    <w:qFormat/>
    <w:pPr>
      <w:jc w:val="both"/>
      <w:widowControl w:val="off"/>
    </w:pPr>
    <w:rPr>
      <w:rFonts w:ascii="Times New Roman" w:hAnsi="Times New Roman" w:eastAsia="宋体" w:cs="Times New Roman"/>
      <w:sz w:val="21"/>
      <w:szCs w:val="22"/>
      <w:lang w:val="en-US" w:eastAsia="zh-CN" w:bidi="ar-SA"/>
    </w:rPr>
  </w:style>
  <w:style w:type="paragraph" w:styleId="862" w:customStyle="1">
    <w:name w:val="_Style 36"/>
    <w:next w:val="676"/>
    <w:uiPriority w:val="99"/>
    <w:qFormat/>
    <w:pPr>
      <w:jc w:val="both"/>
      <w:widowControl w:val="off"/>
    </w:pPr>
    <w:rPr>
      <w:rFonts w:ascii="Times New Roman" w:hAnsi="Times New Roman" w:eastAsia="宋体" w:cs="Times New Roman"/>
      <w:sz w:val="21"/>
      <w:lang w:val="en-US" w:eastAsia="zh-CN" w:bidi="ar-SA"/>
    </w:rPr>
  </w:style>
  <w:style w:type="paragraph" w:styleId="863" w:customStyle="1">
    <w:name w:val="空半行"/>
    <w:basedOn w:val="676"/>
    <w:uiPriority w:val="99"/>
    <w:qFormat/>
    <w:pPr>
      <w:spacing w:line="120" w:lineRule="exact"/>
    </w:pPr>
    <w:rPr>
      <w:rFonts w:ascii="Calibri" w:hAnsi="Calibri" w:eastAsia="仿宋_GB2312"/>
      <w:color w:val="ffffff"/>
      <w:sz w:val="30"/>
      <w:szCs w:val="22"/>
    </w:rPr>
  </w:style>
  <w:style w:type="paragraph" w:styleId="864" w:customStyle="1">
    <w:name w:val="1方案格式1"/>
    <w:basedOn w:val="677"/>
    <w:uiPriority w:val="99"/>
    <w:qFormat/>
    <w:pPr>
      <w:numPr>
        <w:ilvl w:val="0"/>
        <w:numId w:val="1"/>
      </w:numPr>
      <w:ind w:left="0" w:right="0" w:firstLine="0"/>
      <w:jc w:val="center"/>
      <w:spacing w:line="360" w:lineRule="auto"/>
      <w:tabs>
        <w:tab w:val="left" w:pos="360" w:leader="none"/>
      </w:tabs>
    </w:pPr>
    <w:rPr>
      <w:rFonts w:eastAsia="微软雅黑"/>
      <w:bCs w:val="0"/>
      <w:sz w:val="48"/>
    </w:rPr>
  </w:style>
  <w:style w:type="paragraph" w:styleId="865" w:customStyle="1">
    <w:name w:val="格式３"/>
    <w:basedOn w:val="676"/>
    <w:uiPriority w:val="99"/>
    <w:qFormat/>
    <w:pPr>
      <w:ind w:left="600" w:hanging="600"/>
      <w:spacing w:line="420" w:lineRule="exact"/>
    </w:pPr>
    <w:rPr>
      <w:rFonts w:ascii="宋体" w:hAnsi="宋体"/>
      <w:color w:val="000000"/>
      <w:sz w:val="24"/>
      <w:szCs w:val="20"/>
    </w:rPr>
  </w:style>
  <w:style w:type="paragraph" w:styleId="866" w:customStyle="1">
    <w:name w:val="正文1"/>
    <w:uiPriority w:val="0"/>
    <w:qFormat/>
    <w:pPr>
      <w:jc w:val="both"/>
      <w:widowControl w:val="off"/>
    </w:pPr>
    <w:rPr>
      <w:rFonts w:ascii="Calibri" w:hAnsi="Calibri" w:eastAsia="宋体" w:cs="Times New Roman"/>
      <w:lang w:val="en-US" w:eastAsia="zh-CN" w:bidi="ar-SA"/>
    </w:rPr>
  </w:style>
  <w:style w:type="paragraph" w:styleId="867" w:customStyle="1">
    <w:name w:val="正文空2字"/>
    <w:basedOn w:val="676"/>
    <w:uiPriority w:val="99"/>
    <w:qFormat/>
    <w:pPr>
      <w:ind w:firstLine="200"/>
      <w:spacing w:line="360" w:lineRule="auto"/>
    </w:pPr>
    <w:rPr>
      <w:sz w:val="24"/>
    </w:rPr>
  </w:style>
  <w:style w:type="paragraph" w:styleId="868" w:customStyle="1">
    <w:name w:val="正文_0_0_0"/>
    <w:uiPriority w:val="99"/>
    <w:qFormat/>
    <w:pPr>
      <w:jc w:val="both"/>
      <w:widowControl w:val="off"/>
    </w:pPr>
    <w:rPr>
      <w:rFonts w:ascii="Times New Roman" w:hAnsi="Times New Roman" w:eastAsia="宋体" w:cs="Times New Roman"/>
      <w:lang w:val="en-US" w:eastAsia="zh-CN" w:bidi="ar-SA"/>
    </w:rPr>
  </w:style>
  <w:style w:type="paragraph" w:styleId="869" w:customStyle="1">
    <w:name w:val="目录 5_0"/>
    <w:basedOn w:val="806"/>
    <w:next w:val="806"/>
    <w:uiPriority w:val="99"/>
    <w:qFormat/>
    <w:pPr>
      <w:ind w:left="1680"/>
    </w:pPr>
    <w:rPr>
      <w:rFonts w:ascii="Calibri" w:hAnsi="Calibri"/>
    </w:rPr>
  </w:style>
  <w:style w:type="paragraph" w:styleId="870" w:customStyle="1">
    <w:name w:val="修订11"/>
    <w:uiPriority w:val="99"/>
    <w:qFormat/>
    <w:rPr>
      <w:rFonts w:ascii="Times New Roman" w:hAnsi="Times New Roman" w:eastAsia="宋体" w:cs="Times New Roman"/>
      <w:sz w:val="21"/>
      <w:szCs w:val="24"/>
      <w:lang w:val="en-US" w:eastAsia="zh-CN" w:bidi="ar-SA"/>
    </w:rPr>
  </w:style>
  <w:style w:type="paragraph" w:styleId="871" w:customStyle="1">
    <w:name w:val="标题 11"/>
    <w:basedOn w:val="866"/>
    <w:next w:val="866"/>
    <w:uiPriority w:val="99"/>
    <w:qFormat/>
    <w:pPr>
      <w:keepLines/>
      <w:keepNext/>
      <w:spacing w:before="340" w:after="330" w:line="576" w:lineRule="auto"/>
      <w:outlineLvl w:val="0"/>
    </w:pPr>
    <w:rPr>
      <w:rFonts w:ascii="Times New Roman" w:hAnsi="Times New Roman"/>
      <w:b/>
      <w:sz w:val="44"/>
      <w:lang w:val="zh-CN"/>
    </w:rPr>
  </w:style>
  <w:style w:type="paragraph" w:styleId="872" w:customStyle="1">
    <w:name w:val="正文 + 行距: 固定值 20 磅"/>
    <w:basedOn w:val="676"/>
    <w:uiPriority w:val="99"/>
    <w:qFormat/>
    <w:pPr>
      <w:ind w:firstLine="716"/>
      <w:spacing w:line="400" w:lineRule="exact"/>
    </w:pPr>
    <w:rPr>
      <w:rFonts w:ascii="Calibri" w:hAnsi="Calibri"/>
      <w:szCs w:val="22"/>
    </w:rPr>
  </w:style>
  <w:style w:type="paragraph" w:styleId="873" w:customStyle="1">
    <w:name w:val="TOC 标题11"/>
    <w:basedOn w:val="677"/>
    <w:next w:val="676"/>
    <w:uiPriority w:val="99"/>
    <w:qFormat/>
    <w:pPr>
      <w:ind w:left="0" w:right="0"/>
      <w:jc w:val="left"/>
      <w:spacing w:before="480" w:after="0" w:line="276" w:lineRule="auto"/>
      <w:widowControl/>
      <w:outlineLvl w:val="9"/>
    </w:pPr>
    <w:rPr>
      <w:rFonts w:ascii="Cambria" w:hAnsi="Cambria"/>
      <w:color w:val="365f91"/>
      <w:sz w:val="28"/>
      <w:szCs w:val="28"/>
    </w:rPr>
  </w:style>
  <w:style w:type="paragraph" w:styleId="874" w:customStyle="1">
    <w:name w:val="表格文字"/>
    <w:basedOn w:val="676"/>
    <w:link w:val="901"/>
    <w:uiPriority w:val="99"/>
    <w:qFormat/>
    <w:pPr>
      <w:jc w:val="left"/>
      <w:spacing w:line="420" w:lineRule="atLeast"/>
    </w:pPr>
    <w:rPr>
      <w:rFonts w:ascii="Calibri" w:hAnsi="Calibri"/>
      <w:sz w:val="22"/>
      <w:szCs w:val="20"/>
    </w:rPr>
  </w:style>
  <w:style w:type="paragraph" w:styleId="875" w:customStyle="1">
    <w:name w:val="flNote"/>
    <w:basedOn w:val="676"/>
    <w:uiPriority w:val="99"/>
    <w:qFormat/>
    <w:pPr>
      <w:jc w:val="center"/>
      <w:spacing w:before="320" w:after="160" w:line="360" w:lineRule="atLeast"/>
    </w:pPr>
    <w:rPr>
      <w:rFonts w:ascii="Arial" w:hAnsi="Calibri" w:eastAsia="黑体"/>
      <w:sz w:val="30"/>
      <w:szCs w:val="22"/>
    </w:rPr>
  </w:style>
  <w:style w:type="paragraph" w:styleId="876" w:customStyle="1">
    <w:name w:val="文章正文"/>
    <w:basedOn w:val="676"/>
    <w:uiPriority w:val="99"/>
    <w:qFormat/>
    <w:pPr>
      <w:ind w:firstLine="480"/>
      <w:spacing w:line="360" w:lineRule="auto"/>
    </w:pPr>
    <w:rPr>
      <w:rFonts w:ascii="仿宋_GB2312" w:hAnsi="宋体" w:eastAsia="仿宋_GB2312"/>
      <w:color w:val="ff0000"/>
      <w:sz w:val="24"/>
    </w:rPr>
  </w:style>
  <w:style w:type="paragraph" w:styleId="877" w:customStyle="1">
    <w:name w:val="表格"/>
    <w:basedOn w:val="676"/>
    <w:uiPriority w:val="99"/>
    <w:qFormat/>
    <w:pPr>
      <w:jc w:val="center"/>
    </w:pPr>
    <w:rPr>
      <w:rFonts w:ascii="华文细黑" w:hAnsi="华文细黑"/>
      <w:szCs w:val="22"/>
    </w:rPr>
  </w:style>
  <w:style w:type="paragraph" w:styleId="878" w:customStyle="1">
    <w:name w:val="Char"/>
    <w:basedOn w:val="676"/>
    <w:uiPriority w:val="0"/>
    <w:qFormat/>
    <w:pPr>
      <w:jc w:val="left"/>
      <w:spacing w:after="160" w:line="240" w:lineRule="exact"/>
      <w:widowControl/>
    </w:pPr>
    <w:rPr>
      <w:rFonts w:ascii="Verdana" w:hAnsi="Verdana"/>
      <w:sz w:val="20"/>
      <w:szCs w:val="20"/>
      <w:lang w:eastAsia="en-US"/>
    </w:rPr>
  </w:style>
  <w:style w:type="paragraph" w:styleId="879" w:customStyle="1">
    <w:name w:val="6'"/>
    <w:basedOn w:val="676"/>
    <w:uiPriority w:val="99"/>
    <w:qFormat/>
    <w:pPr>
      <w:jc w:val="center"/>
      <w:spacing w:line="320" w:lineRule="exact"/>
    </w:pPr>
    <w:rPr>
      <w:rFonts w:ascii="Calibri" w:hAnsi="Calibri"/>
      <w:spacing w:val="20"/>
      <w:szCs w:val="22"/>
    </w:rPr>
  </w:style>
  <w:style w:type="paragraph" w:styleId="880" w:customStyle="1">
    <w:name w:val="Char Char Char Char Char Char Char"/>
    <w:basedOn w:val="676"/>
    <w:uiPriority w:val="99"/>
    <w:qFormat/>
    <w:pPr>
      <w:spacing w:line="360" w:lineRule="auto"/>
    </w:pPr>
    <w:rPr>
      <w:sz w:val="24"/>
      <w:szCs w:val="20"/>
    </w:rPr>
  </w:style>
  <w:style w:type="paragraph" w:styleId="881" w:customStyle="1">
    <w:name w:val="2方案格式2"/>
    <w:basedOn w:val="864"/>
    <w:uiPriority w:val="99"/>
    <w:qFormat/>
    <w:pPr>
      <w:numPr>
        <w:ilvl w:val="1"/>
      </w:numPr>
      <w:spacing w:before="50" w:after="50" w:line="240" w:lineRule="auto"/>
      <w:outlineLvl w:val="1"/>
    </w:pPr>
    <w:rPr>
      <w:sz w:val="44"/>
    </w:rPr>
  </w:style>
  <w:style w:type="paragraph" w:styleId="882"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883" w:customStyle="1">
    <w:name w:val="文档正文"/>
    <w:basedOn w:val="676"/>
    <w:uiPriority w:val="99"/>
    <w:qFormat/>
    <w:pPr>
      <w:ind w:firstLine="567"/>
      <w:spacing w:line="480" w:lineRule="atLeast"/>
    </w:pPr>
    <w:rPr>
      <w:rFonts w:ascii="Ari" w:eastAsia="Times New Roman"/>
      <w:sz w:val="28"/>
      <w:szCs w:val="20"/>
    </w:rPr>
  </w:style>
  <w:style w:type="paragraph" w:styleId="884" w:customStyle="1">
    <w:name w:val="txt"/>
    <w:basedOn w:val="676"/>
    <w:uiPriority w:val="99"/>
    <w:qFormat/>
    <w:pPr>
      <w:jc w:val="left"/>
      <w:spacing w:before="100" w:beforeAutospacing="1" w:after="100" w:afterAutospacing="1"/>
      <w:widowControl/>
    </w:pPr>
    <w:rPr>
      <w:rFonts w:ascii="宋体" w:hAnsi="宋体" w:cs="宋体"/>
      <w:sz w:val="24"/>
    </w:rPr>
  </w:style>
  <w:style w:type="paragraph" w:styleId="885" w:customStyle="1">
    <w:name w:val="目录 4_0"/>
    <w:basedOn w:val="806"/>
    <w:next w:val="806"/>
    <w:uiPriority w:val="99"/>
    <w:qFormat/>
    <w:pPr>
      <w:ind w:left="1260"/>
    </w:pPr>
    <w:rPr>
      <w:rFonts w:ascii="Calibri" w:hAnsi="Calibri"/>
    </w:rPr>
  </w:style>
  <w:style w:type="paragraph" w:styleId="886" w:customStyle="1">
    <w:name w:val="目录 3_0"/>
    <w:basedOn w:val="806"/>
    <w:next w:val="806"/>
    <w:uiPriority w:val="99"/>
    <w:qFormat/>
    <w:pPr>
      <w:ind w:left="840"/>
    </w:pPr>
    <w:rPr>
      <w:rFonts w:ascii="Calibri" w:hAnsi="Calibri"/>
    </w:rPr>
  </w:style>
  <w:style w:type="paragraph" w:styleId="887" w:customStyle="1">
    <w:name w:val="样式 标题 1 + 黑体 三号 非加粗 居中 段前: 6 磅 段后: 6 磅 行距: 固定值 20 磅"/>
    <w:basedOn w:val="677"/>
    <w:uiPriority w:val="99"/>
    <w:qFormat/>
    <w:pPr>
      <w:ind w:left="0" w:right="0"/>
      <w:jc w:val="center"/>
      <w:spacing w:line="400" w:lineRule="exact"/>
    </w:pPr>
    <w:rPr>
      <w:rFonts w:ascii="黑体" w:hAnsi="黑体" w:eastAsia="黑体"/>
      <w:b w:val="0"/>
      <w:bCs w:val="0"/>
      <w:sz w:val="32"/>
      <w:szCs w:val="20"/>
    </w:rPr>
  </w:style>
  <w:style w:type="paragraph" w:styleId="888" w:customStyle="1">
    <w:name w:val="1"/>
    <w:basedOn w:val="676"/>
    <w:next w:val="676"/>
    <w:uiPriority w:val="0"/>
    <w:qFormat/>
    <w:rPr>
      <w:rFonts w:ascii="Calibri" w:hAnsi="Calibri"/>
      <w:szCs w:val="22"/>
    </w:rPr>
  </w:style>
  <w:style w:type="paragraph" w:styleId="889" w:customStyle="1">
    <w:name w:val="Blockquote_0"/>
    <w:basedOn w:val="806"/>
    <w:uiPriority w:val="99"/>
    <w:qFormat/>
    <w:pPr>
      <w:ind w:left="360" w:right="360"/>
      <w:jc w:val="left"/>
      <w:spacing w:before="100" w:after="100"/>
    </w:pPr>
    <w:rPr>
      <w:rFonts w:ascii="Calibri" w:hAnsi="Calibri"/>
      <w:sz w:val="24"/>
      <w:szCs w:val="20"/>
    </w:rPr>
  </w:style>
  <w:style w:type="paragraph" w:styleId="890" w:customStyle="1">
    <w:name w:val="列出段落11"/>
    <w:basedOn w:val="676"/>
    <w:uiPriority w:val="99"/>
    <w:qFormat/>
    <w:pPr>
      <w:contextualSpacing/>
      <w:ind w:left="720"/>
      <w:jc w:val="left"/>
      <w:widowControl/>
    </w:pPr>
    <w:rPr>
      <w:rFonts w:ascii="Arial" w:hAnsi="Arial" w:eastAsia="黑体"/>
      <w:sz w:val="24"/>
      <w:lang w:eastAsia="en-US"/>
    </w:rPr>
  </w:style>
  <w:style w:type="paragraph" w:styleId="891" w:customStyle="1">
    <w:name w:val="样式 标题 2 + Times New Roman 四号 非加粗 段前: 5 磅 段后: 0 磅 行距: 固定值 20..._0"/>
    <w:basedOn w:val="676"/>
    <w:uiPriority w:val="99"/>
    <w:qFormat/>
    <w:pPr>
      <w:keepLines/>
      <w:keepNext/>
      <w:spacing w:before="100" w:line="360" w:lineRule="auto"/>
      <w:outlineLvl w:val="1"/>
    </w:pPr>
    <w:rPr>
      <w:rFonts w:cs="宋体"/>
      <w:sz w:val="28"/>
      <w:szCs w:val="20"/>
    </w:rPr>
  </w:style>
  <w:style w:type="paragraph" w:styleId="892" w:customStyle="1">
    <w:name w:val="op_mapdots_left"/>
    <w:basedOn w:val="676"/>
    <w:uiPriority w:val="99"/>
    <w:qFormat/>
    <w:pPr>
      <w:jc w:val="left"/>
      <w:spacing w:before="100" w:beforeAutospacing="1" w:after="100" w:afterAutospacing="1"/>
      <w:widowControl/>
    </w:pPr>
    <w:rPr>
      <w:rFonts w:ascii="宋体" w:hAnsi="宋体" w:cs="宋体"/>
      <w:sz w:val="24"/>
    </w:rPr>
  </w:style>
  <w:style w:type="paragraph" w:styleId="893" w:customStyle="1">
    <w:name w:val="Blockquote"/>
    <w:basedOn w:val="676"/>
    <w:uiPriority w:val="99"/>
    <w:qFormat/>
    <w:pPr>
      <w:ind w:left="360" w:right="360"/>
      <w:jc w:val="left"/>
      <w:spacing w:before="100" w:after="100"/>
    </w:pPr>
    <w:rPr>
      <w:rFonts w:ascii="Calibri" w:hAnsi="Calibri"/>
      <w:sz w:val="24"/>
      <w:szCs w:val="22"/>
    </w:rPr>
  </w:style>
  <w:style w:type="paragraph" w:styleId="894" w:customStyle="1">
    <w:name w:val="3方案格式3"/>
    <w:basedOn w:val="881"/>
    <w:uiPriority w:val="99"/>
    <w:qFormat/>
    <w:pPr>
      <w:numPr>
        <w:ilvl w:val="2"/>
      </w:numPr>
      <w:outlineLvl w:val="2"/>
    </w:pPr>
    <w:rPr>
      <w:sz w:val="32"/>
    </w:rPr>
  </w:style>
  <w:style w:type="paragraph" w:styleId="895" w:customStyle="1">
    <w:name w:val="样式 标题 2 + Times New Roman 四号 非加粗 段前: 5 磅 段后: 0 磅 行距: 固定值 20..."/>
    <w:basedOn w:val="678"/>
    <w:uiPriority w:val="99"/>
    <w:qFormat/>
    <w:pPr>
      <w:spacing w:before="100" w:after="0" w:line="400" w:lineRule="exact"/>
    </w:pPr>
    <w:rPr>
      <w:rFonts w:ascii="Times New Roman" w:hAnsi="Times New Roman" w:eastAsia="黑体"/>
      <w:b w:val="0"/>
      <w:bCs w:val="0"/>
      <w:sz w:val="28"/>
      <w:szCs w:val="20"/>
    </w:rPr>
  </w:style>
  <w:style w:type="paragraph" w:styleId="896" w:customStyle="1">
    <w:name w:val="标题2"/>
    <w:basedOn w:val="678"/>
    <w:next w:val="699"/>
    <w:uiPriority w:val="99"/>
    <w:qFormat/>
    <w:pPr>
      <w:spacing w:before="156" w:after="156" w:line="360" w:lineRule="auto"/>
    </w:pPr>
    <w:rPr>
      <w:rFonts w:ascii="Cambria" w:hAnsi="Cambria" w:eastAsia="宋体"/>
      <w:bCs w:val="0"/>
      <w:sz w:val="24"/>
    </w:rPr>
  </w:style>
  <w:style w:type="paragraph" w:styleId="897" w:customStyle="1">
    <w:name w:val="普通正文"/>
    <w:basedOn w:val="676"/>
    <w:uiPriority w:val="99"/>
    <w:qFormat/>
    <w:pPr>
      <w:ind w:firstLine="480"/>
      <w:jc w:val="left"/>
      <w:spacing w:before="120" w:after="120" w:line="360" w:lineRule="auto"/>
    </w:pPr>
    <w:rPr>
      <w:rFonts w:ascii="Arial" w:hAnsi="Arial"/>
      <w:sz w:val="24"/>
    </w:rPr>
  </w:style>
  <w:style w:type="paragraph" w:styleId="898" w:customStyle="1">
    <w:name w:val="正文11"/>
    <w:uiPriority w:val="99"/>
    <w:qFormat/>
    <w:rPr>
      <w:rFonts w:ascii="Calibri" w:hAnsi="Calibri" w:eastAsia="宋体" w:cs="Calibri"/>
      <w:sz w:val="24"/>
      <w:szCs w:val="24"/>
      <w:lang w:val="en-US" w:eastAsia="zh-CN" w:bidi="ar-SA"/>
    </w:rPr>
  </w:style>
  <w:style w:type="paragraph" w:styleId="899" w:customStyle="1">
    <w:name w:val="正文2"/>
    <w:uiPriority w:val="99"/>
    <w:qFormat/>
    <w:rPr>
      <w:rFonts w:ascii="Times New Roman" w:hAnsi="Times New Roman" w:eastAsia="微软雅黑" w:cs="Times New Roman"/>
      <w:sz w:val="24"/>
      <w:szCs w:val="24"/>
      <w:lang w:val="en-US" w:eastAsia="zh-CN" w:bidi="ar-SA"/>
    </w:rPr>
  </w:style>
  <w:style w:type="paragraph" w:styleId="900" w:customStyle="1">
    <w:name w:val="列出段落3"/>
    <w:basedOn w:val="676"/>
    <w:uiPriority w:val="0"/>
    <w:qFormat/>
    <w:pPr>
      <w:ind w:firstLine="420"/>
      <w:jc w:val="left"/>
      <w:spacing w:after="200"/>
      <w:widowControl/>
    </w:pPr>
    <w:rPr>
      <w:rFonts w:ascii="Tahoma" w:hAnsi="Tahoma" w:eastAsia="微软雅黑"/>
      <w:sz w:val="22"/>
      <w:szCs w:val="22"/>
    </w:rPr>
  </w:style>
  <w:style w:type="character" w:styleId="901" w:customStyle="1">
    <w:name w:val="表格文字 字符"/>
    <w:link w:val="874"/>
    <w:uiPriority w:val="99"/>
    <w:qFormat/>
    <w:rPr>
      <w:rFonts w:ascii="Calibri" w:hAnsi="Calibri"/>
      <w:sz w:val="22"/>
    </w:rPr>
  </w:style>
  <w:style w:type="paragraph" w:styleId="902" w:customStyle="1">
    <w:name w:val="trs_editor"/>
    <w:basedOn w:val="676"/>
    <w:uiPriority w:val="99"/>
    <w:qFormat/>
    <w:pPr>
      <w:jc w:val="left"/>
      <w:spacing w:before="100" w:beforeAutospacing="1" w:after="100" w:afterAutospacing="1"/>
      <w:widowControl/>
    </w:pPr>
    <w:rPr>
      <w:rFonts w:ascii="宋体" w:hAnsi="宋体" w:cs="宋体"/>
      <w:sz w:val="24"/>
    </w:rPr>
  </w:style>
  <w:style w:type="character" w:styleId="903" w:customStyle="1">
    <w:name w:val="sub_title1"/>
    <w:uiPriority w:val="99"/>
    <w:qFormat/>
    <w:rPr>
      <w:rFonts w:cs="Times New Roman"/>
    </w:rPr>
  </w:style>
  <w:style w:type="paragraph" w:styleId="904" w:customStyle="1">
    <w:name w:val="Agilent Doc Title"/>
    <w:next w:val="676"/>
    <w:uiPriority w:val="99"/>
    <w:qFormat/>
    <w:pPr>
      <w:jc w:val="center"/>
      <w:spacing w:after="210" w:line="400" w:lineRule="exact"/>
    </w:pPr>
    <w:rPr>
      <w:rFonts w:ascii="Agilent TT CondLight" w:hAnsi="Agilent TT CondLight" w:eastAsia="宋体" w:cs="Times New Roman"/>
      <w:sz w:val="36"/>
      <w:lang w:val="en-US" w:eastAsia="en-US" w:bidi="ar-SA"/>
    </w:rPr>
  </w:style>
  <w:style w:type="character" w:styleId="905" w:customStyle="1">
    <w:name w:val="s3"/>
    <w:uiPriority w:val="99"/>
    <w:qFormat/>
    <w:rPr>
      <w:rFonts w:ascii="Times" w:hAnsi="Times" w:cs="Times"/>
      <w:sz w:val="24"/>
      <w:szCs w:val="24"/>
    </w:rPr>
  </w:style>
  <w:style w:type="character" w:styleId="906" w:customStyle="1">
    <w:name w:val="apple-converted-space"/>
    <w:uiPriority w:val="0"/>
    <w:qFormat/>
  </w:style>
  <w:style w:type="paragraph" w:styleId="907" w:customStyle="1">
    <w:name w:val="table_1stline"/>
    <w:basedOn w:val="676"/>
    <w:uiPriority w:val="99"/>
    <w:qFormat/>
    <w:pPr>
      <w:spacing w:before="120"/>
    </w:pPr>
    <w:rPr>
      <w:rFonts w:eastAsia="MS Mincho"/>
      <w:bCs/>
      <w:lang w:val="de-DE" w:eastAsia="de-DE"/>
    </w:rPr>
  </w:style>
  <w:style w:type="character" w:styleId="908" w:customStyle="1">
    <w:name w:val="apple-style-span"/>
    <w:uiPriority w:val="99"/>
    <w:qFormat/>
    <w:rPr>
      <w:rFonts w:cs="Times New Roman"/>
    </w:rPr>
  </w:style>
  <w:style w:type="paragraph" w:styleId="909" w:customStyle="1">
    <w:name w:val="列出段落4"/>
    <w:basedOn w:val="676"/>
    <w:uiPriority w:val="99"/>
    <w:qFormat/>
    <w:pPr>
      <w:ind w:firstLine="420"/>
    </w:pPr>
    <w:rPr>
      <w:rFonts w:ascii="Calibri" w:hAnsi="Calibri"/>
      <w:szCs w:val="22"/>
    </w:rPr>
  </w:style>
  <w:style w:type="paragraph" w:styleId="910" w:customStyle="1">
    <w:name w:val="table_lines"/>
    <w:basedOn w:val="676"/>
    <w:uiPriority w:val="99"/>
    <w:qFormat/>
    <w:pPr>
      <w:jc w:val="left"/>
      <w:widowControl/>
    </w:pPr>
    <w:rPr>
      <w:rFonts w:eastAsia="MS Mincho"/>
      <w:sz w:val="20"/>
      <w:szCs w:val="20"/>
      <w:lang w:val="de-DE" w:eastAsia="de-DE"/>
    </w:rPr>
  </w:style>
  <w:style w:type="character" w:styleId="911" w:customStyle="1">
    <w:name w:val="fontstyle11"/>
    <w:uiPriority w:val="99"/>
    <w:qFormat/>
    <w:rPr>
      <w:rFonts w:ascii="TimesNewRomanPSMT" w:hAnsi="TimesNewRomanPSMT" w:eastAsia="TimesNewRomanPSMT"/>
      <w:color w:val="000000"/>
      <w:sz w:val="22"/>
    </w:rPr>
  </w:style>
  <w:style w:type="paragraph" w:styleId="912" w:customStyle="1">
    <w:name w:val="head 1.1.1"/>
    <w:basedOn w:val="761"/>
    <w:uiPriority w:val="99"/>
    <w:qFormat/>
    <w:pPr>
      <w:numPr>
        <w:ilvl w:val="2"/>
        <w:numId w:val="2"/>
      </w:numPr>
      <w:ind w:firstLine="0"/>
      <w:jc w:val="both"/>
    </w:pPr>
    <w:rPr>
      <w:rFonts w:ascii="Times New Roman" w:hAnsi="Times New Roman" w:cs="Times New Roman"/>
      <w:bCs/>
      <w:sz w:val="21"/>
      <w:szCs w:val="24"/>
      <w:lang w:val="en-US" w:bidi="ar-SA"/>
    </w:rPr>
  </w:style>
  <w:style w:type="paragraph" w:styleId="913" w:customStyle="1">
    <w:name w:val="列出段落5"/>
    <w:basedOn w:val="676"/>
    <w:uiPriority w:val="99"/>
    <w:qFormat/>
    <w:pPr>
      <w:ind w:firstLine="420"/>
      <w:jc w:val="left"/>
      <w:widowControl/>
    </w:pPr>
    <w:rPr>
      <w:rFonts w:ascii="Garamond" w:hAnsi="Garamond"/>
      <w:szCs w:val="20"/>
      <w:lang w:bidi="he-IL"/>
    </w:rPr>
  </w:style>
  <w:style w:type="character" w:styleId="914" w:customStyle="1">
    <w:name w:val="正文文本 + Arial Unicode MS"/>
    <w:uiPriority w:val="99"/>
    <w:qFormat/>
    <w:rPr>
      <w:rFonts w:ascii="Arial Unicode MS" w:hAnsi="Arial Unicode MS"/>
      <w:color w:val="000000"/>
      <w:spacing w:val="0"/>
      <w:position w:val="0"/>
      <w:sz w:val="22"/>
      <w:shd w:val="clear" w:color="auto" w:fill="ffffff"/>
      <w:lang w:val="en-US"/>
    </w:rPr>
  </w:style>
  <w:style w:type="paragraph" w:styleId="915" w:customStyle="1">
    <w:name w:val="正文 A"/>
    <w:uiPriority w:val="99"/>
    <w:qFormat/>
    <w:pPr>
      <w:jc w:val="both"/>
      <w:widowControl w:val="off"/>
    </w:pPr>
    <w:rPr>
      <w:rFonts w:ascii="Arial Unicode MS" w:hAnsi="Arial Unicode MS" w:eastAsia="宋体" w:cs="Arial Unicode MS"/>
      <w:color w:val="000000"/>
      <w:sz w:val="21"/>
      <w:szCs w:val="21"/>
      <w:lang w:val="en-US" w:eastAsia="zh-CN" w:bidi="ar-SA"/>
    </w:rPr>
  </w:style>
  <w:style w:type="paragraph" w:styleId="916" w:customStyle="1">
    <w:name w:val="yiv1658056056msonormal"/>
    <w:basedOn w:val="676"/>
    <w:uiPriority w:val="99"/>
    <w:qFormat/>
    <w:pPr>
      <w:jc w:val="left"/>
      <w:spacing w:before="100" w:beforeAutospacing="1" w:after="100" w:afterAutospacing="1"/>
      <w:widowControl/>
    </w:pPr>
    <w:rPr>
      <w:rFonts w:ascii="宋体" w:hAnsi="宋体" w:cs="宋体"/>
      <w:sz w:val="24"/>
    </w:rPr>
  </w:style>
  <w:style w:type="character" w:styleId="917" w:customStyle="1">
    <w:name w:val="fontstyle01"/>
    <w:uiPriority w:val="99"/>
    <w:qFormat/>
    <w:rPr>
      <w:rFonts w:ascii="华文细黑" w:hAnsi="华文细黑" w:eastAsia="华文细黑"/>
      <w:color w:val="000000"/>
      <w:sz w:val="22"/>
    </w:rPr>
  </w:style>
  <w:style w:type="paragraph" w:styleId="918" w:customStyle="1">
    <w:name w:val="正文-标准"/>
    <w:basedOn w:val="676"/>
    <w:uiPriority w:val="99"/>
    <w:qFormat/>
    <w:pPr>
      <w:ind w:firstLine="420"/>
      <w:spacing w:line="312" w:lineRule="auto"/>
    </w:pPr>
    <w:rPr>
      <w:rFonts w:cs="宋体"/>
    </w:rPr>
  </w:style>
  <w:style w:type="character" w:styleId="919" w:customStyle="1">
    <w:name w:val="MSG_EN_FONT_STYLE_NAME_TEMPLATE_ROLE MSG_EN_FONT_STYLE_NAME_BY_ROLE_PICTURE_CAPTION + MSG_EN_FONT_STYLE_MODIFER_NAME Arial"/>
    <w:uiPriority w:val="0"/>
    <w:qFormat/>
    <w:rPr>
      <w:rFonts w:ascii="Arial" w:hAnsi="Arial" w:eastAsia="Arial" w:cs="Arial"/>
      <w:color w:val="000000"/>
      <w:spacing w:val="0"/>
      <w:position w:val="0"/>
      <w:sz w:val="19"/>
      <w:szCs w:val="19"/>
      <w:shd w:val="clear" w:color="auto" w:fill="ffffff"/>
      <w:lang w:val="en-US"/>
    </w:rPr>
  </w:style>
  <w:style w:type="paragraph" w:styleId="920" w:customStyle="1">
    <w:name w:val="章标题"/>
    <w:next w:val="921"/>
    <w:uiPriority w:val="99"/>
    <w:qFormat/>
    <w:pPr>
      <w:numPr>
        <w:ilvl w:val="1"/>
        <w:numId w:val="3"/>
      </w:numPr>
      <w:jc w:val="both"/>
      <w:outlineLvl w:val="1"/>
    </w:pPr>
    <w:rPr>
      <w:rFonts w:ascii="黑体" w:hAnsi="Calibri" w:eastAsia="黑体" w:cs="黑体"/>
      <w:sz w:val="21"/>
      <w:szCs w:val="21"/>
      <w:lang w:val="en-US" w:eastAsia="zh-CN" w:bidi="ar-SA"/>
    </w:rPr>
  </w:style>
  <w:style w:type="paragraph" w:styleId="921" w:customStyle="1">
    <w:name w:val="段"/>
    <w:uiPriority w:val="99"/>
    <w:qFormat/>
    <w:pPr>
      <w:ind w:firstLine="200"/>
      <w:jc w:val="both"/>
      <w:tabs>
        <w:tab w:val="left" w:pos="720" w:leader="none"/>
      </w:tabs>
    </w:pPr>
    <w:rPr>
      <w:rFonts w:ascii="宋体" w:hAnsi="Times New Roman" w:eastAsia="宋体" w:cs="宋体"/>
      <w:sz w:val="21"/>
      <w:szCs w:val="21"/>
      <w:lang w:val="en-US" w:eastAsia="zh-CN" w:bidi="ar-SA"/>
    </w:rPr>
  </w:style>
  <w:style w:type="paragraph" w:styleId="922" w:customStyle="1">
    <w:name w:val="注×："/>
    <w:uiPriority w:val="99"/>
    <w:qFormat/>
    <w:pPr>
      <w:numPr>
        <w:ilvl w:val="0"/>
        <w:numId w:val="4"/>
      </w:numPr>
      <w:jc w:val="both"/>
      <w:widowControl w:val="off"/>
      <w:tabs>
        <w:tab w:val="left" w:pos="630" w:leader="none"/>
      </w:tabs>
    </w:pPr>
    <w:rPr>
      <w:rFonts w:ascii="宋体" w:hAnsi="Calibri" w:eastAsia="宋体" w:cs="宋体"/>
      <w:sz w:val="18"/>
      <w:szCs w:val="18"/>
      <w:lang w:val="en-US" w:eastAsia="zh-CN" w:bidi="ar-SA"/>
    </w:rPr>
  </w:style>
  <w:style w:type="paragraph" w:styleId="923" w:customStyle="1">
    <w:name w:val="封面标准文稿编辑信息"/>
    <w:uiPriority w:val="99"/>
    <w:qFormat/>
    <w:pPr>
      <w:jc w:val="center"/>
      <w:spacing w:before="180" w:line="180" w:lineRule="exact"/>
    </w:pPr>
    <w:rPr>
      <w:rFonts w:ascii="宋体" w:hAnsi="Times New Roman" w:eastAsia="宋体" w:cs="Times New Roman"/>
      <w:sz w:val="21"/>
      <w:lang w:val="en-US" w:eastAsia="zh-CN" w:bidi="ar-SA"/>
    </w:rPr>
  </w:style>
  <w:style w:type="table" w:styleId="924" w:customStyle="1">
    <w:name w:val="网格型1"/>
    <w:basedOn w:val="687"/>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5" w:customStyle="1">
    <w:name w:val="正文文本缩进 字符1"/>
    <w:basedOn w:val="686"/>
    <w:link w:val="689"/>
    <w:uiPriority w:val="0"/>
    <w:qFormat/>
    <w:rPr>
      <w:sz w:val="21"/>
      <w:szCs w:val="24"/>
    </w:rPr>
  </w:style>
  <w:style w:type="character" w:styleId="926" w:customStyle="1">
    <w:name w:val="正文文本首行缩进 2 字符"/>
    <w:basedOn w:val="925"/>
    <w:link w:val="688"/>
    <w:uiPriority w:val="0"/>
    <w:qFormat/>
    <w:rPr>
      <w:rFonts w:ascii="Tahoma" w:hAnsi="Tahoma" w:eastAsia="微软雅黑"/>
      <w:sz w:val="22"/>
      <w:szCs w:val="22"/>
    </w:rPr>
  </w:style>
  <w:style w:type="table" w:styleId="927" w:customStyle="1">
    <w:name w:val="网格型2"/>
    <w:basedOn w:val="68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8" w:customStyle="1">
    <w:name w:val="目录 71"/>
    <w:basedOn w:val="676"/>
    <w:next w:val="676"/>
    <w:uiPriority w:val="39"/>
    <w:unhideWhenUsed/>
    <w:qFormat/>
    <w:pPr>
      <w:ind w:left="2520"/>
    </w:pPr>
    <w:rPr>
      <w:rFonts w:ascii="Calibri" w:hAnsi="Calibri"/>
      <w:szCs w:val="22"/>
    </w:rPr>
  </w:style>
  <w:style w:type="character" w:styleId="929" w:customStyle="1">
    <w:name w:val="无间隔 字符"/>
    <w:basedOn w:val="686"/>
    <w:link w:val="757"/>
    <w:uiPriority w:val="1"/>
    <w:qFormat/>
    <w:rPr>
      <w:sz w:val="21"/>
      <w:szCs w:val="24"/>
    </w:rPr>
  </w:style>
  <w:style w:type="character" w:styleId="930" w:customStyle="1">
    <w:name w:val="Body text (2) + Book Antiqua"/>
    <w:uiPriority w:val="0"/>
    <w:qFormat/>
    <w:rPr>
      <w:rFonts w:ascii="Book Antiqua" w:hAnsi="Book Antiqua" w:eastAsia="Book Antiqua" w:cs="Book Antiqua"/>
      <w:color w:val="000000"/>
      <w:spacing w:val="0"/>
      <w:position w:val="0"/>
      <w:sz w:val="19"/>
      <w:szCs w:val="19"/>
      <w:shd w:val="clear" w:color="auto" w:fill="ffffff"/>
      <w:lang w:val="en-US" w:eastAsia="en-US" w:bidi="en-US"/>
    </w:rPr>
  </w:style>
  <w:style w:type="paragraph" w:styleId="931" w:customStyle="1">
    <w:name w:val="Body text (2)"/>
    <w:basedOn w:val="676"/>
    <w:uiPriority w:val="0"/>
    <w:qFormat/>
    <w:pPr>
      <w:ind w:hanging="720"/>
      <w:spacing w:before="1320" w:line="322" w:lineRule="exact"/>
      <w:shd w:val="clear" w:color="auto" w:fill="ffffff"/>
    </w:pPr>
    <w:rPr>
      <w:rFonts w:ascii="MingLiU" w:hAnsi="MingLiU" w:eastAsia="MingLiU"/>
      <w:spacing w:val="10"/>
      <w:sz w:val="18"/>
      <w:szCs w:val="18"/>
    </w:rPr>
  </w:style>
  <w:style w:type="table" w:styleId="932" w:customStyle="1">
    <w:name w:val="网格型3"/>
    <w:basedOn w:val="68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3" w:customStyle="1">
    <w:name w:val="网格型4"/>
    <w:basedOn w:val="687"/>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934" w:customStyle="1">
    <w:name w:val="二级无"/>
    <w:basedOn w:val="935"/>
    <w:uiPriority w:val="0"/>
    <w:qFormat/>
    <w:pPr>
      <w:ind w:left="425" w:hanging="425"/>
      <w:tabs>
        <w:tab w:val="left" w:pos="0" w:leader="none"/>
      </w:tabs>
    </w:pPr>
    <w:rPr>
      <w:rFonts w:hint="eastAsia" w:ascii="宋体"/>
      <w:szCs w:val="20"/>
    </w:rPr>
  </w:style>
  <w:style w:type="paragraph" w:styleId="935" w:customStyle="1">
    <w:name w:val="二级条标题"/>
    <w:basedOn w:val="936"/>
    <w:next w:val="676"/>
    <w:uiPriority w:val="0"/>
    <w:qFormat/>
    <w:pPr>
      <w:outlineLvl w:val="3"/>
    </w:pPr>
  </w:style>
  <w:style w:type="paragraph" w:styleId="936" w:customStyle="1">
    <w:name w:val="一级条标题"/>
    <w:basedOn w:val="920"/>
    <w:next w:val="676"/>
    <w:uiPriority w:val="0"/>
    <w:qFormat/>
    <w:pPr>
      <w:outlineLvl w:val="2"/>
    </w:pPr>
    <w:rPr>
      <w:rFonts w:ascii="Times New Roman" w:hAnsi="Times New Roman" w:cs="Times New Roman"/>
    </w:rPr>
  </w:style>
  <w:style w:type="character" w:styleId="937" w:customStyle="1">
    <w:name w:val="z-窗体顶端 Char"/>
    <w:basedOn w:val="686"/>
    <w:link w:val="938"/>
    <w:uiPriority w:val="0"/>
    <w:semiHidden/>
    <w:qFormat/>
    <w:rPr>
      <w:rFonts w:ascii="Arial" w:hAnsi="Arial"/>
      <w:vanish/>
      <w:sz w:val="16"/>
      <w:szCs w:val="16"/>
    </w:rPr>
  </w:style>
  <w:style w:type="paragraph" w:styleId="938" w:customStyle="1">
    <w:name w:val="z-窗体顶端1"/>
    <w:basedOn w:val="676"/>
    <w:next w:val="676"/>
    <w:link w:val="937"/>
    <w:uiPriority w:val="0"/>
    <w:semiHidden/>
    <w:qFormat/>
    <w:pPr>
      <w:jc w:val="center"/>
      <w:widowControl/>
      <w:pBdr>
        <w:bottom w:val="single" w:color="auto" w:sz="6" w:space="1"/>
      </w:pBdr>
    </w:pPr>
    <w:rPr>
      <w:rFonts w:ascii="Arial" w:hAnsi="Arial"/>
      <w:vanish/>
      <w:sz w:val="16"/>
      <w:szCs w:val="16"/>
    </w:rPr>
  </w:style>
  <w:style w:type="character" w:styleId="939" w:customStyle="1">
    <w:name w:val="z-窗体底端 Char"/>
    <w:basedOn w:val="686"/>
    <w:link w:val="940"/>
    <w:uiPriority w:val="0"/>
    <w:semiHidden/>
    <w:qFormat/>
    <w:rPr>
      <w:rFonts w:ascii="Arial" w:hAnsi="Arial"/>
      <w:vanish/>
      <w:sz w:val="16"/>
      <w:szCs w:val="16"/>
    </w:rPr>
  </w:style>
  <w:style w:type="paragraph" w:styleId="940" w:customStyle="1">
    <w:name w:val="z-窗体底端1"/>
    <w:basedOn w:val="676"/>
    <w:next w:val="676"/>
    <w:link w:val="939"/>
    <w:uiPriority w:val="0"/>
    <w:semiHidden/>
    <w:qFormat/>
    <w:pPr>
      <w:jc w:val="center"/>
      <w:widowControl/>
      <w:pBdr>
        <w:top w:val="single" w:color="auto" w:sz="6" w:space="1"/>
      </w:pBdr>
    </w:pPr>
    <w:rPr>
      <w:rFonts w:ascii="Arial" w:hAnsi="Arial"/>
      <w:vanish/>
      <w:sz w:val="16"/>
      <w:szCs w:val="16"/>
    </w:rPr>
  </w:style>
  <w:style w:type="paragraph" w:styleId="941" w:customStyle="1">
    <w:name w:val="标准称谓"/>
    <w:next w:val="676"/>
    <w:uiPriority w:val="0"/>
    <w:qFormat/>
    <w:pPr>
      <w:jc w:val="both"/>
      <w:spacing w:line="240" w:lineRule="atLeast"/>
      <w:widowControl w:val="off"/>
      <w:framePr w:w="9638" w:h="754" w:vSpace="180" w:hSpace="180" w:wrap="around" w:vAnchor="page" w:hAnchor="margin" w:xAlign="center" w:y="2128" w:hRule="exact"/>
    </w:pPr>
    <w:rPr>
      <w:rFonts w:ascii="宋体" w:hAnsi="Times New Roman" w:eastAsia="宋体" w:cs="宋体"/>
      <w:b/>
      <w:bCs/>
      <w:spacing w:val="20"/>
      <w:sz w:val="52"/>
      <w:szCs w:val="52"/>
      <w:lang w:val="en-US" w:eastAsia="zh-CN" w:bidi="ar-SA"/>
    </w:rPr>
  </w:style>
  <w:style w:type="paragraph" w:styleId="942" w:customStyle="1">
    <w:name w:val="前言、引言标题"/>
    <w:next w:val="676"/>
    <w:uiPriority w:val="0"/>
    <w:qFormat/>
    <w:p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943" w:customStyle="1">
    <w:name w:val="三级条标题"/>
    <w:basedOn w:val="935"/>
    <w:next w:val="676"/>
    <w:uiPriority w:val="0"/>
    <w:qFormat/>
    <w:pPr>
      <w:outlineLvl w:val="4"/>
    </w:pPr>
  </w:style>
  <w:style w:type="paragraph" w:styleId="944" w:customStyle="1">
    <w:name w:val="四级条标题"/>
    <w:basedOn w:val="943"/>
    <w:next w:val="676"/>
    <w:uiPriority w:val="0"/>
    <w:qFormat/>
    <w:pPr>
      <w:ind w:left="840" w:hanging="420"/>
      <w:tabs>
        <w:tab w:val="left" w:pos="1140" w:leader="none"/>
      </w:tabs>
      <w:outlineLvl w:val="5"/>
    </w:pPr>
  </w:style>
  <w:style w:type="paragraph" w:styleId="945" w:customStyle="1">
    <w:name w:val="五级条标题"/>
    <w:basedOn w:val="944"/>
    <w:next w:val="676"/>
    <w:uiPriority w:val="0"/>
    <w:qFormat/>
    <w:pPr>
      <w:outlineLvl w:val="6"/>
    </w:pPr>
  </w:style>
  <w:style w:type="paragraph" w:styleId="946" w:customStyle="1">
    <w:name w:val="注："/>
    <w:next w:val="676"/>
    <w:uiPriority w:val="0"/>
    <w:qFormat/>
    <w:pPr>
      <w:numPr>
        <w:ilvl w:val="1"/>
        <w:numId w:val="5"/>
      </w:numPr>
      <w:ind w:left="840"/>
      <w:jc w:val="both"/>
      <w:widowControl w:val="off"/>
      <w:tabs>
        <w:tab w:val="left" w:pos="1140" w:leader="none"/>
      </w:tabs>
    </w:pPr>
    <w:rPr>
      <w:rFonts w:ascii="宋体" w:hAnsi="Times New Roman" w:eastAsia="宋体" w:cs="宋体"/>
      <w:sz w:val="18"/>
      <w:szCs w:val="18"/>
      <w:lang w:val="en-US" w:eastAsia="zh-CN" w:bidi="ar-SA"/>
    </w:rPr>
  </w:style>
  <w:style w:type="paragraph" w:styleId="947" w:customStyle="1">
    <w:name w:val="程序1.1"/>
    <w:uiPriority w:val="0"/>
    <w:qFormat/>
    <w:pPr>
      <w:ind w:left="1470" w:hanging="420"/>
      <w:tabs>
        <w:tab w:val="left" w:pos="359" w:leader="none"/>
        <w:tab w:val="left" w:pos="720" w:leader="none"/>
        <w:tab w:val="left" w:pos="990" w:leader="none"/>
        <w:tab w:val="left" w:pos="1470" w:leader="none"/>
      </w:tabs>
    </w:pPr>
    <w:rPr>
      <w:rFonts w:ascii="Times New Roman" w:hAnsi="Times New Roman" w:eastAsia="宋体" w:cs="Times New Roman"/>
      <w:sz w:val="21"/>
      <w:szCs w:val="21"/>
      <w:lang w:val="en-US" w:eastAsia="zh-CN" w:bidi="ar-SA"/>
    </w:rPr>
  </w:style>
  <w:style w:type="paragraph" w:styleId="948" w:customStyle="1">
    <w:name w:val="程序1.1.1"/>
    <w:uiPriority w:val="0"/>
    <w:qFormat/>
    <w:pPr>
      <w:numPr>
        <w:ilvl w:val="0"/>
        <w:numId w:val="6"/>
      </w:numPr>
      <w:tabs>
        <w:tab w:val="left" w:pos="525" w:leader="none"/>
      </w:tabs>
    </w:pPr>
    <w:rPr>
      <w:rFonts w:ascii="Times New Roman" w:hAnsi="Times New Roman" w:eastAsia="宋体" w:cs="Times New Roman"/>
      <w:sz w:val="21"/>
      <w:szCs w:val="21"/>
      <w:lang w:val="en-US" w:eastAsia="zh-CN" w:bidi="ar-SA"/>
    </w:rPr>
  </w:style>
  <w:style w:type="paragraph" w:styleId="949" w:customStyle="1">
    <w:name w:val="字母编号"/>
    <w:uiPriority w:val="0"/>
    <w:qFormat/>
    <w:pPr>
      <w:tabs>
        <w:tab w:val="left" w:pos="360" w:leader="none"/>
      </w:tabs>
    </w:pPr>
    <w:rPr>
      <w:rFonts w:ascii="Times New Roman" w:hAnsi="Times New Roman" w:eastAsia="宋体" w:cs="Times New Roman"/>
      <w:sz w:val="21"/>
      <w:szCs w:val="21"/>
      <w:lang w:val="en-US" w:eastAsia="zh-CN" w:bidi="ar-SA"/>
    </w:rPr>
  </w:style>
  <w:style w:type="paragraph" w:styleId="950" w:customStyle="1">
    <w:name w:val="程序1"/>
    <w:next w:val="676"/>
    <w:uiPriority w:val="0"/>
    <w:qFormat/>
    <w:pPr>
      <w:ind w:left="360" w:hanging="360"/>
      <w:tabs>
        <w:tab w:val="left" w:pos="360" w:leader="none"/>
      </w:tabs>
    </w:pPr>
    <w:rPr>
      <w:rFonts w:ascii="Times New Roman" w:hAnsi="Times New Roman" w:eastAsia="宋体" w:cs="Times New Roman"/>
      <w:b/>
      <w:bCs/>
      <w:sz w:val="24"/>
      <w:szCs w:val="24"/>
      <w:lang w:val="en-US" w:eastAsia="zh-CN" w:bidi="ar-SA"/>
    </w:rPr>
  </w:style>
  <w:style w:type="paragraph" w:styleId="951" w:customStyle="1">
    <w:name w:val="Char1"/>
    <w:basedOn w:val="676"/>
    <w:uiPriority w:val="0"/>
    <w:qFormat/>
    <w:pPr>
      <w:jc w:val="left"/>
      <w:spacing w:after="160" w:line="240" w:lineRule="exact"/>
      <w:widowControl/>
    </w:pPr>
    <w:rPr>
      <w:rFonts w:ascii="Verdana" w:hAnsi="Verdana" w:cs="Verdana"/>
      <w:sz w:val="18"/>
      <w:szCs w:val="18"/>
      <w:lang w:eastAsia="en-US"/>
    </w:rPr>
  </w:style>
  <w:style w:type="character" w:styleId="952" w:customStyle="1">
    <w:name w:val="Char Char5"/>
    <w:uiPriority w:val="0"/>
    <w:qFormat/>
    <w:rPr>
      <w:rFonts w:ascii="宋体" w:hAnsi="Courier New" w:eastAsia="宋体"/>
      <w:sz w:val="28"/>
      <w:lang w:val="en-US" w:eastAsia="zh-CN"/>
    </w:rPr>
  </w:style>
  <w:style w:type="paragraph" w:styleId="953" w:customStyle="1">
    <w:name w:val="Char2"/>
    <w:basedOn w:val="676"/>
    <w:uiPriority w:val="0"/>
    <w:qFormat/>
    <w:pPr>
      <w:jc w:val="left"/>
      <w:spacing w:after="160" w:line="240" w:lineRule="exact"/>
      <w:widowControl/>
    </w:pPr>
    <w:rPr>
      <w:szCs w:val="20"/>
    </w:rPr>
  </w:style>
  <w:style w:type="character" w:styleId="954" w:customStyle="1">
    <w:name w:val="Char Char16"/>
    <w:uiPriority w:val="0"/>
    <w:qFormat/>
    <w:rPr>
      <w:rFonts w:ascii="Calibri" w:hAnsi="Calibri" w:eastAsia="黑体"/>
      <w:b/>
      <w:sz w:val="44"/>
    </w:rPr>
  </w:style>
  <w:style w:type="character" w:styleId="955" w:customStyle="1">
    <w:name w:val="Char Char15"/>
    <w:uiPriority w:val="0"/>
    <w:qFormat/>
    <w:rPr>
      <w:rFonts w:ascii="Cambria" w:hAnsi="Cambria" w:eastAsia="黑体"/>
      <w:b/>
      <w:sz w:val="32"/>
    </w:rPr>
  </w:style>
  <w:style w:type="paragraph" w:styleId="956" w:customStyle="1">
    <w:name w:val="font5"/>
    <w:basedOn w:val="676"/>
    <w:uiPriority w:val="0"/>
    <w:qFormat/>
    <w:pPr>
      <w:jc w:val="left"/>
      <w:spacing w:before="100" w:beforeAutospacing="1" w:after="100" w:afterAutospacing="1"/>
      <w:widowControl/>
    </w:pPr>
    <w:rPr>
      <w:sz w:val="24"/>
    </w:rPr>
  </w:style>
  <w:style w:type="paragraph" w:styleId="957" w:customStyle="1">
    <w:name w:val="font6"/>
    <w:basedOn w:val="676"/>
    <w:uiPriority w:val="0"/>
    <w:qFormat/>
    <w:pPr>
      <w:jc w:val="left"/>
      <w:spacing w:before="100" w:beforeAutospacing="1" w:after="100" w:afterAutospacing="1"/>
      <w:widowControl/>
    </w:pPr>
    <w:rPr>
      <w:rFonts w:ascii="宋体" w:hAnsi="宋体" w:cs="宋体"/>
      <w:sz w:val="18"/>
      <w:szCs w:val="18"/>
    </w:rPr>
  </w:style>
  <w:style w:type="paragraph" w:styleId="958" w:customStyle="1">
    <w:name w:val="font7"/>
    <w:basedOn w:val="676"/>
    <w:uiPriority w:val="0"/>
    <w:qFormat/>
    <w:pPr>
      <w:jc w:val="left"/>
      <w:spacing w:before="100" w:beforeAutospacing="1" w:after="100" w:afterAutospacing="1"/>
      <w:widowControl/>
    </w:pPr>
    <w:rPr>
      <w:rFonts w:ascii="宋体" w:hAnsi="宋体" w:cs="宋体"/>
      <w:sz w:val="20"/>
      <w:szCs w:val="20"/>
    </w:rPr>
  </w:style>
  <w:style w:type="paragraph" w:styleId="959" w:customStyle="1">
    <w:name w:val="xl29"/>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b/>
      <w:bCs/>
      <w:sz w:val="20"/>
      <w:szCs w:val="20"/>
    </w:rPr>
  </w:style>
  <w:style w:type="paragraph" w:styleId="960" w:customStyle="1">
    <w:name w:val="xl30"/>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961" w:customStyle="1">
    <w:name w:val="xl31"/>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962" w:customStyle="1">
    <w:name w:val="xl32"/>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963" w:customStyle="1">
    <w:name w:val="xl33"/>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64" w:customStyle="1">
    <w:name w:val="xl34"/>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965" w:customStyle="1">
    <w:name w:val="xl35"/>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966" w:customStyle="1">
    <w:name w:val="xl36"/>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67" w:customStyle="1">
    <w:name w:val="xl37"/>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8" w:customStyle="1">
    <w:name w:val="xl38"/>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9" w:customStyle="1">
    <w:name w:val="xl39"/>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70" w:customStyle="1">
    <w:name w:val="xl40"/>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71" w:customStyle="1">
    <w:name w:val="xl41"/>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4"/>
    </w:rPr>
  </w:style>
  <w:style w:type="paragraph" w:styleId="972" w:customStyle="1">
    <w:name w:val="xl42"/>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3" w:customStyle="1">
    <w:name w:val="xl43"/>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974" w:customStyle="1">
    <w:name w:val="xl44"/>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5" w:customStyle="1">
    <w:name w:val="xl45"/>
    <w:basedOn w:val="676"/>
    <w:uiPriority w:val="0"/>
    <w:qFormat/>
    <w:pPr>
      <w:jc w:val="center"/>
      <w:spacing w:before="100" w:beforeAutospacing="1" w:after="100" w:afterAutospacing="1"/>
      <w:widowControl/>
      <w:pBdr>
        <w:bottom w:val="single" w:color="auto" w:sz="4" w:space="0"/>
      </w:pBdr>
    </w:pPr>
    <w:rPr>
      <w:rFonts w:ascii="新宋体" w:hAnsi="新宋体" w:eastAsia="新宋体" w:cs="宋体"/>
      <w:b/>
      <w:bCs/>
      <w:sz w:val="28"/>
      <w:szCs w:val="28"/>
    </w:rPr>
  </w:style>
  <w:style w:type="paragraph" w:styleId="976" w:customStyle="1">
    <w:name w:val="xl46"/>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b/>
      <w:bCs/>
      <w:sz w:val="20"/>
      <w:szCs w:val="20"/>
    </w:rPr>
  </w:style>
  <w:style w:type="character" w:styleId="977" w:customStyle="1">
    <w:name w:val="Char Char14"/>
    <w:uiPriority w:val="0"/>
    <w:qFormat/>
    <w:rPr>
      <w:rFonts w:ascii="Calibri" w:hAnsi="Calibri" w:eastAsia="宋体"/>
      <w:b/>
      <w:sz w:val="44"/>
    </w:rPr>
  </w:style>
  <w:style w:type="character" w:styleId="978" w:customStyle="1">
    <w:name w:val="Char Char13"/>
    <w:uiPriority w:val="0"/>
    <w:qFormat/>
    <w:rPr>
      <w:rFonts w:ascii="Cambria" w:hAnsi="Cambria" w:eastAsia="宋体"/>
      <w:b/>
      <w:sz w:val="32"/>
    </w:rPr>
  </w:style>
  <w:style w:type="character" w:styleId="979" w:customStyle="1">
    <w:name w:val="Char Char12"/>
    <w:uiPriority w:val="0"/>
    <w:qFormat/>
    <w:rPr>
      <w:rFonts w:ascii="Calibri" w:hAnsi="Calibri" w:eastAsia="宋体"/>
      <w:b/>
      <w:sz w:val="32"/>
    </w:rPr>
  </w:style>
  <w:style w:type="character" w:styleId="980" w:customStyle="1">
    <w:name w:val="Char Char7"/>
    <w:uiPriority w:val="0"/>
    <w:qFormat/>
    <w:rPr>
      <w:rFonts w:ascii="Calibri" w:hAnsi="Calibri" w:eastAsia="宋体"/>
      <w:sz w:val="21"/>
      <w:lang w:val="en-US" w:eastAsia="zh-CN"/>
    </w:rPr>
  </w:style>
  <w:style w:type="character" w:styleId="981" w:customStyle="1">
    <w:name w:val="Char Char51"/>
    <w:uiPriority w:val="99"/>
    <w:qFormat/>
    <w:rPr>
      <w:rFonts w:ascii="宋体" w:hAnsi="宋体" w:eastAsia="宋体"/>
      <w:sz w:val="21"/>
    </w:rPr>
  </w:style>
  <w:style w:type="character" w:styleId="982" w:customStyle="1">
    <w:name w:val="Char Char4"/>
    <w:uiPriority w:val="0"/>
    <w:qFormat/>
    <w:rPr>
      <w:rFonts w:ascii="宋体" w:hAnsi="Courier New" w:eastAsia="宋体"/>
      <w:sz w:val="28"/>
    </w:rPr>
  </w:style>
  <w:style w:type="character" w:styleId="983" w:customStyle="1">
    <w:name w:val="Char Char3"/>
    <w:uiPriority w:val="0"/>
    <w:qFormat/>
    <w:rPr>
      <w:rFonts w:eastAsia="宋体"/>
      <w:sz w:val="21"/>
    </w:rPr>
  </w:style>
  <w:style w:type="character" w:styleId="984" w:customStyle="1">
    <w:name w:val="Char Char2"/>
    <w:uiPriority w:val="0"/>
    <w:qFormat/>
    <w:rPr>
      <w:rFonts w:ascii="宋体" w:hAnsi="宋体" w:eastAsia="宋体"/>
      <w:sz w:val="21"/>
    </w:rPr>
  </w:style>
  <w:style w:type="paragraph" w:styleId="985" w:customStyle="1">
    <w:name w:val="Char3"/>
    <w:basedOn w:val="676"/>
    <w:uiPriority w:val="99"/>
    <w:qFormat/>
    <w:pPr>
      <w:jc w:val="left"/>
      <w:spacing w:after="160" w:line="240" w:lineRule="exact"/>
      <w:widowControl/>
    </w:pPr>
    <w:rPr>
      <w:szCs w:val="20"/>
    </w:rPr>
  </w:style>
  <w:style w:type="character" w:styleId="986" w:customStyle="1">
    <w:name w:val="Char Char161"/>
    <w:uiPriority w:val="99"/>
    <w:qFormat/>
    <w:rPr>
      <w:rFonts w:ascii="Calibri" w:hAnsi="Calibri" w:eastAsia="黑体"/>
      <w:b/>
      <w:sz w:val="44"/>
    </w:rPr>
  </w:style>
  <w:style w:type="character" w:styleId="987" w:customStyle="1">
    <w:name w:val="Char Char151"/>
    <w:uiPriority w:val="99"/>
    <w:qFormat/>
    <w:rPr>
      <w:rFonts w:ascii="Cambria" w:hAnsi="Cambria" w:eastAsia="黑体"/>
      <w:b/>
      <w:sz w:val="32"/>
    </w:rPr>
  </w:style>
  <w:style w:type="paragraph" w:styleId="988" w:customStyle="1">
    <w:name w:val="xl66"/>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89" w:customStyle="1">
    <w:name w:val="xl67"/>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90" w:customStyle="1">
    <w:name w:val="xl68"/>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1" w:customStyle="1">
    <w:name w:val="xl69"/>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2" w:customStyle="1">
    <w:name w:val="xl70"/>
    <w:basedOn w:val="676"/>
    <w:uiPriority w:val="0"/>
    <w:qFormat/>
    <w:pPr>
      <w:jc w:val="left"/>
      <w:spacing w:before="100" w:beforeAutospacing="1" w:after="100" w:afterAutospacing="1"/>
      <w:widowControl/>
    </w:pPr>
    <w:rPr>
      <w:rFonts w:ascii="宋体" w:hAnsi="宋体" w:cs="宋体"/>
      <w:sz w:val="24"/>
    </w:rPr>
  </w:style>
  <w:style w:type="paragraph" w:styleId="993" w:customStyle="1">
    <w:name w:val="xl71"/>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4" w:customStyle="1">
    <w:name w:val="xl72"/>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95" w:customStyle="1">
    <w:name w:val="xl73"/>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96" w:customStyle="1">
    <w:name w:val="xl74"/>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7" w:customStyle="1">
    <w:name w:val="xl75"/>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8" w:customStyle="1">
    <w:name w:val="xl7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character" w:styleId="999" w:customStyle="1">
    <w:name w:val="link-hover-click1"/>
    <w:basedOn w:val="686"/>
    <w:uiPriority w:val="0"/>
    <w:qFormat/>
    <w:rPr>
      <w:color w:val="202020"/>
    </w:rPr>
  </w:style>
  <w:style w:type="character" w:styleId="1000" w:customStyle="1">
    <w:name w:val="name15"/>
    <w:basedOn w:val="686"/>
    <w:uiPriority w:val="0"/>
    <w:qFormat/>
  </w:style>
  <w:style w:type="character" w:styleId="1001" w:customStyle="1">
    <w:name w:val="tspan1"/>
    <w:basedOn w:val="686"/>
    <w:uiPriority w:val="0"/>
    <w:qFormat/>
    <w:rPr>
      <w:b/>
      <w:bCs/>
      <w:sz w:val="33"/>
      <w:szCs w:val="33"/>
    </w:rPr>
  </w:style>
  <w:style w:type="character" w:styleId="1002" w:customStyle="1">
    <w:name w:val="Normal Indent Char"/>
    <w:uiPriority w:val="0"/>
    <w:qFormat/>
    <w:rPr>
      <w:rFonts w:eastAsia="宋体"/>
      <w:sz w:val="21"/>
      <w:lang w:val="en-US" w:eastAsia="zh-CN"/>
    </w:rPr>
  </w:style>
  <w:style w:type="paragraph" w:styleId="1003" w:customStyle="1">
    <w:name w:val="font8"/>
    <w:basedOn w:val="676"/>
    <w:uiPriority w:val="0"/>
    <w:qFormat/>
    <w:pPr>
      <w:jc w:val="left"/>
      <w:spacing w:before="100" w:beforeAutospacing="1" w:after="100" w:afterAutospacing="1"/>
      <w:widowControl/>
    </w:pPr>
    <w:rPr>
      <w:rFonts w:ascii="Arial" w:hAnsi="Arial" w:cs="Arial"/>
      <w:color w:val="333333"/>
      <w:sz w:val="18"/>
      <w:szCs w:val="18"/>
    </w:rPr>
  </w:style>
  <w:style w:type="paragraph" w:styleId="1004" w:customStyle="1">
    <w:name w:val="font9"/>
    <w:basedOn w:val="676"/>
    <w:uiPriority w:val="0"/>
    <w:qFormat/>
    <w:pPr>
      <w:jc w:val="left"/>
      <w:spacing w:before="100" w:beforeAutospacing="1" w:after="100" w:afterAutospacing="1"/>
      <w:widowControl/>
    </w:pPr>
    <w:rPr>
      <w:rFonts w:ascii="宋体" w:hAnsi="宋体" w:cs="宋体"/>
      <w:color w:val="000000"/>
      <w:sz w:val="18"/>
      <w:szCs w:val="18"/>
    </w:rPr>
  </w:style>
  <w:style w:type="paragraph" w:styleId="1005" w:customStyle="1">
    <w:name w:val="font10"/>
    <w:basedOn w:val="676"/>
    <w:uiPriority w:val="0"/>
    <w:qFormat/>
    <w:pPr>
      <w:jc w:val="left"/>
      <w:spacing w:before="100" w:beforeAutospacing="1" w:after="100" w:afterAutospacing="1"/>
      <w:widowControl/>
    </w:pPr>
    <w:rPr>
      <w:rFonts w:ascii="Arial" w:hAnsi="Arial" w:cs="Arial"/>
      <w:color w:val="000000"/>
      <w:sz w:val="18"/>
      <w:szCs w:val="18"/>
    </w:rPr>
  </w:style>
  <w:style w:type="paragraph" w:styleId="1006" w:customStyle="1">
    <w:name w:val="font12"/>
    <w:basedOn w:val="676"/>
    <w:uiPriority w:val="0"/>
    <w:qFormat/>
    <w:pPr>
      <w:jc w:val="left"/>
      <w:spacing w:before="100" w:beforeAutospacing="1" w:after="100" w:afterAutospacing="1"/>
      <w:widowControl/>
    </w:pPr>
    <w:rPr>
      <w:sz w:val="18"/>
      <w:szCs w:val="18"/>
    </w:rPr>
  </w:style>
  <w:style w:type="paragraph" w:styleId="1007" w:customStyle="1">
    <w:name w:val="font13"/>
    <w:basedOn w:val="676"/>
    <w:uiPriority w:val="0"/>
    <w:qFormat/>
    <w:pPr>
      <w:jc w:val="left"/>
      <w:spacing w:before="100" w:beforeAutospacing="1" w:after="100" w:afterAutospacing="1"/>
      <w:widowControl/>
    </w:pPr>
    <w:rPr>
      <w:rFonts w:ascii="宋体" w:hAnsi="宋体" w:cs="宋体"/>
      <w:sz w:val="18"/>
      <w:szCs w:val="18"/>
    </w:rPr>
  </w:style>
  <w:style w:type="paragraph" w:styleId="1008" w:customStyle="1">
    <w:name w:val="font14"/>
    <w:basedOn w:val="676"/>
    <w:uiPriority w:val="0"/>
    <w:qFormat/>
    <w:pPr>
      <w:jc w:val="left"/>
      <w:spacing w:before="100" w:beforeAutospacing="1" w:after="100" w:afterAutospacing="1"/>
      <w:widowControl/>
    </w:pPr>
    <w:rPr>
      <w:rFonts w:ascii="宋体" w:hAnsi="宋体" w:cs="宋体"/>
      <w:color w:val="000000"/>
      <w:sz w:val="18"/>
      <w:szCs w:val="18"/>
    </w:rPr>
  </w:style>
  <w:style w:type="paragraph" w:styleId="1009" w:customStyle="1">
    <w:name w:val="xl65"/>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0" w:customStyle="1">
    <w:name w:val="xl77"/>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011" w:customStyle="1">
    <w:name w:val="xl78"/>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012" w:customStyle="1">
    <w:name w:val="xl79"/>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013" w:customStyle="1">
    <w:name w:val="xl80"/>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014" w:customStyle="1">
    <w:name w:val="xl81"/>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015" w:customStyle="1">
    <w:name w:val="xl82"/>
    <w:basedOn w:val="676"/>
    <w:uiPriority w:val="0"/>
    <w:qFormat/>
    <w:pPr>
      <w:jc w:val="center"/>
      <w:spacing w:before="100" w:beforeAutospacing="1" w:after="100" w:afterAutospacing="1"/>
      <w:widowControl/>
      <w:pBdr>
        <w:left w:val="single" w:color="auto" w:sz="4" w:space="0"/>
        <w:right w:val="single" w:color="auto" w:sz="4" w:space="0"/>
      </w:pBdr>
    </w:pPr>
    <w:rPr>
      <w:sz w:val="18"/>
      <w:szCs w:val="18"/>
    </w:rPr>
  </w:style>
  <w:style w:type="paragraph" w:styleId="1016" w:customStyle="1">
    <w:name w:val="xl83"/>
    <w:basedOn w:val="676"/>
    <w:uiPriority w:val="0"/>
    <w:qFormat/>
    <w:pPr>
      <w:jc w:val="center"/>
      <w:spacing w:before="100" w:beforeAutospacing="1" w:after="100" w:afterAutospacing="1"/>
      <w:widowControl/>
      <w:pBdr>
        <w:left w:val="single" w:color="auto" w:sz="4" w:space="0"/>
        <w:right w:val="single" w:color="auto" w:sz="4" w:space="0"/>
      </w:pBdr>
    </w:pPr>
    <w:rPr>
      <w:sz w:val="18"/>
      <w:szCs w:val="18"/>
    </w:rPr>
  </w:style>
  <w:style w:type="paragraph" w:styleId="1017" w:customStyle="1">
    <w:name w:val="xl84"/>
    <w:basedOn w:val="676"/>
    <w:uiPriority w:val="0"/>
    <w:qFormat/>
    <w:pPr>
      <w:jc w:val="center"/>
      <w:spacing w:before="100" w:beforeAutospacing="1" w:after="100" w:afterAutospacing="1"/>
      <w:widowControl/>
    </w:pPr>
    <w:rPr>
      <w:color w:val="333333"/>
      <w:sz w:val="18"/>
      <w:szCs w:val="18"/>
    </w:rPr>
  </w:style>
  <w:style w:type="paragraph" w:styleId="1018" w:customStyle="1">
    <w:name w:val="xl85"/>
    <w:basedOn w:val="676"/>
    <w:uiPriority w:val="0"/>
    <w:qFormat/>
    <w:pPr>
      <w:jc w:val="center"/>
      <w:spacing w:before="100" w:beforeAutospacing="1" w:after="100" w:afterAutospacing="1"/>
      <w:widowControl/>
    </w:pPr>
    <w:rPr>
      <w:sz w:val="18"/>
      <w:szCs w:val="18"/>
    </w:rPr>
  </w:style>
  <w:style w:type="paragraph" w:styleId="1019" w:customStyle="1">
    <w:name w:val="xl86"/>
    <w:basedOn w:val="676"/>
    <w:uiPriority w:val="0"/>
    <w:qFormat/>
    <w:pPr>
      <w:jc w:val="center"/>
      <w:spacing w:before="100" w:beforeAutospacing="1" w:after="100" w:afterAutospacing="1"/>
      <w:widowControl/>
    </w:pPr>
    <w:rPr>
      <w:color w:val="000000"/>
      <w:sz w:val="18"/>
      <w:szCs w:val="18"/>
    </w:rPr>
  </w:style>
  <w:style w:type="paragraph" w:styleId="1020" w:customStyle="1">
    <w:name w:val="xl87"/>
    <w:basedOn w:val="676"/>
    <w:uiPriority w:val="0"/>
    <w:qFormat/>
    <w:pPr>
      <w:jc w:val="center"/>
      <w:spacing w:before="100" w:beforeAutospacing="1" w:after="100" w:afterAutospacing="1"/>
      <w:widowControl/>
      <w:pBdr>
        <w:left w:val="single" w:color="auto" w:sz="4" w:space="0"/>
        <w:right w:val="single" w:color="auto" w:sz="4" w:space="0"/>
      </w:pBdr>
    </w:pPr>
    <w:rPr>
      <w:sz w:val="18"/>
      <w:szCs w:val="18"/>
    </w:rPr>
  </w:style>
  <w:style w:type="paragraph" w:styleId="1021" w:customStyle="1">
    <w:name w:val="xl88"/>
    <w:basedOn w:val="67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8"/>
      <w:szCs w:val="18"/>
    </w:rPr>
  </w:style>
  <w:style w:type="paragraph" w:styleId="1022" w:customStyle="1">
    <w:name w:val="xl89"/>
    <w:basedOn w:val="67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18"/>
      <w:szCs w:val="18"/>
    </w:rPr>
  </w:style>
  <w:style w:type="paragraph" w:styleId="1023" w:customStyle="1">
    <w:name w:val="xl90"/>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18"/>
      <w:szCs w:val="18"/>
    </w:rPr>
  </w:style>
  <w:style w:type="paragraph" w:styleId="1024" w:customStyle="1">
    <w:name w:val="xl91"/>
    <w:basedOn w:val="67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18"/>
      <w:szCs w:val="18"/>
    </w:rPr>
  </w:style>
  <w:style w:type="paragraph" w:styleId="1025" w:customStyle="1">
    <w:name w:val="xl92"/>
    <w:basedOn w:val="67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8"/>
      <w:szCs w:val="18"/>
    </w:rPr>
  </w:style>
  <w:style w:type="paragraph" w:styleId="1026" w:customStyle="1">
    <w:name w:val="xl93"/>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444444"/>
      <w:sz w:val="18"/>
      <w:szCs w:val="18"/>
    </w:rPr>
  </w:style>
  <w:style w:type="paragraph" w:styleId="1027" w:customStyle="1">
    <w:name w:val="xl94"/>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028" w:customStyle="1">
    <w:name w:val="xl95"/>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29" w:customStyle="1">
    <w:name w:val="xl96"/>
    <w:basedOn w:val="67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18"/>
      <w:szCs w:val="18"/>
    </w:rPr>
  </w:style>
  <w:style w:type="paragraph" w:styleId="1030" w:customStyle="1">
    <w:name w:val="xl97"/>
    <w:basedOn w:val="67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8"/>
      <w:szCs w:val="18"/>
    </w:rPr>
  </w:style>
  <w:style w:type="paragraph" w:styleId="1031" w:customStyle="1">
    <w:name w:val="xl98"/>
    <w:basedOn w:val="67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8"/>
      <w:szCs w:val="18"/>
    </w:rPr>
  </w:style>
  <w:style w:type="paragraph" w:styleId="1032" w:customStyle="1">
    <w:name w:val="xl99"/>
    <w:basedOn w:val="67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18"/>
      <w:szCs w:val="18"/>
    </w:rPr>
  </w:style>
  <w:style w:type="paragraph" w:styleId="1033" w:customStyle="1">
    <w:name w:val="xl100"/>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034" w:customStyle="1">
    <w:name w:val="xl101"/>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035" w:customStyle="1">
    <w:name w:val="xl102"/>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36" w:customStyle="1">
    <w:name w:val="xl103"/>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37" w:customStyle="1">
    <w:name w:val="xl104"/>
    <w:basedOn w:val="676"/>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38" w:customStyle="1">
    <w:name w:val="font15"/>
    <w:basedOn w:val="676"/>
    <w:uiPriority w:val="0"/>
    <w:qFormat/>
    <w:pPr>
      <w:jc w:val="left"/>
      <w:spacing w:before="100" w:beforeAutospacing="1" w:after="100" w:afterAutospacing="1"/>
      <w:widowControl/>
    </w:pPr>
    <w:rPr>
      <w:rFonts w:ascii="宋体" w:hAnsi="宋体" w:cs="宋体"/>
      <w:color w:val="000000"/>
      <w:sz w:val="14"/>
      <w:szCs w:val="14"/>
    </w:rPr>
  </w:style>
  <w:style w:type="table" w:styleId="1039" w:customStyle="1">
    <w:name w:val="网格型5"/>
    <w:basedOn w:val="687"/>
    <w:uiPriority w:val="99"/>
    <w:unhideWhenUsed/>
    <w:qFormat/>
    <w:rPr>
      <w:rFonts w:eastAsia="Times New Roman"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40" w:customStyle="1">
    <w:name w:val="样式 10 磅13"/>
    <w:uiPriority w:val="0"/>
    <w:qFormat/>
    <w:pPr>
      <w:jc w:val="both"/>
      <w:widowControl w:val="off"/>
    </w:pPr>
    <w:rPr>
      <w:rFonts w:ascii="Times New Roman" w:hAnsi="Times New Roman" w:eastAsia="宋体" w:cs="Times New Roman"/>
      <w:sz w:val="21"/>
      <w:szCs w:val="24"/>
      <w:lang w:val="en-US" w:eastAsia="zh-CN" w:bidi="ar-SA"/>
    </w:rPr>
  </w:style>
  <w:style w:type="paragraph" w:styleId="1041" w:customStyle="1">
    <w:name w:val="WPSOffice手动目录 1"/>
    <w:uiPriority w:val="0"/>
    <w:qFormat/>
    <w:rPr>
      <w:rFonts w:ascii="Times New Roman" w:hAnsi="Times New Roman" w:eastAsia="宋体" w:cs="Times New Roman"/>
      <w:lang w:val="en-US" w:eastAsia="zh-CN" w:bidi="ar-SA"/>
    </w:rPr>
  </w:style>
  <w:style w:type="paragraph" w:styleId="1042" w:customStyle="1">
    <w:name w:val="WPSOffice手动目录 2"/>
    <w:uiPriority w:val="0"/>
    <w:qFormat/>
    <w:pPr>
      <w:ind w:left="200"/>
    </w:pPr>
    <w:rPr>
      <w:rFonts w:ascii="Times New Roman" w:hAnsi="Times New Roman" w:eastAsia="宋体" w:cs="Times New Roman"/>
      <w:lang w:val="en-US" w:eastAsia="zh-CN" w:bidi="ar-SA"/>
    </w:rPr>
  </w:style>
  <w:style w:type="paragraph" w:styleId="1043" w:customStyle="1">
    <w:name w:val="顶格正文"/>
    <w:basedOn w:val="676"/>
    <w:uiPriority w:val="0"/>
    <w:qFormat/>
    <w:pPr>
      <w:spacing w:line="500" w:lineRule="exact"/>
    </w:pPr>
    <w:rPr>
      <w:color w:val="000000"/>
      <w:sz w:val="30"/>
      <w:szCs w:val="30"/>
    </w:rPr>
  </w:style>
  <w:style w:type="paragraph" w:styleId="1044" w:customStyle="1">
    <w:name w:val="无编号正文"/>
    <w:basedOn w:val="676"/>
    <w:uiPriority w:val="0"/>
    <w:qFormat/>
    <w:rPr>
      <w:szCs w:val="21"/>
    </w:rPr>
  </w:style>
  <w:style w:type="paragraph" w:styleId="1045" w:customStyle="1">
    <w:name w:val="sf顶格正文"/>
    <w:basedOn w:val="694"/>
    <w:next w:val="1046"/>
    <w:uiPriority w:val="0"/>
    <w:qFormat/>
    <w:pPr>
      <w:ind w:firstLine="0"/>
      <w:spacing w:line="400" w:lineRule="exact"/>
    </w:pPr>
    <w:rPr>
      <w:rFonts w:ascii="宋体" w:hAnsi="宋体"/>
      <w:b/>
      <w:bCs/>
      <w:color w:val="000000"/>
      <w:sz w:val="32"/>
      <w:szCs w:val="32"/>
    </w:rPr>
  </w:style>
  <w:style w:type="paragraph" w:styleId="1046" w:customStyle="1">
    <w:name w:val="sf无编号正文"/>
    <w:basedOn w:val="676"/>
    <w:uiPriority w:val="0"/>
    <w:qFormat/>
    <w:pPr>
      <w:spacing w:line="400" w:lineRule="exact"/>
    </w:pPr>
    <w:rPr>
      <w:rFonts w:ascii="宋体"/>
      <w:color w:val="000000"/>
      <w:spacing w:val="-8"/>
    </w:rPr>
  </w:style>
  <w:style w:type="paragraph" w:styleId="1047" w:customStyle="1">
    <w:name w:val="_Style 3"/>
    <w:basedOn w:val="676"/>
    <w:uiPriority w:val="0"/>
    <w:qFormat/>
    <w:pPr>
      <w:ind w:firstLine="200"/>
    </w:pPr>
    <w:rPr>
      <w:szCs w:val="22"/>
    </w:rPr>
  </w:style>
  <w:style w:type="paragraph" w:styleId="1048"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049" w:customStyle="1">
    <w:name w:val="Normal_10_0"/>
    <w:uiPriority w:val="0"/>
    <w:qFormat/>
    <w:rPr>
      <w:rFonts w:ascii="黑体" w:hAnsi="Calibri" w:eastAsia="黑体" w:cs="Times New Roman"/>
      <w:b/>
      <w:sz w:val="32"/>
      <w:szCs w:val="24"/>
      <w:lang w:val="en-US" w:eastAsia="zh-CN" w:bidi="ar-SA"/>
    </w:rPr>
  </w:style>
  <w:style w:type="paragraph" w:styleId="1050" w:customStyle="1">
    <w:name w:val="列表段落1"/>
    <w:basedOn w:val="676"/>
    <w:uiPriority w:val="34"/>
    <w:qFormat/>
    <w:pPr>
      <w:ind w:firstLine="420"/>
      <w:jc w:val="left"/>
      <w:widowControl/>
    </w:pPr>
    <w:rPr>
      <w:rFonts w:ascii="Calibri" w:hAnsi="Calibri"/>
    </w:rPr>
  </w:style>
  <w:style w:type="paragraph" w:styleId="1051" w:customStyle="1">
    <w:name w:val="正文自定"/>
    <w:basedOn w:val="676"/>
    <w:uiPriority w:val="0"/>
    <w:qFormat/>
    <w:pPr>
      <w:ind w:firstLine="480"/>
      <w:spacing w:line="360" w:lineRule="auto"/>
    </w:pPr>
    <w:rPr>
      <w:rFonts w:ascii="Calibri" w:hAnsi="Calibri"/>
      <w:sz w:val="24"/>
    </w:rPr>
  </w:style>
  <w:style w:type="paragraph" w:styleId="1052" w:customStyle="1">
    <w:name w:val="正文缩进2"/>
    <w:basedOn w:val="676"/>
    <w:uiPriority w:val="0"/>
    <w:qFormat/>
    <w:pPr>
      <w:ind w:firstLine="420"/>
    </w:pPr>
    <w:rPr>
      <w:szCs w:val="21"/>
    </w:rPr>
  </w:style>
  <w:style w:type="paragraph" w:styleId="1053"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054" w:customStyle="1">
    <w:name w:val="正文_0_1"/>
    <w:uiPriority w:val="0"/>
    <w:qFormat/>
    <w:pPr>
      <w:jc w:val="both"/>
      <w:widowControl w:val="off"/>
    </w:pPr>
    <w:rPr>
      <w:rFonts w:ascii="Calibri" w:hAnsi="Calibri" w:eastAsia="宋体" w:cs="Times New Roman"/>
      <w:sz w:val="21"/>
      <w:szCs w:val="22"/>
      <w:lang w:val="en-US" w:eastAsia="zh-CN" w:bidi="ar-SA"/>
    </w:rPr>
  </w:style>
  <w:style w:type="table" w:styleId="1055" w:customStyle="1">
    <w:name w:val="网格型6"/>
    <w:basedOn w:val="687"/>
    <w:uiPriority w:val="99"/>
    <w:unhideWhenUsed/>
    <w:qFormat/>
    <w:rPr>
      <w:rFonts w:eastAsia="Times New Roman"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6" w:customStyle="1">
    <w:name w:val="px14"/>
    <w:basedOn w:val="686"/>
    <w:uiPriority w:val="0"/>
    <w:qFormat/>
  </w:style>
  <w:style w:type="paragraph" w:styleId="1057" w:customStyle="1">
    <w:name w:val="zw"/>
    <w:basedOn w:val="676"/>
    <w:uiPriority w:val="0"/>
    <w:qFormat/>
    <w:pPr>
      <w:ind w:left="100" w:right="100"/>
      <w:spacing w:before="30"/>
      <w:widowControl/>
    </w:pPr>
    <w:rPr>
      <w:rFonts w:ascii="方正书宋简体" w:hAnsi="宋体" w:eastAsia="方正书宋简体"/>
      <w:color w:val="000000"/>
      <w:szCs w:val="21"/>
    </w:rPr>
  </w:style>
  <w:style w:type="paragraph" w:styleId="1058" w:customStyle="1">
    <w:name w:val="Char Char Char"/>
    <w:basedOn w:val="676"/>
    <w:uiPriority w:val="0"/>
    <w:qFormat/>
    <w:pPr>
      <w:jc w:val="left"/>
      <w:spacing w:after="160" w:line="240" w:lineRule="exact"/>
      <w:widowControl/>
    </w:pPr>
    <w:rPr>
      <w:rFonts w:ascii="Verdana" w:hAnsi="Verdana" w:eastAsia="仿宋_GB2312" w:cs="宋体"/>
      <w:sz w:val="24"/>
      <w:szCs w:val="20"/>
      <w:lang w:eastAsia="en-US"/>
    </w:rPr>
  </w:style>
  <w:style w:type="character" w:styleId="1059" w:customStyle="1">
    <w:name w:val="doc_title"/>
    <w:uiPriority w:val="0"/>
    <w:qFormat/>
  </w:style>
  <w:style w:type="table" w:styleId="1060" w:customStyle="1">
    <w:name w:val="网格型7"/>
    <w:basedOn w:val="68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61" w:customStyle="1">
    <w:name w:val="正文 + (西文) Times New Roman"/>
    <w:basedOn w:val="719"/>
    <w:uiPriority w:val="99"/>
    <w:qFormat/>
    <w:pPr>
      <w:ind w:firstLine="560"/>
      <w:spacing w:before="0" w:beforeAutospacing="0" w:after="150" w:afterAutospacing="0" w:line="360" w:lineRule="auto"/>
    </w:pPr>
    <w:rPr>
      <w:rFonts w:ascii="仿宋_GB2312" w:hAnsi="宋体" w:eastAsia="仿宋_GB2312" w:cs="仿宋_GB2312"/>
      <w:color w:val="000000"/>
      <w:sz w:val="28"/>
      <w:szCs w:val="28"/>
    </w:rPr>
  </w:style>
  <w:style w:type="character" w:styleId="1062" w:customStyle="1">
    <w:name w:val="Body text (2) + Bold"/>
    <w:uiPriority w:val="0"/>
    <w:qFormat/>
    <w:rPr>
      <w:rFonts w:ascii="MingLiU" w:hAnsi="MingLiU" w:eastAsia="MingLiU" w:cs="MingLiU"/>
      <w:b/>
      <w:bCs/>
      <w:color w:val="000000"/>
      <w:spacing w:val="20"/>
      <w:position w:val="0"/>
      <w:sz w:val="18"/>
      <w:szCs w:val="18"/>
      <w:u w:val="none"/>
      <w:shd w:val="clear" w:color="auto" w:fill="ffffff"/>
      <w:lang w:val="en-US" w:eastAsia="en-US" w:bidi="en-US"/>
    </w:rPr>
  </w:style>
  <w:style w:type="character" w:styleId="1063" w:customStyle="1">
    <w:name w:val="Body text (2) + 8 pt"/>
    <w:uiPriority w:val="0"/>
    <w:qFormat/>
    <w:rPr>
      <w:rFonts w:ascii="MingLiU" w:hAnsi="MingLiU" w:eastAsia="MingLiU" w:cs="MingLiU"/>
      <w:color w:val="000000"/>
      <w:spacing w:val="10"/>
      <w:position w:val="0"/>
      <w:sz w:val="16"/>
      <w:szCs w:val="16"/>
      <w:u w:val="none"/>
      <w:shd w:val="clear" w:color="auto" w:fill="ffffff"/>
      <w:lang w:val="zh-CN" w:eastAsia="zh-CN" w:bidi="zh-CN"/>
    </w:rPr>
  </w:style>
  <w:style w:type="character" w:styleId="1064" w:customStyle="1">
    <w:name w:val="15"/>
    <w:basedOn w:val="686"/>
    <w:uiPriority w:val="0"/>
    <w:qFormat/>
    <w:rPr>
      <w:rFonts w:hint="eastAsia" w:ascii="宋体" w:hAnsi="宋体" w:eastAsia="宋体"/>
      <w:color w:val="000000"/>
      <w:sz w:val="20"/>
      <w:szCs w:val="20"/>
    </w:rPr>
  </w:style>
  <w:style w:type="character" w:styleId="1065" w:customStyle="1">
    <w:name w:val="font61"/>
    <w:basedOn w:val="686"/>
    <w:uiPriority w:val="0"/>
    <w:qFormat/>
    <w:rPr>
      <w:rFonts w:hint="default" w:ascii="方正仿宋_GBK" w:hAnsi="方正仿宋_GBK" w:eastAsia="方正仿宋_GBK" w:cs="方正仿宋_GBK"/>
      <w:color w:val="000000"/>
      <w:sz w:val="24"/>
      <w:szCs w:val="24"/>
      <w:u w:val="none"/>
    </w:rPr>
  </w:style>
  <w:style w:type="paragraph" w:styleId="1066"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067" w:customStyle="1">
    <w:name w:val="正文（文本）"/>
    <w:uiPriority w:val="0"/>
    <w:qFormat/>
    <w:pPr>
      <w:jc w:val="center"/>
      <w:spacing w:line="360" w:lineRule="auto"/>
      <w:widowControl w:val="off"/>
    </w:pPr>
    <w:rPr>
      <w:rFonts w:ascii="Times New Roman" w:hAnsi="宋体" w:eastAsia="宋体" w:cs="Times New Roman"/>
      <w:sz w:val="28"/>
      <w:szCs w:val="28"/>
      <w:lang w:val="en-US" w:eastAsia="zh-CN" w:bidi="ar-SA"/>
    </w:rPr>
  </w:style>
  <w:style w:type="character" w:styleId="1068" w:customStyle="1">
    <w:name w:val="active16"/>
    <w:basedOn w:val="686"/>
    <w:uiPriority w:val="0"/>
    <w:qFormat/>
    <w:rPr>
      <w:color w:val="ffffff"/>
      <w:shd w:val="clear" w:color="auto" w:fill="0f5bb9"/>
    </w:rPr>
  </w:style>
  <w:style w:type="paragraph" w:styleId="1069" w:customStyle="1">
    <w:name w:val="+正文"/>
    <w:basedOn w:val="676"/>
    <w:uiPriority w:val="0"/>
    <w:qFormat/>
    <w:pPr>
      <w:ind w:firstLine="200"/>
      <w:spacing w:before="50" w:line="360" w:lineRule="auto"/>
    </w:pPr>
    <w:rPr>
      <w:sz w:val="24"/>
      <w:szCs w:val="20"/>
    </w:rPr>
  </w:style>
  <w:style w:type="paragraph" w:styleId="1070" w:customStyle="1">
    <w:name w:val="标题 211"/>
    <w:basedOn w:val="676"/>
    <w:next w:val="676"/>
    <w:uiPriority w:val="9"/>
    <w:qFormat/>
    <w:pPr>
      <w:keepLines/>
      <w:keepNext/>
      <w:spacing w:line="360" w:lineRule="auto"/>
      <w:outlineLvl w:val="1"/>
    </w:pPr>
    <w:rPr>
      <w:rFonts w:ascii="Cambria" w:hAnsi="Cambria"/>
      <w:b/>
      <w:bCs/>
      <w:szCs w:val="21"/>
    </w:rPr>
  </w:style>
  <w:style w:type="paragraph" w:styleId="1071" w:customStyle="1">
    <w:name w:val="目录 11"/>
    <w:basedOn w:val="676"/>
    <w:next w:val="676"/>
    <w:uiPriority w:val="39"/>
    <w:qFormat/>
    <w:pPr>
      <w:jc w:val="left"/>
      <w:spacing w:before="120" w:after="120"/>
    </w:pPr>
    <w:rPr>
      <w:rFonts w:ascii="Calibri" w:hAnsi="Calibri"/>
      <w:b/>
      <w:bCs/>
      <w:caps/>
      <w:sz w:val="20"/>
      <w:szCs w:val="20"/>
    </w:rPr>
  </w:style>
  <w:style w:type="paragraph" w:styleId="1072" w:customStyle="1">
    <w:name w:val="正文缩进1"/>
    <w:basedOn w:val="676"/>
    <w:uiPriority w:val="0"/>
    <w:qFormat/>
    <w:pPr>
      <w:ind w:firstLine="420"/>
    </w:pPr>
  </w:style>
  <w:style w:type="paragraph" w:styleId="1073" w:customStyle="1">
    <w:name w:val="HTML 预设格式1"/>
    <w:basedOn w:val="676"/>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Cs w:val="21"/>
    </w:rPr>
  </w:style>
  <w:style w:type="paragraph" w:styleId="1074" w:customStyle="1">
    <w:name w:val="正文缩进11"/>
    <w:basedOn w:val="676"/>
    <w:uiPriority w:val="99"/>
    <w:qFormat/>
    <w:pPr>
      <w:ind w:firstLine="420"/>
      <w:spacing w:line="360" w:lineRule="auto"/>
    </w:pPr>
    <w:rPr>
      <w:sz w:val="24"/>
    </w:rPr>
  </w:style>
  <w:style w:type="paragraph" w:styleId="1075" w:customStyle="1">
    <w:name w:val="Table Text"/>
    <w:basedOn w:val="676"/>
    <w:uiPriority w:val="0"/>
    <w:semiHidden/>
    <w:qFormat/>
    <w:rPr>
      <w:rFonts w:ascii="宋体" w:hAnsi="宋体" w:cs="宋体"/>
      <w:sz w:val="23"/>
      <w:szCs w:val="23"/>
      <w:lang w:eastAsia="en-US"/>
    </w:rPr>
  </w:style>
  <w:style w:type="paragraph" w:styleId="1076" w:customStyle="1">
    <w:name w:val="普通(网站)11"/>
    <w:basedOn w:val="676"/>
    <w:uiPriority w:val="0"/>
    <w:qFormat/>
    <w:pPr>
      <w:jc w:val="left"/>
      <w:spacing w:before="100" w:beforeAutospacing="1" w:after="100" w:afterAutospacing="1"/>
      <w:widowControl/>
    </w:pPr>
    <w:rPr>
      <w:rFonts w:ascii="宋体" w:hAnsi="宋体" w:cs="宋体"/>
      <w:sz w:val="24"/>
    </w:rPr>
  </w:style>
  <w:style w:type="character" w:styleId="1077" w:customStyle="1">
    <w:name w:val="NormalCharacter1"/>
    <w:uiPriority w:val="0"/>
    <w:semiHidden/>
    <w:qFormat/>
  </w:style>
  <w:style w:type="paragraph" w:styleId="1078" w:customStyle="1">
    <w:name w:val="普通(网站)1"/>
    <w:basedOn w:val="676"/>
    <w:uiPriority w:val="0"/>
    <w:qFormat/>
    <w:pPr>
      <w:jc w:val="left"/>
      <w:spacing w:before="100" w:beforeAutospacing="1" w:after="100" w:afterAutospacing="1"/>
      <w:widowControl/>
    </w:pPr>
    <w:rPr>
      <w:rFonts w:ascii="宋体" w:hAnsi="宋体" w:cs="宋体"/>
      <w:sz w:val="24"/>
    </w:rPr>
  </w:style>
  <w:style w:type="paragraph" w:styleId="1079" w:customStyle="1">
    <w:name w:val="正文首行缩进 2111"/>
    <w:basedOn w:val="1080"/>
    <w:next w:val="676"/>
    <w:uiPriority w:val="0"/>
    <w:qFormat/>
    <w:pPr>
      <w:ind w:left="0" w:firstLine="420"/>
      <w:spacing w:after="0" w:line="360" w:lineRule="auto"/>
    </w:pPr>
    <w:rPr>
      <w:rFonts w:ascii="宋体" w:hAnsi="宋体" w:eastAsia="宋体" w:cs="Times New Roman"/>
      <w:szCs w:val="20"/>
    </w:rPr>
  </w:style>
  <w:style w:type="paragraph" w:styleId="1080" w:customStyle="1">
    <w:name w:val="正文文本缩进111"/>
    <w:basedOn w:val="676"/>
    <w:next w:val="1081"/>
    <w:uiPriority w:val="0"/>
    <w:unhideWhenUsed/>
    <w:qFormat/>
    <w:pPr>
      <w:ind w:left="420"/>
      <w:spacing w:after="120"/>
    </w:pPr>
  </w:style>
  <w:style w:type="paragraph" w:styleId="1081" w:customStyle="1">
    <w:name w:val="寄信人地址11"/>
    <w:basedOn w:val="676"/>
    <w:uiPriority w:val="0"/>
    <w:qFormat/>
    <w:rPr>
      <w:rFonts w:ascii="Arial" w:hAnsi="Arial" w:eastAsia="宋体" w:cs="宋体"/>
    </w:rPr>
  </w:style>
  <w:style w:type="numbering" w:styleId="151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8ADC396-0EFE-4653-8E0F-E84DA4CAF9B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叶逢春</cp:lastModifiedBy>
  <cp:revision>4</cp:revision>
  <dcterms:created xsi:type="dcterms:W3CDTF">2025-07-09T03:42:00Z</dcterms:created>
  <dcterms:modified xsi:type="dcterms:W3CDTF">2026-09-21T09:15:17Z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DFB0BBAF63984A74B3243B6B8F74021F_13</vt:lpwstr>
  </property>
  <property fmtid="{D5CDD505-2E9C-101B-9397-08002B2CF9AE}" pid="4" name="KSOTemplateDocerSaveRecord">
    <vt:lpwstr>eyJoZGlkIjoiZDJlMzYzZDNlNzljOWY0ZWE2NWRjYTA4MWZmYmI4ODMiLCJ1c2VySWQiOiI3MzI1ODMxOTcifQ==</vt:lpwstr>
  </property>
</Properties>
</file>