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30"/>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30"/>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tbl>
      <w:tblPr>
        <w:tblStyle w:val="719"/>
        <w:tblpPr w:horzAnchor="page" w:tblpX="1700" w:vertAnchor="text" w:tblpY="83"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院前小学数智校园建设项目</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JSZC-320703-JSDX-G2026-0020</w:t>
            </w:r>
            <w:r/>
          </w:p>
        </w:tc>
      </w:tr>
    </w:tbl>
    <w:p>
      <w:pPr>
        <w:pStyle w:val="7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19"/>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连云港市院前小学  </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江苏鼎新工程咨询有限公司</w:t>
            </w:r>
            <w:r/>
          </w:p>
        </w:tc>
      </w:tr>
    </w:tbl>
    <w:p>
      <w:pPr>
        <w:pStyle w:val="73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3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9</w:t>
      </w:r>
      <w:r>
        <w:rPr>
          <w:rFonts w:hint="eastAsia" w:ascii="宋体" w:hAnsi="宋体" w:eastAsia="宋体" w:cs="宋体"/>
          <w:b/>
          <w:bCs/>
          <w:color w:val="auto"/>
          <w:sz w:val="32"/>
          <w:highlight w:val="none"/>
        </w:rPr>
        <w:t xml:space="preserve">月</w:t>
      </w:r>
      <w:r/>
    </w:p>
    <w:p>
      <w:pPr>
        <w:pStyle w:val="730"/>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37"/>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73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755"/>
        <w:rPr>
          <w:rFonts w:hint="eastAsia"/>
          <w:color w:val="auto"/>
          <w:highlight w:val="none"/>
        </w:rPr>
      </w:pPr>
      <w:r>
        <w:rPr>
          <w:rFonts w:hint="eastAsia"/>
          <w:color w:val="auto"/>
          <w:highlight w:val="none"/>
        </w:rPr>
        <w:fldChar w:fldCharType="end"/>
      </w:r>
      <w:r/>
    </w:p>
    <w:p>
      <w:pPr>
        <w:pStyle w:val="755"/>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709"/>
        <w:jc w:val="center"/>
        <w:spacing w:line="360" w:lineRule="auto"/>
        <w:rPr>
          <w:rFonts w:hint="eastAsia" w:ascii="宋体" w:hAnsi="宋体" w:eastAsia="宋体" w:cs="宋体"/>
          <w:b w:val="0"/>
          <w:color w:val="auto"/>
          <w:highlight w:val="none"/>
        </w:rPr>
      </w:pPr>
      <w:r/>
      <w:bookmarkStart w:id="1" w:name="_Toc162361610"/>
      <w:r/>
      <w:bookmarkStart w:id="2" w:name="_Toc612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连云港市院前小学</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院前小学数智校园建设项目</w:t>
      </w:r>
      <w:r>
        <w:rPr>
          <w:rFonts w:hint="eastAsia" w:ascii="宋体" w:hAnsi="宋体" w:eastAsia="宋体" w:cs="宋体"/>
          <w:color w:val="auto"/>
          <w:sz w:val="24"/>
          <w:szCs w:val="24"/>
          <w:highlight w:val="none"/>
        </w:rPr>
        <w:t xml:space="preserve">（项目编号：JSZC-320703-JSDX-G2026-0020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4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院前小学数智校园建设项目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white"/>
                <w:u w:val="single"/>
              </w:rPr>
              <w:t xml:space="preserve">202</w:t>
            </w:r>
            <w:r>
              <w:rPr>
                <w:rFonts w:hint="eastAsia" w:ascii="宋体" w:hAnsi="宋体" w:eastAsia="宋体" w:cs="宋体"/>
                <w:b/>
                <w:color w:val="auto"/>
                <w:sz w:val="24"/>
                <w:szCs w:val="24"/>
                <w:highlight w:val="white"/>
                <w:u w:val="single"/>
                <w:lang w:val="en-US" w:eastAsia="zh-CN"/>
              </w:rPr>
              <w:t xml:space="preserve">6</w:t>
            </w:r>
            <w:r>
              <w:rPr>
                <w:rFonts w:hint="eastAsia" w:ascii="宋体" w:hAnsi="宋体" w:eastAsia="宋体" w:cs="宋体"/>
                <w:b/>
                <w:color w:val="auto"/>
                <w:sz w:val="24"/>
                <w:szCs w:val="24"/>
                <w:highlight w:val="white"/>
                <w:u w:val="single"/>
              </w:rPr>
              <w:t xml:space="preserve">年</w:t>
            </w:r>
            <w:r>
              <w:rPr>
                <w:rFonts w:hint="eastAsia" w:ascii="宋体" w:hAnsi="宋体" w:eastAsia="宋体" w:cs="宋体"/>
                <w:b/>
                <w:color w:val="auto"/>
                <w:sz w:val="24"/>
                <w:szCs w:val="24"/>
                <w:highlight w:val="white"/>
                <w:u w:val="single"/>
                <w:lang w:val="en-US" w:eastAsia="zh-CN"/>
              </w:rPr>
              <w:t xml:space="preserve">10</w:t>
            </w:r>
            <w:r>
              <w:rPr>
                <w:rFonts w:hint="eastAsia" w:ascii="宋体" w:hAnsi="宋体" w:eastAsia="宋体" w:cs="宋体"/>
                <w:b/>
                <w:color w:val="auto"/>
                <w:sz w:val="24"/>
                <w:szCs w:val="24"/>
                <w:highlight w:val="white"/>
                <w:u w:val="single"/>
              </w:rPr>
              <w:t xml:space="preserve">月</w:t>
            </w:r>
            <w:r>
              <w:rPr>
                <w:rFonts w:hint="eastAsia" w:ascii="宋体" w:hAnsi="宋体" w:eastAsia="宋体" w:cs="宋体"/>
                <w:b/>
                <w:color w:val="auto"/>
                <w:sz w:val="24"/>
                <w:szCs w:val="24"/>
                <w:highlight w:val="white"/>
                <w:u w:val="single"/>
                <w:lang w:val="en-US" w:eastAsia="zh-CN"/>
              </w:rPr>
              <w:t xml:space="preserve">14</w:t>
            </w:r>
            <w:r>
              <w:rPr>
                <w:rFonts w:hint="eastAsia" w:ascii="宋体" w:hAnsi="宋体" w:eastAsia="宋体" w:cs="宋体"/>
                <w:b/>
                <w:color w:val="auto"/>
                <w:sz w:val="24"/>
                <w:szCs w:val="24"/>
                <w:highlight w:val="white"/>
                <w:u w:val="single"/>
              </w:rPr>
              <w:t xml:space="preserve">日</w:t>
            </w:r>
            <w:r>
              <w:rPr>
                <w:rFonts w:hint="eastAsia" w:ascii="宋体" w:hAnsi="宋体" w:eastAsia="宋体" w:cs="宋体"/>
                <w:b/>
                <w:color w:val="auto"/>
                <w:sz w:val="24"/>
                <w:szCs w:val="24"/>
                <w:highlight w:val="white"/>
                <w:u w:val="single"/>
                <w:lang w:val="en-US" w:eastAsia="zh-CN"/>
              </w:rPr>
              <w:t xml:space="preserve">14</w:t>
            </w:r>
            <w:r>
              <w:rPr>
                <w:rFonts w:hint="eastAsia" w:ascii="宋体" w:hAnsi="宋体" w:eastAsia="宋体" w:cs="宋体"/>
                <w:b/>
                <w:color w:val="auto"/>
                <w:sz w:val="24"/>
                <w:szCs w:val="24"/>
                <w:highlight w:val="white"/>
                <w:u w:val="single"/>
              </w:rPr>
              <w:t xml:space="preserve">:</w:t>
            </w:r>
            <w:r>
              <w:rPr>
                <w:rFonts w:hint="eastAsia" w:ascii="宋体" w:hAnsi="宋体" w:eastAsia="宋体" w:cs="宋体"/>
                <w:b/>
                <w:color w:val="auto"/>
                <w:sz w:val="24"/>
                <w:szCs w:val="24"/>
                <w:highlight w:val="white"/>
                <w:u w:val="single"/>
                <w:lang w:val="en-US" w:eastAsia="zh-CN"/>
              </w:rPr>
              <w:t xml:space="preserve">3</w:t>
            </w:r>
            <w:r>
              <w:rPr>
                <w:rFonts w:hint="eastAsia" w:ascii="宋体" w:hAnsi="宋体" w:eastAsia="宋体" w:cs="宋体"/>
                <w:b/>
                <w:color w:val="auto"/>
                <w:sz w:val="24"/>
                <w:szCs w:val="24"/>
                <w:highlight w:val="whit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1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JSZC-320703-JSDX-G2026-0020</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院前小学数智校园建设项目</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180.4</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eastAsia="宋体"/>
          <w:b w:val="0"/>
          <w:bCs w:val="0"/>
          <w:color w:val="auto"/>
          <w:sz w:val="24"/>
          <w:highlight w:val="none"/>
          <w:lang w:val="en-US" w:eastAsia="zh-CN"/>
        </w:rPr>
        <w:t xml:space="preserve">180.4</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院前小学数智校园建设项目，本项目</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eastAsia="zh-CN"/>
        </w:rPr>
        <w:t xml:space="preserve">STEM+AI教育教学空间、创客教室、心理咨询室升级改造、AI智慧教室、智慧体育、东西校区广播系统，</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Start w:id="3" w:name="OLE_LINK6"/>
      <w:r>
        <w:rPr>
          <w:rFonts w:hint="eastAsia" w:ascii="宋体" w:hAnsi="宋体" w:eastAsia="宋体" w:cs="宋体"/>
          <w:color w:val="auto"/>
          <w:sz w:val="24"/>
          <w:szCs w:val="24"/>
          <w:highlight w:val="none"/>
          <w:lang w:eastAsia="zh-CN"/>
        </w:rPr>
        <w:t xml:space="preserve">合同签订后</w:t>
      </w:r>
      <w:r>
        <w:rPr>
          <w:rFonts w:hint="eastAsia" w:ascii="宋体" w:hAnsi="宋体" w:eastAsia="宋体" w:cs="宋体"/>
          <w:color w:val="auto"/>
          <w:sz w:val="24"/>
          <w:szCs w:val="24"/>
          <w:highlight w:val="white"/>
          <w:lang w:val="en-US" w:eastAsia="zh-CN"/>
        </w:rPr>
        <w:t xml:space="preserve">35日历天</w:t>
      </w:r>
      <w:r>
        <w:rPr>
          <w:rFonts w:hint="eastAsia" w:ascii="宋体" w:hAnsi="宋体" w:eastAsia="宋体" w:cs="宋体"/>
          <w:color w:val="auto"/>
          <w:sz w:val="24"/>
          <w:szCs w:val="24"/>
          <w:highlight w:val="white"/>
        </w:rPr>
        <w:t xml:space="preserve">内</w:t>
      </w:r>
      <w:r>
        <w:rPr>
          <w:rFonts w:hint="eastAsia" w:ascii="宋体" w:hAnsi="宋体" w:eastAsia="宋体" w:cs="宋体"/>
          <w:color w:val="auto"/>
          <w:sz w:val="24"/>
          <w:szCs w:val="24"/>
          <w:highlight w:val="none"/>
        </w:rPr>
        <w:t xml:space="preserve">完成供货、安装调试，</w:t>
      </w:r>
      <w:r>
        <w:rPr>
          <w:rFonts w:hint="eastAsia" w:ascii="宋体" w:hAnsi="宋体" w:eastAsia="宋体" w:cs="宋体"/>
          <w:color w:val="auto"/>
          <w:sz w:val="24"/>
          <w:szCs w:val="24"/>
          <w:highlight w:val="none"/>
          <w:lang w:val="en-US" w:eastAsia="zh-CN"/>
        </w:rPr>
        <w:t xml:space="preserve">合格后组织</w:t>
      </w:r>
      <w:r>
        <w:rPr>
          <w:rFonts w:hint="eastAsia" w:ascii="宋体" w:hAnsi="宋体" w:eastAsia="宋体" w:cs="宋体"/>
          <w:color w:val="auto"/>
          <w:sz w:val="24"/>
          <w:szCs w:val="24"/>
          <w:highlight w:val="none"/>
          <w:lang w:eastAsia="zh-CN"/>
        </w:rPr>
        <w:t xml:space="preserve">验收</w:t>
      </w:r>
      <w:bookmarkEnd w:id="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本项目不接受联合体</w:t>
      </w:r>
      <w:r>
        <w:rPr>
          <w:rFonts w:hint="eastAsia" w:eastAsia="宋体" w:cs="Times New Roman"/>
          <w:sz w:val="24"/>
          <w:szCs w:val="24"/>
          <w:highlight w:val="none"/>
          <w:lang w:val="en-US" w:eastAsia="zh-CN"/>
        </w:rPr>
        <w:t xml:space="preserve">投标</w:t>
      </w:r>
      <w:r>
        <w:rPr>
          <w:rFonts w:hint="eastAsia" w:eastAsia="宋体" w:cs="Times New Roman"/>
          <w:sz w:val="24"/>
          <w:szCs w:val="24"/>
          <w:highlight w:val="none"/>
        </w:rPr>
        <w:t xml:space="preserve">。</w:t>
      </w:r>
      <w:r/>
    </w:p>
    <w:p>
      <w:pPr>
        <w:pStyle w:val="71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eastAsia="宋体" w:cs="Times New Roman"/>
          <w:sz w:val="24"/>
          <w:szCs w:val="24"/>
          <w:highlight w:val="none"/>
          <w:lang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1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1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0:00（北京时间）</w:t>
      </w:r>
      <w:r>
        <w:rPr>
          <w:highlight w:val="white"/>
        </w:rP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开标时间：</w:t>
      </w: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eastAsia="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0:00（北京时间）</w:t>
      </w:r>
      <w:r>
        <w:rPr>
          <w:highlight w:val="white"/>
        </w:rP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71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Start w:id="19" w:name="_GoBack"/>
      <w:r/>
      <w:bookmarkEnd w:id="19"/>
      <w:r/>
      <w:r/>
    </w:p>
    <w:p>
      <w:pPr>
        <w:pStyle w:val="71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w:t>
      </w:r>
      <w:r>
        <w:rPr>
          <w:rFonts w:hint="eastAsia" w:eastAsia="宋体" w:cs="Times New Roman"/>
          <w:b/>
          <w:bCs/>
          <w:sz w:val="24"/>
          <w:szCs w:val="24"/>
          <w:highlight w:val="none"/>
        </w:rPr>
        <w:t xml:space="preserve">本次招标不收取投标保证金</w:t>
      </w:r>
      <w:r>
        <w:rPr>
          <w:rFonts w:hint="eastAsia" w:eastAsia="宋体" w:cs="Times New Roman"/>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sz w:val="24"/>
          <w:szCs w:val="24"/>
          <w:highlight w:val="none"/>
          <w:lang w:val="en-US" w:eastAsia="zh-CN"/>
        </w:rPr>
        <w:t xml:space="preserve">标注★</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71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连云港市院前小学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连云港市连云区院前路 168 号</w:t>
      </w:r>
      <w:r/>
    </w:p>
    <w:p>
      <w:pPr>
        <w:ind w:firstLine="48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：惠主任 18000197071</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hint="eastAsia" w:eastAsia="宋体" w:cs="Times New Roman"/>
          <w:sz w:val="24"/>
          <w:szCs w:val="24"/>
          <w:highlight w:val="none"/>
          <w:lang w:eastAsia="zh-CN"/>
        </w:rPr>
      </w:pPr>
      <w:r>
        <w:rPr>
          <w:rFonts w:hint="eastAsia" w:eastAsia="宋体" w:cs="Times New Roman"/>
          <w:sz w:val="24"/>
          <w:szCs w:val="24"/>
          <w:highlight w:val="none"/>
        </w:rPr>
        <w:t xml:space="preserve">名    称：</w:t>
      </w:r>
      <w:r>
        <w:rPr>
          <w:rFonts w:hint="eastAsia" w:eastAsia="宋体" w:cs="Times New Roman"/>
          <w:sz w:val="24"/>
          <w:szCs w:val="24"/>
          <w:highlight w:val="none"/>
          <w:lang w:eastAsia="zh-CN"/>
        </w:rPr>
        <w:t xml:space="preserve">江苏鼎新工程咨询有限公司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w:t>
      </w:r>
      <w:r>
        <w:rPr>
          <w:rFonts w:hint="eastAsia" w:ascii="宋体" w:hAnsi="宋体" w:eastAsia="宋体" w:cs="宋体"/>
          <w:sz w:val="24"/>
          <w:szCs w:val="28"/>
          <w:highlight w:val="none"/>
          <w:lang w:eastAsia="zh-CN"/>
        </w:rPr>
        <w:t xml:space="preserve">海州区德惠商务大厦</w:t>
      </w:r>
      <w:r>
        <w:rPr>
          <w:rFonts w:hint="eastAsia" w:ascii="宋体" w:hAnsi="宋体" w:eastAsia="宋体" w:cs="宋体"/>
          <w:sz w:val="24"/>
          <w:szCs w:val="28"/>
          <w:highlight w:val="none"/>
          <w:lang w:val="en-US" w:eastAsia="zh-CN"/>
        </w:rPr>
        <w:t xml:space="preserve">B座613室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w:t>
      </w:r>
      <w:r>
        <w:rPr>
          <w:rFonts w:hint="eastAsia" w:eastAsia="宋体" w:cs="Times New Roman"/>
          <w:sz w:val="24"/>
          <w:szCs w:val="24"/>
          <w:highlight w:val="none"/>
          <w:lang w:val="en-US" w:eastAsia="zh-CN"/>
        </w:rPr>
        <w:t xml:space="preserve">崔</w:t>
      </w:r>
      <w:r>
        <w:rPr>
          <w:rFonts w:hint="eastAsia" w:eastAsia="宋体" w:cs="Times New Roman"/>
          <w:sz w:val="24"/>
          <w:szCs w:val="24"/>
          <w:highlight w:val="none"/>
        </w:rPr>
        <w:t xml:space="preserve">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eastAsia="宋体" w:cs="Times New Roman"/>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15380258577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惠主任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18000197071</w:t>
      </w:r>
      <w:r/>
    </w:p>
    <w:p>
      <w:pPr>
        <w:rPr>
          <w:rFonts w:hint="eastAsia" w:ascii="宋体" w:hAnsi="宋体" w:eastAsia="宋体" w:cs="宋体"/>
          <w:b w:val="0"/>
          <w:color w:val="auto"/>
          <w:highlight w:val="none"/>
        </w:rPr>
      </w:pPr>
      <w:r/>
      <w:bookmarkStart w:id="4" w:name="_Toc162361611"/>
      <w:r>
        <w:rPr>
          <w:rFonts w:hint="eastAsia" w:ascii="宋体" w:hAnsi="宋体" w:eastAsia="宋体" w:cs="宋体"/>
          <w:b w:val="0"/>
          <w:color w:val="auto"/>
          <w:highlight w:val="none"/>
        </w:rPr>
        <w:br w:type="page" w:clear="all"/>
      </w:r>
      <w:bookmarkEnd w:id="4"/>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5" w:name="_Toc165205795"/>
      <w:r/>
      <w:bookmarkStart w:id="6" w:name="_Toc162361612"/>
      <w:r>
        <w:rPr>
          <w:rFonts w:hint="eastAsia" w:ascii="黑体" w:hAnsi="黑体" w:eastAsia="黑体" w:cs="Times New Roman"/>
          <w:b w:val="0"/>
          <w:bCs/>
          <w:sz w:val="44"/>
          <w:szCs w:val="44"/>
          <w:highlight w:val="none"/>
          <w:lang w:val="en-US" w:eastAsia="zh-CN" w:bidi="ar-SA"/>
        </w:rPr>
        <w:t xml:space="preserve">第二章  投标人须知</w:t>
      </w:r>
      <w:bookmarkEnd w:id="5"/>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w:t>
      </w:r>
      <w:r>
        <w:rPr>
          <w:rFonts w:hint="eastAsia" w:eastAsia="宋体" w:cs="Times New Roman"/>
          <w:sz w:val="24"/>
          <w:szCs w:val="24"/>
          <w:highlight w:val="none"/>
          <w:lang w:eastAsia="zh-CN"/>
        </w:rPr>
        <w:t xml:space="preserve">江苏鼎新工程咨询有限公司</w:t>
      </w:r>
      <w:r>
        <w:rPr>
          <w:rFonts w:hint="eastAsia" w:eastAsia="宋体" w:cs="Times New Roman"/>
          <w:sz w:val="24"/>
          <w:szCs w:val="24"/>
          <w:highlight w:val="none"/>
        </w:rPr>
        <w:t xml:space="preserve">（以下简称采购代理机构）在任何情况下均无义务和责任承担这些费用。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rPr>
        <w:t xml:space="preserve">，本项目采购代理费</w:t>
      </w:r>
      <w:r>
        <w:rPr>
          <w:rFonts w:hint="eastAsia" w:eastAsia="宋体" w:cs="Calibri"/>
          <w:color w:val="000000"/>
          <w:sz w:val="24"/>
          <w:szCs w:val="24"/>
          <w:lang w:val="en-US" w:eastAsia="zh-CN"/>
        </w:rPr>
        <w:t xml:space="preserve">3720元</w:t>
      </w:r>
      <w:r>
        <w:rPr>
          <w:rFonts w:hint="default" w:ascii="Calibri" w:hAnsi="Calibri" w:eastAsia="宋体" w:cs="Calibri"/>
          <w:color w:val="000000"/>
          <w:sz w:val="24"/>
          <w:szCs w:val="24"/>
        </w:rPr>
        <w:t xml:space="preserve">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sz w:val="24"/>
          <w:szCs w:val="24"/>
          <w:highlight w:val="none"/>
          <w:lang w:val="en-US" w:eastAsia="zh-CN"/>
        </w:rPr>
        <w:t xml:space="preserve">投标人</w:t>
      </w:r>
      <w:r>
        <w:rPr>
          <w:rFonts w:hint="eastAsia" w:eastAsia="宋体" w:cs="Times New Roman"/>
          <w:sz w:val="24"/>
          <w:szCs w:val="24"/>
          <w:highlight w:val="none"/>
        </w:rPr>
        <w:t xml:space="preserve">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w:t>
      </w:r>
      <w:r>
        <w:rPr>
          <w:rFonts w:hint="eastAsia" w:eastAsia="宋体" w:cs="Times New Roman"/>
          <w:sz w:val="24"/>
          <w:szCs w:val="24"/>
          <w:highlight w:val="none"/>
          <w:lang w:val="en-US" w:eastAsia="zh-CN"/>
        </w:rPr>
        <w:t xml:space="preserve">评审委员会</w:t>
      </w:r>
      <w:r>
        <w:rPr>
          <w:rFonts w:hint="eastAsia" w:eastAsia="宋体" w:cs="Times New Roman"/>
          <w:sz w:val="24"/>
          <w:szCs w:val="24"/>
          <w:highlight w:val="none"/>
        </w:rPr>
        <w:t xml:space="preserve">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（8）不符合招标文件规定的实质性要求和条件的。（本招标文件中标注★部分为实质性要求和条件）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.2 投标人提供的货物全部由小型企业、微型企业、残疾人福利性单位、监狱企业制造的，对其报价给予</w:t>
      </w:r>
      <w:r>
        <w:rPr>
          <w:rFonts w:hint="eastAsia" w:eastAsia="宋体" w:cs="Times New Roman"/>
          <w:b/>
          <w:bCs/>
          <w:sz w:val="24"/>
          <w:szCs w:val="24"/>
          <w:highlight w:val="none"/>
        </w:rPr>
        <w:t xml:space="preserve">10%</w:t>
      </w:r>
      <w:r>
        <w:rPr>
          <w:rFonts w:hint="eastAsia" w:eastAsia="宋体" w:cs="Times New Roman"/>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4</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770"/>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6"/>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7" w:name="_Toc165205796"/>
      <w:r/>
      <w:bookmarkStart w:id="8" w:name="_Toc162361613"/>
      <w:r>
        <w:rPr>
          <w:rFonts w:hint="eastAsia" w:ascii="黑体" w:hAnsi="黑体" w:eastAsia="黑体" w:cs="Times New Roman"/>
          <w:b w:val="0"/>
          <w:bCs/>
          <w:sz w:val="44"/>
          <w:szCs w:val="44"/>
          <w:highlight w:val="none"/>
          <w:lang w:val="en-US" w:eastAsia="zh-CN" w:bidi="ar-SA"/>
        </w:rPr>
        <w:t xml:space="preserve">第三章  合同文本</w:t>
      </w:r>
      <w:bookmarkEnd w:id="7"/>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9"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9"/>
      <w:r/>
      <w:r/>
    </w:p>
    <w:p>
      <w:pPr>
        <w:jc w:val="left"/>
        <w:widowControl/>
        <w:rPr>
          <w:rFonts w:ascii="黑体" w:hAnsi="黑体" w:eastAsia="黑体" w:cs="Times New Roman"/>
          <w:sz w:val="28"/>
          <w:szCs w:val="28"/>
          <w:highlight w:val="none"/>
        </w:rPr>
      </w:pPr>
      <w:r/>
      <w:bookmarkStart w:id="10"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10"/>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747"/>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：连云港市院前小学  </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71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连云港市院前小学  </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ascii="宋体" w:hAnsi="宋体" w:eastAsia="宋体" w:cs="Times New Roman"/>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70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1" w:name="_Toc6864"/>
      <w:r/>
      <w:r/>
    </w:p>
    <w:p>
      <w:pPr>
        <w:rPr>
          <w:rFonts w:hint="eastAsia"/>
          <w:highlight w:val="none"/>
        </w:rPr>
      </w:pPr>
      <w:r>
        <w:rPr>
          <w:rFonts w:hint="eastAsia"/>
          <w:highlight w:val="none"/>
        </w:rPr>
      </w:r>
      <w:r/>
    </w:p>
    <w:p>
      <w:pPr>
        <w:pStyle w:val="70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8"/>
      <w:r/>
      <w:bookmarkEnd w:id="11"/>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u w:val="single"/>
        </w:rPr>
        <w:t xml:space="preserve">货物</w:t>
      </w:r>
      <w:r>
        <w:rPr>
          <w:rFonts w:hint="eastAsia" w:eastAsia="宋体" w:cs="Times New Roman"/>
          <w:sz w:val="24"/>
          <w:szCs w:val="24"/>
          <w:highlight w:val="none"/>
        </w:rPr>
        <w:t xml:space="preserve">，采购标的对应的中小企业划分标准所属行业</w:t>
      </w:r>
      <w:r>
        <w:rPr>
          <w:rFonts w:hint="eastAsia" w:eastAsia="宋体" w:cs="Times New Roman"/>
          <w:sz w:val="24"/>
          <w:szCs w:val="24"/>
          <w:highlight w:val="none"/>
          <w:lang w:val="en-US" w:eastAsia="zh-CN"/>
        </w:rPr>
        <w:t xml:space="preserve">为</w:t>
      </w:r>
      <w:r>
        <w:rPr>
          <w:rFonts w:hint="eastAsia" w:eastAsia="宋体" w:cs="Times New Roman"/>
          <w:b/>
          <w:bCs/>
          <w:sz w:val="24"/>
          <w:szCs w:val="24"/>
          <w:highlight w:val="none"/>
          <w:u w:val="single"/>
          <w:lang w:val="en-US" w:eastAsia="zh-CN"/>
        </w:rPr>
        <w:t xml:space="preserve">工业</w:t>
      </w:r>
      <w:r>
        <w:rPr>
          <w:rFonts w:hint="eastAsia" w:eastAsia="宋体" w:cs="Times New Roman"/>
          <w:sz w:val="24"/>
          <w:szCs w:val="24"/>
          <w:highlight w:val="none"/>
        </w:rPr>
        <w:t xml:space="preserve">。</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val="0"/>
          <w:bCs/>
          <w:sz w:val="24"/>
          <w:szCs w:val="24"/>
          <w:highlight w:val="none"/>
        </w:rPr>
        <w:t xml:space="preserve">本招标文件中标注★</w:t>
      </w:r>
      <w:r>
        <w:rPr>
          <w:rFonts w:hint="eastAsia" w:eastAsia="宋体" w:cs="Times New Roman"/>
          <w:b w:val="0"/>
          <w:bCs/>
          <w:i w:val="0"/>
          <w:iCs/>
          <w:color w:val="auto"/>
          <w:sz w:val="24"/>
          <w:szCs w:val="24"/>
          <w:highlight w:val="none"/>
          <w:u w:val="none"/>
        </w:rPr>
        <w:t xml:space="preserve">部分</w:t>
      </w:r>
      <w:r>
        <w:rPr>
          <w:rFonts w:hint="eastAsia" w:eastAsia="宋体" w:cs="Times New Roman"/>
          <w:b w:val="0"/>
          <w:bCs/>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，由采购人根据实际情况设置，供应商须明确作出满足实质性要求和条件的响应，否则将按无效响应处理</w:t>
      </w: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标注▲号的为重要参数，不作为强制废标条款，但作为重要评分依据。</w:t>
      </w:r>
      <w:r>
        <w:rPr>
          <w:rFonts w:hint="eastAsia" w:eastAsia="宋体" w:cs="Times New Roman"/>
          <w:sz w:val="24"/>
          <w:szCs w:val="24"/>
          <w:highlight w:val="none"/>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 体育学科大数据平台 </w:t>
      </w:r>
      <w:r>
        <w:rPr>
          <w:rFonts w:hint="eastAsia" w:ascii="宋体" w:hAnsi="宋体" w:eastAsia="宋体" w:cs="宋体"/>
          <w:b/>
          <w:bCs/>
          <w:color w:val="003366"/>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19"/>
        <w:tblW w:w="9196" w:type="dxa"/>
        <w:jc w:val="center"/>
        <w:tblLayout w:type="fixed"/>
        <w:tblCellMar>
          <w:left w:w="108" w:type="dxa"/>
          <w:top w:w="0" w:type="dxa"/>
          <w:right w:w="108" w:type="dxa"/>
          <w:bottom w:w="0" w:type="dxa"/>
        </w:tblCellMar>
        <w:tblLook w:val="04A0" w:firstRow="1" w:lastRow="0" w:firstColumn="1" w:lastColumn="0" w:noHBand="0" w:noVBand="1"/>
      </w:tblPr>
      <w:tblGrid>
        <w:gridCol w:w="529"/>
        <w:gridCol w:w="1100"/>
        <w:gridCol w:w="6600"/>
        <w:gridCol w:w="500"/>
        <w:gridCol w:w="467"/>
      </w:tblGrid>
      <w:tr>
        <w:trPr>
          <w:jc w:val="center"/>
          <w:trHeight w:val="600"/>
        </w:trPr>
        <w:tc>
          <w:tcPr>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序号</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名称</w:t>
            </w:r>
            <w:r/>
          </w:p>
        </w:tc>
        <w:tc>
          <w:tcPr>
            <w:tcBorders>
              <w:top w:val="single" w:color="auto" w:sz="4" w:space="0"/>
              <w:left w:val="none" w:color="000000" w:sz="4" w:space="0"/>
              <w:bottom w:val="single" w:color="auto" w:sz="4" w:space="0"/>
              <w:right w:val="single" w:color="auto" w:sz="4" w:space="0"/>
            </w:tcBorders>
            <w:tcW w:w="66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技术参数</w:t>
            </w:r>
            <w:r/>
          </w:p>
        </w:tc>
        <w:tc>
          <w:tcPr>
            <w:tcBorders>
              <w:top w:val="single" w:color="auto"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数量</w:t>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单位</w:t>
            </w:r>
            <w:r/>
          </w:p>
        </w:tc>
      </w:tr>
      <w:tr>
        <w:trPr>
          <w:jc w:val="center"/>
          <w:trHeight w:val="600"/>
        </w:trPr>
        <w:tc>
          <w:tcPr>
            <w:gridSpan w:val="3"/>
            <w:tcBorders>
              <w:top w:val="none" w:color="000000" w:sz="4" w:space="0"/>
              <w:left w:val="single" w:color="auto" w:sz="4" w:space="0"/>
              <w:bottom w:val="single" w:color="auto" w:sz="4" w:space="0"/>
              <w:right w:val="single" w:color="auto" w:sz="4" w:space="0"/>
            </w:tcBorders>
            <w:tcW w:w="8229" w:type="dxa"/>
            <w:vAlign w:val="center"/>
            <w:textDirection w:val="lrTb"/>
            <w:noWrap/>
          </w:tcPr>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b/>
                <w:bCs/>
                <w:color w:val="000000"/>
                <w:sz w:val="18"/>
                <w:szCs w:val="18"/>
                <w14:ligatures w14:val="none"/>
              </w:rPr>
              <w:t xml:space="preserve">一、STEM+AI</w:t>
            </w:r>
            <w:r/>
          </w:p>
        </w:tc>
        <w:tc>
          <w:tcPr>
            <w:tcBorders>
              <w:top w:val="single" w:color="auto"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六边形学生组合桌</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1.尺寸：576*576*750mm±10mm；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2.桌面：材质采用抗倍特一体成型；耐80度以上高温；防水：浸水24小时后的膨胀指数不多于0.1mm，面板四周采CNC修边，四周倒角，圆润光滑无任何毛边；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3.桌架：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（1）材质及形状：桌腿圆型钢管；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（2）尺寸：桌腿尺寸：ф42-15±1mmｘ740ｘ1.2ｍｍ；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（3）表面涂装：高温粉体烤漆。长时间使用也不会产生表面漆剥落现象。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4.脚垫：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（1）材质：采用优质白色塑料+不锈钢；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（2）尺寸：ф32*M10*40mm。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学生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凳子</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1.尺寸：Φ296*450mm±10mm;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2.材质：ABS+钢管；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面板采用ABS新料一体注塑成型，面板直径296mm±10mm，坐垫下带有防滑凸条和防滑垫的塑料背盖，以便于悬挂，尺寸：125*127*35mm±5mm。中间有內弧造型，深度为8mm。椅腿钢管尺寸：32*22*1.5mm，采用鱼眼形钢管满焊焊接，表面采用高温粉体烤漆，耐腐蚀，不易生锈；脚垫尺寸：81*19*60mm及40*28*39mm；采用PP纤维质塑胶一体成型，防滑、耐用、耐摩擦；凳子底部加黑色护垫，保护地板防止摩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4.功能：凳子可悬挂于桌子上方便收纳及打扫卫生。</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讲台</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1.尺寸：1500*600*1012mm±10mm；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2.材质：抗倍特板/钢板；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桌面尺寸：1450*600*12mm，采用抗倍特一体成型。耐80度以上高温。防水：浸水24小时后的膨胀指数不多于0.1mm，面板四周采CNC修边，四周倒角，圆润光滑无任何毛边。柜体尺寸:500*520*920mm,板厚0.8mm,柜体采用三维立体激光微缝切割，柜体一体成型，箱体精密度和牢固度强，经高温粉体烤漆，长时间使用也不会产生表面漆剥落现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4.功能：（1）可倾斜方便操作。</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座椅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座高： 360mm±10mm。                                                            椅身：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（1）材质：采用PP耐冲击塑料一体注塑成型。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（2）尺寸：W410*D420*H400mm±10mm。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座背连体一体成型，整体采用人体工程学设计，坐垫内凹弧线设计，坐垫前端有瀑布型设计，能让学生整个臀部坐在弧线处，借此可分散上半身的所有重量，使学童在学习时更舒适，更健康地成长；椅背腰身处设有一长102×32mm±1mm的提领槽缝，方便提拿椅子。                          2.脚架：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（1）材质及形状：圆管。采用满焊焊接。</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（2）尺寸：直径22*厚1.5mm。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（3）表面涂装：钢管架焊接完成后，经高温粉体烤漆。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3.脚垫：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(1)材质：采用PA塑料。（2）尺寸：上管直径22mm*下管直径19*高60mm±1mm。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操作台（金工）</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1.尺寸：1200*1200*750mm±10mm。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2.材质：抗倍特板+优质钢架。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3.工艺：材质采用抗倍特一体成型。耐80度以上高温。防水：浸水24小时后的膨胀指数不多于0.1mm，面板四周采CNC修边，四周倒角，圆润光滑无任何毛边；桌架：30*60*1.5mm，横梁: 30*50*1.35 mm，铝压铸接头，优质钢架，满焊焊接而成，表面采用高温粉体烤漆，耐腐蚀，不易生锈；导轨尺寸：300*18*25mm，材质：ABS，螺丝孔位间距198mm，收纳盒尺寸：430*305*100mm ，材质：PP新料。</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4.功能：（1）桌面四角设有TPR防撞角，防撞角孔内可放置螺丝刀。（2）悬挂抽屉储物功能，导轨带有锁定功能，抽屉不易抽出。</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操作台（木工）</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1.尺寸：1800*1300*750mm±10mm；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2.材质：橡胶木实木+优质钢架；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3.工艺：桌面采用优质实木，使用天然植物精炼木蜡油经反复打磨、浸润、擦拭、上光制成，不含甲醛；桌架横梁: 30*50*1.35mm，桌腿： 30*60*1.5mm，采用优质钢架，铝压铸接头，满焊焊接而成，表面采用高温粉体烤漆，耐腐蚀，不易生锈质；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4.功能：天然实木，木质坚韧，耐腐蚀性强，适合多人小组活动。</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416"/>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操作台(科技实践）</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1.尺寸：1200*600*1050mm±10mm；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2.材质：实木多层板；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3.工艺：采用欧亚标准E1级板，厚度≥18mm,基材采用优质实木多层板，PVC直封边制作；</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4.功能：配置PE收纳盒，可收纳各种教学用具。</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操作台凳子</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1.尺寸：W435*D435*H750-座高650mm±10mm；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2.材质：PP+钢管；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零件柜</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1.尺寸：1040*400*1940mm±10mm;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2.材质：实木多层板+亚克力；</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3.工艺：采用国家标准E1级板，厚度≥18mm,基材采用优质实木多层板，PVC直封边制作。优质亚克力可视窗，牢固结实，清晰通透；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4.功能：根据人体工程学原理设计，精美时尚，多层储物空间设计，满足各种零件的收纳。</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储物柜</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1.尺寸：板式：W1340*D450*H900mm；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2.材质：实木多层板；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3.工艺：采用国家标准E1级板，厚度25/18mm,基材采用优质实木多层板，面贴优质三聚氰胺纸，PVC直封边制作。导轨尺寸：300*18*25mm，材质：ABS，螺丝孔位间距198mm ，收纳盒尺寸：430*305*100mm ，材质：PP新料，五金件采用DTC品牌液压铰链，缓冲效果是普通铰链的五倍；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4.功能：配置PE收纳盒，可收纳各种教学用具。</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展示架</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1.尺寸：800*400*1500/1800mm±10mm；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2.材质：实木多层板/钢架；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3.工艺：书柜采用国家标准E1级板，厚度≥18mm,基材采用优质实木多层板，PVC直封边制作。钢架尺寸：25*25*0.8mm，采用满焊焊接而成，表面采用高温粉体烤漆，耐腐蚀，不易生锈；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4.功能：可根据场地大小任意拼接，敞开式的空间设计，方便书籍的摆放、整理和查找。</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扩音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系统</w:t>
            </w:r>
            <w:r/>
          </w:p>
        </w:tc>
        <w:tc>
          <w:tcPr>
            <w:tcBorders>
              <w:top w:val="single" w:color="auto"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1、6.5英寸轻量化大功率、长冲程Ferrite低音驱动单元；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2、额定/峰值功率：≥80W /320 W；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3、额定阻抗：8 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4、特性灵敏度： 88dB/W/m；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5、输出声压级：107dB/W/m(Continues)；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6、额定频率范围: 65~20000Hz；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7、覆盖角度H×V：90 º×90 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8、扬声器单元：LF:6.5 英寸 ；HF: 1英寸丝膜高音。</w:t>
            </w:r>
            <w:r/>
          </w:p>
        </w:tc>
        <w:tc>
          <w:tcPr>
            <w:tcBorders>
              <w:top w:val="single" w:color="auto"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无线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话筒</w:t>
            </w:r>
            <w:r>
              <w:rPr>
                <w:rFonts w:hint="eastAsia" w:ascii="宋体" w:hAnsi="宋体" w:eastAsia="宋体" w:cs="宋体"/>
                <w:color w:val="000000"/>
                <w:sz w:val="18"/>
                <w:szCs w:val="18"/>
                <w14:ligatures w14:val="none"/>
              </w:rPr>
              <w:br/>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1、RJ45接口连接互联网，通过TCP/IP协议可对接到物联网平台，进行多频段设备集中控制、状态显示、设备名称自定义、无干扰频率一键部署等；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3、PC、平板客户端软件适配windows、安卓、鸿蒙等常用系统；将频谱测试与无线传输系统高效结合和互动，图形化实时监测当前环境射频详情，并自动筛选不受干扰的频点，实现无线系统的稳定运行；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4、使用EIA标准金属机箱，采用天线分集式接收线路、CPU控制选讯+导频识别功能，理想使用距离可达80米以上；</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5、频率调节采用无互调干扰群组预设、用户自定义调节等方式，单机≥2000个频率可供客户调节；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6、4.6寸LCD显示器可实时显示群组、频率、电池电量、静音位准、电子音量等信息；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7、各通道支持SQ(降噪)六档独立调节；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8、接收机内置开关电源，由AC 220V市电直接供电，并支持电源环出功能；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9、接收机天线座提供偏置电压，可连接有源对数周期天线提升接收距离和信号质量。并支持射频级联功能，无需天线分配器即可实现≤8套叠机使用。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10、具有5个XLR平衡输出、4个TNC-K天线端口、1个RJ45网口，MIC/LINE输出切换开关；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通道数量：四通道、接收频率范围：UHF530.000-690.000MHz、音频频率响应（线路）：40Hz-18KHz、总谐波失真（THD+N）:≤0.5%(10mV@1kHz)、延迟：≤5ms（典型值）、最大频偏：±45KHz、最大输出电平：≥+10dBV、动态范围：≥100dBA、最大声压级：≥134dB spl；</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12、发射器采用动圈式、指向性：超心形、载波功率：L/H两档可调、音频增益：五档可调（-6/-3/0/3/6dB）、显示方式：TFT多色显示、电源：2×AA碱性电池、连续工作时间：约8小时（发射器为高功率）。</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有线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话筒</w:t>
            </w:r>
            <w:r>
              <w:rPr>
                <w:rFonts w:hint="eastAsia" w:ascii="宋体" w:hAnsi="宋体" w:eastAsia="宋体" w:cs="宋体"/>
                <w:color w:val="000000"/>
                <w:sz w:val="18"/>
                <w:szCs w:val="18"/>
                <w14:ligatures w14:val="none"/>
              </w:rPr>
              <w:br/>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1.材质:锌合金；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2.类型:电容式有线麦克风；</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3.供电方式:48V电源供电；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4.频率响应:80Hz-16KHz；指向性:心型指向；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5.输出阻抗:75欧姆；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6.灵敏度:-43dB正负2dB误差；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7.输出方式:平衡输出；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8.功能:抗手机，电脑，高频干扰；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9.远距离拾音使用，可吊装安装，可配合麦克风支架支撑安装；含10m卡侬公母线。</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有线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插排</w:t>
            </w:r>
            <w:r>
              <w:rPr>
                <w:rFonts w:hint="eastAsia" w:ascii="宋体" w:hAnsi="宋体" w:eastAsia="宋体" w:cs="宋体"/>
                <w:color w:val="000000"/>
                <w:sz w:val="18"/>
                <w:szCs w:val="18"/>
                <w14:ligatures w14:val="none"/>
              </w:rPr>
              <w:br/>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1、手动单独控制升降，电鼓附带配有USB及Type-c插口10A/16A嵌入式五孔插座，可拉伸距离≥10m；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2、顶部配T型安装支架含布线及安装。</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监控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摄像头</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1.图像传感器：≥1/2.8” CMOS；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2.分辨率：≥400 万（2560×1440），最低照度：彩色≤0.01Lux；黑白≤0.001Lux（星光级）；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3.红外夜视：≥30–50 米，双光 / 智能补光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4.编码：H.265（主）/H.264；</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5.网络：RJ45 10/100M，支持 PoE 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6.音频：内置麦克风（可选扬声器）；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7.存储：支持 Micro SD 卡，最大≥128GB；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8.防护：IP66（室外）；</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9.智能：人形检测、移动侦测、区域入侵。</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可对话摄像头</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1.像素：≥400 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2.镜头：4mm，水平视角≥85°；</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3.夜视：红外≥30 米 / 双光全彩；</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4.音频：内置麦克风 + 扬声器，双向语音对讲；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5.编码：H.265；</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6.网络：RJ45/ WiFi，支持 PoE；</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7.云台（室内）：水平 350°、垂直 90°；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8.存储：Micro SD 卡最大 128GB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9.防护：IP66（室外）；</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10.智能：人形检测、移动侦测。</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8T监控硬盘</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容量：8TB；规格：3.5英寸；SATA6Gb/s(SATA3.0)；转速：7200RPM(高性能)/5400RPM(节能)。</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水池</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陶瓷洗手池，含配套水龙头及水管，尺寸不小于530*470*190mm，冷热水混合水龙头，镀铬铜表面，坚固、耐用、易于清洁，水龙头阀芯的瓷圈/瓷封坚固耐用。</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机柜</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1.标准：19 英寸标准机架；</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2.材质：优质冷轧钢板；</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3.立柱≥2.0mm；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4.门板 / 侧板≥1.2mm；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5.门板：前后网孔门（通风率≥60%），带锁；</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6.承重：静态≥600kg，每U≥25kg；</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7.防护：IP20（室内）；</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8.表面：静电喷塑，黑色/灰色；</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9.配件：含 PDU（≥8位）、托盘1个、风扇1组、螺丝、支脚/脚轮。</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网络电源时序器</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1.标准：19英寸1U机架式；</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2.输入：AC220V/50Hz，宽压90–260V；</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3.输出：≥8 路受控+1路直通，每路16A；</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4.总容量：≥30A/6000W；</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5.控制接口：RJ45 网口（TCP/IP）、RS232；</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6.显示：2寸LCD彩屏，显示电压、时间、状态；</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7.延时：每路0–999秒可调；保护：过压/欠压/过流/短路保护；</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8.功能：网络远程控制、定时、断电记忆、级联；</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9.材质：金属面板，黑色；带锁、散热风扇。</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科教实验套装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可以搭建数十种个科学实验结构，产品材质，塑胶及电子元件等，每个都有独立包装，传感-恐龙、传感-工程车、太阳能地表装甲、移动广告牌、摇头风扇、升降叉车、悬臂起重机、装甲掷弹机、还可以拓展创意造型，箱内配合说明书，操作手册。</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无线热风机</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电池电压:21V；额定功率:1500W；机身尺寸:20*15.2cm；温度范围:50~600°C；电池容量: 2000mA*10；充电时间:30分钟；出风口径:35mm。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天文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望远镜</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光学系统:施密特-卡塞格林系统；</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口径:203.2mm(8")；</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光学镀膜:StarBrightXLT光学镀膜；</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焦距:2032mm；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焦比:10；</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寻星镜:红点寻星镜；</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托架:单叉臂经纬仪；</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光学主镜筒:铝；</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三脚架:钢制目镜:25mm(81.28x)-1-1/4"；</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天顶镜:1.25"；</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CD-ROM :NexRemoteV1.6.14&amp;The SkyL1；</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极限星等:14；</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数据库:40000个天体以上。</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电子</w:t>
            </w:r>
            <w:r>
              <w:rPr>
                <w:rFonts w:hint="eastAsia" w:ascii="宋体" w:hAnsi="宋体" w:eastAsia="宋体" w:cs="宋体"/>
                <w:color w:val="000000"/>
                <w:sz w:val="18"/>
                <w:szCs w:val="18"/>
                <w14:ligatures w14:val="none"/>
              </w:rPr>
              <w:t xml:space="preserve">显微镜</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目镜10X,物镜100X;屏幕尺寸：4.5英寸IPS高清大屏；12MP像素，视频分辨率为1920x1080；放大倍速：5-1000X；对焦方式：手动对焦；电池容量：1500mAh；续航时长：8H;传输接口：Type-C。TF内存卡插槽，支持128G内存扩展；智能防滑螺旋调焦，精准对焦成像更清晰；载物台升降螺旋调节，无夹标本载物台，底座高亮背景灯。</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声学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箱体外观尺寸（mm）：495×370×190mm（±10）mm；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箱体颜色：黑色/灰色/黄色；</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箱体材料：高密度工程塑料（聚丙烯）；</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箱体内部构造：采用EPV珍珠棉隔离填充材料，每种实验器材有相对应插槽，每种实验器材设有固定位置。</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主要配置及用材：</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由共鸣盒*1、音叉128HZ*1、音叉256HZ*1、塑料手鼓*1、铜锣*1、铜钹*1、鼓膜振动演示仪(小学)*1、泡沫小球(2-3mm)*1、琴码(亚克力三角条 等腰10mm长70mm)*1、橡皮筋(中 直径3.5cm)*5、听诊器*1、透明胶带*1、乒乓球(彩球 φ40mm)*2、铝片琴(8音阶木制手敲琴)*1、一次性纸杯*2、回形针(得力0018,3#)*10、棉线(2米)*1、消音棉(10mm珍珠棉)*1、发条音乐盒(镀银发条)*1、气球*1、透明储物盒(460ml)*1等组成。</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核心产品：</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共鸣盒：规格：≥110×110×38mm；材质：ABS；壁厚：≥2mm；工艺：塑料注塑成型；表面处理：咬花细纹；功能：为满足实验要求，设两个音叉安插口，演示声波共振现象，增加接触面积及稳定性；共鸣盒设有出音口，增加共振发音；盒体设计外接扩音口，直观呈现音色现象；</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2、鼓膜振动演示仪：规格：135×85×80mm；材质：增强ABS，透明PC；工艺：塑料注塑成型，表面磨砂工艺处理，壁厚：2mm；结构形式：由鼓膜主体、振动膜体、观察透明罩、振动体等组成，功能描述：声音传入演示仪的喇叭口（模拟人的耳道）后，引起振动膜体（模拟人的耳膜）的振动，被观察透明罩罩住的振动体在膜的作用下明显地上下跳动。</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3、土电话实验装置：规格：直径50mm，高度40mm；材质：增强ABS，工艺：塑料注塑成型，表面磨砂工艺处理；结构形式：由两个听筒、振动膜、连接线等组成，功能描述：用于探究固体传声实验，实验效果明显。</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4、真空罩：主体规格：80×70mm；材质：增强ABS，工艺：塑料注塑成型，表面磨砂工艺处理；结构形式：由真空罩底座、透明罩、发声器、抽气筒等组成，功能描述：用于探究声音在真空中传播实验，实验效果明显。</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5、音叉（128HZ）：规格：≥215mm×42mm×28mm；材质：铝合金；级别：医用；</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6、音叉（512HZ）：规格：≥180mm×42mm×22mm；材质：铝合金；级别：医用；</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7、塑料手鼓：由手鼓和小锤组成，手鼓规格：≥200mm×30mm，材质：ABS；工艺：塑料注塑成型；</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功能描述：本实验箱要求实现如下实验：1.声音的产生实验2.声音的变化实验3.声音的传播实验4.鼓膜振动模拟实验5.噪音减少实验等。</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w:t>
            </w:r>
            <w:r>
              <w:rPr>
                <w:rFonts w:hint="eastAsia" w:ascii="宋体" w:hAnsi="宋体" w:eastAsia="宋体" w:cs="宋体"/>
                <w:b/>
                <w:bCs/>
                <w:color w:val="000000"/>
                <w:sz w:val="18"/>
                <w:szCs w:val="18"/>
                <w:lang w:bidi="ar"/>
                <w14:ligatures w14:val="standardContextual"/>
              </w:rPr>
              <w:t xml:space="preserve">实验箱塑料件需符合GB标准要求，提供第三方</w:t>
            </w:r>
            <w:r>
              <w:rPr>
                <w:rFonts w:hint="default" w:ascii="宋体" w:hAnsi="宋体" w:eastAsia="宋体" w:cs="宋体"/>
                <w:b/>
                <w:bCs/>
                <w:color w:val="000000"/>
                <w:sz w:val="18"/>
                <w:szCs w:val="18"/>
                <w:lang w:bidi="ar"/>
                <w14:ligatures w14:val="standardContextual"/>
              </w:rPr>
              <w:t xml:space="preserve">检测机构</w:t>
            </w:r>
            <w:r>
              <w:rPr>
                <w:rFonts w:hint="eastAsia" w:ascii="宋体" w:hAnsi="宋体" w:eastAsia="宋体" w:cs="宋体"/>
                <w:b/>
                <w:bCs/>
                <w:color w:val="000000"/>
                <w:sz w:val="18"/>
                <w:szCs w:val="18"/>
                <w:lang w:bidi="ar"/>
                <w14:ligatures w14:val="standardContextual"/>
              </w:rPr>
              <w:t xml:space="preserve">出具的检测报告扫描件或复印件加盖投标人公章，报告内容须明确涵盖邻苯二甲酸酯限量测试及特定元素（重金属及类金属）迁移量测试结果。</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光学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由水槽*1、光学刻度板*1、曲面镜*1、三棱镜（砖）*1、凸透镜（砖）*1、凹透镜（砖）*1、矩形玻璃砖*1、潜望镜*1、三棱镜*1、固定圆盘*1、鸟进笼翻板*1、</w:t>
            </w:r>
            <w:r>
              <w:rPr>
                <w:rFonts w:hint="eastAsia" w:ascii="宋体" w:hAnsi="宋体" w:eastAsia="宋体" w:cs="宋体"/>
                <w:color w:val="000000"/>
                <w:sz w:val="18"/>
                <w:szCs w:val="18"/>
                <w14:ligatures w14:val="none"/>
              </w:rPr>
              <w:t xml:space="preserve">旋转调速底座*1、光栅板*1、万花筒套材*1、5号电池*2、牛顿盘材料*1、牛顿盘配件*1、电影原理纸带*2、鸟进笼贴纸*1、双电池盒模块*1、T型硅胶塞*2、镜片安装座*3、新型光具座*1、不锈钢外螺纹固定杆*1、多功能光源V2.0*1、凸透镜（F=+120mm）*1、凹透镜（F=-100mm）*1、光学滑块*4、光具座刻度尺*1、小孔板(小板)*3、茶色屏*1、光学横杆-内螺纹*2、光学横杆-外螺纹*2、光屏*1、淀粉*1、电子蜡烛*2、透明储物盒*1、4mm灯笼头导线*1、4mm灯笼头导线*1等组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多功能光源：规格：140×75×71mm；材质：增强ABS，内部含电路控制；工艺：塑料注塑成型，表面磨砂工艺处理；结构形式：多种光源一体化集成设计，设有总开关按键一个，对应控制按键三个，底部内嵌M6铜螺母，用于组装固定；功能描述：光源包含:白光源、三基色（红蓝绿）、三线激光、红激光、F光源；通过开关实现功能切换，每个功能有对应控制指示灯；内置锂电池，可香蕉插座外接供电；白光源有超时自动关闭功能；三基色每个颜色由按键控制，每个颜色有对应指示灯；三线激光由一个按键控制打开和关闭，每条激光有对应控制指示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新型光具座：规格：240×132×28mm；材质：增强ABS；工艺：塑料注塑成型，表面磨砂工艺处理；结构形式：设有立杆异形安装孔、两脚立杆扩展孔、组合卡扣、内嵌铜螺母，内嵌铜螺母上旋接固定有M6紧锁手拧螺丝，主体内部含金属配重；功能描述：两件对插组合使用呈X型，可作为铁架台底座、光学导轨、新能源轨道等，可满足理化生不同学科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3、旋转调速底座：规格：≥110mm×110mm×38mm，材质：ABS工艺：模具注塑成型，表面处理：咬花细纹。调速底座模块支持速度可调；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4、电池盒模块：规格：≥84mm×64mm×34mm；材质：ABS；可实现多个电池盒串联或并联，组装便捷，可以直观的学习电路原理；外形圆弧化一体设计，握感舒适；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光的直线传播实验；2、小孔成像实验；3、狭缝光栏实验；4、光的散射；5、光的色散；6、显微镜原理实验；7、探究凸透镜成像的规律—幻灯机实验；8、探究凹透镜成像的规律；9、视觉暂留实验；10、光影接力实验；11、万花筒实验；12、曲面镜实验；13、潜望镜实验；14、凸透镜的汇聚实验；15、凹透镜的发散实验；16、玻璃砖的折射实验；17、望远镜实验；18、牛顿盘实验；19、电影原理实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由橡胶棒*2；玻棒*2；泡沫小球*1；旋转架*1；5号电池*2；丝绸*1；铁片*1；铜片*1；铝片*1；木片*1；塑料片*1；不锈钢指南针*1；滑动变阻器*1；灯珠*2；铁轴*1；兔毛*1；4mm灯笼头导线*4；4mm灯笼头导线*4；人体导电球*1；发光二极管模块*1；单刀单掷开关模块*2；单刀双掷开关模块*1；电流热效应模块*1；双电珠模块*1；双电池盒模块*1；导电材质测试模块*1；电路暗盒模块*1；电压表*1；电流表*1；4mm插头鳄鱼夹*2等组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电流表：规格：131×107×65mm；材质：增强ABS；工艺：塑料注塑成型，表面磨砂工艺处理；测量范围：-0.2A~0~0.6A，-1A~3A，测量精度：2.5级；功能描述：外置手动调零，无需辅助工具，设有4mm香蕉插座接口，表盘与桌面呈21度倾斜角，方便学生观察，可以满足相关电路实验中电流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电压表：规格：131×107×65mm；材质：增强ABS；工艺：塑料注塑成型，表面磨砂工艺处理；测量范围-1V~0~3V，-5V~0~15V，测量精度：2.5级；功能描述：外置手动调零，无需辅助工具，设有4mm香蕉插座接口，表盘与桌面呈21度倾斜角，方便学生观察，可以满足相关电路实验中电压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单刀单掷开关模块：规格：≥84mm×60mm×38mm；材质：ABS；手柄注塑一体成型；表面处理：咬花细纹；金属件定制冲压模具一体成型，表面电镀处理，可以改善材料的外观、耐腐蚀性、硬度和耐磨性，提高导电性能；控制电路的接通和保护电路；外形圆弧化一体设计，握感舒适；连通设计依靠弹性形变，疲劳强度控制范围内实现轻松的闭合和开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单刀双掷开关模块：规格：≥84mm×64mm×38mmmm；材质：ABS；手柄注塑一体成型；表面处理：咬花细纹；金属件定制冲压模具一体成型，表面电镀处理，可以改善材料的外观、耐腐蚀性、硬度和耐磨性，提高导电性能；控制电路的接通和保护电路；连通设计依靠弹性形变，疲劳强度控制范围内实现轻松的闭合和开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5、电流热效应模块：规格：≥84mm×64mm×28mmmm；材质：ABS；验证闭合电路中，电流生热；外形圆弧化一体设计，握感舒适；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电珠模块：≥84mm×64mm×28mmmm；材质：ABS；连接电路，验证基本电路；外形圆弧化一体设计，握感舒适；电珠盒操作简便，可分别完成电路的串联和并联电路，也可搭建复杂电路，在不拆卸的情况下；可实现多样的串并电路或复杂电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7、电池盒模块：规格：≥84mm×64mm×34mm；材质：ABS；可实现多个电池盒串联或并联，组装便捷，可以直观的学习电路原理；外形圆弧化一体设计，握感舒适；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8、人体导电球：规格：≥90×90×25mm；材质主体为ABS，模块里有电子器件，人体导电模块工作时有人体图案，主要用于探究人体导电系列实验。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功能描述：本实验箱要求实现如下实验：1、摩擦起电实验；2、基本电路实验；3、电流的热效应磁效应实验；4、导体与绝缘体；5、电路综合实验盒的探究实验等。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磁学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回形针*10；方形磁铁*2；铁氧体磁铁（环形）*3；铁氧体磁铁（条形）*2；铁氧体磁铁（U形）*1；磁力小车*2；旋转架*1；透明塑料片*1；磁悬浮（旋转磁铁）*1；车轴*1；翼型磁针*1；不锈钢指南针*1；塑料指南针*1；磁分子模型*1；磁铁套装*1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磁铁套装（包含磁饼、磁饼支架、塑料小车、塑料卡通娃娃、迷宫塑料板、手持磁铁）其中：</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磁饼：规格：≥φ35mm×10mm；工艺：塑料注塑成型；表面处理：高光；材质：ABS；双色拼接成型（红色N极，蓝色S极）；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磁饼支架：规格：≥44mm×40mm×108mm；工艺：塑料注塑成型；表面处理：高光；材质：ABS；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塑料小车：规格：≥104mm×65mm×39mm；工艺：塑料注塑成型；表面处理：高光；材质：ABS；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塑料卡通娃娃：规格：≥30mm×30mm×83mm；工艺：塑料注塑成型；表面处理：高光；材质：ABS，内置磁铁；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迷宫塑料板：规格：≥293mm×228mm×12mm；工艺：塑料注塑成型；表面处理：高光；材质：ABS；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手持磁铁：规格：≥210mm×175mm×25mm；工艺：塑料注塑成型；表面处理：高光；材质：ABS，内置磁铁；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功能描述：本实验箱要求实现如下实验：1、磁铁的性质实验；2、磁力线实验；3、指南针原理；4、磁铁与磁性实验；5、“磁悬浮”实验；6、磁力作用实验；7、360°旋转实验；8、磁化实验等。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电与磁学实验箱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磁钓鱼导线(50cm)*2；灯珠*2；电动机模型*1；电磁铁*1；手摇发电机(大号)*1；5号电池*2；电磁秋千套装*1；不锈钢指南针*1；不锈钢棒*1；回形针*10；香蕉插头导线*4；香蕉插头导线*4；双电池盒模块*1；电压表*1；电流表*1；单刀单掷开关模块*1；双电珠模块*1；4mm插头鳄鱼夹*2；砂纸*1;4mm灯笼头导线*4；4mm灯笼头导线*4；4mm插头鳄鱼夹*2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电流表：规格：131×107×65mm；材质：增强ABS；工艺：塑料注塑成型，表面磨砂工艺处理；测量范围：-0.2A~0~0.6A，-1A~3A，测量精度：2.5级；功能描述：外置手动调零，无需辅助工具，设有4mm香蕉插座接口，表盘与桌面呈21度倾斜角，方便学生观察，可以满足相关电路实验中电流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电压表：规格：131×107×65mm；材质：增强ABS；工艺：塑料注塑成型，表面磨砂工艺处理；测量范围-1V~0~3V，-5V~0~15V，测量精度：2.5级；功能描述：外置手动调零，无需辅助工具，设有4mm香蕉插座接口，表盘与桌面呈21度倾斜角，方便学生观察，可以满足相关电路实验中电压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单刀单掷开关模块：规格：≥84mm×60mm×38mm；材质：ABS；手柄注塑一体成型；表面处理：咬花细纹；金属件定制冲压模具一体成型，表面电镀处理，可以改善材料的外观、耐腐蚀性、硬度和耐磨性，提高导电性能；控制电路的接通和保护电路；外形圆弧化一体设计，握感舒适；连通设计依靠弹性形变，疲劳强度控制范围内实现轻松的闭合和开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4、电动机模块：规格：≥84mm×60mm×50mmm；材质：ABS；可直观的观察到电动机的结构原理，学生可以自己动手拆装模型，组装便捷，可以直观的学习电路原理；外形圆弧化一体设计，握感舒适；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5、手摇发电机模块：规格：≥193mm×65mm×83mm；材质：ABS；结构原理采用皮带传动，发电效率高，可通过接线柱口外接模块，测量发电量；外形圆弧化一体设计，握感舒适；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功能描述：本实验箱要求实现如下实验：1、电磁转换实验；2、机械能发电实验；3、电动机构造；4、电磁钓鱼实验（电磁铁的应用）等。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力与机械(一)实验箱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轮轴*1；单摆刻度盘*1；棉线*1；圆筒测力计*1；圆筒测力计*1；金属钩码*1；压强小桌*1；黑色海绵*1；多功能小车*1；不干胶绒布*1；天平平衡尺*1；天平底座*1；天平旋钮*1；天平立杆*1；天平托盘*2；金属立杆*1；平衡螺母*2；滑轮组*1；单滑轮*1；内六角机牙螺丝*1；斜面支架*2；斜面面板（流速板）*1；托盘挂钩*2；S钩*2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多功能小车：规格：136×85×45mm；材质：增强ABS；工艺：塑料注塑成型，表面磨砂工艺处理；结构形式：车体两端设有纸带、线绳固定结构，车体顶部内嵌M4固定铜螺母2个、钩码放置槽、EVA摩擦面及其他配件安装孔位；四个车轮阻力小，保证实验精度；可用于小学科学，初高中物理运动学、力学实验的探究实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2、轮轴：规格：≥φ64mm×24mm，材质：ABS工艺：模具注塑成型，表面处理：咬花细纹；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3、压强小桌：规格：≥90mm×90mm×62mm；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4、天平平衡尺：规格：≥340mm×25mm×15mm，材质：ABS工艺：模具注塑成型，表面处理：咬花细纹；两端调节螺柱须采用一体注塑形式；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5、天平底座：规格：≥φ119mm×13mm，材质：ABS工艺：模具注塑成型，表面处理：咬花细纹；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6、金属立杆：规格：≥φ10mm×230mm，材质：铝合金；表面处理：阳极氧化黑色；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7、斜面支架：规格：≥120mm×25mm×5mm，材质：ABS工艺：模具注塑成型，表面处理：咬花细纹；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8、斜面面板：规格：≥232mm×100mm×6mm，材质：ABS工艺：模具注塑成型，表面处理：咬花细纹；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9、天平托盘：规格：≥φ109mm×22mm，材质：ABS工艺：模具注塑成型，表面处理：咬花细纹；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功能描述：本实验箱要求实现如下实验：1、简易天平实验；2、摆的探究；3、摩擦力实验；4、杠杆；5、轮轴；6、滑轮；7、斜面等。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力与机械(二)实验箱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驱动小车*1；驱动小车导轮*1；导向轮组件*1；半螺纹内六角螺丝*1；配重盒*1；小车棉线固定件*1；重力小车竖杆*1；天平立杆*1；棉线*1；金属钩码*1；橡皮筋*3；反冲喷嘴*1；气球*2；两用打气筒*1；水的反冲旋转件*1；弹簧*1；圆桶上盖*1；实验圆桶*1；旋转组件*1；EVA单面胶*1；探究式不倒翁*1；色素*1；漏斗(短)*1；帆船*1；舵板*1；收纳盒（水槽）*1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多功能小车：规格：≥136×85×45mm；材质：增强ABS；工艺：塑料注塑成型，表面磨砂工艺处理；结构形式：车体两端设有纸带、线绳固定结构，车体顶部内嵌M4固定铜螺母2个、钩码放置槽、EVA摩擦面及其他配件安装孔位；四个车轮阻力小，保证实验精度；可用于小学科学，初高中物理运动学、力学实验的探究实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探究式不倒翁：规格：直径80mm，高度105mm；材质：增强ABS，工艺：塑料注塑成型，表面镜面工艺处理；结构形式：由不倒翁底座、不倒翁中心立柱、不倒翁重心环、可拆卸不倒翁透明上盖等组成，功能描述：用于探究物体重心高低与稳定的关系，实验效果明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3、两用气筒：气缸容积60ml；材质：金属；工艺：静电喷涂或镀镍。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功能描述：本实验箱要求实现如下实验：1.动力小车实验；2.不倒翁的稳定性探究实验；3.空气与水的反冲实验；4.小帆船稳定性实验等。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热学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试验箱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多功能组合支架(X型支座)*1；支撑杆/铁架台立杆*1；新型升降块*1；热传导装置*1；玻璃烧杯*1；微型铁架台万能夹*1；铁架台铁圈*1；温差发电演示器*1；铝杯-h45*1；液体对流管*1；酒精灯*1；色素*1；热胀冷缩实验仪*1；锥形瓶/三角烧瓶*1；石棉网*1；气球*1；橡皮筋*2；树脂小房子*1；玻璃表面皿*1；小橡皮泥*1；温度计*1；棉线*1；玻璃导管（长）*1；玻璃导管*1；橡胶塞*1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核心产品：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多功能组合支架(X型支座)：规格：240×132×28mm；材质：增强ABS；工艺：塑料注塑成型，表面磨砂工艺处理；结构形式：设有立杆异形安装孔、两脚立杆扩展孔、组合卡扣、内嵌铜螺母，内嵌铜螺母上旋接固定有M6紧锁手拧螺丝，主体内部含金属配重；功能描述：两件对插组合使用呈X型，可作为铁架台底座、光学导轨、新能源轨道等，可满足理化生不同学科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新型升降块：规格：35×35×50mm；材质：增强ABS；工艺：塑料注塑成型，表面磨砂工艺处理；结构形式：设有异形配合面，内嵌铜螺母，内嵌铜螺母上旋接固定有M6紧锁手拧螺丝；功能描述：异形配合面保证连接稳固，两端可以90°固定，中间穿孔可以轴向固定，用于和多功能组合支架配合使用固定有关的实验设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3、热传导装置：规格：≥143mm×70mm×14mm，五种材质导热效果演示，铜、铝、锌、锌铜合金、铁。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4、温差发电仪：规格：≥110mm×110mm×38mm，材质：ABS工艺：模具注塑成型，表面处理：咬花细纹。通过水的温差来带动小风扇转动。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热膨胀实验器：带圆环手柄规格：226×30×16mm；带铜球手柄规格：278×20×19mm；铜球直径≥19mm，材质：主体为金属镀镍材质，手柄为增强ABS，工艺：塑料注塑成型，金属数控精密加工；结构形式：由带圆环手柄和带铜球手柄两部分组成；功能描述：用于热学实验探究固体的热胀冷缩实验，实验效果明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6、酒精灯：规格：≥200ml插口；材质：不锈钢；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7、液体对流管：规格：≥145mm×125mm×12mm，材质：玻璃材质；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玻璃表面皿：规格：≥φ90mm，厚度≥2mm。边沿磨平、倒角的圆弧形玻璃皿。材质：普通玻璃。工艺：经过高温融化塑形而成；功能描述：用硬料玻璃生产，适用于化验室做定量分析。在生物化学分析上用两片表面皿合成培养室，做悬浮滴培养试验用。气室反应观察白色沉淀、微量溶解、蒸发等。用窗玻璃生产的表面皿，仅能用于烧杯、蒸发皿、结晶皿、漏斗等仪器的盖子，防止灰尘落入，保持操作时物质的纯洁。在作升华操作时用以防止物质的异化，使异化的物质停留在表面皿的底部。对有腐蚀性物质称量时，可代替天平的秤盘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功能描述：本实验箱要求实现如下实验：1、铜球热胀冷缩实验；2、模拟大自然水循环实验；3、热对流实验；4、活动项目 4、热传导实验； 5、温差发电实验；6、空气的热胀冷缩实验； 7、连续测量一杯水的温度实验；8、温度计模拟实验等。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lang w:eastAsia="zh-CN"/>
                <w14:ligatures w14:val="none"/>
              </w:rPr>
            </w:pPr>
            <w:r>
              <w:rPr>
                <w:rFonts w:hint="eastAsia" w:ascii="宋体" w:hAnsi="宋体" w:eastAsia="宋体" w:cs="宋体"/>
                <w:color w:val="000000"/>
                <w:sz w:val="18"/>
                <w:szCs w:val="18"/>
                <w14:ligatures w14:val="none"/>
              </w:rPr>
              <w:t xml:space="preserve">3</w:t>
            </w:r>
            <w:r>
              <w:rPr>
                <w:rFonts w:hint="eastAsia" w:ascii="宋体" w:hAnsi="宋体" w:eastAsia="宋体" w:cs="宋体"/>
                <w:color w:val="000000"/>
                <w:sz w:val="18"/>
                <w:szCs w:val="18"/>
                <w:lang w:val="en-US" w:eastAsia="zh-CN"/>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走进化学实验箱</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广口瓶(30ml-透明)*1、广口瓶(60ml-透明)*1、50ml透明玻璃细口瓶(50ml-透明色)*2、玻璃烧杯(100ml NO.8202高硼硅)*1、玻璃集气瓶(125ml)*2、玻璃试管(15×150mm NO.8301高硼硅)*1、玻璃刻度量筒(1</w:t>
            </w:r>
            <w:r>
              <w:rPr>
                <w:rFonts w:hint="eastAsia" w:ascii="宋体" w:hAnsi="宋体" w:eastAsia="宋体" w:cs="宋体"/>
                <w:color w:val="000000"/>
                <w:sz w:val="18"/>
                <w:szCs w:val="18"/>
                <w14:ligatures w14:val="none"/>
              </w:rPr>
              <w:t xml:space="preserve">0ml)*1、尖嘴导管(8*100mm)*1、透明玻璃板(60×80×2mm)*2、玻璃胶头滴管(8×100mm  优质胶头NO.8409高硼硅)*1、药匙(不锈钢)*1、美工刀(得力2050)*1、不锈钢镊子(不锈钢黑色)*1、吸管（饮料）(弯头彩色塑料吸管，Φ5 *210 mm)*3、竹棒(φ4mm，长20cm)*5、扁蜡烛(铝壳)*2、坩埚瓷(30ml)*1、坩埚钳*1、透明储物盒(460ml)*1、通用标签*1、化学标签*1、橡胶塞(5#无孔 配100ml锥形瓶)*1。 本实验箱需配合配套器材使用。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本实验</w:t>
            </w:r>
            <w:r>
              <w:rPr>
                <w:rFonts w:hint="eastAsia" w:ascii="宋体" w:hAnsi="宋体" w:eastAsia="宋体" w:cs="宋体"/>
                <w:color w:val="000000"/>
                <w:sz w:val="18"/>
                <w:szCs w:val="18"/>
                <w14:ligatures w14:val="none"/>
              </w:rPr>
              <w:t xml:space="preserve">箱共能完成3个大实验项目即14个小项目，可完成包括但不限于以下所例举的实验项目： 1、①观察蜡烛燃烧前的颜色、状态、形状、硬度、气味、密度②以及蜡烛的熔点、③是否溶于水；④并观察燃烧时的火焰层数、各层温度的相对高低以及燃烧产物⑤以及不完全燃烧产物; ⑥熄灭后产生的白烟可以燃烧；2、比较人体吸入的空气和呼出气体中所含⑦二氧化碳、⑧氧气、⑨水蒸气的差异3、①掌握固体、②液体的取用方法，③酒精灯的使用方法④并实验各层温度的相对高低⑤以及部分仪器的洗涤方法。    自备：1.澄清石灰水2.锌粒3.稀盐酸4.碳酸钠。</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lang w:eastAsia="zh-CN"/>
                <w14:ligatures w14:val="none"/>
              </w:rPr>
            </w:pPr>
            <w:r>
              <w:rPr>
                <w:rFonts w:hint="eastAsia" w:ascii="宋体" w:hAnsi="宋体" w:eastAsia="宋体" w:cs="宋体"/>
                <w:color w:val="000000"/>
                <w:sz w:val="18"/>
                <w:szCs w:val="18"/>
                <w14:ligatures w14:val="none"/>
              </w:rPr>
              <w:t xml:space="preserve">3</w:t>
            </w:r>
            <w:r>
              <w:rPr>
                <w:rFonts w:hint="eastAsia" w:ascii="宋体" w:hAnsi="宋体" w:eastAsia="宋体" w:cs="宋体"/>
                <w:color w:val="000000"/>
                <w:sz w:val="18"/>
                <w:szCs w:val="18"/>
                <w:lang w:val="en-US" w:eastAsia="zh-CN"/>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通用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仪器</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箱体外观尺寸（mm）：495×370×190mm（±10）mm；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箱体颜色：黑色/灰色/黄色；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箱体材料：高密度工程塑料（聚丙烯）；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箱体内部构造：采用EPV珍珠棉隔离填充材料，每种实验器材有相对应插槽，每种实验器材设有固定位置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主要配置及用材：                             新型升降块*3、铁架台铁圈*1、万能夹（大）*2、不锈钢酒精灯(200ml)*1、石棉网(12.5cm×12.5cm)*1、试管刷*1、收纳盒（水槽）(大 2300ml 22.5*16.5*9.5cm)*1、托盘天平(机械式-200g砝码)*1、试管架*1、多功能组合支架(X型支座)(带配重)*1、支撑杆/铁架台立杆(φ10mm,长400mm,不锈钢)*1、电流表*1、电压表*1。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多功能组合支架(X型支座)：规格：240×132×28mm；材质：增强ABS；工艺：塑料注塑成型，表面磨砂工艺处理；结构形式：设有立杆异形安装孔、两脚立杆扩展孔、组合卡扣、内嵌铜螺母，内嵌铜螺母上旋接固定有M6紧锁手拧螺丝，主体内部含金属配重；功能描述：两件对插组合使用呈X型，可作为铁架台底座、光学导轨、新能源轨道等，可满足理化生不同学科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新型升降块：规格：35×35×50mm；材质：增强ABS；工艺：塑料注塑成型，表面磨砂工艺处理；结构形式：设有异形配合面，内嵌铜螺母，内嵌铜螺母上旋接固定有M6紧锁手拧螺丝；功能描述：异形配合面保证连接稳固，两端可以90°固定，中间穿孔可以轴向固定，用于和多功能组合支架配合使用固定有关的实验设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电流表：规格：131×107×65mm；材质：增强ABS；工艺：塑料注塑成型，表面磨砂工艺处理；测量范围：-0.2A~0~0.6A，-1A~3A，测量精度：2.5级；功能描述：外置手动调零，无需辅助工具，设有香蕉插座接口，表盘与桌面呈21度倾斜角，方便学生观察，可以满足相关电路实验中电流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压表：规格：131×107×65mm；材质：增强ABS；工艺：塑料注塑成型，表面磨砂工艺处理；测量范围-1V~0~3V，-5V~0~15V，测量精度：2.5级；功能描述：外置手动调零，无需辅助工具，设有4mm香蕉插座接口，表盘与桌面呈21度倾斜角，方便学生观察，可以满足相关电路实验中电压检测的实验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防烫试管架：总装规格：260×153×80mm；工艺：塑料注塑成型，主体透明，表面抛光亮面处理；结构形式：主体上下两层，试管放置孔设有防烫硅胶环，设有8根沥水柱；功能描述：主体可以同时防止5根大试管，16根小试管。主体具有防烫功能，加热后的试管可以放置在防烫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功能描述：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配合其它实验箱进行相关实验。</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学生基础工具套装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迷你台虎钳、奶子锤/钳工锤、钢丝钳、尖嘴钳、钢锯架(迷你)、钢锯条、扁锉刀、半圆锉刀、三角锉刀、什锦锉套装、钢直尺、划针、划规、样冲、一字螺丝刀、十字螺丝刀、铁皮剪。</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辅助</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工具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(教师用)</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大号虎钳、活动扳手、铜丝刷/钢丝刷小号、油石/磨刀石、铁砧、工具箱/定位箱、手电钻及钻头、小型台锯套装、焊台套装。</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学生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防护</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用品</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儿童五级安全护目镜、工作围裙、防滑防割手套(2只)、口罩(10只)。</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其他材料</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薄铁皮、铜片/铝片、铁钉/钢钉/螺丝螺母套装、金属丝、铁丝/铜丝、砂纸。</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切割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工具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套装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儿童安全手锯(圆头、细齿、防夹)，迷你线锯/曲线锯(手动，带护罩)，安全美工刀(儿童款，自锁)，儿童安全剪刀（2件/套）。</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打磨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修整</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工具</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儿童木工锉刀组(平/圆/半圆/尖）四件套，砂纸(80/120/240/400目)各五张、手持四面砂纸打磨块*2。</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敲击</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组装</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工具</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儿童橡胶锤/木锤（无尖角），迷你木工凿（圆头、钝刃，配护具），螺丝刀组（十字/一字，儿童柄）。</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测量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标记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工具</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钢直尺(30cm/50cm)，卷尺(2m-3m,软尺)，木工直角尺（三角尺），木工铅笔/记号笔（粗芯、易擦）。</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固定</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辅助</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工具</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迷你台钳/桌夹（小组用），木工夹(F夹/G夹，小号)，白乳胶（儿童无毒、可洗）。</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1065"/>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专用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工具套装(演示/辅</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助)</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小型木工刨(儿童安全款)；</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手动钻孔器(手摇钻/弓摇钻)；</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雕刻机：用于钻，铣，打磨，抛光，清洁，切割，雕刻，刻字。配备保护罩和专业手持修边机架。雕刻机转速：5,000~22,000 rpm,电压：220-240V,功率100W,长度：230mm,重量：约500g,夹紧范围：1.0,1.5,2.0,2.4,3.0,3.2。修边机架可配合雕刻机设备进行精密的开槽，铣槽和铣边作业，最大跨距：150mm，通过定心销进行圆铣（100mm-400mm)。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其他材料</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160" w:line="240" w:lineRule="auto"/>
              <w:rPr>
                <w:rFonts w:hint="eastAsia" w:ascii="宋体" w:hAnsi="宋体" w:eastAsia="宋体" w:cs="宋体"/>
                <w:color w:val="000000"/>
                <w:sz w:val="18"/>
                <w:szCs w:val="18"/>
                <w14:ligatures w14:val="standardContextual"/>
              </w:rPr>
            </w:pPr>
            <w:r>
              <w:rPr>
                <w:rFonts w:hint="eastAsia" w:ascii="宋体" w:hAnsi="宋体" w:eastAsia="宋体" w:cs="宋体"/>
                <w:color w:val="000000"/>
                <w:sz w:val="18"/>
                <w:szCs w:val="18"/>
                <w14:ligatures w14:val="standardContextual"/>
              </w:rPr>
              <w:t xml:space="preserve">椴木木板10*10*0.3(cm)20块，松木板20*5*0.5(cm)20块，木棒0.8*25(cm)50根。</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51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lang w:eastAsia="zh-CN"/>
                <w14:ligatures w14:val="none"/>
              </w:rPr>
            </w:pPr>
            <w:r>
              <w:rPr>
                <w:rFonts w:hint="eastAsia" w:ascii="宋体" w:hAnsi="宋体" w:eastAsia="宋体" w:cs="宋体"/>
                <w:color w:val="000000"/>
                <w:sz w:val="18"/>
                <w:szCs w:val="18"/>
                <w14:ligatures w14:val="none"/>
              </w:rPr>
              <w:t xml:space="preserve">4</w:t>
            </w:r>
            <w:r>
              <w:rPr>
                <w:rFonts w:hint="eastAsia" w:ascii="宋体" w:hAnsi="宋体" w:eastAsia="宋体" w:cs="宋体"/>
                <w:color w:val="000000"/>
                <w:sz w:val="18"/>
                <w:szCs w:val="18"/>
                <w:lang w:val="en-US" w:eastAsia="zh-CN"/>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智能AI机器人</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一、AI功能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1.支持在线与离线语音识别，可以本地录入20条离线语音指令，可在图形化编程中进行调用；</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2.支持多模态大模型，可与用户进行连续对话，并根据对话场景执行相关动作技能；</w:t>
            </w:r>
            <w:r/>
          </w:p>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w:t>
            </w:r>
            <w:r>
              <w:rPr>
                <w:rFonts w:hint="eastAsia" w:ascii="宋体" w:hAnsi="宋体" w:eastAsia="宋体" w:cs="宋体"/>
                <w:color w:val="ee0000"/>
                <w:sz w:val="18"/>
                <w:szCs w:val="18"/>
                <w:lang w:bidi="ar"/>
                <w14:ligatures w14:val="standardContextual"/>
              </w:rPr>
              <w:t xml:space="preserve">支持</w:t>
            </w:r>
            <w:r>
              <w:rPr>
                <w:rFonts w:hint="eastAsia" w:ascii="宋体" w:hAnsi="宋体" w:eastAsia="宋体" w:cs="宋体"/>
                <w:color w:val="000000"/>
                <w:sz w:val="18"/>
                <w:szCs w:val="18"/>
                <w:lang w:bidi="ar"/>
                <w14:ligatures w14:val="standardContextual"/>
              </w:rPr>
              <w:t xml:space="preserve">利用视觉识别本地预设的60种图案，图案包含黑白图案、蓝底图案、彩色图案，图案形式可以为纸质打印、屏幕显示、亚克力印刷、木质印刷；</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4.支持利用视觉识别用户绘制的符合一定规则的图案30种以上，且该图案参数与信息通过配套的移动端AI教育平台获取；</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5.支持本地录入存储10张人脸数据，进行本地人脸识别，录入人脸数据时支持录入姓名，卡通头像；</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6.可以接受配套的移动端AI教育平台指令，根据图案信息，自动停靠在用户设置的位置；</w:t>
            </w:r>
            <w:bookmarkStart w:id="12" w:name="OLE_LINK1"/>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bookmarkEnd w:id="12"/>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7.可以自主规划路径，利用图案定位信息对携带图案信息的物体进行自动抓取；</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8.支持利用视觉识别肤色，并进行手爪夹取操作，实现“握手”功能；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9.支持识别预设的12种物体或物体状态，包含交通标志牌、车辆，红绿灯状态等。</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二、硬件参数</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 主控板</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（1）CPU：性能不低于四核ARM Cortex-A7，256KB L1 Cache,512KB L2 Cache；</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（2）GPU：性能不低于Mali400MP2。</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 运控板</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CPU：性能不低于STM32，具有电流监测功能。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 传感器与电机</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直流电机≥3个、舵机≥3个、六轴陀螺仪传感器≥1个、红外传感器≥2个、高精度电机编码器≥2个、角度传感器≥4个。</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 其他</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（1）机器人具备全彩IPS屏，≥2.0寸，≥320*240分辨率； </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（2）机器人具有多种生动的表情，与AI识别功能结合，显示出多种人性化表情；</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（3）最长运行时间：≥3h。</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三、结构参数</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机器人有一个软体两指灵巧手、一个可移动底盘、一个三自由度机械臂和一个角度可调的摄像头。</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1.软体两指灵巧手</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（1）手爪抓取重量：≥150g；</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（2）手爪抓取范围：≥45mm。</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2.可移动底盘</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（1）机器人速度最快≥0.5m/s；</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（2）机器人主体材质：ABS。</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3.三自由度机械臂</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（1）展开臂长：≥250mm；</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（2）大臂活动范围：≥170°，小臂活动范围：≥200°；</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（3）头部活动范围：≥65°。</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四、支持移动端AI教育平台、PC端图形化编程、Python SDK等配套软件。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智能无人驾驶AI教育主题套件</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一、电子模块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套件应包含≥3个电机、≥23组传感器、≥1个红绿LED显示装置，≥2个多功能显示终端、≥1个具备项目制教学评价和竞赛分数统计功能的智慧大脑等。</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二、精密结构件</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1.结构部分由环保基材地图和亚克力实景模块组成；</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2.地图采用环保基材、模块化设计，亚克力实景模块使用不低于2.5mm厚度高强度环保材质。</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三、主要组件的描述</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1.模块化地图</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采用环保基材，厚度≥15mm，密度≥0.55；地图总尺寸≥2360*1160*15mm；模块化设计，共分成大小相同的6块。</w:t>
            </w:r>
            <w:r/>
          </w:p>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2.智慧大脑</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（1）智慧大脑可以监测控制套件上传感器及电子模块信息；可给出任务文字和语音提示，可记录比赛用时，支持查看比赛得分和用时等明细；</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（2）主板参数ARM Cortex-M系列内核，主频72MHZ、512kFLASH、64KSRAM。集成快速充电功能；有充电指示灯、满电指示灯、软件工作模式指示灯；</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（3）4.3寸显示屏，uart串口通信；65K色；分辨率480*272像素；板载8MB flash字库图片存储空间，1BYTE用户EEPROM存储空间；512KB运行内存，1024BYTE串口缓存；16欧姆0.5W喇叭；最大支持32GB TF卡。</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w:t>
            </w:r>
            <w:r>
              <w:rPr>
                <w:rFonts w:hint="eastAsia" w:ascii="宋体" w:hAnsi="宋体" w:eastAsia="宋体" w:cs="宋体"/>
                <w:b/>
                <w:bCs/>
                <w:color w:val="000000"/>
                <w:sz w:val="18"/>
                <w:szCs w:val="18"/>
                <w:lang w:bidi="ar"/>
                <w14:ligatures w14:val="standardContextual"/>
              </w:rPr>
              <w:t xml:space="preserve">（以上提供第三方</w:t>
            </w:r>
            <w:r>
              <w:rPr>
                <w:rFonts w:hint="default" w:ascii="宋体" w:hAnsi="宋体" w:eastAsia="宋体" w:cs="宋体"/>
                <w:b/>
                <w:bCs/>
                <w:color w:val="000000"/>
                <w:sz w:val="18"/>
                <w:szCs w:val="18"/>
                <w:lang w:bidi="ar"/>
                <w14:ligatures w14:val="standardContextual"/>
              </w:rPr>
              <w:t xml:space="preserve">检测机构</w:t>
            </w:r>
            <w:r>
              <w:rPr>
                <w:rFonts w:hint="eastAsia" w:ascii="宋体" w:hAnsi="宋体" w:eastAsia="宋体" w:cs="宋体"/>
                <w:b/>
                <w:bCs/>
                <w:color w:val="000000"/>
                <w:sz w:val="18"/>
                <w:szCs w:val="18"/>
                <w:lang w:bidi="ar"/>
                <w14:ligatures w14:val="standardContextual"/>
              </w:rPr>
              <w:t xml:space="preserve">出具的检测报告扫描件或复印件加盖投标人公章）</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3.红绿灯模块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模拟真实红绿灯视觉信号，同时与智慧大脑和多传感器组合工作，具备闯红绿灯、停车压斑马线等违章自动判定功能，同时发声提醒，并且能够在发生违章后模拟闪光灯效果。</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4.人行道模块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模拟人行道行人来往通过，用于配套的智能AI机器人完成礼让行人动作，该装置与多传感器组合工作，具备自动判定配套的智能AI机器人是否礼让行人以及撞倒行人等功能。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5.车站信息栏</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需含≥4.3寸显示屏，模拟信息栏，显示候车站台，屏幕信息由0-9随机显示。</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智慧社区AI教育主题套件</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一、电子模块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套件应包含≥3个电机、≥23组传感器、≥1个红绿LED显示装置，≥2个多功能显示终端、≥1个具备项目制教学评价和竞赛分数统计功能的智慧大脑等。</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二、精密结构件</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1.结构部分由环保基材地图和亚克力实景模块组成；</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2.地图采用环保基材、模块化设计，亚克力实景模块使用不低于2.5mm厚度高强度环保材质。</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三、主要组件的描述</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1.模块化地图</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采用环保基材，厚度≥15mm，密度≥0.55；地图总尺寸≥2360*1160*15mm；模块化设计，共分成大小相同的6块。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2.智慧大脑</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（1）智慧大脑可以监测控制套件上传感器及电子模块信息；可给出任务文字和语音提示，可记录比赛用时，支持查看比赛得分和用时等明细；</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（2）主板参数ARM Cortex-M系列内核，主频72MHZ、512kFLASH、64KSRAM。集成快速充电功能；有充电指示灯、满电指示灯、软件工作模式指示灯；</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（3）4.3寸显示屏，uart串口通信；65K色；分辨率480*272像素；板载8MB flash字库图片存储空间，1BYTE用户EEPROM存储空间；512KB运行内存，1024BYTE串口缓存；16欧姆0.5W喇叭；最大支持32GB TF卡。</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3.红绿灯模块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模拟真实红绿灯视觉信号，同时与智慧大脑和多传感器组合工作，具备闯红绿灯、停车压斑马线等违章自动判定功能，同时发声提醒，并且能够在发生违章后模拟闪光灯效果。</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4.人行道模块</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模拟人行道行人来往通过，用于配套的智能AI机器人完成礼让行人动作，该装置与多传感器组合工作，具备自动判定配套的智能AI机器人是否礼让行人以及撞倒行人等功能。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5.车站信息栏</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需含≥4.3寸显示屏，模拟信息栏，显示候车站台，屏幕信息由0-9随机显示。</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平板教学套装高配版（含移动端AI教育平台）</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一、AI功能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1.支持获取配套的AI智能机器人的视频流，并实时显示；</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2.支持从配套的AI智能机器人的视频流中进行人脸识别，并可以将图像采集、人脸检测、人脸关键点、人脸转正等过程可视化的展现出来；</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与配套的AI智能机器人配合使用，可实现人脸识别可视化，可从视频画面中找到人脸，生成模拟的虚假人脸框，截取人脸部分图片，识别出≥106个人脸关键点并在图中标记，利用关键点对人脸进行旋转，将旋转后的人脸图片发送至机器人；</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4.支持利用配套的AI智能机器人的摄像头获取实时环境视频，并从视频中寻找符合规则的四边形，自动提取四边形中的图像并将其矫正为矩形，进行二值化处理；</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5.支持用户对提取到的四边形内的图案进行命名和参数录入，录入成功后可以在编程中发送指令和图案信息供机器人识别和定位；</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6.支持从配套的AI智能机器人的视频流中获取≥27张特定区域的图像数据，用户将其分为≥3类，在移动端进行分类器的训练；</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7.支持用户利用练好的分类器对新的图像进行分类，可显示新的图像与3种已训练图像的置信度；</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8.支持用户利用图形化编程模块，调用机器人的运动功能，情绪功能，检测图案，物体，人脸，以及定位与自动抓取的功能；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9.支持录入用户自定义的≥30个以上的图案和≥10个人脸；</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10.支持用户离线生成二维码并保存图片；</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11.支持用户调节≥6个颜色阈值，并实时显示机器人视频流画面的二值化结果；</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12.支持用户调节≥6个颜色阈值，并将该颜色参数保存，在编程界面进行识别；</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13.支持用户利用训练好的分类模型对新的图像进行离线分类，可实时显示新的图像与已训练图像的置信度，并可在编程界面调用；</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14.支持Scratch编程，并可在编程界面设置机器人端的AI算法参数，获取机器人端的处理结果。</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二、其他功能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1.支持二维码生成功能，可自定义二维码内容及logo；</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2.支持Scratch图形化编程，图形化编程包含运动、AI、事件、控制、传感、运算、变量、函数等模块，图形化编程结合机器人进行深度定制，可以使机器人完成丰富的功能；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3.支持操控模块，可实施对机器人进行操控，传输视频流，操作机器人灯光。</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三、硬件参数</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1.CPU：Arm架构，4核及以上；</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2.内存：3GB以上；</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3.通讯：支持WIFI、蓝牙；</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4.摄像头：含前置及后置摄像头；</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5.扬声器：内置扬声器。</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项目制AI教育资源云平台</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 平台开发采用B/S架构。服务端、数据库存储在云服务器上，可以灵活的调整教学资源，用户可及时获取最新的教学资源，可依据用户需求对教学资源进行调整。</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 支持PDF预览。</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 支持视频流播放。</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 支持WORD预览。</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 支持PPT预览及动画播放。</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6. 支持文件下载。</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7. 支持定制化内容，自定义文件上传，学校用户可自定义logo。</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8. 支持学校管理员功能，学校管理员可自行管理学校的教师。</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9. 平台支持自定义课程，满足客户对课程的定制化需求。</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10. 平台包含完整的AI教师培训课程及培训流程，涵盖AI教培体系、AI教具、AI教研及AI示范课，方便进行AI种子教师培训工作。</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AI教育配套资源包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 需包含1.2x1.2m巡线地图一张，环保相纸材质，可支持机器人进行视觉巡线；</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2. 需包含1.2x1.2m货物搬运地图一张，环保相纸材质，可支持机器人进行物品搬运；</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3. 需包含1.2x1.2m彩色旋转地图一张，环保相纸材质，可支持机器人进行旋转和颜色识别；</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4. 需包含1.2x1.2m水果分类地图一张，环保相纸材质，可支持机器人进行水果分类；</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5. 需包含人偶、图案道具板一套，其中至少包含26个字母图案、10个数字图案、2个人偶，双面印刷。字母和数字图案尺寸&gt;= 40*40*15mm，人偶尺寸 &gt;= 40*80*15mm；</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6. 包含双层亚克力台阶一个，宽度 &gt;= 20cm，高度 &gt;= 8.5cm；</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7. 包含仿真水果一袋，包含5种以上水果，尺寸需小于40cm；</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8. 包含软尺一把，量程150cm。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AI教育沙盘备件包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AI教育沙盘备件包，包含了标识牌、电池、识别图案、红外传感等AI教育主题系列沙盘中易丢失或易损物料。</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普通展示桌赛台</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1.桌面尺寸1200mm*2400mm,高度800mm。柜体带储物空间。</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特色校本课程开发</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结合学校自身特点定制化课程，并可根据学校需求进行阶段性修改，该课程是整合校园文化、教学理念，又同时具有跨学科思维的STEAM课程。包含低中高三个阶段课程，1-2年纪低学段不少于16课教学内容，可满足32课时教学需求；3-4年级中学段不低于16课教学内容，可满足32课时教学需求；5-6年级高学段，不低于16课教学内容，可满足32课时教学需求。</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项</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校本课程配套资源包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包含定制课程教案及PPT,彩印版纸质教材一套、实验指导手册等。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项</w:t>
            </w:r>
            <w:r/>
          </w:p>
        </w:tc>
      </w:tr>
      <w:tr>
        <w:trPr>
          <w:jc w:val="center"/>
          <w:trHeight w:val="600"/>
        </w:trPr>
        <w:tc>
          <w:tcPr>
            <w:gridSpan w:val="3"/>
            <w:tcBorders>
              <w:top w:val="single" w:color="auto" w:sz="4" w:space="0"/>
              <w:left w:val="single" w:color="auto" w:sz="4" w:space="0"/>
              <w:bottom w:val="single" w:color="auto" w:sz="4" w:space="0"/>
              <w:right w:val="single" w:color="000000" w:sz="4" w:space="0"/>
            </w:tcBorders>
            <w:tcW w:w="8229" w:type="dxa"/>
            <w:vAlign w:val="center"/>
            <w:textDirection w:val="lrTb"/>
            <w:noWrap w:val="false"/>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二、创客教室</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人工智能学习基础套件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便携式可图形化编程、代码编程的创客实验系统，其可兼容主流编程平台。套件结合编程平台可以遥控自制游戏和动画、控制常见的传感器和拓展人工智能视觉模块和</w:t>
            </w:r>
            <w:r>
              <w:rPr>
                <w:rFonts w:hint="eastAsia" w:ascii="宋体" w:hAnsi="宋体" w:eastAsia="宋体" w:cs="宋体"/>
                <w:color w:val="000000"/>
                <w:sz w:val="18"/>
                <w:szCs w:val="18"/>
                <w14:ligatures w14:val="none"/>
              </w:rPr>
              <w:t xml:space="preserve">物联网模块。系统可实现AI与IOT的完美结合，可以实现物联网智能家居、人工智能机器人等创客项目。在自主配套编程平台中可以兼容图形化和JavaScript、Python、C++语言编写游戏、设计游戏场景、角色以及各个情景环节。平台基于在线网页的编译器可以在电脑、移动设备上运行。在线模式打开浏览器，输入编辑器网址即可开始编程，无需下载任何软件并可结合信息技术教材进行Python编程教学，配套彩印版教材，配套教学资源包，含教学PPT、教学详案及教学流程，可满足16课时教学需求，离线模式可通过安装国产软件进行实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一、参数特点：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1.主控采用性能不低于ARM Cortex-M4 MCU STM32F412RET6的芯片。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板载不小于1.8寸彩色TFT显示屏且分辨率不低于128*160，板载丰富的可编程模块，至少包括2个LED灯，4路RGB灯，7个按键（4个方向按键，2个功能按键，1个菜单按键），1个无源蜂鸣器，1个光敏传感器，1个6轴陀螺仪传感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3.至少具有1个4PIN的IIC拓展接口，用于基础传感器和人工智能硬件模块的拓展。至少具有20PIN的包含GPIO,PWM,SPI,IIC功能的拓展接口1个，适用于人工智能车专用拓展板。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4.支持模拟硬件HID遥控外设功能，具有按键模式和陀螺仪模式。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5.支持主流编程平台，具有实时模式和离线模式两种编程方式，实时模式下可以实现动画与硬件的互动。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6.USB接口支持关机充电，具有过压，过流保护作用。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7.套件预留扩展口引出便于二次调试。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二、配套资料：</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1、可配套相关项目式主题课程，不限于以下主题：生态环保、水环境监测、智能景观设施、仿生机器人、鸟类保护、智慧农业和智能家居等。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2、相关配套课程需不少于16课时。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人工智能物联网高级拓展套装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一、拓展套装传感器模块清单构成包括：人工智能编程平台*1、 物联网传感器模块*1 、语音识别传感器模块*1、视觉识别传感器模块*1、触摸传感器模块*1、电机风扇模块*1、电位器模块*1、舵机控制模块（含舵机）*1、LED灯模块*1、数码管模块*1、超声波传感器模块*1、巡线传感器模块*1、人体红外传感器模块*1、颜色传感器模块*1、压力传感器模块*1、微动开关模块*1、声音传感器*1、温湿度传感器模块*1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二、配套资料：</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1、配套相关项目式主题课程，包含以下主题：生态环保、水环境监测、智能景观设施、仿生机器人、鸟类保护、智慧农业和智能家居等。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2、配套课程资源包需包含视频微课、教学PPT、教学流程、程序源码和教学详案。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3、相关配套课程16课时。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激光切割智慧超市主题课程资源包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配套课程满足10课时授课需要并经过省级以上科技教育主管部门认证；主控制器国产，能够兼容主流编程平台，包括图形化和Python代码编程等，课程资源包包含教学PPT、教程、搭建手册、程序源码。课程资源包可完成以下作品搭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1.超市客流量计数闸机：利用超声波模块或者视觉识别传感器模块，检测有人进入时，语音播报欢迎光临，并打开单向通行闸机，统计超市一天的客流量。 所需传感器：人工智能主控板*1、视觉识别传感器模块*1、舵机模块*1、语音识别传感器模块*1。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2.扫码存包柜：利用视觉识别传感器模块进行检测并判断，然后根据结果控制不同舵机开启相应的柜门。所需传感器：人工智能主控板*1、视觉识别传感器模块*1、舵机模块*1。</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激光切割智慧农业主题课程资源包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配套课程满足10课时授课需求并经过省级以上科技教育主管部门认证；主控制器国产，能够兼容主流编程平台，包括图形化和Python代码编程等，课程资源包可完成以下作品搭建：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1.植物生产辅助灯：生产辅助灯根据环境光照情况自动对光色进行调节，满足植物生长光照需求，提高生产效率。所需传感器：人工智能主控板*1、RGB灯*1、光线传感器*1；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2.大棚环境监测系统：利用传感器对植物温室生产环境的温度、湿度、光照、气流等环境要素进行自动监控，通过调节植物工厂中的气流循环来调控室内小气候，如降低温度，排除湿气，提升 CO2 浓度等，可以节约能源，减少单位面积上的能源投入，帮助种植者更有效地进行农业生产，实现智能化管理。所需传感器：人工智能主控板*1、光线传感器*1、温度传感器*1、电机风扇模块*1。</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激光切割智能家居主题课程资源包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配套课程满足10课时授课需要并经过省级以上科技教育主管部门认证；主控制器国产，能够兼容主流编程平台，包括图形化和Python代码编程等，课程资源包含教学PPT、教程、搭建手册、程序源码。课程资源包可完成以下作品搭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1.智能台灯：监测光照环境，自动改变色温来保护视力。可以通过语音控制台灯开关与色温。所需传感器：人工智能主控板*1、RGB灯模块*1、语音识别传感器模块*1。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2.智能风扇：运行时通过检测环境温度，适时调整转速。可以通过语音控制控制风扇转速。所需传感器：人工智能主控板*1、电机模块*1、语音识别传感器模块*1。</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台式电热丝切割机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用于切割泡沫、海绵、KT板等热塑性材料，任意切割或模板切割，具体参数如下：                     1.额定电压：220V-240V；二级工作电压：10V,1.0A；</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2.工作频率：50/60Hz；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3.电热丝：长≤30m；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4.电热丝直径：≤0.2mm；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5.额定功率：≤20W；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6.电热丝温度：100°-200°C；</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7.工作台尺寸：≥390*280mm；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8.切割高度：≥140mm；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9.喉深：≥350mm；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10.重量：≤3kg；</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11.体积：≤400*300*150mm；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12.绝缘等级：2级。</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备用电热丝卷</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用于台式电热丝切割机，规格≥30m*0.2mm；</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微型曲线锯机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可切割的材料种类：软木、硬木、塑料、有色金属，具体参数如下：                          1.额定电压：220-240V；</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2.额定功率：≤85W；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3.工作台尺寸：≥160*160mm；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4.能力：软木：≤40mm，硬木：≤10mm，亚克力：≤4mm,铜铝：≤2mm；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5.体积：≤43x24x25cm；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6.体重：≤2.5KG；</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7.附属零件包括但不限于：2支固定机器用螺丝，3支粗齿（木工用）线锯片，2支粗齿（铜铝用）线锯片，一个吸尘器用橡胶接头；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8.马达速度：≥8000rpm；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9.锯片往复速：150-2500回/min；</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10.锯条行程：≥7mm。</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备用锯条材料包</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standardContextual"/>
              </w:rPr>
            </w:pPr>
            <w:r>
              <w:rPr>
                <w:rFonts w:hint="eastAsia" w:ascii="宋体" w:hAnsi="宋体" w:eastAsia="宋体" w:cs="宋体"/>
                <w:color w:val="000000"/>
                <w:sz w:val="18"/>
                <w:szCs w:val="18"/>
                <w14:ligatures w14:val="standardContextual"/>
              </w:rPr>
              <w:t xml:space="preserve">1.14齿，130*1.5*0.48mm，不少于12支，用于切割木材、塑料；</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2.36齿，130*0.85*0.4mm，不少于12支，用于切割有色金属。</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微型金属钻床</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适用于各种材料的钻孔，通过不同材质的钻头来实现，具体参数如下：                             1.额定电压：220-240V；</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2.额定功率：≤85W；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3.三段变速：1800/4700/8500rpm；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4.台面尺寸：≥220 x 120mm；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5.有效距离（支柱中心至钻孔中心）：≥140mm；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6.立钻行程：≥30mm；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7.附6个钢制筒夹:1.0,1.5,2.0,2.4,3.0及3.2mm；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8.钻孔能力：0.5-6mm；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9.喉深：≥140mm；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10.进给行程：≥30mm；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11.实心钢柱：≥直径20*340mm；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12.重量：≤3.3kg；</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13.体积：≤220*120*380mm。</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微型十字工作台</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移动滑台，1圈=1mm,1格=0.05mm。</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电钻夹头</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夹持刀具，夹持范围：0.6-6.0mm。</w:t>
            </w:r>
            <w:r/>
          </w:p>
        </w:tc>
        <w:tc>
          <w:tcPr>
            <w:shd w:val="clear" w:color="000000" w:fill="ffffff"/>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机械虎钳</w:t>
            </w:r>
            <w:r/>
          </w:p>
        </w:tc>
        <w:tc>
          <w:tcPr>
            <w:tcBorders>
              <w:top w:val="none" w:color="000000" w:sz="4" w:space="0"/>
              <w:left w:val="none" w:color="000000" w:sz="4" w:space="0"/>
              <w:bottom w:val="single" w:color="auto" w:sz="4" w:space="0"/>
              <w:right w:val="single" w:color="auto" w:sz="4" w:space="0"/>
            </w:tcBorders>
            <w:tcW w:w="6600" w:type="dxa"/>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夹持工件，钳口宽度：≥46mm，夹持范围：≥34mm。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微型钻铣床</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1.额定电压：230V；</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2.额定功率：100W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3.主轴转速5000-20000rpm；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4.工作台： 200*70mm；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 X轴行程 134mm；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 Y轴行程 46mm；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 Z轴 高度 80mm；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8.三爪钢制筒夹头夹口：1.0/1.5/2.0/2.35/3.0和3.2mm；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 T型槽：12*6*5mm；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10.手轮刻度：1刻度=0.05mm,1圈=1mm；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11.体积：约130*225*370mm。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备用铣刀</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三件套钨钢制铣刀 （1-2-3mm）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3D打印</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1.机器结构：箱体结构，全封闭落地机箱，可有效保持机箱内部温度稳定，耗材内置于封闭机身内；</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2.打印尺寸：220*220*250mm；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3.设备尺寸： 355mm*355mm*480mm（X*Y*Z）；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4.打印速度：12倍速度，32mm³/s；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5.喷嘴直径：0.4mm；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6.内置照明灯条，方便夜间查看打印状态。；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7.喷头结构：近端双齿轮挤出结构，喷头温度最高可达300度，可兼容多种耗材；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8.操作界面：4.3英寸RGB触摸屏，支持中、英、日、韩、德、法、俄、西班牙等语言；</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9.打印平台：柔性打印平台，全自动阵列调平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10.热床温度：最高可达110°C；</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11.打印方式：U盘脱机打印；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12.支持系统：WIN/XP/MAC/Linux/Vista；</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13.设置断料监测传感器，支持断料检测。耗材耗尽、断开或出现其他异常状况时，自动暂停打印，等接入耗材后继续打印；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14.额定功率：350W；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15.打印耗材：TPU（软胶）、PLA、ABS、木材、混色耗材、碳纤维等市面主流耗；</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16.空气过滤系统：自带HEPA空⽓过滤系统 ；</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17.切片软件：为保证产品兼容性和产品效果。</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18.智能云控制平台：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18.1可直接手机端联机切片，打印，随时观看打印进度；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18.2支持多台手机同时登录控制观看，超大模型库实现在线打印；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18.3自带视频，图片上传功能，可点赞、评论、分享、下载等功能。</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3D打印耗材</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1.PLA打印材料，强度和韧性高，配合3D打印机可打印出高品质作品，重量1000g/包，直径1.75mm，多色可选。                               2.基于3D打印，挤出热融的塑料，然后在空气中迅速冷却，最后固化成稳定的状态。</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卷</w:t>
            </w:r>
            <w:r/>
          </w:p>
        </w:tc>
      </w:tr>
      <w:tr>
        <w:trPr>
          <w:jc w:val="center"/>
          <w:trHeight w:val="525"/>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桌面激光雕刻机</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1、产品尺寸：长*宽*高（mm）≤725*550*260；</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2</w:t>
            </w:r>
            <w:r>
              <w:rPr>
                <w:rFonts w:hint="eastAsia" w:ascii="宋体" w:hAnsi="宋体" w:eastAsia="宋体" w:cs="宋体"/>
                <w:color w:val="ee0000"/>
                <w:sz w:val="18"/>
                <w:szCs w:val="18"/>
                <w:lang w:bidi="ar"/>
                <w14:ligatures w14:val="standardContextual"/>
              </w:rPr>
              <w:t xml:space="preserve">、加工幅</w:t>
            </w:r>
            <w:r>
              <w:rPr>
                <w:rFonts w:hint="eastAsia" w:ascii="宋体" w:hAnsi="宋体" w:eastAsia="宋体" w:cs="宋体"/>
                <w:color w:val="000000"/>
                <w:sz w:val="18"/>
                <w:szCs w:val="18"/>
                <w:lang w:bidi="ar"/>
                <w14:ligatures w14:val="standardContextual"/>
              </w:rPr>
              <w:t xml:space="preserve">面：长*宽（mm）≥500*300；加工高度可达42mm； </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3、整机功率：110-240V，50~60Hz；平均功率150W；</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4、运行速度及精度：雕刻速度可达1000mm/s；加工精度可达0.01mm；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5、运动系统及工作平台：基于嵌入式的高性能多轴运动控制系统； </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6、加工模块类型与功率：标配10W蓝光激光模组，支持高性能的其他加工头快拆更换；</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7、激光头等级：波长455nm蓝光激光；光斑大小小于等于0.08mm；使用寿命不小于8000h；</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8、加工属性与能力：支持纸张、木材、塑料、皮革等多种耗材的雕刻与切割，支持金属打标，切割厚度不小于15mm（桐木板）；</w:t>
            </w:r>
            <w:r>
              <w:rPr>
                <w:rFonts w:hint="eastAsia" w:ascii="宋体" w:hAnsi="宋体" w:eastAsia="宋体" w:cs="宋体"/>
                <w:color w:val="000000"/>
                <w:sz w:val="18"/>
                <w:szCs w:val="18"/>
                <w:lang w:bidi="ar"/>
                <w14:ligatures w14:val="standardContextual"/>
              </w:rPr>
              <w:br/>
            </w:r>
            <w:r>
              <w:rPr>
                <w:rFonts w:hint="default" w:ascii="宋体" w:hAnsi="宋体" w:eastAsia="宋体" w:cs="宋体"/>
                <w:color w:val="ee0000"/>
                <w:sz w:val="18"/>
                <w:szCs w:val="18"/>
                <w:lang w:bidi="ar"/>
                <w14:ligatures w14:val="standardContextual"/>
              </w:rPr>
              <w:t xml:space="preserve">▲</w:t>
            </w:r>
            <w:r>
              <w:rPr>
                <w:rFonts w:hint="eastAsia" w:ascii="宋体" w:hAnsi="宋体" w:eastAsia="宋体" w:cs="宋体"/>
                <w:color w:val="ee0000"/>
                <w:sz w:val="18"/>
                <w:szCs w:val="18"/>
                <w:lang w:bidi="ar"/>
                <w14:ligatures w14:val="standardContextual"/>
              </w:rPr>
              <w:t xml:space="preserve">9、交互方式</w:t>
            </w:r>
            <w:r>
              <w:rPr>
                <w:rFonts w:hint="eastAsia" w:ascii="宋体" w:hAnsi="宋体" w:eastAsia="宋体" w:cs="宋体"/>
                <w:color w:val="000000"/>
                <w:sz w:val="18"/>
                <w:szCs w:val="18"/>
                <w:lang w:bidi="ar"/>
                <w14:ligatures w14:val="standardContextual"/>
              </w:rPr>
              <w:t xml:space="preserve">：设备内置LCD高清IPS液晶屏，智能触摸按键支持多元交互与控制；摇杆手柄支持离线端高分辨率灵敏微动；</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 10、操作方式：支持USB连接电脑在线加工；支持电脑端保存加工文件到SD卡进行离线加工；支持移动端通过Wifi连接设备远程加工；</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 11、智</w:t>
            </w:r>
            <w:r>
              <w:rPr>
                <w:rFonts w:hint="eastAsia" w:ascii="宋体" w:hAnsi="宋体" w:eastAsia="宋体" w:cs="宋体"/>
                <w:color w:val="ee0000"/>
                <w:sz w:val="18"/>
                <w:szCs w:val="18"/>
                <w:lang w:bidi="ar"/>
                <w14:ligatures w14:val="standardContextual"/>
              </w:rPr>
              <w:t xml:space="preserve">能摄像系</w:t>
            </w:r>
            <w:r>
              <w:rPr>
                <w:rFonts w:hint="eastAsia" w:ascii="宋体" w:hAnsi="宋体" w:eastAsia="宋体" w:cs="宋体"/>
                <w:color w:val="000000"/>
                <w:sz w:val="18"/>
                <w:szCs w:val="18"/>
                <w:lang w:bidi="ar"/>
                <w14:ligatures w14:val="standardContextual"/>
              </w:rPr>
              <w:t xml:space="preserve">统：内置1600W像素智能高清广角摄像头，支持摄像头图像定位，支持摄像头拍照提取图像进行可视化加工；</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 12、自动吹气系统：自动吹气管路，可接吹气单元加工；支持高压气路外接；</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13、对焦方式：支持激光自动对焦、支持手动对焦，能实现激光焦距自动校准；</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14、</w:t>
            </w:r>
            <w:r>
              <w:rPr>
                <w:rFonts w:hint="eastAsia" w:ascii="宋体" w:hAnsi="宋体" w:eastAsia="宋体" w:cs="宋体"/>
                <w:color w:val="ee0000"/>
                <w:sz w:val="18"/>
                <w:szCs w:val="18"/>
                <w:lang w:bidi="ar"/>
                <w14:ligatures w14:val="standardContextual"/>
              </w:rPr>
              <w:t xml:space="preserve">多种安全传</w:t>
            </w:r>
            <w:r>
              <w:rPr>
                <w:rFonts w:hint="eastAsia" w:ascii="宋体" w:hAnsi="宋体" w:eastAsia="宋体" w:cs="宋体"/>
                <w:color w:val="000000"/>
                <w:sz w:val="18"/>
                <w:szCs w:val="18"/>
                <w:lang w:bidi="ar"/>
                <w14:ligatures w14:val="standardContextual"/>
              </w:rPr>
              <w:t xml:space="preserve">感器辅助：内置安全状态门智能检测系统、火焰传感器智能检测燃烧状态、三轴加速度传感器智能检测倾斜角、十字红点激光定位加工范围，支持急停操作；</w:t>
            </w:r>
            <w:r>
              <w:rPr>
                <w:rFonts w:hint="default" w:ascii="宋体" w:hAnsi="宋体" w:eastAsia="宋体" w:cs="宋体"/>
                <w:b/>
                <w:bCs/>
                <w:color w:val="000000"/>
                <w:sz w:val="18"/>
                <w:szCs w:val="18"/>
                <w:lang w:bidi="ar"/>
                <w14:ligatures w14:val="standardContextual"/>
              </w:rPr>
              <w:t xml:space="preserve">（提供第三方检测机构出具的检测报告扫描件或复印件加盖投标人公章）</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15、照明系统与显示状态灯：支持工作区全局照明，辅助拍照加工；屏幕指示加工状态与工作进程；</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16、可扩展配套：可扩展配套其他加工头单元，包含笔夹单元加工，夹画笔直径最大可支持20mm，支持自动提笔加工；支持刻刀单元装夹刻刀加工，满足装夹30°、45°、60°雕刻刀，刻刀单元满足二级弹性伸缩刻刀，支持自定义加工柔性材料，加工深度刀切材料厚度最大可达1.5mm；加工单元支持快拆式更换机头单元；无需另外接线可扩展增高台、可扩展旋转轴单元、可扩展配套烟雾净化系统；</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17、配套软件：搭配轻量级激光软件，软件包括建模设计模块、仿真加工模块、控制加工模块模块，软件支持工作模式切换为激光模式、裁刀模式、画笔模式，软件内包含布尔运算、支持绘制多段线、贝塞尔曲线、支持偏置、矩形阵列、圆形阵列等图元编辑功能，支持图元对齐、镜像、支持一键造物功能，可以直接生成盒子模型等，快速实现建模设计造物等操作，支持摄像头定位，支持摄像头图像对齐与参数校准；软件支持旋转轴的设置，可以选择卡盘式或滚轴式旋转轴；</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18、配套移动端APP：配套自研移动端激光软件，支持移动端加工和操作；</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19、配套课程与教学资源：网上教学资源库，拥有海量教学资源。配备操作入门教学课程，；课程包括且不限于：认识激光、3D动物制作、动漫大集合、木纹眼镜的制作、笔筒的制作、手绘勋章的制作、木艺花盆的制作、激光定制画、激光名片的制作、大作品骰子、世界地图、动物拼图、衍纸军徽、百美图冰箱贴、红船立体剪纸、非遗纸雕、龙珠纸雕灯、创意卫衣的制作等课程内容。</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激光雕切机配套耗材包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包括8种耗材，总计220件耗材；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椴木板尺寸300*210*3mm，数量30件；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奥松板尺寸300*210*3，数量30件；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瓦楞纸尺寸3mm*200*300，数量30件；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瓦楞纸尺寸6mm*200*300，数量10件；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年轮杯垫尺寸φ90*10mm，数量10件；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亚克力板尺寸，300*210*3mm，数量5件；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牛皮纸尺寸200*297mm，50张；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混色厚卡纸尺寸200*297，数量50件；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不锈钢狗牌尺寸40*20*2mm，数量5件。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20</w:t>
            </w:r>
            <w:r/>
          </w:p>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桌面智能铣雕一体机</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1、产品尺寸：（长×宽×高）：452mm×425mm×350mm；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2、XYZ加工幅面：280mm×200mm×80mm；可通过高度：82mm；</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3、主轴单元：采用250W风冷无刷快速换刀主轴；</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4、电源要求：支持110-240V、50~60Hz宽电压输入，平均功率200W；</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5、整机架构：使用铸铝底座，可视窗PC外壳；</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6、</w:t>
            </w:r>
            <w:r>
              <w:rPr>
                <w:rFonts w:hint="eastAsia" w:ascii="宋体" w:hAnsi="宋体" w:eastAsia="宋体" w:cs="宋体"/>
                <w:color w:val="ee0000"/>
                <w:sz w:val="18"/>
                <w:szCs w:val="18"/>
                <w:lang w:bidi="ar"/>
                <w14:ligatures w14:val="standardContextual"/>
              </w:rPr>
              <w:t xml:space="preserve">运行速度及</w:t>
            </w:r>
            <w:r>
              <w:rPr>
                <w:rFonts w:hint="eastAsia" w:ascii="宋体" w:hAnsi="宋体" w:eastAsia="宋体" w:cs="宋体"/>
                <w:color w:val="000000"/>
                <w:sz w:val="18"/>
                <w:szCs w:val="18"/>
                <w:lang w:bidi="ar"/>
                <w14:ligatures w14:val="standardContextual"/>
              </w:rPr>
              <w:t xml:space="preserve">精度：加工速度：1000mm/min，加工精度：±0.02mm；</w:t>
            </w:r>
            <w:r/>
          </w:p>
          <w:p>
            <w:pPr>
              <w:jc w:val="left"/>
              <w:spacing w:after="0" w:line="240" w:lineRule="auto"/>
              <w:widowControl/>
              <w:rPr>
                <w:rFonts w:hint="eastAsia" w:ascii="宋体" w:hAnsi="宋体" w:eastAsia="宋体" w:cs="宋体"/>
                <w:b/>
                <w:bCs/>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7、传动组件：使用精密滚珠丝杆、XY圆轨轨和Z轴直线滑轨方案；</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8、加工属性与能力：支持木材、亚克力、塑料、软金属等材质的CNC雕刻切割；支持木材、亚克力、塑料、皮革、金属等材质的激光打标及部分材质的激光切割；</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▲9、操</w:t>
            </w:r>
            <w:r>
              <w:rPr>
                <w:rFonts w:hint="eastAsia" w:ascii="宋体" w:hAnsi="宋体" w:eastAsia="宋体" w:cs="宋体"/>
                <w:color w:val="ee0000"/>
                <w:sz w:val="18"/>
                <w:szCs w:val="18"/>
                <w:lang w:bidi="ar"/>
                <w14:ligatures w14:val="standardContextual"/>
              </w:rPr>
              <w:t xml:space="preserve">控模式：支持</w:t>
            </w:r>
            <w:r>
              <w:rPr>
                <w:rFonts w:hint="eastAsia" w:ascii="宋体" w:hAnsi="宋体" w:eastAsia="宋体" w:cs="宋体"/>
                <w:color w:val="000000"/>
                <w:sz w:val="18"/>
                <w:szCs w:val="18"/>
                <w:lang w:bidi="ar"/>
                <w14:ligatures w14:val="standardContextual"/>
              </w:rPr>
              <w:t xml:space="preserve">PC端USB有线、Wifi无线控制使用设备；支持平板电脑、手机等移动端设备Wifi无线控制使用设备；设备支持远程固件更新；</w:t>
            </w:r>
            <w:r>
              <w:rPr>
                <w:rFonts w:hint="eastAsia" w:ascii="宋体" w:hAnsi="宋体" w:eastAsia="宋体" w:cs="宋体"/>
                <w:b/>
                <w:bCs/>
                <w:color w:val="000000"/>
                <w:sz w:val="18"/>
                <w:szCs w:val="18"/>
                <w:lang w:bidi="ar"/>
                <w14:ligatures w14:val="standardContextual"/>
              </w:rPr>
              <w:t xml:space="preserve">（</w:t>
            </w:r>
            <w:r>
              <w:rPr>
                <w:rFonts w:hint="default" w:ascii="宋体" w:hAnsi="宋体" w:eastAsia="宋体" w:cs="宋体"/>
                <w:b/>
                <w:bCs/>
                <w:color w:val="000000"/>
                <w:sz w:val="18"/>
                <w:szCs w:val="18"/>
                <w:lang w:bidi="ar"/>
                <w14:ligatures w14:val="standardContextual"/>
              </w:rPr>
              <w:t xml:space="preserve">提供第三方检测机构</w:t>
            </w:r>
            <w:r>
              <w:rPr>
                <w:rFonts w:hint="eastAsia" w:ascii="宋体" w:hAnsi="宋体" w:eastAsia="宋体" w:cs="宋体"/>
                <w:b/>
                <w:bCs/>
                <w:color w:val="000000"/>
                <w:sz w:val="18"/>
                <w:szCs w:val="18"/>
                <w:lang w:bidi="ar"/>
                <w14:ligatures w14:val="standardContextual"/>
              </w:rPr>
              <w:t xml:space="preserve">出具的</w:t>
            </w:r>
            <w:r>
              <w:rPr>
                <w:rFonts w:hint="default" w:ascii="宋体" w:hAnsi="宋体" w:eastAsia="宋体" w:cs="宋体"/>
                <w:b/>
                <w:bCs/>
                <w:color w:val="000000"/>
                <w:sz w:val="18"/>
                <w:szCs w:val="18"/>
                <w:lang w:bidi="ar"/>
                <w14:ligatures w14:val="standardContextual"/>
              </w:rPr>
              <w:t xml:space="preserve">检测报告扫描件或复印</w:t>
            </w:r>
            <w:r>
              <w:rPr>
                <w:rFonts w:hint="eastAsia" w:ascii="宋体" w:hAnsi="宋体" w:eastAsia="宋体" w:cs="宋体"/>
                <w:b/>
                <w:bCs/>
                <w:color w:val="000000"/>
                <w:sz w:val="18"/>
                <w:szCs w:val="18"/>
                <w:lang w:val="en-US" w:eastAsia="zh-CN" w:bidi="ar"/>
                <w14:ligatures w14:val="standardContextual"/>
              </w:rPr>
              <w:t xml:space="preserve">件</w:t>
            </w:r>
            <w:r>
              <w:rPr>
                <w:rFonts w:hint="default" w:ascii="宋体" w:hAnsi="宋体" w:eastAsia="宋体" w:cs="宋体"/>
                <w:b/>
                <w:bCs/>
                <w:color w:val="000000"/>
                <w:sz w:val="18"/>
                <w:szCs w:val="18"/>
                <w:lang w:bidi="ar"/>
                <w14:ligatures w14:val="standardContextual"/>
              </w:rPr>
              <w:t xml:space="preserve">加盖投标人公章</w:t>
            </w:r>
            <w:r>
              <w:rPr>
                <w:rFonts w:hint="eastAsia" w:ascii="宋体" w:hAnsi="宋体" w:eastAsia="宋体" w:cs="宋体"/>
                <w:b/>
                <w:bCs/>
                <w:color w:val="000000"/>
                <w:sz w:val="18"/>
                <w:szCs w:val="18"/>
                <w:lang w:bidi="ar"/>
                <w14:ligatures w14:val="standardContextual"/>
              </w:rPr>
              <w:t xml:space="preserve">） </w:t>
            </w:r>
            <w:r/>
          </w:p>
          <w:p>
            <w:pPr>
              <w:jc w:val="left"/>
              <w:spacing w:after="0" w:line="240" w:lineRule="auto"/>
              <w:widowControl/>
              <w:rPr>
                <w:rFonts w:hint="eastAsia" w:ascii="宋体" w:hAnsi="宋体" w:eastAsia="宋体" w:cs="宋体"/>
                <w:color w:val="000000"/>
                <w:sz w:val="18"/>
                <w:szCs w:val="18"/>
                <w:lang w:bidi="ar"/>
                <w14:ligatures w14:val="standardContextual"/>
              </w:rPr>
            </w:pPr>
            <w:r>
              <w:rPr>
                <w:rFonts w:hint="eastAsia" w:ascii="宋体" w:hAnsi="宋体" w:eastAsia="宋体" w:cs="宋体"/>
                <w:color w:val="000000"/>
                <w:sz w:val="18"/>
                <w:szCs w:val="18"/>
                <w:lang w:bidi="ar"/>
                <w14:ligatures w14:val="standardContextual"/>
              </w:rPr>
              <w:t xml:space="preserve">10、</w:t>
            </w:r>
            <w:r>
              <w:rPr>
                <w:rFonts w:hint="eastAsia" w:ascii="宋体" w:hAnsi="宋体" w:eastAsia="宋体" w:cs="宋体"/>
                <w:color w:val="ee0000"/>
                <w:sz w:val="18"/>
                <w:szCs w:val="18"/>
                <w:lang w:bidi="ar"/>
                <w14:ligatures w14:val="standardContextual"/>
              </w:rPr>
              <w:t xml:space="preserve">多重安全辅</w:t>
            </w:r>
            <w:r>
              <w:rPr>
                <w:rFonts w:hint="eastAsia" w:ascii="宋体" w:hAnsi="宋体" w:eastAsia="宋体" w:cs="宋体"/>
                <w:color w:val="000000"/>
                <w:sz w:val="18"/>
                <w:szCs w:val="18"/>
                <w:lang w:bidi="ar"/>
                <w14:ligatures w14:val="standardContextual"/>
              </w:rPr>
              <w:t xml:space="preserve">助：内置安全门检测（开盖急停）、支持外接急停开关；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 11、照明系统：配备全局照明灯、主轴照明灯及按键LED灯，其中按键LED灯可指示加工状态；</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12、旋转轴单元：设备标配第四轴旋转单元，旋转轴长*宽*高≤330*125*80mm，采用4爪卡盘，旋转轴中心高度为50mm，夹持范围为1-33mm，卡盘减速比为1:5；</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13、</w:t>
            </w:r>
            <w:r>
              <w:rPr>
                <w:rFonts w:hint="eastAsia" w:ascii="宋体" w:hAnsi="宋体" w:eastAsia="宋体" w:cs="宋体"/>
                <w:color w:val="ee0000"/>
                <w:sz w:val="18"/>
                <w:szCs w:val="18"/>
                <w:lang w:bidi="ar"/>
                <w14:ligatures w14:val="standardContextual"/>
              </w:rPr>
              <w:t xml:space="preserve">自动集尘</w:t>
            </w:r>
            <w:r>
              <w:rPr>
                <w:rFonts w:hint="eastAsia" w:ascii="宋体" w:hAnsi="宋体" w:eastAsia="宋体" w:cs="宋体"/>
                <w:color w:val="000000"/>
                <w:sz w:val="18"/>
                <w:szCs w:val="18"/>
                <w:lang w:bidi="ar"/>
                <w14:ligatures w14:val="standardContextual"/>
              </w:rPr>
              <w:t xml:space="preserve">系统：支持扩展外接吸尘单元，可在加工过程中实时吸附木材碎屑、亚克力粉末等废料；</w:t>
            </w:r>
            <w:r>
              <w:rPr>
                <w:rFonts w:hint="default" w:ascii="宋体" w:hAnsi="宋体" w:eastAsia="宋体" w:cs="宋体"/>
                <w:b/>
                <w:bCs/>
                <w:color w:val="000000"/>
                <w:sz w:val="18"/>
                <w:szCs w:val="18"/>
                <w:lang w:bidi="ar"/>
                <w14:ligatures w14:val="standardContextual"/>
              </w:rPr>
              <w:t xml:space="preserve">（提供第三方检测机构</w:t>
            </w:r>
            <w:r>
              <w:rPr>
                <w:rFonts w:hint="eastAsia" w:ascii="宋体" w:hAnsi="宋体" w:eastAsia="宋体" w:cs="宋体"/>
                <w:b/>
                <w:bCs/>
                <w:color w:val="000000"/>
                <w:sz w:val="18"/>
                <w:szCs w:val="18"/>
                <w:lang w:bidi="ar"/>
                <w14:ligatures w14:val="standardContextual"/>
              </w:rPr>
              <w:t xml:space="preserve">出具的</w:t>
            </w:r>
            <w:r>
              <w:rPr>
                <w:rFonts w:hint="default" w:ascii="宋体" w:hAnsi="宋体" w:eastAsia="宋体" w:cs="宋体"/>
                <w:b/>
                <w:bCs/>
                <w:color w:val="000000"/>
                <w:sz w:val="18"/>
                <w:szCs w:val="18"/>
                <w:lang w:bidi="ar"/>
                <w14:ligatures w14:val="standardContextual"/>
              </w:rPr>
              <w:t xml:space="preserve">检测报告扫描件或复印</w:t>
            </w:r>
            <w:r>
              <w:rPr>
                <w:rFonts w:hint="eastAsia" w:ascii="宋体" w:hAnsi="宋体" w:eastAsia="宋体" w:cs="宋体"/>
                <w:b/>
                <w:bCs/>
                <w:color w:val="000000"/>
                <w:sz w:val="18"/>
                <w:szCs w:val="18"/>
                <w:lang w:bidi="ar"/>
                <w14:ligatures w14:val="standardContextual"/>
              </w:rPr>
              <w:t xml:space="preserve">件</w:t>
            </w:r>
            <w:r>
              <w:rPr>
                <w:rFonts w:hint="default" w:ascii="宋体" w:hAnsi="宋体" w:eastAsia="宋体" w:cs="宋体"/>
                <w:b/>
                <w:bCs/>
                <w:color w:val="000000"/>
                <w:sz w:val="18"/>
                <w:szCs w:val="18"/>
                <w:lang w:bidi="ar"/>
                <w14:ligatures w14:val="standardContextual"/>
              </w:rPr>
              <w:t xml:space="preserve">加盖投标人公章</w:t>
            </w:r>
            <w:r>
              <w:rPr>
                <w:rFonts w:hint="eastAsia" w:ascii="宋体" w:hAnsi="宋体" w:eastAsia="宋体" w:cs="宋体"/>
                <w:b/>
                <w:bCs/>
                <w:color w:val="000000"/>
                <w:sz w:val="18"/>
                <w:szCs w:val="18"/>
                <w:lang w:bidi="ar"/>
                <w14:ligatures w14:val="standardContextual"/>
              </w:rPr>
              <w:t xml:space="preserve"> ）</w:t>
            </w:r>
            <w:r>
              <w:rPr>
                <w:rFonts w:hint="eastAsia" w:ascii="宋体" w:hAnsi="宋体" w:eastAsia="宋体" w:cs="宋体"/>
                <w:b/>
                <w:bCs/>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14、多元夹具配套：支持扩展配套靠山夹具、平口钳夹具、侧推钳夹具、多功能压板夹具等；</w:t>
            </w:r>
            <w:r>
              <w:rPr>
                <w:rFonts w:hint="eastAsia" w:ascii="宋体" w:hAnsi="宋体" w:eastAsia="宋体" w:cs="宋体"/>
                <w:color w:val="000000"/>
                <w:sz w:val="18"/>
                <w:szCs w:val="18"/>
                <w:lang w:bidi="ar"/>
                <w14:ligatures w14:val="standardContextual"/>
              </w:rPr>
              <w:br/>
            </w:r>
            <w:r>
              <w:rPr>
                <w:rFonts w:hint="eastAsia" w:ascii="宋体" w:hAnsi="宋体" w:eastAsia="宋体" w:cs="宋体"/>
                <w:color w:val="000000"/>
                <w:sz w:val="18"/>
                <w:szCs w:val="18"/>
                <w:lang w:bidi="ar"/>
                <w14:ligatures w14:val="standardContextual"/>
              </w:rPr>
              <w:t xml:space="preserve">15、激光单元扩展：设备可扩展安装455nm10W蓝光激光单元模组（卡扣式安装，无需拆卸主轴）。</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lang w:bidi="ar"/>
                <w14:ligatures w14:val="standardContextual"/>
              </w:rPr>
              <w:t xml:space="preserve">铣雕一体机配套耗材包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1.金属铜印章：25*25*10（mm） 共5件；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2.铝合金板：80*80*5（mm）共5件；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3.单面覆铜板：70*100*1.5（mm） 共10件；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4.双色板：200*100*1.3（mm） 共10件；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5.代木：200*100*20（mm） 共4件；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6.高密度板：275*200*9（mm） 共12件；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7.高密度板：275*200*5 （mm）共12件；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8.榉木料：200*100*20（mm） 共2件；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9.檀木牌：40*60*10mm 共10件；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10.书签料：150*30*3（mm）共10件；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合计耗材数量80件。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gridSpan w:val="3"/>
            <w:tcBorders>
              <w:top w:val="single" w:color="auto" w:sz="4" w:space="0"/>
              <w:left w:val="single" w:color="auto" w:sz="4" w:space="0"/>
              <w:bottom w:val="single" w:color="auto" w:sz="4" w:space="0"/>
              <w:right w:val="single" w:color="auto" w:sz="4" w:space="0"/>
            </w:tcBorders>
            <w:tcW w:w="82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三、心理咨询室</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心理教育信息化管理系统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（移动版）</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一、产品组成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平台要求由工作台、管理中心、心理测评、综合档案等多个模块组成。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二、技术要求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1.安全需求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数据加密强度：采用符合行业标准的高强度加密算法，如AES-256或更高强度算法，对系统中的敏感数据（包括但不限于用户密码、个人身份信息、业务数据等）在存储和传输过程中进行加密处理，确保数据的保密性和完整性，防止数据被窃取或篡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1.2身份认证机制：支持多因素身份认证，如密码、验证码、短信验证码等至少两种及以上认证方式的组合，用户可根据自身需求灵活配置。对于管理员等特权用户，强制采用多因素身份认证，以增强账户安全性。认证系统具备防暴力破解功能，如限制登录尝试次数、锁定账户等机制，并能够实时监测异常登录行为，及时发出警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1.3访问控制策略：基于角色的访问控制（RBAC）模型得到全面应用，系统能够根据用户角色精细地分配不同的权限，确保用户只能访问其被授权的功能模块和数据资源。权限管理具备灵活性，可方便地进行角色创建、修改和删除操作，以及为不同角色动态分配权限。同时，对敏感操作（如数据删除、系统配置修改等）进行额外的审批流程控制，确保操作的合规性和安全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1.4安全审计功能：建立完善的安全审计系统，能够详细记录所有用户操作、系统事件和网络活动，审计日志包括操作时间、操作人、操作内容、操作结果、源IP地址、目标IP地址等关键信息。审计日志进行加密存储，并具备防止篡改的机制。系统提供灵活的审计查询和报表生成功能，管理员可根据时间、用户、操作类型等条件进行筛选查询，并能够生成符合法规要求和内部管理需求的审计报表，以便在发生安全事件时能够快速追溯和分析原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1.5数据备份与恢复：制定完善的数据备份策略，对系统中的数据进行定期备份，备份频率至少每天一次，且可根据数据的重要性和业务需求进行灵活调整。支持备份数据存储在异地的安全存储介质中，如异地数据中心或云存储服务（具体实施按照政务云相关资源情况确定），同时，系统具备快速的数据恢复能力，在本地数据丢失或损坏的情况下，能够在规定的时间内（如4小时内恢复关键数据，24小时内恢复全部数据）完成异地数据恢复操作，确保业务的连续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1.6安全合规性：系统符合相关的国家法律法规和行业标准，如《网络安全法》、《信息安全等级保护管理办法》等。系统在设计、开发和运行过程中均遵循了相关的安全要求。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2.技术框架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2.1基于微服务架构设计，前后端分离设计，通过API接口通讯；支持国产化服务器、操作系统、数据库的部署；提供数据搜索引擎，满足大数据量的查询和分析。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2.2服务独立部署能力：微服务架构需实现各个微服务可完全独立进行开发、测试、构建与部署流程，彼此互不干扰，具备成熟的独立部署工具链与规范，部署过程可自动化执行，且在独立部署时能确保与其他微服务及整个系统架构的兼容性与稳定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2.3服务自动扩展机制：具备基于性能指标（如CPU使用率、内存占用、请求队列长度等）的自动扩展功能，可灵活设置扩展触发阈值与规则，扩展过程自动且快速，能在业务负载波动时迅速调整微服务实例数量，保证系统高可用性与资源高效利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2.4 API网关功能：API网关能有效接收并处理来自客户端的各类请求，具备精准的请求转发能力，可依据请求的URL、HTTP方法等多维度信息智能匹配到对应的微服务实例，同时具备强大的负载均衡功能，支持轮询、随机、加权轮询等多种负载均衡策略，并能对请求进行全面的合法性验证（包括认证信息、参数规范等），保障后端微服务安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2.5配置中心特性：配置中心要能够实现对所有微服务配置信息（如数据库连接字符串、服务端口号、日志级别等）的集中存储与统一管理，具备便捷的配置修改操作界面与权限管理体系，可实现配置信息的实时动态更新，更新后能及时推送通知到各个微服务实例，确保微服务无需重启即可应用新配置，且具备配置版本管理与回滚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2.6服务注册与发现要求：需采用可靠的服务注册与发现机制，微服务启动时能自动向服务注册中心注册自身详细信息（包括服务名称、IP地址、端口号、健康状态等），服务注册中心具备高可用性与数据一致性保障，当微服务调用其他微服务时，可快速从注册中心查询到目标微服务的准确实例信息（包括多个实例时的完整列表），并保证通信的稳定性与高效性，同时具备对服务注册与发现过程的监控与故障报警能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2.7前后端分离：使用现代前端框架构建前端应用，提供丰富的组件化开发方式，易于维护和扩展。后端提供API接口，与前端实现良好的数据交互。</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2.8跨平台兼容性：系统支持多种操作系统、数据库和中间件，确保在不同环境下的稳定运行，具备良好的跨平台兼容性。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3.性能要求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3.1微服务架构请求成功率：微服务架构在应对各类业务请求时，其成功处理并返回符合预期结果且无错误信息或异常状态的请求比例≥95%。此成功率需在涵盖所有业务请求类型以及不同运行环境条件下均能得以保障，无论是正常业务负载还是高并发、复杂网络环境、数据量波动等极端情形，均不得出现成功率大幅降低的情况，以充分确保系统运行的准确性、稳定性与可靠性，为用户提供持续且优质的服务体验。</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3.2微服务架构平均响应时间：从客户端发起请求至微服务架构完成处理并返回结果的平均耗时需严格控制在3秒以内。该响应时间要求适用于所有业务操作类型，包括实时数据查询、业务表单提交以及复杂业务流程触发等。投标方需通过优化微服务设计、代码质量、数据库查询效率、网络通信架构以及合理资源分配等多方面措施，确保系统在整体架构层面达成快速响应目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4.能够全面适配国产化运行环境，包括服务器、终端、数据库、操作系统和浏览器等。确保平台在国产硬件设备和操作系统下能够高效运行，且不影响心理数据的实时性与准确性。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三、登录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多个身份的用户使用场景，要求实现多个端口独立登录功能。包括：电脑端、用户移动端、咨询师移动端、可视化大屏端等≥4个端口，确保每个端都能独立管理、维护，并且具备独立的访问交互流程，确保用户能够流畅地完成任务，而不采用自适应界面的策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满足每个端口页面风格的自定义配置。要求实现电脑端登录页背景图、LOGO、欢迎登录框样式、主题色、用户移动端和咨询师移动端登录页背景图、按钮颜色等页面样式和可视化大屏端LOGO、TITLE、浏览器图标等内容的自定义配置，可配置项目≥45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3.提供用户登录途径≥3种。包括通过管理人员统一添加的账户进行登录，通过统一身份认证和数据同步对接进行单点登录，用户自行注册登录。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4.提供≥3种的登录验证方式。包括滑块验证、文字验证、短信验证码验证登录，提高数据安全性。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5.支持用户登录后根据工作场景切换不同身份开展工作，为不同身份匹配相应的功能模块和数据权限。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四、工作台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1.满足不同身份人员快速访问和使用系统中的常用功能，能够自定义设置常用功能快捷入口，一键跳转操作更便捷。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（1）主管领导能够全面了解人员整体数据，包括：普通人员总体人员数据、心理测评预警总人数、咨询总人数、危机干预总人数等，能够查看消息通知和公告。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（2）咨询师能够便捷地管理自己的咨询日程，了解当日来访者数量、咨询记录待填写数量、咨询预约情况等，咨询师能够一键跳转填写咨询记录。能够及时查看咨询消息提醒，确保不遗漏重要信息。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前台预约管理员能够实时掌握预约排班情况，了解今日来访者数量、今日排班数量和当日预约安排情况，可一键跳转进行预约查看和创建。前台预约管理员能够在工作台查看咨询消息提醒，确保预约顺利进行。</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（4）学生可在工作台查看自己的咨询日程，查看消息提醒和公告通知，帮助实时提醒不遗漏。直观展示待作答的心理测评量表，可一键点击进行量表答题。</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五、管理中心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1.人员管理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（1）满足添加单个人员、批量添加人员、开放人员注册以及进行数据同步和统一身份认证对接等多种途径添加人员数据。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（2）满足管理者添加、更新、编辑、删除、筛选、查看、导出人员信息的权限，使管理者可以对人员修改部门、角色、设置标签、解除标签、批量导入标签、对休学、离校等人员设置账号停用、启用等。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（3）满足管理者根据人员基本信息、自定义扩展信息、标签、创建时间、账号状态、角色等条件筛选人员数据。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2.权限管理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（1）满足管理者添加、查看、查询、编辑、删除角色，支持为每个角色下批量添加、删除人员。</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（2）满足不同身份的人员使用不同的权限管理，可单独为角色配置管控的人员、管控的数据范围、管控的功能模块、管控的表单和使用范围。</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单独为部门负责人配置模块负责范围，支持添加、修改、删除人员，支持为人员配置负责的功能模块、负责部门，支持按照组织机构、人员类型、年份进行条件筛选，支持直接选择包含选择值或不包含选择值进行数据范围配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3.资源管理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3.1.量表管理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平台的量表管理中提供丰富、权威的心理测评量表工具，量表数量≥200个。量表满足多种测评目标，包含但不限于智力测评、人格/个性测验、心理健康评估、情绪测验、应激与应对、行为问题、家庭及人际关系、积极心理品质、学业测评、职业规划测评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满足根据量表名称、量表类别搜索量表，支持新增、编辑、删除、复制、导出、重新计算量表。管理员可添加量表基本信息、测验说明、指导语、结果解读注意事项、适合测试人群、参考文献、特别声明、题目、选项、计分、因子公式、分值范围、分值说明、辅导建议、量表预警规则、得分转换、常模等信息。添加量表题目满足文字、图片、音频等功能。量</w:t>
            </w:r>
            <w:r>
              <w:rPr>
                <w:rFonts w:hint="eastAsia" w:ascii="宋体" w:hAnsi="宋体" w:eastAsia="宋体" w:cs="宋体"/>
                <w:color w:val="000000"/>
                <w:sz w:val="18"/>
                <w:szCs w:val="18"/>
                <w14:ligatures w14:val="none"/>
              </w:rPr>
              <w:t xml:space="preserve">表题目的添加方式满足单一题目添加方式和批量添加题目方式两种；量表题目选项支持一次性全部导入、按题号导入和单题导入三种形式。在量表计分评价中，支持用户对个体测评报告关于量表因子的相关信息进行设置，可以设置当前量表的当前因子是否呈现在因子表格中、是否呈现在因子剖析图中、因子的结果解释是否呈现、因子的辅导建议是否呈现。输入因子公式时，支持用户通过数学公式编辑器的文本框输入计算公式。量表常模需满足通过对大样本数据进行分析，建立参考群体的得分分布，并将被评估者的得分与该分布进行比较，评估其在某个特定维度上的表现水平。</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量表科研管理功能。管理员能够对量表的因子原始分、标准分进行自定义添加与修改，需提供量表因子计算的函数计分功能，包含：求和函数、均值函数、条件计数函数、乘积函数、POWER函数、条件求和函数、最大值函数、最小值函数、绝对值函数、CEILING函数、FLOOR函数、四舍五入函数、取余函数、FACT函数、SQRT函数、SUMSQ函数、BOOL函数等；因子标准分的计分函数包含Z分数、T分数、标准九、标准十、标准二十、离差智商等，实现管理者自主设计量表计分规则。</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（4）满足对预警量表配置预警</w:t>
            </w:r>
            <w:r>
              <w:rPr>
                <w:rFonts w:hint="eastAsia" w:ascii="宋体" w:hAnsi="宋体" w:eastAsia="宋体" w:cs="宋体"/>
                <w:color w:val="000000"/>
                <w:sz w:val="18"/>
                <w:szCs w:val="18"/>
                <w14:ligatures w14:val="none"/>
              </w:rPr>
              <w:t xml:space="preserve">规则，预警等级可根据量表性质进行自定义划分等级、名称、颜色等内容，预警等级数量≥5个，满足对预警量表配置多级预警规则，满足单因子预警、多因子预警、因子/题目预警类型≥3种。多因子预警满足按照预警逻辑配置预警规则，当逻辑不一致时能够按照同级或子级关系配置预警条件。题目预警设置满足预览当前选择题目对应的选项和得分，便捷筛选。满足对多个预警等级进行颜色标记，满足对预警条件配置预警规则解释和预警规则建议，配置好的预警条件能够进行预览，配置后按照预警等级输出测评报告可见。人员作答完成后可直接按照预警规则进行数据筛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满足管理员自定义配置量表包，发布测评任务时可一键导入量表包。针对用户不同应用需求（如执行任务前后压力测试等）参考使用，无需用户熟悉量表，即可一键导入量表包进行测评，更便捷、专业、具有针对性。同时，还支持经验丰富的专业人员自定义量表包，扩展量表多种应用需求。定期开展心理健康测评，构建完整的心理健康状况监测体系，可以将一批多个量表设置成一个量表包，方便下次心理健康测评时直接调取，无需重复创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（6）提供《青少年心理健康量表》，因子维度包括：网络依赖、亲子关系、人际交往、生活适应、自我认识、情绪调节、社会行为、职业选择、学习情况、性心理。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系统需提供《非文字心理健康量表》，量表题目数≧35题，量表题目内容需满足图画、语音、文字三种形式相结合，量表需包含正向计分题目和反向计分题目，每道题目需包含三级评分。量表需包含8个因子维度：自我、情绪、学习、社会和生活适应、人际交往、亲子关系、网络使用、心理健康指数。个体报告评价指标心理健康指数需四级区分：良好、轻度、中度、重度。</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3.2.表单管理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自定义设计表单，可用于满足对表单进行搜索、预览和编辑。表单设计可视化操作，支持表单题目组件拖拽和点选两种方式，每个组件的内容、样式、属性、计分等都可以编辑修改；支持设置题目特定属性，常用指标的结果，可以在任何表单自动读取已有信息，并支持数据统计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持系统内各项记录表单模板自定义设计功能。满足心理测评、心理预约、心理咨询、团体咨询、危机干预、心理督导、团体咨询等模块的记录表单个性化定义需求。题型≥10种类型，包含：表单标题段落组件、单选、多选、单行文本、多行文本、上传文件、日期时间组件、选择及自定义文件上传、签名等多种类型组件自定义配置，此外，管理员有权根据角色不同，授予相应人员修改和预览权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（3）满足对表单字段属性和表单属性进行自定义配置。可自定义配置标题、字体、提示语、逻辑跳转、对齐方式等属性。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4.通用设置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（1）指标设置：提供心理问题类型、问题严重程度、评估等级、结案方式、协议签署、来访者补填信息等方面的内容设置。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（2）客制化：满足个性化定</w:t>
            </w:r>
            <w:r>
              <w:rPr>
                <w:rFonts w:hint="eastAsia" w:ascii="宋体" w:hAnsi="宋体" w:eastAsia="宋体" w:cs="宋体"/>
                <w:color w:val="000000"/>
                <w:sz w:val="18"/>
                <w:szCs w:val="18"/>
                <w14:ligatures w14:val="none"/>
              </w:rPr>
              <w:t xml:space="preserve">制页面风格，提供电脑端、可视化大屏端、移动端多端客制化设置。电脑端支持页面标题、浏览器title、导航logo、浏览器图标客制化，登录页需支持背景图、登录框文字、颜色、位置、上下间距、底部信息等客制化，可视化大屏配置项支持可视化logo、可视化浏览器title、浏览器图标、浏览器title客制化，移动端支持配置登录页面标题、按钮颜色、登录背景图、底部信息客制化，首页配置需支持广告位图、金刚区图标、文字内容、列表名称、排序客制化。支持综合档案报告封面标题、报告logo、报告封面slogan、备注信息内容客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5.消息通知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消息推送：满足针对站内信和企业微信进行系统消息推送，能够创建、搜索、查看、删除系统消息。能够分别按照组织机构、人员、标签定义接收人员范围，为多种类型人员推送系统消息。能够即时发送和定时发送系统消息，满足多种场景使用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消息管理：满足面向多个场景的不同工作的消息模版设置满足自定义配置的消息模板类型包括以下但不限于咨询评估、个体咨询、一次单元咨询、值班评估、填写记录限制、督导管理。整体消息模板可自定义项目≥40项。满足每个消息能够配置消息内容文本信息，消息内容参数，消息推送规则。能够根据不同角色自定义不同的消息模板，角色包含预约员、来访者、评估员、咨询师、督导师、受督者等≥5个角色。</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（2）消息通知：满足汇集登录人涉及的所有产品消息，直观区分未读、已读消息。能够操作批量已读消息。对涉及文件的消息能够下载文件查看消息详情。</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6.操作日志记录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支持系统操作日志记录、查询功能，包含登录IP地址、操作时间、操作功能、登录账号、人员姓名、操作类型等信息。用于安全管理和日志分析。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7.下载文件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文件下载中心：文件列表汇总各个业务导出的文件，包括人员信息、测评报告、咨询数据、列表数据导出等。生成的文件通过独立的文件服务器管理，默认保存7天，7天后自动删除，对于下载文件可设置文档水印标签，标注操作人员信息，加强下载数据安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（2）快速下载：支持快速下载文件，一周内可以在文件管理中直接下载所需文件，不需要再到各个业务模块中进行搜索和筛选，提高工作效率。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（3）高级搜索：具备文件列表高级搜索功能，能够根据文件名称关键词、所属产品、文件格式、生成状态、下载时间范围等条件进行精确搜索，帮助快速找到所需文件。节省时间和精力。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（4）安全存储：文件下载数据根据权限不同管理不同数据，单独账号导出的文件仅本人可见，保证文件的安全性和完整性。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六、心理测评</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1.心理测评</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灵活发布测评任务，将量表推送给作答人员。满足同时支持多个身份、针对多个部门单位、多个年级、多个端口进行任务创建，可一键导入量表包。满足针对指定人员、同一特性人员设置标签创建测评任务，满足多种情况任务发布。满足对同一测评任务的多个量表开启连续作答，避免测评作答遗漏。满足测评任务发布同时关联相关推送问卷，进行相关人口学信息统计。满足对单一测评任务下的多个测评量表设置报告可见范围，能够根据测评用户类型或预警量表的预警等级配置报告可见范围，满足多种场景使用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满足管理者实时掌握测评计划的执行进度和完成情况，能查看测评任务的作答进度及状态，导出未作答人员名单，支持不同层级负责人查看导出对应层级范围的未测数据。能够进行测评进度统计，查看导出权限范围内不同机构的完成情况、完成率等信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（3）满足管理者在测评前配置测评须知和测评知情同意书，让作答人员进行知情同意签字确认，测评作答后可查看测评协议签字进度、查看导出签字信息。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2.推送量表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（1）需具备向特定个体或群体单独推送测评量表的能力，同时提供查看及导出个人测评报告、原始答题记录等相关数据的功能。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3.测评结果</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支持查看和导出用户的原始答卷和个体测评报告，团体测评报告；支持通过设置不同量表的因子分值范围，筛查目标人群及测评结果；支持批量导出测试人员的原始答题记录（包含原始答题选项、原始答题得分、量表因子得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（2）支持多量表多因子记录原始数据导出，自定义量表预警筛查标准，在测评结果中按量表中划分的预警等级来区分。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（3）根据用户选择的模板和数据维度,自动生成详细的测评报告,报告包含数据统计表格、数据分析图表,并在报告中详细阐述各项数据与指标。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4.综合分析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（1）需支持单量表多维度或多量表多维度组合查询与统计。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（2）需支持通过不同维度筛选特定人群，用多个量表的多个条件（包括但不限于题目选项、特定因子得分、总分）的不同逻辑关系（或与且）来实现精准筛查。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需支持导出检索结果，包含对应人员的基本信息、自定义扩展信息、检索量表的各因子得分。根据人员部门、测评量表、测评计划及不同程度的因子预警分值范围、测评时间等查询条件，支持多量表多维度综合分析，综合分析的类型≥4种：包括但不限于单一测评计划单量表筛查综合分析报告、单一测评计划多量表筛查综合分析报告、单量表多计划筛查综合分析报告、多量表多计划筛查综合分析报告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（4）需支持导入SPSS进一步研究统计。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（5）需支持对常用的多因子维度进行筛选并且支持保存条件、读取保存条件，删除保存条件等操作、方便快捷、多次进行多维度条件检索，保持历年统计分析标准的一致性。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5.测评访谈</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（1）满足自定义配置访谈批次、访谈结果、访谈问题类型、访谈记录表单、访谈标签等内容。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根据测评结果将预警人员单个或批量添加至访谈列表，能够筛选、查看、填写、导入、导出、删除访谈记录。满足填写的访谈记录能够保存草稿、保存正式，管理员可将保存为正式的访谈记录退回重新填写。</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（3）满足管理者查看来访者历次测评概况、查看测评结果原始答卷和测评报告方便了解来访对象情况。测评访谈后对来访者进行转介心理咨询待约、转入危机上报、转入绿色通道。</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6.外部量表管理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（1）需实现与第三方平台心理测评结果的对接与录入功能，以便于整合各类心理测评结果，并通过不同量表间的交叉分析，提升心理测评分析的效率。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（2）需支持创建测评量表的相关信息，包括量表名称、量表简称、量表说明、量表因子名称、因子分值（包括原始分与标准分）、以及因子计分标准（包括原始分与标准分）。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（3）需满足管理员创建测评计划的需求，以便于对不同批次的测评结果进行分类管理，并对不同量表的数据进行分类处理。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（4）需支持数据的批量导入功能，并能自动生成测评个人报告，同时提供测评结果的查询分析以及结果标签的标记功能。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7.标签管理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提供双模式标签配置与全场景应用能力：标签灵活设置：支持用户通过可视化界面手动勾选人员批量打标或导入标签模板文件（Excel）一键匹配人员属性，两种方式满足快速配置与批量导入需求。全场景标签穿透：已标记标签可在人员列表、测评结果、咨询记录、心理预约等模块跨界面搜索调用快速定位用户，支持在综合分析界面按标签筛选后批量导出数据或生成分析报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（2）标签驱动精准测评：系统支持基于标签条件定向推送量表，实现测评人群动态分组与任务自动化。</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（3）系统支持通过标签进行量表发放，灵活定位测评人员，使测评更有针对性。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七、综合档案</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全生命周期管理：从入学建档到毕业归档，记录测评、咨询、干预全流程数据。平台提供用户一生一档管理功能，将用户的基本信息、心理测评、心理评估、心理咨询、重点预警、参与活动、物联数据等方面数据整合，形成用户心理画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1.用户画像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能够一键生成用户心理画像，包含但不限于用户个人信息、心理测评、心理评估、心理咨询、预警干预、参与活动等方面的用户数据，统计近6个月的咨询、测评预警趋势。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2.综合档案</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综合档案能够查看学生基本信息、及各个产品汇总业务数据，可以查看并导出当前人员整体档案。</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团体活动桌椅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一套为6个环形桌椅组合，桌面材质为环保免漆颗粒板，红、黄、宝石蓝、绿、钛白、橙等各种颜色随机组合。</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桌面尺寸≥80*40*40（cm），钢架支腿，桌高≥75cm，可组合成各种图形。椅子为彩色钢支腿折叠结构，座高42-45cm。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团体活动器材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（4个分A,B,C,D箱）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团体辅导器材：包括环境适应篇、沟通交往篇、竞争合作篇、创新实践篇、自我意识篇、学习管理篇、意志责任篇、心灵成长篇等共8大主题41种游戏，有效帮助开展各种形式的心理训练活动。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团体活动训练系统中包括各种与活动内容相匹配的活动辅助器材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1）活动指导书籍：本书籍通俗易懂、简洁明了、便于携带，同时还附有更为详细和完整的教材，利于参考。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2）教学录像：以U盘形式发放，以便老师能迅速掌握开展中队员团体训练。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3）活动器材：便于携带的精致工具箱四个;各种活动必备器材内置于活动包中。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团体活动包A包一环境适应篇。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团体活动包B包一竞争合作篇。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团体活动包C包一创新实践篇。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团体活动包D包一学习管理篇。</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心理沙盘</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实木团体沙箱1个内径≥114*72*7（cm），实木支架高度61cm，总高度约70cm，内侧底面和侧面均是蓝色的，这蓝色可以象征海洋和天空。在游戏过程中，可以通过拨开沙子露出蓝色的底面来表示湖泊或河流等。沙盘本身具有心理容器的象征意义，来访者的所有问题都可能在这样的空间中得到包容或化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2.实木沙具柜2个（水性清漆涂层，尺寸：≥800*160*30cm），5层9阶实木沙具放置架，环保底漆，以满足不同种类，不同使用要求分类摆放的目的，为适应不同人群的使用需要。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3.≥1000个沙具(人物类、动物类、建筑类、军事类、交通工具类、生活用品类、食物类、自然物类、植物类、其他类等10大类沙具）。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4.沙盘游戏治疗技术培训录像资料选辑1套。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5.沙盘游戏治疗指导书籍1本。</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6.精选海沙≥10公斤。</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7.实木沙箱支架1套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8.沙具选取框1套、清理刷1个。</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身心监护测量仪</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硬件技术要求：RTOS系统数据类型32位，主频500MHz，构架One-core ARM Cortex-A5 processor单核，支持制式GSM\FDD-LTE频段 FDD:B1 B3 B5 B7 B8 B20；TDD:B38 B39 B40 B41、GSM:Band B2\3\5\8。</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屏幕贴合方式：GF全贴，屏类型LCD TFT，尺寸1.69寸，分辨率为240*280，触控型式为电容式，触控点数为单点，电池电芯类型\电压聚合物\4.4V，成品尺寸MAX57*28*28mm，电池容量\类型560mah；充电电流5V0.3A；防水IP67。</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软件功能：情绪能量、压力、疲劳、心率、计步、睡眠检测、电话、盲点补传、SOS、支持GPS/北斗/LBS/WIFI定位、电子围栏、支持（语音发送消息）、远程升级、通讯录信息查看、拨打电话、计算器。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情绪建模功能：情绪数据（含情绪能量、压力、疲劳、抑郁倾向）支持当日、7日、30日数据统计查看。</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音乐放松椅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产品技术要求：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1、音乐放松系统软件要求为安卓APP。</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无线蓝牙心率采集仪：双色OLED显示屏，开关机自动感应，采集血氧饱和度、脉率、血流灌注指数等多项指标，血氧饱和度测量精度±2%（75%-100%），脉率测量精度±2%，血流灌注指数精度1%，实现监测数据统计分析与平板电脑APP进行蓝牙实时传输。</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心理技术要求：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1、基础放松教学课程：数量≥3套，使用者通过教学课程，学习自我身心放松技术。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（1）是意象想象放松训练：使用安全岛技术、保险箱技术、遥控器技术，通过嗅觉、触觉、听觉、视觉、味觉、运动觉构建使用者需要的意向场景达到放松效果。</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（2）呼吸放松训练：指导使用者正确的使用腹式呼吸、深呼吸、屏息等方式进行自我放松。（3）渐进式肌肉放松训练：指导来访者从脚到头,系统地拉伸和放松身体肌肉群。</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2、专题放松训练教学课程：数量≥5套，使用者通过教学课程，有效缓解压力。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缓减工作压力方案；指导使用者工作中应对压力的方式。（2）恢复精神注意力方案：教会使用者有意识地集中自己的注意力从而提高工作效率。（3）调节人际关系紧张方案：指导使用者与他人沟通的方式以及在沟通过程中自我控制的方式。（4）消除身心疲劳方案:指导使用者正确处理自己的身体疲劳保持活力的方法。（5）重大事件恢复方案:教会使用者面对过往创伤，重新建立正确的自我认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3、深度放松训练课程：数量≥5套，使用者通过指导语训练，掌握情绪调节技术。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（1）疗愈内在的小孩（2）面对自己散步（3）身体扫描放松训练（4）与生命智慧老人相遇（5）做自己生命中的父母。</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产品功能要求：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1、音乐放松椅：</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产品尺寸：立放尺寸≥138*75*110（cm），平躺尺寸≥166*75*98（cm），噪音：≤50dB，电压：100-240V，功率：160W，产品净重≥83KG，最大体重≥120KG。（2）采用人体工学设计，配置U型夹臂气囊、抱肩释压气囊、柔性头枕、浮双S四曲导</w:t>
            </w:r>
            <w:r>
              <w:rPr>
                <w:rFonts w:hint="eastAsia" w:ascii="宋体" w:hAnsi="宋体" w:eastAsia="宋体" w:cs="宋体"/>
                <w:color w:val="000000"/>
                <w:sz w:val="18"/>
                <w:szCs w:val="18"/>
                <w14:ligatures w14:val="none"/>
              </w:rPr>
              <w:t xml:space="preserve">轨：136cm按摩行程，根据人体脊柱四个胜利曲度结构，研发双S四曲导轨，极度贴合人体劲曲、胸曲、腰曲和骶曲，悬浮承托26块椎骨，配合精准检测，使机械手更贴身按摩，最大限度放松身体。（3）产品需具备背部能量热敷理疗功效：通过腰背加热布恒温加热，配合按摩手法，热敷按摩放松。（4）产品需具备腿部和脚部双层按摩功能：足底采用三阶按摩，刺激脚底穴位，通过前掌刮按+脚心顶搓+后掌指压，促进血液循环，放松身体；腿部采用顶揉舒张气囊，自由伸缩，伸缩范围≥16cm，满足高个的腿部按摩需求。（5）提供多种自动按摩主题：针对不同</w:t>
            </w:r>
            <w:r>
              <w:rPr>
                <w:rFonts w:hint="eastAsia" w:ascii="宋体" w:hAnsi="宋体" w:eastAsia="宋体" w:cs="宋体"/>
                <w:color w:val="000000"/>
                <w:sz w:val="18"/>
                <w:szCs w:val="18"/>
                <w14:ligatures w14:val="none"/>
              </w:rPr>
              <w:t xml:space="preserve">人群定制，满足舒压、放松、恢复、助眠等主题。（6）配置蓝牙手控器1个：外观精致小巧，提升手握的舒适度，便于收纳，LED指示灯提示当前状态，明显直观。（7）模拟零重力音乐舱，内置HIFI蓝牙音响，数量≥2个，平板电脑通过蓝牙连接音箱播放音乐，实现音乐按摩同步，高保真音质，专业放松课程。（8）配置360度旋转支架1个：多关节支架，支持支架水平旋转，屏幕垂直旋转，支架升降，拉近拉远等操作，配合坐姿、平躺使用。（9）具有蓝牙健康检测功能：通过无线蓝牙心率采集仪采集个人健康数据，建立个人数据库，并给出健康建议及提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2、提供音乐放松触控PAD 1台：高清IPS触控屏幕≥10英寸，分辨率≥1920*1200dpi，内存≥4GB，存储容量≥64GB，处理器≥8核2.2Ghz，净重≤531克，机身尺寸≤243mm×163mm×9.3mm，厚度：9.1mm-11mm，操作系统Android，电池容量≥4000mAh，在线视频续航时间：约7小时，材质/工艺：触屏金属机身，WIFI、蓝牙，立体声音效。</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智能双手调节仪测试系统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系统是基于实验心理学经典双手调节仪研究范式打造的专业级数字化动作协调与注意分配测评工具，以APK形式安装包呈现，蓝白配色手掌托举调节器样式图标，集双权限登录、多场景双手协调测试、全维度数据记录与分析于一体，可精准测量个体的双手动作协调性、注意分配能力、动作控制精准度与纠错能力，是心理学科研、教学实训、动作康复评估的核心专业工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设计理念以“循证经典、数字赋能、沉浸体验、精准高效”为核心，严格遵循双手调节仪标准化实验流程，解决传统实体仪器笨重、操作复杂、数据记录易出错、分析效率低的局限，通过虚拟场景与即时听觉反馈提升测试沉浸感，兼顾科研级的测量精度与日常应用的操作便捷性，双端登录体系适配不同使用场景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产品核心功能完善，登录模块</w:t>
            </w:r>
            <w:r>
              <w:rPr>
                <w:rFonts w:hint="eastAsia" w:ascii="宋体" w:hAnsi="宋体" w:eastAsia="宋体" w:cs="宋体"/>
                <w:color w:val="000000"/>
                <w:sz w:val="18"/>
                <w:szCs w:val="18"/>
                <w14:ligatures w14:val="none"/>
              </w:rPr>
              <w:t xml:space="preserve">分为管理员与被试者双权限，被试端无需注册直接输入学号姓名即可快速参与，管理端通过账号密码保障数据安全；测试模块涵盖 WM 场景（描绘针移动范围175*55mm）、双螺旋场景（描绘针移动范围150*70mm），配套语音跟读，通过4个虚拟按键操纵白色圆珠（移动范围215*132mm），出轨触发 “吹哨”提示音，指针到达终点自动跳转结果报告；测试结果包含精确至小数点后两位的测试时间、脱轨次数等核心指标；记录模块支持多条件单条件与复合查询，数据模块支持个人 / 团体数据Excel导出，全流程测试信息可追溯、可分析。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本系统广泛应用于高校心理学实验室、特教机构、动作康复中心、科研院所实验教学等场景。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本仪器测试双手协调能力。采用双手摇动方式，使目标进行前后、左右的移动，从而完成沿图形轨迹的运动。由目标在图案中移动的速度与正确性判断手眼协调能力、双手协调的能力及双手分配的能力。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产品配置：重量≤0.95kg；屏幕尺寸≥10英寸；分辨率1920*1080；支持IPv6：支持IPv6；系统：Android；内存容量≥64GB；运行内存≥4GB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主要技术指标：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1、智能双手调节仪测试系统为.APK形式安装包，产品图标为APP形式手掌托举调节器样式（颜色蓝、白组成）产品分为测试模块、登录模块、记录模块。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2、登录模块分为管理员登录和被试者登录组合方便管理账户。被试端无需注册直接输入学号姓名即可，管理端登录需提供用户名和密码服务。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测试模块涵盖WM场景（描绘针移动的范围：175*55mm。）、双螺旋场景（描绘针移动的范围：150*70mm。）等并有语音跟读。进入智能双手调节仪测试系统由4个虚拟按键操纵，白色圆珠可自由移动移动距离范围（215*132mm）并且出轨后有“吹哨”的提示音，应立即纠偏。指针到达轨道终点自动跳转结果报告界面。4、测试结果含有测试时间（精确到小数点后两位）、脱轨测试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5、测试记录模块:管理员可通过学号、姓名、测试时间进行但条件查询和复合查询，查找到想要的数据。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数据模块：在测试记录页面可以导出个人数据也可以导出团体数据到Excele表中，并且可以查看每条数据的详细信息，包括学号、姓名、测试时间、测试耗时（单位S）、脱轨次数。可以对应的每条数据导出到每个实验对应的Excele表中。</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智能综合反应时测试仪系统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系统是基于实验心理学经典反应时研究范式打造的专业级智能化测评仪器，集简单反应时、辨别反应时、选择反应时三大核心测试功能于一体，可精准测量个体的信息加工速度、注意力集中度、刺激辨别能力与决策反应能力，是心理学科研、教学实训、能力测评、人才选拔等场景的核心专业工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设计理念以“循证专业、精准测量、多范式覆盖、高效管理” 为核心，严格遵循实验心理学标准化测试流程，打破传统反应时测试仪功能单一、数据管理繁琐的局限，同时支持光刺激与声刺激双测试模式，全面覆盖不同维度的反应能力测评，兼顾科研级的测量精度与日常应用的操作便捷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核心功能完善，内置三大核心测试模块，简单反应时模块可测量个体对单一刺激的基础反应速度；辨别反应时模块可测评个体的刺激辨别与抗干扰能力；选择反应时模块可评估个体的多刺激决策与差异化反应能力，三类测试均支持光 / 声双模式与重复实验设置；配套多条件测试记录查询功能，支持学号、姓名等维度单条件与复合查询；数据管理模块支持单条/批量测试数据导出 Excel，可查看平均反应时间、错误次数等详细信息，全流程数据可追溯、可分析。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核心优势突出，标准化范式保障测评专业度，毫秒级精准测量保证数据可靠，双刺激模式覆盖全维度测评需求，智能化数据管理大幅提升科研与教学效率。本系统广泛应用于高校心理学实验室、中小学心理中心、体育科研选材、特教康复、特殊岗位人才选拔等场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综合反应时仪可进行选择反应时、辨别反应时、简单反应时的测定工作。</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产品配置：重量≤0.95kg；屏幕尺寸≥10英寸；分辨率1920*1080；支持IPv6：支持IPv6；系统：Android；内存容量≥64GB；运行内存≥4GB。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1、简单反应时：分为光反应和声反应，每次呈现一个刺激，被试者从看到或者听到刺激立即做出反应，该段时间间隔为简单反应时，实验重复一定的次数。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辨别反应时：分为光反应和声反应，每次呈现两个或者两个以上的刺激时，被试者对目标刺激做出反应，对其他刺激不做反应，被试者在刺激呈现到做出辨别反应的这段时间为辨别反应时，实验重复一定的次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3、选择反应时:分为光反应和声反应，每次呈现两个或者两个以上的刺激被试者分别对不通的刺激做出不同的反应，被试者从刺激呈现到做出选择反应的这段时间为选择反应时，实验重复一定的次数。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4、测试记录模块:管理员可通过学号、姓名、测试项目、测试时间进行但条件查询和复合查询，查找到想要的数据。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数据模块：在测试记录页面可以集体导出数据到Excel表中，也可以查看每条数据的详细信息，包括学号、姓名、参数设置、测试时间，以及平均反应时间和错误次数。可以对应的每条数据导出到每个实验对应的Excel表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功能包括登录系统、测试参数设置、视觉简单反应时测试、听觉简单反应时测试、视觉辨别反应时测试、听觉辨别反应时测试、视觉选择反应时测试、听觉选择反应时测试、查询测试记录、导出测试记录等。</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AI智能脑机监测与训练系统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（个体版）</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系统是集脑电监测、心理评估、认知训练、档案管理于一体的软硬件一体化脑机生物反馈系统，依托脑电EEG监测技术，实时捕捉脑电生理与心理指标，搭配针对性训练课程，为用户提供全周期心脑健康管理服务，助力提升心理健康水平与认知能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设计理念以“精准量化、科学干预、闭环管理”为核心，将临床级脑电监测技术与专业心理干预体系深度融合，打破专业脑科学应用门槛，构建“监测-评估-训练-复盘”全流程服务闭环，让心脑健康可感知、可量化、可提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产品核心作用为实现脑功能精准监测与认知能力系统性提升：通过实时追踪8项脑电波与专注度、放松度等5项核心心理指标，搭配10项专业心理量表、多主题冥想与音乐疗愈训练，帮助用户精准认知自身状态，缓解压力疲劳，改善睡眠情绪，提升专注力、情绪调节能力与认知韧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技术亮点与核心优势突出：搭载24bit高精度、250/500Hz高采样率便携脑电采集硬件，超轻量设计、无线蓝牙连接、长时续航，抗干扰能力强；软件端支持双权限管理、全模块实时数据同步、自定义资源扩展、多维度专业报告自动生成与导出，实现软硬件协同的全维度数字化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本系统适用于学生群体、焦虑失眠人群、认知训练需求者及心理服务机构、校园心理中心、康复机构等，可广泛应用于居家健康管理、学习办公专注力提升、心理咨询干预、认知康复训练等多元场景。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一、产品介绍</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脑机生物反馈系统是一款集用户登录、静息监测、心理评估、冥想训练、音乐训练和档案分析于一体的综合性软件。该系统旨在通过先进的脑电EEG监测技术，为用户提供实时的专注度、放松度、压力、疲劳和脑龄等技术指标的监测，并提供针对性的训练课程，以提升用户的心理健康和认知能力。</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二、硬件参数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1.脑电监测仪参数：重量≧：5.1g，主机充电方式：触点充电，尺寸≧：26mm*26mm*11.8mm，电池容量：55mAh，工作时长：10h+，脑电采样率(Hz)250/500Hz，电极数量3，脑电采样精度 24bit，输出方式原始数据、滤波后数据、包</w:t>
            </w:r>
            <w:r>
              <w:rPr>
                <w:rFonts w:hint="eastAsia" w:ascii="宋体" w:hAnsi="宋体" w:eastAsia="宋体" w:cs="宋体"/>
                <w:color w:val="000000"/>
                <w:sz w:val="18"/>
                <w:szCs w:val="18"/>
                <w14:ligatures w14:val="none"/>
              </w:rPr>
              <w:t xml:space="preserve">络数据、脑电特征值等，IMU输出频率(Hz) 10/50 Hz，IMU采样精度16bit，通信方式 BLE5.0，体动轴数量加速度（3轴），陀螺仪（3轴），输入阻抗100MΩ以上，共模抑制比输入频率10HZ档，≧110dB，噪声电平不大于1μV（峰-峰值），耐极化电压加±300mV的直流极化电压，误差不超过±5%，标准信号精度 ±5%，时间常数0.1秒，最大允许误差±30%，时间间隔 误差不超过±5%，灵敏度 标准灵敏度为5mm/50μV，误差≤± 5%；，单机重量18g，续航待机&gt;10hFlash缓存无。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2.脑机充电盒：充电盒充电方式:Type-C，充电盒尺寸≧:54.5*54.5*33.7mm，额定容量:500mAh，充电盒额定输入:5V/2A，充电盒充电时长:60分钟以上。  三、软件功能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登陆模块：系统含管理员登陆和用户登陆。管理员由10大模块组成，分别是：首页、静息监测、心理评估、冥想训练、音乐训练、用户管理、档案中心、训练管理、设置和退出；用户由8大模块组成，分别是:首页、静息监测、心理评估、冥想训练、音乐训练、档案中心、设置和退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2、系统为c/s架构，首页含静息监测、心理评估、冥想训练、音乐训练和档案分析五种快捷方式展现。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3、静息监测模块1）可实时监测8个脑电生理指标和5个心理指标。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2）8个脑电波：delta波、theta波、low alpha波、high alpha波、low beta波、high beta波、low gamma波、high gamma波，每秒更新2次，以柱状图形式显示。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3）5个心理指标：专注度、放松度、疲劳度、压力指数和脑龄，每秒更新2次，以柱状图和折线图两种形式显示，专注度/放松度/疲劳度/压力指数0-100取值，脑龄-5~5取值，常模可分5个等级。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4）监测结束后，自动生成静息监测报告。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5）默认监测时长5分钟，可自定义设置监测时长。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6）可进行监测中8种事件设置，可修改事件名称，输入事件参数，报告中记录。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7）点击清除图表可清除历史数据。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8）监测中可打开/切换3种白噪音视频，支持全屏，开始、暂停、进度调节，帮助来访者放松。</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4、心理评估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（1）含青少年生活事件、生活事件、儿童多动症核查、焦虑自评、抑郁自评、匹兹堡睡眠质量、疲劳量表、长谷川痴呆量表、艾森克情绪稳定性和SCL-90等十个专业量表。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2）测评开始前，需链接脑电。测评过程中自动记录8个脑电生理指标和5个心理指标，每秒更新2次，以柱状图和数值形式显示。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3）测评提交后，自动生成测评报告。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5、冥想训练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1）系统内置放松减压、专注力冥想、情绪管理、催眠放松、自我成长等5个主题，25个真人语音引导的冥想训练内容。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2）管理端可自定义添加冥想训练资源，无限制内容扩展。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3）冥想训练中可实时监测8个脑电生理指标和5个心理指标，每秒更新2次，以柱状图和数值形式显示。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4）训练结束后，自动生成冥想训练报告。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6、音乐训练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1）系统内置25首专业的音乐训练内容，可通过音乐的潜意识效应进行音乐治疗。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5）管理端可自定义添加音乐训练资源，无限制内容扩展。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6）音乐训练中可实时监测8个脑电生理指标和5个心理指标，每秒更新2次，以柱状图和数值形式显示。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7）训练结束后，自动生成音乐训练报告。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7、用户管理：可新增、删除用户，用户录入需输入登录名称、姓名、性别、出生日期、民族、省份、地址、单位和手机号；可修改用户密码。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8、训练管理：静息监测视频/冥想训练视频/音乐训练音频，可通过管理端自由新增/删除，自定义更新资源内容；录入名称、文件和封面图。</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9、设置：可设置静息监测时长，可选范围00:01~59:59。</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10、档案中心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1）档案分为四类，静息监测、心理评估、冥想训练和音乐训练。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静息监测报告内容包含：测试时间、测试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心理评估报告包含：测试时间、测试时长、个人基本信息、心理测评分析（总分/所属类别/分析说明/指导建议/因子得分折线图）、脑机监测分析（8波段以直方图/饼图/折线图三种形式显示），专注度/放松度/疲劳度/压力指数/脑龄分析（平均值/最大值/最小值/标准差/差异系数/结果分析/指导意见，以饼图和折线图两种形式展示），13个指标折线图的横坐标均为题目，报告支持导出PDF文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冥想训练报告包含：训练时间、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音乐训练报告包含：训练时间、训练时长、个人基本信息、脑机监测分析（8波段以直方图/饼图/折线图三种形式显示），专注度/放松度/疲劳度/压力指数/脑龄分析（平均值/最大值/最小值/标准差/差异系数/结果分析/指导意见，以饼图和折线图两种形式展示），报告支持导出PDF文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心理自助检测与解压调节系统</w:t>
            </w:r>
            <w:r>
              <w:rPr>
                <w:rFonts w:hint="eastAsia" w:ascii="宋体" w:hAnsi="宋体" w:eastAsia="宋体" w:cs="宋体"/>
                <w:color w:val="000000"/>
                <w:sz w:val="18"/>
                <w:szCs w:val="18"/>
                <w14:ligatures w14:val="none"/>
              </w:rPr>
              <w:br/>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系统以“教育为本、预防为主”为核心设计理念，深度融合东方美学精髓与数字技术，打造兼具视觉艺术感与实用价值的一体化心理健康平台。国风雅致的界面设计，让用户在使用中感受传统美学与现代科技的碰撞，营造舒适疗愈的心理服务氛围。</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系统涵盖心理测评、心理学库、冥想空间等十三大核心模块，配套学生、家长、教师三大专属讲堂，资源覆盖150+项测评量表、170+项心理学知识库、68+项心语心声内容及多项趣味心理能力训练，支持音频、视频、图文等多格式上传，管理员可无限扩充二级栏目与资源，满足全场景心理健康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核心优势显著：搭载先进算法实现精准心理测评，自动生成个性化自助方案；支持远程管理、权限分级管控与用户信息快速检索导出，运行于局域网/互联网，操作便捷高效；内置24小时心理自助热线，构建“科普-测评-调节-咨询-危机干预”完整服务链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适用于中小学、高校及各类心理健康服务机构，完美适配日常心理科普、个体自助检测、情绪减压调节、家校共育指导、危机紧急干预等场景，助力普及心理健康知识，提升用户自我调节能力，为学校心理教育工作减负增效，构建全方位、多层次的心理健康支持体系。</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一、硬件系统：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1、显示端≥43英寸；分辨率：1920*1080；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2、表面处理：钢制机壳，金属烤漆；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3、工作温度：-20℃～50℃，湿度：10%～80%；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4、工作寿命：3000万次以上（单点击），重量：40KG～50KG；</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5、电压：AC220V(+/-10%)50HZ((+/-10%))，最大功耗：220W；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6、音响：防磁立体声音响系统；软件系统：采用ASP.NET3.5架构，支持远程管理。多媒体：集音频、视频、图像管理于一体。</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二、软件系统：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1、心理自助检测与解压调节系统整体包含十三大功能模块，各模块下支持管理员无限添加二级栏目，文章无限扩充，支持视频，文章、图片、音频等格式上传。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系统支持管理员新增、修改、删除和导出用户信息，支持通过角色名称、权限字符、状态、创建时间进行快速检索。支持管理员模块菜单栏管理，菜单名称包含设备管理、用户管理、初始内容、设备内容、系统管理、系统监控及系统工具等模块新增、修改、删除权限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3、心理自助检测与解压调节系统十三个功能模块包含：心理测评，心理学库，心理解惑，自助方案，冥想空间，咨询留言，心语心声，咨询中心，心理能力训练，学生讲堂，家长讲堂，教师讲堂，自助热线。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心理测评：采用先进的算法和心理学原理，为用户提供全面的心理状态评估，帮助用户了解自己的心理健康状况。测评量表包含心理健康、人际交往、个性人格、家庭情感、学习能力、自我成长等内容≧150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5、心理学库：汇集丰富的心理学理论、案例研究和最新研究成果，为专业人士和普通用户提供深度学习资源。模块内容包含心理专家、心理词汇、心理效应、心理实验、心理科普、心理图库等内容≧170余项。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心理解惑：通过智能分析用户的问题，提供专业的心理学解答和建议，帮助用户解决心理困惑。模块内容包含直面学习、环境适应、同伴交往、亲子关系、情绪管理、青春情感、自我认识、升学规划、心理咨询等模块，资源内容≧110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7、自助方案：根据用户的心理测评结果，提供个性化的自助改善方案，包括行为建议和心理练习。模块内容包含人际关系、习惯培养、学习管理、情绪管理、接纳自我、重塑自我等，资源内容≧40余项。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8、冥想空间：提供多种冥想引导音频和视觉辅助，帮助用户放松身心，提升自我意识。模块内容包含放松减压、提升专注、情绪管理、催眠减压、自我成长、白噪声等，资源内容≧30余项。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9、咨询留言：用户可以在此板块留下自己的心理疑问或分享心得，与其他用户或专家进行互动交流，模块内容包含心理预约、心理留言、社会咨询师等。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10、心语心声：提供一个安全的环境，让用户自由表达自己的情感和想法，同时得到他人的倾听和支持。模块内容包含情绪释放、能力提升、心理电台、养心怡神、自然环境、振奋激励等，资源内容≧68余项。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11、咨询中心：由资深心理咨询师提供一对一咨询服务，帮助用户解决深层次的心理问题，根据学校心理健康中心建设情况定制中心案例及中心新闻。</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心理能力训练：通过一系列科学的训练方法，提升用户的情绪管理、压力应对等心理能力。模块内容包含记忆空间、专注提升、反应强化、逻辑思维等，训练项目包含彩球闯迷宫、六角拼拼乐、排序大师、数字绘画、跳跃篮球、数字降落、数独、拼图滚球等内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13、学生讲堂：专为青少年设计，提供心理健康知识讲座和互动活动，促进青少年的心理健康和成长。模块内容包含青春不迷茫、网络防沉迷、校园防欺凌等，资源内容≧15余项。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14、家长讲堂：为家长提供如何理解和支持孩子心理健康的指导和建议，加强家庭的心理支持系统。模块内容包含父母的主体责任、依法带好娃、青春期亲子教育、习惯养成方法等，资源内容≧50余项。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15、教师讲堂：帮助教师了解学生心理发展特点，提供有效的心理教育策略和应对方法。模块内容包含家庭教育政策解读、家校共育方法指导、家校共育专题研究、教师心理健康等，资源内容≧50余项。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16、自助热线：提供24小时紧急心理支持服务，为处于心理危机中的用户提供即时帮助和支持，热线内容包含全国心理危机干预热线名单及所在区域心理援助热线。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17、心理自助系统的后台管理主要是对展示所显示资料进行编辑的功能。运行于局域网或互联网,支持远程管理，支持一键关机。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18、多媒体：集音频、视频、图像管理于一体，对教学影像、心理影片、减压音乐、心理文章和图片提供支持。</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办公桌</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长138-143*宽68-73*高72-77cm,带小文件柜，E1级聚合板桌面，钢架支腿。</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张</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办公椅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实木材质，坐高43-48cm，坐垫麻布面料。</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把</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办公室沙发茶几</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双人沙发一只，单人沙发一只，实木椅架，麻布面料长113-117*宽62-67*高73-78cm（双人），长64-69*宽62-67*高73-78cm（单人）茶几一只长100-105*宽50-55*高43-48cm。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沙发茶几</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单人沙发3只，木制工艺，麻布面料，美观耐用，长宽高62-67*61-66*70-75cm、坐高36-41cm、扶手到底地面48-53cm。茶几一只：环保材质，原木色圆形桌面，直径60-70cm，厚度2-2.5cm，高度约40-45cm。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沙盘室沙发茶几</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单人沙发2只，木制工艺，麻布面料，美观耐用，长宽高62-67*61-66*70-75cm、坐高36-41cm、扶手到底地面48-53cm。茶几一只：环保材质，原木色圆形桌面，直径60-70cm，厚度2-2.5cm，高度约40-45cm。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沙盘室方凳</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实木支腿，麻布面料，可叠放，长宽高30-35*30-35*43-48cm。</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各</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测评</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桌椅</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桌子长80*宽60*高70cm，E1级聚合板桌面，木质或钢管桌腿，座椅为实木材质，坐高约45cm，坐垫麻布面料。</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把</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宣泄室挂图</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40*60cm,PVC包边。</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幅</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挂图</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60*90cmPVC包边。</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幅</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便捷</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音响</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12寸音箱，带两个无线话筒，可插TF卡或U盘。</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对</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坐垫</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布艺，内含高支棉，45*45CM,用于开展团体辅导使用。</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房间指示牌</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亚克力材质+PVC材质，350*150mm左右。</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各</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便携式录音笔</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容量：16G；录音格式：WAV/MP3；录音时间：开降噪约184小时，不开降噪约500小时（满电状态下）；显示屏：点阵数码屏48*64；麦克风：双麦克风；扬声器：内置扬声器；传输接口：Micro USB 2.0；电池：内置3.7V锂离子电池。</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石英钟</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静音，圆形钟面，直径12吋。</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各</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期刊架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产品尺寸：≥63*35*126（cm）;杂志架挂网*3，底部储物区*1；360°万向轮L型支架。</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铁皮档案柜</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产品尺寸：≥390mm*850mm*180mm厚1.3mm；加厚冷轧钢板一体成型；内置2块可调节层板，上下柜门各配独立锁具，无抽屉设计。</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教师办公室洗手池</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洗手池盆柜组合</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1.整体尺寸：台面总长71cm，深度48cm，落地柜体高45cm；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2.镜柜：宽65cm，高68cm，半封设计+外置开放格，自带毛巾杆。</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沙盘室洗手池台盆</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一体陶瓷洗脸盆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整体尺寸：长61cm*宽47cm*高40cm（手工测量±1cm误差）；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盆体尺寸：内盆长43cm、宽29cm、深度12cm，款式：60CM单柜体（不含浴室镜），悬空壁挂式。</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音乐放松室洗手池台盆</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一体陶瓷洗脸盆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整体尺寸：长61cm*宽47cm*高40cm（手工测量±1cm误差）；盆体尺寸：内盆长43cm*宽29cm*深度12cm；款式：60CM单柜体（不含浴室镜），悬空壁挂式。</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书籍</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适用年龄：6–12岁（小学阶段）；阅读方式：亲子共读/自主阅读内容主题：情绪管理、自信自尊、社交霸凌、学习心理、自我认同、亲子沟通；开本：16开/32开；装帧：平装/精装 语言难度：小学1–6年级；图文：漫画/插画/故事。</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本</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阅读区实木书架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一、尺寸</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1.组合总长：200cm（左柜100cm+右柜100cm）；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2.统一进深：40cm；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3.离地底部间隙：10cm。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二、左侧多功能矮柜参数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整体高度：91cm；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储物层净高：23.5cm。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分区设计：三层开放式储物格，可放置绘本、积木、收纳盒、玩具小车等小件物品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三、右侧房屋造型高柜参数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柜体总高：160cm，下层储物区高度：81cm；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屋顶装饰层高：57cm，内部层板纵深：39.5cm分区设计：顶部房屋展示区+多格分层绘本区，适合分类收纳书籍、摆件、地球仪。</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四、外观材质与配色</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1.配色方案：原木色+韵木双拼色调，温润木纹；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2.板材：环保实木颗粒/多层实木板（儿童专用低醛板材），边角圆角工艺，防磕碰；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3.结构：分体组合式设计，可分开摆放，也可拼接成整体长柜。</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阅读区儿童沙发</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尺寸：30*40*35cm，可随意挪动，可选配色，亲肤短毛绒面料，柔软不掉毛，内芯：高弹PP棉填充。</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拼接爬行垫（阅读区）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泡沫地垫pe材质，地垫尺寸：60*60cm厚度2cm(误差±0.2cm）厚度。</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44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个</w:t>
            </w:r>
            <w:r/>
          </w:p>
        </w:tc>
      </w:tr>
      <w:tr>
        <w:trPr>
          <w:jc w:val="center"/>
          <w:trHeight w:val="600"/>
        </w:trPr>
        <w:tc>
          <w:tcPr>
            <w:gridSpan w:val="3"/>
            <w:tcBorders>
              <w:top w:val="single" w:color="auto" w:sz="4" w:space="0"/>
              <w:left w:val="single" w:color="auto" w:sz="4" w:space="0"/>
              <w:bottom w:val="single" w:color="auto" w:sz="4" w:space="0"/>
              <w:right w:val="single" w:color="000000" w:sz="4" w:space="0"/>
            </w:tcBorders>
            <w:tcW w:w="82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四、AI智慧教室</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ind w:right="220"/>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升降智能讲台</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 钢木结构,采用冷轧钢板桌体,钢板厚度≥1.0mm；讲桌采用双层木质桌面，上下层桌体木板厚度≥18mm。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2.升降立柱最大承重为≥120kg，讲桌具备垂直平面水平位置≥110N推力位移仍不超过5mm的移动。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3.讲桌尺寸≥1217mm*670mm*884mm，讲台桌面支持升降功能，水平桌面支持电动升降功能，1080mm≥水平桌面距地高度≥780mm。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底部机柜尺寸≥1105mm*545mm*520mm，机柜容量≥10U,可适装标准19英寸系列网络、通讯类产品，机柜内部带有标准机架和标准电脑主机空间，主机柜门带有磁吸式小门，无需打开柜门即可开关电脑。机柜门采用大面积散热孔设计，易于柜内设备的通风散热，避免设备损坏。前后门都可以打开，方便设备安装及维护，前后门只需要一把钥匙管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讲桌具有升降控制器，至少具备水平桌面距地高度LED数字显示、上升按键、下降按键；还具有一键调节水平桌面到出厂默认适合老师坐姿的高度和一键调节水平桌面到出厂默认适合老师站姿的高度，且均为独立按键，不与任何其他功能键复用，出厂即可使用，无需任何现场部署设置。</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6.升降电机支持过流过压保护、遇阻反弹保护。</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7.讲台正面支持学校进行LOGO定制。</w:t>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智能讲台反馈屏</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1.屏体的屏幕采用≥23.8英寸电容触摸屏且采用防眩光钢化玻璃面板，厚度≥2mm，支持≥10点触控，支持屏幕手动角度调节，可实现与桌面形成20°至80°角度调节。</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2.屏体侧面具有物理实体快捷按键≥6个，按键功能包括对屏幕一键开/关屏幕、对匹配的多媒体设备进行一键熄屏以及一键音量加、一键音量减。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3.接口：HDMI IN≥2个，HDMI OUT≥1个，Type-C≥1个，USB≥4个，RJ45≥1个；AUDIO OUT≥1个，RS232≥1个，220V国标五插电源接口≥1个（支持对外供电）。</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4.屏体侧边内置NFC模块；讲台屏至少支持NFC刷卡、二维码2种方式实现设备使用前的用户身份认证。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5.屏幕可调出中控菜单界面，支持一键上课及下课两种场景控制，也可以对连接的设备单独控制开关机。</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智能设备融合主机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1.机身高度不超过1U。</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2.HDMI视频输入接口≥4个，HDMI输出接口≥4个，支持HDMI矩阵功能，HDMI输入输出分辨率均不低于4K@30Hz。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3.HDMI支持音视频分离能力，支持HDMI信号内的音频，自动分离到音频模块，方便连接外置功放音箱设备。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4.具备3.5mm音频输入口≥2个，3.5mm音频输出接口≥2个。</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5.支持音频输入和HDMI音频混音后从音频输出口输出，支持在本地及远程对输出总音量进行调节。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6.具备1路幕布升降控制电源，可直接控制幕布升降，并采用防脱落电源插口。</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支持≥2路220V国标受控电源，每路电源具备时序供电、断电管理。可分别设置受控电源接口的供电、断电顺序及延迟时间，实现投影机、计算机等设备系统正常关机后才切断设备电源，避免强制断电对设备造成损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8.具备RS232接口≥6个，具备RS485接口≥2个；每个接口均独立逻辑可编程，支持延时发码、组合串口控制指令下发，支持波特率、校验位自定义。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9.支持仅通过1路POE网络接口，实现主机与面板的通讯与供电。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10.主机正面面板具备≥4颗指示灯，可实时查看主机的状态，包括：网络、串口通讯、时序电源，总电源；≥1路type-c接口，可实现通过电脑对中控主机的快捷调试。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11.支持用户在后台端通过局域网络在线配置中控各控制接口上的控制码发码指令。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12.采用超静音无风扇。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13.麦克风输入接口≥1路，支持幻象供电。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14.12V/5V直流供电输出≥1路，输入输出IO接口≥1路。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内置千兆交换机，接口数量≥5路；支持VLAN划分,支持VLANID设置，支持trunk模式设置。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智能设备融合终端</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1.采用10.1英寸电容显示屏，玻璃与屏体采用全贴合工艺，支持≥10点触控，屏幕分辨率≥1920*1200。</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2.整机表面覆盖钢化玻璃，硬度≥9H,具备防眩光效果。</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3.整机CPU≥4核，最高主频≥1.8G,Linux系统，系统运行内存≥2GB,存储容量≥32GB。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4.内置IC卡刷卡器，支持14443协议Aand B,FeliCaTM三类标准。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5.内置高灵敏度全向麦克风，拾音半径不小于1米。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6.内置双喇叭，功率≥1W*2。</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7.内置摄像头，摄像头分辨率≥1600*1200。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8.整机接口：RS232≥2,DC2.0≥1,Type-C≥1,RJ45(带POE功能)≥1。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9.支持≥2种供电方式，支持适配器供电或中控主机POE接口供电。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10.情景模式可配置需要开启或关闭与中控系统连接的设备，可配置≥4种上课情景。模式；支持≥12个自定义功能按钮设置，自定义配置已连接的设备开关等操控功能。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11.支持≥3种身份鉴权方式，包括刷卡鉴权、人脸识别鉴权、扫码鉴权。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12.支持与小组互动软件系统进行连接，实现小组互动功能管控，包括投屏、广播和分享等功能。</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13.支持控制录播设备，包括显示和切换≥5个机位的画面， 一键启停录制、启停直播。</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14.支持无触控操作后自动息屏，支持配置1至120秒的自动息屏时间。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15.支持脱网运行，离线状态不影响本地教学及控制。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16.系统支持IP对讲功能，通过终端可以呼叫后台人员，实现IP语音电话功能。</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学生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平板</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1.显示屏尺寸：≥10.95英寸，屏幕分辨率：≥1920×1200。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2.采用8核CPU，主频：≥2.0GHz。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3.内存容量：≥6GB，存储容量：≥128GB。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4.电池容量：≥8000mAh（典型值）。</w:t>
            </w:r>
            <w:r/>
          </w:p>
          <w:p>
            <w:pPr>
              <w:jc w:val="left"/>
              <w:spacing w:after="0" w:line="240" w:lineRule="auto"/>
              <w:widowControl/>
              <w:rPr>
                <w:rFonts w:hint="eastAsia" w:ascii="宋体" w:hAnsi="宋体" w:eastAsia="宋体" w:cs="宋体"/>
                <w:b/>
                <w:bCs/>
                <w:color w:val="000000"/>
                <w:sz w:val="18"/>
                <w:szCs w:val="18"/>
                <w14:ligatures w14:val="none"/>
              </w:rPr>
            </w:pPr>
            <w:r>
              <w:rPr>
                <w:rFonts w:hint="default" w:ascii="宋体" w:hAnsi="宋体" w:eastAsia="宋体" w:cs="宋体"/>
                <w:color w:val="000000"/>
                <w:sz w:val="18"/>
                <w:szCs w:val="18"/>
                <w14:ligatures w14:val="none"/>
              </w:rPr>
              <w:t xml:space="preserve">▲5.摄像头：双摄像头，前置≥800万像素，后置≥800万像素，后摄像支持文档矫正增强功能，可以倾斜拍摄文档，并进行自动矫正和文字效果显示增强。</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6.接口支持：扬声器≥2个；麦克风≥2个；USB TYPE C接口≥1个；支持耳机功能；Micro SD卡接口≥1个（最大支持512GB）。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7.WiFi：支持802.11a/b/g/n/ac（2.4G&amp;5.8GHz)；蓝牙：支持。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8.操作系统：Android 10.0或以上版本定制化操作系统，使用定制化桌面，避免与学习无关信息的干扰。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9.屏幕支持防眩光功能；通过类纸显示标准符合性证书；蓝光危害级别为RG0无危害。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10.护眼功能：支持距离感应功能，用户与平板距离低于设定距离时，自动弹出护眼警示；支持感光保护，自动检测环境光亮度，自动调整匹配的屏幕亮度。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11.支持IP43防尘防水。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12.安全设计：采用V0防火阻燃材料；支持充电保护功能。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ee0000"/>
                <w:sz w:val="18"/>
                <w:szCs w:val="18"/>
                <w14:ligatures w14:val="none"/>
              </w:rPr>
              <w:t xml:space="preserve">13.护眼</w:t>
            </w:r>
            <w:r>
              <w:rPr>
                <w:rFonts w:hint="eastAsia" w:ascii="宋体" w:hAnsi="宋体" w:eastAsia="宋体" w:cs="宋体"/>
                <w:color w:val="000000"/>
                <w:sz w:val="18"/>
                <w:szCs w:val="18"/>
                <w14:ligatures w14:val="none"/>
              </w:rPr>
              <w:t xml:space="preserve">功能：具有智能用眼感应，当学生与平板距离低于设定距离时，自动弹出护眼警示，可开启自动提醒功能，开启后连续使用设备30分钟时自动弹出护眼警示。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14.姿势纠正检测：可开启抖动提醒，开启后在抖动状态下使用时自动弹出护眼警示。</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50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平板</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1.显示屏尺寸：≥10.95英寸，屏幕分辨率：≥1920×1200。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2.采用8核CPU，主频：≥2.0GHz。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3.内存容量：≥6GB；存储容量：≥128GB；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4.电池容量：≥8000mAh（典型值）。</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5.摄像头：双摄像头，前置≥800万像素，后置≥800万像素，后摄像支持文档矫正增强功能，可以倾斜拍摄文档，并进行自动矫正和文字效果显示增强。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6.接口支持：扬声器≥2个；麦克风≥2个；USB TYPE C接口≥1个；支持耳机功能；Micro SD卡接口≥1个（最大支持512GB）。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7.WiFi：支持802.11a/b/g/n/ac（2.4G&amp;5.8GHz)；蓝牙：支持。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8.操作系统：Android 10.0或以上版本定制化操作系统。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9.屏幕支持防眩光功能；通过类纸显示标准符合性证书；蓝光危害级别为RG0无危害。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10.护眼功能：支持距离感应功能，用户与平板距离低于设定距离时，自动弹出护眼警示；支持感光保护，自动检测环境光亮度，自动调整匹配的屏幕亮度。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11.支持IP43防尘防水。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12.安全设计：采用V0防火阻燃材料；支持充电保护功能。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13.护眼功能：具有智能用眼感应，当学生与平板距离低于设定距离时，自动弹出护眼警示。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14.姿势纠正检测：可开启抖动提醒，开启后在抖动状态下使用时自动弹出护眼警示。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15.护眼定时设置：可开启自动提醒功能，开启后连续使用设备30分钟时自动弹出护眼警示。</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互动</w:t>
            </w:r>
            <w:r>
              <w:rPr>
                <w:rFonts w:hint="eastAsia" w:ascii="宋体" w:hAnsi="宋体" w:eastAsia="宋体" w:cs="宋体"/>
                <w:color w:val="ee0000"/>
                <w:sz w:val="18"/>
                <w:szCs w:val="18"/>
                <w14:ligatures w14:val="none"/>
              </w:rPr>
              <w:t xml:space="preserve">教学</w:t>
            </w:r>
            <w:r>
              <w:rPr>
                <w:rFonts w:hint="eastAsia" w:ascii="宋体" w:hAnsi="宋体" w:eastAsia="宋体" w:cs="宋体"/>
                <w:color w:val="000000"/>
                <w:sz w:val="18"/>
                <w:szCs w:val="18"/>
                <w14:ligatures w14:val="none"/>
              </w:rPr>
              <w:t xml:space="preserve">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1.老师可加入多个班级进行授课，并可在授课过程中无缝切换班级。支持老师查看当前授课班级的小组、学生在线名单及详情，支持在界面中直观显示在线、离线学生名单。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老师可将交互式课件资料下发给学生，并支持学生完成点击、拖拽、批注等操作。老师可通过屏幕截图或实时画面了解学生作答情况及课堂笔记。支持分组下发交互式课件，能够针对不同学生组别一键推送课件不同页码的内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3.老师可下发游戏化互动题目，包括分类、填空、配对、双人竞赛等类型，学生通过终端作答后，老师端可收集全班学生每一个选项的答题正确率及错误学生名单。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4.听课模式下学生可将作业、试卷等用现场拍照或调用图库方式即时上传老师授课端。老师授课端可选择随机或指定学生照片进行展示，并支持对每张图片进行标注等操作。</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5.支持自习模式、听课模式便捷切换；自习模式下，学生可自主查阅资料；听课模式下，老师可管控学生设备，并支持在管控状态下进行互动。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6.支持无走动巡堂，可采集≥4个学生的屏幕，采集过程学生屏幕自动管控，支持更换、增删学生屏幕的操作，帮助老师快速总览学生学习情况。</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支持老师发起课堂即时问答，支持预设题目数量、答题时间，并推送相应题与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8.支持课堂选人回答功能，支持学生抢答、老师随机抽选等方式。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9.支持学生通过终端发表个人观点，可输入≥6条观点。老师端可自动生成观点文字排布图，并支持筛选词频展示主流观点。支持按照观点相同人数进行排序展示。支持随机抽选单个学生展示其观点。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10.支持老师调用精品题库进行随堂小测，可预设答题时间，并在小测结束后自动批改客观题；全程提供作答进度、正确率等数据，供老师掌控测验进度及测验重难点。</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11.支持老师调用题库资源自定义生成答题竞赛小游戏。答题结果支持自动批改，即时展现学生答题正确率和答题时间，生成学生积分榜。</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12.所有答题互动自动生成报告单，老师可通过移动二维码或本地下载等方式获取本节课程内所有答题互动记录。记录包括：互动次数、未参与学生、答题类型、各题各选项的选择名单、各题目正确率、生生互动评分详情等。</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50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教学白板软件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1.支持分组管理云课件，用户可自定义分组名称，并根据需要将课件分类管理。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2.支持点对点分享云课件，用户可在软件中直接将课件发送给其它用户，同时也可以在软件中直接接收并打开其它用户分享的课件。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3.支持多人在选择书写工具的状态下同时书写和擦除，互不影响，方便不同学生在屏幕上同时书写。</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4.支持创建互动分类游戏，系统需提供不少于10种游戏模板，直接选择并输入相应内容即可轻松生成互动分类游戏，提升课堂趣味性。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提供思维导图、鱼骨图及组织结构图编辑功能，可轻松增删或拖拽编辑内容节点，并支持在节点上插入图片、音频、视频、网页链接、课件页面链接。支持思维导图逐级、逐个节点展开，并可任意缩放，满足不同演示需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6.支持任意对象自定义路径动画设置，可绘制任意的移动轨迹并让对象沿着轨迹路径进行移动，可单独设置该动画通过翻页或单击对象本身进行触发。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高性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能AP</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1.支持802.11a/b/g/n/ac/ax标准，整机6条空间流；支持2.4G+5G+5G三射频。2.4GHz 单射频最大接入速率≥574Mbps，5GHz单射频最大接入速率≥1200Mbps，整机最大接入速率≥4176Mbps。</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2、10/100/1000M BaseT以太网口≥2个；USB接口≥1个。</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3、内置智能天线阵,具备动态波束功能。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4、单射频接入人数≥128，最大接入终端数量≥384个。</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5、支持IP防护等级≥IP41。</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6、支持虚拟AP技术，单频支持≥8个SSID，整机≥24个SSID，支持SSID隐藏，支持英文、中文、中英文混合SSID。</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7、室内型双频AP，胖瘦一体化，胖瘦可相互转换，出厂缺省胖AP模式。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8、支持网关路由模式，支持PPPOE拨号、静态IP，DHCP获取三种上网方式。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支持基于MAC地址的接入控制，包括黑名单和白名单；支持防DDoS攻击能力，防止系统受到流量攻击和表项资源攻击，如ICMPFLOODING、ARP FLOODING、UDP FLOODING攻击等。</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充电柜</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1.平板电脑支持尺寸：10英寸以上。</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2.平板电脑方式方向：横放。</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3.平板充电数量：40-60位。</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4.充电接口：220V插座。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5.柜体内部设计方便走线。。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6.柜体采用全封闭式防盗结构，安全存储。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7.柜门采用大转角设计，方便多位同学同时取放平板。</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8.采用可移动式设计，具备万向轮，可移动。</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AI智能录播主机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主机配备≥15英寸触控式屏幕，显示分辨率1920×1080，一体式，非外接。整体采用嵌入式设计、非PC与服务器工作站等架构，以保障系统运行稳定、安全；并同时具备录制、直播、导播、自动跟踪、音频编码、视频编码、音频处理、视频处理、存储、点播、互动、视频会议、行为分析、物联控制、远程运维参数设置等能力。</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2.主机采用ARM架构处理器，具备三组CPU架构，主CPU核心数≥8，内置GPU与NPU协处理器，主频≥2.4GHz；次CPU核心数≥8，主频≥1.6GHz；音频辅助CPU核心数≥4核。</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3.接口：RI45≥5个，其中POE接口</w:t>
            </w:r>
            <w:r>
              <w:rPr>
                <w:rFonts w:hint="eastAsia" w:ascii="宋体" w:hAnsi="宋体" w:eastAsia="宋体" w:cs="宋体"/>
                <w:color w:val="000000"/>
                <w:sz w:val="18"/>
                <w:szCs w:val="18"/>
                <w14:ligatures w14:val="none"/>
              </w:rPr>
              <w:t xml:space="preserve">≥3，HDMI 输入≥1，HDMI 输出≥2路，双向UVC输入输出≥1路，且输入输出分辨率均支持4K@30fps、1080P@30fps。主机支持≥1数字音频DMIC输入，≥1路3.5mm MIC IN输入，≥1路3.5mm LINE IN输入，≥2路3.5mm LINE OUT输出，支持回声抑制、增益、噪声抑制与音频均衡功能。支持≥4个USB接口，其中USB-A接口≥3个，Type-C接口≥1个；通信接口端子数量≥5，其中RS232接口数量≥3，RS485接口≥1，RS232/RS485 双模式接口≥1。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4.主机内置独立算力卡，算力≥18TOPs（INT8）。整机所有内置等效算力总和≥24TOPs（INT8）。设备主板上配置M.2算力扩展卡槽，支持额外算力扩展。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5.系统存储≥1T，保障设备的正常运行与录制视频文件的本地存储。支持内置原生SATA数据接口≥2个，方便扩展大容量硬盘设备做本地存储。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6.支持通过HDMI接口及Type-C接口，实现≥3路不同的视频画面输出。支持输出画面自定义设置，具有≥8种输出画面可自定义选择。</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7.双向UVC：UVC接口可自定义设置为画面输出模式和画面采集模式，切换到采集模式后，可将USB摄像头绑定到画面通道，兼容主流视频会议软件，具备通过此接口输入音视频信号作为一路音视频进行主机录制。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8.支持UVA协议，可通过Type-c接口接入标准USB声卡，实现双向音频通信。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9.支持多路4K录制功能，支持7路4K@30fps录制。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10.支持设置≥5路RTMP直播推流，直播流可选择不同视频源，可选画面≥7个，推流单路可达 1080p，推送的直播流可选择是否带有声音。支持不少于4路RTMP同步推流直播，并要求自定义选择码流信号源进行推流，实现多流直播。</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课堂AI分析：录播主机支持AI人工智能课堂行为分析能力，无需添加任何设备即可实现基于课堂上师生的行为、表情、语音等相关数据进行分析；开启后可进行课堂行为、表情、语音等相关数据分析，在平台中生成报告。报告中可查看课堂实录、课堂热力图、AI建议分析；教学行为分析及总结；问答模式、提问类型、学生应答、教师理答、问答实录分析及总结；弗兰德斯互动分析、S-T/Rt-Ch教学分析及总结、高光时刻、教研指数、AI评课、教学一致性评价。</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学生AI分析：录播主机支持AI人工智能学生行为分析能力，无需添加任何设备即可实现基于课堂上学生的行为、语音等相关数据进行分析；开启后可进行课堂机会公平分析，如举手被忽视、课堂少互动、积极互动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13.网络检测：支持录播网络状态检测，识别网络状态异常。检测内容包含：IP地址有效性、网关连通性、公网连通性、内网带宽测试、上下行网络速度和直播/互动/IOT服务连通性。</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AI流媒体控制处理系统 </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1.内置流媒体处理软件以实现各个模块的功能应用。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2.录播主机在不接入互联网的情况下也可以进行视频录制，且支持4K、1080P等多种高清分辨率录制，用MP4视频格式封装自动归档至录播内置的硬盘当中存储。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3.支持互动清晰度自适应，在互动时根据网络情况选择最优清晰度。要求录播主机在双向互动过程中，可实现1080P@30FPS画质，并支持基于网络自适应技术实现在不同网络状况下的画面质量自适应；</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设置主机互动模式，可选择开启或关闭互动双流设置，开启后可选择第二路流的画面，支持≥6个画面选择。画面设置支持开启或关闭直播推流CDN设置，开启后可选择推流画面，支持≥7个画面选择。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5.支持互动过程中，进行性能监控，可监控网络丢包率、上行带宽、下行带宽、最大虚拟内存、当前虚拟内存、当前物理内存、当前句柄数量、当前进程数量、当前CPU使用率。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6.支持互动过程中，进行推流质量查看。可查看视频分辨率、视频质量、延时、丢包率、视频帧率、视频码率、音频帧率、音频码率。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7.支持≥3种跟踪模式设置（跟踪、双镜、混合）。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8.支持设置跟踪屏蔽区域跟踪功能不受屏蔽区域中的目标影响。支持老师特写和全景画面切换跟踪，支持学生起立回答问题特写跟踪，支持电脑课件信号自动检测跟踪。</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9.支持合成3840×2160的PGM画面，包含导播画面、教师全景画面、教师特写画面、学生全景画面、学生特写画面5个画面可调。</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AI导播管理控制系统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1.支持通过浏览器及电脑应用程序，对主机进行画面切换控制。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2.支持通过浏览器，设置≥3种导播模式；设置主机网络ip；设置主机存储空间覆盖模式；查看主机系统、设备、软件等信息。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录制模式支持电影模式（导播画面）、资源模式两种，能同时支持1路电影模式加6路资源录制，实时录制合成画面、教师全景、教师特写、学生全景、学生特写、板书画面、电脑画面。可通过勾选录制对应画面，实现资源模式录制。录制的所有视频均有声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4.支持≥9种多画面合成布局选择，可自定义选择布局中的画面，选择后自动更新布局中画面的名称。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5.支持≥16种转场特效的选择。选择对应特效后，切换画面将应用该特效。特效过渡时间0.5～1.5秒可调。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通过手机扫码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7.支持多种画面模式，支持单画面、2种画中画、左右等分、三画面、四画面等6种画面合成模式，支持自动导播、手动导播。</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8.支持本地导播、远程导播，本地导播可通过外接鼠标实现本地导播控制；通过带有触控的显示设备实现对互动录播电脑主机的导播控制；远程导播可通过网络配合软件系统对主机进行远程导播控制。</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双目4K教师摄像机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1.采用全景特写双镜头，全景镜头水平视场角≥40°，特写镜头水平视场角≥20°，摄像机采用一体化集成设计，支持4K超高清，可提供3840×2160图像分辨率，同时兼容1920×1080和1280×720分辨率。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2.内置图像识别跟踪算法，搭配隐藏式云台，保证清晰度的同时，也减小对课堂的干扰。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3.传感器尺寸CMOS≥1/2.8英寸。</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4.全景图像传感器有效像素≥400万，特写图像传感器有效像素≥800万。</w:t>
            </w:r>
            <w:r/>
          </w:p>
          <w:p>
            <w:pPr>
              <w:jc w:val="left"/>
              <w:spacing w:after="0" w:line="240" w:lineRule="auto"/>
              <w:widowControl/>
              <w:rPr>
                <w:rFonts w:hint="eastAsia" w:ascii="宋体" w:hAnsi="宋体" w:eastAsia="宋体" w:cs="宋体"/>
                <w:color w:val="000000"/>
                <w:sz w:val="18"/>
                <w:szCs w:val="18"/>
                <w14:ligatures w14:val="none"/>
              </w:rPr>
            </w:pPr>
            <w:r>
              <w:rPr>
                <w:rFonts w:hint="default" w:ascii="宋体" w:hAnsi="宋体" w:eastAsia="宋体" w:cs="宋体"/>
                <w:color w:val="000000"/>
                <w:sz w:val="18"/>
                <w:szCs w:val="18"/>
                <w14:ligatures w14:val="none"/>
              </w:rPr>
              <w:t xml:space="preserve">▲</w:t>
            </w:r>
            <w:r>
              <w:rPr>
                <w:rFonts w:hint="eastAsia" w:ascii="宋体" w:hAnsi="宋体" w:eastAsia="宋体" w:cs="宋体"/>
                <w:color w:val="000000"/>
                <w:sz w:val="18"/>
                <w:szCs w:val="18"/>
                <w14:ligatures w14:val="none"/>
              </w:rPr>
              <w:t xml:space="preserve">5.支持标准USB音视频信号输出，可以同时支持UVC和UAC协议，通过主机TypeC接口可以实现图像和声音同步输出，最大支持4K@30fps输出，兼容主流视频会议软件。</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教师摄像机图像处理系统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无需单独安装定位跟踪主机及其他任何辅助拍摄设备，即可实现跟踪定位控制功能。2.系统应采用智能图像识别算法，高清摄像机同时输出2路场景画面并分析计算，实现1台摄像机的2景位拍摄，通过导播跟踪系统，实现所有画面的自动导播切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a）当教师在讲台区域站立授课时，自动切换为教师特写，当教师在讲台区域进行走动时，自动切换到教师全景；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b）当教师切换多媒体授课时，自动切换为多媒体特写画面。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3.支持RTMP推流，推流地址可设置。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4.支持RTSP拉流，拉流地址可设置。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5.支持ONVIF协议，可预览ONVIF画面。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6.支持GB28181协议，可使用GB28181协议设置。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多目学生摄像机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1.采用一体化集成摄像机，支持4K超高清，可提供3840×2160图像分辨率，同时兼容1920×1080和1280×720分辨率。支持在3840×2160分辨率下输出画面帧率≥60fps。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2.内部集成高清定焦镜头数量≥4个，每个镜头具有独立CMOS传感器，传感器尺寸1/2.75英寸≥2个，1/3.06英寸≥2个。</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3.摄像头数量≥4个，其中至少两个摄像头像素值均≥5000万，另外至少两个摄像头像素值均≥1300万。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4.支持8*9米范围任一位置，同一时间拍摄人脸像素大于80*80。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5.支持10*15米距离任一位置，同一时间拍摄人脸像素大于50*50。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6.支持POE有线网络供电，只需要1路网线，即可实现供电、视频、音频、控制信号传输，支持同时输出特写和全景等多路画面。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7.内置4TopsAI算力。</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AI多目学生摄像机图像处理系统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1.整机具备四个摄像头，支持同时输出画面路数≥7路。画面包括全景主码流，全景辅码流，特写主码流，特写辅码流，超清AI全景流，2路超清AI长焦流。</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2.摄像机电子快门：1/25s~1/10000s。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3.摄像机采用逐行扫描模式。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4.支持自动、一键式、手动、色温多种白平衡模式。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5.支持2D和基于运动估计的3D降噪算法。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6.支持标准USB音视频信号输出，可以同时支持UVC和UAC协议，通过USB接口可以实现图像和声音同步输出，最大支持4K@30fps输出，兼容主流视频会议软件。</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阵列</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麦克风</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1.麦克风内置4个传感器单元，支持2个数字音频接口，支持数字音频传输。</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2.支持状态指示灯，指示灯显示蓝色表示阵列麦克风处于正常工作状态，指示灯显示红色表示阵列麦克风处于无法正常拾音的状态。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3.麦克风频率响应范围不低于20Hz~16KHz。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4.麦克风拾音半径8m。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5.麦克风信噪比≥65dB。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6.麦克风声压级132dBSPL，10%THD@1KHz。</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AI阵列麦克风音频处理系统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1.支持全频带全双工自适应回声消除算法。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2.支持全频自适应AI降噪技术。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3.支持自动增益控制。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4.支持智能混音，可智能选择最佳麦克风采集音频。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5.支持混响抑制算法，支持动态波束成形算法。</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音频处理器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1.主机采用高度集成一体化设计，集成音频信号处理模块、数字功放模块、交流转直流开关电源模块。</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2.主机采用数字功放芯片组，自带散热风扇。外壳采用全金属设计，机身高度≤1U，支持标准机架式安装，方便在讲桌及机柜内部安装部署。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3.音量调节旋钮采用内陷式防误触设计，防止用户误触调节音量大小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4.支持≥2路RJ45网口音频输入；支持≥6路凤凰端子差分输入，其中≥4路支持 48V幻象电源供电。支持≥2 路凤凰端子差分输出，支持≥2路凤凰端子功放输出。支持通过RJ45网口实现网络通信。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5.功率放大器的输出功率≥2*150W。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6.采样率≥48KHz。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7.频率响应范围为100Hz~20KHz。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8.信噪比≥100dB。</w:t>
            </w:r>
            <w:r/>
          </w:p>
          <w:p>
            <w:pPr>
              <w:jc w:val="left"/>
              <w:spacing w:after="0" w:line="240" w:lineRule="auto"/>
              <w:widowControl/>
              <w:rPr>
                <w:rFonts w:hint="eastAsia" w:ascii="宋体" w:hAnsi="宋体" w:eastAsia="宋体" w:cs="宋体"/>
                <w:color w:val="000000"/>
                <w:sz w:val="18"/>
                <w:szCs w:val="18"/>
                <w14:ligatures w14:val="none"/>
              </w:rPr>
            </w:pPr>
            <w:r>
              <w:rPr>
                <w:rFonts w:hint="default" w:ascii="宋体" w:hAnsi="宋体" w:eastAsia="宋体" w:cs="宋体"/>
                <w:color w:val="000000"/>
                <w:sz w:val="18"/>
                <w:szCs w:val="18"/>
                <w14:ligatures w14:val="none"/>
              </w:rPr>
              <w:t xml:space="preserve">▲9.支持低时延AI降噪技术，既可对教室内的空调、电风扇等稳态噪声进行抑制，也可对板书声、走路声、桌椅声等瞬态噪声进行抑制，不进行扩声输出，降噪幅度≥30dB。</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10.支持全频带全双工自适应回声消除算法，回声消除幅度≥90dB，回声消除长度≥1s。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11.支持自动增益控制，最大增益≥15dB。支持混响抑制算法，混响抑制≥18dB。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12.支持动态波束成形算法，可对讲台区域发声源进行精准跟踪，以保证讲台区域老师的拾扩清晰度与均匀度。</w:t>
            </w:r>
            <w:r/>
          </w:p>
          <w:p>
            <w:pPr>
              <w:jc w:val="left"/>
              <w:spacing w:after="0" w:line="240" w:lineRule="auto"/>
              <w:widowControl/>
              <w:rPr>
                <w:rFonts w:hint="eastAsia" w:ascii="宋体" w:hAnsi="宋体" w:eastAsia="宋体" w:cs="宋体"/>
                <w:color w:val="000000"/>
                <w:sz w:val="18"/>
                <w:szCs w:val="18"/>
                <w14:ligatures w14:val="none"/>
              </w:rPr>
            </w:pPr>
            <w:r>
              <w:rPr>
                <w:rFonts w:hint="default" w:ascii="宋体" w:hAnsi="宋体" w:eastAsia="宋体" w:cs="宋体"/>
                <w:color w:val="000000"/>
                <w:sz w:val="18"/>
                <w:szCs w:val="18"/>
                <w14:ligatures w14:val="none"/>
              </w:rPr>
              <w:t xml:space="preserve">13.支持虚拟音幕功能，在麦克风前方180°的讲台区域可以正常扩声，在麦克风后方180°的学生区域无法扩声，从而实现对学生区域嘈杂声的精准过滤。</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14.支持一键声场检测功能，可对教室混响时间、环境噪声、频率响应、谐波失真等声学参数进行检测。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15.支持鹅颈麦、无线麦与吊麦自动切换。当鹅颈麦、无线麦开启并有输入后，吊麦不扩声或降低音量，保证鹅颈麦、无线麦声音清晰；鹅颈麦、无线麦关闭或静音后，自动切换到吊麦扩声，保证扩声功能正常。</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16.支持拾扩一体功能，可通过一只吊装麦克风实现本地扩声和远程互动，本地扩音和远程互动能同时进行，并且相互不影响效果；本地扩音要求声音清晰响亮、无啸叫；远程互动要求声音清晰、无噪声和回声。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17.支持通过音频线与录播主机进行握手通信，可实现同品牌录播主机音频矩阵的自动化配置。18.标配控制面板，支持通过RS485通讯方式进行吊麦静音控制、吊麦扩声音量大小控制、吊麦默认音量设置。"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拾音麦克风</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1.主机采用高度集成一体化设计，集成音频信号处理模块、数字功放模块、交流转直流开关电源模块。</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2.主机采用数字功放芯片组，自带散热风扇。外壳采用全金属设计，机身高度≤1U，支持标准机架式安装，方便在讲桌及机柜内部安装部署。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3.音量调节旋钮采用内陷式防误触设计，防止用户误触调节音量大小。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4.支持≥2路RJ45网口音频输入；支持≥6路凤凰端子差分输入，其中≥4路支持 48V幻象电源供电。支持≥2 路凤凰端子差分输出，支持≥2路凤凰端子功放输出。支持通过RJ45网口实现网络通信。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5.功率放大器的输出功率≥2*150W。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6.采样率≥48KHz。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7.频率响应范围为100Hz~20KHz。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8.信噪比≥100dB。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9.支持低时延AI降噪技术，既可对教室内的空调、电风扇等稳态噪声进行抑制，也可对板书声、走路声、桌椅声等瞬态噪声进行抑制，不进行扩声输出，降噪幅度≥30dB。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10.支持全频带全双工自适应回声消除算法，回声消除幅度≥90dB，回声消除长度≥1s。</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11.支持自动增益控制，最大增益≥15dB。支持混响抑制算法，混响抑制≥18dB。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12.支持动态波束成形算法，可对讲台区域发声源进行精准跟踪，以保证讲台区域老师的拾扩清晰度与均匀度。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13.支持虚拟音幕功能，在麦克风前方180°的讲台区域可以正常扩声，在麦克风后方180°的学生区域无法扩声，从而实现对学生区域嘈杂声的精准过滤。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14.支持一键声场检测功能，可对教室混响时间、环境噪声、频率响应、谐波失真等声学参数进行检测。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15.支持鹅颈麦、无线麦与吊麦自动切换。当鹅颈麦、无线麦开启并有输入后，吊麦不扩声或降低音量，保证鹅颈麦、无线麦声音清晰；鹅颈麦、无线麦关闭或静音后，自动切换到吊麦扩声，保证扩声功能正常。</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16.支持拾扩一体功能，可通过一只吊装麦克风实现本地扩声和远程互动，本地扩音和远程互动能同时进行，并且相互不影响效果；本地扩音要求声音清晰响亮、无啸叫；远程互动要求声音清晰、无噪声和回声。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17.支持通过音频线与录播主机进行握手通信，可实现同品牌录播主机音频矩阵的自动化配置。18.标配控制面板，支持通过RS485通讯方式进行吊麦静音控制、吊麦扩声音量大小控制、吊麦默认音量设置。"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扩声音响</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1.音箱采用≥2个喇叭单元，其中1个≥6"中低音喇叭单元，1个≥1"高音喇叭单元。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2.标配原厂壁挂支架，支持水平方向±90°、垂直方向±90°范围调节。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3.额定功率≥30W。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4.最大功率≥60W。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5.阻抗为8Ω。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6.最大声压级≥105dBSPL。</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7.灵敏度为86dB（±3dB）。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8.频率响应范围为70Hz~20KHz。"</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手持麦套件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1、2.4G传输，红外对频，不串频、不干扰；第一次对频成功后开机即可使用，无需再次对频。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2、传输距离：≥25m。</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3、麦克风内置PPT翻页模块与激光笔模块。</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可通过麦克风上的OLED屏显示无线连接状态、电池电量、动态电平、音量大小数值，快速定制专属音质；支持通过显示屏进行≥5档屏幕亮度调节、设置限幅器开关、设置自动增益开关、进行≥5档EQ高频参数调节、进行≥5档EQ低频参数调节、设置降噪开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5、笔形麦身设计，抓握舒适，符合人体工程学。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6、带磁控锁充电底座。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7、将笔形麦克风放入充电底座即可自动感应上锁；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8、放入充电底座30分钟后自动关机，加快充电速度。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9、≥2个RS232串口通讯接口，≥2个USB-A型RS232接口，≥1个RJ45接口，≥1个3PIN座子音频输出接口，≥1个PPT翻页接口，≥1个12V1A电源接口，≥1个自锁电源开关，≥1个ANT天线接口，≥1个红外对频外接接口。</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远程互动课堂软件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1.支持微信扫码登录，无需输入帐号密码即可登录软件进入课堂。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2.支持显示预约的活动信息，包括直播活动、互动课堂、网络教研的活动类型、活动名称、活动时间、活动状态及对应授课老师。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3.支持搭配互动录播主机，进入录制视频、直播活动、互动课堂、网络教研活动。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4.支持通过房间号加入互动课堂或网络教研，听课用户可直接输入房间号加入到房间中进行互动。授课教师可将邀请网页分享给其他用户，支持通过链接快速加入到互动中。</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5.支持查看参与互动的教室网络连接情况，可看到彼此的设备网络环境。房间内所有用户都可以查看到每个上台成员的网络情况。支持由低到高≥4档位的信号展示。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6.在进行互动课堂或网络教研时，支持不少于3种角色实时切换。其中主持人角色可将课中任意成员实时设置为授课老师或学生。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7.主持人可以控制锁定房间，锁定后听课成员无法通过房间号、拨号、连接等形式申请加入房间，授课老师无法邀请他成员加入房间，仅主持人可以邀请其他成员加入房间。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8.授课过程中支持用户调起白板工具，在交互智能平板上进行板书，板书内容将在听课端实时同步；支持听课成员在交互智能平板上板书，反向实时同步至授课端及其他听课端。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用户在云课件中进行远程同步课堂活动，异地教室的学生可同时在交互智能平板上参与活动，支持2个教室的学生同台参与知识趣味活动，活动中双方可相互看到对方操作。支持至少6种类型、70个模板的课堂活动。</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10.支持用户在云课件中进行远程班级竞赛，异地教室的学生可在交互智能平板上进行知识竞赛活动，支持不少于4个教室的学生同时参与竞赛。支持至少3种类型的班级竞赛。</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互动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电视</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1.屏幕物理尺寸≥55吋。</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2.屏幕分辨率≥3840*2160。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3.屏幕刷新率≥60Hz。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4.屏幕可视角度≥±176度。</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5.内置喇叭个数≥2、总功率≥16W。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6.USB通道支持播放≥10种文件格式。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7.USB接口数量≥1。</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资源管理平台</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1.支持管理员根据不同教师的工作需求创建角色，自定义该角色的名称和可试用的功能权限；支持管理员查看各角色人数。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 支持管理员对本校教师申请发布的课程进行审核，监控公开公开课程资源的质量；可拒绝课程发布，拒绝时需填写拒绝原因。若课程未通过审核，消息中心会自动通知该课程归属老师。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3.支持用户对已发布的视频进行视频打点并插入课堂评价，所评论内容需关联视频对应的时间点。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4.支持在直播结束前，修改直播的结束时间、名称、封面、课件、直播简介、聊天互动权限等设置。修改原分享的链接和二维码不变，活动调整不会导致原分享链接和二维码失效。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5.支持在创建直播时添加直播助教，助教进入工作台可进行直播间秩序维护。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6.支持用户一键生成直播海报或链接进行分享，其他用户通过扫描海报上的二维码或打开链接的方式，观看直播视频。</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7.支持用户在预览课件时，在课件上进行书写、擦除、移动图片素材等操作，且操作不影响原课件内容，可在开始直播前，预览主讲老师的课件。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8.支持教师可选择云课件与直播关联，无需上传本地文件。课件与直播关联后，用户可在活动开始时间前查看云课件。活动开始后，用户可在观看直播视频的同时在线查看已关联的云课件。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9.支持访问平台网页观看线上课程时，直接在平台网页中参与知识配对、选词填空、趣味分类在线互动答题，完成后可直接查看答题用时和答题排行榜，并可选择继续观看视频或再玩一次。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10.支持用户通过浏览器对本地上传的视频完成在线剪辑，将视频的无效内容删除。进行剪辑后，用户可通过在线浏览窗口，实时查看剪辑内容。</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Ai课堂分析系统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1.系统支持对教室环境的3D还原重建，形成桌椅、讲台、一体机的真实环境建模，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在3D课堂孪生界面中，支持点击课堂活跃热力图中的学生头像，查看该学生的师生互动视频片段，统计该学生在本节课的上台互动、举手次数、问答次数。</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2.在3D课堂孪生界面中，支持在地面上显示教师的巡堂轨迹，颜色越深代表停留时间越长。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系统根据教学内容自动生成师生问答、课堂互动、新课标落实三个维度的课堂反馈建议，可查看全部提问、符合知识性目标的提问、不合适的提问、提问优化建议、课堂互动建议、基于新课标的亮点和改进建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4.系统自动统计教师授课、师生互动、小组讨论、课堂练习的时间分布情况，支持图形可视化展示不同课堂行为的整体时间占比。</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5.系统自动统计教师授课、师生互动、小组讨论、课堂练习的时间分布情况，支持按照时序图样式展示，展示不同课堂行为发生的顺序、时长。</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6.系统支持通过弗兰德斯编码规则对课堂数据进行每秒1次的打点，自动计算出启发/指导比（I/D）、学生稳态比（PSSR）、教学内容比（CCR）、学生发言比（PIR）、教师提问比（TQR）的指标数值，通过雷达图呈现。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系统支持最多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学（讲授数据、课堂流程重构、提问有效性、提问类型、4MAT模型、候答时间、评价类型、弗兰德斯互动分析、S-T分析、Rt-Ch分析）的对比分析，同时支持数据下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系统支持上传word/pdf格式的教学设计，或者读取用户的云教案。当上传教学设计后，系统会自动识别教学设计中的教学目标、教学重难点和教学环节，并且比对课堂中真实授课的数据，从而判断对应的教学目标、教学重难点和教学环节是否达成。当系统识别出未达成，或者部分达成的时候，会有对应标识，并且给出对应的理由和AI改进建议。整体按照思维导图的形式呈现，并且支持自由缩放与拖拽。</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学生分析系统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1.能根据开课情况，自动识别学生认真听讲、积极举手、问答问题等行为，并且课后形成AI建议给到老师。老师可以删除或者增加学生点评。</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2.支持以座位表图片、导入Excel表格等形式还原座位布局，以管理座位排布。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3.系统支持按照周、月自动生成班级报表。支持按照全部老师，以及老师个体的数据进行查阅呈现。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系统自动生成周期内待关注学生列表，按照情绪波动、有点小情绪、专注度下降、表扬减少、待改进增加、以及单项待改进最多的标签显示学生头像及姓名。支持点击下钻查阅学生详情，包含待改进变化、点评变化、以及自动生成AI评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系统自动生成周期内标杆学生清单，按照小红花最多、小红花飙升、待改进减少、专注度最高、专注度飙升、以及单项最多的表扬项标签显示学生头像及姓名。支持点击下钻查阅学生详情，包含待改进变化、点评变化、以及自动生成AI评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6.系统依据采集到的学生情绪状态数据、专注度数据、点评数据，生成全班的学生成长报告，按照学生头像形式进行选择。点击学生头像即可打开具体报告，并支持调整学期时间。</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7.系统根据采集到的点评数据、专注度及情绪数据进行综合理解，自动生成AI评语。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系统自动采集学生点评数据、专注度数据和情绪数据，并且支持数据下钻。其中点评数据可以看见表扬、待改进次数、点评趋势、待改进趋势，支持班级均值和当前学生比较。点评分布支持按照表扬维度和待改进维度以饼图形式呈现。支持查阅点评记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系统按照点评的统计，自动形成综合素质评价。系统将根据点评的内容，按照学习表现、品行素养、身心健康、社会实践、艺术审美五个维度构建雷达图。并且基于评价内容，生成AI评价。支持学生数值和全班均值比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10.根据采集到的不同学科的专注度、愉悦度数据，系统进行学科兴趣分析，并且基于学科兴趣分析形成AI分析建议。支持点击学科下钻，查阅学科的个性化评价建议、专注度变化、情绪指数变化以及点评数据。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备授课</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（一）、课件生成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1.课件目标生成：支持输入课件主题，运用教学大模型自建的教学知识库，能够检索与创作主题相关的专业知识，并生成对应的课件目标。生成过程支持深度思考模式。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2.课件目标编辑：支持添加、删除、修改教学目标，支持手动编辑输入或人工智能生成对应的教学目标；支持通过人工智能把教学目标生成对应的教学提纲。</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3.教学提纲生成：支持根据已明确的课件目标，以思维导图形式生成至少三个层级主题的教学提纲，教学提纲内容可根据教学活动设计自动匹配课堂活动、思维导图和学科工具等互动工具。</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4.智能生成课件：基于生成的教学提纲，生成完整的教学课件；支持上传主题相关附件，生成内容更加准确；支持智能扩展单页课件，允许手动输入描述和根据上下文智能推荐内容；支持对提纲节点进行编辑并同步生成更新课件；支持一键更换课件主题风格，演示预览课件，分享课件，一键复制教学活动设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5.教案生成课件：支持上传文件或希沃云教案，一键生成教学提纲以及对应课件，匹配原教案内容。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（二）、课件编辑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1.教学提纲编辑：可个性化对教学提纲进行编辑，包括添加二级、三级主题以及对课件内容进行编辑；支持 AI 拓展和优化，提供智能拓展、跨学科、新课标等三种拓展方式。</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2.生成教学活动设计：生成的教学活动设计，涵盖教学目标、教学重难点、教学过程，在教学过程中，会提供教学活动设计示意图。教学活动设计会与课件授课内容对应。</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3.课件智能编辑：支持课件页自动排版，可一键更换布局或挑选更多的智能布局模板。</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4.智能生成图片：支持一键配图，可输入图片提示词生成对应图片。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5.精品图库搜索：支持图库搜索，搜索列表会自动识别图片标签推荐内容。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6.视频在线播放：粘贴视频网页链接可一键解析视频，插入课件页后支持在线播放；支持本地上传视频插入课件页播放。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（三）、工具生成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1.生成对话智能体：支持基于课件上下文实时生成对话智能体，包含智能体形象生成和选择，智能体对话话题生成，回答方式支持引导式和直接回答。</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2.生成课堂活动：支持基于课件上下文推荐主题或输入主题实时生成课堂活动。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3.生成习题：支持基于课件上下文实时生成课件习题，包含答案解析，并支持编辑习题和ai添加更多习题。</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4.生成课件页：基于课件上下文推荐课件页主题，一键生成课件页内容。</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5.教学智能体：内置教学活动设计、奖状制作、学生评语、教学反思、项目式学习、家校沟通等，结合大模型给老师生成符合教学和管理要求的内容。</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6.自由对话：支持输入内容进行自由对话，结合深度思考生成符合教学要求的内容。</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教师空间管理系统</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1.设计架构：系统采用模块化的架构设计B/S架构，通过浏览器打开并用微信扫码登录、账号密码登录和微信授权登录完成鉴权，即可使用数字校园产品的各项功能模块。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2.登录认证：基于Web浏览器，提供用户统一登录认证功能，包括：手机号码注册、登录、忘记密码、扫码登录、账号管理功能。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3.模块化设计：为满足学校教学管理的需求，教学平台采用一体化设计，集教学与管理模块于一体，满足用户一站式教学教研管理体验。</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4.通知中心：支持聚合平台所有通知消息，方便用户统一查看，处理来自各个应用的通知。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5.待办中心：支持通过待办中心处理用户待处理的工作，待办中心数据来自各个应用，处理完毕的待办事项会消失在待办中心。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6.系统管理员：提供组织管理员管理功能，包括：管理员添加、移除和转移，同时支持设置管理员的管理权限，包括：组织管理，系统管理员管理，角色权限，工作台配置，应用管理，区域语言和操作日志。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7.应用管理：提供应用中心应用管理功能，包含网页端和移动端的应用管理，包括应用安装、应用卸载、自定义分类、移动应用分类。</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9.支持通过资源产生趋势图直观呈现AI课件、课程资源、校本资源等资源产生变化趋势，AI课件学科分布饼图展示各学科占比。并且动态记录老师生成详情，支持数据列表展示老师的AI课件、个人及校本资源数。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10.支持下钻到老师个人，查看老师个人制作AI课件数、个人资源数以及上传至校本资源数。支持详细查看此老师所生成的AI课件以及上传至校本资源库的资源。</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8色拼接桌椅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1.采用环形组合桌设计，由8个桌面组成，8把座椅，8款颜色搭配。</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2.多色彩桌面设计：桌面采用多款颜色搭配，符合心理学需求。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3.桌面光滑，具有耐高温、耐磨、耐划、不易变形等特性。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4.规格：外径≥180cm左右。</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8</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双头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电控锁</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工作电压：DC12V~18V(常通电)；标准电压：DC12V(常通电)；启动电流：≥650mA。</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待机电流：≤100mA；有效感应距离：≤10mm；机械开锁方式：钥匙开锁/旋钮开锁；电子开锁方式：瞬间触发型(脉冲方式)；开锁信号电压：DC12V~18V；LED指示灯：绿色(开锁)/红色(上锁)；适用门型：金属门木门防火门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信号反馈功能(锁状态监测)：开关量信号(长时)。</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门禁机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1.系统配置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CPU：ARM；处理器；NPU：1.0TOPS；存储：ROM:8G；操作系统：Linux。</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2.硬件参数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显示屏:2.8英寸触摸屏，分辨率240*320；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摄像头：双摄100万。；扬声器：支持；有线网络：10M/100M。；蓝牙：支持；WIFI：支持802.11b/g/n，支持2.4G；补光：支持白色补光和红外补光；接口：RJ45*1、RS485*1、门禁继电器接口*1、出门按钮*1、门磁*1、报警*1、防拆*1。</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3.软件参数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人脸底库：2000人；离线记录：5000(带图)或10万(不带图)；识别距离：0.3-1.5m；识别速度：&lt;0.3s。</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网线</w:t>
            </w:r>
            <w:r/>
          </w:p>
        </w:tc>
        <w:tc>
          <w:tcPr>
            <w:tcBorders>
              <w:top w:val="single" w:color="auto" w:sz="4" w:space="0"/>
              <w:left w:val="single" w:color="auto"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六类 CAT6 非屏蔽。</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箱</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HDMI线</w:t>
            </w:r>
            <w:r/>
          </w:p>
        </w:tc>
        <w:tc>
          <w:tcPr>
            <w:tcBorders>
              <w:top w:val="none" w:color="000000" w:sz="4" w:space="0"/>
              <w:left w:val="single" w:color="auto"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10米。</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根</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金银线</w:t>
            </w:r>
            <w:r/>
          </w:p>
        </w:tc>
        <w:tc>
          <w:tcPr>
            <w:tcBorders>
              <w:top w:val="none" w:color="000000" w:sz="4" w:space="0"/>
              <w:left w:val="single" w:color="auto"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200支。</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米</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3.5音频线 </w:t>
            </w:r>
            <w:r/>
          </w:p>
        </w:tc>
        <w:tc>
          <w:tcPr>
            <w:tcBorders>
              <w:top w:val="none" w:color="000000" w:sz="4" w:space="0"/>
              <w:left w:val="single" w:color="auto"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10米。</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根</w:t>
            </w:r>
            <w:r/>
          </w:p>
        </w:tc>
      </w:tr>
      <w:tr>
        <w:trPr>
          <w:jc w:val="center"/>
          <w:trHeight w:val="600"/>
        </w:trPr>
        <w:tc>
          <w:tcPr>
            <w:gridSpan w:val="3"/>
            <w:tcBorders>
              <w:top w:val="single" w:color="auto" w:sz="4" w:space="0"/>
              <w:left w:val="single" w:color="auto" w:sz="4" w:space="0"/>
              <w:bottom w:val="single" w:color="auto" w:sz="4" w:space="0"/>
              <w:right w:val="single" w:color="000000" w:sz="4" w:space="0"/>
            </w:tcBorders>
            <w:tcW w:w="82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五、智慧体育</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室外AI体育教学智能机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1.设备配置指标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1.1屏幕：尺寸≥65英寸，分辨率≥1920*1080，电容式触摸屏。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1.2内置摄像机：像素≥200w，支持人脸检录。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1.3外置摄像机：像素≥800w，有效像素阵列3840（H）*2160（V），镜头尺寸1/1.8，视频编码格式支持H.265、H.264、MJPEG。</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1.4外置摄像机：配置算力模块，内存≥2GB，存储≥16GB，支持多种主流机器学习框架，能进行目标追踪等AI任务。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1.5处理器：CPU≥8核，主频最高达2.4GHz。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1.6运行：内存≥4G，存储≥64GB。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1.7网络：10M/100M/1000M以太网连接，RJ45接口≥1个。</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1.8外观：设备金属外壳，整机屏前保护采用防爆玻璃，支持室外工作，固定化部署。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2.设备功能指标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2.1设备支持课堂AI跟练，针对每个学生的动作，系统实时AI打分，动作纠正提示，运动结束显示学生运动评分、动作达标情况。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w:t>
            </w:r>
            <w:r>
              <w:rPr>
                <w:rFonts w:hint="eastAsia" w:ascii="宋体" w:hAnsi="宋体" w:eastAsia="宋体" w:cs="宋体"/>
                <w:color w:val="ee0000"/>
                <w:sz w:val="18"/>
                <w:szCs w:val="18"/>
                <w14:ligatures w14:val="none"/>
              </w:rPr>
              <w:t xml:space="preserve">课堂AI跟</w:t>
            </w:r>
            <w:r>
              <w:rPr>
                <w:rFonts w:hint="eastAsia" w:ascii="宋体" w:hAnsi="宋体" w:eastAsia="宋体" w:cs="宋体"/>
                <w:color w:val="000000"/>
                <w:sz w:val="18"/>
                <w:szCs w:val="18"/>
                <w14:ligatures w14:val="none"/>
              </w:rPr>
              <w:t xml:space="preserve">练动作训练项目数量≥40，动作项目库包括但不限于收腹跳、简易波比、半蹲轻跳、直腿轻跳、平举环绕、站姿拉伸、上肢拉伸、原地小跑、小腿拉伸、背部拉伸。</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2.3课堂AI跟练支持专项技能训练，专项技能训练项目数量≥6，专项技能训练项目包括但不限于啦啦操、广播操、八段锦、太极拳。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2.4设备支持多训练动作组合的训练课程，组合训练课程数量≥20。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2.5设置支持教师自定义多训练项目组合的训练课程，课程支持≥8人同时测试，系统实时AI打分，动作纠正提示，运动结束显示学生运动评分、动作达标情况。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2.6设备支持教学视频播放，视频包含系统平台资源，资源数量≥600，视频来源包含“双一流”高校。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2.7设备支持播放校本资源，资源类型包括视频、图片、PPT课件、音频。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2.8设备支持画笔功能，教师可以在视频、图片、PPT课件上书写文字、矩形框、箭头，提供橡皮擦、撤销、前进、画笔粗细和颜色调节等功能。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2.9设备支持跳绳≥8人同时测试，仰卧起坐≥6人同时测试，立定跳远，运动结束后实时生成运动报告，报告包含运动参数、运动曲线、肌群状态、点评与建议、运动画面。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2.10设备支持跳绳项目智能识别未持绳，仰卧起坐项目智能识别双手未抱头、双腿未屈膝，立定跳远项目智能识别踩线、单脚起跳。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2.11设备支持高抬腿、深蹲、开合跳、纵跳、左右跳、蹲跳、半蹲、弓步跳、提膝击掌、侧向蹲起、足球踩球、篮球运球等项目≥8人同时运动。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2.12设备支持学生在比赛项目的运动数据会自动统计到赛事排行，比赛项目排行榜页面显示距离比赛结束时间。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2.13设备支持学校体育数据概览，数据维度包括但不限于使用人次、锻炼人次、运动总时长、成绩合格率、项目运动人次等。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2.14设备支持各项目运动排行榜与运动记录，支持查看跳绳、跳远、仰卧起坐等项目的测试报告和视频回放。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2.15设备支持课堂看板查看，包含AI体育课表与课堂运动报告。</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2.16.</w:t>
            </w:r>
            <w:r>
              <w:rPr>
                <w:rFonts w:hint="eastAsia" w:ascii="宋体" w:hAnsi="宋体" w:eastAsia="宋体" w:cs="宋体"/>
                <w:color w:val="ee0000"/>
                <w:sz w:val="18"/>
                <w:szCs w:val="18"/>
                <w14:ligatures w14:val="none"/>
              </w:rPr>
              <w:t xml:space="preserve">体育课</w:t>
            </w:r>
            <w:r>
              <w:rPr>
                <w:rFonts w:hint="eastAsia" w:ascii="宋体" w:hAnsi="宋体" w:eastAsia="宋体" w:cs="宋体"/>
                <w:color w:val="000000"/>
                <w:sz w:val="18"/>
                <w:szCs w:val="18"/>
                <w14:ligatures w14:val="none"/>
              </w:rPr>
              <w:t xml:space="preserve">堂报告智能分析课堂数据，可视化课堂练习目标、课堂内容分布、课堂时间分布、运动项目人次、项目评分等级与成绩分布。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2.17</w:t>
            </w:r>
            <w:r>
              <w:rPr>
                <w:rFonts w:hint="eastAsia" w:ascii="宋体" w:hAnsi="宋体" w:eastAsia="宋体" w:cs="宋体"/>
                <w:color w:val="ee0000"/>
                <w:sz w:val="18"/>
                <w:szCs w:val="18"/>
                <w14:ligatures w14:val="none"/>
              </w:rPr>
              <w:t xml:space="preserve">支持专</w:t>
            </w:r>
            <w:r>
              <w:rPr>
                <w:rFonts w:hint="eastAsia" w:ascii="宋体" w:hAnsi="宋体" w:eastAsia="宋体" w:cs="宋体"/>
                <w:color w:val="000000"/>
                <w:sz w:val="18"/>
                <w:szCs w:val="18"/>
                <w14:ligatures w14:val="none"/>
              </w:rPr>
              <w:t xml:space="preserve">项动作视频分析，用户点选视频中的某个人的关节点，随即会出现所点关节角度的全程变化曲线。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3.系统设置指标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3.1屏保设置：屏保支持展示用户符合要求的自有图片。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3.2隐私设置：开启后学生头像、姓名隐私处理。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3.3勿扰模式：开启后视频播放隐藏音量调节、倍速功能。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4.智能算法指标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4.1设备支持算法和模型完全独立运行，无需依赖额外的GPU服务器。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4.2基于AI视觉算法检测和提取运动目标，实时捕捉人体关节点，实现运动过程中的人体姿态识别。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4.3基于AI视觉技术，实现身份认证、手势切换项目、各个运动区域独立计时计数，全程无需人工干预。</w:t>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室外AI体测智能机-多项目</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1.设备配置指标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1.1处理器≥4核，主频最高达2.0GHz。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1.2内存≥4GB，存储≥64GB。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1.3网络：10M/100M/1000M以太网，RJ45网口≥1。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1.4配置AI摄像机的像素≥800w，有效像素阵列3840（H）*2160（V），镜头尺寸1/1.8。</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1.5配置AI摄像机的内存≥2GB，存储≥16GB。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1.6屏幕≥32寸，电容触控，分辨率≥1920×1080。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1.7音频：2个喇叭，单个额定功率≥10W。</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▲1.8设备</w:t>
            </w:r>
            <w:r>
              <w:rPr>
                <w:rFonts w:hint="default" w:ascii="宋体" w:hAnsi="宋体" w:eastAsia="宋体" w:cs="宋体"/>
                <w:color w:val="000000"/>
                <w:sz w:val="18"/>
                <w:szCs w:val="18"/>
                <w14:ligatures w14:val="none"/>
              </w:rPr>
              <w:t xml:space="preserve">外壳对外界机械碰撞的防护等级：≥IK08</w:t>
            </w:r>
            <w:r>
              <w:rPr>
                <w:rFonts w:hint="eastAsia" w:ascii="宋体" w:hAnsi="宋体" w:eastAsia="宋体" w:cs="宋体"/>
                <w:color w:val="000000"/>
                <w:sz w:val="18"/>
                <w:szCs w:val="18"/>
                <w14:ligatures w14:val="none"/>
              </w:rPr>
              <w:t xml:space="preserve">，</w:t>
            </w:r>
            <w:r>
              <w:rPr>
                <w:rFonts w:hint="default" w:ascii="宋体" w:hAnsi="宋体" w:eastAsia="宋体" w:cs="宋体"/>
                <w:color w:val="000000"/>
                <w:sz w:val="18"/>
                <w:szCs w:val="18"/>
                <w14:ligatures w14:val="none"/>
              </w:rPr>
              <w:t xml:space="preserve">外壳防护等级（防尘防水）：≥IP56，其中防尘等级IP5X，防水等级IPX6</w:t>
            </w:r>
            <w:r>
              <w:rPr>
                <w:rFonts w:hint="eastAsia" w:ascii="宋体" w:hAnsi="宋体" w:eastAsia="宋体" w:cs="宋体"/>
                <w:color w:val="000000"/>
                <w:sz w:val="18"/>
                <w:szCs w:val="18"/>
                <w14:ligatures w14:val="none"/>
              </w:rPr>
              <w:t xml:space="preserve">。</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1.9设备电源端口应能承受浪涌（冲击）抗扰度试验，检测结果达到A。</w:t>
            </w:r>
            <w:r>
              <w:rPr>
                <w:rFonts w:hint="default" w:ascii="宋体" w:hAnsi="宋体" w:eastAsia="宋体" w:cs="宋体"/>
                <w:b/>
                <w:bCs/>
                <w:color w:val="000000"/>
                <w:sz w:val="18"/>
                <w:szCs w:val="18"/>
                <w14:ligatures w14:val="none"/>
              </w:rPr>
              <w:t xml:space="preserve">(提供第三方检测机构出具的检测报告扫描件或复印件并加盖投标人公章)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2.体育测试指标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2.1跳绳项目支持≥8人同时测试，智能识别未持绳。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2.2立定跳远1人测试，智能识别踩线、单脚起跳。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2.3仰卧起坐项目支持≥6人同时测试，智能识别双手未抱头、双腿未屈膝。</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2.4体测项目在测试模式下完成测试，支持在测试设备端查看运动记录、测试报告和视频回放。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2.5项目运动数据支持训练数据和测试数据的两种采集模式。</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2.</w:t>
            </w:r>
            <w:r>
              <w:rPr>
                <w:rFonts w:hint="eastAsia" w:ascii="宋体" w:hAnsi="宋体" w:eastAsia="宋体" w:cs="宋体"/>
                <w:color w:val="ee0000"/>
                <w:sz w:val="18"/>
                <w:szCs w:val="18"/>
                <w14:ligatures w14:val="none"/>
              </w:rPr>
              <w:t xml:space="preserve">6跳绳/仰</w:t>
            </w:r>
            <w:r>
              <w:rPr>
                <w:rFonts w:hint="eastAsia" w:ascii="宋体" w:hAnsi="宋体" w:eastAsia="宋体" w:cs="宋体"/>
                <w:color w:val="000000"/>
                <w:sz w:val="18"/>
                <w:szCs w:val="18"/>
                <w14:ligatures w14:val="none"/>
              </w:rPr>
              <w:t xml:space="preserve">卧起坐在测试模式且测试人数≧3人情况下，测试结束后结果页显示本组排名。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2.7训练模式支持随来随练，举手识别成功后即开始运动。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2.8测试模式支持所有学生识别成功后同时开始，同时结束，中途离开不会自动结束。</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2.9体测项目的训练模式和测试模式支持举手自动切换。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3.体能训练指标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3.1支持高抬腿、深蹲、开合跳、纵跳、左右跳等基础体能训练项目≥8人同时运动。</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3.2.支持蹲跳、半蹲、弓步跳、提膝击掌、侧向蹲起等强化体能训练项目≥8人同时运动。</w:t>
            </w:r>
            <w:r>
              <w:rPr>
                <w:rFonts w:hint="eastAsia" w:ascii="宋体" w:hAnsi="宋体" w:eastAsia="宋体" w:cs="宋体"/>
                <w:b/>
                <w:bCs/>
                <w:color w:val="000000"/>
                <w:sz w:val="18"/>
                <w:szCs w:val="18"/>
                <w14:ligatures w14:val="none"/>
              </w:rPr>
              <w:t xml:space="preserve">（提供上述功能界面截图加盖投标人公章）</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3.3.支持足球踩球、篮球运球等球类训练项目≥8人同时运动。</w:t>
            </w:r>
            <w:r>
              <w:rPr>
                <w:rFonts w:hint="eastAsia" w:ascii="宋体" w:hAnsi="宋体" w:eastAsia="宋体" w:cs="宋体"/>
                <w:b/>
                <w:bCs/>
                <w:color w:val="000000"/>
                <w:sz w:val="18"/>
                <w:szCs w:val="18"/>
                <w14:ligatures w14:val="none"/>
              </w:rPr>
              <w:t xml:space="preserve">（提供上述功能界面截图加盖投标人公章）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3.4在移动端选择某个体能项目，点击运动视频，可查看视频，并支持投屏到设备。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3.5体能项目运动结束后，若成绩上榜或创造个人最佳，屏幕显示动效提示。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4.体育赛事指标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4.1学生在比赛项目的运动数据会自动统计到赛事排行。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4.2比赛项目支持累计成绩排行展示，显示维度包括个人、男女、班级。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4.3比赛项目排行榜页面展示距离比赛结束时间。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5.系统设置指标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5.1设备处于其他项目且十五分钟无人运动，会自动切回默认项目。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5.2支持设置是否开启隐私保护，开启后学生头像、姓名隐私处理。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5.3运动项目支持断网环境下正常运行，测试过程不受网络波动影响。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5.4支持设置密码保护功能，开启后需输入正确密码方可进入设备设置界面，防止未经授权人员修改设备配置。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5.5支持评分标准切换功能，可根据实际需求灵活选择不同评分标准。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6.智能算法指标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6.1设备基于AI视觉算法检测和提取运动目标，实时捕捉人体关节点，实现运动过程中的人体姿态识别。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6.2设备基于AI视觉技术实现运动过程中的人机智能交互，实现身份认证、手势切换项目、各个运动区域独立计时计数，全程无需人工干预。</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6.3设备支持算法和模型完全独立运行，无需依赖额外的GPU服务器。</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室外AI体育锻炼智能机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1.设备配置指标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1.1屏幕：尺寸≥43寸，电容式触摸屏，分辨率≥1920×1080。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1.2处理器：CPU≥8核，主频≥2.0GHz。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1.3运行：内存≥4GB，存储≥64GB。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1.4摄像头：像素≥500w。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1.5网络：10M/100M/1000M以太网，RJ45网口≥1。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1.6外观：整机屏前保护采用防爆玻璃，支持室外工作，固定化部署。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2.设备功能指标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2.1体能训练项目数量≥20个，运动过程中显示人体关节点，运动完成后实时显示运动成绩、运动消耗、运动时间、运动曲线。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2.2体能训练项目包括但不限于单腿站立、燕式平衡、简易波比、跪姿俯卧撑、蹲马步、站姿体前屈、原地跑。</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2.3体能训练项目具备动作示范视频，支持运动时长选择，具备单人模式和多人模式，多人模式支持双人PK和多设备联机PK。</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2.4趣味锻炼项目支持AI智能识别动作轨迹，项目数量≥10项，其中跨学科设计项目≥5项。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2.5专项提升项目支持动作AI智能识别与跟练引导，项目主题包括跳绳、立定跳远、仰卧起坐、引体向上。</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2.6健身体操项目支持AI实时评分反馈，运动结束后生成综合评分，涵盖广播体操和传统武术，项目支持分节练习，项目数量≥5项。</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2.7球类训练项目支持AI智能识别动作轨迹，判定是否符合标准，项目数量≥8项，其中篮球训练项目≥5项。</w:t>
            </w:r>
            <w:r>
              <w:rPr>
                <w:rFonts w:hint="default" w:ascii="宋体" w:hAnsi="宋体" w:eastAsia="宋体" w:cs="宋体"/>
                <w:b/>
                <w:bCs/>
                <w:color w:val="000000"/>
                <w:sz w:val="18"/>
                <w:szCs w:val="18"/>
                <w14:ligatures w14:val="none"/>
              </w:rPr>
              <w:t xml:space="preserve">（提供支持篮球5个训练项目的功能截图加盖投标人公章）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2.8设备支持开展本校、跨校、跨区域赛事活动，比赛项目采用AI智能评分，排名实时更新。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2.9设备支持播放校本视频教学资源，学生可自主观看学习。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2.10设备支持课堂接力，采用多人协作模式（4/5/6人），学生分段完成不同的动作组合。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2.11设备支持知识问答，问答范围支持体育常识、健康知识等内容。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2.12设备支持查询各项目排行榜，排行可按年级、性别进行筛选。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2.13设备屏保支持展示用户符合要求的自有图片。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3.系统设置指标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3.1关节点显示设置：开启后可以在运动识别过程中实时显示人体关节点。</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3.2音量设置：系统支持调节系统提示音与视频播放音量。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4.智能算法指标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4.1基于AI视觉算法检测和提取运动目标，实时捕捉人体关节点，实现运动过程中的人体姿态识别。</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4.2基于AI视觉技术实现身份认证和运动项目计时计数，全程无需人工干预。"</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AI短跑测试智能机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1.设备配置指标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1.1处理器：CPU≥8核，主频最高达2.4GHz。</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1.2内存≥4GB，存储≥64GB。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1.3网络：10M/100M/1000M以太网，RJ45网口≥1。</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1.4配置AI摄像机的像素≥800w，有效像素阵列3840（H）×2160（V），镜头尺寸1/1.8。</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1.5配置AI摄像机的内存≥2GB，存储≥16GB。</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1.6屏幕≥32寸，电容触控，分辨率≥1920×1080。</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1.7音频：≥2个喇叭，单个额定功率≥10W。</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1.8设备金属外壳，整机屏前保护采用防爆玻璃，支持室外工作，固定化部署。</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2.跑步测试指标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2.1设备支持50米跑步项目≥6人同时测试，智能识别抢跑、踩线。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2.2设备支持50米跑步项目在跑道道次上举手人脸识别检录，以及上一组跑步过程中开启下一组检录。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2.3发令模式支持测试设备端自动发令，或者教师点击测试设备屏幕发令。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2.4设备实时显示学生身份认证界面、测试准备、测试违规、测试成绩。</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2.5跑步测试报告支持在测试设备端查看，报告内容包括但不限于运动参数、肌群状态、测试点评、运动画面。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2.6跑步测试产生的未完成记录支持在测试设备端修改为有效成绩提交。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3.体测体能指标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▲3.1设备支持跳绳≥8人同时测试，仰卧起坐≥6人同时测试，立定跳远，设备上能设置上述体测项目运动区域。</w:t>
            </w:r>
            <w:r>
              <w:rPr>
                <w:rFonts w:hint="default" w:ascii="宋体" w:hAnsi="宋体" w:eastAsia="宋体" w:cs="宋体"/>
                <w:b/>
                <w:bCs/>
                <w:color w:val="000000"/>
                <w:sz w:val="18"/>
                <w:szCs w:val="18"/>
                <w14:ligatures w14:val="none"/>
              </w:rPr>
              <w:t xml:space="preserve">（提供</w:t>
            </w:r>
            <w:r>
              <w:rPr>
                <w:rFonts w:hint="eastAsia" w:ascii="宋体" w:hAnsi="宋体" w:eastAsia="宋体" w:cs="宋体"/>
                <w:b/>
                <w:bCs/>
                <w:color w:val="000000"/>
                <w:sz w:val="18"/>
                <w:szCs w:val="18"/>
                <w14:ligatures w14:val="none"/>
              </w:rPr>
              <w:t xml:space="preserve">产品功能截图</w:t>
            </w:r>
            <w:r>
              <w:rPr>
                <w:rFonts w:hint="default" w:ascii="宋体" w:hAnsi="宋体" w:eastAsia="宋体" w:cs="宋体"/>
                <w:b/>
                <w:bCs/>
                <w:color w:val="000000"/>
                <w:sz w:val="18"/>
                <w:szCs w:val="18"/>
                <w14:ligatures w14:val="none"/>
              </w:rPr>
              <w:t xml:space="preserve">并加盖投标人公章）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3.2设备支持跳绳项目智能识别未持绳，仰卧起坐项目智能识别双手未抱头、双腿未屈膝，立定跳远项目智能识别踩线、单脚起跳。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3.3设备支持高抬腿、深蹲、开合跳、纵跳、左右跳、蹲跳、半蹲、弓步跳、提膝击掌、侧向蹲起、足球踩球、篮球运球等项目≥8人同时运动。</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3.4学生在比赛项目的运动数据会自动统计到赛事排行。</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4.系统设置指标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4.1隐私设置：开启后学生头像、姓名隐私处理。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4.2密码设置：开启后需输入正确密码方可进入设备设置界面，防止未经授权人员修改设备配置。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4.3评分设置：评分标准支持在测试设备端根据实际需求灵活选择。</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5.智能算法指标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5.1基于AI视觉分析智能捕捉跑步测试过程视频，自动计算出成绩并上传系统，无需穿戴电子设备或号码服。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5.2设备基于AI视觉技术实现运动过程中的人机智能交互，实现身份认证、运动过程分析、跑步计时，全程无需人工干预。</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5.3设备支持算法和模型完全独立运行，无需依赖额外的GPU服务器。</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AI跑步项目拓展包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1.50*8跑步项目软件包，部署于AI短跑测试智能机，支持50*8跑步项目测试与训练。</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2.跑步测试算法支持高精度人体姿态估计，对运动的各项参数进行精确测量，为运动分析提供详尽的数据支持。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3.跑步测试算法支持高精度人体运动跟踪，对运动的轨迹进行实时追踪，无论是在单人还是在群体运动中，都能提供出色的跟踪效果。</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4.跑步项目支持举手人脸识别检录，或者移动端选人检录。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5.跑步项目检录模式支持上一组跑步过程中开启下一组检录。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6.基于AI视觉技术实现运动过程中的人机智能交互，跑步测试全程通过AI算法模型实现身份认证、运动过程分析和实时计时，无其他辅助设备或人工参与。</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7.基于AI视觉分析智能捕捉跑步测试过程视频，自动计算出成绩并上传系统，无需穿戴电子设备或号码服。</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跑步检测拓展配件包</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1.图像采集指标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1.1摄像机像素≥800w，有效像素阵列3840（H）×2160（V），镜头尺寸1/1.8，视频编码格式支持H.265、H.264、MJPEG。</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1.2摄像机配置算力模块，内存≥2GB，存储≥16GB，支持多种主流机器学习框架，能进行目标追踪等AI任务。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1.3摄像机支持DC12V供电。</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2.算法功能指标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2.1搭配AI跑步测试设备使用，支持跑步项目拓展。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2.2支持高精度人体姿态估计，对运动的各项参数进行精确测量，为运动分析提供详尽的数据支持。</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2.3.支持高精度人体运动跟踪，对运动的轨迹进行实时追踪，无论是在单人还是在群体运动中，都能提供出色的跟踪效果。</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测试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立杆</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1.材质为加厚铁管柱，工业烤漆，外表镀锌防腐。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2.主杆高度≥3.6米，主杆直径/厚度根据场地条件定制。</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3.横臂高度≥2.5米。</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4.横臂长度根据田径场地施工环境和项目需求定制尺寸。</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体育学科大数据平台</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一、基础管理功能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1.平台整合智慧体育锻炼数据、智慧体育测试数据，总体呈现学生人数、运动时长和测试次数。</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2.平台支持班级管理、学生管理、账号管理、屏保管理，用户可创建班级、批量导入基础信息、设置账号角色和权限。</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二、体育锻炼管理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1.平台支持校内体育锻炼管理、校外体育锻炼管理和赛事管理。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2.校内体育锻炼管理支持学校数据、年级数据、班级数据的概览，提供运动记录、运动排行的查询。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3.校内体锻的学校数据、年级数据和班级数据支持按学年或日期查询，可视化呈现运动人数、男女运动比例、运动总时长等信息。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4.校内体锻支持按学年、年级、项目查询学生运动记录，运动记录可导出、可删除。</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5.校内体锻支持按学年、日期、年级查询运动排行，可查询的项目≥40个。</w:t>
            </w:r>
            <w:r>
              <w:rPr>
                <w:rFonts w:hint="eastAsia" w:ascii="宋体" w:hAnsi="宋体" w:eastAsia="宋体" w:cs="宋体"/>
                <w:b/>
                <w:bCs/>
                <w:color w:val="000000"/>
                <w:sz w:val="18"/>
                <w:szCs w:val="18"/>
                <w14:ligatures w14:val="none"/>
              </w:rPr>
              <w:t xml:space="preserve">（提供上述功能界面截图加盖投标人公章）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6.校外体锻的学校数据支持按学年查询，可视化呈现运动人数、男女运动比例、运动总时长等信息。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7.校外体锻支持按学年、年级、班级查询运动记录，记录呈现每一位运动者的运动总时长、日均运动时长，记录可导出。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8.校外体锻支持查询运动排行，具备作业管理功能。</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9.赛事管理可增加赛事，对已有赛事进行编辑，查询赛事记录。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三、体育测试管理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1.平台支持年级、班级、学生的体测数据管理，体测记录、成绩、排行的查询，以及测试计划管理。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体测的学校数据支持按学年、日期、模式查询，可视化呈现测试人数、成绩合格率、成绩平均分、各年级测试人数、各年级成绩合格率、各年级平均分、各年级男女平均分，以及分年级查看男生或女生的各项目平均分与等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3.体测的年级、班级、学生数据支持按学年、日期、模式、年级、性别等条件查询成绩，成绩可导出。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4.平台能够可视化呈现班级概览数据，数据包括测试人数、成绩合格率、成绩平均分、各项目平均分与等级。</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5.平台能够可视化呈现学生概览数据，数据包括成绩合格率、成绩平均分、班级排名、年级排名、各项目平均分、各项目成绩详情。</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6.平台能够查看≥10个测试项目成绩报告，AI智能分析运动过程，报告包含测试成绩、成绩等级分布、成绩记录、肌群状态、点评与建议。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7.体测记录管理支持查询记录、删除记录、记录导出、批量导入记录、成绩设置为有效或无效。</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8.体测成绩管理可按不同评分标准查询成绩，以及查看测试报告和视频。成绩可按学生或项目导出。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9.体测排行管理支持≥10个测试项目的排行查询。</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10.测试计划创建能够选择国家体质健康标准，设置测试名称、日期、年级、班级等信息，已创建的计划可编辑或删除。</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11.测试计划可查看总测试人数、各班级完成测试人数、各项目测试进度及平均分，支持免考设置和成绩导出。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四、体育教学管理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1.平台资源库资源数量≥600个，其中来源于“双一流”高校制作的资源数量≥100个。</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2.课堂教学管理支持用户按学年、日期、项目、年级、班级、性别查看学生在各项目的成绩情况。</w:t>
            </w:r>
            <w:r/>
          </w:p>
          <w:p>
            <w:pPr>
              <w:jc w:val="left"/>
              <w:spacing w:after="0" w:line="240" w:lineRule="auto"/>
              <w:widowControl/>
              <w:rPr>
                <w:rFonts w:hint="eastAsia" w:ascii="宋体" w:hAnsi="宋体" w:eastAsia="宋体" w:cs="宋体"/>
                <w:b/>
                <w:bCs/>
                <w:color w:val="000000"/>
                <w:sz w:val="18"/>
                <w:szCs w:val="18"/>
                <w14:ligatures w14:val="none"/>
              </w:rPr>
            </w:pPr>
            <w:r>
              <w:rPr>
                <w:rFonts w:hint="eastAsia" w:ascii="宋体" w:hAnsi="宋体" w:eastAsia="宋体" w:cs="宋体"/>
                <w:color w:val="000000"/>
                <w:sz w:val="18"/>
                <w:szCs w:val="18"/>
                <w14:ligatures w14:val="none"/>
              </w:rPr>
              <w:t xml:space="preserve">3.课程设置管理支持用户创建AI运动课程，系统提供≥40个动作供用户选择，用户可设置课程适合学段、每组训练动作、每个动作时间、组循环次数、组间休息时间。</w:t>
            </w:r>
            <w:r>
              <w:rPr>
                <w:rFonts w:hint="eastAsia" w:ascii="宋体" w:hAnsi="宋体" w:eastAsia="宋体" w:cs="宋体"/>
                <w:b/>
                <w:bCs/>
                <w:color w:val="000000"/>
                <w:sz w:val="18"/>
                <w:szCs w:val="18"/>
                <w14:ligatures w14:val="none"/>
              </w:rPr>
              <w:t xml:space="preserve">（提供上述功能界面截图加盖投标人公章）</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4.教学资源管理支持用户上传自有资源，资源格式包括视频、图片、课件PPT、音频，并支持创建资源分类、技能标签。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五、体育赛事管理</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1.支持用户选择AI体育设备并创建比赛，比赛创建内容包括比赛时间、比赛项目、设备端显示的排名类型。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2.用户在比赛创建时，支持用户选择设备端展示最佳成绩（校级个人排名、校级男女排名、年级男女排名），以及累计成绩（校级个人累计排名、校级男女累计排名、年级男女累计排名和班级累计排名）。</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3.支持用户根据学年、设备、项目、比赛状态等条件筛选已创建的比赛。</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4.每一个比赛支持查看比赛排行、比赛记录和参赛次数，以上数据支持导出。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六、移动管理助手</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1.支持手机端切换项目和体测项目模式。</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2.支持选择体能项目的示范视频投屏至显示设备。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3.支持手机端选择学生（可多选），并将选定学生信息发送至设备，支持执行发令或开始测试，以及终止正在进行的测试。</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4.支持体测项目记录筛选，查看测试报告与视频回放。</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5.支持排行榜筛选，按年级、性别、时间进行筛选。</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6.支持添加学生、编辑学生基础信息、修改照片。</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因涉及到学生人脸识别录入，要求中标人、产品制造商及使用方签署三方保密协议。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配电箱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standardContextual"/>
              </w:rPr>
            </w:pPr>
            <w:r>
              <w:rPr>
                <w:rFonts w:hint="eastAsia" w:ascii="宋体" w:hAnsi="宋体" w:eastAsia="宋体" w:cs="宋体"/>
                <w:color w:val="000000"/>
                <w:sz w:val="18"/>
                <w:szCs w:val="18"/>
                <w14:ligatures w14:val="standardContextual"/>
              </w:rPr>
              <w:t xml:space="preserve">1.输入电压AC100-240V~50/60Hz。</w:t>
            </w:r>
            <w:r>
              <w:rPr>
                <w:rFonts w:hint="eastAsia" w:ascii="宋体" w:hAnsi="宋体" w:eastAsia="宋体" w:cs="宋体"/>
                <w:color w:val="000000"/>
                <w:sz w:val="18"/>
                <w:szCs w:val="18"/>
                <w14:ligatures w14:val="standardContextual"/>
              </w:rPr>
              <w:br/>
            </w:r>
            <w:r>
              <w:rPr>
                <w:rFonts w:hint="eastAsia" w:ascii="宋体" w:hAnsi="宋体" w:eastAsia="宋体" w:cs="宋体"/>
                <w:color w:val="000000"/>
                <w:sz w:val="18"/>
                <w:szCs w:val="18"/>
                <w14:ligatures w14:val="standardContextual"/>
              </w:rPr>
              <w:t xml:space="preserve">2.输出DC12V/12.5A。</w:t>
            </w:r>
            <w:r>
              <w:rPr>
                <w:rFonts w:hint="eastAsia" w:ascii="宋体" w:hAnsi="宋体" w:eastAsia="宋体" w:cs="宋体"/>
                <w:color w:val="000000"/>
                <w:sz w:val="18"/>
                <w:szCs w:val="18"/>
                <w14:ligatures w14:val="standardContextual"/>
              </w:rPr>
              <w:br/>
            </w:r>
            <w:r>
              <w:rPr>
                <w:rFonts w:hint="eastAsia" w:ascii="宋体" w:hAnsi="宋体" w:eastAsia="宋体" w:cs="宋体"/>
                <w:color w:val="000000"/>
                <w:sz w:val="18"/>
                <w:szCs w:val="18"/>
                <w14:ligatures w14:val="standardContextual"/>
              </w:rPr>
              <w:t xml:space="preserve">3.断路保护额定电流：16A。</w:t>
            </w:r>
            <w:r>
              <w:rPr>
                <w:rFonts w:hint="eastAsia" w:ascii="宋体" w:hAnsi="宋体" w:eastAsia="宋体" w:cs="宋体"/>
                <w:color w:val="000000"/>
                <w:sz w:val="18"/>
                <w:szCs w:val="18"/>
                <w14:ligatures w14:val="standardContextual"/>
              </w:rPr>
              <w:br/>
            </w:r>
            <w:r>
              <w:rPr>
                <w:rFonts w:hint="eastAsia" w:ascii="宋体" w:hAnsi="宋体" w:eastAsia="宋体" w:cs="宋体"/>
                <w:color w:val="000000"/>
                <w:sz w:val="18"/>
                <w:szCs w:val="18"/>
                <w14:ligatures w14:val="standardContextual"/>
              </w:rPr>
              <w:t xml:space="preserve">4.整机尺寸：≥450*230*520mm³。</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gridSpan w:val="3"/>
            <w:tcBorders>
              <w:top w:val="single" w:color="auto" w:sz="4" w:space="0"/>
              <w:left w:val="single" w:color="auto" w:sz="4" w:space="0"/>
              <w:bottom w:val="single" w:color="auto" w:sz="4" w:space="0"/>
              <w:right w:val="single" w:color="000000" w:sz="4" w:space="0"/>
            </w:tcBorders>
            <w:tcW w:w="82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六、广播系统</w:t>
            </w:r>
            <w:r/>
          </w:p>
        </w:tc>
        <w:tc>
          <w:tcPr>
            <w:tcBorders>
              <w:top w:val="none" w:color="000000" w:sz="4" w:space="0"/>
              <w:left w:val="none" w:color="000000" w:sz="4" w:space="0"/>
              <w:bottom w:val="single" w:color="auto" w:sz="4" w:space="0"/>
              <w:right w:val="single" w:color="auto" w:sz="4" w:space="0"/>
            </w:tcBorders>
            <w:tcW w:w="5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广播</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主机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1.2U机架服务器，国产自研品牌，非OEM贴牌；</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2.处理器要求：配置≥2个处理器，每个处理器核心≥16，主频≥3.0GHz3内存要求；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3.最大支持32个内存插槽，配置≥64G内存；</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4.本次配置≥2个600GSAS硬盘；</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5.RAID支持：支持RAID卡控制器、SAS卡控制器，提供RAID0/1/5/6/10/50/60/1E，提供快速RAID5恢复方法的第三方权威机构证明材料。</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6.配置2个板载RJ45千兆管理网口；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7.支持2个双宽或4个单宽GPU/显卡，</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8.电源和风扇：配置1+1冗余白金、钛金电源，满配冗余风扇（4个8056风扇），保证系统高可用性；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管理维护：监控资产信息：CPU信息，显示CPU的型号，一级缓存，二级缓存，三级缓存，内存信息，Node，channel，dimm，厂商，容量，类型，额定速率，当前速率，根据CPU信息能够判断主板上的CPU在位情况，内存信息能够快度直观的判断主板内存情况，迅速判断；</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监控温度信息：显示主板各位置的温度信息及当前状态和阈值设置值，当温度值不在阈值范围內时会显示温度异常，电压信息：显示主板及CPU电压当前值，阈值及其当前状态。当电压值超出阈值范围时，电压状态会显示异常；</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KVM overIP：KVM overIP功能；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服务器开关机：远程控制服务器开关机，主要操作有 开机，关机，强制关机，重启；显示当前服务器开关机状态；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主机加固：支持服务器厂商自研的主机安全系统加固软件，从操作系统内核实现对服务器的安全加固，与服务器同一品牌。该系统可实现内核级安全加固，增强型身份认证、服务完整性检测、注册表防篡改机制等功能。</w:t>
            </w:r>
            <w:r/>
          </w:p>
        </w:tc>
        <w:tc>
          <w:tcPr>
            <w:tcBorders>
              <w:top w:val="single" w:color="auto"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single" w:color="auto"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广播管理软件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1.软件是整个系统的运行核心，统一管理系统内所有音频终端，包括寻呼话筒、对讲终端、广播终端和消防接口设备，实时显示音频终端的IP地址、在线状态、任务状态、音量运行状态。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撑各音频终端的运行，负责音频流传输管理，响应各音频终端播放请求和音频全双工交换，支持B/S架构VN.WJ05919D，通过网页登陆可进行终端管理、用户管理、节目播放管理、音频文件管理、录音存贮、内部通讯调度处理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3.管理节目库资源，为所有音频终端器提供定时播放和实时点播媒体服务，响应各终端的节目播放请求，为各音频工作站提供数据接口服务。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4.提供全双工语音数据交换，响应各对讲终端的呼叫和通话请求，支持一键呼叫、一键对讲、一键求助、一键报警通话模式，支持自动接听、手动接听，支持自定义接听提示音。</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6.支持终端短路输入联动触发，可任意设置联动触发方案和触发终端数量，触发方案包括短路输出、音乐播放、巡更警报。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eastAsia="宋体" w:cs="宋体"/>
                <w:b/>
                <w:bCs/>
                <w:color w:val="000000"/>
                <w:sz w:val="18"/>
                <w:szCs w:val="18"/>
                <w14:ligatures w14:val="none"/>
              </w:rPr>
              <w:t xml:space="preserve">（提供功能界面截图加盖投标人公章）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9.支持定时巡更功能，支持自定义巡更任务的执行时间及重复周期，可自定义指示灯闪烁间隔时间0-30s。</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10.支持今日任务列表查看，管理今日执行的所有定时任务信息和执行状态。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11.日志记录系统运行状态，实时记录系统运行及终端工作状态，每次呼叫、通话和广播操作均有记录。</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12.支持对≥8路功率分区终端进行功率控制分区设置，通过web页面后台或分控客户端均可设置分区。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13.支持对终端设置时间显示配置，可设置1-6级别亮度值，可设置断网后不显示时间模式。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14.支持对终端设置不同的灯光模式，可分别自定义设置红灯亮、红灯灭、绿灯/蓝灯亮、绿灯/蓝灯灭时间0-10S。</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15.支持配置终端冻结时间，在终端被冻结期间禁止终端执行任务。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16.支持广播、对讲、实时采集、终端监听进行录音；支持文本广播功能，可实现将文本转成语音，支持后台调整语速。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17.支持后台换肤功能，可根据喜好自由切换皮肤主题。</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18.支持终端明细导出功能，支持通过表格方式导出当前系统终端的配置详情。支持批量修改定时任务的时间、执行终端。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19.后台功能管理模块自定义；首页快捷入口配置，入口数量提供2*3、3*3、2*4、3*4的排列布局显示。</w:t>
            </w:r>
            <w:r>
              <w:rPr>
                <w:rFonts w:hint="eastAsia" w:ascii="宋体" w:hAnsi="宋体" w:eastAsia="宋体" w:cs="宋体"/>
                <w:b/>
                <w:bCs/>
                <w:color w:val="000000"/>
                <w:sz w:val="18"/>
                <w:szCs w:val="18"/>
                <w14:ligatures w14:val="none"/>
              </w:rPr>
              <w:t xml:space="preserve">（提供功能界面截图并加盖投标人公章）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20.支持4x100级自定义配置任务优先级(服务器优先级、任务优先级、用户优先级,终端优先级），满足各种优先级任务自动调度。</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IP广播安卓APP软件</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1.支持对所有终端在线、离线、当前任务等的详细情况的查看，支持搜索终端、查看终端列表。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2.支持对终端发起一对一广播，可实时调节广播音量；支持广播室发起广播任务，可对指定终端或分组进行喊话。</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3.支持对终端发起一对一对讲，可实时调节对讲音量。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4.支持播音室建立音乐任务，可实现将广播服务器音乐（mp3格式文件）播放到指定终端或分组。</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5.支持配置任务优先级、音量、播放模式。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6.具备任务管理器功能，可管理当前播放任务，可操作上一首/下一首/暂停或恢复/任务音量/结束任务/切换播放模式；支持播放进度条拖拉功能。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7.软件支持在Android 12.0及以上版本的安卓手机运行。</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8.支持文本广播任务的发起及文本识别功能的使用。</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24口可网管交换机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1．交换容量≥336G，包转发率≥51Mpps。</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2.固化10/100/1000M以太网端口≥24个，固化1G SFP光接口≥4个。</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3.支持IPV4/IPV6静态路由。</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4.支持基础网络安全保护策略，可实现ARP等各种攻击的自动防御，保护系统各种服务的正常运行。</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7</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IP网络音箱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1.内置≥1路网络硬件音频解码模块,具有≥1路RJ45网络接口，≥100Mbps传输速率。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2.支持≥1路音频线路输入接口，具有独立的音量调节功能。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3.设备集成有数字功放，功率≥2×20W（MAX），≥1路接主音箱，≥1路外接到副音箱。</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4.内置≥2级优先级功能设计：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(1)AUX与网络背景音乐信号同级，混音输出。</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(2)网络报警信号优先AUX与网络背景音乐信号。</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5.支持IPv6、IPv4网络协议。</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56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IP网络功放</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1.设备采用标准≥19英寸机架设计，带有LCD显示屏。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2.内置≥1路网络硬件音频解码模块。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3.支持≥1路线路输入和≥1路话筒输入接口，可独立调节音量。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4.支持高低音调节电位器控制。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5.具有≥1路EMC输入接口，具有最高优先级。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6.具有≥1路音频输出接口。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7.具有≥1路三线制强切输出接口，无需强切电源。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8.集成数字功放，功率≥240W；支持定压方式输出。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9.支持通过后台软件对终端进行远程固件升级。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10.具有≥1路RJ45网络接口，≥100Mbps传输速率。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▲11.自带≥1路100V定压功率备份输入接口，可组成一主多备、多主一备、多主多备的公共打铃系统。（</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▲12.内置主备切换检测模块，断网断电以及本机故障时≤0.3秒内切换到备份功率输入，主备切换过程无卡顿、不掉字。</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壁挂</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1．额定功率（100V）：≥3W,≥6W,≥10W。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2．额定功率（70V）：≥1.5W,≥3W,≥5W。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3．灵敏度：≥91dB±3dB。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4．频率响应：130Hz-18KHz。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5．喇叭单元：≥6.5"×1。</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6．防护等级：等同或优于IP5X。</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IP网络功放终端</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1.设备采用标准≥19英寸机架设计，带有LCD显示屏。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2.内置≥1路网络硬件音频解码模块。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3.支持≥1路线路输入和≥1路话筒输入接口，可独立调节音量。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4.支持高低音调节电位器控制。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5.具有≥1路EMC输入接口，具有最高优先级。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6.具有≥1路音频输出接口。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7.具有≥1路三线制强切输出接口，无需强切电源。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8.集成数字功放，功率≥650W；支持定压方式输出。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9.支持通过后台软件对终端进行远程固件升级。</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10.具有≥1路RJ45网络接口，≥100Mbps传输速率。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▲11.自带≥1路100V定压功率备份输入接口，可组成一主多备、多主一备、多主多备的公共打铃系统。</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▲12.内置主备切换检测模块，断网断电以及本机故障时≤0.3秒内切换到备份功率输入，主备切换过程无卡顿、不掉字。</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1．额定功率(100V)：60W。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2．额定功率(70V)：30W。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3．灵敏度≥91dB。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4．频率响应：110Hz-15KHz。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5．防护等级：IP66。</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6．喇叭单元：6.5"×2+3"×1。</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纯后</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级功放</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1.采用D类数字功放技术，功率放大电路设计。</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2.额定输出功率：≥1500W。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3.具有管道式散热结构，内置自动温度控制风扇冷却系统。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4.具有≥1通道LINE不平衡TRS/XLR高品质多功能输入接口，≥1通道LINE平衡XLR级联输出。</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5.内置PFC电路和软开关电源技术，开关机自动软启动控制。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6.功放电路，零交越失真。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7.内置智能削顶失真和过流压限系统，能保护扬声器单元。</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8.具有过温、过压、欠压、过流、短路多重智能检测保护系统。</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9.具有2种定阻和定压输出模式:4-16Ω/100V可选择。</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IP终端</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1.设备采用≥19英寸机架设计，带有LCD显示屏。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2.具有≥1路线路输入接口和≥1路话筒输入接口，可独立调节音量；支持高低音调节电位器控制。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3.具有≥1路EMC输入接口，具有最高优先级；具有≥1路音频输出接口。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4.具有≥2路三线制强切输出接口，无需强切电源。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5.支持≥2路电源输出插座，内置智能电源管理，无音乐或呼叫时，自动切断输出座电源，有信号时自动打开输出座电源。</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调音台</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1.支持≥8路麦克风输入兼容6路线路输入接口，CH1-CH6线路输入接口带48V幻象开关独立控制；≥2路立体声输入接口，≥4路RCA输入接口。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2.具有≥2组立体声输出、≥4路编组输出、≥4路辅助输出、≥1个耳机监听输出、≥1个接口双路效果输出、≥1组控制室输出、≥1组主混音断点插入、≥6个断点插入。</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3.内置≥24位DSP效果器，提供≥100种预设效果。</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4.具备≥13个60mm行程的高精密碳膜推子。</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5.内置USB声卡模块，支持连接电脑进行音乐播放和声音录音；内置MP3播放器，支持≥1个USB接口接U盘播放音乐。</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前置</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放大器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1.具有≥5路话筒（MIC）输入接口，≥3路标准信号线路（AUX）输入接口，≥2路紧急线路（EMC）输入接口。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2.MIC5具有最高优先、强行切入优先功能；MIC5和EMC最高优先权限功能可通过拨动开关交替选择。</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3.紧急输入线路具有二级优先，强行切入优先功能。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4.MIC1、2、3、4、5和≥2路紧急输入（EMC）通道均附设有线路辅助输入接口功能。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5.具有默音深度调节旋钮和EMC输入增益调节旋钮。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6.MIC2、3、4、5通道灵敏度可通过拨码开关选择。</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台</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号角</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扬声器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1.额定功率(100V)：25W，50W，100W。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2.阻抗：COM，400Ω，200Ω，100Ω。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3.频率响应（-20dB）：160Hz-8KHz。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4.灵敏度（1W/1M）：114dB±3dB。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5.防水等级：IP66。</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4</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音柱</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1．额定功率(100V)：90W。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2．额定功率(70V)：45W。</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3．灵敏度≥93dB。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4．频率响应：110Hz-15KHz。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5．防护等级：IP66。</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6．喇叭单元：6.5"×3+3"×1。</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6</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1拖2无线话筒</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numPr>
                <w:ilvl w:val="0"/>
                <w:numId w:val="8"/>
              </w:num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2.具有≥1台接收主机、≥2只手持发射机；频率范围等同或优于470MHz-510MHz、540MHz-590MHz、640MHz-690MHz、807MHz-830MHz四个频段使用。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4.具有自动静音功能，麦克风跌落、抛掷时，毫秒级自动静音，避免冲击声；实时监测设备姿态，静置≥5秒静音，≥8分钟关机，无需手动干预。</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5.具有多档位混响调节功能，混响效果≥15625个，效果占比、回响延时、混响幅度调节，三种音效各具有≥25档调节方式。</w:t>
            </w:r>
            <w:r>
              <w:rPr>
                <w:rFonts w:hint="eastAsia" w:ascii="宋体" w:hAnsi="宋体" w:eastAsia="宋体" w:cs="宋体"/>
                <w:b/>
                <w:bCs/>
                <w:color w:val="000000"/>
                <w:sz w:val="18"/>
                <w:szCs w:val="18"/>
                <w14:ligatures w14:val="none"/>
              </w:rPr>
              <w:t xml:space="preserve">（提供第三方检测机构出具的检测报告扫描件或复印件并加盖投标人公章）</w:t>
            </w:r>
            <w:r>
              <w:rPr>
                <w:rFonts w:hint="eastAsia" w:ascii="宋体" w:hAnsi="宋体" w:eastAsia="宋体" w:cs="宋体"/>
                <w:b/>
                <w:bCs/>
                <w:color w:val="000000"/>
                <w:sz w:val="18"/>
                <w:szCs w:val="18"/>
                <w14:ligatures w14:val="none"/>
              </w:rPr>
              <w:br/>
            </w:r>
            <w:r>
              <w:rPr>
                <w:rFonts w:hint="eastAsia" w:ascii="宋体" w:hAnsi="宋体" w:eastAsia="宋体" w:cs="宋体"/>
                <w:color w:val="000000"/>
                <w:sz w:val="18"/>
                <w:szCs w:val="18"/>
                <w14:ligatures w14:val="none"/>
              </w:rPr>
              <w:t xml:space="preserve">6.具有多频段均衡调节功能，均衡调节≥2197种，麦克风均衡器调节功能，具有高、中、低音三种调节档位，每种效果支持≥13档调节。</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7.具有长时间续航，发射机使用时长≥10小时。</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8.具有ID码防串扰功能，采用32位唯一ID码，用于接收和发射配对，收发ID码必须相同才能对码，能够有效防止相同频率的信号相互串台。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9.接收机具有≥2个2.2英寸的TFT-LCD显示屏；发射机具有≥0.96英寸OLED显示屏，能够显示频率信息、音频加密状态、功率挡位、静音状态、电量格数信息。</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天线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放大器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1.频率范围≥470-950MHZ。</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2.端子：BNC。</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3.噪声：≤2dB。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4.增益：≥20dB。</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天线</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分配器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1.具备≥2个天线输入接口，支持接收天线信号，实现分配多路射频信号的效果。</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2.具备放大射频信号，补偿因信号功率被分配至多个输出而造成的插入损耗。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3.具备≥2个天线级联接口，支持无限制级联分配器，可实现扩展无线话筒的目的。</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4.具备≥4个直流电源输出接口，支持给≥4台接收机供电，减少适配器数量和免去繁琐布线。</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19</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话筒</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天线</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1.天线接收频段广，可接收等同或优于470-950MHZ的频率。</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2.天线极化方式：线极化。</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3.天线驻波比：≤2.0。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4.放大器增益：四档可调（-6dB/0dB/6dB/12dB)。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5.指向性：≥90度指向。</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对</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IP音频采集器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1.采集设备支持将模拟音频采集编码成数字音频，具有≥1路RJ45网络接口，支持定时采播任务、临时采播任务功能。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2.具有≥2组RCA音频输入接口，支持音量调节功能。</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3.采播任务支持≥3种采集音质可选，支持普通、中级、高级音质选择模式。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4.支持声压触发采集外部音源，智能识别音频,自动建立采集任务,可自定义执行区域,可自定义延时关闭时间。</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寻呼</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话筒</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1.桌面式，带有≥7英寸显示屏。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2.自带数字键，功能键界面。支持呼叫分区及多个分区，呼叫全区广播；支持操作呼叫或对讲任意终端。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2.内置≥1路网络硬件音频解码模块。</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4.具有≥1路3.5耳机接口，具有≥1路3.5话筒输入接口，具有≥1路短路输出接口，具有≥1路短路输入接口，具有≥1路音频线路输入接口，具有≥1路音频线路输出接口。</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5.支持≥10个按键自定义一键呼叫广播功能。</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3</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双头</w:t>
            </w:r>
            <w:r/>
          </w:p>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电控锁</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1.工作电压：DC12V~18V(常通电)；</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2.标准电压：DC12V(常通电)；</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3.启动电流：≥650mA；</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4.待机电流：≤100mA；</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5.有效感应距离：≤10mm；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6.机械开锁方式：钥匙开锁/旋钮开锁；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7.电子开锁方式：瞬间触发型(脉冲方式)；</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8.开锁信号电压：DC12V~18V；</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11.LED指示灯：绿色(开锁)/红色(上锁)；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12.适用门型：金属门木门防火门等；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13.信号反馈功能(锁状态监测)：开关量信号(长时)。</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23</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门禁机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1.系统配置：</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CPU：ARM处理器；NPU：1.0TOPS；存储：ROM:8G；操作系统：Linux。</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2.硬件参数：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显示屏:2.8英寸触摸屏，分辨率240*320；</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摄像头：双摄100万；扬声器：支持；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有线网络：10M/100M；蓝牙：支持；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WIFI：支持802.11b/g/n，支持2.4G</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补光：支持白色补光和红外补光；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接口：RJ45*1、RS485*1、门禁继电器接口*1、出门按钮*1、门磁*1、报警*1、防拆(霍尔防拆)*1；</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3.软件参数：</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人脸底库：2000人；离线记录：5000(带图)或10万(不带图)；识别距离：0.3-1.5m；识别速度：&lt;0.3s。</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门禁一体考勤机</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1.处理器：双核ARM处理器；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2.操作系统：Linux；</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3.摄像头：双摄200万，支持宽动态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4.8英寸IPS触摸屏，显示分辨；</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5.人脸底库：10000张；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6.卡片容量：10000张；</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7.识别距离：0.3-1.5m；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8.活体检测：支持；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9.有线网络：10M/100M；</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10.蓝牙：Bluetooth4.2；</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11.WIFI：支持；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12.补光:支持白色补光灯和红外补光灯；</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13.扬声器:支持；</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14.刷卡模块:支持13.56MHz非接触式IC卡(M1卡等)；</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15.接口:RJ45网口、RS485、韦根、USB</w:t>
            </w:r>
            <w:r>
              <w:rPr>
                <w:rFonts w:hint="eastAsia" w:ascii="宋体" w:hAnsi="宋体" w:eastAsia="宋体" w:cs="宋体"/>
                <w:color w:val="000000"/>
                <w:sz w:val="18"/>
                <w:szCs w:val="18"/>
                <w14:ligatures w14:val="none"/>
              </w:rPr>
              <w:br/>
            </w:r>
            <w:r>
              <w:rPr>
                <w:rFonts w:hint="eastAsia" w:ascii="宋体" w:hAnsi="宋体" w:eastAsia="宋体" w:cs="宋体"/>
                <w:color w:val="000000"/>
                <w:sz w:val="18"/>
                <w:szCs w:val="18"/>
                <w14:ligatures w14:val="none"/>
              </w:rPr>
              <w:t xml:space="preserve">16.含防雨罩2个，1.5-1.6米立杆2只，配套线材等。</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25</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电动闭门器</w:t>
            </w:r>
            <w:r/>
          </w:p>
        </w:tc>
        <w:tc>
          <w:tcPr>
            <w:tcBorders>
              <w:top w:val="none" w:color="000000" w:sz="4" w:space="0"/>
              <w:left w:val="none" w:color="000000" w:sz="4" w:space="0"/>
              <w:bottom w:val="single" w:color="auto" w:sz="4" w:space="0"/>
              <w:right w:val="single" w:color="auto" w:sz="4" w:space="0"/>
            </w:tcBorders>
            <w:tcW w:w="6600" w:type="dxa"/>
            <w:vAlign w:val="bottom"/>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侧装开门，材质：铝合金；电机功率:60W，电机扭矩:80N.m，输入电压:220V，工作电压:24V。</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套</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26</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电源线</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RVV2*1.5。</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2000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米</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27</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PE管</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直径32。</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2200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米</w:t>
            </w:r>
            <w:r/>
          </w:p>
        </w:tc>
      </w:tr>
      <w:tr>
        <w:trPr>
          <w:jc w:val="center"/>
          <w:trHeight w:val="600"/>
        </w:trPr>
        <w:tc>
          <w:tcPr>
            <w:tcBorders>
              <w:top w:val="none" w:color="000000" w:sz="4" w:space="0"/>
              <w:left w:val="single" w:color="auto" w:sz="4" w:space="0"/>
              <w:bottom w:val="single" w:color="auto" w:sz="4" w:space="0"/>
              <w:right w:val="single" w:color="auto" w:sz="4" w:space="0"/>
            </w:tcBorders>
            <w:tcW w:w="529" w:type="dxa"/>
            <w:vAlign w:val="center"/>
            <w:textDirection w:val="lrTb"/>
            <w:noWrap/>
          </w:tcPr>
          <w:p>
            <w:pPr>
              <w:jc w:val="both"/>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28</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立杆</w:t>
            </w:r>
            <w:r/>
          </w:p>
        </w:tc>
        <w:tc>
          <w:tcPr>
            <w:tcBorders>
              <w:top w:val="none" w:color="000000" w:sz="4" w:space="0"/>
              <w:left w:val="none" w:color="000000" w:sz="4" w:space="0"/>
              <w:bottom w:val="single" w:color="auto" w:sz="4" w:space="0"/>
              <w:right w:val="single" w:color="auto" w:sz="4" w:space="0"/>
            </w:tcBorders>
            <w:tcW w:w="6600" w:type="dxa"/>
            <w:vAlign w:val="center"/>
            <w:textDirection w:val="lrTb"/>
            <w:noWrap w:val="false"/>
          </w:tcPr>
          <w:p>
            <w:pPr>
              <w:jc w:val="lef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none"/>
              </w:rPr>
              <w:t xml:space="preserve">3米不锈钢立杆含地笼。</w:t>
            </w:r>
            <w:r/>
          </w:p>
        </w:tc>
        <w:tc>
          <w:tcPr>
            <w:tcBorders>
              <w:top w:val="none" w:color="000000" w:sz="4" w:space="0"/>
              <w:left w:val="single" w:color="auto" w:sz="4" w:space="0"/>
              <w:bottom w:val="single" w:color="auto" w:sz="4" w:space="0"/>
              <w:right w:val="single" w:color="auto" w:sz="4" w:space="0"/>
            </w:tcBorders>
            <w:tcW w:w="500" w:type="dxa"/>
            <w:vAlign w:val="center"/>
            <w:textDirection w:val="lrTb"/>
            <w:noWrap w:val="false"/>
          </w:tcPr>
          <w:p>
            <w:pPr>
              <w:jc w:val="center"/>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10</w:t>
            </w:r>
            <w:r/>
          </w:p>
        </w:tc>
        <w:tc>
          <w:tcPr>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right"/>
              <w:spacing w:after="0" w:line="240" w:lineRule="auto"/>
              <w:widowControl/>
              <w:rPr>
                <w:rFonts w:hint="eastAsia" w:ascii="宋体" w:hAnsi="宋体" w:eastAsia="宋体" w:cs="宋体"/>
                <w:color w:val="000000"/>
                <w:sz w:val="18"/>
                <w:szCs w:val="18"/>
                <w14:ligatures w14:val="none"/>
              </w:rPr>
            </w:pPr>
            <w:r>
              <w:rPr>
                <w:rFonts w:hint="eastAsia" w:ascii="宋体" w:hAnsi="宋体" w:eastAsia="宋体" w:cs="宋体"/>
                <w:color w:val="000000"/>
                <w:sz w:val="18"/>
                <w:szCs w:val="18"/>
                <w14:ligatures w14:val="standardContextual"/>
              </w:rPr>
              <w:t xml:space="preserve">个</w:t>
            </w:r>
            <w:r/>
          </w:p>
        </w:tc>
      </w:tr>
    </w:tbl>
    <w:p>
      <w:pPr>
        <w:ind w:firstLine="63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”项参数响应情况按要求提供证明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lang w:eastAsia="zh-CN"/>
        </w:rPr>
        <w:t xml:space="preserve">，非“</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”项参数响应情况：（</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）技术指标如须提供证明材料的按要求提供证明材料；（</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）技术指标如无需提供证明材料，在技术偏离表中作出是否偏离，按实填写。</w:t>
      </w:r>
      <w:r/>
    </w:p>
    <w:p>
      <w:pPr>
        <w:ind w:firstLine="105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710"/>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1、安装和调试：中标供应商负责全过程的施工、安装、调试、试运行工作；</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2、实施进度要求：供应商进场施工要提供施工进度计划表，施工进度计划表需要需方确认。供方保证项目实施的技术力量必须按时完工；</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3、施工安全要求：供方在施工过程中，应严格遵守安全施工的相关规范，应按相应安全规程操作，如在施工过程中发生安全事故，责任由供方自负；</w:t>
      </w:r>
      <w:r/>
    </w:p>
    <w:p>
      <w:pPr>
        <w:ind w:firstLine="422"/>
        <w:jc w:val="left"/>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实施完整性：中标供应商要充分综合考虑采购项目功能完整性，在现有采购清单基础上优化，不得删减设备和服务，不得降低现有采购清单参数和功能，优化方案必须经过采购人同意后方可实施，相关费用中标人自行承担。</w:t>
      </w:r>
      <w:r/>
    </w:p>
    <w:p>
      <w:pPr>
        <w:ind w:firstLine="422"/>
        <w:jc w:val="left"/>
        <w:spacing w:line="360" w:lineRule="auto"/>
        <w:rPr>
          <w:rFonts w:hint="eastAsia" w:ascii="宋体" w:hAnsi="宋体" w:eastAsia="宋体" w:cs="宋体"/>
          <w:b w:val="0"/>
          <w:bCs/>
          <w:i w:val="0"/>
          <w:iCs w:val="0"/>
          <w:color w:val="auto"/>
          <w:sz w:val="21"/>
          <w:szCs w:val="21"/>
          <w:highlight w:val="none"/>
          <w:u w:val="none"/>
          <w:lang w:val="en-US" w:eastAsia="zh-CN"/>
        </w:rPr>
      </w:pPr>
      <w:r>
        <w:rPr>
          <w:rFonts w:hint="eastAsia" w:ascii="宋体" w:hAnsi="宋体" w:eastAsia="宋体" w:cs="宋体"/>
          <w:b w:val="0"/>
          <w:bCs/>
          <w:i w:val="0"/>
          <w:iCs w:val="0"/>
          <w:color w:val="auto"/>
          <w:sz w:val="21"/>
          <w:szCs w:val="21"/>
          <w:highlight w:val="none"/>
          <w:u w:val="none"/>
          <w:lang w:val="en-US" w:eastAsia="zh-CN"/>
        </w:rPr>
        <w:t xml:space="preserve">5、投标人应如实填写参数偏离表，如发现虚假响应将取消其中标资格，并列入不诚信名单。</w:t>
      </w:r>
      <w:r/>
    </w:p>
    <w:p>
      <w:pPr>
        <w:ind w:firstLine="422"/>
        <w:jc w:val="left"/>
        <w:spacing w:line="360" w:lineRule="auto"/>
        <w:rPr>
          <w:rFonts w:hint="eastAsia" w:ascii="宋体" w:hAnsi="宋体" w:eastAsia="宋体" w:cs="宋体"/>
          <w:b/>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w:t xml:space="preserve">1.</w:t>
      </w:r>
      <w:r>
        <w:rPr>
          <w:rFonts w:hint="eastAsia" w:ascii="宋体" w:hAnsi="宋体" w:eastAsia="宋体" w:cs="宋体"/>
          <w:b w:val="0"/>
          <w:bCs w:val="0"/>
          <w:i w:val="0"/>
          <w:iCs w:val="0"/>
          <w:color w:val="auto"/>
          <w:sz w:val="21"/>
          <w:szCs w:val="21"/>
          <w:highlight w:val="none"/>
          <w:u w:val="none"/>
          <w:lang w:val="en-US" w:eastAsia="zh-CN"/>
        </w:rPr>
        <w:t xml:space="preserve">合同履行期限（</w:t>
      </w:r>
      <w:r>
        <w:rPr>
          <w:rFonts w:hint="eastAsia" w:ascii="宋体" w:hAnsi="宋体" w:eastAsia="宋体" w:cs="宋体"/>
          <w:b w:val="0"/>
          <w:bCs w:val="0"/>
          <w:i w:val="0"/>
          <w:iCs w:val="0"/>
          <w:color w:val="auto"/>
          <w:sz w:val="21"/>
          <w:szCs w:val="21"/>
          <w:highlight w:val="none"/>
          <w:u w:val="none"/>
        </w:rPr>
        <w:t xml:space="preserve">交货期</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eastAsia="宋体" w:cs="宋体"/>
          <w:b w:val="0"/>
          <w:bCs w:val="0"/>
          <w:i w:val="0"/>
          <w:iCs w:val="0"/>
          <w:color w:val="auto"/>
          <w:sz w:val="21"/>
          <w:szCs w:val="21"/>
          <w:highlight w:val="none"/>
          <w:u w:val="none"/>
          <w:lang w:eastAsia="zh-CN"/>
        </w:rPr>
        <w:t xml:space="preserve">合同签订后</w:t>
      </w:r>
      <w:r>
        <w:rPr>
          <w:rFonts w:hint="eastAsia" w:ascii="宋体" w:hAnsi="宋体" w:eastAsia="宋体" w:cs="宋体"/>
          <w:b w:val="0"/>
          <w:bCs w:val="0"/>
          <w:i w:val="0"/>
          <w:iCs w:val="0"/>
          <w:color w:val="auto"/>
          <w:sz w:val="21"/>
          <w:szCs w:val="21"/>
          <w:highlight w:val="none"/>
          <w:u w:val="none"/>
          <w:lang w:val="en-US" w:eastAsia="zh-CN"/>
        </w:rPr>
        <w:t xml:space="preserve">35日历天</w:t>
      </w:r>
      <w:r>
        <w:rPr>
          <w:rFonts w:hint="eastAsia" w:ascii="宋体" w:hAnsi="宋体" w:eastAsia="宋体" w:cs="宋体"/>
          <w:b w:val="0"/>
          <w:bCs w:val="0"/>
          <w:i w:val="0"/>
          <w:iCs w:val="0"/>
          <w:color w:val="auto"/>
          <w:sz w:val="21"/>
          <w:szCs w:val="21"/>
          <w:highlight w:val="none"/>
          <w:u w:val="none"/>
        </w:rPr>
        <w:t xml:space="preserve">内完成供货、安装调试，上线试运行，</w:t>
      </w:r>
      <w:r>
        <w:rPr>
          <w:rFonts w:hint="eastAsia" w:ascii="宋体" w:hAnsi="宋体" w:eastAsia="宋体" w:cs="宋体"/>
          <w:b w:val="0"/>
          <w:bCs w:val="0"/>
          <w:i w:val="0"/>
          <w:iCs w:val="0"/>
          <w:color w:val="auto"/>
          <w:sz w:val="21"/>
          <w:szCs w:val="21"/>
          <w:highlight w:val="none"/>
          <w:u w:val="none"/>
          <w:lang w:eastAsia="zh-CN"/>
        </w:rPr>
        <w:t xml:space="preserve">初步验收合格</w:t>
      </w:r>
      <w:r>
        <w:rPr>
          <w:rFonts w:hint="eastAsia" w:ascii="宋体" w:hAnsi="宋体" w:eastAsia="宋体" w:cs="宋体"/>
          <w:b w:val="0"/>
          <w:bCs w:val="0"/>
          <w:i w:val="0"/>
          <w:iCs w:val="0"/>
          <w:color w:val="auto"/>
          <w:sz w:val="21"/>
          <w:szCs w:val="21"/>
          <w:highlight w:val="none"/>
          <w:u w:val="none"/>
        </w:rPr>
        <w:t xml:space="preserve">。</w:t>
      </w:r>
      <w:r/>
    </w:p>
    <w:p>
      <w:pPr>
        <w:ind w:firstLine="422"/>
        <w:jc w:val="left"/>
        <w:spacing w:line="36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2.供货地点：</w:t>
      </w:r>
      <w:r>
        <w:rPr>
          <w:rFonts w:hint="eastAsia" w:ascii="宋体" w:hAnsi="宋体" w:eastAsia="宋体" w:cs="宋体"/>
          <w:b w:val="0"/>
          <w:bCs w:val="0"/>
          <w:i w:val="0"/>
          <w:iCs w:val="0"/>
          <w:color w:val="auto"/>
          <w:sz w:val="21"/>
          <w:szCs w:val="21"/>
          <w:highlight w:val="none"/>
          <w:u w:val="none"/>
        </w:rPr>
        <w:t xml:space="preserve">采购人</w:t>
      </w:r>
      <w:r>
        <w:rPr>
          <w:rFonts w:hint="eastAsia" w:ascii="宋体" w:hAnsi="宋体" w:eastAsia="宋体" w:cs="宋体"/>
          <w:b w:val="0"/>
          <w:bCs w:val="0"/>
          <w:i w:val="0"/>
          <w:iCs w:val="0"/>
          <w:color w:val="auto"/>
          <w:sz w:val="21"/>
          <w:szCs w:val="21"/>
          <w:highlight w:val="none"/>
          <w:u w:val="none"/>
          <w:lang w:val="en-US" w:eastAsia="zh-CN"/>
        </w:rPr>
        <w:t xml:space="preserve">指定地点</w:t>
      </w:r>
      <w:r>
        <w:rPr>
          <w:rFonts w:hint="eastAsia" w:ascii="宋体" w:hAnsi="宋体" w:eastAsia="宋体" w:cs="宋体"/>
          <w:b w:val="0"/>
          <w:bCs w:val="0"/>
          <w:i w:val="0"/>
          <w:iCs w:val="0"/>
          <w:color w:val="auto"/>
          <w:sz w:val="21"/>
          <w:szCs w:val="21"/>
          <w:highlight w:val="none"/>
          <w:u w:val="none"/>
          <w:lang w:eastAsia="zh-CN"/>
        </w:rPr>
        <w:t xml:space="preserve">。</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本项目验收以招投标文件、合同文件、第三方检测及国家标准规范为质量评定标准。</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设备到达采购人现场前，应提前通知采购人做好接收准备，设备到达现场后由采购人会同有关单位和人员根据清单进行现场商检和验收；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货物安装调试完成后，中标人须提供产品合格证、主要货物厂家质保书、保修证明等书面资料，并报请采购人进行检测验收。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本项目的最终用户为招标人，中标人必须提供本项目的所有文档。项目建成后，移交前文档资料准备应包括以下三部分资料：</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）工程过程的指导性文件：如技术交底、招投标文档、项目实际进度执行情况、系统日常操作与维护手册等。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）项目运作过程的记录性文件：如各种验收记录、系统修改日记等。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）项目过程的质量保证性文件：如设备签收记录、系统测试报告等。</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具备以下条件，方可通过验收：</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 经验收，设备及系统的各类性能及指标完全符合招标文件的技术要求、用途及功能需求。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 初验中出现的问题，已由中标人全部做好处理（永久性的而非临时性的），并经再次检测合格。</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合同规定的技术文件，除竣工验收文件外，其它已经如数提交给采购人。</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合同规定由中标供应商提供的技术服务已经实现。</w:t>
      </w:r>
      <w:r/>
    </w:p>
    <w:p>
      <w:pPr>
        <w:ind w:firstLine="422"/>
        <w:jc w:val="left"/>
        <w:spacing w:line="360" w:lineRule="auto"/>
        <w:rPr>
          <w:rFonts w:hint="eastAsia" w:ascii="宋体" w:hAnsi="宋体" w:eastAsia="宋体" w:cs="宋体"/>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i w:val="0"/>
          <w:iCs w:val="0"/>
          <w:color w:val="auto"/>
          <w:sz w:val="21"/>
          <w:szCs w:val="21"/>
          <w:highlight w:val="none"/>
          <w:u w:val="none"/>
        </w:rPr>
        <w:t xml:space="preserve">质保期：</w:t>
      </w: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eastAsia="宋体" w:cs="宋体"/>
          <w:b w:val="0"/>
          <w:bCs w:val="0"/>
          <w:i w:val="0"/>
          <w:iCs w:val="0"/>
          <w:color w:val="auto"/>
          <w:sz w:val="21"/>
          <w:szCs w:val="21"/>
          <w:highlight w:val="none"/>
          <w:u w:val="none"/>
        </w:rPr>
        <w:t xml:space="preserve">年。质保期间，</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承担维修、保养、安检、调换等，相关费用包含在预算内，采购方不再支付任何费用；对于采购方人为原因造成的故障，</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只收取维保成本费用。</w:t>
      </w:r>
      <w:r/>
    </w:p>
    <w:p>
      <w:pPr>
        <w:ind w:firstLine="422"/>
        <w:jc w:val="left"/>
        <w:spacing w:line="360" w:lineRule="auto"/>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eastAsia="宋体" w:cs="宋体"/>
          <w:b w:val="0"/>
          <w:bCs w:val="0"/>
          <w:i w:val="0"/>
          <w:iCs w:val="0"/>
          <w:color w:val="auto"/>
          <w:sz w:val="21"/>
          <w:szCs w:val="21"/>
          <w:highlight w:val="none"/>
          <w:u w:val="none"/>
        </w:rPr>
        <w:t xml:space="preserve">本</w:t>
      </w:r>
      <w:r>
        <w:rPr>
          <w:rFonts w:hint="eastAsia" w:ascii="宋体" w:hAnsi="宋体" w:eastAsia="宋体" w:cs="宋体"/>
          <w:b w:val="0"/>
          <w:bCs w:val="0"/>
          <w:i w:val="0"/>
          <w:iCs w:val="0"/>
          <w:color w:val="auto"/>
          <w:sz w:val="21"/>
          <w:szCs w:val="21"/>
          <w:highlight w:val="none"/>
          <w:u w:val="none"/>
          <w:lang w:val="en-US" w:eastAsia="zh-CN"/>
        </w:rPr>
        <w:t xml:space="preserve">招标项目</w:t>
      </w:r>
      <w:r>
        <w:rPr>
          <w:rFonts w:hint="eastAsia" w:ascii="宋体" w:hAnsi="宋体" w:eastAsia="宋体" w:cs="宋体"/>
          <w:b w:val="0"/>
          <w:bCs w:val="0"/>
          <w:i w:val="0"/>
          <w:iCs w:val="0"/>
          <w:color w:val="auto"/>
          <w:sz w:val="21"/>
          <w:szCs w:val="21"/>
          <w:highlight w:val="none"/>
          <w:u w:val="none"/>
        </w:rPr>
        <w:t xml:space="preserve">需要</w:t>
      </w:r>
      <w:r>
        <w:rPr>
          <w:rFonts w:hint="eastAsia" w:ascii="宋体" w:hAnsi="宋体" w:eastAsia="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rPr>
        <w:t xml:space="preserve">提供24小时售后服务。</w:t>
      </w:r>
      <w:r/>
    </w:p>
    <w:p>
      <w:pPr>
        <w:numPr>
          <w:ilvl w:val="0"/>
          <w:numId w:val="0"/>
        </w:numPr>
        <w:ind w:firstLine="422"/>
        <w:jc w:val="left"/>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eastAsia="宋体" w:cs="Times New Roman"/>
          <w:b w:val="0"/>
          <w:bCs/>
          <w:sz w:val="24"/>
          <w:szCs w:val="24"/>
          <w:highlight w:val="none"/>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2"/>
        <w:jc w:val="left"/>
        <w:spacing w:line="360" w:lineRule="auto"/>
        <w:rPr>
          <w:rFonts w:hint="default" w:ascii="宋体" w:hAnsi="宋体" w:eastAsia="宋体" w:cs="宋体"/>
          <w:b w:val="0"/>
          <w:bCs/>
          <w:i w:val="0"/>
          <w:iCs w:val="0"/>
          <w:color w:val="auto"/>
          <w:sz w:val="21"/>
          <w:szCs w:val="21"/>
          <w:highlight w:val="none"/>
          <w:u w:val="none"/>
          <w:lang w:val="en-US" w:eastAsia="zh-CN"/>
        </w:rPr>
      </w:pPr>
      <w:r>
        <w:rPr>
          <w:rFonts w:hint="eastAsia" w:ascii="宋体" w:hAnsi="宋体" w:eastAsia="宋体" w:cs="宋体"/>
          <w:b w:val="0"/>
          <w:bCs/>
          <w:i w:val="0"/>
          <w:iCs w:val="0"/>
          <w:color w:val="auto"/>
          <w:sz w:val="21"/>
          <w:szCs w:val="21"/>
          <w:highlight w:val="none"/>
          <w:u w:val="none"/>
          <w:lang w:val="en-US" w:eastAsia="zh-CN"/>
        </w:rPr>
        <w:t xml:space="preserve">投标人应综合考虑投标报价，投标报价须包含但不限于全部设备、材料备品备件、包装费、运杂费（运抵现场）、卸货费、现场保管费、运输保险费、成品保护费、安装费、调试费、产品使用培训费、售后服务、代理费、有关部门验收费用、各项有关规费和政策性规定费用及投标人确认为需要的其它费用等各种费用。投标报价不得超过最高限价。</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i/>
          <w:iCs/>
          <w:color w:val="auto"/>
          <w:sz w:val="21"/>
          <w:szCs w:val="21"/>
          <w:highlight w:val="red"/>
          <w:lang w:val="en-US" w:eastAsia="zh-CN"/>
        </w:rPr>
      </w:pPr>
      <w:r>
        <w:rPr>
          <w:rFonts w:hint="eastAsia" w:eastAsia="宋体" w:cs="Times New Roman"/>
          <w:b w:val="0"/>
          <w:bCs/>
          <w:sz w:val="24"/>
          <w:szCs w:val="24"/>
          <w:highlight w:val="none"/>
        </w:rPr>
        <w:t xml:space="preserve">★</w:t>
      </w:r>
      <w:r>
        <w:rPr>
          <w:rFonts w:hint="eastAsia" w:ascii="宋体" w:hAnsi="宋体" w:eastAsia="宋体" w:cs="宋体"/>
          <w:b w:val="0"/>
          <w:bCs w:val="0"/>
          <w:i w:val="0"/>
          <w:iCs w:val="0"/>
          <w:color w:val="auto"/>
          <w:sz w:val="21"/>
          <w:szCs w:val="21"/>
          <w:highlight w:val="none"/>
          <w:u w:val="none"/>
          <w:lang w:val="en-US" w:eastAsia="zh-CN"/>
        </w:rPr>
        <w:t xml:space="preserve">1.</w:t>
      </w:r>
      <w:r>
        <w:rPr>
          <w:rFonts w:hint="eastAsia" w:ascii="宋体" w:hAnsi="宋体" w:eastAsia="宋体" w:cs="宋体"/>
          <w:b w:val="0"/>
          <w:bCs w:val="0"/>
          <w:i w:val="0"/>
          <w:iCs w:val="0"/>
          <w:color w:val="auto"/>
          <w:sz w:val="21"/>
          <w:szCs w:val="21"/>
          <w:highlight w:val="none"/>
          <w:u w:val="none"/>
        </w:rPr>
        <w:t xml:space="preserve">付款方式</w:t>
      </w:r>
      <w:r>
        <w:rPr>
          <w:rFonts w:hint="eastAsia" w:ascii="宋体" w:hAnsi="宋体" w:eastAsia="宋体" w:cs="宋体"/>
          <w:b w:val="0"/>
          <w:bCs w:val="0"/>
          <w:i w:val="0"/>
          <w:iCs w:val="0"/>
          <w:color w:val="auto"/>
          <w:sz w:val="21"/>
          <w:szCs w:val="21"/>
          <w:highlight w:val="none"/>
          <w:u w:val="none"/>
          <w:lang w:eastAsia="zh-CN"/>
        </w:rPr>
        <w:t xml:space="preserve">：合同签订安装调试达到预期效果，经验收合格后支付合同总金额70%，验收合格满一年后支付合同总金额的20%(以验收合格日期为依据)，验收合格满两年后付清余款(无息)。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360" w:lineRule="auto"/>
        <w:rPr>
          <w:rFonts w:hint="eastAsia" w:ascii="宋体" w:hAnsi="宋体" w:eastAsia="宋体" w:cs="宋体"/>
          <w:color w:val="auto"/>
          <w:sz w:val="24"/>
          <w:szCs w:val="24"/>
          <w:highlight w:val="none"/>
        </w:rPr>
      </w:pPr>
      <w:r/>
      <w:bookmarkStart w:id="13" w:name="_Toc162361614"/>
      <w:r/>
      <w:r/>
    </w:p>
    <w:p>
      <w:pPr>
        <w:pStyle w:val="709"/>
        <w:jc w:val="center"/>
        <w:spacing w:line="360" w:lineRule="auto"/>
        <w:rPr>
          <w:rFonts w:hint="eastAsia" w:ascii="宋体" w:hAnsi="宋体" w:eastAsia="宋体" w:cs="宋体"/>
          <w:b w:val="0"/>
          <w:color w:val="auto"/>
          <w:highlight w:val="none"/>
        </w:rPr>
      </w:pPr>
      <w:r/>
      <w:bookmarkStart w:id="14" w:name="_Toc26840"/>
      <w:r>
        <w:rPr>
          <w:rFonts w:hint="eastAsia" w:ascii="宋体" w:hAnsi="宋体" w:eastAsia="宋体" w:cs="宋体"/>
          <w:b w:val="0"/>
          <w:color w:val="auto"/>
          <w:highlight w:val="none"/>
        </w:rPr>
        <w:t xml:space="preserve">第五章  评标方法与评标标准</w:t>
      </w:r>
      <w:bookmarkEnd w:id="13"/>
      <w:r/>
      <w:bookmarkEnd w:id="14"/>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分。</w:t>
      </w:r>
      <w:r/>
    </w:p>
    <w:p>
      <w:pPr>
        <w:jc w:val="both"/>
        <w:spacing w:after="0" w:line="360" w:lineRule="auto"/>
        <w:rPr>
          <w:rFonts w:hint="default" w:ascii="宋体" w:hAnsi="Times New Roman" w:eastAsia="宋体" w:cs="Times New Roman"/>
          <w:b/>
          <w:color w:val="000000"/>
          <w:sz w:val="24"/>
          <w:szCs w:val="24"/>
          <w14:ligatures w14:val="none"/>
        </w:rPr>
      </w:pPr>
      <w:r>
        <w:rPr>
          <w:rFonts w:hint="default" w:ascii="宋体" w:hAnsi="Times New Roman" w:eastAsia="宋体" w:cs="Times New Roman"/>
          <w:b/>
          <w:color w:val="000000"/>
          <w:sz w:val="24"/>
          <w:szCs w:val="24"/>
          <w14:ligatures w14:val="none"/>
        </w:rPr>
        <w:t xml:space="preserve">1.价格分（40分）</w:t>
      </w:r>
      <w:r/>
    </w:p>
    <w:p>
      <w:pPr>
        <w:ind w:firstLine="480"/>
        <w:jc w:val="both"/>
        <w:spacing w:after="0" w:line="360" w:lineRule="auto"/>
        <w:rPr>
          <w:rFonts w:hint="eastAsia" w:ascii="宋体" w:hAnsi="宋体" w:eastAsia="宋体" w:cs="Times New Roman"/>
          <w:color w:val="000000"/>
          <w:sz w:val="24"/>
          <w:szCs w:val="24"/>
          <w14:ligatures w14:val="none"/>
        </w:rPr>
      </w:pPr>
      <w:r>
        <w:rPr>
          <w:rFonts w:hint="default" w:ascii="宋体" w:hAnsi="宋体" w:eastAsia="宋体" w:cs="Times New Roman"/>
          <w:color w:val="000000"/>
          <w:sz w:val="24"/>
          <w:szCs w:val="24"/>
          <w14:ligatures w14:val="none"/>
        </w:rPr>
        <w:t xml:space="preserve">采用低价优先法计算，即满足招标文件要求且投标价格最低的投标报价为评标基准价，其价格分为满分。其他投标人的价格分统一按照下列公式计算：</w:t>
      </w:r>
      <w:r/>
    </w:p>
    <w:p>
      <w:pPr>
        <w:ind w:firstLine="480"/>
        <w:jc w:val="both"/>
        <w:spacing w:after="0" w:line="360" w:lineRule="auto"/>
        <w:rPr>
          <w:rFonts w:hint="eastAsia" w:ascii="宋体" w:hAnsi="宋体" w:eastAsia="宋体" w:cs="Times New Roman"/>
          <w:color w:val="000000"/>
          <w:sz w:val="24"/>
          <w:szCs w:val="24"/>
          <w14:ligatures w14:val="none"/>
        </w:rPr>
      </w:pPr>
      <w:r>
        <w:rPr>
          <w:rFonts w:hint="default" w:ascii="宋体" w:hAnsi="宋体" w:eastAsia="宋体" w:cs="Times New Roman"/>
          <w:color w:val="000000"/>
          <w:sz w:val="24"/>
          <w:szCs w:val="24"/>
          <w14:ligatures w14:val="none"/>
        </w:rPr>
        <w:t xml:space="preserve">投标报价得分=（评标基准价/投标报价）×40分</w:t>
      </w:r>
      <w:r/>
    </w:p>
    <w:p>
      <w:pPr>
        <w:ind w:firstLine="480"/>
        <w:jc w:val="both"/>
        <w:spacing w:after="0" w:line="360" w:lineRule="auto"/>
        <w:rPr>
          <w:rFonts w:hint="eastAsia" w:ascii="宋体" w:hAnsi="宋体" w:eastAsia="宋体" w:cs="Times New Roman"/>
          <w:color w:val="000000"/>
          <w:sz w:val="24"/>
          <w:szCs w:val="24"/>
          <w14:ligatures w14:val="none"/>
        </w:rPr>
      </w:pPr>
      <w:r>
        <w:rPr>
          <w:rFonts w:hint="default" w:ascii="宋体" w:hAnsi="Times New Roman" w:eastAsia="宋体" w:cs="Times New Roman"/>
          <w:color w:val="000000"/>
          <w:sz w:val="24"/>
          <w:szCs w:val="24"/>
          <w14:ligatures w14:val="none"/>
        </w:rPr>
        <w:t xml:space="preserve">因落</w:t>
      </w:r>
      <w:r>
        <w:rPr>
          <w:rFonts w:hint="default" w:ascii="宋体" w:hAnsi="宋体" w:eastAsia="宋体" w:cs="Times New Roman"/>
          <w:color w:val="000000"/>
          <w:sz w:val="24"/>
          <w:szCs w:val="24"/>
          <w14:ligatures w14:val="none"/>
        </w:rPr>
        <w:t xml:space="preserve">实政府采购政策进行价格调整的，以调整后的价格计算评标基准价和投标报价，小数点后保留两位。</w:t>
      </w:r>
      <w:r/>
    </w:p>
    <w:p>
      <w:pPr>
        <w:jc w:val="both"/>
        <w:spacing w:after="0" w:line="360" w:lineRule="auto"/>
        <w:rPr>
          <w:rFonts w:hint="eastAsia" w:ascii="宋体" w:hAnsi="宋体" w:eastAsia="宋体" w:cs="Times New Roman"/>
          <w:b/>
          <w:color w:val="000000"/>
          <w:sz w:val="24"/>
          <w:szCs w:val="24"/>
          <w14:ligatures w14:val="none"/>
        </w:rPr>
      </w:pPr>
      <w:r>
        <w:rPr>
          <w:rFonts w:hint="default" w:ascii="宋体" w:hAnsi="宋体" w:eastAsia="宋体" w:cs="Times New Roman"/>
          <w:b/>
          <w:color w:val="000000"/>
          <w:sz w:val="24"/>
          <w:szCs w:val="24"/>
          <w14:ligatures w14:val="none"/>
        </w:rPr>
        <w:t xml:space="preserve">2.商务技术分（60分）</w:t>
      </w:r>
      <w:r/>
    </w:p>
    <w:tbl>
      <w:tblPr>
        <w:tblStyle w:val="71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6767"/>
        <w:gridCol w:w="816"/>
      </w:tblGrid>
      <w:tr>
        <w:trPr>
          <w:jc w:val="center"/>
          <w:trHeight w:val="474"/>
        </w:trPr>
        <w:tc>
          <w:tcPr>
            <w:tcW w:w="917" w:type="dxa"/>
            <w:vAlign w:val="center"/>
            <w:textDirection w:val="lrTb"/>
            <w:noWrap w:val="false"/>
          </w:tcPr>
          <w:p>
            <w:pPr>
              <w:ind w:firstLine="240"/>
              <w:jc w:val="both"/>
              <w:spacing w:after="0" w:line="360" w:lineRule="auto"/>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序号</w:t>
            </w:r>
            <w:r/>
          </w:p>
        </w:tc>
        <w:tc>
          <w:tcPr>
            <w:tcW w:w="6767" w:type="dxa"/>
            <w:vAlign w:val="center"/>
            <w:textDirection w:val="lrTb"/>
            <w:noWrap w:val="false"/>
          </w:tcPr>
          <w:p>
            <w:pPr>
              <w:ind w:firstLine="482"/>
              <w:jc w:val="center"/>
              <w:spacing w:after="0" w:line="360" w:lineRule="auto"/>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打分办法</w:t>
            </w:r>
            <w:r/>
          </w:p>
        </w:tc>
        <w:tc>
          <w:tcPr>
            <w:tcW w:w="816" w:type="dxa"/>
            <w:vAlign w:val="center"/>
            <w:textDirection w:val="lrTb"/>
            <w:noWrap w:val="false"/>
          </w:tcPr>
          <w:p>
            <w:pPr>
              <w:jc w:val="both"/>
              <w:spacing w:after="0" w:line="360" w:lineRule="auto"/>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得分</w:t>
            </w:r>
            <w:r/>
          </w:p>
        </w:tc>
      </w:tr>
      <w:tr>
        <w:trPr>
          <w:jc w:val="center"/>
          <w:trHeight w:val="2435"/>
        </w:trPr>
        <w:tc>
          <w:tcPr>
            <w:tcW w:w="917" w:type="dxa"/>
            <w:vAlign w:val="center"/>
            <w:vMerge w:val="restart"/>
            <w:textDirection w:val="lrTb"/>
            <w:noWrap w:val="false"/>
          </w:tcPr>
          <w:p>
            <w:pPr>
              <w:ind w:right="-59"/>
              <w:jc w:val="both"/>
              <w:spacing w:after="0" w:line="400" w:lineRule="exact"/>
              <w:rPr>
                <w:rFonts w:hint="eastAsia" w:ascii="宋体" w:hAnsi="宋体" w:eastAsia="宋体" w:cs="宋体"/>
                <w:b/>
                <w:color w:val="000000"/>
                <w:sz w:val="21"/>
                <w:szCs w:val="21"/>
                <w14:ligatures w14:val="none"/>
              </w:rPr>
            </w:pPr>
            <w:r>
              <w:rPr>
                <w:rFonts w:hint="default" w:ascii="宋体" w:hAnsi="宋体" w:eastAsia="宋体" w:cs="宋体"/>
                <w:b/>
                <w:color w:val="000000"/>
                <w:sz w:val="21"/>
                <w:szCs w:val="21"/>
                <w14:ligatures w14:val="none"/>
              </w:rPr>
              <w:t xml:space="preserve">技术</w:t>
            </w:r>
            <w:r/>
          </w:p>
          <w:p>
            <w:pPr>
              <w:jc w:val="both"/>
              <w:spacing w:after="0" w:line="400" w:lineRule="exact"/>
              <w:rPr>
                <w:rFonts w:hint="eastAsia" w:ascii="宋体" w:hAnsi="宋体" w:eastAsia="宋体" w:cs="宋体"/>
                <w:b/>
                <w:color w:val="000000"/>
                <w:sz w:val="21"/>
                <w:szCs w:val="21"/>
                <w14:ligatures w14:val="none"/>
              </w:rPr>
            </w:pPr>
            <w:r>
              <w:rPr>
                <w:rFonts w:hint="default" w:ascii="宋体" w:hAnsi="宋体" w:eastAsia="宋体" w:cs="宋体"/>
                <w:b/>
                <w:color w:val="000000"/>
                <w:sz w:val="21"/>
                <w:szCs w:val="21"/>
                <w14:ligatures w14:val="none"/>
              </w:rPr>
              <w:t xml:space="preserve">部分</w:t>
            </w:r>
            <w:r/>
          </w:p>
          <w:p>
            <w:pPr>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b/>
                <w:color w:val="000000"/>
                <w:sz w:val="21"/>
                <w:szCs w:val="21"/>
                <w14:ligatures w14:val="none"/>
              </w:rPr>
              <w:t xml:space="preserve">(38</w:t>
            </w:r>
            <w:r>
              <w:rPr>
                <w:rFonts w:hint="default" w:ascii="宋体" w:hAnsi="宋体" w:eastAsia="宋体" w:cs="宋体"/>
                <w:b/>
                <w:color w:val="000000"/>
                <w:sz w:val="21"/>
                <w:szCs w:val="21"/>
                <w14:ligatures w14:val="none"/>
              </w:rPr>
              <w:t xml:space="preserve">分）</w:t>
            </w:r>
            <w:r/>
          </w:p>
        </w:tc>
        <w:tc>
          <w:tcPr>
            <w:tcW w:w="6767" w:type="dxa"/>
            <w:vAlign w:val="center"/>
            <w:textDirection w:val="lrTb"/>
            <w:noWrap w:val="false"/>
          </w:tcPr>
          <w:p>
            <w:pPr>
              <w:jc w:val="both"/>
              <w:spacing w:after="0" w:line="32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技术要求响应（</w:t>
            </w:r>
            <w:r>
              <w:rPr>
                <w:rFonts w:hint="eastAsia" w:ascii="宋体" w:hAnsi="宋体" w:eastAsia="宋体" w:cs="宋体"/>
                <w:b/>
                <w:bCs/>
                <w:color w:val="000000"/>
                <w:sz w:val="21"/>
                <w:szCs w:val="21"/>
                <w14:ligatures w14:val="none"/>
              </w:rPr>
              <w:t xml:space="preserve">28</w:t>
            </w:r>
            <w:r>
              <w:rPr>
                <w:rFonts w:hint="default" w:ascii="宋体" w:hAnsi="宋体" w:eastAsia="宋体" w:cs="宋体"/>
                <w:b/>
                <w:bCs/>
                <w:color w:val="000000"/>
                <w:sz w:val="21"/>
                <w:szCs w:val="21"/>
                <w14:ligatures w14:val="none"/>
              </w:rPr>
              <w:t xml:space="preserve">分）</w:t>
            </w:r>
            <w:r/>
          </w:p>
          <w:p>
            <w:pPr>
              <w:ind w:firstLine="480"/>
              <w:jc w:val="both"/>
              <w:spacing w:after="0" w:line="32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投标人产品技术参数全部满足项目需求中要求的得满分</w:t>
            </w:r>
            <w:r>
              <w:rPr>
                <w:rFonts w:hint="eastAsia" w:ascii="宋体" w:hAnsi="宋体" w:eastAsia="宋体" w:cs="宋体"/>
                <w:color w:val="000000"/>
                <w:sz w:val="21"/>
                <w:szCs w:val="21"/>
                <w14:ligatures w14:val="none"/>
              </w:rPr>
              <w:t xml:space="preserve">28</w:t>
            </w:r>
            <w:r>
              <w:rPr>
                <w:rFonts w:hint="default" w:ascii="宋体" w:hAnsi="宋体" w:eastAsia="宋体" w:cs="宋体"/>
                <w:color w:val="000000"/>
                <w:sz w:val="21"/>
                <w:szCs w:val="21"/>
                <w14:ligatures w14:val="none"/>
              </w:rPr>
              <w:t xml:space="preserve">分； “▲”号项为重点项，如有负偏离,每</w:t>
            </w:r>
            <w:r>
              <w:rPr>
                <w:rFonts w:hint="eastAsia" w:ascii="宋体" w:hAnsi="宋体" w:eastAsia="宋体" w:cs="宋体"/>
                <w:color w:val="000000"/>
                <w:sz w:val="21"/>
                <w:szCs w:val="21"/>
                <w14:ligatures w14:val="none"/>
              </w:rPr>
              <w:t xml:space="preserve">有一项</w:t>
            </w:r>
            <w:r>
              <w:rPr>
                <w:rFonts w:hint="default" w:ascii="宋体" w:hAnsi="宋体" w:eastAsia="宋体" w:cs="宋体"/>
                <w:color w:val="000000"/>
                <w:sz w:val="21"/>
                <w:szCs w:val="21"/>
                <w14:ligatures w14:val="none"/>
              </w:rPr>
              <w:t xml:space="preserve">扣2分；</w:t>
            </w:r>
            <w:r>
              <w:rPr>
                <w:rFonts w:hint="default" w:ascii="宋体" w:hAnsi="宋体" w:eastAsia="宋体" w:cs="宋体"/>
                <w:bCs/>
                <w:color w:val="000000"/>
                <w:spacing w:val="-12"/>
                <w:sz w:val="21"/>
                <w:szCs w:val="21"/>
                <w14:ligatures w14:val="none"/>
              </w:rPr>
              <w:t xml:space="preserve">非“▲”号项</w:t>
            </w:r>
            <w:r>
              <w:rPr>
                <w:rFonts w:hint="default" w:ascii="宋体" w:hAnsi="宋体" w:eastAsia="宋体" w:cs="宋体"/>
                <w:color w:val="000000"/>
                <w:sz w:val="21"/>
                <w:szCs w:val="21"/>
                <w14:ligatures w14:val="none"/>
              </w:rPr>
              <w:t xml:space="preserve">如有负偏离</w:t>
            </w:r>
            <w:r>
              <w:rPr>
                <w:rFonts w:hint="default" w:ascii="宋体" w:hAnsi="宋体" w:eastAsia="宋体" w:cs="宋体"/>
                <w:bCs/>
                <w:color w:val="000000"/>
                <w:spacing w:val="-12"/>
                <w:sz w:val="21"/>
                <w:szCs w:val="21"/>
                <w14:ligatures w14:val="none"/>
              </w:rPr>
              <w:t xml:space="preserve">的，每有一项扣减1分；</w:t>
            </w:r>
            <w:r>
              <w:rPr>
                <w:rFonts w:hint="default" w:ascii="宋体" w:hAnsi="宋体" w:eastAsia="宋体" w:cs="宋体"/>
                <w:color w:val="000000"/>
                <w:sz w:val="21"/>
                <w:szCs w:val="21"/>
                <w14:ligatures w14:val="none"/>
              </w:rPr>
              <w:t xml:space="preserve">本项扣完为止。</w:t>
            </w:r>
            <w:r/>
          </w:p>
          <w:p>
            <w:pPr>
              <w:ind w:firstLine="482"/>
              <w:jc w:val="both"/>
              <w:spacing w:after="0" w:line="40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注：证明材料按项目需求中要求提供证明材料，未提供或未按要求提供此项不得分。</w:t>
            </w:r>
            <w:r/>
          </w:p>
        </w:tc>
        <w:tc>
          <w:tcPr>
            <w:tcW w:w="816" w:type="dxa"/>
            <w:vAlign w:val="center"/>
            <w:textDirection w:val="lrTb"/>
            <w:noWrap w:val="false"/>
          </w:tcPr>
          <w:p>
            <w:pPr>
              <w:ind w:firstLine="105"/>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28</w:t>
            </w:r>
            <w:r/>
          </w:p>
        </w:tc>
      </w:tr>
      <w:tr>
        <w:trPr>
          <w:jc w:val="center"/>
          <w:trHeight w:val="1118"/>
        </w:trPr>
        <w:tc>
          <w:tcPr>
            <w:tcW w:w="917" w:type="dxa"/>
            <w:vAlign w:val="center"/>
            <w:vMerge w:val="continue"/>
            <w:textDirection w:val="lrTb"/>
            <w:noWrap w:val="false"/>
          </w:tcPr>
          <w:p>
            <w:pPr>
              <w:ind w:left="1260" w:firstLine="420"/>
              <w:jc w:val="both"/>
              <w:spacing w:before="166" w:after="166" w:line="400" w:lineRule="exact"/>
              <w:tabs>
                <w:tab w:val="left" w:pos="1440" w:leader="none"/>
                <w:tab w:val="right" w:pos="8505" w:leader="dot"/>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r>
            <w:r/>
          </w:p>
        </w:tc>
        <w:tc>
          <w:tcPr>
            <w:tcW w:w="6767" w:type="dxa"/>
            <w:vAlign w:val="center"/>
            <w:textDirection w:val="lrTb"/>
            <w:noWrap w:val="false"/>
          </w:tcPr>
          <w:p>
            <w:pPr>
              <w:jc w:val="both"/>
              <w:spacing w:after="0" w:line="32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进度计划和各阶段进度的保证措施（5分）</w:t>
            </w:r>
            <w:r/>
          </w:p>
          <w:p>
            <w:pPr>
              <w:ind w:firstLine="420"/>
              <w:jc w:val="both"/>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供货计划及各阶段保证措施科学、合理、完善可行，有针对性、根据实际需求保证供货时间和质量，</w:t>
            </w:r>
            <w:r>
              <w:rPr>
                <w:rFonts w:hint="default" w:ascii="宋体" w:hAnsi="宋体" w:eastAsia="宋体" w:cs="宋体"/>
                <w:b/>
                <w:color w:val="000000"/>
                <w:sz w:val="21"/>
                <w:szCs w:val="21"/>
                <w14:ligatures w14:val="none"/>
              </w:rPr>
              <w:t xml:space="preserve">得5分</w:t>
            </w:r>
            <w:r>
              <w:rPr>
                <w:rFonts w:hint="default" w:ascii="宋体" w:hAnsi="宋体" w:eastAsia="宋体" w:cs="宋体"/>
                <w:bCs/>
                <w:color w:val="000000"/>
                <w:sz w:val="21"/>
                <w:szCs w:val="21"/>
                <w14:ligatures w14:val="none"/>
              </w:rPr>
              <w:t xml:space="preserve">；</w:t>
            </w:r>
            <w:r/>
          </w:p>
          <w:p>
            <w:pPr>
              <w:ind w:firstLine="420"/>
              <w:jc w:val="both"/>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供货计划及各阶段保证措施较合理可行，能保证供货的时间和质量，</w:t>
            </w:r>
            <w:r>
              <w:rPr>
                <w:rFonts w:hint="default" w:ascii="宋体" w:hAnsi="宋体" w:eastAsia="宋体" w:cs="宋体"/>
                <w:b/>
                <w:color w:val="000000"/>
                <w:sz w:val="21"/>
                <w:szCs w:val="21"/>
                <w14:ligatures w14:val="none"/>
              </w:rPr>
              <w:t xml:space="preserve">得3分</w:t>
            </w:r>
            <w:r>
              <w:rPr>
                <w:rFonts w:hint="default" w:ascii="宋体" w:hAnsi="宋体" w:eastAsia="宋体" w:cs="宋体"/>
                <w:bCs/>
                <w:color w:val="000000"/>
                <w:sz w:val="21"/>
                <w:szCs w:val="21"/>
                <w14:ligatures w14:val="none"/>
              </w:rPr>
              <w:t xml:space="preserve">；</w:t>
            </w:r>
            <w:r/>
          </w:p>
          <w:p>
            <w:pPr>
              <w:ind w:firstLine="420"/>
              <w:jc w:val="both"/>
              <w:spacing w:after="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供货计划及各阶段保证措施一般，基本能保证供货的时间和质量，</w:t>
            </w:r>
            <w:r>
              <w:rPr>
                <w:rFonts w:hint="default" w:ascii="宋体" w:hAnsi="宋体" w:eastAsia="宋体" w:cs="宋体"/>
                <w:b/>
                <w:color w:val="000000"/>
                <w:sz w:val="21"/>
                <w:szCs w:val="21"/>
                <w14:ligatures w14:val="none"/>
              </w:rPr>
              <w:t xml:space="preserve">得1分</w:t>
            </w:r>
            <w:r>
              <w:rPr>
                <w:rFonts w:hint="default" w:ascii="宋体" w:hAnsi="宋体" w:eastAsia="宋体" w:cs="宋体"/>
                <w:bCs/>
                <w:color w:val="000000"/>
                <w:sz w:val="21"/>
                <w:szCs w:val="21"/>
                <w14:ligatures w14:val="none"/>
              </w:rPr>
              <w:t xml:space="preserve">；</w:t>
            </w:r>
            <w:r/>
          </w:p>
          <w:p>
            <w:pPr>
              <w:ind w:right="34" w:firstLine="482"/>
              <w:jc w:val="both"/>
              <w:spacing w:after="0" w:line="320" w:lineRule="exact"/>
              <w:rPr>
                <w:rFonts w:hint="eastAsia" w:ascii="宋体" w:hAnsi="宋体" w:eastAsia="宋体" w:cs="Times New Roman"/>
                <w:b/>
                <w:bCs/>
                <w:color w:val="000000"/>
                <w:sz w:val="21"/>
                <w:szCs w:val="21"/>
                <w14:ligatures w14:val="none"/>
              </w:rPr>
            </w:pPr>
            <w:r>
              <w:rPr>
                <w:rFonts w:hint="default" w:ascii="宋体" w:hAnsi="宋体" w:eastAsia="宋体" w:cs="Times New Roman"/>
                <w:b/>
                <w:bCs/>
                <w:color w:val="000000"/>
                <w:sz w:val="21"/>
                <w:szCs w:val="21"/>
                <w:lang w:val="zh-CN"/>
                <w14:ligatures w14:val="none"/>
              </w:rPr>
              <w:t xml:space="preserve">本项最高得</w:t>
            </w:r>
            <w:r>
              <w:rPr>
                <w:rFonts w:hint="default" w:ascii="宋体" w:hAnsi="宋体" w:eastAsia="宋体" w:cs="Times New Roman"/>
                <w:b/>
                <w:bCs/>
                <w:color w:val="000000"/>
                <w:sz w:val="21"/>
                <w:szCs w:val="21"/>
                <w14:ligatures w14:val="none"/>
              </w:rPr>
              <w:t xml:space="preserve">5</w:t>
            </w:r>
            <w:r>
              <w:rPr>
                <w:rFonts w:hint="default" w:ascii="宋体" w:hAnsi="宋体" w:eastAsia="宋体" w:cs="Times New Roman"/>
                <w:b/>
                <w:bCs/>
                <w:color w:val="000000"/>
                <w:sz w:val="21"/>
                <w:szCs w:val="21"/>
                <w:lang w:val="zh-CN"/>
                <w14:ligatures w14:val="none"/>
              </w:rPr>
              <w:t xml:space="preserve">分，差或未见阐述本项不得分。</w:t>
            </w:r>
            <w:r/>
          </w:p>
        </w:tc>
        <w:tc>
          <w:tcPr>
            <w:tcW w:w="816" w:type="dxa"/>
            <w:vAlign w:val="center"/>
            <w:textDirection w:val="lrTb"/>
            <w:noWrap w:val="false"/>
          </w:tcPr>
          <w:p>
            <w:pPr>
              <w:ind w:firstLine="105"/>
              <w:jc w:val="both"/>
              <w:spacing w:after="0" w:line="32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5</w:t>
            </w:r>
            <w:r/>
          </w:p>
        </w:tc>
      </w:tr>
      <w:tr>
        <w:trPr>
          <w:jc w:val="center"/>
          <w:trHeight w:val="2863"/>
        </w:trPr>
        <w:tc>
          <w:tcPr>
            <w:tcW w:w="917" w:type="dxa"/>
            <w:vAlign w:val="center"/>
            <w:vMerge w:val="continue"/>
            <w:textDirection w:val="lrTb"/>
            <w:noWrap w:val="false"/>
          </w:tcPr>
          <w:p>
            <w:pPr>
              <w:ind w:left="1260" w:firstLine="420"/>
              <w:jc w:val="both"/>
              <w:spacing w:before="166" w:after="166" w:line="400" w:lineRule="exact"/>
              <w:tabs>
                <w:tab w:val="left" w:pos="1440" w:leader="none"/>
                <w:tab w:val="right" w:pos="8505" w:leader="dot"/>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r>
            <w:r/>
          </w:p>
        </w:tc>
        <w:tc>
          <w:tcPr>
            <w:tcW w:w="6767" w:type="dxa"/>
            <w:vAlign w:val="center"/>
            <w:textDirection w:val="lrTb"/>
            <w:noWrap w:val="false"/>
          </w:tcPr>
          <w:p>
            <w:pPr>
              <w:jc w:val="both"/>
              <w:spacing w:after="0" w:line="32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质量控制措施及合理化建议（5分）</w:t>
            </w:r>
            <w:r/>
          </w:p>
          <w:p>
            <w:pPr>
              <w:ind w:firstLine="480"/>
              <w:jc w:val="both"/>
              <w:spacing w:after="0" w:line="320" w:lineRule="exact"/>
              <w:rPr>
                <w:rFonts w:hint="eastAsia" w:ascii="宋体" w:hAnsi="宋体" w:eastAsia="宋体" w:cs="宋体"/>
                <w:color w:val="000000"/>
                <w:sz w:val="21"/>
                <w:szCs w:val="21"/>
                <w:lang w:val="zh-CN"/>
                <w14:ligatures w14:val="none"/>
              </w:rPr>
            </w:pPr>
            <w:r>
              <w:rPr>
                <w:rFonts w:hint="default" w:ascii="宋体" w:hAnsi="宋体" w:eastAsia="宋体" w:cs="宋体"/>
                <w:color w:val="000000"/>
                <w:sz w:val="21"/>
                <w:szCs w:val="21"/>
                <w:lang w:val="zh-CN"/>
                <w14:ligatures w14:val="none"/>
              </w:rPr>
              <w:t xml:space="preserve">控制措施及合理化建议切实可行，完善全面、科学合理，可行性、可操作性强，</w:t>
            </w:r>
            <w:r>
              <w:rPr>
                <w:rFonts w:hint="default" w:ascii="宋体" w:hAnsi="宋体" w:eastAsia="宋体" w:cs="宋体"/>
                <w:b/>
                <w:bCs/>
                <w:color w:val="000000"/>
                <w:sz w:val="21"/>
                <w:szCs w:val="21"/>
                <w:lang w:val="zh-CN"/>
                <w14:ligatures w14:val="none"/>
              </w:rPr>
              <w:t xml:space="preserve">得</w:t>
            </w:r>
            <w:r>
              <w:rPr>
                <w:rFonts w:hint="default" w:ascii="宋体" w:hAnsi="宋体" w:eastAsia="宋体" w:cs="宋体"/>
                <w:b/>
                <w:bCs/>
                <w:color w:val="000000"/>
                <w:sz w:val="21"/>
                <w:szCs w:val="21"/>
                <w14:ligatures w14:val="none"/>
              </w:rPr>
              <w:t xml:space="preserve">5</w:t>
            </w:r>
            <w:r>
              <w:rPr>
                <w:rFonts w:hint="default" w:ascii="宋体" w:hAnsi="宋体" w:eastAsia="宋体" w:cs="宋体"/>
                <w:b/>
                <w:bCs/>
                <w:color w:val="000000"/>
                <w:sz w:val="21"/>
                <w:szCs w:val="21"/>
                <w:lang w:val="zh-CN"/>
                <w14:ligatures w14:val="none"/>
              </w:rPr>
              <w:t xml:space="preserve">分</w:t>
            </w:r>
            <w:r>
              <w:rPr>
                <w:rFonts w:hint="default" w:ascii="宋体" w:hAnsi="宋体" w:eastAsia="宋体" w:cs="宋体"/>
                <w:color w:val="000000"/>
                <w:sz w:val="21"/>
                <w:szCs w:val="21"/>
                <w:lang w:val="zh-CN"/>
                <w14:ligatures w14:val="none"/>
              </w:rPr>
              <w:t xml:space="preserve">；</w:t>
            </w:r>
            <w:r/>
          </w:p>
          <w:p>
            <w:pPr>
              <w:ind w:firstLine="480"/>
              <w:jc w:val="both"/>
              <w:spacing w:after="0" w:line="320" w:lineRule="exact"/>
              <w:rPr>
                <w:rFonts w:hint="eastAsia" w:ascii="宋体" w:hAnsi="宋体" w:eastAsia="宋体" w:cs="宋体"/>
                <w:color w:val="000000"/>
                <w:sz w:val="21"/>
                <w:szCs w:val="21"/>
                <w:lang w:val="zh-CN"/>
                <w14:ligatures w14:val="none"/>
              </w:rPr>
            </w:pPr>
            <w:r>
              <w:rPr>
                <w:rFonts w:hint="default" w:ascii="宋体" w:hAnsi="宋体" w:eastAsia="宋体" w:cs="宋体"/>
                <w:color w:val="000000"/>
                <w:sz w:val="21"/>
                <w:szCs w:val="21"/>
                <w:lang w:val="zh-CN"/>
                <w14:ligatures w14:val="none"/>
              </w:rPr>
              <w:t xml:space="preserve">控制措施及合理化建议具有可行性，方案较合理，可行性、可操作性较强，</w:t>
            </w:r>
            <w:r>
              <w:rPr>
                <w:rFonts w:hint="default" w:ascii="宋体" w:hAnsi="宋体" w:eastAsia="宋体" w:cs="宋体"/>
                <w:b/>
                <w:bCs/>
                <w:color w:val="000000"/>
                <w:sz w:val="21"/>
                <w:szCs w:val="21"/>
                <w:lang w:val="zh-CN"/>
                <w14:ligatures w14:val="none"/>
              </w:rPr>
              <w:t xml:space="preserve">得</w:t>
            </w:r>
            <w:r>
              <w:rPr>
                <w:rFonts w:hint="default" w:ascii="宋体" w:hAnsi="宋体" w:eastAsia="宋体" w:cs="宋体"/>
                <w:b/>
                <w:bCs/>
                <w:color w:val="000000"/>
                <w:sz w:val="21"/>
                <w:szCs w:val="21"/>
                <w14:ligatures w14:val="none"/>
              </w:rPr>
              <w:t xml:space="preserve">3</w:t>
            </w:r>
            <w:r>
              <w:rPr>
                <w:rFonts w:hint="default" w:ascii="宋体" w:hAnsi="宋体" w:eastAsia="宋体" w:cs="宋体"/>
                <w:b/>
                <w:bCs/>
                <w:color w:val="000000"/>
                <w:sz w:val="21"/>
                <w:szCs w:val="21"/>
                <w:lang w:val="zh-CN"/>
                <w14:ligatures w14:val="none"/>
              </w:rPr>
              <w:t xml:space="preserve">分</w:t>
            </w:r>
            <w:r>
              <w:rPr>
                <w:rFonts w:hint="default" w:ascii="宋体" w:hAnsi="宋体" w:eastAsia="宋体" w:cs="宋体"/>
                <w:color w:val="000000"/>
                <w:sz w:val="21"/>
                <w:szCs w:val="21"/>
                <w:lang w:val="zh-CN"/>
                <w14:ligatures w14:val="none"/>
              </w:rPr>
              <w:t xml:space="preserve">；</w:t>
            </w:r>
            <w:r/>
          </w:p>
          <w:p>
            <w:pPr>
              <w:ind w:firstLine="480"/>
              <w:jc w:val="both"/>
              <w:spacing w:after="0" w:line="320" w:lineRule="exact"/>
              <w:rPr>
                <w:rFonts w:hint="eastAsia" w:ascii="宋体" w:hAnsi="宋体" w:eastAsia="宋体" w:cs="宋体"/>
                <w:color w:val="000000"/>
                <w:sz w:val="21"/>
                <w:szCs w:val="21"/>
                <w:lang w:val="zh-CN"/>
                <w14:ligatures w14:val="none"/>
              </w:rPr>
            </w:pPr>
            <w:r>
              <w:rPr>
                <w:rFonts w:hint="default" w:ascii="宋体" w:hAnsi="宋体" w:eastAsia="宋体" w:cs="宋体"/>
                <w:color w:val="000000"/>
                <w:sz w:val="21"/>
                <w:szCs w:val="21"/>
                <w:lang w:val="zh-CN"/>
                <w14:ligatures w14:val="none"/>
              </w:rPr>
              <w:t xml:space="preserve">控制措施及合理化建议可行性一般，方案合理性一般，可行性一般，</w:t>
            </w:r>
            <w:r>
              <w:rPr>
                <w:rFonts w:hint="default" w:ascii="宋体" w:hAnsi="宋体" w:eastAsia="宋体" w:cs="宋体"/>
                <w:b/>
                <w:bCs/>
                <w:color w:val="000000"/>
                <w:sz w:val="21"/>
                <w:szCs w:val="21"/>
                <w:lang w:val="zh-CN"/>
                <w14:ligatures w14:val="none"/>
              </w:rPr>
              <w:t xml:space="preserve">得</w:t>
            </w:r>
            <w:r>
              <w:rPr>
                <w:rFonts w:hint="default" w:ascii="宋体" w:hAnsi="宋体" w:eastAsia="宋体" w:cs="宋体"/>
                <w:b/>
                <w:bCs/>
                <w:color w:val="000000"/>
                <w:sz w:val="21"/>
                <w:szCs w:val="21"/>
                <w14:ligatures w14:val="none"/>
              </w:rPr>
              <w:t xml:space="preserve">1</w:t>
            </w:r>
            <w:r>
              <w:rPr>
                <w:rFonts w:hint="default" w:ascii="宋体" w:hAnsi="宋体" w:eastAsia="宋体" w:cs="宋体"/>
                <w:b/>
                <w:bCs/>
                <w:color w:val="000000"/>
                <w:sz w:val="21"/>
                <w:szCs w:val="21"/>
                <w:lang w:val="zh-CN"/>
                <w14:ligatures w14:val="none"/>
              </w:rPr>
              <w:t xml:space="preserve">分</w:t>
            </w:r>
            <w:r>
              <w:rPr>
                <w:rFonts w:hint="default" w:ascii="宋体" w:hAnsi="宋体" w:eastAsia="宋体" w:cs="宋体"/>
                <w:color w:val="000000"/>
                <w:sz w:val="21"/>
                <w:szCs w:val="21"/>
                <w:lang w:val="zh-CN"/>
                <w14:ligatures w14:val="none"/>
              </w:rPr>
              <w:t xml:space="preserve">；</w:t>
            </w:r>
            <w:r/>
          </w:p>
          <w:p>
            <w:pPr>
              <w:ind w:right="34" w:firstLine="482"/>
              <w:jc w:val="both"/>
              <w:spacing w:after="0" w:line="320" w:lineRule="exact"/>
              <w:rPr>
                <w:rFonts w:hint="eastAsia" w:ascii="宋体" w:hAnsi="宋体" w:eastAsia="宋体" w:cs="Times New Roman"/>
                <w:b/>
                <w:bCs/>
                <w:color w:val="000000"/>
                <w:sz w:val="21"/>
                <w:szCs w:val="21"/>
                <w14:ligatures w14:val="none"/>
              </w:rPr>
            </w:pPr>
            <w:r>
              <w:rPr>
                <w:rFonts w:hint="default" w:ascii="宋体" w:hAnsi="宋体" w:eastAsia="宋体" w:cs="Times New Roman"/>
                <w:b/>
                <w:bCs/>
                <w:color w:val="000000"/>
                <w:sz w:val="21"/>
                <w:szCs w:val="21"/>
                <w:lang w:val="zh-CN"/>
                <w14:ligatures w14:val="none"/>
              </w:rPr>
              <w:t xml:space="preserve">本项最高得</w:t>
            </w:r>
            <w:r>
              <w:rPr>
                <w:rFonts w:hint="default" w:ascii="宋体" w:hAnsi="宋体" w:eastAsia="宋体" w:cs="Times New Roman"/>
                <w:b/>
                <w:bCs/>
                <w:color w:val="000000"/>
                <w:sz w:val="21"/>
                <w:szCs w:val="21"/>
                <w14:ligatures w14:val="none"/>
              </w:rPr>
              <w:t xml:space="preserve">5</w:t>
            </w:r>
            <w:r>
              <w:rPr>
                <w:rFonts w:hint="default" w:ascii="宋体" w:hAnsi="宋体" w:eastAsia="宋体" w:cs="Times New Roman"/>
                <w:b/>
                <w:bCs/>
                <w:color w:val="000000"/>
                <w:sz w:val="21"/>
                <w:szCs w:val="21"/>
                <w:lang w:val="zh-CN"/>
                <w14:ligatures w14:val="none"/>
              </w:rPr>
              <w:t xml:space="preserve">分，差或未见阐述本项不得分。</w:t>
            </w:r>
            <w:r/>
          </w:p>
        </w:tc>
        <w:tc>
          <w:tcPr>
            <w:tcW w:w="816" w:type="dxa"/>
            <w:vAlign w:val="center"/>
            <w:textDirection w:val="lrTb"/>
            <w:noWrap w:val="false"/>
          </w:tcPr>
          <w:p>
            <w:pPr>
              <w:ind w:firstLine="105"/>
              <w:jc w:val="both"/>
              <w:spacing w:after="0" w:line="32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5</w:t>
            </w:r>
            <w:r/>
          </w:p>
        </w:tc>
      </w:tr>
      <w:tr>
        <w:trPr>
          <w:jc w:val="center"/>
          <w:trHeight w:val="327"/>
        </w:trPr>
        <w:tc>
          <w:tcPr>
            <w:tcW w:w="917" w:type="dxa"/>
            <w:vAlign w:val="center"/>
            <w:vMerge w:val="restart"/>
            <w:textDirection w:val="lrTb"/>
            <w:noWrap w:val="false"/>
          </w:tcPr>
          <w:p>
            <w:pPr>
              <w:ind w:right="-59"/>
              <w:jc w:val="both"/>
              <w:spacing w:after="0" w:line="400" w:lineRule="exact"/>
              <w:rPr>
                <w:rFonts w:hint="eastAsia" w:ascii="宋体" w:hAnsi="宋体" w:eastAsia="宋体" w:cs="宋体"/>
                <w:b/>
                <w:color w:val="000000"/>
                <w:sz w:val="21"/>
                <w:szCs w:val="21"/>
                <w14:ligatures w14:val="none"/>
              </w:rPr>
            </w:pPr>
            <w:r>
              <w:rPr>
                <w:rFonts w:hint="default" w:ascii="宋体" w:hAnsi="宋体" w:eastAsia="宋体" w:cs="宋体"/>
                <w:b/>
                <w:color w:val="000000"/>
                <w:sz w:val="21"/>
                <w:szCs w:val="21"/>
                <w14:ligatures w14:val="none"/>
              </w:rPr>
              <w:t xml:space="preserve">商务</w:t>
            </w:r>
            <w:r/>
          </w:p>
          <w:p>
            <w:pPr>
              <w:ind w:right="-59"/>
              <w:jc w:val="both"/>
              <w:spacing w:after="0" w:line="400" w:lineRule="exact"/>
              <w:rPr>
                <w:rFonts w:hint="eastAsia" w:ascii="宋体" w:hAnsi="宋体" w:eastAsia="宋体" w:cs="宋体"/>
                <w:b/>
                <w:color w:val="000000"/>
                <w:sz w:val="21"/>
                <w:szCs w:val="21"/>
                <w14:ligatures w14:val="none"/>
              </w:rPr>
            </w:pPr>
            <w:r>
              <w:rPr>
                <w:rFonts w:hint="default" w:ascii="宋体" w:hAnsi="宋体" w:eastAsia="宋体" w:cs="宋体"/>
                <w:b/>
                <w:color w:val="000000"/>
                <w:sz w:val="21"/>
                <w:szCs w:val="21"/>
                <w14:ligatures w14:val="none"/>
              </w:rPr>
              <w:t xml:space="preserve">响应（</w:t>
            </w:r>
            <w:r>
              <w:rPr>
                <w:rFonts w:hint="eastAsia" w:ascii="宋体" w:hAnsi="宋体" w:eastAsia="宋体" w:cs="宋体"/>
                <w:b/>
                <w:color w:val="000000"/>
                <w:sz w:val="21"/>
                <w:szCs w:val="21"/>
                <w14:ligatures w14:val="none"/>
              </w:rPr>
              <w:t xml:space="preserve">1</w:t>
            </w:r>
            <w:r>
              <w:rPr>
                <w:rFonts w:hint="default" w:ascii="宋体" w:hAnsi="宋体" w:eastAsia="宋体" w:cs="宋体"/>
                <w:b/>
                <w:color w:val="000000"/>
                <w:sz w:val="21"/>
                <w:szCs w:val="21"/>
                <w14:ligatures w14:val="none"/>
              </w:rPr>
              <w:t xml:space="preserve">0分）</w:t>
            </w:r>
            <w:r/>
          </w:p>
          <w:p>
            <w:pPr>
              <w:ind w:left="1260" w:firstLine="420"/>
              <w:jc w:val="both"/>
              <w:spacing w:before="166" w:after="166" w:line="400" w:lineRule="exact"/>
              <w:tabs>
                <w:tab w:val="left" w:pos="1440" w:leader="none"/>
                <w:tab w:val="right" w:pos="8505" w:leader="dot"/>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r>
            <w:r/>
          </w:p>
        </w:tc>
        <w:tc>
          <w:tcPr>
            <w:tcW w:w="6767" w:type="dxa"/>
            <w:vAlign w:val="center"/>
            <w:textDirection w:val="lrTb"/>
            <w:noWrap w:val="false"/>
          </w:tcPr>
          <w:p>
            <w:pPr>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Batang"/>
                <w:b/>
                <w:bCs/>
                <w:color w:val="000000"/>
                <w:sz w:val="21"/>
                <w:szCs w:val="21"/>
                <w14:ligatures w14:val="none"/>
              </w:rPr>
            </w:pPr>
            <w:r>
              <w:rPr>
                <w:rFonts w:hint="default" w:ascii="宋体" w:hAnsi="宋体" w:eastAsia="宋体" w:cs="Batang"/>
                <w:b/>
                <w:bCs/>
                <w:color w:val="000000"/>
                <w:sz w:val="21"/>
                <w:szCs w:val="21"/>
                <w14:ligatures w14:val="none"/>
              </w:rPr>
              <w:t xml:space="preserve">售后服务方案（3分）</w:t>
            </w:r>
            <w:r/>
          </w:p>
          <w:p>
            <w:pPr>
              <w:ind w:firstLine="42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投标人针对本项目提供售后服务方案，包括但不限于解决质量或操作问题的形式、维修时间、地点、人员、服务方案周密性等内容：</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内容详尽完善，服务方案周密合理，切合售后服务需求，人员安排合理，可实施性强的</w:t>
            </w:r>
            <w:r>
              <w:rPr>
                <w:rFonts w:hint="default" w:ascii="宋体" w:hAnsi="宋体" w:eastAsia="宋体" w:cs="宋体"/>
                <w:b/>
                <w:bCs/>
                <w:color w:val="000000"/>
                <w:sz w:val="21"/>
                <w:szCs w:val="21"/>
                <w14:ligatures w14:val="none"/>
              </w:rPr>
              <w:t xml:space="preserve">得3分；</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内容较详细全面，服务方案较周密合理，比较切合售后服务需求，人员安排较合理，可实施性较强的</w:t>
            </w:r>
            <w:r>
              <w:rPr>
                <w:rFonts w:hint="default" w:ascii="宋体" w:hAnsi="宋体" w:eastAsia="宋体" w:cs="宋体"/>
                <w:b/>
                <w:bCs/>
                <w:color w:val="000000"/>
                <w:sz w:val="21"/>
                <w:szCs w:val="21"/>
                <w14:ligatures w14:val="none"/>
              </w:rPr>
              <w:t xml:space="preserve">得2分；</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方案内容简单粗糙，服务方案一般，基本符合售后服务需求，可实施性一般的</w:t>
            </w:r>
            <w:r>
              <w:rPr>
                <w:rFonts w:hint="default" w:ascii="宋体" w:hAnsi="宋体" w:eastAsia="宋体" w:cs="宋体"/>
                <w:b/>
                <w:bCs/>
                <w:color w:val="000000"/>
                <w:sz w:val="21"/>
                <w:szCs w:val="21"/>
                <w14:ligatures w14:val="none"/>
              </w:rPr>
              <w:t xml:space="preserve">得1分；</w:t>
            </w:r>
            <w:r/>
          </w:p>
          <w:p>
            <w:pPr>
              <w:ind w:firstLine="482"/>
              <w:jc w:val="both"/>
              <w:spacing w:after="0" w:line="320" w:lineRule="exact"/>
              <w:rPr>
                <w:rFonts w:hint="eastAsia" w:ascii="宋体" w:hAnsi="宋体" w:eastAsia="宋体" w:cs="Times New Roman"/>
                <w:b/>
                <w:bCs/>
                <w:color w:val="000000"/>
                <w:sz w:val="21"/>
                <w:szCs w:val="21"/>
                <w:lang w:val="zh-CN"/>
                <w14:ligatures w14:val="none"/>
              </w:rPr>
            </w:pPr>
            <w:r>
              <w:rPr>
                <w:rFonts w:hint="default" w:ascii="宋体" w:hAnsi="宋体" w:eastAsia="宋体" w:cs="Times New Roman"/>
                <w:b/>
                <w:bCs/>
                <w:color w:val="000000"/>
                <w:sz w:val="21"/>
                <w:szCs w:val="21"/>
                <w:lang w:val="zh-CN"/>
                <w14:ligatures w14:val="none"/>
              </w:rPr>
              <w:t xml:space="preserve">本项最高得</w:t>
            </w:r>
            <w:r>
              <w:rPr>
                <w:rFonts w:hint="default" w:ascii="宋体" w:hAnsi="宋体" w:eastAsia="宋体" w:cs="Times New Roman"/>
                <w:b/>
                <w:bCs/>
                <w:color w:val="000000"/>
                <w:sz w:val="21"/>
                <w:szCs w:val="21"/>
                <w14:ligatures w14:val="none"/>
              </w:rPr>
              <w:t xml:space="preserve">3</w:t>
            </w:r>
            <w:r>
              <w:rPr>
                <w:rFonts w:hint="default" w:ascii="宋体" w:hAnsi="宋体" w:eastAsia="宋体" w:cs="Times New Roman"/>
                <w:b/>
                <w:bCs/>
                <w:color w:val="000000"/>
                <w:sz w:val="21"/>
                <w:szCs w:val="21"/>
                <w:lang w:val="zh-CN"/>
                <w14:ligatures w14:val="none"/>
              </w:rPr>
              <w:t xml:space="preserve">分，差或未见阐述本项不得分。</w:t>
            </w:r>
            <w:r/>
          </w:p>
          <w:p>
            <w:pPr>
              <w:jc w:val="both"/>
              <w:spacing w:after="0" w:line="240" w:lineRule="auto"/>
              <w:widowControl/>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响应时间（2分）</w:t>
            </w:r>
            <w:r/>
          </w:p>
          <w:p>
            <w:pPr>
              <w:ind w:firstLine="420"/>
              <w:jc w:val="both"/>
              <w:spacing w:after="0" w:line="240" w:lineRule="auto"/>
              <w:widowControl/>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投标人承诺1小时响应，4小时到达现场处理的,</w:t>
            </w:r>
            <w:r>
              <w:rPr>
                <w:rFonts w:hint="default" w:ascii="宋体" w:hAnsi="宋体" w:eastAsia="宋体" w:cs="宋体"/>
                <w:b/>
                <w:bCs/>
                <w:color w:val="000000"/>
                <w:sz w:val="21"/>
                <w:szCs w:val="21"/>
                <w14:ligatures w14:val="none"/>
              </w:rPr>
              <w:t xml:space="preserve">得1分；</w:t>
            </w:r>
            <w:r/>
          </w:p>
          <w:p>
            <w:pPr>
              <w:ind w:firstLine="200"/>
              <w:jc w:val="both"/>
              <w:spacing w:after="0" w:line="240" w:lineRule="auto"/>
              <w:widowControl/>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投标人承诺半小时响应，2小时到达现场处理的,</w:t>
            </w:r>
            <w:r>
              <w:rPr>
                <w:rFonts w:hint="default" w:ascii="宋体" w:hAnsi="宋体" w:eastAsia="宋体" w:cs="宋体"/>
                <w:b/>
                <w:bCs/>
                <w:color w:val="000000"/>
                <w:sz w:val="21"/>
                <w:szCs w:val="21"/>
                <w14:ligatures w14:val="none"/>
              </w:rPr>
              <w:t xml:space="preserve">得2分；</w:t>
            </w:r>
            <w:r/>
          </w:p>
          <w:p>
            <w:pPr>
              <w:ind w:firstLine="482"/>
              <w:jc w:val="both"/>
              <w:spacing w:after="0" w:line="240" w:lineRule="auto"/>
              <w:widowControl/>
              <w:rPr>
                <w:rFonts w:hint="eastAsia" w:ascii="宋体" w:hAnsi="宋体" w:eastAsia="宋体" w:cs="Times New Roman"/>
                <w:color w:val="000000"/>
                <w:sz w:val="21"/>
                <w:szCs w:val="21"/>
                <w14:ligatures w14:val="none"/>
              </w:rPr>
            </w:pPr>
            <w:r>
              <w:rPr>
                <w:rFonts w:hint="default" w:ascii="宋体" w:hAnsi="宋体" w:eastAsia="宋体" w:cs="Times New Roman"/>
                <w:b/>
                <w:bCs/>
                <w:color w:val="000000"/>
                <w:sz w:val="21"/>
                <w:szCs w:val="21"/>
                <w14:ligatures w14:val="none"/>
              </w:rPr>
              <w:t xml:space="preserve">注：证明材料由投标人自行承诺（盖章有效），未承诺或未提供此项不得分。</w:t>
            </w:r>
            <w:r/>
          </w:p>
        </w:tc>
        <w:tc>
          <w:tcPr>
            <w:tcW w:w="816" w:type="dxa"/>
            <w:vAlign w:val="center"/>
            <w:textDirection w:val="lrTb"/>
            <w:noWrap w:val="false"/>
          </w:tcPr>
          <w:p>
            <w:pPr>
              <w:ind w:firstLine="105"/>
              <w:jc w:val="both"/>
              <w:spacing w:after="0" w:line="40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5</w:t>
            </w:r>
            <w:r/>
          </w:p>
        </w:tc>
      </w:tr>
      <w:tr>
        <w:trPr>
          <w:jc w:val="center"/>
          <w:trHeight w:val="390"/>
        </w:trPr>
        <w:tc>
          <w:tcPr>
            <w:tcW w:w="917" w:type="dxa"/>
            <w:vAlign w:val="center"/>
            <w:vMerge w:val="continue"/>
            <w:textDirection w:val="lrTb"/>
            <w:noWrap w:val="false"/>
          </w:tcPr>
          <w:p>
            <w:pPr>
              <w:ind w:left="1260" w:firstLine="420"/>
              <w:jc w:val="both"/>
              <w:spacing w:before="166" w:after="166" w:line="400" w:lineRule="exact"/>
              <w:tabs>
                <w:tab w:val="left" w:pos="1440" w:leader="none"/>
                <w:tab w:val="right" w:pos="8505" w:leader="dot"/>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r>
            <w:r/>
          </w:p>
        </w:tc>
        <w:tc>
          <w:tcPr>
            <w:tcW w:w="6767" w:type="dxa"/>
            <w:vAlign w:val="center"/>
            <w:textDirection w:val="lrTb"/>
            <w:noWrap w:val="false"/>
          </w:tcPr>
          <w:p>
            <w:pPr>
              <w:jc w:val="both"/>
              <w:spacing w:after="0" w:line="32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培训方案（3分）</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投标人针对本项目提供技术培训方案，包括但不限于培训方案的方式、内容、人数及培训后的效果等内容：</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对项目需求中的培训项有对应的培训内容，方案内容详细，培训方式丰富多样的</w:t>
            </w:r>
            <w:r>
              <w:rPr>
                <w:rFonts w:hint="default" w:ascii="宋体" w:hAnsi="宋体" w:eastAsia="宋体" w:cs="宋体"/>
                <w:b/>
                <w:bCs/>
                <w:color w:val="000000"/>
                <w:sz w:val="21"/>
                <w:szCs w:val="21"/>
                <w14:ligatures w14:val="none"/>
              </w:rPr>
              <w:t xml:space="preserve">得3分；</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14:ligatures w14:val="none"/>
              </w:rPr>
            </w:pPr>
            <w:r>
              <w:rPr>
                <w:rFonts w:hint="default" w:ascii="宋体" w:hAnsi="宋体" w:eastAsia="宋体" w:cs="宋体"/>
                <w:bCs/>
                <w:color w:val="000000"/>
                <w:sz w:val="21"/>
                <w:szCs w:val="21"/>
                <w14:ligatures w14:val="none"/>
              </w:rPr>
              <w:t xml:space="preserve">对项目需求中的培训项有对应的培训内容，方案内容较为详细，培训方式较丰富多样的</w:t>
            </w:r>
            <w:r>
              <w:rPr>
                <w:rFonts w:hint="default" w:ascii="宋体" w:hAnsi="宋体" w:eastAsia="宋体" w:cs="宋体"/>
                <w:b/>
                <w:bCs/>
                <w:color w:val="000000"/>
                <w:sz w:val="21"/>
                <w:szCs w:val="21"/>
                <w14:ligatures w14:val="none"/>
              </w:rPr>
              <w:t xml:space="preserve">得2分；</w:t>
            </w:r>
            <w:r/>
          </w:p>
          <w:p>
            <w:pPr>
              <w:ind w:firstLine="480"/>
              <w:jc w:val="both"/>
              <w:spacing w:after="0"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14:ligatures w14:val="none"/>
              </w:rPr>
            </w:pPr>
            <w:r>
              <w:rPr>
                <w:rFonts w:hint="default" w:ascii="宋体" w:hAnsi="宋体" w:eastAsia="宋体" w:cs="宋体"/>
                <w:bCs/>
                <w:color w:val="000000"/>
                <w:sz w:val="21"/>
                <w:szCs w:val="21"/>
                <w14:ligatures w14:val="none"/>
              </w:rPr>
              <w:t xml:space="preserve">培训内容与项目需求中的培训项不对应，有缺项，方案内容简单，培训方式单一的</w:t>
            </w:r>
            <w:r>
              <w:rPr>
                <w:rFonts w:hint="default" w:ascii="宋体" w:hAnsi="宋体" w:eastAsia="宋体" w:cs="宋体"/>
                <w:b/>
                <w:bCs/>
                <w:color w:val="000000"/>
                <w:sz w:val="21"/>
                <w:szCs w:val="21"/>
                <w14:ligatures w14:val="none"/>
              </w:rPr>
              <w:t xml:space="preserve">得1分；</w:t>
            </w:r>
            <w:r/>
          </w:p>
          <w:p>
            <w:pPr>
              <w:ind w:firstLine="482"/>
              <w:jc w:val="both"/>
              <w:spacing w:after="0" w:line="320" w:lineRule="exact"/>
              <w:rPr>
                <w:rFonts w:hint="eastAsia" w:ascii="宋体" w:hAnsi="宋体" w:eastAsia="宋体" w:cs="宋体"/>
                <w:color w:val="000000"/>
                <w:sz w:val="21"/>
                <w:szCs w:val="21"/>
                <w14:ligatures w14:val="none"/>
              </w:rPr>
            </w:pPr>
            <w:r>
              <w:rPr>
                <w:rFonts w:hint="default" w:ascii="宋体" w:hAnsi="宋体" w:eastAsia="宋体" w:cs="Times New Roman"/>
                <w:b/>
                <w:bCs/>
                <w:color w:val="000000"/>
                <w:sz w:val="21"/>
                <w:szCs w:val="21"/>
                <w:lang w:val="zh-CN"/>
                <w14:ligatures w14:val="none"/>
              </w:rPr>
              <w:t xml:space="preserve">本项最高得</w:t>
            </w:r>
            <w:r>
              <w:rPr>
                <w:rFonts w:hint="default" w:ascii="宋体" w:hAnsi="宋体" w:eastAsia="宋体" w:cs="Times New Roman"/>
                <w:b/>
                <w:bCs/>
                <w:color w:val="000000"/>
                <w:sz w:val="21"/>
                <w:szCs w:val="21"/>
                <w14:ligatures w14:val="none"/>
              </w:rPr>
              <w:t xml:space="preserve">3</w:t>
            </w:r>
            <w:r>
              <w:rPr>
                <w:rFonts w:hint="default" w:ascii="宋体" w:hAnsi="宋体" w:eastAsia="宋体" w:cs="Times New Roman"/>
                <w:b/>
                <w:bCs/>
                <w:color w:val="000000"/>
                <w:sz w:val="21"/>
                <w:szCs w:val="21"/>
                <w:lang w:val="zh-CN"/>
                <w14:ligatures w14:val="none"/>
              </w:rPr>
              <w:t xml:space="preserve">分，差或未见阐述本项不得分。</w:t>
            </w:r>
            <w:r/>
          </w:p>
        </w:tc>
        <w:tc>
          <w:tcPr>
            <w:tcW w:w="816" w:type="dxa"/>
            <w:vAlign w:val="center"/>
            <w:textDirection w:val="lrTb"/>
            <w:noWrap w:val="false"/>
          </w:tcPr>
          <w:p>
            <w:pPr>
              <w:ind w:firstLine="105"/>
              <w:jc w:val="both"/>
              <w:spacing w:after="0" w:line="40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3</w:t>
            </w:r>
            <w:r/>
          </w:p>
        </w:tc>
      </w:tr>
      <w:tr>
        <w:trPr>
          <w:jc w:val="center"/>
          <w:trHeight w:val="390"/>
        </w:trPr>
        <w:tc>
          <w:tcPr>
            <w:tcW w:w="917" w:type="dxa"/>
            <w:vAlign w:val="center"/>
            <w:vMerge w:val="continue"/>
            <w:textDirection w:val="lrTb"/>
            <w:noWrap w:val="false"/>
          </w:tcPr>
          <w:p>
            <w:pPr>
              <w:ind w:left="1260" w:firstLine="420"/>
              <w:jc w:val="both"/>
              <w:spacing w:before="166" w:after="166" w:line="400" w:lineRule="exact"/>
              <w:tabs>
                <w:tab w:val="left" w:pos="1440" w:leader="none"/>
                <w:tab w:val="right" w:pos="8505" w:leader="dot"/>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r>
            <w:r/>
          </w:p>
        </w:tc>
        <w:tc>
          <w:tcPr>
            <w:tcW w:w="6767" w:type="dxa"/>
            <w:vAlign w:val="center"/>
            <w:textDirection w:val="lrTb"/>
            <w:noWrap w:val="false"/>
          </w:tcPr>
          <w:p>
            <w:pPr>
              <w:jc w:val="both"/>
              <w:spacing w:after="0" w:line="400" w:lineRule="exact"/>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质保期（2分）</w:t>
            </w:r>
            <w:r/>
          </w:p>
          <w:p>
            <w:pPr>
              <w:ind w:firstLine="480"/>
              <w:jc w:val="both"/>
              <w:spacing w:after="0" w:line="400" w:lineRule="exact"/>
              <w:widowControl/>
              <w:rPr>
                <w:rFonts w:hint="eastAsia" w:ascii="宋体" w:hAnsi="宋体" w:eastAsia="宋体" w:cs="Times New Roman"/>
                <w:color w:val="000000"/>
                <w:sz w:val="21"/>
                <w:szCs w:val="21"/>
                <w14:ligatures w14:val="none"/>
              </w:rPr>
            </w:pPr>
            <w:r>
              <w:rPr>
                <w:rFonts w:hint="default" w:ascii="宋体" w:hAnsi="宋体" w:eastAsia="宋体" w:cs="Times New Roman"/>
                <w:color w:val="000000"/>
                <w:sz w:val="21"/>
                <w:szCs w:val="21"/>
                <w14:ligatures w14:val="none"/>
              </w:rPr>
              <w:t xml:space="preserve">投标人在满足招标文件质保期限要求（3年）的基础上，每增加1年得1分，本项最高得2分（</w:t>
            </w:r>
            <w:r>
              <w:rPr>
                <w:rFonts w:hint="default" w:ascii="宋体" w:hAnsi="宋体" w:eastAsia="宋体" w:cs="Times New Roman"/>
                <w:b/>
                <w:bCs/>
                <w:color w:val="000000"/>
                <w:sz w:val="21"/>
                <w:szCs w:val="21"/>
                <w14:ligatures w14:val="none"/>
              </w:rPr>
              <w:t xml:space="preserve">质保期5年得满分</w:t>
            </w:r>
            <w:r>
              <w:rPr>
                <w:rFonts w:hint="default" w:ascii="宋体" w:hAnsi="宋体" w:eastAsia="宋体" w:cs="Times New Roman"/>
                <w:color w:val="000000"/>
                <w:sz w:val="21"/>
                <w:szCs w:val="21"/>
                <w14:ligatures w14:val="none"/>
              </w:rPr>
              <w:t xml:space="preserve">）。</w:t>
            </w:r>
            <w:r/>
          </w:p>
          <w:p>
            <w:pPr>
              <w:ind w:firstLine="482"/>
              <w:jc w:val="both"/>
              <w:spacing w:after="0" w:line="400" w:lineRule="exact"/>
              <w:rPr>
                <w:rFonts w:hint="eastAsia" w:ascii="宋体" w:hAnsi="宋体" w:eastAsia="宋体" w:cs="Times New Roman"/>
                <w:b/>
                <w:bCs/>
                <w:color w:val="000000"/>
                <w:sz w:val="21"/>
                <w:szCs w:val="21"/>
                <w:lang w:val="zh-CN"/>
                <w14:ligatures w14:val="none"/>
              </w:rPr>
            </w:pPr>
            <w:r>
              <w:rPr>
                <w:rFonts w:hint="default" w:ascii="宋体" w:hAnsi="宋体" w:eastAsia="宋体" w:cs="Times New Roman"/>
                <w:b/>
                <w:bCs/>
                <w:color w:val="000000"/>
                <w:sz w:val="21"/>
                <w:szCs w:val="21"/>
                <w14:ligatures w14:val="none"/>
              </w:rPr>
              <w:t xml:space="preserve">注：证明材料由投标人自行承诺质保期限（盖章有效），未承诺或未提供此项不得分。</w:t>
            </w:r>
            <w:r/>
          </w:p>
        </w:tc>
        <w:tc>
          <w:tcPr>
            <w:tcW w:w="816" w:type="dxa"/>
            <w:vAlign w:val="center"/>
            <w:textDirection w:val="lrTb"/>
            <w:noWrap w:val="false"/>
          </w:tcPr>
          <w:p>
            <w:pPr>
              <w:ind w:firstLine="105"/>
              <w:jc w:val="both"/>
              <w:spacing w:after="0" w:line="400" w:lineRule="exact"/>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2</w:t>
            </w:r>
            <w:r/>
          </w:p>
        </w:tc>
      </w:tr>
      <w:tr>
        <w:trPr>
          <w:jc w:val="center"/>
          <w:trHeight w:val="557"/>
        </w:trPr>
        <w:tc>
          <w:tcPr>
            <w:tcW w:w="917" w:type="dxa"/>
            <w:vAlign w:val="center"/>
            <w:textDirection w:val="lrTb"/>
            <w:noWrap w:val="false"/>
          </w:tcPr>
          <w:p>
            <w:pPr>
              <w:jc w:val="both"/>
              <w:spacing w:after="0" w:line="360" w:lineRule="auto"/>
              <w:rPr>
                <w:rFonts w:hint="eastAsia" w:ascii="宋体" w:hAnsi="宋体" w:eastAsia="宋体" w:cs="宋体"/>
                <w:b/>
                <w:bCs/>
                <w:color w:val="000000"/>
                <w:sz w:val="21"/>
                <w:szCs w:val="21"/>
                <w14:ligatures w14:val="none"/>
              </w:rPr>
            </w:pPr>
            <w:r/>
            <w:bookmarkStart w:id="15" w:name="OLE_LINK2"/>
            <w:r/>
            <w:bookmarkStart w:id="16" w:name="OLE_LINK4"/>
            <w:r>
              <w:rPr>
                <w:rFonts w:hint="default" w:ascii="宋体" w:hAnsi="宋体" w:eastAsia="宋体" w:cs="宋体"/>
                <w:b/>
                <w:bCs/>
                <w:color w:val="000000"/>
                <w:sz w:val="21"/>
                <w:szCs w:val="21"/>
                <w14:ligatures w14:val="none"/>
              </w:rPr>
              <w:t xml:space="preserve">投标人或制造商综合力（1</w:t>
            </w:r>
            <w:r>
              <w:rPr>
                <w:rFonts w:hint="eastAsia" w:ascii="宋体" w:hAnsi="宋体" w:eastAsia="宋体" w:cs="宋体"/>
                <w:b/>
                <w:bCs/>
                <w:color w:val="000000"/>
                <w:sz w:val="21"/>
                <w:szCs w:val="21"/>
                <w14:ligatures w14:val="none"/>
              </w:rPr>
              <w:t xml:space="preserve">2</w:t>
            </w:r>
            <w:r>
              <w:rPr>
                <w:rFonts w:hint="default" w:ascii="宋体" w:hAnsi="宋体" w:eastAsia="宋体" w:cs="宋体"/>
                <w:b/>
                <w:bCs/>
                <w:color w:val="000000"/>
                <w:sz w:val="21"/>
                <w:szCs w:val="21"/>
                <w14:ligatures w14:val="none"/>
              </w:rPr>
              <w:t xml:space="preserve">分）</w:t>
            </w:r>
            <w:bookmarkEnd w:id="15"/>
            <w:r/>
            <w:bookmarkEnd w:id="16"/>
            <w:r/>
            <w:r/>
          </w:p>
        </w:tc>
        <w:tc>
          <w:tcPr>
            <w:tcW w:w="6767" w:type="dxa"/>
            <w:vAlign w:val="center"/>
            <w:textDirection w:val="lrTb"/>
            <w:noWrap w:val="false"/>
          </w:tcPr>
          <w:p>
            <w:pPr>
              <w:numPr>
                <w:ilvl w:val="0"/>
                <w:numId w:val="9"/>
              </w:numPr>
              <w:contextualSpacing/>
              <w:ind w:left="450" w:hanging="450"/>
              <w:spacing w:after="160" w:line="360" w:lineRule="auto"/>
              <w:widowControl w:val="off"/>
              <w:rPr>
                <w:rFonts w:hint="eastAsia" w:ascii="宋体" w:hAnsi="宋体" w:eastAsia="宋体" w:cs="Times New Roman"/>
                <w:b/>
                <w:bCs/>
                <w:color w:val="000000"/>
                <w:sz w:val="21"/>
                <w:szCs w:val="21"/>
                <w:lang w:val="en-US" w:eastAsia="zh-CN" w:bidi="ar-SA"/>
                <w14:ligatures w14:val="standardContextual"/>
              </w:rPr>
            </w:pPr>
            <w:r>
              <w:rPr>
                <w:rFonts w:hint="eastAsia" w:ascii="宋体" w:hAnsi="宋体" w:eastAsia="宋体" w:cs="Times New Roman"/>
                <w:b/>
                <w:bCs/>
                <w:color w:val="000000"/>
                <w:sz w:val="21"/>
                <w:szCs w:val="21"/>
                <w:lang w:val="en-US" w:eastAsia="zh-CN" w:bidi="ar-SA"/>
                <w14:ligatures w14:val="standardContextual"/>
              </w:rPr>
              <w:t xml:space="preserve">STEM+AI、创客教室</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standardContextual"/>
              </w:rPr>
              <w:t xml:space="preserve">1.</w:t>
            </w:r>
            <w:r>
              <w:rPr>
                <w:rFonts w:hint="default" w:ascii="宋体" w:hAnsi="宋体" w:eastAsia="宋体" w:cs="Times New Roman"/>
                <w:color w:val="000000"/>
                <w:sz w:val="21"/>
                <w:szCs w:val="21"/>
                <w14:ligatures w14:val="standardContextual"/>
              </w:rPr>
              <w:t xml:space="preserve"> 投标人</w:t>
            </w:r>
            <w:r>
              <w:rPr>
                <w:rFonts w:hint="eastAsia" w:ascii="宋体" w:hAnsi="宋体" w:eastAsia="宋体" w:cs="Times New Roman"/>
                <w:color w:val="000000"/>
                <w:sz w:val="21"/>
                <w:szCs w:val="21"/>
                <w14:ligatures w14:val="standardContextual"/>
              </w:rPr>
              <w:t xml:space="preserve">或投标产品制造商</w:t>
            </w:r>
            <w:r>
              <w:rPr>
                <w:rFonts w:hint="default" w:ascii="宋体" w:hAnsi="宋体" w:eastAsia="宋体" w:cs="Times New Roman"/>
                <w:color w:val="000000"/>
                <w:sz w:val="21"/>
                <w:szCs w:val="21"/>
                <w14:ligatures w14:val="standardContextual"/>
              </w:rPr>
              <w:t xml:space="preserve">具有人工智能教育知识图谱生成与智能学习平台、人工智能教学资源建设系统、人工智能教学管理系统软件著作权登记证书</w:t>
            </w:r>
            <w:r>
              <w:rPr>
                <w:rFonts w:hint="eastAsia" w:ascii="宋体" w:hAnsi="宋体" w:eastAsia="宋体" w:cs="Times New Roman"/>
                <w:color w:val="000000"/>
                <w:sz w:val="21"/>
                <w:szCs w:val="21"/>
                <w14:ligatures w14:val="standardContextual"/>
              </w:rPr>
              <w:t xml:space="preserve">的得1分，未全部提供的得0.5分，</w:t>
            </w:r>
            <w:r>
              <w:rPr>
                <w:rFonts w:hint="default" w:ascii="宋体" w:hAnsi="宋体" w:eastAsia="宋体" w:cs="Times New Roman"/>
                <w:color w:val="000000"/>
                <w:sz w:val="21"/>
                <w:szCs w:val="21"/>
                <w14:ligatures w14:val="standardContextual"/>
              </w:rPr>
              <w:t xml:space="preserve">未提供的不得分。</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standardContextual"/>
              </w:rPr>
              <w:t xml:space="preserve">2.</w:t>
            </w:r>
            <w:r>
              <w:rPr>
                <w:rFonts w:hint="default" w:ascii="宋体" w:hAnsi="宋体" w:eastAsia="宋体" w:cs="Times New Roman"/>
                <w:color w:val="000000"/>
                <w:sz w:val="21"/>
                <w:szCs w:val="21"/>
                <w14:ligatures w14:val="standardContextual"/>
              </w:rPr>
              <w:t xml:space="preserve">投标人</w:t>
            </w:r>
            <w:r>
              <w:rPr>
                <w:rFonts w:hint="eastAsia" w:ascii="宋体" w:hAnsi="宋体" w:eastAsia="宋体" w:cs="Times New Roman"/>
                <w:color w:val="000000"/>
                <w:sz w:val="21"/>
                <w:szCs w:val="21"/>
                <w14:ligatures w14:val="standardContextual"/>
              </w:rPr>
              <w:t xml:space="preserve">或投标产品制造商</w:t>
            </w:r>
            <w:r>
              <w:rPr>
                <w:rFonts w:hint="default" w:ascii="宋体" w:hAnsi="宋体" w:eastAsia="宋体" w:cs="Times New Roman"/>
                <w:color w:val="000000"/>
                <w:sz w:val="21"/>
                <w:szCs w:val="21"/>
                <w14:ligatures w14:val="standardContextual"/>
              </w:rPr>
              <w:t xml:space="preserve">具有出版物经营许可证、图书出版许可证、电子出版物出版许可证</w:t>
            </w:r>
            <w:r>
              <w:rPr>
                <w:rFonts w:hint="eastAsia" w:ascii="宋体" w:hAnsi="宋体" w:eastAsia="宋体" w:cs="Times New Roman"/>
                <w:color w:val="000000"/>
                <w:sz w:val="21"/>
                <w:szCs w:val="21"/>
                <w14:ligatures w14:val="standardContextual"/>
              </w:rPr>
              <w:t xml:space="preserve">的得1分，未全部提供的得0.5分，</w:t>
            </w:r>
            <w:r>
              <w:rPr>
                <w:rFonts w:hint="default" w:ascii="宋体" w:hAnsi="宋体" w:eastAsia="宋体" w:cs="Times New Roman"/>
                <w:color w:val="000000"/>
                <w:sz w:val="21"/>
                <w:szCs w:val="21"/>
                <w14:ligatures w14:val="standardContextual"/>
              </w:rPr>
              <w:t xml:space="preserve">未提供的不得分</w:t>
            </w:r>
            <w:r>
              <w:rPr>
                <w:rFonts w:hint="eastAsia" w:ascii="宋体" w:hAnsi="宋体" w:eastAsia="宋体" w:cs="Times New Roman"/>
                <w:color w:val="000000"/>
                <w:sz w:val="21"/>
                <w:szCs w:val="21"/>
                <w14:ligatures w14:val="standardContextual"/>
              </w:rPr>
              <w:t xml:space="preserve">。</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default" w:ascii="宋体" w:hAnsi="宋体" w:eastAsia="宋体" w:cs="Times New Roman"/>
                <w:b/>
                <w:bCs/>
                <w:color w:val="000000"/>
                <w:sz w:val="21"/>
                <w:szCs w:val="21"/>
                <w14:ligatures w14:val="standardContextual"/>
              </w:rPr>
              <w:t xml:space="preserve">注：以上提供证书复印件（有效期内）并加盖投标人公章，否则不得分。</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eastAsia" w:ascii="宋体" w:hAnsi="宋体" w:eastAsia="宋体" w:cs="Times New Roman"/>
                <w:b/>
                <w:bCs/>
                <w:color w:val="000000"/>
                <w:sz w:val="21"/>
                <w:szCs w:val="21"/>
                <w14:ligatures w14:val="standardContextual"/>
              </w:rPr>
              <w:t xml:space="preserve">二、心理咨询室</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standardContextual"/>
              </w:rPr>
              <w:t xml:space="preserve">1.</w:t>
            </w:r>
            <w:r>
              <w:rPr>
                <w:rFonts w:hint="default" w:ascii="宋体" w:hAnsi="宋体" w:eastAsia="宋体" w:cs="Times New Roman"/>
                <w:color w:val="000000"/>
                <w:sz w:val="21"/>
                <w:szCs w:val="21"/>
                <w14:ligatures w14:val="standardContextual"/>
              </w:rPr>
              <w:t xml:space="preserve">智能综合反应时测试仪</w:t>
            </w:r>
            <w:r>
              <w:rPr>
                <w:rFonts w:hint="eastAsia" w:ascii="宋体" w:hAnsi="宋体" w:eastAsia="宋体" w:cs="Times New Roman"/>
                <w:color w:val="000000"/>
                <w:sz w:val="21"/>
                <w:szCs w:val="21"/>
                <w14:ligatures w14:val="standardContextual"/>
              </w:rPr>
              <w:t xml:space="preserve">、</w:t>
            </w:r>
            <w:r>
              <w:rPr>
                <w:rFonts w:hint="default" w:ascii="宋体" w:hAnsi="宋体" w:eastAsia="宋体" w:cs="Times New Roman"/>
                <w:color w:val="000000"/>
                <w:sz w:val="21"/>
                <w:szCs w:val="21"/>
                <w14:ligatures w14:val="standardContextual"/>
              </w:rPr>
              <w:t xml:space="preserve">心理自助检测与解压调节系统</w:t>
            </w:r>
            <w:r>
              <w:rPr>
                <w:rFonts w:hint="eastAsia" w:ascii="宋体" w:hAnsi="宋体" w:eastAsia="宋体" w:cs="Times New Roman"/>
                <w:color w:val="000000"/>
                <w:sz w:val="21"/>
                <w:szCs w:val="21"/>
                <w14:ligatures w14:val="standardContextual"/>
              </w:rPr>
              <w:t xml:space="preserve">提供</w:t>
            </w:r>
            <w:r>
              <w:rPr>
                <w:rFonts w:hint="default" w:ascii="宋体" w:hAnsi="宋体" w:eastAsia="宋体" w:cs="Times New Roman"/>
                <w:color w:val="000000"/>
                <w:sz w:val="21"/>
                <w:szCs w:val="21"/>
                <w14:ligatures w14:val="standardContextual"/>
              </w:rPr>
              <w:t xml:space="preserve">软件著作权登记证书的得1分，未全部提供的得0.5分</w:t>
            </w:r>
            <w:r>
              <w:rPr>
                <w:rFonts w:hint="eastAsia" w:ascii="宋体" w:hAnsi="宋体" w:eastAsia="宋体" w:cs="Times New Roman"/>
                <w:color w:val="000000"/>
                <w:sz w:val="21"/>
                <w:szCs w:val="21"/>
                <w14:ligatures w14:val="standardContextual"/>
              </w:rPr>
              <w:t xml:space="preserve">，</w:t>
            </w:r>
            <w:r>
              <w:rPr>
                <w:rFonts w:hint="default" w:ascii="宋体" w:hAnsi="宋体" w:eastAsia="宋体" w:cs="Times New Roman"/>
                <w:color w:val="000000"/>
                <w:sz w:val="21"/>
                <w:szCs w:val="21"/>
                <w14:ligatures w14:val="standardContextual"/>
              </w:rPr>
              <w:t xml:space="preserve">未提供的不得分。</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default" w:ascii="宋体" w:hAnsi="宋体" w:eastAsia="宋体" w:cs="Times New Roman"/>
                <w:b/>
                <w:bCs/>
                <w:color w:val="000000"/>
                <w:sz w:val="21"/>
                <w:szCs w:val="21"/>
                <w14:ligatures w14:val="standardContextual"/>
              </w:rPr>
              <w:t xml:space="preserve">注：以上提供证书复印件（有效期内）并加盖投标人公章，否则不得分。</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eastAsia" w:ascii="宋体" w:hAnsi="宋体" w:eastAsia="宋体" w:cs="Times New Roman"/>
                <w:b/>
                <w:bCs/>
                <w:color w:val="000000"/>
                <w:sz w:val="21"/>
                <w:szCs w:val="21"/>
                <w14:ligatures w14:val="standardContextual"/>
              </w:rPr>
              <w:t xml:space="preserve">三</w:t>
            </w:r>
            <w:r>
              <w:rPr>
                <w:rFonts w:hint="default" w:ascii="宋体" w:hAnsi="宋体" w:eastAsia="宋体" w:cs="Times New Roman"/>
                <w:b/>
                <w:bCs/>
                <w:color w:val="000000"/>
                <w:sz w:val="21"/>
                <w:szCs w:val="21"/>
                <w14:ligatures w14:val="standardContextual"/>
              </w:rPr>
              <w:t xml:space="preserve">、AI智慧教室</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none"/>
              </w:rPr>
              <w:t xml:space="preserve">1</w:t>
            </w:r>
            <w:r>
              <w:rPr>
                <w:rFonts w:hint="default" w:ascii="宋体" w:hAnsi="宋体" w:eastAsia="宋体" w:cs="Times New Roman"/>
                <w:color w:val="000000"/>
                <w:sz w:val="21"/>
                <w:szCs w:val="21"/>
                <w14:ligatures w14:val="none"/>
              </w:rPr>
              <w:t xml:space="preserve">.投标人</w:t>
            </w:r>
            <w:r>
              <w:rPr>
                <w:rFonts w:hint="default" w:ascii="宋体" w:hAnsi="宋体" w:eastAsia="宋体" w:cs="Times New Roman"/>
                <w:color w:val="000000"/>
                <w:sz w:val="21"/>
                <w:szCs w:val="21"/>
                <w14:ligatures w14:val="standardContextual"/>
              </w:rPr>
              <w:t xml:space="preserve">或AI备授课产品制造商具有一定的软件能力成熟度，并通过SPCA评估5级或以上认证的得1分，低于5级得0.5分，本项最高得1分，没有不得分。</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standardContextual"/>
              </w:rPr>
              <w:t xml:space="preserve">2</w:t>
            </w:r>
            <w:r>
              <w:rPr>
                <w:rFonts w:hint="default" w:ascii="宋体" w:hAnsi="宋体" w:eastAsia="宋体" w:cs="Times New Roman"/>
                <w:color w:val="000000"/>
                <w:sz w:val="21"/>
                <w:szCs w:val="21"/>
                <w14:ligatures w14:val="standardContextual"/>
              </w:rPr>
              <w:t xml:space="preserve">.</w:t>
            </w:r>
            <w:r>
              <w:rPr>
                <w:rFonts w:hint="default" w:ascii="宋体" w:hAnsi="宋体" w:eastAsia="宋体" w:cs="Times New Roman"/>
                <w:color w:val="000000"/>
                <w:sz w:val="21"/>
                <w:szCs w:val="21"/>
                <w14:ligatures w14:val="none"/>
              </w:rPr>
              <w:t xml:space="preserve">投标人或</w:t>
            </w:r>
            <w:r>
              <w:rPr>
                <w:rFonts w:hint="default" w:ascii="宋体" w:hAnsi="宋体" w:eastAsia="宋体" w:cs="Times New Roman"/>
                <w:color w:val="000000"/>
                <w:sz w:val="21"/>
                <w:szCs w:val="21"/>
                <w14:ligatures w14:val="standardContextual"/>
              </w:rPr>
              <w:t xml:space="preserve">互动教学系统制造商具备数据管理能力成熟度，并通过DCMM(GB/T36073-2018)三级及以上认证</w:t>
            </w:r>
            <w:r>
              <w:rPr>
                <w:rFonts w:hint="eastAsia" w:ascii="宋体" w:hAnsi="宋体" w:eastAsia="宋体" w:cs="Times New Roman"/>
                <w:color w:val="000000"/>
                <w:sz w:val="21"/>
                <w:szCs w:val="21"/>
                <w14:ligatures w14:val="standardContextual"/>
              </w:rPr>
              <w:t xml:space="preserve">、</w:t>
            </w:r>
            <w:r>
              <w:rPr>
                <w:rFonts w:hint="default" w:ascii="宋体" w:hAnsi="宋体" w:eastAsia="宋体" w:cs="Times New Roman"/>
                <w:color w:val="000000"/>
                <w:sz w:val="21"/>
                <w:szCs w:val="21"/>
                <w14:ligatures w14:val="standardContextual"/>
              </w:rPr>
              <w:t xml:space="preserve">具有ISO27017云服务信息安全管理体系认证的得</w:t>
            </w:r>
            <w:r>
              <w:rPr>
                <w:rFonts w:hint="eastAsia" w:ascii="宋体" w:hAnsi="宋体" w:eastAsia="宋体" w:cs="Times New Roman"/>
                <w:color w:val="000000"/>
                <w:sz w:val="21"/>
                <w:szCs w:val="21"/>
                <w14:ligatures w14:val="standardContextual"/>
              </w:rPr>
              <w:t xml:space="preserve">1</w:t>
            </w:r>
            <w:r>
              <w:rPr>
                <w:rFonts w:hint="default" w:ascii="宋体" w:hAnsi="宋体" w:eastAsia="宋体" w:cs="Times New Roman"/>
                <w:color w:val="000000"/>
                <w:sz w:val="21"/>
                <w:szCs w:val="21"/>
                <w14:ligatures w14:val="standardContextual"/>
              </w:rPr>
              <w:t xml:space="preserve">分。</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default" w:ascii="宋体" w:hAnsi="宋体" w:eastAsia="宋体" w:cs="Times New Roman"/>
                <w:b/>
                <w:bCs/>
                <w:color w:val="000000"/>
                <w:sz w:val="21"/>
                <w:szCs w:val="21"/>
                <w14:ligatures w14:val="standardContextual"/>
              </w:rPr>
              <w:t xml:space="preserve">注：以上提供证书复印件（有效期内）并加盖投标人公章，否则不得分。</w:t>
            </w:r>
            <w:r/>
          </w:p>
          <w:p>
            <w:pPr>
              <w:jc w:val="left"/>
              <w:spacing w:after="160" w:line="360" w:lineRule="auto"/>
              <w:rPr>
                <w:rFonts w:hint="eastAsia" w:ascii="宋体" w:hAnsi="宋体" w:eastAsia="宋体" w:cs="Times New Roman"/>
                <w:b/>
                <w:bCs/>
                <w:color w:val="000000"/>
                <w:sz w:val="21"/>
                <w:szCs w:val="21"/>
                <w14:ligatures w14:val="standardContextual"/>
              </w:rPr>
            </w:pPr>
            <w:r>
              <w:rPr>
                <w:rFonts w:hint="eastAsia" w:ascii="宋体" w:hAnsi="宋体" w:eastAsia="宋体" w:cs="Times New Roman"/>
                <w:b/>
                <w:bCs/>
                <w:color w:val="000000"/>
                <w:sz w:val="21"/>
                <w:szCs w:val="21"/>
                <w14:ligatures w14:val="standardContextual"/>
              </w:rPr>
              <w:t xml:space="preserve">四</w:t>
            </w:r>
            <w:r>
              <w:rPr>
                <w:rFonts w:hint="default" w:ascii="宋体" w:hAnsi="宋体" w:eastAsia="宋体" w:cs="Times New Roman"/>
                <w:b/>
                <w:bCs/>
                <w:color w:val="000000"/>
                <w:sz w:val="21"/>
                <w:szCs w:val="21"/>
                <w14:ligatures w14:val="standardContextual"/>
              </w:rPr>
              <w:t xml:space="preserve">、智慧体育</w:t>
            </w:r>
            <w:r/>
          </w:p>
          <w:p>
            <w:pPr>
              <w:jc w:val="left"/>
              <w:spacing w:after="160" w:line="360" w:lineRule="auto"/>
              <w:rPr>
                <w:rFonts w:hint="eastAsia" w:ascii="宋体" w:hAnsi="宋体" w:eastAsia="宋体" w:cs="Times New Roman"/>
                <w:color w:val="000000"/>
                <w:sz w:val="21"/>
                <w:szCs w:val="21"/>
                <w14:ligatures w14:val="standardContextual"/>
              </w:rPr>
            </w:pPr>
            <w:r>
              <w:rPr>
                <w:rFonts w:hint="default" w:ascii="宋体" w:hAnsi="宋体" w:eastAsia="宋体" w:cs="Times New Roman"/>
                <w:color w:val="000000"/>
                <w:sz w:val="21"/>
                <w:szCs w:val="21"/>
                <w14:ligatures w14:val="standardContextual"/>
              </w:rPr>
              <w:t xml:space="preserve">1、所投产品制造商在国家网信部门完成运动类或教育类的生成式人工智能大模型备案，提供承诺函加盖投标人公章（承诺内容包括备案名称、备案号、中国网信网的公告信息查询截图）</w:t>
            </w:r>
            <w:r>
              <w:rPr>
                <w:rFonts w:hint="eastAsia" w:ascii="宋体" w:hAnsi="宋体" w:eastAsia="宋体" w:cs="Times New Roman"/>
                <w:color w:val="000000"/>
                <w:sz w:val="21"/>
                <w:szCs w:val="21"/>
                <w14:ligatures w14:val="standardContextual"/>
              </w:rPr>
              <w:t xml:space="preserve">的</w:t>
            </w:r>
            <w:r>
              <w:rPr>
                <w:rFonts w:hint="default" w:ascii="宋体" w:hAnsi="宋体" w:eastAsia="宋体" w:cs="Times New Roman"/>
                <w:color w:val="000000"/>
                <w:sz w:val="21"/>
                <w:szCs w:val="21"/>
                <w14:ligatures w14:val="standardContextual"/>
              </w:rPr>
              <w:t xml:space="preserve">得1分。</w:t>
            </w:r>
            <w:r/>
          </w:p>
          <w:p>
            <w:pPr>
              <w:jc w:val="left"/>
              <w:spacing w:after="160" w:line="360" w:lineRule="auto"/>
              <w:rPr>
                <w:rFonts w:hint="eastAsia" w:ascii="宋体" w:hAnsi="宋体" w:eastAsia="宋体" w:cs="Times New Roman"/>
                <w:color w:val="000000"/>
                <w:sz w:val="21"/>
                <w:szCs w:val="21"/>
                <w14:ligatures w14:val="standardContextual"/>
              </w:rPr>
            </w:pPr>
            <w:r>
              <w:rPr>
                <w:rFonts w:hint="default" w:ascii="宋体" w:hAnsi="宋体" w:eastAsia="宋体" w:cs="Times New Roman"/>
                <w:color w:val="000000"/>
                <w:sz w:val="21"/>
                <w:szCs w:val="21"/>
                <w14:ligatures w14:val="standardContextual"/>
              </w:rPr>
              <w:t xml:space="preserve">2、投标人或所投产品制造商具备ISO27001信息安全管理体系认证证书</w:t>
            </w:r>
            <w:r>
              <w:rPr>
                <w:rFonts w:hint="eastAsia" w:ascii="宋体" w:hAnsi="宋体" w:eastAsia="宋体" w:cs="Times New Roman"/>
                <w:color w:val="000000"/>
                <w:sz w:val="21"/>
                <w:szCs w:val="21"/>
                <w14:ligatures w14:val="standardContextual"/>
              </w:rPr>
              <w:t xml:space="preserve">的</w:t>
            </w:r>
            <w:r>
              <w:rPr>
                <w:rFonts w:hint="default" w:ascii="宋体" w:hAnsi="宋体" w:eastAsia="宋体" w:cs="Times New Roman"/>
                <w:color w:val="000000"/>
                <w:sz w:val="21"/>
                <w:szCs w:val="21"/>
                <w14:ligatures w14:val="standardContextual"/>
              </w:rPr>
              <w:t xml:space="preserve">得1分。</w:t>
            </w:r>
            <w:r/>
          </w:p>
          <w:p>
            <w:pPr>
              <w:jc w:val="left"/>
              <w:spacing w:after="160" w:line="360" w:lineRule="auto"/>
              <w:rPr>
                <w:rFonts w:hint="eastAsia" w:ascii="宋体" w:hAnsi="宋体" w:eastAsia="宋体" w:cs="Times New Roman"/>
                <w:color w:val="000000"/>
                <w:sz w:val="21"/>
                <w:szCs w:val="21"/>
                <w14:ligatures w14:val="standardContextual"/>
              </w:rPr>
            </w:pPr>
            <w:r>
              <w:rPr>
                <w:rFonts w:hint="eastAsia" w:ascii="宋体" w:hAnsi="宋体" w:eastAsia="宋体" w:cs="Times New Roman"/>
                <w:color w:val="000000"/>
                <w:sz w:val="21"/>
                <w:szCs w:val="21"/>
                <w14:ligatures w14:val="standardContextual"/>
              </w:rPr>
              <w:t xml:space="preserve">3</w:t>
            </w:r>
            <w:r>
              <w:rPr>
                <w:rFonts w:hint="default" w:ascii="宋体" w:hAnsi="宋体" w:eastAsia="宋体" w:cs="Times New Roman"/>
                <w:color w:val="000000"/>
                <w:sz w:val="21"/>
                <w:szCs w:val="21"/>
                <w14:ligatures w14:val="standardContextual"/>
              </w:rPr>
              <w:t xml:space="preserve">.投标人所投体育产品的制造商，具有学校体育赛事数据分析相关软件著作权登记证书、运动目标状态检测识别相关软件著作权登记证书</w:t>
            </w:r>
            <w:bookmarkStart w:id="17" w:name="OLE_LINK7"/>
            <w:r>
              <w:rPr>
                <w:rFonts w:hint="default" w:ascii="宋体" w:hAnsi="宋体" w:eastAsia="宋体" w:cs="Times New Roman"/>
                <w:color w:val="000000"/>
                <w:sz w:val="21"/>
                <w:szCs w:val="21"/>
                <w14:ligatures w14:val="standardContextual"/>
              </w:rPr>
              <w:t xml:space="preserve">的得1分，未全部提供的得0.5分，未提供的不得分。</w:t>
            </w:r>
            <w:bookmarkEnd w:id="17"/>
            <w:r/>
          </w:p>
          <w:p>
            <w:pPr>
              <w:jc w:val="left"/>
              <w:spacing w:after="160" w:line="360" w:lineRule="auto"/>
              <w:rPr>
                <w:rFonts w:hint="eastAsia" w:ascii="宋体" w:hAnsi="宋体" w:eastAsia="宋体" w:cs="Times New Roman"/>
                <w:b/>
                <w:bCs/>
                <w:color w:val="000000"/>
                <w:sz w:val="21"/>
                <w:szCs w:val="21"/>
                <w14:ligatures w14:val="standardContextual"/>
              </w:rPr>
            </w:pPr>
            <w:r>
              <w:rPr>
                <w:rFonts w:hint="default" w:ascii="宋体" w:hAnsi="宋体" w:eastAsia="宋体" w:cs="Times New Roman"/>
                <w:b/>
                <w:bCs/>
                <w:color w:val="000000"/>
                <w:sz w:val="21"/>
                <w:szCs w:val="21"/>
                <w14:ligatures w14:val="standardContextual"/>
              </w:rPr>
              <w:t xml:space="preserve">注：以上提供证书复印件（有效期内）并加盖投标人公章，否则不得分。</w:t>
            </w:r>
            <w:r/>
          </w:p>
          <w:p>
            <w:pPr>
              <w:jc w:val="both"/>
              <w:spacing w:after="0" w:line="360" w:lineRule="auto"/>
              <w:rPr>
                <w:rFonts w:hint="eastAsia" w:ascii="宋体" w:hAnsi="宋体" w:eastAsia="宋体" w:cs="宋体"/>
                <w:b/>
                <w:bCs/>
                <w:color w:val="000000"/>
                <w:sz w:val="21"/>
                <w:szCs w:val="21"/>
                <w14:ligatures w14:val="none"/>
              </w:rPr>
            </w:pPr>
            <w:r>
              <w:rPr>
                <w:rFonts w:hint="eastAsia" w:ascii="宋体" w:hAnsi="宋体" w:eastAsia="宋体" w:cs="宋体"/>
                <w:b/>
                <w:bCs/>
                <w:color w:val="000000"/>
                <w:sz w:val="21"/>
                <w:szCs w:val="21"/>
                <w14:ligatures w14:val="none"/>
              </w:rPr>
              <w:t xml:space="preserve">五</w:t>
            </w:r>
            <w:r>
              <w:rPr>
                <w:rFonts w:hint="default" w:ascii="宋体" w:hAnsi="宋体" w:eastAsia="宋体" w:cs="宋体"/>
                <w:b/>
                <w:bCs/>
                <w:color w:val="000000"/>
                <w:sz w:val="21"/>
                <w:szCs w:val="21"/>
                <w14:ligatures w14:val="none"/>
              </w:rPr>
              <w:t xml:space="preserve">、广播系统产品</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w:t>
            </w:r>
            <w:r>
              <w:rPr>
                <w:rFonts w:hint="default" w:ascii="宋体" w:hAnsi="宋体" w:eastAsia="宋体" w:cs="宋体"/>
                <w:color w:val="000000"/>
                <w:sz w:val="21"/>
                <w:szCs w:val="21"/>
                <w14:ligatures w14:val="none"/>
              </w:rPr>
              <w:t xml:space="preserve">、为了保证信息产品的安全性，对投标人或投标的广播系统产品制造商建立信息技术服务管理体系及信息安全管理的情况进行评价：</w:t>
            </w:r>
            <w:r/>
          </w:p>
          <w:p>
            <w:pPr>
              <w:ind w:firstLine="210"/>
              <w:jc w:val="both"/>
              <w:spacing w:after="0" w:line="360" w:lineRule="auto"/>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具有符合GB/T22080标准或ISO/IEC27001标准的《信息安全管理体系认证证书》及符合GB/T244051-2009或GB/T244052-2010或ISO/IEC20000-1:2018标准的《信息技术服务管理体系认证证书》得1分。</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2</w:t>
            </w:r>
            <w:r>
              <w:rPr>
                <w:rFonts w:hint="default" w:ascii="宋体" w:hAnsi="宋体" w:eastAsia="宋体" w:cs="宋体"/>
                <w:color w:val="000000"/>
                <w:sz w:val="21"/>
                <w:szCs w:val="21"/>
                <w14:ligatures w14:val="none"/>
              </w:rPr>
              <w:t xml:space="preserve">.为了保证货物的交付和后续易损易耗件、零配件的持续供应，对投标人或投标产品制造商建立改进供应链安全管理体系及建立业务连续性管理体系的情况进行评价：</w:t>
            </w:r>
            <w:r/>
          </w:p>
          <w:p>
            <w:pPr>
              <w:ind w:firstLine="420"/>
              <w:jc w:val="both"/>
              <w:spacing w:after="0" w:line="360" w:lineRule="auto"/>
              <w:rPr>
                <w:rFonts w:hint="eastAsia" w:ascii="宋体" w:hAnsi="宋体" w:eastAsia="宋体" w:cs="宋体"/>
                <w:color w:val="000000"/>
                <w:sz w:val="21"/>
                <w:szCs w:val="21"/>
                <w14:ligatures w14:val="none"/>
              </w:rPr>
            </w:pPr>
            <w:r>
              <w:rPr>
                <w:rFonts w:hint="default" w:ascii="宋体" w:hAnsi="宋体" w:eastAsia="宋体" w:cs="宋体"/>
                <w:color w:val="000000"/>
                <w:sz w:val="21"/>
                <w:szCs w:val="21"/>
                <w14:ligatures w14:val="none"/>
              </w:rPr>
              <w:t xml:space="preserve">具有符合GB/T40753-2021或ISO28000标准的《供应链安全管理体系认证证书》、符合GB/T30146-2023或ISO22301:2019标准的《业务连续性管理体系认证证书》得</w:t>
            </w:r>
            <w:r>
              <w:rPr>
                <w:rFonts w:hint="eastAsia" w:ascii="宋体" w:hAnsi="宋体" w:eastAsia="宋体" w:cs="宋体"/>
                <w:color w:val="000000"/>
                <w:sz w:val="21"/>
                <w:szCs w:val="21"/>
                <w14:ligatures w14:val="none"/>
              </w:rPr>
              <w:t xml:space="preserve">1</w:t>
            </w:r>
            <w:r>
              <w:rPr>
                <w:rFonts w:hint="default" w:ascii="宋体" w:hAnsi="宋体" w:eastAsia="宋体" w:cs="宋体"/>
                <w:color w:val="000000"/>
                <w:sz w:val="21"/>
                <w:szCs w:val="21"/>
                <w14:ligatures w14:val="none"/>
              </w:rPr>
              <w:t xml:space="preserve">分。</w:t>
            </w:r>
            <w:r/>
          </w:p>
          <w:p>
            <w:pPr>
              <w:ind w:firstLine="211"/>
              <w:jc w:val="both"/>
              <w:spacing w:after="0" w:line="360" w:lineRule="auto"/>
              <w:rPr>
                <w:rFonts w:hint="eastAsia" w:ascii="宋体" w:hAnsi="宋体" w:eastAsia="宋体" w:cs="宋体"/>
                <w:b/>
                <w:bCs/>
                <w:color w:val="000000"/>
                <w:sz w:val="21"/>
                <w:szCs w:val="21"/>
                <w14:ligatures w14:val="none"/>
              </w:rPr>
            </w:pPr>
            <w:r>
              <w:rPr>
                <w:rFonts w:hint="default" w:ascii="宋体" w:hAnsi="宋体" w:eastAsia="宋体" w:cs="宋体"/>
                <w:b/>
                <w:bCs/>
                <w:color w:val="000000"/>
                <w:sz w:val="21"/>
                <w:szCs w:val="21"/>
                <w14:ligatures w14:val="none"/>
              </w:rPr>
              <w:t xml:space="preserve">注：以上提供证书复印件（有效期内），全国认证认可信息公共服务平台查询链接及截图并加盖投标人公章，否则不得分。</w:t>
            </w:r>
            <w:r/>
          </w:p>
          <w:p>
            <w:pPr>
              <w:ind w:firstLine="211"/>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b/>
                <w:bCs/>
                <w:color w:val="000000"/>
                <w:sz w:val="21"/>
                <w:szCs w:val="21"/>
                <w14:ligatures w14:val="none"/>
              </w:rPr>
              <w:t xml:space="preserve">六、</w:t>
            </w:r>
            <w:r>
              <w:rPr>
                <w:rFonts w:hint="default" w:ascii="宋体" w:hAnsi="宋体" w:eastAsia="宋体" w:cs="宋体"/>
                <w:color w:val="000000"/>
                <w:sz w:val="21"/>
                <w:szCs w:val="21"/>
                <w14:ligatures w14:val="none"/>
              </w:rPr>
              <w:t xml:space="preserve">业绩：投标人具备类似项目业绩，每提供 1 项有效业绩得 1 分，本项最高得 2 分。</w:t>
            </w:r>
            <w:r/>
          </w:p>
          <w:p>
            <w:pPr>
              <w:ind w:firstLine="211"/>
              <w:jc w:val="both"/>
              <w:spacing w:after="0" w:line="360" w:lineRule="auto"/>
              <w:rPr>
                <w:rFonts w:hint="eastAsia" w:ascii="宋体" w:hAnsi="宋体" w:eastAsia="宋体" w:cs="宋体"/>
                <w:color w:val="000000"/>
                <w:sz w:val="21"/>
                <w:szCs w:val="21"/>
                <w14:ligatures w14:val="none"/>
              </w:rPr>
            </w:pPr>
            <w:r>
              <w:rPr>
                <w:rFonts w:hint="default" w:ascii="宋体" w:hAnsi="宋体" w:eastAsia="宋体" w:cs="宋体"/>
                <w:b/>
                <w:bCs/>
                <w:color w:val="000000"/>
                <w:sz w:val="21"/>
                <w:szCs w:val="21"/>
                <w14:ligatures w14:val="none"/>
              </w:rPr>
              <w:t xml:space="preserve">注：以上提供对应项目的合同及清单、中标通知书、验收报告扫描件（加盖投标人公章），资料不全或未按要求提供的不得分。</w:t>
            </w:r>
            <w:r/>
          </w:p>
        </w:tc>
        <w:tc>
          <w:tcPr>
            <w:tcW w:w="816" w:type="dxa"/>
            <w:vAlign w:val="center"/>
            <w:textDirection w:val="lrTb"/>
            <w:noWrap w:val="false"/>
          </w:tcPr>
          <w:p>
            <w:pPr>
              <w:ind w:firstLine="105"/>
              <w:jc w:val="both"/>
              <w:spacing w:after="0" w:line="400" w:lineRule="exact"/>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12</w:t>
            </w:r>
            <w:r/>
          </w:p>
        </w:tc>
      </w:tr>
    </w:tbl>
    <w:p>
      <w:pPr>
        <w:pStyle w:val="711"/>
        <w:rPr>
          <w:rFonts w:hint="eastAsia"/>
        </w:rPr>
      </w:pPr>
      <w:r>
        <w:rPr>
          <w:rFonts w:hint="eastAsia"/>
        </w:rPr>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jc w:val="left"/>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8" w:name="_Toc165205799"/>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8"/>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1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1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71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val="en-US" w:eastAsia="zh-CN"/>
        </w:rPr>
        <w:t xml:space="preserve"> </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w:t>
      </w:r>
      <w:r>
        <w:rPr>
          <w:rFonts w:hint="eastAsia" w:ascii="Arial" w:hAnsi="Arial" w:eastAsia="宋体" w:cs="Arial"/>
          <w:sz w:val="36"/>
          <w:highlight w:val="none"/>
          <w:shd w:val="clear" w:color="auto" w:fill="auto"/>
          <w:lang w:val="en-US" w:eastAsia="zh-CN"/>
        </w:rPr>
        <w:t xml:space="preserve">如需</w:t>
      </w:r>
      <w:r>
        <w:rPr>
          <w:rFonts w:hint="eastAsia" w:ascii="Arial" w:hAnsi="Arial" w:eastAsia="宋体" w:cs="Arial"/>
          <w:sz w:val="36"/>
          <w:highlight w:val="none"/>
          <w:shd w:val="clear" w:color="auto" w:fill="auto"/>
        </w:rPr>
        <w:t xml:space="preserve">）（分包号：**）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1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71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Batang">
    <w:panose1 w:val="0201060004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r/>
  </w:p>
  <w:p>
    <w:pPr>
      <w:pStyle w:val="7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both"/>
      <w:pBdr>
        <w:bottom w:val="none" w:color="auto" w:sz="0" w:space="1"/>
      </w:pBdr>
    </w:pPr>
    <w:r/>
    <w:r/>
  </w:p>
  <w:p>
    <w:pPr>
      <w:pStyle w:val="73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0"/>
  </w:num>
  <w:num w:numId="5">
    <w:abstractNumId w:val="4"/>
  </w:num>
  <w:num w:numId="6">
    <w:abstractNumId w:val="5"/>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11"/>
    <w:uiPriority w:val="0"/>
    <w:qFormat/>
    <w:pPr>
      <w:jc w:val="both"/>
      <w:widowControl w:val="off"/>
    </w:pPr>
    <w:rPr>
      <w:rFonts w:hint="default" w:ascii="Calibri" w:hAnsi="Calibri" w:eastAsia="Arial" w:cs="Arial"/>
      <w:sz w:val="21"/>
      <w:szCs w:val="22"/>
      <w:lang w:val="en-US" w:eastAsia="zh-CN" w:bidi="ar-SA"/>
    </w:rPr>
  </w:style>
  <w:style w:type="paragraph" w:styleId="709">
    <w:name w:val="Heading 1"/>
    <w:basedOn w:val="708"/>
    <w:next w:val="708"/>
    <w:link w:val="791"/>
    <w:uiPriority w:val="0"/>
    <w:qFormat/>
    <w:pPr>
      <w:keepLines/>
      <w:keepNext/>
      <w:spacing w:before="340" w:after="330" w:line="578" w:lineRule="auto"/>
      <w:outlineLvl w:val="0"/>
    </w:pPr>
    <w:rPr>
      <w:b/>
      <w:bCs/>
      <w:sz w:val="44"/>
      <w:szCs w:val="44"/>
    </w:rPr>
  </w:style>
  <w:style w:type="paragraph" w:styleId="710">
    <w:name w:val="Heading 2"/>
    <w:basedOn w:val="708"/>
    <w:next w:val="708"/>
    <w:link w:val="793"/>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11">
    <w:name w:val="Heading 3"/>
    <w:basedOn w:val="708"/>
    <w:next w:val="708"/>
    <w:link w:val="794"/>
    <w:uiPriority w:val="9"/>
    <w:unhideWhenUsed/>
    <w:qFormat/>
    <w:pPr>
      <w:keepLines/>
      <w:keepNext/>
      <w:spacing w:before="260" w:after="260" w:line="416" w:lineRule="auto"/>
      <w:outlineLvl w:val="2"/>
    </w:pPr>
    <w:rPr>
      <w:b/>
      <w:bCs/>
      <w:sz w:val="32"/>
      <w:szCs w:val="32"/>
    </w:rPr>
  </w:style>
  <w:style w:type="paragraph" w:styleId="712">
    <w:name w:val="Heading 4"/>
    <w:basedOn w:val="708"/>
    <w:next w:val="708"/>
    <w:link w:val="77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7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7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7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79"/>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unhideWhenUsed/>
    <w:qFormat/>
  </w:style>
  <w:style w:type="table" w:styleId="719" w:default="1">
    <w:name w:val="Normal Table"/>
    <w:uiPriority w:val="99"/>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Normal Indent"/>
    <w:basedOn w:val="708"/>
    <w:uiPriority w:val="99"/>
    <w:qFormat/>
    <w:pPr>
      <w:ind w:firstLine="420"/>
    </w:pPr>
    <w:rPr>
      <w:rFonts w:eastAsia="Times New Roman"/>
      <w:sz w:val="24"/>
      <w:szCs w:val="20"/>
    </w:rPr>
  </w:style>
  <w:style w:type="paragraph" w:styleId="722">
    <w:name w:val="Caption"/>
    <w:basedOn w:val="708"/>
    <w:next w:val="708"/>
    <w:uiPriority w:val="35"/>
    <w:unhideWhenUsed/>
    <w:qFormat/>
    <w:pPr>
      <w:spacing w:line="276" w:lineRule="auto"/>
    </w:pPr>
    <w:rPr>
      <w:b/>
      <w:bCs/>
      <w:color w:val="4f81bd"/>
      <w:sz w:val="18"/>
      <w:szCs w:val="18"/>
    </w:rPr>
  </w:style>
  <w:style w:type="paragraph" w:styleId="723">
    <w:name w:val="Document Map"/>
    <w:basedOn w:val="708"/>
    <w:link w:val="792"/>
    <w:uiPriority w:val="0"/>
    <w:unhideWhenUsed/>
    <w:qFormat/>
    <w:rPr>
      <w:rFonts w:ascii="宋体" w:eastAsia="宋体"/>
      <w:sz w:val="18"/>
      <w:szCs w:val="18"/>
    </w:rPr>
  </w:style>
  <w:style w:type="paragraph" w:styleId="724">
    <w:name w:val="annotation text"/>
    <w:basedOn w:val="708"/>
    <w:link w:val="796"/>
    <w:uiPriority w:val="0"/>
    <w:qFormat/>
    <w:pPr>
      <w:ind w:firstLine="922"/>
      <w:jc w:val="left"/>
      <w:spacing w:line="360" w:lineRule="auto"/>
    </w:pPr>
    <w:rPr>
      <w:rFonts w:ascii="Times New Roman" w:hAnsi="Times New Roman" w:eastAsia="宋体" w:cs="Times New Roman"/>
      <w:szCs w:val="24"/>
    </w:rPr>
  </w:style>
  <w:style w:type="paragraph" w:styleId="725">
    <w:name w:val="Body Text"/>
    <w:basedOn w:val="708"/>
    <w:next w:val="708"/>
    <w:link w:val="800"/>
    <w:uiPriority w:val="0"/>
    <w:semiHidden/>
    <w:qFormat/>
    <w:rPr>
      <w:rFonts w:ascii="Arial" w:hAnsi="Arial" w:eastAsia="Arial" w:cs="Arial"/>
      <w:szCs w:val="21"/>
      <w:lang w:eastAsia="en-US"/>
    </w:rPr>
  </w:style>
  <w:style w:type="paragraph" w:styleId="726">
    <w:name w:val="Body Text Indent"/>
    <w:basedOn w:val="708"/>
    <w:next w:val="727"/>
    <w:uiPriority w:val="99"/>
    <w:qFormat/>
    <w:pPr>
      <w:ind w:firstLine="301"/>
      <w:spacing w:line="200" w:lineRule="exact"/>
    </w:pPr>
    <w:rPr>
      <w:rFonts w:ascii="Tahoma" w:hAnsi="黑体"/>
      <w:spacing w:val="-4"/>
      <w:sz w:val="18"/>
      <w:szCs w:val="20"/>
    </w:rPr>
  </w:style>
  <w:style w:type="paragraph" w:styleId="727">
    <w:name w:val="envelope return"/>
    <w:basedOn w:val="708"/>
    <w:uiPriority w:val="99"/>
    <w:qFormat/>
    <w:rPr>
      <w:rFonts w:ascii="Arial" w:hAnsi="Arial"/>
    </w:rPr>
  </w:style>
  <w:style w:type="paragraph" w:styleId="728">
    <w:name w:val="toc 5"/>
    <w:basedOn w:val="708"/>
    <w:next w:val="708"/>
    <w:uiPriority w:val="39"/>
    <w:unhideWhenUsed/>
    <w:qFormat/>
    <w:pPr>
      <w:ind w:left="1134" w:right="0" w:firstLine="0"/>
      <w:spacing w:after="57"/>
    </w:pPr>
  </w:style>
  <w:style w:type="paragraph" w:styleId="729">
    <w:name w:val="toc 3"/>
    <w:basedOn w:val="708"/>
    <w:next w:val="708"/>
    <w:uiPriority w:val="39"/>
    <w:unhideWhenUsed/>
    <w:qFormat/>
    <w:pPr>
      <w:ind w:left="567" w:right="0" w:firstLine="0"/>
      <w:spacing w:after="57"/>
    </w:pPr>
  </w:style>
  <w:style w:type="paragraph" w:styleId="730">
    <w:name w:val="Plain Text"/>
    <w:basedOn w:val="708"/>
    <w:link w:val="799"/>
    <w:uiPriority w:val="0"/>
    <w:qFormat/>
    <w:rPr>
      <w:rFonts w:ascii="宋体" w:hAnsi="Courier New" w:eastAsia="宋体" w:cs="Times New Roman"/>
      <w:szCs w:val="20"/>
    </w:rPr>
  </w:style>
  <w:style w:type="paragraph" w:styleId="731">
    <w:name w:val="toc 8"/>
    <w:basedOn w:val="708"/>
    <w:next w:val="708"/>
    <w:uiPriority w:val="39"/>
    <w:unhideWhenUsed/>
    <w:qFormat/>
    <w:pPr>
      <w:ind w:left="1984" w:right="0" w:firstLine="0"/>
      <w:spacing w:after="57"/>
    </w:pPr>
  </w:style>
  <w:style w:type="paragraph" w:styleId="732">
    <w:name w:val="Date"/>
    <w:basedOn w:val="708"/>
    <w:next w:val="708"/>
    <w:link w:val="795"/>
    <w:uiPriority w:val="99"/>
    <w:unhideWhenUsed/>
    <w:qFormat/>
    <w:pPr>
      <w:ind w:left="100"/>
    </w:pPr>
  </w:style>
  <w:style w:type="paragraph" w:styleId="733">
    <w:name w:val="endnote text"/>
    <w:basedOn w:val="708"/>
    <w:link w:val="788"/>
    <w:uiPriority w:val="99"/>
    <w:unhideWhenUsed/>
    <w:qFormat/>
    <w:pPr>
      <w:spacing w:after="0" w:line="240" w:lineRule="auto"/>
    </w:pPr>
    <w:rPr>
      <w:sz w:val="20"/>
    </w:rPr>
  </w:style>
  <w:style w:type="paragraph" w:styleId="734">
    <w:name w:val="Balloon Text"/>
    <w:basedOn w:val="708"/>
    <w:link w:val="797"/>
    <w:uiPriority w:val="0"/>
    <w:unhideWhenUsed/>
    <w:qFormat/>
    <w:rPr>
      <w:sz w:val="18"/>
      <w:szCs w:val="18"/>
    </w:rPr>
  </w:style>
  <w:style w:type="paragraph" w:styleId="735">
    <w:name w:val="Footer"/>
    <w:basedOn w:val="708"/>
    <w:link w:val="790"/>
    <w:uiPriority w:val="0"/>
    <w:unhideWhenUsed/>
    <w:qFormat/>
    <w:pPr>
      <w:jc w:val="left"/>
      <w:tabs>
        <w:tab w:val="center" w:pos="4153" w:leader="none"/>
        <w:tab w:val="right" w:pos="8306" w:leader="none"/>
      </w:tabs>
    </w:pPr>
    <w:rPr>
      <w:sz w:val="18"/>
      <w:szCs w:val="18"/>
    </w:rPr>
  </w:style>
  <w:style w:type="paragraph" w:styleId="736">
    <w:name w:val="Header"/>
    <w:basedOn w:val="708"/>
    <w:link w:val="78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7">
    <w:name w:val="toc 1"/>
    <w:basedOn w:val="708"/>
    <w:next w:val="708"/>
    <w:uiPriority w:val="39"/>
    <w:unhideWhenUsed/>
    <w:qFormat/>
    <w:pPr>
      <w:jc w:val="center"/>
      <w:spacing w:line="360" w:lineRule="auto"/>
      <w:tabs>
        <w:tab w:val="right" w:pos="9628" w:leader="dot"/>
      </w:tabs>
    </w:pPr>
    <w:rPr>
      <w:sz w:val="32"/>
    </w:rPr>
  </w:style>
  <w:style w:type="paragraph" w:styleId="738">
    <w:name w:val="toc 4"/>
    <w:basedOn w:val="708"/>
    <w:next w:val="708"/>
    <w:uiPriority w:val="39"/>
    <w:unhideWhenUsed/>
    <w:qFormat/>
    <w:pPr>
      <w:ind w:left="850" w:right="0" w:firstLine="0"/>
      <w:spacing w:after="57"/>
    </w:pPr>
  </w:style>
  <w:style w:type="paragraph" w:styleId="739">
    <w:name w:val="Subtitle"/>
    <w:basedOn w:val="708"/>
    <w:next w:val="708"/>
    <w:link w:val="781"/>
    <w:uiPriority w:val="11"/>
    <w:qFormat/>
    <w:pPr>
      <w:spacing w:before="200" w:after="200"/>
    </w:pPr>
    <w:rPr>
      <w:sz w:val="24"/>
      <w:szCs w:val="24"/>
    </w:rPr>
  </w:style>
  <w:style w:type="paragraph" w:styleId="740">
    <w:name w:val="footnote text"/>
    <w:basedOn w:val="708"/>
    <w:link w:val="787"/>
    <w:uiPriority w:val="99"/>
    <w:unhideWhenUsed/>
    <w:qFormat/>
    <w:pPr>
      <w:spacing w:after="40" w:line="240" w:lineRule="auto"/>
    </w:pPr>
    <w:rPr>
      <w:sz w:val="18"/>
    </w:rPr>
  </w:style>
  <w:style w:type="paragraph" w:styleId="741">
    <w:name w:val="toc 6"/>
    <w:basedOn w:val="708"/>
    <w:next w:val="708"/>
    <w:uiPriority w:val="39"/>
    <w:unhideWhenUsed/>
    <w:qFormat/>
    <w:pPr>
      <w:ind w:left="1417" w:right="0" w:firstLine="0"/>
      <w:spacing w:after="57"/>
    </w:pPr>
  </w:style>
  <w:style w:type="paragraph" w:styleId="742">
    <w:name w:val="table of figures"/>
    <w:basedOn w:val="708"/>
    <w:next w:val="708"/>
    <w:uiPriority w:val="99"/>
    <w:unhideWhenUsed/>
    <w:qFormat/>
    <w:pPr>
      <w:spacing w:after="0" w:afterAutospacing="0"/>
    </w:pPr>
  </w:style>
  <w:style w:type="paragraph" w:styleId="743">
    <w:name w:val="toc 2"/>
    <w:basedOn w:val="708"/>
    <w:next w:val="708"/>
    <w:uiPriority w:val="39"/>
    <w:unhideWhenUsed/>
    <w:qFormat/>
    <w:pPr>
      <w:ind w:left="283" w:right="0" w:firstLine="0"/>
      <w:spacing w:after="57"/>
    </w:pPr>
  </w:style>
  <w:style w:type="paragraph" w:styleId="744">
    <w:name w:val="toc 9"/>
    <w:basedOn w:val="708"/>
    <w:next w:val="708"/>
    <w:uiPriority w:val="39"/>
    <w:unhideWhenUsed/>
    <w:qFormat/>
    <w:pPr>
      <w:ind w:left="2268" w:right="0" w:firstLine="0"/>
      <w:spacing w:after="57"/>
    </w:pPr>
  </w:style>
  <w:style w:type="paragraph" w:styleId="745">
    <w:name w:val="Normal (Web)"/>
    <w:basedOn w:val="708"/>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46">
    <w:name w:val="Title"/>
    <w:basedOn w:val="708"/>
    <w:next w:val="708"/>
    <w:link w:val="780"/>
    <w:uiPriority w:val="10"/>
    <w:qFormat/>
    <w:pPr>
      <w:contextualSpacing/>
      <w:spacing w:before="300" w:after="200"/>
    </w:pPr>
    <w:rPr>
      <w:sz w:val="48"/>
      <w:szCs w:val="48"/>
    </w:rPr>
  </w:style>
  <w:style w:type="table" w:styleId="747">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8"/>
    <w:uiPriority w:val="22"/>
    <w:qFormat/>
    <w:rPr>
      <w:b/>
    </w:rPr>
  </w:style>
  <w:style w:type="character" w:styleId="749">
    <w:name w:val="endnote reference"/>
    <w:basedOn w:val="718"/>
    <w:uiPriority w:val="99"/>
    <w:unhideWhenUsed/>
    <w:qFormat/>
    <w:rPr>
      <w:vertAlign w:val="superscript"/>
    </w:rPr>
  </w:style>
  <w:style w:type="character" w:styleId="750">
    <w:name w:val="page number"/>
    <w:basedOn w:val="718"/>
    <w:uiPriority w:val="99"/>
    <w:unhideWhenUsed/>
    <w:qFormat/>
  </w:style>
  <w:style w:type="character" w:styleId="751">
    <w:name w:val="Emphasis"/>
    <w:basedOn w:val="718"/>
    <w:uiPriority w:val="20"/>
    <w:qFormat/>
    <w:rPr>
      <w:i/>
    </w:rPr>
  </w:style>
  <w:style w:type="character" w:styleId="752">
    <w:name w:val="Hyperlink"/>
    <w:uiPriority w:val="99"/>
    <w:qFormat/>
    <w:rPr>
      <w:color w:val="0000ff"/>
      <w:u w:val="none"/>
    </w:rPr>
  </w:style>
  <w:style w:type="character" w:styleId="753">
    <w:name w:val="annotation reference"/>
    <w:uiPriority w:val="0"/>
    <w:qFormat/>
    <w:rPr>
      <w:sz w:val="21"/>
      <w:szCs w:val="21"/>
    </w:rPr>
  </w:style>
  <w:style w:type="character" w:styleId="754">
    <w:name w:val="footnote reference"/>
    <w:basedOn w:val="718"/>
    <w:uiPriority w:val="99"/>
    <w:unhideWhenUsed/>
    <w:qFormat/>
    <w:rPr>
      <w:vertAlign w:val="superscript"/>
    </w:rPr>
  </w:style>
  <w:style w:type="paragraph" w:styleId="75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56" w:customStyle="1">
    <w:name w:val="Quote1"/>
    <w:basedOn w:val="708"/>
    <w:next w:val="708"/>
    <w:uiPriority w:val="99"/>
    <w:qFormat/>
    <w:pPr>
      <w:ind w:left="864" w:right="864"/>
      <w:jc w:val="center"/>
      <w:spacing w:before="200" w:after="160"/>
      <w:widowControl/>
    </w:pPr>
    <w:rPr>
      <w:rFonts w:ascii="宋体"/>
      <w:i/>
      <w:color w:val="404040"/>
    </w:rPr>
  </w:style>
  <w:style w:type="paragraph" w:styleId="757" w:customStyle="1">
    <w:name w:val="List Paragraph"/>
    <w:basedOn w:val="708"/>
    <w:uiPriority w:val="34"/>
    <w:qFormat/>
    <w:pPr>
      <w:contextualSpacing/>
      <w:ind w:left="720"/>
    </w:pPr>
  </w:style>
  <w:style w:type="paragraph" w:styleId="758"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759" w:customStyle="1">
    <w:name w:val="Quote"/>
    <w:basedOn w:val="708"/>
    <w:next w:val="708"/>
    <w:link w:val="782"/>
    <w:uiPriority w:val="29"/>
    <w:qFormat/>
    <w:pPr>
      <w:ind w:left="720" w:right="720"/>
    </w:pPr>
    <w:rPr>
      <w:i/>
    </w:rPr>
  </w:style>
  <w:style w:type="paragraph" w:styleId="760" w:customStyle="1">
    <w:name w:val="Intense Quote"/>
    <w:basedOn w:val="708"/>
    <w:next w:val="708"/>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1" w:customStyle="1">
    <w:name w:val="TOC Heading"/>
    <w:uiPriority w:val="39"/>
    <w:unhideWhenUsed/>
    <w:qFormat/>
    <w:rPr>
      <w:rFonts w:hint="default" w:ascii="Calibri" w:hAnsi="Calibri" w:eastAsia="Arial" w:cs="Arial"/>
      <w:lang w:val="en-US" w:eastAsia="zh-CN" w:bidi="ar-SA"/>
    </w:rPr>
  </w:style>
  <w:style w:type="paragraph" w:styleId="762" w:customStyle="1">
    <w:name w:val="Default"/>
    <w:link w:val="798"/>
    <w:uiPriority w:val="99"/>
    <w:qFormat/>
    <w:pPr>
      <w:widowControl w:val="off"/>
    </w:pPr>
    <w:rPr>
      <w:rFonts w:hint="default" w:ascii="MS Mincho" w:hAnsi="Calibri" w:eastAsia="宋体" w:cs="Times New Roman"/>
      <w:color w:val="000000"/>
      <w:sz w:val="21"/>
      <w:szCs w:val="24"/>
      <w:lang w:val="en-US" w:eastAsia="zh-CN" w:bidi="ar-SA"/>
    </w:rPr>
  </w:style>
  <w:style w:type="paragraph" w:styleId="76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764" w:customStyle="1">
    <w:name w:val="Table Text"/>
    <w:basedOn w:val="708"/>
    <w:uiPriority w:val="0"/>
    <w:semiHidden/>
    <w:qFormat/>
    <w:rPr>
      <w:rFonts w:ascii="宋体" w:hAnsi="宋体" w:eastAsia="宋体" w:cs="宋体"/>
      <w:sz w:val="24"/>
      <w:szCs w:val="24"/>
      <w:lang w:eastAsia="en-US"/>
    </w:rPr>
  </w:style>
  <w:style w:type="paragraph" w:styleId="765" w:customStyle="1">
    <w:name w:val="纯文本11"/>
    <w:basedOn w:val="708"/>
    <w:next w:val="708"/>
    <w:uiPriority w:val="0"/>
    <w:qFormat/>
    <w:pPr>
      <w:ind w:firstLine="922"/>
      <w:spacing w:line="360" w:lineRule="auto"/>
    </w:pPr>
    <w:rPr>
      <w:rFonts w:ascii="宋体" w:hAnsi="Courier New" w:eastAsia="宋体" w:cs="Times New Roman"/>
      <w:szCs w:val="20"/>
    </w:rPr>
  </w:style>
  <w:style w:type="paragraph" w:styleId="766" w:customStyle="1">
    <w:name w:val="正文文本1"/>
    <w:basedOn w:val="708"/>
    <w:uiPriority w:val="0"/>
    <w:qFormat/>
    <w:pPr>
      <w:ind w:firstLine="922"/>
      <w:spacing w:line="360" w:lineRule="auto"/>
    </w:pPr>
    <w:rPr>
      <w:rFonts w:ascii="金山简黑体" w:hAnsi="Courier New" w:eastAsia="金山简黑体" w:cs="Times New Roman"/>
      <w:b/>
      <w:spacing w:val="-8"/>
      <w:sz w:val="44"/>
      <w:szCs w:val="20"/>
    </w:rPr>
  </w:style>
  <w:style w:type="paragraph" w:styleId="767" w:customStyle="1">
    <w:name w:val="正文1"/>
    <w:basedOn w:val="721"/>
    <w:uiPriority w:val="0"/>
    <w:qFormat/>
    <w:pPr>
      <w:spacing w:line="500" w:lineRule="exact"/>
    </w:pPr>
    <w:rPr>
      <w:rFonts w:hAnsi="新宋体"/>
    </w:rPr>
  </w:style>
  <w:style w:type="paragraph" w:styleId="768" w:customStyle="1">
    <w:name w:val="_Style 6"/>
    <w:basedOn w:val="708"/>
    <w:next w:val="708"/>
    <w:uiPriority w:val="0"/>
    <w:qFormat/>
    <w:pPr>
      <w:ind w:firstLine="420"/>
      <w:spacing w:line="192" w:lineRule="auto"/>
    </w:pPr>
    <w:rPr>
      <w:rFonts w:ascii="Calibri" w:hAnsi="Calibri" w:eastAsia="宋体" w:cs="Times New Roman"/>
      <w:szCs w:val="24"/>
    </w:rPr>
  </w:style>
  <w:style w:type="paragraph" w:styleId="769" w:customStyle="1">
    <w:name w:val="列出段落1"/>
    <w:basedOn w:val="708"/>
    <w:uiPriority w:val="0"/>
    <w:qFormat/>
    <w:pPr>
      <w:ind w:firstLine="420"/>
    </w:pPr>
    <w:rPr>
      <w:szCs w:val="21"/>
    </w:rPr>
  </w:style>
  <w:style w:type="paragraph" w:styleId="770" w:customStyle="1">
    <w:name w:val="标题 31"/>
    <w:basedOn w:val="708"/>
    <w:next w:val="708"/>
    <w:uiPriority w:val="0"/>
    <w:qFormat/>
    <w:pPr>
      <w:keepLines/>
      <w:keepNext/>
      <w:spacing w:before="260" w:after="260" w:line="416" w:lineRule="auto"/>
      <w:outlineLvl w:val="2"/>
    </w:pPr>
    <w:rPr>
      <w:rFonts w:ascii="Times New Roman" w:hAnsi="Times New Roman"/>
      <w:b/>
      <w:bCs/>
      <w:sz w:val="32"/>
      <w:szCs w:val="32"/>
    </w:rPr>
  </w:style>
  <w:style w:type="character" w:styleId="771" w:customStyle="1">
    <w:name w:val="Heading 1 Char"/>
    <w:basedOn w:val="718"/>
    <w:uiPriority w:val="9"/>
    <w:qFormat/>
    <w:rPr>
      <w:rFonts w:ascii="Arial" w:hAnsi="Arial" w:eastAsia="Arial" w:cs="Arial"/>
      <w:sz w:val="40"/>
      <w:szCs w:val="40"/>
    </w:rPr>
  </w:style>
  <w:style w:type="character" w:styleId="772" w:customStyle="1">
    <w:name w:val="Heading 2 Char"/>
    <w:basedOn w:val="718"/>
    <w:uiPriority w:val="9"/>
    <w:qFormat/>
    <w:rPr>
      <w:rFonts w:ascii="Arial" w:hAnsi="Arial" w:eastAsia="Arial" w:cs="Arial"/>
      <w:sz w:val="34"/>
    </w:rPr>
  </w:style>
  <w:style w:type="character" w:styleId="773" w:customStyle="1">
    <w:name w:val="Heading 3 Char"/>
    <w:basedOn w:val="718"/>
    <w:uiPriority w:val="9"/>
    <w:qFormat/>
    <w:rPr>
      <w:rFonts w:ascii="Arial" w:hAnsi="Arial" w:eastAsia="Arial" w:cs="Arial"/>
      <w:sz w:val="30"/>
      <w:szCs w:val="30"/>
    </w:rPr>
  </w:style>
  <w:style w:type="character" w:styleId="774" w:customStyle="1">
    <w:name w:val="Heading 4 Char"/>
    <w:basedOn w:val="718"/>
    <w:link w:val="712"/>
    <w:uiPriority w:val="9"/>
    <w:qFormat/>
    <w:rPr>
      <w:rFonts w:ascii="Arial" w:hAnsi="Arial" w:eastAsia="Arial" w:cs="Arial"/>
      <w:b/>
      <w:bCs/>
      <w:sz w:val="26"/>
      <w:szCs w:val="26"/>
    </w:rPr>
  </w:style>
  <w:style w:type="character" w:styleId="775" w:customStyle="1">
    <w:name w:val="Heading 5 Char"/>
    <w:basedOn w:val="718"/>
    <w:link w:val="713"/>
    <w:uiPriority w:val="9"/>
    <w:qFormat/>
    <w:rPr>
      <w:rFonts w:ascii="Arial" w:hAnsi="Arial" w:eastAsia="Arial" w:cs="Arial"/>
      <w:b/>
      <w:bCs/>
      <w:sz w:val="24"/>
      <w:szCs w:val="24"/>
    </w:rPr>
  </w:style>
  <w:style w:type="character" w:styleId="776" w:customStyle="1">
    <w:name w:val="Heading 6 Char"/>
    <w:basedOn w:val="718"/>
    <w:link w:val="714"/>
    <w:uiPriority w:val="9"/>
    <w:qFormat/>
    <w:rPr>
      <w:rFonts w:ascii="Arial" w:hAnsi="Arial" w:eastAsia="Arial" w:cs="Arial"/>
      <w:b/>
      <w:bCs/>
      <w:sz w:val="22"/>
      <w:szCs w:val="22"/>
    </w:rPr>
  </w:style>
  <w:style w:type="character" w:styleId="777" w:customStyle="1">
    <w:name w:val="Heading 7 Char"/>
    <w:basedOn w:val="718"/>
    <w:link w:val="715"/>
    <w:uiPriority w:val="9"/>
    <w:qFormat/>
    <w:rPr>
      <w:rFonts w:ascii="Arial" w:hAnsi="Arial" w:eastAsia="Arial" w:cs="Arial"/>
      <w:b/>
      <w:bCs/>
      <w:i/>
      <w:iCs/>
      <w:sz w:val="22"/>
      <w:szCs w:val="22"/>
    </w:rPr>
  </w:style>
  <w:style w:type="character" w:styleId="778" w:customStyle="1">
    <w:name w:val="Heading 8 Char"/>
    <w:basedOn w:val="718"/>
    <w:link w:val="716"/>
    <w:uiPriority w:val="9"/>
    <w:qFormat/>
    <w:rPr>
      <w:rFonts w:ascii="Arial" w:hAnsi="Arial" w:eastAsia="Arial" w:cs="Arial"/>
      <w:i/>
      <w:iCs/>
      <w:sz w:val="22"/>
      <w:szCs w:val="22"/>
    </w:rPr>
  </w:style>
  <w:style w:type="character" w:styleId="779" w:customStyle="1">
    <w:name w:val="Heading 9 Char"/>
    <w:basedOn w:val="718"/>
    <w:link w:val="717"/>
    <w:uiPriority w:val="9"/>
    <w:qFormat/>
    <w:rPr>
      <w:rFonts w:ascii="Arial" w:hAnsi="Arial" w:eastAsia="Arial" w:cs="Arial"/>
      <w:i/>
      <w:iCs/>
      <w:sz w:val="21"/>
      <w:szCs w:val="21"/>
    </w:rPr>
  </w:style>
  <w:style w:type="character" w:styleId="780" w:customStyle="1">
    <w:name w:val="Title Char"/>
    <w:basedOn w:val="718"/>
    <w:link w:val="746"/>
    <w:uiPriority w:val="10"/>
    <w:qFormat/>
    <w:rPr>
      <w:sz w:val="48"/>
      <w:szCs w:val="48"/>
    </w:rPr>
  </w:style>
  <w:style w:type="character" w:styleId="781" w:customStyle="1">
    <w:name w:val="Subtitle Char"/>
    <w:basedOn w:val="718"/>
    <w:link w:val="739"/>
    <w:uiPriority w:val="11"/>
    <w:qFormat/>
    <w:rPr>
      <w:sz w:val="24"/>
      <w:szCs w:val="24"/>
    </w:rPr>
  </w:style>
  <w:style w:type="character" w:styleId="782" w:customStyle="1">
    <w:name w:val="Quote Char"/>
    <w:link w:val="759"/>
    <w:uiPriority w:val="29"/>
    <w:qFormat/>
    <w:rPr>
      <w:i/>
    </w:rPr>
  </w:style>
  <w:style w:type="character" w:styleId="783" w:customStyle="1">
    <w:name w:val="Intense Quote Char"/>
    <w:link w:val="760"/>
    <w:uiPriority w:val="30"/>
    <w:qFormat/>
    <w:rPr>
      <w:i/>
    </w:rPr>
  </w:style>
  <w:style w:type="character" w:styleId="784" w:customStyle="1">
    <w:name w:val="Header Char"/>
    <w:basedOn w:val="718"/>
    <w:uiPriority w:val="99"/>
    <w:qFormat/>
  </w:style>
  <w:style w:type="character" w:styleId="785" w:customStyle="1">
    <w:name w:val="Footer Char"/>
    <w:basedOn w:val="718"/>
    <w:uiPriority w:val="99"/>
    <w:qFormat/>
  </w:style>
  <w:style w:type="character" w:styleId="786" w:customStyle="1">
    <w:name w:val="Caption Char"/>
    <w:uiPriority w:val="99"/>
    <w:qFormat/>
  </w:style>
  <w:style w:type="character" w:styleId="787" w:customStyle="1">
    <w:name w:val="Footnote Text Char"/>
    <w:link w:val="740"/>
    <w:uiPriority w:val="99"/>
    <w:qFormat/>
    <w:rPr>
      <w:sz w:val="18"/>
    </w:rPr>
  </w:style>
  <w:style w:type="character" w:styleId="788" w:customStyle="1">
    <w:name w:val="Endnote Text Char"/>
    <w:link w:val="733"/>
    <w:uiPriority w:val="99"/>
    <w:qFormat/>
    <w:rPr>
      <w:sz w:val="20"/>
    </w:rPr>
  </w:style>
  <w:style w:type="character" w:styleId="789" w:customStyle="1">
    <w:name w:val="页眉 Char"/>
    <w:basedOn w:val="718"/>
    <w:link w:val="736"/>
    <w:uiPriority w:val="0"/>
    <w:qFormat/>
    <w:rPr>
      <w:sz w:val="18"/>
      <w:szCs w:val="18"/>
    </w:rPr>
  </w:style>
  <w:style w:type="character" w:styleId="790" w:customStyle="1">
    <w:name w:val="页脚 Char"/>
    <w:basedOn w:val="718"/>
    <w:link w:val="735"/>
    <w:uiPriority w:val="0"/>
    <w:qFormat/>
    <w:rPr>
      <w:sz w:val="18"/>
      <w:szCs w:val="18"/>
    </w:rPr>
  </w:style>
  <w:style w:type="character" w:styleId="791" w:customStyle="1">
    <w:name w:val="标题 1 Char"/>
    <w:basedOn w:val="718"/>
    <w:link w:val="709"/>
    <w:uiPriority w:val="0"/>
    <w:qFormat/>
    <w:rPr>
      <w:b/>
      <w:bCs/>
      <w:sz w:val="44"/>
      <w:szCs w:val="44"/>
    </w:rPr>
  </w:style>
  <w:style w:type="character" w:styleId="792" w:customStyle="1">
    <w:name w:val="文档结构图 Char"/>
    <w:basedOn w:val="718"/>
    <w:link w:val="723"/>
    <w:uiPriority w:val="0"/>
    <w:qFormat/>
    <w:rPr>
      <w:rFonts w:ascii="宋体" w:eastAsia="宋体"/>
      <w:sz w:val="18"/>
      <w:szCs w:val="18"/>
    </w:rPr>
  </w:style>
  <w:style w:type="character" w:styleId="793" w:customStyle="1">
    <w:name w:val="标题 2 Char"/>
    <w:basedOn w:val="718"/>
    <w:link w:val="710"/>
    <w:uiPriority w:val="9"/>
    <w:qFormat/>
    <w:rPr>
      <w:rFonts w:ascii="Cambria" w:hAnsi="Cambria" w:eastAsia="Arial" w:cs="Arial"/>
      <w:b/>
      <w:bCs/>
      <w:sz w:val="32"/>
      <w:szCs w:val="32"/>
    </w:rPr>
  </w:style>
  <w:style w:type="character" w:styleId="794" w:customStyle="1">
    <w:name w:val="标题 3 Char"/>
    <w:basedOn w:val="718"/>
    <w:link w:val="711"/>
    <w:uiPriority w:val="9"/>
    <w:qFormat/>
    <w:rPr>
      <w:b/>
      <w:bCs/>
      <w:sz w:val="32"/>
      <w:szCs w:val="32"/>
    </w:rPr>
  </w:style>
  <w:style w:type="character" w:styleId="795" w:customStyle="1">
    <w:name w:val="日期 Char"/>
    <w:basedOn w:val="718"/>
    <w:link w:val="732"/>
    <w:uiPriority w:val="99"/>
    <w:semiHidden/>
    <w:qFormat/>
  </w:style>
  <w:style w:type="character" w:styleId="796" w:customStyle="1">
    <w:name w:val="批注文字 Char"/>
    <w:basedOn w:val="718"/>
    <w:link w:val="724"/>
    <w:uiPriority w:val="0"/>
    <w:qFormat/>
    <w:rPr>
      <w:rFonts w:ascii="Times New Roman" w:hAnsi="Times New Roman" w:eastAsia="宋体" w:cs="Times New Roman"/>
      <w:szCs w:val="24"/>
    </w:rPr>
  </w:style>
  <w:style w:type="character" w:styleId="797" w:customStyle="1">
    <w:name w:val="批注框文本 Char"/>
    <w:basedOn w:val="718"/>
    <w:link w:val="734"/>
    <w:uiPriority w:val="0"/>
    <w:qFormat/>
    <w:rPr>
      <w:sz w:val="18"/>
      <w:szCs w:val="18"/>
    </w:rPr>
  </w:style>
  <w:style w:type="character" w:styleId="798" w:customStyle="1">
    <w:name w:val="Default Char"/>
    <w:link w:val="762"/>
    <w:uiPriority w:val="99"/>
    <w:qFormat/>
    <w:rPr>
      <w:rFonts w:ascii="MS Mincho" w:hAnsi="Calibri" w:eastAsia="宋体" w:cs="Times New Roman"/>
      <w:color w:val="000000"/>
      <w:szCs w:val="24"/>
    </w:rPr>
  </w:style>
  <w:style w:type="character" w:styleId="799" w:customStyle="1">
    <w:name w:val="纯文本 Char"/>
    <w:basedOn w:val="718"/>
    <w:link w:val="730"/>
    <w:uiPriority w:val="0"/>
    <w:qFormat/>
    <w:rPr>
      <w:rFonts w:ascii="宋体" w:hAnsi="Courier New" w:eastAsia="宋体" w:cs="Times New Roman"/>
      <w:szCs w:val="20"/>
    </w:rPr>
  </w:style>
  <w:style w:type="character" w:styleId="800" w:customStyle="1">
    <w:name w:val="正文文本 Char"/>
    <w:basedOn w:val="718"/>
    <w:link w:val="725"/>
    <w:uiPriority w:val="0"/>
    <w:semiHidden/>
    <w:qFormat/>
    <w:rPr>
      <w:rFonts w:ascii="Arial" w:hAnsi="Arial" w:eastAsia="Arial" w:cs="Arial"/>
      <w:szCs w:val="21"/>
      <w:lang w:eastAsia="en-US"/>
    </w:rPr>
  </w:style>
  <w:style w:type="character" w:styleId="801" w:customStyle="1">
    <w:name w:val="font81"/>
    <w:basedOn w:val="718"/>
    <w:uiPriority w:val="0"/>
    <w:qFormat/>
    <w:rPr>
      <w:rFonts w:hint="eastAsia" w:ascii="宋体" w:hAnsi="宋体" w:eastAsia="宋体" w:cs="宋体"/>
      <w:color w:val="000000"/>
      <w:sz w:val="20"/>
      <w:szCs w:val="20"/>
      <w:u w:val="none"/>
    </w:rPr>
  </w:style>
  <w:style w:type="character" w:styleId="802" w:customStyle="1">
    <w:name w:val="font71"/>
    <w:basedOn w:val="718"/>
    <w:uiPriority w:val="0"/>
    <w:qFormat/>
    <w:rPr>
      <w:rFonts w:hint="default" w:ascii="方正仿宋_GBK" w:hAnsi="方正仿宋_GBK" w:eastAsia="方正仿宋_GBK" w:cs="方正仿宋_GBK"/>
      <w:color w:val="000000"/>
      <w:sz w:val="20"/>
      <w:szCs w:val="20"/>
      <w:u w:val="none"/>
    </w:rPr>
  </w:style>
  <w:style w:type="character" w:styleId="803" w:customStyle="1">
    <w:name w:val="font91"/>
    <w:basedOn w:val="718"/>
    <w:uiPriority w:val="0"/>
    <w:qFormat/>
    <w:rPr>
      <w:rFonts w:hint="eastAsia" w:ascii="宋体" w:hAnsi="宋体" w:eastAsia="宋体" w:cs="宋体"/>
      <w:color w:val="000000"/>
      <w:sz w:val="20"/>
      <w:szCs w:val="20"/>
      <w:u w:val="none"/>
    </w:rPr>
  </w:style>
  <w:style w:type="character" w:styleId="804" w:customStyle="1">
    <w:name w:val="font31"/>
    <w:basedOn w:val="718"/>
    <w:uiPriority w:val="0"/>
    <w:qFormat/>
    <w:rPr>
      <w:rFonts w:hint="default" w:ascii="方正仿宋_GBK" w:hAnsi="方正仿宋_GBK" w:eastAsia="方正仿宋_GBK" w:cs="方正仿宋_GBK"/>
      <w:color w:val="000000"/>
      <w:sz w:val="20"/>
      <w:szCs w:val="20"/>
      <w:u w:val="none"/>
    </w:rPr>
  </w:style>
  <w:style w:type="character" w:styleId="805" w:customStyle="1">
    <w:name w:val="font51"/>
    <w:basedOn w:val="718"/>
    <w:uiPriority w:val="0"/>
    <w:qFormat/>
    <w:rPr>
      <w:rFonts w:hint="default" w:ascii="方正仿宋_GBK" w:hAnsi="方正仿宋_GBK" w:eastAsia="方正仿宋_GBK" w:cs="方正仿宋_GBK"/>
      <w:color w:val="000000"/>
      <w:sz w:val="21"/>
      <w:szCs w:val="21"/>
      <w:u w:val="none"/>
    </w:rPr>
  </w:style>
  <w:style w:type="character" w:styleId="806" w:customStyle="1">
    <w:name w:val="font61"/>
    <w:basedOn w:val="718"/>
    <w:uiPriority w:val="0"/>
    <w:qFormat/>
    <w:rPr>
      <w:rFonts w:hint="default" w:ascii="方正仿宋_GBK" w:hAnsi="方正仿宋_GBK" w:eastAsia="方正仿宋_GBK" w:cs="方正仿宋_GBK"/>
      <w:color w:val="000000"/>
      <w:sz w:val="24"/>
      <w:szCs w:val="24"/>
      <w:u w:val="none"/>
    </w:rPr>
  </w:style>
  <w:style w:type="character" w:styleId="807" w:customStyle="1">
    <w:name w:val="font21"/>
    <w:basedOn w:val="718"/>
    <w:uiPriority w:val="0"/>
    <w:qFormat/>
    <w:rPr>
      <w:rFonts w:hint="default" w:ascii="方正仿宋_GBK" w:hAnsi="方正仿宋_GBK" w:eastAsia="方正仿宋_GBK" w:cs="方正仿宋_GBK"/>
      <w:color w:val="000000"/>
      <w:sz w:val="24"/>
      <w:szCs w:val="24"/>
      <w:u w:val="none"/>
    </w:rPr>
  </w:style>
  <w:style w:type="character" w:styleId="808" w:customStyle="1">
    <w:name w:val="font41"/>
    <w:basedOn w:val="718"/>
    <w:uiPriority w:val="0"/>
    <w:qFormat/>
    <w:rPr>
      <w:rFonts w:ascii="Arial" w:hAnsi="Arial" w:cs="Arial"/>
      <w:color w:val="000000"/>
      <w:sz w:val="24"/>
      <w:szCs w:val="24"/>
      <w:u w:val="none"/>
    </w:rPr>
  </w:style>
  <w:style w:type="character" w:styleId="809" w:customStyle="1">
    <w:name w:val="font11"/>
    <w:basedOn w:val="718"/>
    <w:uiPriority w:val="0"/>
    <w:qFormat/>
    <w:rPr>
      <w:rFonts w:hint="default" w:ascii="方正仿宋_GBK" w:hAnsi="方正仿宋_GBK" w:eastAsia="方正仿宋_GBK" w:cs="方正仿宋_GBK"/>
      <w:color w:val="000000"/>
      <w:sz w:val="24"/>
      <w:szCs w:val="24"/>
      <w:u w:val="none"/>
    </w:rPr>
  </w:style>
  <w:style w:type="table" w:styleId="810" w:customStyle="1">
    <w:name w:val="Table Grid Light"/>
    <w:basedOn w:val="71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11" w:customStyle="1">
    <w:name w:val="Plain Table 1"/>
    <w:basedOn w:val="71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1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1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1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1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1 Light"/>
    <w:basedOn w:val="71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1"/>
    <w:basedOn w:val="71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2"/>
    <w:basedOn w:val="71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3"/>
    <w:basedOn w:val="71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1 Light - Accent 4"/>
    <w:basedOn w:val="71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Grid Table 1 Light - Accent 5"/>
    <w:basedOn w:val="71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2" w:customStyle="1">
    <w:name w:val="Grid Table 1 Light - Accent 6"/>
    <w:basedOn w:val="71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3" w:customStyle="1">
    <w:name w:val="Grid Table 2"/>
    <w:basedOn w:val="71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1"/>
    <w:basedOn w:val="71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2"/>
    <w:basedOn w:val="71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3"/>
    <w:basedOn w:val="71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2 - Accent 4"/>
    <w:basedOn w:val="71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2 - Accent 5"/>
    <w:basedOn w:val="71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2 - Accent 6"/>
    <w:basedOn w:val="71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w:basedOn w:val="71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1"/>
    <w:basedOn w:val="71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2"/>
    <w:basedOn w:val="71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3"/>
    <w:basedOn w:val="71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 Accent 4"/>
    <w:basedOn w:val="71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3 - Accent 5"/>
    <w:basedOn w:val="71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3 - Accent 6"/>
    <w:basedOn w:val="71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w:basedOn w:val="71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1"/>
    <w:basedOn w:val="719"/>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2"/>
    <w:basedOn w:val="719"/>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3"/>
    <w:basedOn w:val="719"/>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 Accent 4"/>
    <w:basedOn w:val="719"/>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4 - Accent 5"/>
    <w:basedOn w:val="719"/>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4 - Accent 6"/>
    <w:basedOn w:val="719"/>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Accent 1"/>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 Accent 2"/>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 Accent 3"/>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Accent 4"/>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5 Dark - Accent 5"/>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5 Dark - Accent 6"/>
    <w:basedOn w:val="71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6 Colorful"/>
    <w:basedOn w:val="71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52" w:customStyle="1">
    <w:name w:val="Grid Table 6 Colorful - Accent 1"/>
    <w:basedOn w:val="719"/>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53" w:customStyle="1">
    <w:name w:val="Grid Table 6 Colorful - Accent 2"/>
    <w:basedOn w:val="719"/>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54" w:customStyle="1">
    <w:name w:val="Grid Table 6 Colorful - Accent 3"/>
    <w:basedOn w:val="719"/>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55" w:customStyle="1">
    <w:name w:val="Grid Table 6 Colorful - Accent 4"/>
    <w:basedOn w:val="719"/>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56" w:customStyle="1">
    <w:name w:val="Grid Table 6 Colorful - Accent 5"/>
    <w:basedOn w:val="719"/>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57" w:customStyle="1">
    <w:name w:val="Grid Table 6 Colorful - Accent 6"/>
    <w:basedOn w:val="719"/>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58" w:customStyle="1">
    <w:name w:val="Grid Table 7 Colorful"/>
    <w:basedOn w:val="71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1"/>
    <w:basedOn w:val="719"/>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2"/>
    <w:basedOn w:val="719"/>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3"/>
    <w:basedOn w:val="719"/>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7 Colorful - Accent 4"/>
    <w:basedOn w:val="719"/>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7 Colorful - Accent 5"/>
    <w:basedOn w:val="719"/>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7 Colorful - Accent 6"/>
    <w:basedOn w:val="719"/>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w:basedOn w:val="71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1"/>
    <w:basedOn w:val="719"/>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2"/>
    <w:basedOn w:val="719"/>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3"/>
    <w:basedOn w:val="719"/>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4"/>
    <w:basedOn w:val="719"/>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1 Light - Accent 5"/>
    <w:basedOn w:val="719"/>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1 Light - Accent 6"/>
    <w:basedOn w:val="719"/>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2"/>
    <w:basedOn w:val="71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73" w:customStyle="1">
    <w:name w:val="List Table 2 - Accent 1"/>
    <w:basedOn w:val="719"/>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74" w:customStyle="1">
    <w:name w:val="List Table 2 - Accent 2"/>
    <w:basedOn w:val="719"/>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75" w:customStyle="1">
    <w:name w:val="List Table 2 - Accent 3"/>
    <w:basedOn w:val="719"/>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76" w:customStyle="1">
    <w:name w:val="List Table 2 - Accent 4"/>
    <w:basedOn w:val="719"/>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77" w:customStyle="1">
    <w:name w:val="List Table 2 - Accent 5"/>
    <w:basedOn w:val="719"/>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78" w:customStyle="1">
    <w:name w:val="List Table 2 - Accent 6"/>
    <w:basedOn w:val="719"/>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79" w:customStyle="1">
    <w:name w:val="List Table 3"/>
    <w:basedOn w:val="71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0" w:customStyle="1">
    <w:name w:val="List Table 3 - Accent 1"/>
    <w:basedOn w:val="719"/>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1" w:customStyle="1">
    <w:name w:val="List Table 3 - Accent 2"/>
    <w:basedOn w:val="719"/>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82" w:customStyle="1">
    <w:name w:val="List Table 3 - Accent 3"/>
    <w:basedOn w:val="719"/>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83" w:customStyle="1">
    <w:name w:val="List Table 3 - Accent 4"/>
    <w:basedOn w:val="719"/>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4" w:customStyle="1">
    <w:name w:val="List Table 3 - Accent 5"/>
    <w:basedOn w:val="719"/>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5" w:customStyle="1">
    <w:name w:val="List Table 3 - Accent 6"/>
    <w:basedOn w:val="719"/>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6" w:customStyle="1">
    <w:name w:val="List Table 4"/>
    <w:basedOn w:val="71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7" w:customStyle="1">
    <w:name w:val="List Table 4 - Accent 1"/>
    <w:basedOn w:val="719"/>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8" w:customStyle="1">
    <w:name w:val="List Table 4 - Accent 2"/>
    <w:basedOn w:val="719"/>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9" w:customStyle="1">
    <w:name w:val="List Table 4 - Accent 3"/>
    <w:basedOn w:val="719"/>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0" w:customStyle="1">
    <w:name w:val="List Table 4 - Accent 4"/>
    <w:basedOn w:val="719"/>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1" w:customStyle="1">
    <w:name w:val="List Table 4 - Accent 5"/>
    <w:basedOn w:val="719"/>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2" w:customStyle="1">
    <w:name w:val="List Table 4 - Accent 6"/>
    <w:basedOn w:val="719"/>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3" w:customStyle="1">
    <w:name w:val="List Table 5 Dark"/>
    <w:basedOn w:val="71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94" w:customStyle="1">
    <w:name w:val="List Table 5 Dark - Accent 1"/>
    <w:basedOn w:val="719"/>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95" w:customStyle="1">
    <w:name w:val="List Table 5 Dark - Accent 2"/>
    <w:basedOn w:val="719"/>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96" w:customStyle="1">
    <w:name w:val="List Table 5 Dark - Accent 3"/>
    <w:basedOn w:val="719"/>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5 Dark - Accent 4"/>
    <w:basedOn w:val="719"/>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98" w:customStyle="1">
    <w:name w:val="List Table 5 Dark - Accent 5"/>
    <w:basedOn w:val="719"/>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99" w:customStyle="1">
    <w:name w:val="List Table 5 Dark - Accent 6"/>
    <w:basedOn w:val="719"/>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00" w:customStyle="1">
    <w:name w:val="List Table 6 Colorful"/>
    <w:basedOn w:val="719"/>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1"/>
    <w:basedOn w:val="719"/>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2"/>
    <w:basedOn w:val="719"/>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3"/>
    <w:basedOn w:val="719"/>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6 Colorful - Accent 4"/>
    <w:basedOn w:val="719"/>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6 Colorful - Accent 5"/>
    <w:basedOn w:val="719"/>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6 Colorful - Accent 6"/>
    <w:basedOn w:val="719"/>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w:basedOn w:val="719"/>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1"/>
    <w:basedOn w:val="719"/>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2"/>
    <w:basedOn w:val="719"/>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3"/>
    <w:basedOn w:val="719"/>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4"/>
    <w:basedOn w:val="719"/>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7 Colorful - Accent 5"/>
    <w:basedOn w:val="719"/>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7 Colorful - Accent 6"/>
    <w:basedOn w:val="719"/>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ned - Accent"/>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5" w:customStyle="1">
    <w:name w:val="Lined - Accent 1"/>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6" w:customStyle="1">
    <w:name w:val="Lined - Accent 2"/>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7" w:customStyle="1">
    <w:name w:val="Lined - Accent 3"/>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8" w:customStyle="1">
    <w:name w:val="Lined - Accent 4"/>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9" w:customStyle="1">
    <w:name w:val="Lined - Accent 5"/>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0" w:customStyle="1">
    <w:name w:val="Lined - Accent 6"/>
    <w:basedOn w:val="71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1" w:customStyle="1">
    <w:name w:val="Bordered &amp; Lined - Accent"/>
    <w:basedOn w:val="719"/>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2" w:customStyle="1">
    <w:name w:val="Bordered &amp; Lined - Accent 1"/>
    <w:basedOn w:val="719"/>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23" w:customStyle="1">
    <w:name w:val="Bordered &amp; Lined - Accent 2"/>
    <w:basedOn w:val="719"/>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4" w:customStyle="1">
    <w:name w:val="Bordered &amp; Lined - Accent 3"/>
    <w:basedOn w:val="719"/>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5" w:customStyle="1">
    <w:name w:val="Bordered &amp; Lined - Accent 4"/>
    <w:basedOn w:val="719"/>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6" w:customStyle="1">
    <w:name w:val="Bordered &amp; Lined - Accent 5"/>
    <w:basedOn w:val="719"/>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7" w:customStyle="1">
    <w:name w:val="Bordered &amp; Lined - Accent 6"/>
    <w:basedOn w:val="719"/>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8" w:customStyle="1">
    <w:name w:val="Bordered"/>
    <w:basedOn w:val="719"/>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1"/>
    <w:basedOn w:val="71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2"/>
    <w:basedOn w:val="71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3"/>
    <w:basedOn w:val="71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4"/>
    <w:basedOn w:val="71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 Accent 5"/>
    <w:basedOn w:val="71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Bordered - Accent 6"/>
    <w:basedOn w:val="71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23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崔双成</cp:lastModifiedBy>
  <cp:revision>8</cp:revision>
  <dcterms:created xsi:type="dcterms:W3CDTF">2024-01-04T03:50:00Z</dcterms:created>
  <dcterms:modified xsi:type="dcterms:W3CDTF">2026-09-23T01:35:30Z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eyJoZGlkIjoiOWI0YjMwOGMyNzkzOTcyYjRkMDA2MDc1ZmE1YTgzNWEiLCJ1c2VySWQiOiI1ODg1ODY4NDMifQ==</vt:lpwstr>
  </property>
  <property fmtid="{D5CDD505-2E9C-101B-9397-08002B2CF9AE}" pid="3" name="KSOProductBuildVer">
    <vt:lpwstr>2052-12.1.0.28505</vt:lpwstr>
  </property>
  <property fmtid="{D5CDD505-2E9C-101B-9397-08002B2CF9AE}" pid="4" name="ICV">
    <vt:lpwstr>A793057FD2C7420B9E9C67E13EA97511_13</vt:lpwstr>
  </property>
</Properties>
</file>