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highlight w:val="none"/>
        </w:rPr>
      </w:pPr>
      <w:r>
        <w:rPr>
          <w:rFonts w:hint="eastAsia"/>
          <w:highlight w:val="none"/>
        </w:rPr>
      </w:r>
      <w:r/>
    </w:p>
    <w:p>
      <w:pPr>
        <w:rPr>
          <w:rFonts w:hint="eastAsia"/>
          <w:highlight w:val="none"/>
        </w:rPr>
      </w:pPr>
      <w:r>
        <w:rPr>
          <w:rFonts w:hint="eastAsia"/>
          <w:highlight w:val="none"/>
        </w:rPr>
      </w:r>
      <w:r/>
    </w:p>
    <w:p>
      <w:pPr>
        <w:pStyle w:val="744"/>
        <w:rPr>
          <w:rFonts w:hint="eastAsia"/>
        </w:rPr>
      </w:pPr>
      <w:r>
        <w:rPr>
          <w:rFonts w:hint="eastAsia"/>
        </w:rPr>
      </w:r>
      <w:r/>
    </w:p>
    <w:p>
      <w:pPr>
        <w:pStyle w:val="968"/>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p>
    <w:p>
      <w:pPr>
        <w:ind w:firstLine="1506"/>
        <w:rPr>
          <w:rFonts w:eastAsia="宋体" w:cs="Times New Roman"/>
          <w:b/>
          <w:color w:val="000000"/>
          <w:sz w:val="30"/>
          <w:szCs w:val="30"/>
          <w:highlight w:val="none"/>
          <w:u w:val="single"/>
          <w:lang w:val="en-US" w:eastAsia="zh-CN"/>
        </w:rPr>
        <w:outlineLvl w:val="0"/>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南京市鼓楼区水佐岗11号宁美大楼外部公共区域及南楼物业服务 </w:t>
      </w:r>
      <w:r/>
    </w:p>
    <w:p>
      <w:pPr>
        <w:ind w:firstLine="1506"/>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JSZC-320100-JZCG-G2026-0304 </w:t>
      </w: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8"/>
        <w:ind w:firstLine="0"/>
        <w:jc w:val="center"/>
        <w:rPr>
          <w:rFonts w:hint="eastAsia"/>
          <w:b/>
          <w:bCs/>
          <w:color w:val="000000"/>
          <w:sz w:val="32"/>
          <w:highlight w:val="none"/>
          <w:lang w:eastAsia="zh-CN"/>
        </w:rPr>
        <w:outlineLvl w:val="1"/>
      </w:pPr>
      <w:r>
        <w:rPr>
          <w:rFonts w:hint="eastAsia"/>
          <w:b/>
          <w:bCs/>
          <w:color w:val="000000"/>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2026年9月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both"/>
        <w:spacing w:line="480" w:lineRule="auto"/>
        <w:rPr>
          <w:rFonts w:hint="eastAsia"/>
          <w:color w:val="000000"/>
          <w:highlight w:val="none"/>
        </w:rPr>
        <w:outlineLvl w:val="9"/>
      </w:pPr>
      <w:r>
        <w:rPr>
          <w:rFonts w:hint="eastAsia"/>
          <w:color w:val="000000"/>
          <w:highlight w:val="none"/>
        </w:rPr>
        <w:t xml:space="preserve">                      </w:t>
      </w:r>
      <w:r/>
    </w:p>
    <w:p>
      <w:pPr>
        <w:pStyle w:val="736"/>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36"/>
        <w:rPr>
          <w:rFonts w:hint="eastAsia"/>
          <w:color w:val="000000"/>
          <w:highlight w:val="none"/>
        </w:rPr>
      </w:pPr>
      <w:r>
        <w:rPr>
          <w:rFonts w:hint="eastAsia"/>
          <w:color w:val="000000"/>
          <w:highlight w:val="none"/>
        </w:rPr>
      </w:r>
      <w:r/>
    </w:p>
    <w:p>
      <w:pPr>
        <w:rPr>
          <w:rFonts w:hint="eastAsia"/>
          <w:highlight w:val="none"/>
        </w:rPr>
      </w:pPr>
      <w:r>
        <w:rPr>
          <w:rFonts w:hint="eastAsia"/>
          <w:highlight w:val="none"/>
        </w:rPr>
      </w:r>
      <w:r/>
    </w:p>
    <w:p>
      <w:pPr>
        <w:jc w:val="center"/>
        <w:spacing w:line="480" w:lineRule="auto"/>
        <w:rPr>
          <w:rFonts w:hint="eastAsia" w:ascii="黑体" w:hAnsi="Arial" w:eastAsia="黑体"/>
          <w:b/>
          <w:color w:val="000000"/>
          <w:sz w:val="44"/>
          <w:highlight w:val="none"/>
        </w:rPr>
        <w:outlineLvl w:val="0"/>
      </w:pPr>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color w:val="000000"/>
          <w:highlight w:val="none"/>
        </w:rPr>
        <w:t xml:space="preserve"> </w:t>
      </w: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28</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31</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28359002"/>
      <w:r/>
      <w:bookmarkStart w:id="7" w:name="_Toc28359079"/>
      <w:r/>
      <w:bookmarkStart w:id="8" w:name="_Toc35393790"/>
      <w:r/>
      <w:bookmarkStart w:id="9" w:name="_Toc35393621"/>
      <w:r/>
      <w:bookmarkStart w:id="10" w:name="_Toc38985263"/>
      <w:r/>
      <w:bookmarkStart w:id="11" w:name="_Hlk24379207"/>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000000"/>
          <w:sz w:val="24"/>
          <w:szCs w:val="24"/>
          <w:highlight w:val="none"/>
        </w:rPr>
      </w:pPr>
      <w:r>
        <w:rPr>
          <w:rFonts w:hint="eastAsia" w:ascii="宋体" w:hAnsi="宋体"/>
          <w:sz w:val="24"/>
          <w:szCs w:val="24"/>
          <w:highlight w:val="none"/>
        </w:rPr>
        <w:t xml:space="preserve">1.项目编号：</w:t>
      </w:r>
      <w:r>
        <w:rPr>
          <w:rFonts w:hint="eastAsia" w:ascii="宋体" w:hAnsi="宋体" w:cs="Times New Roman"/>
          <w:color w:val="000000"/>
          <w:sz w:val="24"/>
          <w:szCs w:val="24"/>
          <w:highlight w:val="none"/>
          <w:lang w:eastAsia="zh-CN"/>
        </w:rPr>
        <w:t xml:space="preserve">JSZC-320100-JZCG-G2026-0304 </w:t>
      </w:r>
      <w:r/>
    </w:p>
    <w:p>
      <w:pPr>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南京市鼓楼区水佐岗11号宁美大楼外部公共区域及南楼物业服务</w:t>
      </w:r>
      <w:r/>
    </w:p>
    <w:p>
      <w:pPr>
        <w:ind w:firstLine="480"/>
        <w:spacing w:line="40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600万元（200万元/年）</w:t>
      </w:r>
      <w:r/>
    </w:p>
    <w:p>
      <w:pPr>
        <w:ind w:firstLine="480"/>
        <w:pageBreakBefore w:val="0"/>
        <w:spacing w:line="252"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600万元（200万元/年）</w:t>
      </w:r>
      <w:r/>
    </w:p>
    <w:p>
      <w:pPr>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5.采购需求（简介）：南京市鼓楼区水佐岗11号宁美大楼外部公共区域及南楼物业服务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包括环境保洁、安保、工程维修、会务与客服等。</w:t>
      </w:r>
      <w:r>
        <w:rPr>
          <w:rFonts w:hint="eastAsia" w:ascii="宋体" w:hAnsi="宋体" w:cs="宋体"/>
          <w:color w:val="000000"/>
          <w:sz w:val="24"/>
          <w:szCs w:val="24"/>
          <w:highlight w:val="none"/>
        </w:rPr>
        <w:t xml:space="preserve">（详细内容见本招标文件第四章） </w:t>
      </w:r>
      <w:r/>
    </w:p>
    <w:p>
      <w:pPr>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2" w:name="_Toc35393791"/>
      <w:r/>
      <w:bookmarkStart w:id="13" w:name="_Toc35393622"/>
      <w:r/>
      <w:bookmarkStart w:id="14" w:name="_Toc28359003"/>
      <w:r/>
      <w:bookmarkStart w:id="15" w:name="_Toc38985264"/>
      <w:r/>
      <w:bookmarkStart w:id="16" w:name="_Toc28359080"/>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000000"/>
          <w:sz w:val="24"/>
          <w:szCs w:val="24"/>
          <w:highlight w:val="none"/>
        </w:rPr>
        <w:outlineLvl w:val="2"/>
      </w:pPr>
      <w:r/>
      <w:bookmarkStart w:id="17" w:name="_Toc28359004"/>
      <w:r/>
      <w:bookmarkStart w:id="18" w:name="_Toc35393623"/>
      <w:r/>
      <w:bookmarkStart w:id="19" w:name="_Toc35393792"/>
      <w:r/>
      <w:bookmarkStart w:id="20" w:name="_Toc38985265"/>
      <w:r/>
      <w:bookmarkStart w:id="21"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p>
    <w:p>
      <w:pPr>
        <w:ind w:firstLine="480"/>
        <w:pageBreakBefore w:val="0"/>
        <w:spacing w:line="252" w:lineRule="auto"/>
        <w:widowControl w:val="off"/>
        <w:rPr>
          <w:rFonts w:hint="eastAsia" w:ascii="宋体" w:hAnsi="宋体" w:eastAsia="宋体" w:cs="Times New Roman"/>
          <w:color w:val="000000"/>
          <w:sz w:val="24"/>
          <w:szCs w:val="24"/>
          <w:highlight w:val="none"/>
          <w:lang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zh-CN"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ins w:id="0" w:author="杨浩" w:date="2026-10-12T08:01:29Z" oouserid="ebf5e69d832147d389aeb1575bb52004">
        <w:r>
          <w:rPr>
            <w:rFonts w:hint="eastAsia" w:ascii="宋体" w:hAnsi="宋体" w:eastAsia="宋体"/>
            <w:color w:val="000000"/>
            <w:sz w:val="24"/>
            <w:szCs w:val="24"/>
            <w:highlight w:val="none"/>
            <w:lang w:val="zh-CN" w:eastAsia="zh-CN"/>
          </w:rPr>
        </w:r>
      </w:ins>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w:t>
      </w:r>
      <w:r/>
    </w:p>
    <w:p>
      <w:pPr>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28359007"/>
      <w:r/>
      <w:bookmarkStart w:id="28" w:name="_Toc28359084"/>
      <w:r/>
      <w:bookmarkStart w:id="29" w:name="_Toc35393625"/>
      <w:r/>
      <w:bookmarkStart w:id="30" w:name="_Toc38985267"/>
      <w:r/>
      <w:bookmarkStart w:id="31" w:name="_Toc3539379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14时00</w:t>
      </w:r>
      <w:r>
        <w:rPr>
          <w:rFonts w:hint="eastAsia" w:ascii="宋体" w:hAnsi="宋体" w:eastAsia="宋体" w:cs="宋体"/>
          <w:sz w:val="24"/>
          <w:szCs w:val="24"/>
          <w:highlight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p>
    <w:p>
      <w:pPr>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公告期限为自本公告发布之日起5个工作日。</w:t>
      </w:r>
      <w:r/>
    </w:p>
    <w:p>
      <w:pPr>
        <w:pStyle w:val="68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5393627"/>
      <w:r/>
      <w:bookmarkStart w:id="36" w:name="_Toc35393796"/>
      <w:r/>
      <w:bookmarkStart w:id="37" w:name="_Toc28359008"/>
      <w:r/>
      <w:bookmarkStart w:id="38" w:name="_Toc28359085"/>
      <w:r/>
      <w:bookmarkStart w:id="39" w:name="_Toc38985269"/>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p>
    <w:p>
      <w:pPr>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采购人《质疑函》收件人：李先生，收件地址：南京市鼓楼区水佐岗路64号610室，联系电话：025-83310218。</w:t>
      </w:r>
      <w:r/>
    </w:p>
    <w:p>
      <w:pPr>
        <w:ind w:firstLine="480"/>
        <w:rPr>
          <w:rFonts w:hint="eastAsia" w:ascii="宋体" w:hAnsi="宋体" w:eastAsia="宋体" w:cs="Times New Roman"/>
          <w:b w:val="0"/>
          <w:bCs w:val="0"/>
          <w:color w:val="0000ff"/>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p>
    <w:p>
      <w:pPr>
        <w:pStyle w:val="688"/>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1.采购人</w:t>
      </w:r>
      <w:r/>
    </w:p>
    <w:p>
      <w:pPr>
        <w:ind w:firstLine="480"/>
        <w:spacing w:line="252" w:lineRule="auto"/>
        <w:rPr>
          <w:rFonts w:hint="eastAsia" w:ascii="宋体" w:hAnsi="宋体" w:eastAsia="宋体" w:cs="Times New Roman"/>
          <w:sz w:val="24"/>
          <w:szCs w:val="24"/>
          <w:highlight w:val="none"/>
          <w:u w:val="none"/>
          <w:lang w:val="en-US" w:eastAsia="zh-CN"/>
        </w:rPr>
        <w:outlineLvl w:val="2"/>
      </w:pPr>
      <w:r/>
      <w:bookmarkStart w:id="40" w:name="_Toc28359009"/>
      <w:r/>
      <w:bookmarkStart w:id="41" w:name="_Toc28359086"/>
      <w:r>
        <w:rPr>
          <w:rFonts w:hint="eastAsia" w:ascii="宋体" w:hAnsi="宋体" w:eastAsia="宋体" w:cs="Times New Roman"/>
          <w:sz w:val="24"/>
          <w:szCs w:val="24"/>
          <w:highlight w:val="none"/>
          <w:u w:val="none"/>
          <w:lang w:val="en-US" w:eastAsia="zh-CN"/>
        </w:rPr>
        <w:t xml:space="preserve">名  称：南京市鼓楼区人民政府宁海路街道办事处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地  址：南京市鼓楼区水佐岗路64号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联系人：李先生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联系电话：025-83310218 </w:t>
      </w:r>
      <w:r/>
    </w:p>
    <w:p>
      <w:pPr>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2.交易中心</w:t>
      </w:r>
      <w:r/>
    </w:p>
    <w:p>
      <w:pPr>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址：南京市建邺区江东中路265号    </w:t>
      </w:r>
      <w:r/>
    </w:p>
    <w:p>
      <w:pPr>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联系人：杨先生</w:t>
      </w:r>
      <w:r/>
    </w:p>
    <w:p>
      <w:pPr>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联系电话：025-68505993</w:t>
      </w:r>
      <w:bookmarkEnd w:id="40"/>
      <w:bookmarkEnd w:id="41"/>
      <w:r/>
    </w:p>
    <w:p>
      <w:pPr>
        <w:ind w:firstLine="480"/>
        <w:spacing w:line="252" w:lineRule="auto"/>
        <w:rPr>
          <w:rFonts w:hint="eastAsia"/>
          <w:highlight w:val="none"/>
        </w:rPr>
      </w:pPr>
      <w:r>
        <w:rPr>
          <w:rFonts w:hint="eastAsia" w:ascii="宋体" w:hAnsi="宋体" w:eastAsia="宋体" w:cs="Times New Roman"/>
          <w:color w:val="0000ff"/>
          <w:sz w:val="24"/>
          <w:szCs w:val="24"/>
          <w:highlight w:val="none"/>
          <w:u w:val="none"/>
          <w:lang w:val="en-US" w:eastAsia="zh-CN"/>
        </w:rPr>
        <w:t xml:space="preserve">  </w:t>
      </w:r>
      <w:r/>
    </w:p>
    <w:p>
      <w:pPr>
        <w:pStyle w:val="7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47" w:name="_Toc513029203"/>
      <w:r/>
      <w:bookmarkStart w:id="48" w:name="_Toc120614214"/>
      <w:r/>
      <w:bookmarkStart w:id="49" w:name="_Toc16938519"/>
      <w:r/>
      <w:bookmarkStart w:id="50" w:name="_Toc20823275"/>
      <w:r/>
      <w:bookmarkStart w:id="51" w:name="_Toc20823314"/>
      <w:r/>
      <w:bookmarkStart w:id="52" w:name="_Toc16938558"/>
      <w:r/>
      <w:bookmarkStart w:id="53" w:name="_Toc120614221"/>
      <w:r/>
      <w:bookmarkStart w:id="54" w:name="_Toc513029242"/>
      <w:r/>
      <w:bookmarkStart w:id="55" w:name="_Toc479757207"/>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20823277"/>
      <w:r/>
      <w:bookmarkStart w:id="62" w:name="_Toc513029205"/>
      <w:r/>
      <w:bookmarkStart w:id="63"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16938522"/>
      <w:r/>
      <w:bookmarkStart w:id="65" w:name="_Toc513029206"/>
      <w:r/>
      <w:bookmarkStart w:id="66"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71" w:name="_Toc513029209"/>
      <w:r/>
      <w:bookmarkStart w:id="72" w:name="_Toc20823281"/>
      <w:r/>
      <w:bookmarkStart w:id="73" w:name="_Toc16938525"/>
      <w:r/>
      <w:bookmarkStart w:id="74"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16938528"/>
      <w:r/>
      <w:bookmarkStart w:id="79" w:name="_Toc462564071"/>
      <w:r/>
      <w:bookmarkStart w:id="80" w:name="_Toc20823284"/>
      <w:r/>
      <w:bookmarkStart w:id="81" w:name="_Toc513029212"/>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16938529"/>
      <w:r/>
      <w:bookmarkStart w:id="83" w:name="_Toc120614216"/>
      <w:r/>
      <w:bookmarkStart w:id="84" w:name="_Toc513029213"/>
      <w:r/>
      <w:bookmarkStart w:id="85" w:name="_Toc462564072"/>
      <w:r/>
      <w:bookmarkStart w:id="86" w:name="_Toc20823285"/>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462564073"/>
      <w:r/>
      <w:bookmarkStart w:id="88" w:name="_Toc16938530"/>
      <w:r/>
      <w:bookmarkStart w:id="89" w:name="_Toc513029214"/>
      <w:r/>
      <w:bookmarkStart w:id="90" w:name="_Toc20823286"/>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513029215"/>
      <w:r/>
      <w:bookmarkStart w:id="92" w:name="_Toc16938531"/>
      <w:r/>
      <w:bookmarkStart w:id="93" w:name="_Toc462564074"/>
      <w:r/>
      <w:bookmarkStart w:id="94" w:name="_Toc20823287"/>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p>
    <w:p>
      <w:pPr>
        <w:ind w:firstLine="492"/>
        <w:keepLines w:val="0"/>
        <w:keepNext w:val="0"/>
        <w:rPr>
          <w:rFonts w:ascii="方正楷体_GBK" w:hAnsi="方正楷体_GBK" w:eastAsia="方正楷体_GBK" w:cs="方正楷体_GBK"/>
          <w:b/>
          <w:bCs/>
          <w:sz w:val="28"/>
          <w:szCs w:val="28"/>
          <w:highlight w:val="none"/>
          <w:lang w:val="en-US"/>
        </w:rPr>
      </w:pPr>
      <w:r/>
      <w:bookmarkStart w:id="95" w:name="_Hlt26668975"/>
      <w:r/>
      <w:bookmarkEnd w:id="95"/>
      <w:r/>
      <w:bookmarkStart w:id="96" w:name="_Hlt26670360"/>
      <w:r/>
      <w:bookmarkEnd w:id="96"/>
      <w:r/>
      <w:bookmarkStart w:id="97" w:name="_Hlt26954838"/>
      <w:r/>
      <w:bookmarkEnd w:id="97"/>
      <w:r/>
      <w:bookmarkStart w:id="98" w:name="_Toc14577354"/>
      <w:r/>
      <w:bookmarkStart w:id="99" w:name="_Toc513029219"/>
      <w:r/>
      <w:bookmarkStart w:id="100" w:name="_Toc513029216"/>
      <w:r/>
      <w:bookmarkStart w:id="101" w:name="_Toc49090509"/>
      <w:r/>
      <w:bookmarkStart w:id="102" w:name="_Toc49090507"/>
      <w:r/>
      <w:bookmarkStart w:id="103" w:name="_Toc14577357"/>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8"/>
      <w:r/>
      <w:bookmarkEnd w:id="99"/>
      <w:r/>
      <w:bookmarkEnd w:id="100"/>
      <w:r/>
      <w:bookmarkEnd w:id="101"/>
      <w:r/>
      <w:bookmarkEnd w:id="102"/>
      <w:r/>
      <w:bookmarkEnd w:id="103"/>
      <w:r>
        <w:rPr>
          <w:rFonts w:hint="eastAsia" w:ascii="方正楷体_GBK" w:hAnsi="方正楷体_GBK" w:eastAsia="方正楷体_GBK" w:cs="方正楷体_GBK"/>
          <w:b/>
          <w:bCs/>
          <w:sz w:val="28"/>
          <w:szCs w:val="28"/>
          <w:highlight w:val="none"/>
          <w:lang w:val="en-US" w:eastAsia="zh-CN"/>
        </w:rPr>
        <w:t xml:space="preserve">投标报价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670482"/>
      <w:r/>
      <w:bookmarkEnd w:id="104"/>
      <w:r/>
      <w:bookmarkStart w:id="105" w:name="_Hlt26954848"/>
      <w:r/>
      <w:bookmarkEnd w:id="105"/>
      <w:r/>
      <w:bookmarkStart w:id="106" w:name="_Hlt26954844"/>
      <w:r/>
      <w:bookmarkEnd w:id="106"/>
      <w:r/>
      <w:bookmarkStart w:id="107" w:name="_Hlt26670403"/>
      <w:r/>
      <w:bookmarkEnd w:id="107"/>
      <w:r/>
      <w:bookmarkStart w:id="108" w:name="_Hlt26670486"/>
      <w:r/>
      <w:bookmarkEnd w:id="108"/>
      <w:r/>
      <w:bookmarkStart w:id="109" w:name="_Hlt26954731"/>
      <w:r/>
      <w:bookmarkEnd w:id="109"/>
      <w:r/>
      <w:bookmarkStart w:id="110" w:name="_Hlt26954846"/>
      <w:r/>
      <w:bookmarkEnd w:id="110"/>
      <w:r/>
      <w:bookmarkStart w:id="111" w:name="_Hlt26668983"/>
      <w:r/>
      <w:bookmarkEnd w:id="111"/>
      <w:r/>
      <w:bookmarkStart w:id="112" w:name="_Hlt26954842"/>
      <w:r/>
      <w:bookmarkEnd w:id="112"/>
      <w:r/>
      <w:bookmarkStart w:id="113" w:name="_Hlt26670425"/>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p>
    <w:p>
      <w:pPr>
        <w:pStyle w:val="690"/>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bookmarkEnd w:id="114"/>
      <w:bookmarkEnd w:id="115"/>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16" w:name="_Hlt26954850"/>
      <w:r/>
      <w:bookmarkEnd w:id="116"/>
      <w:r/>
      <w:bookmarkStart w:id="117" w:name="_Hlt26670489"/>
      <w:r/>
      <w:bookmarkEnd w:id="117"/>
      <w:r/>
      <w:bookmarkStart w:id="118" w:name="_Hlt26954734"/>
      <w:r/>
      <w:bookmarkEnd w:id="118"/>
      <w:r/>
      <w:bookmarkStart w:id="119" w:name="_Toc14577360"/>
      <w:r/>
      <w:bookmarkStart w:id="120" w:name="_Toc49090511"/>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9"/>
      <w:r/>
      <w:bookmarkEnd w:id="120"/>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p>
    <w:p>
      <w:pPr>
        <w:pStyle w:val="69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p>
    <w:p>
      <w:pPr>
        <w:pStyle w:val="68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bookmarkStart w:id="121" w:name="_Hlt26954739"/>
      <w:r/>
      <w:bookmarkEnd w:id="121"/>
      <w:r/>
      <w:bookmarkStart w:id="122" w:name="_Hlt26954852"/>
      <w:r/>
      <w:bookmarkEnd w:id="122"/>
      <w:r/>
      <w:bookmarkStart w:id="123" w:name="_Toc120614217"/>
      <w:r/>
      <w:bookmarkStart w:id="124" w:name="_Toc16938540"/>
      <w:r/>
      <w:bookmarkStart w:id="125" w:name="_Toc513029224"/>
      <w:r/>
      <w:bookmarkStart w:id="126" w:name="_Toc20823296"/>
      <w:r/>
      <w:bookmarkStart w:id="127" w:name="_Toc513029237"/>
      <w:r/>
      <w:bookmarkStart w:id="128" w:name="_Toc16938553"/>
      <w:r/>
      <w:bookmarkStart w:id="129" w:name="_Toc20823309"/>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462564084"/>
      <w:r/>
      <w:bookmarkStart w:id="131" w:name="_Toc20823297"/>
      <w:r/>
      <w:bookmarkStart w:id="132" w:name="_Toc16938541"/>
      <w:r/>
      <w:bookmarkStart w:id="133" w:name="_Toc513029225"/>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20823298"/>
      <w:r/>
      <w:bookmarkStart w:id="135" w:name="_Toc16938542"/>
      <w:r/>
      <w:bookmarkStart w:id="136" w:name="_Toc513029226"/>
      <w:r>
        <w:rPr>
          <w:rFonts w:hint="eastAsia" w:ascii="宋体" w:hAnsi="宋体"/>
          <w:sz w:val="24"/>
          <w:highlight w:val="none"/>
          <w:lang w:val="zh-CN"/>
        </w:rPr>
        <w:t xml:space="preserve">投标截止时间后上传的投标文件将被拒绝。</w:t>
      </w:r>
      <w:bookmarkEnd w:id="134"/>
      <w:bookmarkEnd w:id="135"/>
      <w:bookmarkEnd w:id="136"/>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16938543"/>
      <w:r/>
      <w:bookmarkStart w:id="138" w:name="_Toc20823299"/>
      <w:r/>
      <w:bookmarkStart w:id="139"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20823300"/>
      <w:r/>
      <w:bookmarkStart w:id="141" w:name="_Toc513029228"/>
      <w:r/>
      <w:bookmarkStart w:id="142" w:name="_Toc16938544"/>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43" w:name="_Toc120614218"/>
      <w:r/>
      <w:bookmarkStart w:id="144" w:name="_Toc513029229"/>
      <w:r/>
      <w:bookmarkStart w:id="145" w:name="_Toc20823301"/>
      <w:r/>
      <w:bookmarkStart w:id="146" w:name="_Toc16938545"/>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20823302"/>
      <w:r/>
      <w:bookmarkStart w:id="148" w:name="_Toc513029230"/>
      <w:r/>
      <w:bookmarkStart w:id="149" w:name="_Toc16938546"/>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p>
    <w:p>
      <w:pPr>
        <w:ind w:firstLine="457"/>
        <w:keepLines w:val="0"/>
        <w:keepNext w:val="0"/>
        <w:rPr>
          <w:rFonts w:hint="eastAsia" w:ascii="方正楷体_GBK" w:hAnsi="方正楷体_GBK" w:eastAsia="方正楷体_GBK" w:cs="方正楷体_GBK"/>
          <w:b/>
          <w:bCs/>
          <w:color w:val="000000"/>
          <w:sz w:val="26"/>
          <w:szCs w:val="26"/>
          <w:highlight w:val="none"/>
          <w:lang w:val="en-US"/>
        </w:rPr>
      </w:pPr>
      <w:r/>
      <w:bookmarkStart w:id="150" w:name="_Toc513029231"/>
      <w:r/>
      <w:bookmarkStart w:id="151" w:name="_Toc16938547"/>
      <w:r/>
      <w:bookmarkStart w:id="152" w:name="_Toc20823303"/>
      <w:r>
        <w:rPr>
          <w:rFonts w:hint="eastAsia" w:ascii="方正楷体_GBK" w:hAnsi="方正楷体_GBK" w:eastAsia="方正楷体_GBK" w:cs="方正楷体_GBK"/>
          <w:b/>
          <w:bCs/>
          <w:color w:val="000000"/>
          <w:sz w:val="26"/>
          <w:szCs w:val="26"/>
          <w:highlight w:val="none"/>
          <w:lang w:val="en-US" w:eastAsia="zh-CN"/>
        </w:rPr>
        <w:t xml:space="preserve">18.</w:t>
      </w:r>
      <w:r>
        <w:rPr>
          <w:rFonts w:hint="eastAsia" w:ascii="方正楷体_GBK" w:hAnsi="方正楷体_GBK" w:eastAsia="方正楷体_GBK" w:cs="方正楷体_GBK"/>
          <w:b/>
          <w:bCs/>
          <w:color w:val="000000"/>
          <w:sz w:val="26"/>
          <w:szCs w:val="26"/>
          <w:highlight w:val="none"/>
          <w:lang w:val="en-U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bookmarkEnd w:id="150"/>
      <w:bookmarkEnd w:id="151"/>
      <w:bookmarkEnd w:id="152"/>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513029232"/>
      <w:r/>
      <w:bookmarkStart w:id="154" w:name="_Toc16938548"/>
      <w:r/>
      <w:bookmarkStart w:id="155" w:name="_Toc20823304"/>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20823305"/>
      <w:r/>
      <w:bookmarkStart w:id="157" w:name="_Toc513029233"/>
      <w:r/>
      <w:bookmarkStart w:id="158"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513029234"/>
      <w:r/>
      <w:bookmarkStart w:id="160" w:name="_Toc16938550"/>
      <w:r/>
      <w:bookmarkStart w:id="161" w:name="_Toc20823306"/>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bookmarkStart w:id="163" w:name="_Toc16938551"/>
      <w:r/>
      <w:bookmarkStart w:id="164" w:name="_Toc20823307"/>
      <w:r/>
      <w:bookmarkStart w:id="165" w:name="_Toc513029235"/>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p>
    <w:p>
      <w:pPr>
        <w:ind w:firstLine="420"/>
        <w:rPr>
          <w:rFonts w:hint="eastAsia" w:ascii="宋体" w:hAnsi="宋体"/>
          <w:b/>
          <w:bCs/>
          <w:sz w:val="24"/>
          <w:highlight w:val="none"/>
          <w:lang w:val="zh-CN"/>
        </w:rPr>
        <w:outlineLvl w:val="2"/>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bookmarkEnd w:id="127"/>
      <w:bookmarkEnd w:id="128"/>
      <w:bookmarkEnd w:id="129"/>
      <w:bookmarkEnd w:id="163"/>
      <w:bookmarkEnd w:id="164"/>
      <w:bookmarkEnd w:id="165"/>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513029238"/>
      <w:r/>
      <w:bookmarkStart w:id="168" w:name="_Toc16938554"/>
      <w:r/>
      <w:bookmarkStart w:id="169" w:name="_Toc20823310"/>
      <w:r>
        <w:rPr>
          <w:rFonts w:hint="eastAsia" w:ascii="方正楷体_GBK" w:hAnsi="方正楷体_GBK" w:eastAsia="方正楷体_GBK" w:cs="方正楷体_GBK"/>
          <w:b/>
          <w:bCs/>
          <w:highlight w:val="none"/>
        </w:rPr>
        <w:t xml:space="preserve">2</w:t>
      </w:r>
      <w:bookmarkEnd w:id="167"/>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8"/>
      <w:r/>
      <w:bookmarkEnd w:id="169"/>
      <w:r>
        <w:rPr>
          <w:rFonts w:hint="eastAsia" w:ascii="方正楷体_GBK" w:hAnsi="方正楷体_GBK" w:eastAsia="方正楷体_GBK" w:cs="方正楷体_GBK"/>
          <w:b/>
          <w:bCs/>
          <w:highlight w:val="none"/>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70" w:name="_Toc120614220"/>
      <w:r/>
      <w:bookmarkStart w:id="171" w:name="_Toc20823308"/>
      <w:r/>
      <w:bookmarkStart w:id="172" w:name="_Toc16938552"/>
      <w:r/>
      <w:bookmarkStart w:id="173"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70"/>
      <w:r/>
      <w:bookmarkEnd w:id="171"/>
      <w:bookmarkEnd w:id="172"/>
      <w:bookmarkEnd w:id="173"/>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p>
    <w:p>
      <w:pPr>
        <w:pStyle w:val="68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南京市鼓楼区财政局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p>
    <w:p>
      <w:pPr>
        <w:pStyle w:val="68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690"/>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p>
    <w:p>
      <w:pPr>
        <w:pStyle w:val="747"/>
        <w:rPr>
          <w:rFonts w:hint="eastAsia"/>
          <w:highlight w:val="none"/>
          <w:lang w:val="zh-CN"/>
        </w:rPr>
      </w:pPr>
      <w:r>
        <w:rPr>
          <w:rFonts w:hint="eastAsia"/>
          <w:highlight w:val="none"/>
          <w:lang w:val="zh-CN"/>
        </w:rPr>
      </w:r>
      <w:r/>
    </w:p>
    <w:p>
      <w:pPr>
        <w:rPr>
          <w:rFonts w:hint="eastAsia"/>
          <w:highlight w:val="none"/>
          <w:lang w:val="zh-CN"/>
        </w:rPr>
      </w:pPr>
      <w:r>
        <w:rPr>
          <w:rFonts w:hint="eastAsia"/>
          <w:highlight w:val="none"/>
          <w:lang w:val="zh-CN"/>
        </w:rPr>
      </w:r>
      <w:r/>
    </w:p>
    <w:p>
      <w:pPr>
        <w:pStyle w:val="7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16938559"/>
      <w:r/>
      <w:bookmarkStart w:id="175" w:name="_Toc513029243"/>
      <w:r/>
      <w:bookmarkStart w:id="176" w:name="_Toc20823315"/>
      <w:r/>
      <w:bookmarkStart w:id="177" w:name="_Hlt16619350"/>
      <w:r/>
      <w:bookmarkStart w:id="178" w:name="_Toc16938590"/>
      <w:r/>
      <w:bookmarkStart w:id="179" w:name="_Toc120614244"/>
      <w:r/>
      <w:bookmarkStart w:id="180" w:name="_Toc20823346"/>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p>
    <w:p>
      <w:pPr>
        <w:pStyle w:val="747"/>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p>
    <w:p>
      <w:pPr>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p>
    <w:p>
      <w:pPr>
        <w:pStyle w:val="715"/>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none"/>
          <w:lang w:val="en-US" w:eastAsia="zh-CN"/>
        </w:rPr>
        <w:t xml:space="preserve">5</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715"/>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 满足合同约定支付条件的，甲方收到乙方发票后10个工作日内，将资金支付到合同约定的乙方账户。 </w:t>
      </w:r>
      <w:r/>
    </w:p>
    <w:p>
      <w:pPr>
        <w:pStyle w:val="715"/>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十一、违约责任</w:t>
      </w:r>
      <w:r/>
    </w:p>
    <w:p>
      <w:pPr>
        <w:jc w:val="both"/>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的违约金。</w:t>
      </w:r>
      <w:r/>
    </w:p>
    <w:p>
      <w:pPr>
        <w:jc w:val="both"/>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p>
    <w:p>
      <w:pPr>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1"/>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bookmarkEnd w:id="174"/>
      <w:bookmarkEnd w:id="175"/>
      <w:bookmarkEnd w:id="176"/>
      <w:r/>
    </w:p>
    <w:p>
      <w:pPr>
        <w:pStyle w:val="715"/>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715"/>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715"/>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15"/>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15"/>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p>
    <w:p>
      <w:pPr>
        <w:pStyle w:val="918"/>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
    </w:p>
    <w:p>
      <w:pPr>
        <w:ind w:firstLine="480"/>
        <w:spacing w:line="240" w:lineRule="auto"/>
        <w:rPr>
          <w:rFonts w:hint="eastAsia" w:ascii="宋体" w:hAnsi="宋体"/>
          <w:color w:val="000000"/>
          <w:sz w:val="24"/>
          <w:szCs w:val="24"/>
          <w:highlight w:val="none"/>
        </w:rPr>
        <w:outlineLvl w:val="1"/>
      </w:pPr>
      <w:r/>
      <w:bookmarkStart w:id="183" w:name="_Toc120614281"/>
      <w:r/>
      <w:bookmarkStart w:id="184" w:name="_Toc26554093"/>
      <w:r/>
      <w:bookmarkStart w:id="185"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p>
    <w:p>
      <w:pPr>
        <w:ind w:firstLine="480"/>
        <w:spacing w:line="24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（一）项目背景</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南京市鼓楼区宁海路街道宁美大楼位于南京市鼓楼区水佐岗路11号。</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占地面积：13648.53㎡，大楼总建筑面积：40343.97㎡。其中南楼建筑面积23858.2㎡。</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办公楼1栋、地下停车库1座。辅助设施包括：安保监控室1间、配电间7间。办公场所出入口2个，其中主出入口1个，辅助出入口1个。</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（二）服务标准</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p>
    <w:p>
      <w:pPr>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p>
    <w:tbl>
      <w:tblPr>
        <w:tblStyle w:val="995"/>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序号</w:t>
            </w:r>
            <w:r/>
          </w:p>
        </w:tc>
        <w:tc>
          <w:tcPr>
            <w:tcW w:w="1402"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名称</w:t>
            </w:r>
            <w:r/>
          </w:p>
        </w:tc>
        <w:tc>
          <w:tcPr>
            <w:tcW w:w="416"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数量</w:t>
            </w:r>
            <w:r/>
          </w:p>
        </w:tc>
        <w:tc>
          <w:tcPr>
            <w:tcW w:w="422"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单位</w:t>
            </w:r>
            <w:r/>
          </w:p>
        </w:tc>
        <w:tc>
          <w:tcPr>
            <w:tcW w:w="1061"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hint="eastAsia" w:ascii="宋体" w:hAnsi="宋体" w:eastAsia="宋体" w:cs="Times New Roman"/>
                <w:sz w:val="24"/>
                <w:szCs w:val="24"/>
                <w:highlight w:val="none"/>
                <w:lang w:val="en-US" w:eastAsia="zh-CN"/>
              </w:rPr>
              <w:t xml:space="preserve">中小企业划分标准</w:t>
            </w:r>
            <w:r>
              <w:rPr>
                <w:rStyle w:val="696"/>
                <w:rFonts w:ascii="宋体" w:hAnsi="宋体" w:eastAsia="宋体" w:cs="Times New Roman"/>
                <w:sz w:val="24"/>
                <w:szCs w:val="24"/>
                <w:highlight w:val="none"/>
              </w:rPr>
              <w:t xml:space="preserve">所属行业</w:t>
            </w:r>
            <w:r/>
          </w:p>
        </w:tc>
        <w:tc>
          <w:tcPr>
            <w:tcW w:w="566" w:type="dxa"/>
            <w:vAlign w:val="center"/>
            <w:textDirection w:val="lrTb"/>
            <w:noWrap w:val="false"/>
          </w:tcPr>
          <w:p>
            <w:pPr>
              <w:jc w:val="center"/>
              <w:keepLines w:val="0"/>
              <w:keepNext w:val="0"/>
              <w:pageBreakBefore w:val="0"/>
              <w:spacing w:line="240" w:lineRule="auto"/>
              <w:widowControl w:val="off"/>
              <w:rPr>
                <w:rStyle w:val="696"/>
                <w:rFonts w:ascii="宋体" w:hAnsi="宋体" w:eastAsia="宋体"/>
                <w:sz w:val="24"/>
                <w:szCs w:val="24"/>
                <w:highlight w:val="none"/>
              </w:rPr>
            </w:pPr>
            <w:r>
              <w:rPr>
                <w:rStyle w:val="696"/>
                <w:rFonts w:cs="Times New Roman"/>
                <w:color w:val="000000"/>
                <w:sz w:val="24"/>
                <w:szCs w:val="24"/>
                <w:highlight w:val="none"/>
              </w:rPr>
              <w:t xml:space="preserve">属性</w:t>
            </w:r>
            <w:r/>
          </w:p>
        </w:tc>
        <w:tc>
          <w:tcPr>
            <w:tcW w:w="710"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Style w:val="696"/>
                <w:rFonts w:ascii="宋体" w:hAnsi="宋体" w:eastAsia="宋体" w:cs="Times New Roman"/>
                <w:sz w:val="24"/>
                <w:szCs w:val="24"/>
                <w:highlight w:val="none"/>
              </w:rPr>
              <w:t xml:space="preserve">备注</w:t>
            </w:r>
            <w:r/>
          </w:p>
        </w:tc>
      </w:tr>
      <w:tr>
        <w:trPr>
          <w:trHeight w:val="597"/>
        </w:trPr>
        <w:tc>
          <w:tcPr>
            <w:tcW w:w="420"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p>
        </w:tc>
        <w:tc>
          <w:tcPr>
            <w:tcW w:w="1402" w:type="dxa"/>
            <w:vAlign w:val="center"/>
            <w:textDirection w:val="lrTb"/>
            <w:noWrap w:val="false"/>
          </w:tcPr>
          <w:p>
            <w:pPr>
              <w:jc w:val="both"/>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p>
        </w:tc>
        <w:tc>
          <w:tcPr>
            <w:tcW w:w="416"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p>
        </w:tc>
        <w:tc>
          <w:tcPr>
            <w:tcW w:w="422"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p>
        </w:tc>
        <w:tc>
          <w:tcPr>
            <w:tcW w:w="1061"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p>
        </w:tc>
        <w:tc>
          <w:tcPr>
            <w:tcW w:w="5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p>
        </w:tc>
        <w:tc>
          <w:tcPr>
            <w:tcW w:w="710" w:type="dxa"/>
            <w:vAlign w:val="center"/>
            <w:textDirection w:val="lrTb"/>
            <w:noWrap w:val="false"/>
          </w:tcPr>
          <w:p>
            <w:pPr>
              <w:jc w:val="center"/>
              <w:spacing w:line="240" w:lineRule="auto"/>
              <w:widowControl w:val="off"/>
              <w:rPr>
                <w:rStyle w:val="69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p>
    <w:p>
      <w:pPr>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1.服务要求</w:t>
      </w:r>
      <w:r/>
    </w:p>
    <w:tbl>
      <w:tblPr>
        <w:tblStyle w:val="737"/>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jc w:val="left"/>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服务内容</w:t>
            </w:r>
            <w:r>
              <w:rPr>
                <w:rFonts w:hint="eastAsia" w:ascii="宋体" w:hAnsi="宋体" w:eastAsia="宋体" w:cs="宋体"/>
                <w:b w:val="0"/>
                <w:bCs w:val="0"/>
                <w:color w:val="000000"/>
                <w:sz w:val="24"/>
                <w:szCs w:val="24"/>
                <w:highlight w:val="none"/>
                <w:lang w:val="en-US" w:eastAsia="zh-CN" w:bidi="ar-SA"/>
              </w:rPr>
              <w:t xml:space="preserve">包括基础物业服务（南楼内部）及公共配套服务（建筑外部公共区域）两部分</w:t>
            </w:r>
            <w:r>
              <w:rPr>
                <w:rFonts w:hint="eastAsia" w:ascii="宋体" w:hAnsi="宋体" w:cs="宋体"/>
                <w:b w:val="0"/>
                <w:bCs w:val="0"/>
                <w:color w:val="000000"/>
                <w:sz w:val="24"/>
                <w:szCs w:val="24"/>
                <w:highlight w:val="none"/>
                <w:lang w:val="en-US" w:eastAsia="zh-CN" w:bidi="ar-SA"/>
              </w:rPr>
              <w:t xml:space="preserve">。</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（一）基础物业服务</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6" w:name="heading_5"/>
            <w:r>
              <w:rPr>
                <w:rFonts w:hint="eastAsia" w:ascii="宋体" w:hAnsi="宋体" w:eastAsia="宋体" w:cs="宋体"/>
                <w:b w:val="0"/>
                <w:bCs w:val="0"/>
                <w:color w:val="000000"/>
                <w:sz w:val="24"/>
                <w:szCs w:val="24"/>
                <w:highlight w:val="none"/>
                <w:lang w:val="en-US" w:eastAsia="zh-CN" w:bidi="ar-SA"/>
              </w:rPr>
              <w:t xml:space="preserve">1.环境保洁服务</w:t>
            </w:r>
            <w:bookmarkEnd w:id="186"/>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常态化开展办公区、公共通道、楼梯间、电梯轿厢、地下车库、楼宇外围全域保洁作业，细化各区域保洁频次、标准及流程，全方位保障楼宇环境卫生整洁，确保所有公共区域无杂物、无顽固污渍、无异味、无积灰、无乱贴乱画。办公区公共地面、走廊通道实行每日2次全面清扫、循环拖拭保洁，墙面、踢脚线、公共门窗、宣传栏、标识标牌每周开展2次除尘擦拭作业，玻璃幕墙、玻璃窗每周1次深度清洁，做到表面通透、无手印、无水印、无灰尘堆积。楼梯间台阶、扶手、楼道墙面每日清扫除尘，楼梯扶手定时擦拭消毒，楼道角落、缝隙</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清理，杜绝蛛网、积灰、杂物堆积。</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卫生间实行标准化精细化保洁，执行每小时常规清理、上下班及会议高峰时段每半小时专项清洁的作业标准，全程保障地面干燥防滑、洁具洁净无水渍污渍、台面整洁无杂物。每日定时补充卫生纸、洗手液、香薰等耗材，垃圾桶实时巡查，杜绝满溢，每日闭馆后对卫生间全域进行深度清洁、消杀消毒作业。电梯轿厢每日开展地面拖拭、内壁除尘、按键及扶手消毒工作，电梯门、轿厢顶部、通风风口每周深度清洁除垢，候梯厅地面、墙面、踢脚线每日常态化保洁，保持全域干净整洁。</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地下车库实行分级保洁管控，每日完成全域地面拖地保洁作业，每2小时安排保洁人员巡回巡查，及时捡拾清理散落垃圾、杂物、烟头，重点清理车位缝隙、车道角落垃圾。车库立柱、墙面、标识标线、挡车器每周除尘清洁，排水沟、集水井每月清理疏通，杜绝积水、积泥、杂物堵塞问题。楼宇外围道路、广场、绿化带、出入口区域每日全面清扫，落叶、生活垃圾、漂浮杂物随产随清，雨水井、排水口每周巡查清理，雨季、大风天气加密保洁频次。</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严格落实垃圾分类清运制度，规范设置分类垃圾桶，桶体每日清洗消毒、摆放整齐，无污渍、无异味、无油污。生活垃圾实现日产日清，清运过程密闭规范，杜绝垃圾散落、二次污染，垃圾清运及时率、分类合规率均达到100%。雨雪天气及时开展应急保洁作业，铺设防滑垫、放置警示标识，快速清扫积水、积雪、结冰，保障通行安全；重大活动、迎检接待前完成全域深度保洁，活动结束后第一时间复原环境卫生。</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7" w:name="heading_6"/>
            <w:r>
              <w:rPr>
                <w:rFonts w:hint="eastAsia" w:ascii="宋体" w:hAnsi="宋体" w:eastAsia="宋体" w:cs="宋体"/>
                <w:b w:val="0"/>
                <w:bCs w:val="0"/>
                <w:color w:val="000000"/>
                <w:sz w:val="24"/>
                <w:szCs w:val="24"/>
                <w:highlight w:val="none"/>
                <w:lang w:val="en-US" w:eastAsia="zh-CN" w:bidi="ar-SA"/>
              </w:rPr>
              <w:t xml:space="preserve">2.秩序安保服务</w:t>
            </w:r>
            <w:bookmarkEnd w:id="187"/>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实行24小时不间断无死角门岗执勤制度，安保人员全程持证上岗、着装规范、文明执勤，严格执行人员、车辆进出实名登记、核验管控制度，细致核查来访人员身份、来访事由，严控无关人员、外来车辆随意进出楼宇，杜绝闲散人员逗留。严格落实物品出入管控，大件物资、贵重物品外出必须核验出门凭证，登记备案后方可放行，筑牢楼宇安全防线。</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安保巡逻岗严格执行每2小时全域巡逻打点制度，巡逻范围覆盖楼宇所有楼层、公共通道、消防楼梯、设备机房、地下车库、楼宇外围、出入口等全部区域，巡逻过程中重点排查消防安全隐患、治安隐患、设施破损隐患，细致检查消防通道是否畅通、消防器材是否完好、门窗锁具是否正常、有无可疑人员及异常情况，每次巡逻全程留存完整文字及点位记录，台账可追溯、可查验。夜间时段加密巡逻频次，重点强化地下车库、偏僻通道、外围区域的安全防控。</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内部区域常态化安全巡查。每日不定时巡查办公区域，重点排查违规用电、私拉乱接线路、违规使用大功率电器、明火作业、堵塞消防通道、堆放易燃易爆杂物、违规改造装修等违规行为。发现违规问题第一时间现场劝阻、纠正整改，拒不整改或存在重大安全隐患的，立即上报</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并登记备案，全程跟踪隐患整改闭环，全力维护楼宇公共秩序与消防安全环境。</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规范化开展停车场秩序管理工作，定时巡查车场全域，引导进出车辆规范通行、有序停放，杜绝车辆乱停乱放、占用消防通道、堵塞车道、压线停车等问题，及时处置车辆拥堵、剐蹭纠纷、逃费等突发情况，保障车场通行顺畅、秩序井然。</w:t>
            </w:r>
            <w:r>
              <w:rPr>
                <w:rFonts w:hint="eastAsia" w:ascii="宋体" w:hAnsi="宋体" w:cs="宋体"/>
                <w:b w:val="0"/>
                <w:bCs w:val="0"/>
                <w:color w:val="000000"/>
                <w:sz w:val="24"/>
                <w:szCs w:val="24"/>
                <w:highlight w:val="none"/>
                <w:lang w:val="en-US" w:eastAsia="zh-CN" w:bidi="ar-SA"/>
              </w:rPr>
              <w:t xml:space="preserve">每周检查两次</w:t>
            </w:r>
            <w:r>
              <w:rPr>
                <w:rFonts w:hint="eastAsia" w:ascii="宋体" w:hAnsi="宋体" w:eastAsia="宋体" w:cs="宋体"/>
                <w:b w:val="0"/>
                <w:bCs w:val="0"/>
                <w:color w:val="000000"/>
                <w:sz w:val="24"/>
                <w:szCs w:val="24"/>
                <w:highlight w:val="none"/>
                <w:lang w:val="en-US" w:eastAsia="zh-CN" w:bidi="ar-SA"/>
              </w:rPr>
              <w:t xml:space="preserve">车位标识、交通导视标识、减速带、道闸设备完好状态，发现破损、模糊、故障问题及时上报处理。</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（5）建立完善的突发事件快速响应处置机制，针对火灾、设备故障、治安纠纷、人员受伤、极端天气、突发隐患</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上访人员等各类紧急情况，接到预警或报备信息后立即到场处置，第一时间控制现场、排查隐患、上报情况，全程配合</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及公安、消防、应急等相关部门完成应急处置工作，事后完整整理留存处置台账、影像资料、记录文件，确保处置流程规范、资料齐全闭环。</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工程维修</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建立高效快速的报修响应机制，开通线上、线下双向报修渠道，公示报修流程及联系方式，日常公共设施、设备报修15分钟内工作人员到场核查、处置，一般性故障当场维修解决，维修合格率100%。针对复杂故障、无法</w:t>
            </w:r>
            <w:r>
              <w:rPr>
                <w:rFonts w:hint="eastAsia" w:ascii="宋体" w:hAnsi="宋体" w:cs="宋体"/>
                <w:b w:val="0"/>
                <w:bCs w:val="0"/>
                <w:color w:val="000000"/>
                <w:sz w:val="24"/>
                <w:szCs w:val="24"/>
                <w:highlight w:val="none"/>
                <w:lang w:val="en-US" w:eastAsia="zh-CN" w:bidi="ar-SA"/>
              </w:rPr>
              <w:t xml:space="preserve">及时</w:t>
            </w:r>
            <w:r>
              <w:rPr>
                <w:rFonts w:hint="eastAsia" w:ascii="宋体" w:hAnsi="宋体" w:eastAsia="宋体" w:cs="宋体"/>
                <w:b w:val="0"/>
                <w:bCs w:val="0"/>
                <w:color w:val="000000"/>
                <w:sz w:val="24"/>
                <w:szCs w:val="24"/>
                <w:highlight w:val="none"/>
                <w:lang w:val="en-US" w:eastAsia="zh-CN" w:bidi="ar-SA"/>
              </w:rPr>
              <w:t xml:space="preserve">修复的问题，第一时间向</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如实告知故障情况、维修方案、所需耗材</w:t>
            </w:r>
            <w:r>
              <w:rPr>
                <w:rFonts w:hint="eastAsia" w:ascii="宋体" w:hAnsi="宋体" w:cs="宋体"/>
                <w:b w:val="0"/>
                <w:bCs w:val="0"/>
                <w:color w:val="000000"/>
                <w:sz w:val="24"/>
                <w:szCs w:val="24"/>
                <w:highlight w:val="none"/>
                <w:lang w:val="en-US" w:eastAsia="zh-CN" w:bidi="ar-SA"/>
              </w:rPr>
              <w:t xml:space="preserve">并</w:t>
            </w:r>
            <w:r>
              <w:rPr>
                <w:rFonts w:hint="eastAsia" w:ascii="宋体" w:hAnsi="宋体" w:eastAsia="宋体" w:cs="宋体"/>
                <w:b w:val="0"/>
                <w:bCs w:val="0"/>
                <w:color w:val="000000"/>
                <w:sz w:val="24"/>
                <w:szCs w:val="24"/>
                <w:highlight w:val="none"/>
                <w:lang w:val="en-US" w:eastAsia="zh-CN" w:bidi="ar-SA"/>
              </w:rPr>
              <w:t xml:space="preserve">明确完成时限，全程跟进维修进度，定时同步更新处置情况，维修完成后主动回访核验，确保问题彻底闭环。</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配电房持证专人负责制度，人员严格遵守配电操作规范，实时常态化监测高低压配电设备、线路、仪表运行状态，每2小时记录一次设备运行参数、电压电流、温度数据，细致排查设备异响、发热、漏电、过载等异常隐患，全程保障楼宇整体用电安全。</w:t>
            </w:r>
            <w:r>
              <w:rPr>
                <w:rFonts w:hint="eastAsia" w:ascii="宋体" w:hAnsi="宋体" w:cs="宋体"/>
                <w:b w:val="0"/>
                <w:bCs w:val="0"/>
                <w:color w:val="000000"/>
                <w:sz w:val="24"/>
                <w:szCs w:val="24"/>
                <w:highlight w:val="none"/>
                <w:lang w:val="en-US" w:eastAsia="zh-CN" w:bidi="ar-SA"/>
              </w:rPr>
              <w:t xml:space="preserve">每周</w:t>
            </w:r>
            <w:r>
              <w:rPr>
                <w:rFonts w:hint="eastAsia" w:ascii="宋体" w:hAnsi="宋体" w:eastAsia="宋体" w:cs="宋体"/>
                <w:b w:val="0"/>
                <w:bCs w:val="0"/>
                <w:color w:val="000000"/>
                <w:sz w:val="24"/>
                <w:szCs w:val="24"/>
                <w:highlight w:val="none"/>
                <w:lang w:val="en-US" w:eastAsia="zh-CN" w:bidi="ar-SA"/>
              </w:rPr>
              <w:t xml:space="preserve">开展配电房清洁、除尘、防潮作业，严格落实配电房防火、防水、防鼠、防尘管控，杜绝违规操作，保障供电系统稳定运行。</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常态化公共设施巡检机制，每周对楼宇公共灯具、门窗、五金配件、扶手、开关、插座、水龙头、排水管网、楼道设施等开展全覆盖、无死角巡检，精准排查各类小型故障、破损隐患，对松动、损坏、老化的设施配件及时维修、更换、加固，做到小故障不过夜、隐患及时清零，所有巡检、维修、更换工作均详细登记，完善标准化台账档案。</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主动对接、全力配合各类专业维保单位开展电梯、消防、空调、智能化等大型设备的专项维保、检测及年检工作，全程做好现场监督、安全管控、流程协调工作，细致核对维保内容、作业流程，协助做好设备参数记录、维保结果确认、资料整理归档，确保大型设备维保工作合规落地、保质完成。同时做好楼宇节能管控，</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排查跑冒滴漏、长明灯、空转耗能等问题，有效降低楼宇运维能耗。</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8" w:name="heading_8"/>
            <w:r>
              <w:rPr>
                <w:rFonts w:hint="eastAsia" w:ascii="宋体" w:hAnsi="宋体" w:eastAsia="宋体" w:cs="宋体"/>
                <w:b w:val="0"/>
                <w:bCs w:val="0"/>
                <w:color w:val="000000"/>
                <w:sz w:val="24"/>
                <w:szCs w:val="24"/>
                <w:highlight w:val="none"/>
                <w:lang w:val="en-US" w:eastAsia="zh-CN" w:bidi="ar-SA"/>
              </w:rPr>
              <w:t xml:space="preserve">4.会务与客服服务</w:t>
            </w:r>
            <w:bookmarkEnd w:id="188"/>
            <w:r>
              <w:rPr>
                <w:rFonts w:hint="eastAsia" w:ascii="宋体" w:hAnsi="宋体" w:eastAsia="宋体" w:cs="宋体"/>
                <w:b w:val="0"/>
                <w:bCs w:val="0"/>
                <w:color w:val="000000"/>
                <w:sz w:val="24"/>
                <w:szCs w:val="24"/>
                <w:highlight w:val="none"/>
                <w:lang w:val="en-US" w:eastAsia="zh-CN" w:bidi="ar-SA"/>
              </w:rPr>
              <w:t xml:space="preserve">（主要指项目二层宁海hui客厅）</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标准化、精细化开展会务保障全流程工作，会前提前1小时抵达会场，完成桌椅规整摆放、会场卫生清理、绿植摆放、横幅标识张贴、灯光音响、投影设备、麦克风等会议设备全面调试，并做好大屏后台技术支持保障工作，提前调控会场温度、通风环境，备好茶水、会务用品，确保会前全部准备到位。</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（2）会中安排专人全程值守，提供不间断茶水续添、设备值守、秩序维护服务，实时处理会议期间各类突发问题，保障会议顺利开展。</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（3）会后30分钟内完成会场全面清场、垃圾清运、桌椅复位、设备关闭、场地复原工作，快速恢复会场原貌，做好会后场地检查、卫生收尾工作。</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遇临时性接待任务，规范开展来访接待、人员引导、信息传达、咨询解答等客服工作，接待人员着装规范、用语文明、服务热情，严格落实来访登记、预约核实、人员引导制度，精准传达各类通知、信息，高效解答来访人员咨询问题，树立良好楼宇服务形象。</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9" w:name="heading_9"/>
            <w:r>
              <w:rPr>
                <w:rFonts w:hint="eastAsia" w:ascii="宋体" w:hAnsi="宋体" w:eastAsia="宋体" w:cs="宋体"/>
                <w:b w:val="0"/>
                <w:bCs w:val="0"/>
                <w:color w:val="000000"/>
                <w:sz w:val="24"/>
                <w:szCs w:val="24"/>
                <w:highlight w:val="none"/>
                <w:lang w:val="en-US" w:eastAsia="zh-CN" w:bidi="ar-SA"/>
              </w:rPr>
              <w:t xml:space="preserve">5.租户管理服务</w:t>
            </w:r>
            <w:bookmarkEnd w:id="189"/>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根据《物业管理条例》、《民法典》以及街道的相关要求，制定《宁美大楼入驻手册》并在租户入驻时提供，主要内容应当包括：物业联系方式、公共区域使用规则、消防安全、垃圾投放以及物业费、水电费缴纳的时间、标准和计算方式等重要事项。</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要求租户签订《装修管理须知》，同时在装修前审核装修方案，报业主批准。装修过程中严控三条红线：一是装修时间必须严格按照法律规定，并根据办公、会务需要，及时中止噪音作业；二是建筑垃圾必须袋装，堆放在指定地点；三是严禁破坏承重墙，</w:t>
            </w:r>
            <w:r>
              <w:rPr>
                <w:rFonts w:hint="eastAsia" w:ascii="宋体" w:hAnsi="宋体" w:cs="宋体"/>
                <w:b w:val="0"/>
                <w:bCs w:val="0"/>
                <w:color w:val="000000"/>
                <w:sz w:val="24"/>
                <w:szCs w:val="24"/>
                <w:highlight w:val="none"/>
                <w:lang w:val="en-US" w:eastAsia="zh-CN" w:bidi="ar-SA"/>
              </w:rPr>
              <w:t xml:space="preserve">涉及</w:t>
            </w:r>
            <w:r>
              <w:rPr>
                <w:rFonts w:hint="eastAsia" w:ascii="宋体" w:hAnsi="宋体" w:eastAsia="宋体" w:cs="宋体"/>
                <w:b w:val="0"/>
                <w:bCs w:val="0"/>
                <w:color w:val="000000"/>
                <w:sz w:val="24"/>
                <w:szCs w:val="24"/>
                <w:highlight w:val="none"/>
                <w:lang w:val="en-US" w:eastAsia="zh-CN" w:bidi="ar-SA"/>
              </w:rPr>
              <w:t xml:space="preserve">公共区域及内部墙顶地面施工，要提前报备，在征得业主书面同意后方允许施工。物业企业要派专人定时检查三条红线落实情况。</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（3）建立常态化租户沟通机制，</w:t>
            </w:r>
            <w:r>
              <w:rPr>
                <w:rFonts w:hint="eastAsia" w:ascii="宋体" w:hAnsi="宋体" w:cs="宋体"/>
                <w:b w:val="0"/>
                <w:bCs w:val="0"/>
                <w:color w:val="000000"/>
                <w:sz w:val="24"/>
                <w:szCs w:val="24"/>
                <w:highlight w:val="none"/>
                <w:lang w:val="en-US" w:eastAsia="zh-CN" w:bidi="ar-SA"/>
              </w:rPr>
              <w:t xml:space="preserve">每月对</w:t>
            </w:r>
            <w:r>
              <w:rPr>
                <w:rFonts w:hint="eastAsia" w:ascii="宋体" w:hAnsi="宋体" w:eastAsia="宋体" w:cs="宋体"/>
                <w:b w:val="0"/>
                <w:bCs w:val="0"/>
                <w:color w:val="000000"/>
                <w:sz w:val="24"/>
                <w:szCs w:val="24"/>
                <w:highlight w:val="none"/>
                <w:lang w:val="en-US" w:eastAsia="zh-CN" w:bidi="ar-SA"/>
              </w:rPr>
              <w:t xml:space="preserve">接租户，收集服务意见、需求及改进建议，及时反馈服务优化结果，针对性优化服务细节，持续提升租户物业服务体验。</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6.收费管理</w:t>
            </w:r>
            <w:r/>
          </w:p>
          <w:p>
            <w:pPr>
              <w:jc w:val="left"/>
              <w:spacing w:after="0" w:line="24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（1）物业费。项目负一层</w:t>
            </w:r>
            <w:r>
              <w:rPr>
                <w:rFonts w:hint="eastAsia" w:ascii="宋体" w:hAnsi="宋体" w:cs="宋体"/>
                <w:b w:val="0"/>
                <w:bCs w:val="0"/>
                <w:color w:val="000000"/>
                <w:sz w:val="24"/>
                <w:szCs w:val="24"/>
                <w:highlight w:val="none"/>
                <w:lang w:val="en-US" w:eastAsia="zh-CN" w:bidi="ar-SA"/>
              </w:rPr>
              <w:t xml:space="preserve">至</w:t>
            </w:r>
            <w:r>
              <w:rPr>
                <w:rFonts w:hint="eastAsia" w:ascii="宋体" w:hAnsi="宋体" w:eastAsia="宋体" w:cs="宋体"/>
                <w:b w:val="0"/>
                <w:bCs w:val="0"/>
                <w:color w:val="000000"/>
                <w:sz w:val="24"/>
                <w:szCs w:val="24"/>
                <w:highlight w:val="none"/>
                <w:lang w:val="en-US" w:eastAsia="zh-CN" w:bidi="ar-SA"/>
              </w:rPr>
              <w:t xml:space="preserve">地上四层，非我街道使用的区域均为物业费收费区域，地上部分物业费为6元/平方米、负一层8元/平方米。物业服务企业在入场后，</w:t>
            </w:r>
            <w:r>
              <w:rPr>
                <w:rFonts w:hint="eastAsia" w:ascii="宋体" w:hAnsi="宋体" w:cs="宋体"/>
                <w:b w:val="0"/>
                <w:bCs w:val="0"/>
                <w:color w:val="000000"/>
                <w:sz w:val="24"/>
                <w:szCs w:val="24"/>
                <w:highlight w:val="none"/>
                <w:lang w:val="en-US" w:eastAsia="zh-CN" w:bidi="ar-SA"/>
              </w:rPr>
              <w:t xml:space="preserve">需代收物业费。</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水电费。代收租户能源费，每月固定时间精准完成全域租户水电表实地抄录、数据核对、费用核算工作，确保数据零误差、核算零差错。及时整理生成缴费清单，精准推送缴费通知，明确缴费时限及流程，规范做好费用收缴、核对、上缴工作，建立一户一档水电缴费台账，全程记录抄表数据、缴费情况、欠费催缴记录，账目清晰、资料完整可查。</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）宁海hui客厅服务费。会议室对外使用时，可收取每次不低于1200元的服务费，物业企业应当与场地使用单位签订服务协议并代为收取。</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）新能源充电桩</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代收停车场新能源充电桩服务费。</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0" w:name="heading_15"/>
            <w:r>
              <w:rPr>
                <w:rFonts w:hint="eastAsia" w:ascii="宋体" w:hAnsi="宋体" w:eastAsia="宋体" w:cs="宋体"/>
                <w:b w:val="0"/>
                <w:bCs w:val="0"/>
                <w:color w:val="000000"/>
                <w:sz w:val="24"/>
                <w:szCs w:val="24"/>
                <w:highlight w:val="none"/>
                <w:lang w:val="en-US" w:eastAsia="zh-CN" w:bidi="ar-SA"/>
              </w:rPr>
              <w:t xml:space="preserve">（二）公共配套服务</w:t>
            </w:r>
            <w:bookmarkEnd w:id="190"/>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物业服务企业除提供红线范围内的公共配套服务以外，应当根据城市管理要求，严格落实“门前三包”规定。</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1" w:name="heading_16"/>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cs="宋体"/>
                <w:b w:val="0"/>
                <w:bCs w:val="0"/>
                <w:color w:val="000000"/>
                <w:sz w:val="24"/>
                <w:szCs w:val="24"/>
                <w:highlight w:val="none"/>
                <w:lang w:val="en-US" w:eastAsia="zh-CN" w:bidi="ar-SA"/>
              </w:rPr>
              <w:t xml:space="preserve">雨污水管网清淤</w:t>
            </w:r>
            <w:bookmarkEnd w:id="191"/>
            <w:r>
              <w:rPr>
                <w:rFonts w:hint="eastAsia" w:ascii="宋体" w:hAnsi="宋体" w:eastAsia="宋体" w:cs="宋体"/>
                <w:b w:val="0"/>
                <w:bCs w:val="0"/>
                <w:color w:val="000000"/>
                <w:sz w:val="24"/>
                <w:szCs w:val="24"/>
                <w:highlight w:val="none"/>
                <w:lang w:val="en-US" w:eastAsia="zh-CN" w:bidi="ar-SA"/>
              </w:rPr>
              <w:t xml:space="preserve">及油污分离房管理</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每年</w:t>
            </w:r>
            <w:r>
              <w:rPr>
                <w:rFonts w:hint="eastAsia" w:ascii="宋体" w:hAnsi="宋体" w:cs="宋体"/>
                <w:b w:val="0"/>
                <w:bCs w:val="0"/>
                <w:color w:val="000000"/>
                <w:sz w:val="24"/>
                <w:szCs w:val="24"/>
                <w:highlight w:val="none"/>
                <w:lang w:val="en-US" w:eastAsia="zh-CN" w:bidi="ar-SA"/>
              </w:rPr>
              <w:t xml:space="preserve">两次</w:t>
            </w:r>
            <w:r>
              <w:rPr>
                <w:rFonts w:hint="eastAsia" w:ascii="宋体" w:hAnsi="宋体" w:eastAsia="宋体" w:cs="宋体"/>
                <w:b w:val="0"/>
                <w:bCs w:val="0"/>
                <w:color w:val="000000"/>
                <w:sz w:val="24"/>
                <w:szCs w:val="24"/>
                <w:highlight w:val="none"/>
                <w:lang w:val="en-US" w:eastAsia="zh-CN" w:bidi="ar-SA"/>
              </w:rPr>
              <w:t xml:space="preserve">委托具备正规资质的专业机构，完成楼宇全域污水井、排污管道的全面清掏、疏通、清洗作业。作业前规范设置安全围挡、警示标识，做好现场安全防护，杜绝作业安全隐患；作业过程中彻底清理池内淤泥、杂物、沉淀物，全面疏通排污管道，杜绝管道堵塞、污水淤积问题，重点清理检查井、管道淤积物，确保排水畅通，并做好清淤记录及验收工作。作业完成后对作业区域进行全面冲洗、消毒除臭，清理所有作业垃圾，恢复场地原貌，确保排污系统全程畅通、无堵塞、无积水、无异味、无渗漏，作业完成后留存完整作业影像、台账及验收记录。每天安排专人检查负一层油</w:t>
            </w:r>
            <w:r>
              <w:rPr>
                <w:rFonts w:hint="eastAsia" w:ascii="宋体" w:hAnsi="宋体" w:cs="宋体"/>
                <w:b w:val="0"/>
                <w:bCs w:val="0"/>
                <w:color w:val="000000"/>
                <w:sz w:val="24"/>
                <w:szCs w:val="24"/>
                <w:highlight w:val="none"/>
                <w:lang w:val="en-US" w:eastAsia="zh-CN" w:bidi="ar-SA"/>
              </w:rPr>
              <w:t xml:space="preserve">污</w:t>
            </w:r>
            <w:r>
              <w:rPr>
                <w:rFonts w:hint="eastAsia" w:ascii="宋体" w:hAnsi="宋体" w:eastAsia="宋体" w:cs="宋体"/>
                <w:b w:val="0"/>
                <w:bCs w:val="0"/>
                <w:color w:val="000000"/>
                <w:sz w:val="24"/>
                <w:szCs w:val="24"/>
                <w:highlight w:val="none"/>
                <w:lang w:val="en-US" w:eastAsia="zh-CN" w:bidi="ar-SA"/>
              </w:rPr>
              <w:t xml:space="preserve">分离设备、管道运行情况，并及时清理收集桶，防止设备、管道故障或收集桶集满造成的污水漫溢。</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2" w:name="heading_17"/>
            <w:r>
              <w:rPr>
                <w:rFonts w:hint="eastAsia" w:ascii="宋体" w:hAnsi="宋体" w:eastAsia="宋体" w:cs="宋体"/>
                <w:b w:val="0"/>
                <w:bCs w:val="0"/>
                <w:color w:val="000000"/>
                <w:sz w:val="24"/>
                <w:szCs w:val="24"/>
                <w:highlight w:val="none"/>
                <w:lang w:val="en-US" w:eastAsia="zh-CN" w:bidi="ar-SA"/>
              </w:rPr>
              <w:t xml:space="preserve">2.除四害消杀</w:t>
            </w:r>
            <w:bookmarkEnd w:id="192"/>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严格按照季节特点实行差异化常态化消杀作业，精准防控鼠、蟑、蝇、蚊四类害虫滋生繁殖。春夏季（4-10月）为害虫高发期，实行每周1次楼宇全域无死角消杀作业；秋冬季（11-3月）害虫活跃度降低，实行每月1次全域常态化消杀。针对卫生间、垃圾收集点、食堂周边、地下车库、下水道口、绿化带、楼道角落等害虫易滋生重点区域，加密消杀频次、强化消杀力度，针对性投放合规消杀药剂、灭鼠器械。</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所有消杀作业选用符合国家卫生标准、无毒无害的消杀药剂，作业前提前做好告知警示，避开人员密集办公时段，作业后做好通风防护，杜绝药剂污染、人员影响。全程建立详细消杀台账，记录消杀时间、区域、药剂类型、作业人员、消杀效果，</w:t>
            </w:r>
            <w:r>
              <w:rPr>
                <w:rFonts w:hint="eastAsia" w:ascii="宋体" w:hAnsi="宋体" w:cs="宋体"/>
                <w:b w:val="0"/>
                <w:bCs w:val="0"/>
                <w:color w:val="000000"/>
                <w:sz w:val="24"/>
                <w:szCs w:val="24"/>
                <w:highlight w:val="none"/>
                <w:lang w:val="en-US" w:eastAsia="zh-CN" w:bidi="ar-SA"/>
              </w:rPr>
              <w:t xml:space="preserve">每月</w:t>
            </w:r>
            <w:r>
              <w:rPr>
                <w:rFonts w:hint="eastAsia" w:ascii="宋体" w:hAnsi="宋体" w:eastAsia="宋体" w:cs="宋体"/>
                <w:b w:val="0"/>
                <w:bCs w:val="0"/>
                <w:color w:val="000000"/>
                <w:sz w:val="24"/>
                <w:szCs w:val="24"/>
                <w:highlight w:val="none"/>
                <w:lang w:val="en-US" w:eastAsia="zh-CN" w:bidi="ar-SA"/>
              </w:rPr>
              <w:t xml:space="preserve">评估消杀成效，动态优化消杀方案，确保楼宇四害密度严格控制在国家标准范围内，无大面积虫害滋生问题。</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3" w:name="heading_18"/>
            <w:r>
              <w:rPr>
                <w:rFonts w:hint="eastAsia" w:ascii="宋体" w:hAnsi="宋体" w:eastAsia="宋体" w:cs="宋体"/>
                <w:b w:val="0"/>
                <w:bCs w:val="0"/>
                <w:color w:val="000000"/>
                <w:sz w:val="24"/>
                <w:szCs w:val="24"/>
                <w:highlight w:val="none"/>
                <w:lang w:val="en-US" w:eastAsia="zh-CN" w:bidi="ar-SA"/>
              </w:rPr>
              <w:t xml:space="preserve">3.避雷检测</w:t>
            </w:r>
            <w:bookmarkEnd w:id="193"/>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每年委托具备专业资质的第三方检测机构，对楼宇全套防雷装置开展全面、细致的安全检测，检测范围涵盖屋面避雷带、避雷针、接地装置、防雷引下线、设备防雷接地、配电防雷系统等所有配套设施。全面核验防雷装置完整性、有效性、接地电阻合规性，精准排查装置破损、老化、失效、接地不达标等安全隐患，检测完成后出具正规合法的检测报告。</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针对检测中发现的不合格、不达标部位，第一时间制定整改方案，快速完成维修、更换、整改作业，整改后申请复检，确保所有防雷装置完全符合国家防雷安全规范标准。全程积极配合住建、应急、气象等主管部门的专项检查、抽检工作，完整留存检测报告、整改台账、验收资料，全面保障楼宇防雷安全，杜绝雷击安全隐患。</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4" w:name="heading_19"/>
            <w:r>
              <w:rPr>
                <w:rFonts w:hint="eastAsia" w:ascii="宋体" w:hAnsi="宋体" w:eastAsia="宋体" w:cs="宋体"/>
                <w:b w:val="0"/>
                <w:bCs w:val="0"/>
                <w:color w:val="000000"/>
                <w:sz w:val="24"/>
                <w:szCs w:val="24"/>
                <w:highlight w:val="none"/>
                <w:lang w:val="en-US" w:eastAsia="zh-CN" w:bidi="ar-SA"/>
              </w:rPr>
              <w:t xml:space="preserve">4.生活饮用水检测</w:t>
            </w:r>
            <w:bookmarkEnd w:id="194"/>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每年定期委托具备CMA资质的专业检测机构，对楼宇供水管道水质开展专项全面检测，严格按照国家生活饮用水卫生标准，检测水质浑浊度、菌落总数、重金属、消毒残留等全部核心指标，确保饮用水各项指标达标、安全卫生。检测完成后及时获取正规检测报告，第一时间整理提交</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备案存档。</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cs="宋体"/>
                <w:b w:val="0"/>
                <w:bCs w:val="0"/>
                <w:color w:val="000000"/>
                <w:sz w:val="24"/>
                <w:szCs w:val="24"/>
                <w:highlight w:val="none"/>
                <w:lang w:val="en-US" w:eastAsia="zh-CN" w:bidi="ar-SA"/>
              </w:rPr>
              <w:t xml:space="preserve">每月</w:t>
            </w:r>
            <w:r>
              <w:rPr>
                <w:rFonts w:hint="eastAsia" w:ascii="宋体" w:hAnsi="宋体" w:eastAsia="宋体" w:cs="宋体"/>
                <w:b w:val="0"/>
                <w:bCs w:val="0"/>
                <w:color w:val="000000"/>
                <w:sz w:val="24"/>
                <w:szCs w:val="24"/>
                <w:highlight w:val="none"/>
                <w:lang w:val="en-US" w:eastAsia="zh-CN" w:bidi="ar-SA"/>
              </w:rPr>
              <w:t xml:space="preserve">排查供水管道老化、渗漏、二次污染隐患，全程保障楼宇生活饮用水安全、洁净、达标，切实守护办公人员饮水健康。</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5" w:name="heading_21"/>
            <w:r>
              <w:rPr>
                <w:rFonts w:hint="eastAsia" w:ascii="宋体" w:hAnsi="宋体" w:eastAsia="宋体" w:cs="宋体"/>
                <w:b w:val="0"/>
                <w:bCs w:val="0"/>
                <w:color w:val="000000"/>
                <w:sz w:val="24"/>
                <w:szCs w:val="24"/>
                <w:highlight w:val="none"/>
                <w:lang w:val="en-US" w:eastAsia="zh-CN" w:bidi="ar-SA"/>
              </w:rPr>
              <w:t xml:space="preserve">5.绿化养护服务</w:t>
            </w:r>
            <w:bookmarkEnd w:id="195"/>
            <w:r>
              <w:rPr>
                <w:rFonts w:hint="eastAsia" w:ascii="宋体" w:hAnsi="宋体" w:eastAsia="宋体" w:cs="宋体"/>
                <w:b w:val="0"/>
                <w:bCs w:val="0"/>
                <w:color w:val="000000"/>
                <w:sz w:val="24"/>
                <w:szCs w:val="24"/>
                <w:highlight w:val="none"/>
                <w:lang w:val="en-US" w:eastAsia="zh-CN" w:bidi="ar-SA"/>
              </w:rPr>
              <w:t xml:space="preserve">（包括外部公共区域及楼内绿化区域）</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（1）负责楼宇全域公共绿化区域日常养护工作，涵盖楼宇外围绿化带、公共绿植、景观花草、盆栽绿植等全部绿化品类，实行常态化、精细化养护管理。</w:t>
            </w:r>
            <w:r/>
          </w:p>
          <w:p>
            <w:pPr>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（2）严格按照季节气候开展科学浇灌养护，春夏生长旺季按需增加浇水频次，保障绿植水分充足、长势旺盛；秋冬季节适度控水、做好防冻防护。</w:t>
            </w:r>
            <w:r/>
          </w:p>
          <w:p>
            <w:pPr>
              <w:jc w:val="left"/>
              <w:spacing w:after="0" w:line="240" w:lineRule="auto"/>
              <w:widowControl w:val="off"/>
              <w:rPr>
                <w:rStyle w:val="696"/>
                <w:rFonts w:hint="eastAsia" w:ascii="Times New Roman" w:hAnsi="Times New Roman" w:eastAsia="宋体" w:cs="Times New Roman"/>
                <w:color w:val="000000"/>
                <w:sz w:val="21"/>
                <w:szCs w:val="21"/>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（3）建立绿植病虫害常态化防控机制，</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巡查绿植病虫害隐患，提前预防、及时发现、科学处置，选用合规低毒环保药剂开展消杀防治，杜绝大面积病虫害滋生导致绿植枯萎、黄叶、坏死等问题。</w:t>
            </w:r>
            <w:r/>
          </w:p>
        </w:tc>
      </w:tr>
    </w:tbl>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2.人员配备要求</w:t>
      </w:r>
      <w:r/>
    </w:p>
    <w:tbl>
      <w:tblPr>
        <w:tblStyle w:val="663"/>
        <w:tblW w:w="42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005"/>
        <w:gridCol w:w="1648"/>
        <w:gridCol w:w="1630"/>
        <w:gridCol w:w="4260"/>
      </w:tblGrid>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岗位</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配置人数</w:t>
            </w:r>
            <w:r/>
          </w:p>
        </w:tc>
        <w:tc>
          <w:tcPr>
            <w:tcMar>
              <w:left w:w="120" w:type="dxa"/>
              <w:top w:w="60" w:type="dxa"/>
              <w:right w:w="120" w:type="dxa"/>
              <w:bottom w:w="30" w:type="dxa"/>
            </w:tcMar>
            <w:tcW w:w="249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岗位</w:t>
            </w:r>
            <w:r>
              <w:rPr>
                <w:rFonts w:hint="eastAsia" w:ascii="宋体" w:hAnsi="宋体" w:eastAsia="宋体" w:cs="宋体"/>
                <w:b w:val="0"/>
                <w:bCs w:val="0"/>
                <w:color w:val="000000"/>
                <w:sz w:val="24"/>
                <w:szCs w:val="24"/>
                <w:highlight w:val="none"/>
                <w:lang w:val="en-US" w:eastAsia="zh-CN"/>
              </w:rPr>
              <w:t xml:space="preserve">要求及</w:t>
            </w:r>
            <w:r>
              <w:rPr>
                <w:rFonts w:hint="eastAsia" w:ascii="宋体" w:hAnsi="宋体" w:eastAsia="宋体" w:cs="宋体"/>
                <w:b w:val="0"/>
                <w:bCs w:val="0"/>
                <w:color w:val="000000"/>
                <w:sz w:val="24"/>
                <w:szCs w:val="24"/>
                <w:highlight w:val="none"/>
              </w:rPr>
              <w:t xml:space="preserve">职责</w:t>
            </w:r>
            <w:r/>
          </w:p>
        </w:tc>
      </w:tr>
      <w:tr>
        <w:trPr>
          <w:jc w:val="center"/>
          <w:trHeight w:val="102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法定退休年龄以下，本科及以上学历，熟悉物业管理法律法规、服务标准，</w:t>
            </w:r>
            <w:r>
              <w:rPr>
                <w:rFonts w:hint="eastAsia" w:ascii="宋体" w:hAnsi="宋体" w:eastAsia="宋体" w:cs="宋体"/>
                <w:color w:val="000000"/>
                <w:sz w:val="24"/>
                <w:szCs w:val="24"/>
                <w:highlight w:val="none"/>
              </w:rPr>
              <w:t xml:space="preserve">负责项目全面管理、</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对接、品质管控、各项服务工作统筹</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会务</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女性，35周岁以下，身高1.62m及以上，</w:t>
            </w:r>
            <w:r>
              <w:rPr>
                <w:rFonts w:hint="eastAsia" w:ascii="宋体" w:hAnsi="宋体" w:eastAsia="宋体" w:cs="宋体"/>
                <w:color w:val="000000"/>
                <w:sz w:val="24"/>
                <w:szCs w:val="24"/>
                <w:highlight w:val="none"/>
              </w:rPr>
              <w:t xml:space="preserve">形象气质良好，身体健康，五官端正，心理健康</w:t>
            </w:r>
            <w:r>
              <w:rPr>
                <w:rFonts w:hint="eastAsia" w:ascii="宋体" w:hAnsi="宋体" w:eastAsia="宋体" w:cs="宋体"/>
                <w:color w:val="000000"/>
                <w:sz w:val="24"/>
                <w:szCs w:val="24"/>
                <w:highlight w:val="none"/>
                <w:lang w:eastAsia="zh-CN"/>
              </w:rPr>
              <w:t xml:space="preserve">，负责</w:t>
            </w:r>
            <w:r>
              <w:rPr>
                <w:rFonts w:hint="eastAsia" w:ascii="宋体" w:hAnsi="宋体" w:eastAsia="宋体" w:cs="宋体"/>
                <w:color w:val="000000"/>
                <w:sz w:val="24"/>
                <w:szCs w:val="24"/>
                <w:highlight w:val="none"/>
              </w:rPr>
              <w:t xml:space="preserve">会议布置、茶水服务、设备操作、会后清场</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内勤</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女性，40周岁以下，大专及以上学历，有良好语言文字表达能力，有处理突发事件的经验，熟悉办公自动化。负责行政事务、台账管理、报表编制、费用统计核对、来访接待保障、协助会务服务工作</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女性，身体健康，</w:t>
            </w:r>
            <w:r>
              <w:rPr>
                <w:rFonts w:hint="eastAsia" w:ascii="宋体" w:hAnsi="宋体" w:eastAsia="宋体" w:cs="宋体"/>
                <w:color w:val="000000"/>
                <w:sz w:val="24"/>
                <w:szCs w:val="24"/>
                <w:highlight w:val="none"/>
              </w:rPr>
              <w:t xml:space="preserve">负责楼宇公共区域、卫生间、电梯、地下车库、外围区域日常保洁及全域消杀工作</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工程维修</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男性，</w:t>
            </w:r>
            <w:r>
              <w:rPr>
                <w:rFonts w:hint="eastAsia" w:ascii="宋体" w:hAnsi="宋体" w:eastAsia="宋体" w:cs="宋体"/>
                <w:color w:val="000000"/>
                <w:sz w:val="24"/>
                <w:szCs w:val="24"/>
                <w:highlight w:val="none"/>
              </w:rPr>
              <w:t xml:space="preserve">持</w:t>
            </w:r>
            <w:r>
              <w:rPr>
                <w:rFonts w:hint="eastAsia" w:ascii="宋体" w:hAnsi="宋体" w:eastAsia="宋体" w:cs="宋体"/>
                <w:color w:val="000000"/>
                <w:sz w:val="24"/>
                <w:szCs w:val="24"/>
                <w:highlight w:val="none"/>
                <w:lang w:eastAsia="zh-CN"/>
              </w:rPr>
              <w:t xml:space="preserve">有效期内特种作业操作证（</w:t>
            </w:r>
            <w:r>
              <w:rPr>
                <w:rFonts w:hint="eastAsia" w:ascii="宋体" w:hAnsi="宋体" w:eastAsia="宋体" w:cs="宋体"/>
                <w:color w:val="000000"/>
                <w:sz w:val="24"/>
                <w:szCs w:val="24"/>
                <w:highlight w:val="none"/>
                <w:lang w:val="en-US" w:eastAsia="zh-CN"/>
              </w:rPr>
              <w:t xml:space="preserve">低压电工作业）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具有两年及以上工程维修工作经验，</w:t>
            </w:r>
            <w:r>
              <w:rPr>
                <w:rFonts w:hint="eastAsia" w:ascii="宋体" w:hAnsi="宋体" w:eastAsia="宋体" w:cs="宋体"/>
                <w:color w:val="000000"/>
                <w:sz w:val="24"/>
                <w:szCs w:val="24"/>
                <w:highlight w:val="none"/>
              </w:rPr>
              <w:t xml:space="preserve">负责楼宇综合维修、配电房值守、公共设施巡检、小型故障排查处理</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监控/消防值班</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p>
        </w:tc>
        <w:tc>
          <w:tcPr>
            <w:tcMar>
              <w:left w:w="120" w:type="dxa"/>
              <w:top w:w="60" w:type="dxa"/>
              <w:right w:w="120" w:type="dxa"/>
              <w:bottom w:w="30" w:type="dxa"/>
            </w:tcMar>
            <w:tcW w:w="2493" w:type="dxa"/>
            <w:vAlign w:val="center"/>
            <w:textDirection w:val="lrTb"/>
            <w:noWrap w:val="false"/>
          </w:tcPr>
          <w:p>
            <w:pPr>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持消防设施操作员证</w:t>
            </w:r>
            <w:r>
              <w:rPr>
                <w:rFonts w:hint="eastAsia" w:ascii="宋体" w:hAnsi="宋体" w:eastAsia="宋体" w:cs="宋体"/>
                <w:color w:val="000000"/>
                <w:sz w:val="24"/>
                <w:szCs w:val="24"/>
                <w:highlight w:val="none"/>
                <w:lang w:eastAsia="zh-CN"/>
              </w:rPr>
              <w:t xml:space="preserve">（四级</w:t>
            </w:r>
            <w:r>
              <w:rPr>
                <w:rFonts w:hint="eastAsia" w:ascii="宋体" w:hAnsi="宋体" w:eastAsia="宋体" w:cs="宋体"/>
                <w:color w:val="000000"/>
                <w:sz w:val="24"/>
                <w:szCs w:val="24"/>
                <w:highlight w:val="none"/>
                <w:lang w:val="en-US" w:eastAsia="zh-CN"/>
              </w:rPr>
              <w:t xml:space="preserve">/中级工及以上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，实行24小时专人值守，负责监控巡查、消防系统值守、安全隐患排查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值班人员上岗时必须遵守“五不”，即不喝酒、不抽烟、不擅离工作岗位，不迟到早退，不做与工作无关的事</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安保秩序</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tcMar>
              <w:left w:w="120" w:type="dxa"/>
              <w:top w:w="60" w:type="dxa"/>
              <w:right w:w="120" w:type="dxa"/>
              <w:bottom w:w="30" w:type="dxa"/>
            </w:tcMar>
            <w:tcW w:w="2493" w:type="dxa"/>
            <w:vAlign w:val="center"/>
            <w:textDirection w:val="lrTb"/>
            <w:noWrap w:val="false"/>
          </w:tcPr>
          <w:p>
            <w:pPr>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男性，身高1.72m及以上；含安保队长1名；形象岗2人，40周岁以下，经过专业培训；其余人员主要负责门岗执勤、全域巡逻打点、车辆疏导、秩序维护、突发事件应急处置等；上岗前需提供无犯罪记录证明，安保人员应具有保安员证或保安员上岗证，身体健康、无文身、未患精神疾病，普通话标准、流利。具备较强的协调能力及应急处置能力</w:t>
            </w:r>
            <w:r/>
          </w:p>
        </w:tc>
      </w:tr>
      <w:tr>
        <w:trPr>
          <w:jc w:val="center"/>
          <w:trHeight w:val="90"/>
        </w:trPr>
        <w:tc>
          <w:tcPr>
            <w:tcMar>
              <w:left w:w="120" w:type="dxa"/>
              <w:top w:w="60" w:type="dxa"/>
              <w:right w:w="120" w:type="dxa"/>
              <w:bottom w:w="30" w:type="dxa"/>
            </w:tcMar>
            <w:tcW w:w="5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p>
        </w:tc>
        <w:tc>
          <w:tcPr>
            <w:tcMar>
              <w:left w:w="120" w:type="dxa"/>
              <w:top w:w="60" w:type="dxa"/>
              <w:right w:w="120" w:type="dxa"/>
              <w:bottom w:w="30" w:type="dxa"/>
            </w:tcMar>
            <w:tcW w:w="96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Mar>
              <w:left w:w="120" w:type="dxa"/>
              <w:top w:w="60" w:type="dxa"/>
              <w:right w:w="120" w:type="dxa"/>
              <w:bottom w:w="30" w:type="dxa"/>
            </w:tcMar>
            <w:tcW w:w="9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p>
        </w:tc>
        <w:tc>
          <w:tcPr>
            <w:tcMar>
              <w:left w:w="120" w:type="dxa"/>
              <w:top w:w="60" w:type="dxa"/>
              <w:right w:w="120" w:type="dxa"/>
              <w:bottom w:w="30" w:type="dxa"/>
            </w:tcMar>
            <w:tcW w:w="249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项目定岗配置专职服务人员不少于28人，所有特种作业岗位人员均持证上岗，保障楼宇24小时常态化物业服务。</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所有服务人员要求统一着装、持证上岗、尽职尽责、岗位职责明确。上班不迟到，不早退，不串岗、不闲谈、不干私事，认真履行岗位职责，服从管理，接受督促，及时整改。</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供应商拟入本次物业管理服务需要的各岗位人员未经采购人同意不得随意更换。供应商进场后须向采购人提供所有在职人员花名册，以便采购人核查人员。</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所有员工应无不良记录，无刑事犯罪记录，相貌端正，责任心强。供应商在签订合同时，须提供所有人员身份证、有效期内的无犯罪记录证明和健康证明。安保及保洁人员应无可能影响岗位履职的慢性病。供应商拟投入的服务人员须与供应商签订保密协议书，签订后统一将复印件归档，供采购人核查。</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人员上岗前应进行培训，培训内容包括法律法规、职业道德、岗位业务知识等，培训合格后方可上岗。凡国家有关法规规定必须持证上岗的，都应具有相应的资格证书。</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p>
    <w:tbl>
      <w:tblPr>
        <w:tblStyle w:val="737"/>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无传染性疾病。拟派驻的项目负责人、部门主管及其他人员不得同时在项目中兼任多职。</w:t>
            </w:r>
            <w:r/>
          </w:p>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须遵守相关法律法规中列明的有关消防安全及设备安全操作规范的要求。采购人有权指派代表对</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违反法律法规及影响采购人工作形象所造成的一切后果由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w:t>
            </w:r>
            <w:r/>
          </w:p>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不得利用服务区域内的采购人房产、物业、水电等资源从事经营活动，不能改变其使用性质。</w:t>
            </w:r>
            <w:r/>
          </w:p>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工作失职造成消防事故、失窃事件或其他财产损失和人身伤害，相关经济和法律责任均由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承担。若由采购人先行承担的，采购人在向</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追偿时还可一并主张相关合理费用（如律师费、公证费、诉讼费、执行费等）。</w:t>
            </w:r>
            <w:r/>
          </w:p>
          <w:p>
            <w:pPr>
              <w:jc w:val="left"/>
              <w:spacing w:after="0" w:line="240" w:lineRule="auto"/>
              <w:widowControl/>
              <w:rPr>
                <w:rStyle w:val="696"/>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工作人员的岗位职责、操作规范、人身安全、医疗、工资、各项保险、劳动工具、劳保用品、内部管理、各类纠纷等事宜及所涉及经费均由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自行负责。 </w:t>
            </w:r>
            <w:r/>
          </w:p>
          <w:p>
            <w:pPr>
              <w:jc w:val="left"/>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供应商负责配备用于物业管理服务的设备、机具、用具、易耗品（包括办公用品、安保器械、清洁耗材、工程维修用具）等，需满足服务实际需要以及采购人规定要求。</w:t>
            </w:r>
            <w:r/>
          </w:p>
          <w:p>
            <w:pPr>
              <w:jc w:val="left"/>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7.供应商所提供服务不满足本项目采购需求，应按照采购人要求无条件整改到位，若整改之后还不能满足要求的，采购人有权采取终止合同、索赔等措施。</w:t>
            </w:r>
            <w:r/>
          </w:p>
          <w:p>
            <w:pPr>
              <w:pStyle w:val="1007"/>
              <w:ind w:left="0" w:firstLine="0"/>
              <w:spacing w:after="0" w:line="240" w:lineRule="auto"/>
              <w:rPr>
                <w:color w:val="000000"/>
                <w:lang w:val="en-US" w:eastAsia="zh-CN"/>
              </w:rPr>
            </w:pPr>
            <w:r>
              <w:rPr>
                <w:rFonts w:hint="eastAsia" w:cs="宋体"/>
                <w:color w:val="000000"/>
                <w:sz w:val="24"/>
                <w:szCs w:val="24"/>
                <w:highlight w:val="none"/>
                <w:lang w:val="en-US" w:eastAsia="zh-CN" w:bidi="ar-SA"/>
              </w:rPr>
              <w:t xml:space="preserve">8.采购人有权审核供应商就本服务项目招录员工的工资性收入发放及员工社保费用缴纳的情况，包括但不限于员工工资性收入、按国家规定上缴的员工“五险一金 ”等，供应商须予以配合。</w:t>
            </w:r>
            <w:r/>
          </w:p>
        </w:tc>
      </w:tr>
    </w:tbl>
    <w:p>
      <w:pPr>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p>
    <w:p>
      <w:pPr>
        <w:numPr>
          <w:ilvl w:val="0"/>
          <w:numId w:val="0"/>
        </w:numPr>
        <w:ind w:firstLine="480"/>
        <w:jc w:val="both"/>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p>
    <w:p>
      <w:pPr>
        <w:numPr>
          <w:ilvl w:val="0"/>
          <w:numId w:val="0"/>
        </w:numPr>
        <w:ind w:firstLine="480"/>
        <w:jc w:val="both"/>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不少于6人</w:t>
      </w:r>
      <w:bookmarkStart w:id="196" w:name="OLE_LINK20"/>
      <w:r>
        <w:rPr>
          <w:rFonts w:hint="eastAsia" w:ascii="宋体" w:hAnsi="宋体" w:cs="宋体"/>
          <w:b/>
          <w:bCs/>
          <w:i w:val="0"/>
          <w:iCs w:val="0"/>
          <w:color w:val="000000"/>
          <w:sz w:val="24"/>
          <w:szCs w:val="24"/>
          <w:highlight w:val="none"/>
          <w:u w:val="none"/>
          <w:lang w:val="en-US" w:eastAsia="zh-CN"/>
        </w:rPr>
        <w:t xml:space="preserve">（包括工程维修岗位1人、保洁岗位1人、消防值班岗位2人、安保秩序岗位2人）</w:t>
      </w:r>
      <w:bookmarkEnd w:id="196"/>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p>
    <w:p>
      <w:pPr>
        <w:numPr>
          <w:ilvl w:val="0"/>
          <w:numId w:val="0"/>
        </w:numPr>
        <w:ind w:firstLine="482"/>
        <w:jc w:val="both"/>
        <w:spacing w:after="0" w:line="240" w:lineRule="auto"/>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本项目物业管理服务要求周末在岗人数不少于6人（涉及岗位：监控/消防值班），按照44天/年进行测算并报价。</w:t>
      </w:r>
      <w:r/>
    </w:p>
    <w:p>
      <w:pPr>
        <w:ind w:firstLine="480"/>
        <w:jc w:val="both"/>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p>
    <w:p>
      <w:pPr>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8" w:name="OLE_LINK9"/>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p>
    <w:p>
      <w:pPr>
        <w:ind w:firstLine="482"/>
        <w:jc w:val="both"/>
        <w:spacing w:after="0" w:line="240" w:lineRule="auto"/>
        <w:rPr>
          <w:rFonts w:hint="eastAsia" w:ascii="宋体" w:hAnsi="宋体" w:eastAsia="宋体" w:cs="宋体"/>
          <w:b/>
          <w:bCs/>
          <w:color w:val="000000"/>
          <w:sz w:val="24"/>
          <w:szCs w:val="24"/>
          <w:highlight w:val="none"/>
        </w:rPr>
      </w:pPr>
      <w:r/>
      <w:bookmarkStart w:id="19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bookmarkEnd w:id="198"/>
      <w:bookmarkEnd w:id="199"/>
      <w:r/>
    </w:p>
    <w:p>
      <w:pPr>
        <w:ind w:firstLine="482"/>
        <w:jc w:val="both"/>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p>
    <w:p>
      <w:pPr>
        <w:ind w:firstLine="482"/>
        <w:jc w:val="both"/>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（2）《投标分项报价表》中还需列明以下费用：</w:t>
      </w:r>
      <w:r/>
    </w:p>
    <w:p>
      <w:pPr>
        <w:pStyle w:val="664"/>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服装费。为规范办公区统一的员工形象，展现良好的精神面貌，供应商所有员工须统一穿着规定的工作服上岗。供应商需为拟投入管理人员配置标准制服2套，确保一洗一换。其他岗位人员应根据专业标准、季节变化配置至少2套工作服（含工作鞋），确保一洗一换，投标人可自行测算并考虑到投标报价中。</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②办公用品费、培训费、交通费、通讯费等。投标人应将服务过程中所涉及的办公用品费、培训费、交通费、通讯费等自行测算并考虑到投标报价中。</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③卫生保洁用品费。投标人应将服务过程中所有使用的卫生保洁用品费用，自行测算并考虑到投标报价中。</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④零星维修配件及耗材费。投标人应将服务过程中所产生的零星维修配件及耗材费用，自行测算并考虑到投标报价中。</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⑤雨污水管网清淤清理费用。投标人应将每年两次的雨污水管网清淤清理费用，自行测算并考虑到投标报价中。</w:t>
      </w:r>
      <w:r/>
    </w:p>
    <w:p>
      <w:pPr>
        <w:pStyle w:val="664"/>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⑥避雷检测费用。投标人应将避雷检测费用自行测算并考虑到投标报价中。</w:t>
      </w:r>
      <w:r/>
    </w:p>
    <w:p>
      <w:pPr>
        <w:pStyle w:val="664"/>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⑦生活饮用水检测费用。投标人应将生活饮用水检测费用自行测算并考虑到投标报价中。</w:t>
      </w:r>
      <w:r/>
    </w:p>
    <w:p>
      <w:pPr>
        <w:pStyle w:val="664"/>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⑧法定税费：供应商应依法缴纳税费，如享受税费优惠政策的，须在《投标分项报价表》后附证明材料。</w:t>
      </w:r>
      <w:r/>
    </w:p>
    <w:p>
      <w:pPr>
        <w:pStyle w:val="664"/>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⑨其他费用：供应商认为完成本项目物业管理服务可能产生的其他相关费用。</w:t>
      </w:r>
      <w:r/>
    </w:p>
    <w:p>
      <w:pPr>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p>
    <w:p>
      <w:pPr>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p>
    <w:p>
      <w:pPr>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p>
    <w:p>
      <w:p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（1）采购人在每个合同期间内对中标人的服务质量开展4次满意度调查，满意度不低于95%（含），每低1%扣减服务费3000元。</w:t>
      </w:r>
      <w:r/>
    </w:p>
    <w:p>
      <w:p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（2）采购人不定期对中标人的服务质量进行巡查，保安、保洁、工程等人员出现违反岗位服务标准的不文明情况的，每发现一次，扣减服务费500元。</w:t>
      </w:r>
      <w:r/>
    </w:p>
    <w:p>
      <w:p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（3）服务人员未经采购人同意发生变动，每变动一人扣减服务费2000元；因中标人责任导致人员的年龄、学历、技能、工作经历、薪酬等违反服务要求的，每发现一起扣减服务费1000元。</w:t>
      </w:r>
      <w:r/>
    </w:p>
    <w:p>
      <w:pPr>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p>
    <w:p>
      <w:pPr>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200" w:name="OLE_LINK1"/>
      <w:r>
        <w:rPr>
          <w:rFonts w:hint="eastAsia" w:ascii="宋体" w:hAnsi="宋体" w:eastAsia="宋体" w:cs="Times New Roman"/>
          <w:b w:val="0"/>
          <w:bCs w:val="0"/>
          <w:color w:val="000000"/>
          <w:spacing w:val="0"/>
          <w:sz w:val="24"/>
          <w:szCs w:val="24"/>
          <w:highlight w:val="none"/>
          <w:lang w:val="en-US" w:eastAsia="zh-CN"/>
        </w:rPr>
        <w:t xml:space="preserve">6.其他要求</w:t>
      </w:r>
      <w:bookmarkEnd w:id="200"/>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p>
    <w:p>
      <w:pPr>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47"/>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附件：考核细则</w:t>
      </w:r>
      <w:r/>
    </w:p>
    <w:tbl>
      <w:tblPr>
        <w:tblStyle w:val="663"/>
        <w:tblW w:w="9771" w:type="dxa"/>
        <w:jc w:val="center"/>
        <w:tblLayout w:type="fixed"/>
        <w:tblCellMar>
          <w:left w:w="108" w:type="dxa"/>
          <w:top w:w="0" w:type="dxa"/>
          <w:right w:w="108" w:type="dxa"/>
          <w:bottom w:w="0" w:type="dxa"/>
        </w:tblCellMar>
        <w:tblLook w:val="04A0" w:firstRow="1" w:lastRow="0" w:firstColumn="1" w:lastColumn="0" w:noHBand="0" w:noVBand="1"/>
      </w:tblPr>
      <w:tblGrid>
        <w:gridCol w:w="873"/>
        <w:gridCol w:w="4792"/>
        <w:gridCol w:w="1588"/>
        <w:gridCol w:w="794"/>
        <w:gridCol w:w="1724"/>
      </w:tblGrid>
      <w:tr>
        <w:trPr>
          <w:jc w:val="center"/>
          <w:trHeight w:val="557"/>
        </w:trPr>
        <w:tc>
          <w:tcPr>
            <w:gridSpan w:val="2"/>
            <w:tcBorders>
              <w:top w:val="none" w:color="000000" w:sz="4" w:space="0"/>
              <w:left w:val="none" w:color="000000" w:sz="4" w:space="0"/>
              <w:bottom w:val="none" w:color="000000" w:sz="4" w:space="0"/>
              <w:right w:val="none" w:color="000000" w:sz="4" w:space="0"/>
            </w:tcBorders>
            <w:tcW w:w="5665"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gridSpan w:val="3"/>
            <w:tcBorders>
              <w:top w:val="none" w:color="000000" w:sz="4" w:space="0"/>
              <w:left w:val="none" w:color="000000" w:sz="4" w:space="0"/>
              <w:bottom w:val="none" w:color="000000" w:sz="4" w:space="0"/>
              <w:right w:val="none" w:color="000000" w:sz="4" w:space="0"/>
            </w:tcBorders>
            <w:tcW w:w="4106"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时间：   年   月    日</w:t>
            </w:r>
            <w:r/>
          </w:p>
        </w:tc>
      </w:tr>
      <w:tr>
        <w:trPr>
          <w:jc w:val="center"/>
          <w:trHeight w:val="623" w:hRule="exact"/>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考核</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项目</w:t>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考核内容</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评分标准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分值</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扣分原因</w:t>
            </w:r>
            <w:r/>
          </w:p>
        </w:tc>
      </w:tr>
      <w:tr>
        <w:trPr>
          <w:cantSplit/>
          <w:jc w:val="center"/>
          <w:trHeight w:val="643"/>
        </w:trPr>
        <w:tc>
          <w:tcPr>
            <w:tcBorders>
              <w:top w:val="none" w:color="000000" w:sz="4" w:space="0"/>
              <w:left w:val="single" w:color="000000" w:sz="4" w:space="0"/>
              <w:bottom w:val="singl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人员配备及基本要求</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人员保持稳定，符合双方约定，岗位职责明确。</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24"/>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人员符合劳动部门有关用工规定，接受过岗前专业培训。</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08" w:hRule="exact"/>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所有人员均经政审，有员工聘用、政审、培训、考核、离职等记录。</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40"/>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特殊工种岗位人员需持证上岗，熟悉设备情况，熟练掌握配电、消防等设备操作方法。</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586"/>
        </w:trPr>
        <w:tc>
          <w:tcPr>
            <w:tcBorders>
              <w:top w:val="none" w:color="000000" w:sz="4" w:space="0"/>
              <w:left w:val="single" w:color="000000" w:sz="4" w:space="0"/>
              <w:bottom w:val="singl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制度</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建设</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管理组织架构健全、人员定岗、岗位职责明确。</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81"/>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建立员工考勤、考核、服务明星评选等管理制度。</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737"/>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具有完善的消防安全管理、巡逻安保、门卫管理、设备巡查、保密等制度；卫生保洁制定具体的卫生工作标准。</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594"/>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建立保安巡逻、设备巡查制度，并有书面情况记录。</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工作</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纪律</w:t>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上班期间不做与本职工作无关的事。</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1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上班时间不得无故空岗、脱岗、漏岗。</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违规一次扣1分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438"/>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尊重他人，与办公区服务对象和谐相处。</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根据日常表现</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49"/>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厉行勤俭节约，根据服务需求及时开关办公区内照明、水电、空调等设备。</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严禁发现问题（含各类安全隐患等）故意回避、不处理、不报告、不记录。</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因物业人员原因与办公或来访人员发生肢体冲突。</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因物业人员工作失误导致大楼内系统、设备、设施损坏的。</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严禁利用工作之便，泄私愤、损坏公物、浪费材料。严禁发生公共物资私自携带等情况。</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严格遵守保密制度，严禁外泄私密信息和资料。</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违规一次扣10分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430"/>
        </w:trPr>
        <w:tc>
          <w:tcPr>
            <w:tcBorders>
              <w:top w:val="single" w:color="000000" w:sz="4" w:space="0"/>
              <w:left w:val="single" w:color="000000" w:sz="4" w:space="0"/>
              <w:bottom w:val="none" w:color="000000" w:sz="4" w:space="0"/>
              <w:right w:val="single" w:color="000000" w:sz="4" w:space="0"/>
            </w:tcBorders>
            <w:tcW w:w="873" w:type="dxa"/>
            <w:vAlign w:val="center"/>
            <w:vMerge w:val="restart"/>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物业</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管理</w:t>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会议服务</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90"/>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会服保障准备充分、保障有力。</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违规一次扣0.2—0.4分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62"/>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身穿工作服，佩戴工号牌，仪容严整，要求统一；精神振作、姿态良好、抬头挺胸、注意保持妆容整洁。</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555"/>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会议室按计划及时打扫；清洁后符合卫生标准。</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460" w:hRule="exact"/>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安全保卫服务</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04" w:hRule="exact"/>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保安人员值班值守、人员车辆出入登记管理规范。</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熟练掌握灭火常识，熟练使用消防器材，对初起火灾能及时扑灭，接到火警报警，应及时赶到现场做出正确处理。</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505" w:hRule="exact"/>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保洁服务</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33"/>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大堂、走道无灰尘、污迹、杂物；高处目视无尘无蛛网。</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73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专用房间及值班室地面无纸屑、水迹、灰尘、污渍，桌椅、橱柜等设施无灰尘、垃圾，床上用品折叠摆放整齐，无异味，床底无灰尘、杂物，日用品干净整洁，无灰尘、死角。</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90"/>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卫生间地面、台面、镜面无水迹，室内无异味，便纸篓垃圾不超过1/2。</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112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电梯厅门及轿厢门、轿厢内壁面、按钮、面板、天花部分上不锈钢油，随时保洁、无手印污渍，轿厢地面目视无尘、无污渍，电梯槽无堆积垃圾。</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6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院落公共环境卫生每天循环保洁，无死角、垃圾日清。</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483"/>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设施设备运行管理服务</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0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做好水、电、气、电梯、空调、消防等公共设施设备巡查维修台账记录。</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737"/>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落实对公共设施设备进行检查，根据检查结果制定维修计划并提出报告与建议，确保辖区设备实施完好。</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报修问题处置及时、做好问题跟踪维修到位。</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违规一次扣0.1—0.2分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外部公共区域及门前三包管理</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绿化带出现黄土裸露或虫病虫害应及时进行防治、补种草木。</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违规一次扣0.4分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引导督促外部电动车停放规范有序。</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不符项视情扣0.2—0.4分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jc w:val="center"/>
          <w:trHeight w:val="624"/>
        </w:trPr>
        <w:tc>
          <w:tcPr>
            <w:tcBorders>
              <w:top w:val="none" w:color="000000" w:sz="4" w:space="0"/>
              <w:left w:val="single" w:color="000000" w:sz="4" w:space="0"/>
              <w:bottom w:val="none" w:color="000000" w:sz="4" w:space="0"/>
              <w:right w:val="single" w:color="000000" w:sz="4" w:space="0"/>
            </w:tcBorders>
            <w:tcW w:w="873" w:type="dxa"/>
            <w:vAlign w:val="center"/>
            <w:vMerge w:val="continue"/>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因物业未履行提醒、巡查、劝阻、应急处置义务，导致儿童在公共区域场地受伤并引发索赔纠纷的。</w:t>
            </w:r>
            <w:r/>
          </w:p>
        </w:tc>
        <w:tc>
          <w:tcPr>
            <w:tcBorders>
              <w:top w:val="singl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不符项视情扣1分</w:t>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jc w:val="center"/>
          <w:trHeight w:val="657"/>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其他</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紧急任务、大型活动保障配合有力，突发事件，报告、处置流程得当。</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jc w:val="center"/>
          <w:trHeight w:val="684"/>
        </w:trPr>
        <w:tc>
          <w:tcPr>
            <w:tcBorders>
              <w:top w:val="none" w:color="000000" w:sz="4" w:space="0"/>
              <w:left w:val="single" w:color="000000" w:sz="4" w:space="0"/>
              <w:bottom w:val="single" w:color="000000" w:sz="4" w:space="0"/>
              <w:right w:val="single" w:color="000000" w:sz="4" w:space="0"/>
            </w:tcBorders>
            <w:tcW w:w="873"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奖励</w:t>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视情给予加分（不超过10分）或奖励（奖金、实物等）</w:t>
            </w:r>
            <w:r/>
          </w:p>
        </w:tc>
        <w:tc>
          <w:tcPr>
            <w:tcBorders>
              <w:top w:val="none" w:color="000000" w:sz="4" w:space="0"/>
              <w:left w:val="non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p>
        </w:tc>
      </w:tr>
      <w:tr>
        <w:trPr>
          <w:jc w:val="center"/>
          <w:trHeight w:val="560"/>
        </w:trPr>
        <w:tc>
          <w:tcPr>
            <w:gridSpan w:val="2"/>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得分</w:t>
            </w:r>
            <w:r/>
          </w:p>
        </w:tc>
        <w:tc>
          <w:tcPr>
            <w:tcBorders>
              <w:top w:val="single" w:color="000000" w:sz="4" w:space="0"/>
              <w:left w:val="single" w:color="000000" w:sz="4" w:space="0"/>
              <w:bottom w:val="single" w:color="000000" w:sz="4" w:space="0"/>
              <w:right w:val="single" w:color="000000" w:sz="4" w:space="0"/>
            </w:tcBorders>
            <w:tcW w:w="1588"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jc w:val="center"/>
          <w:trHeight w:val="560"/>
        </w:trPr>
        <w:tc>
          <w:tcPr>
            <w:gridSpan w:val="5"/>
            <w:tcBorders>
              <w:top w:val="single" w:color="000000" w:sz="4" w:space="0"/>
              <w:left w:val="single" w:color="000000" w:sz="4" w:space="0"/>
              <w:bottom w:val="single" w:color="000000" w:sz="4" w:space="0"/>
              <w:right w:val="single" w:color="000000" w:sz="4" w:space="0"/>
            </w:tcBorders>
            <w:tcW w:w="9771" w:type="dxa"/>
            <w:vAlign w:val="center"/>
            <w:textDirection w:val="lrTb"/>
            <w:noWrap/>
          </w:tcPr>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说明：</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1.采购人可根据实际情况对考核表进行调整。</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2.根据考核结果，给予奖惩。</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3.低于95分以下进行扣罚，每低一分扣除服务费3000元。</w:t>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4.1次考核分值低于80分以下、累计2次考核分值低于85分以下，采购人有权解除合同。</w:t>
            </w:r>
            <w:r/>
          </w:p>
        </w:tc>
      </w:tr>
    </w:tbl>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47"/>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47"/>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995"/>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p>
        </w:tc>
        <w:tc>
          <w:tcPr>
            <w:tcW w:w="6616"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p>
        </w:tc>
        <w:tc>
          <w:tcPr>
            <w:tcW w:w="57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p>
        </w:tc>
        <w:tc>
          <w:tcPr>
            <w:tcW w:w="783"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p>
        </w:tc>
      </w:tr>
      <w:tr>
        <w:trPr>
          <w:jc w:val="center"/>
        </w:trPr>
        <w:tc>
          <w:tcPr>
            <w:gridSpan w:val="5"/>
            <w:tcW w:w="9670" w:type="dxa"/>
            <w:vAlign w:val="top"/>
            <w:textDirection w:val="lrTb"/>
            <w:noWrap w:val="false"/>
          </w:tcPr>
          <w:p>
            <w:pPr>
              <w:ind w:left="114"/>
              <w:jc w:val="both"/>
              <w:keepLines w:val="0"/>
              <w:keepNext w:val="0"/>
              <w:pageBreakBefore w:val="0"/>
              <w:spacing w:before="122"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Style w:val="696"/>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p>
          <w:p>
            <w:pPr>
              <w:jc w:val="left"/>
              <w:keepLines w:val="0"/>
              <w:keepNext w:val="0"/>
              <w:pageBreakBefore w:val="0"/>
              <w:spacing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p>
        </w:tc>
        <w:tc>
          <w:tcPr>
            <w:tcW w:w="573" w:type="dxa"/>
            <w:vAlign w:val="center"/>
            <w:textDirection w:val="lrTb"/>
            <w:noWrap w:val="false"/>
          </w:tcPr>
          <w:p>
            <w:pPr>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p>
        </w:tc>
        <w:tc>
          <w:tcPr>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p>
        </w:tc>
      </w:tr>
      <w:tr>
        <w:trPr>
          <w:jc w:val="center"/>
        </w:trPr>
        <w:tc>
          <w:tcPr>
            <w:gridSpan w:val="5"/>
            <w:tcW w:w="9670" w:type="dxa"/>
            <w:vAlign w:val="top"/>
            <w:textDirection w:val="lrTb"/>
            <w:noWrap w:val="false"/>
          </w:tcPr>
          <w:p>
            <w:pPr>
              <w:ind w:left="114"/>
              <w:jc w:val="both"/>
              <w:keepLines w:val="0"/>
              <w:keepNext w:val="0"/>
              <w:pageBreakBefore w:val="0"/>
              <w:spacing w:before="123"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p>
        </w:tc>
      </w:tr>
      <w:tr>
        <w:trPr>
          <w:jc w:val="center"/>
        </w:trPr>
        <w:tc>
          <w:tcPr>
            <w:tcW w:w="519" w:type="dxa"/>
            <w:vAlign w:val="center"/>
            <w:textDirection w:val="lrTb"/>
            <w:noWrap w:val="false"/>
          </w:tcPr>
          <w:p>
            <w:pPr>
              <w:jc w:val="center"/>
              <w:spacing w:line="264" w:lineRule="auto"/>
              <w:rPr>
                <w:rStyle w:val="696"/>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Cs w:val="21"/>
              </w:rPr>
              <w:t xml:space="preserve">2.1</w:t>
            </w:r>
            <w:r/>
          </w:p>
        </w:tc>
        <w:tc>
          <w:tcPr>
            <w:tcW w:w="1179" w:type="dxa"/>
            <w:vAlign w:val="center"/>
            <w:textDirection w:val="lrTb"/>
            <w:noWrap w:val="false"/>
          </w:tcPr>
          <w:p>
            <w:pPr>
              <w:jc w:val="center"/>
              <w:spacing w:line="264" w:lineRule="auto"/>
              <w:rPr>
                <w:rStyle w:val="696"/>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重点、难点分析及应对措施</w:t>
            </w:r>
            <w:r/>
          </w:p>
        </w:tc>
        <w:tc>
          <w:tcPr>
            <w:tcW w:w="6616" w:type="dxa"/>
            <w:vAlign w:val="center"/>
            <w:textDirection w:val="lrTb"/>
            <w:noWrap w:val="false"/>
          </w:tcPr>
          <w:p>
            <w:pPr>
              <w:rPr>
                <w:color w:val="000000"/>
                <w:sz w:val="21"/>
                <w:szCs w:val="21"/>
                <w:highlight w:val="none"/>
                <w:lang w:val="en-US" w:bidi="ar-SA"/>
              </w:rPr>
            </w:pPr>
            <w:r/>
            <w:bookmarkStart w:id="201" w:name="OLE_LINK5"/>
            <w:r>
              <w:rPr>
                <w:rFonts w:hint="eastAsia"/>
                <w:color w:val="000000"/>
                <w:sz w:val="21"/>
                <w:szCs w:val="21"/>
                <w:highlight w:val="none"/>
                <w:lang w:val="en-US" w:bidi="ar-SA"/>
              </w:rPr>
              <w:t xml:space="preserve">根据本项目采购需求编制方案，内容包含：</w:t>
            </w:r>
            <w:r>
              <w:rPr>
                <w:rFonts w:hint="eastAsia"/>
                <w:color w:val="000000"/>
                <w:sz w:val="21"/>
                <w:szCs w:val="21"/>
                <w:highlight w:val="none"/>
                <w:lang w:val="en-US" w:eastAsia="zh-CN" w:bidi="ar-SA"/>
              </w:rPr>
              <w:t xml:space="preserve">1.</w:t>
            </w:r>
            <w:r>
              <w:rPr>
                <w:rFonts w:hint="eastAsia"/>
                <w:color w:val="000000"/>
                <w:sz w:val="21"/>
                <w:szCs w:val="21"/>
                <w:highlight w:val="none"/>
                <w:lang w:val="en-US" w:bidi="ar-SA"/>
              </w:rPr>
              <w:t xml:space="preserve">人员管理</w:t>
            </w:r>
            <w:r>
              <w:rPr>
                <w:rFonts w:hint="eastAsia"/>
                <w:color w:val="000000"/>
                <w:sz w:val="21"/>
                <w:szCs w:val="21"/>
                <w:highlight w:val="none"/>
                <w:lang w:val="en-US" w:eastAsia="zh-CN" w:bidi="ar-SA"/>
              </w:rPr>
              <w:t xml:space="preserve">；2.车辆管理3.</w:t>
            </w:r>
            <w:r>
              <w:rPr>
                <w:rFonts w:hint="eastAsia"/>
                <w:color w:val="000000"/>
                <w:sz w:val="21"/>
                <w:szCs w:val="21"/>
                <w:highlight w:val="none"/>
                <w:lang w:val="en-US" w:bidi="ar-SA"/>
              </w:rPr>
              <w:t xml:space="preserve">设备运行管理</w:t>
            </w:r>
            <w:r>
              <w:rPr>
                <w:rFonts w:hint="eastAsia"/>
                <w:color w:val="000000"/>
                <w:sz w:val="21"/>
                <w:szCs w:val="21"/>
                <w:highlight w:val="none"/>
                <w:lang w:val="en-US" w:eastAsia="zh-CN" w:bidi="ar-SA"/>
              </w:rPr>
              <w:t xml:space="preserve">；4.</w:t>
            </w:r>
            <w:r>
              <w:rPr>
                <w:rFonts w:hint="eastAsia"/>
                <w:color w:val="000000"/>
                <w:sz w:val="21"/>
                <w:szCs w:val="21"/>
                <w:highlight w:val="none"/>
                <w:lang w:val="en-US" w:bidi="ar-SA"/>
              </w:rPr>
              <w:t xml:space="preserve">节能降耗管理</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以上每项内容逐项评分：</w:t>
            </w:r>
            <w:r/>
          </w:p>
          <w:p>
            <w:pPr>
              <w:rPr>
                <w:color w:val="000000"/>
                <w:highlight w:val="none"/>
                <w:lang w:val="en-US"/>
              </w:rPr>
            </w:pPr>
            <w:r>
              <w:rPr>
                <w:color w:val="000000"/>
                <w:highlight w:val="none"/>
                <w:lang w:val="en-US"/>
              </w:rPr>
              <w:t xml:space="preserve">方案内容</w:t>
            </w:r>
            <w:r>
              <w:rPr>
                <w:rFonts w:hint="eastAsia"/>
                <w:color w:val="000000"/>
                <w:highlight w:val="none"/>
                <w:lang w:val="en-US" w:eastAsia="zh-CN"/>
              </w:rPr>
              <w:t xml:space="preserve">完整、管理措施有力、可操作性强</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p>
          <w:p>
            <w:pPr>
              <w:jc w:val="left"/>
              <w:keepLines w:val="0"/>
              <w:keepNext w:val="0"/>
              <w:pageBreakBefore w:val="0"/>
              <w:spacing w:line="240" w:lineRule="auto"/>
              <w:widowControl/>
              <w:rPr>
                <w:rStyle w:val="696"/>
                <w:rFonts w:ascii="宋体" w:hAnsi="宋体" w:eastAsia="宋体" w:cs="宋体"/>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bookmarkEnd w:id="201"/>
            <w:r/>
            <w:r/>
          </w:p>
        </w:tc>
        <w:tc>
          <w:tcPr>
            <w:tcW w:w="573" w:type="dxa"/>
            <w:vAlign w:val="center"/>
            <w:textDirection w:val="lrTb"/>
            <w:noWrap w:val="false"/>
          </w:tcPr>
          <w:p>
            <w:pPr>
              <w:jc w:val="center"/>
              <w:spacing w:before="69" w:line="264" w:lineRule="auto"/>
              <w:rPr>
                <w:rStyle w:val="696"/>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Cs w:val="22"/>
              </w:rPr>
              <w:t xml:space="preserve">4</w:t>
            </w:r>
            <w:r/>
          </w:p>
        </w:tc>
        <w:tc>
          <w:tcPr>
            <w:tcW w:w="783" w:type="dxa"/>
            <w:vAlign w:val="center"/>
            <w:textDirection w:val="lrTb"/>
            <w:noWrap w:val="false"/>
          </w:tcPr>
          <w:p>
            <w:pPr>
              <w:jc w:val="center"/>
              <w:spacing w:before="68" w:line="264" w:lineRule="auto"/>
              <w:rPr>
                <w:rStyle w:val="696"/>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2.2</w:t>
            </w:r>
            <w:r/>
          </w:p>
        </w:tc>
        <w:tc>
          <w:tcPr>
            <w:tcW w:w="1179" w:type="dxa"/>
            <w:vAlign w:val="center"/>
            <w:textDirection w:val="lrTb"/>
            <w:noWrap w:val="false"/>
          </w:tcPr>
          <w:p>
            <w:pPr>
              <w:jc w:val="center"/>
              <w:spacing w:line="264"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管理</w:t>
            </w:r>
            <w:r>
              <w:rPr>
                <w:rFonts w:hint="eastAsia" w:ascii="宋体" w:hAnsi="宋体" w:eastAsia="宋体" w:cs="宋体"/>
                <w:color w:val="000000"/>
                <w:szCs w:val="21"/>
              </w:rPr>
              <w:t xml:space="preserve">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根据本项目采购需求编制方案，内容包含：1.内部管理架构；2.激励机制与监督机制；3.考核管理；4.信息反馈及处理机制。以上每项内容逐项评分：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完整、科学合理、可执行性强，且专门针对本项目，契合采购需求视为符合；方案内容属于通用类，非专门针对本项目，部分契合采购需求视为部分符合；方案内容非专门针对本项目，脱离采购需求视为不符合。</w:t>
            </w:r>
            <w:r/>
          </w:p>
          <w:p>
            <w:pPr>
              <w:pStyle w:val="744"/>
              <w:ind w:firstLine="0"/>
              <w:rPr>
                <w:rFonts w:ascii="Times New Roman" w:hAnsi="Times New Roman" w:eastAsia="宋体" w:cs="Times New Roman"/>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rPr>
            </w:pPr>
            <w:r>
              <w:rPr>
                <w:rFonts w:ascii="Times New Roman" w:hAnsi="Times New Roman" w:eastAsia="宋体" w:cs="Times New Roman"/>
                <w:color w:val="000000"/>
                <w:szCs w:val="21"/>
                <w:highlight w:val="none"/>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2.3</w:t>
            </w:r>
            <w:r/>
          </w:p>
        </w:tc>
        <w:tc>
          <w:tcPr>
            <w:tcW w:w="1179" w:type="dxa"/>
            <w:vAlign w:val="center"/>
            <w:textDirection w:val="lrTb"/>
            <w:noWrap w:val="false"/>
          </w:tcPr>
          <w:p>
            <w:pPr>
              <w:jc w:val="center"/>
              <w:spacing w:line="264"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安全管理</w:t>
            </w:r>
            <w:r>
              <w:rPr>
                <w:rFonts w:hint="eastAsia" w:ascii="宋体" w:hAnsi="宋体" w:eastAsia="宋体" w:cs="宋体"/>
                <w:color w:val="000000"/>
                <w:szCs w:val="21"/>
              </w:rPr>
              <w:t xml:space="preserve">方案</w:t>
            </w:r>
            <w:r/>
          </w:p>
        </w:tc>
        <w:tc>
          <w:tcPr>
            <w:tcW w:w="6616" w:type="dxa"/>
            <w:vAlign w:val="center"/>
            <w:textDirection w:val="lrTb"/>
            <w:noWrap w:val="false"/>
          </w:tcPr>
          <w:p>
            <w:pPr>
              <w:jc w:val="left"/>
              <w:keepLines w:val="0"/>
              <w:keepNext w:val="0"/>
              <w:pageBreakBefore w:val="0"/>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根据本项目采购需求编制方案，内容包含：1.安全管理制度；2.安全保密工作制度；3.应急处置预案（含消防、电梯等方面）；4.应急处置演练方案（含消防、电梯等方面）。以上每项内容逐项评分：</w:t>
            </w:r>
            <w:r/>
          </w:p>
          <w:p>
            <w:pPr>
              <w:jc w:val="left"/>
              <w:keepLines w:val="0"/>
              <w:keepNext w:val="0"/>
              <w:pageBreakBefore w:val="0"/>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方案内容</w:t>
            </w:r>
            <w:r>
              <w:rPr>
                <w:rFonts w:hint="eastAsia" w:ascii="Times New Roman" w:hAnsi="Times New Roman" w:eastAsia="宋体" w:cs="Times New Roman"/>
                <w:color w:val="000000"/>
                <w:sz w:val="21"/>
                <w:szCs w:val="21"/>
                <w:highlight w:val="none"/>
                <w:lang w:val="en-US" w:eastAsia="zh-CN"/>
              </w:rPr>
              <w:t xml:space="preserve">完整、可行性强</w:t>
            </w:r>
            <w:r>
              <w:rPr>
                <w:rFonts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40" w:lineRule="auto"/>
              <w:widowControl/>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上述每项内容符合得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eastAsia="zh-CN"/>
              </w:rPr>
              <w:t xml:space="preserve">分；不符合或不提供不得分。</w:t>
            </w:r>
            <w:r/>
          </w:p>
        </w:tc>
        <w:tc>
          <w:tcPr>
            <w:tcW w:w="573" w:type="dxa"/>
            <w:vAlign w:val="center"/>
            <w:textDirection w:val="lrTb"/>
            <w:noWrap w:val="false"/>
          </w:tcPr>
          <w:p>
            <w:pPr>
              <w:jc w:val="center"/>
              <w:spacing w:before="69" w:line="264" w:lineRule="auto"/>
              <w:rPr>
                <w:rFonts w:ascii="Arial" w:hAnsi="Arial" w:cs="Arial"/>
                <w:color w:val="000000"/>
                <w:highlight w:val="none"/>
              </w:rPr>
            </w:pPr>
            <w:r>
              <w:rPr>
                <w:rFonts w:hint="eastAsia" w:ascii="宋体" w:hAnsi="宋体" w:eastAsia="宋体" w:cs="宋体"/>
                <w:color w:val="000000"/>
                <w:szCs w:val="22"/>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Height w:val="2077"/>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2.4</w:t>
            </w:r>
            <w:r/>
          </w:p>
        </w:tc>
        <w:tc>
          <w:tcPr>
            <w:tcW w:w="1179"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b w:val="0"/>
                <w:bCs w:val="0"/>
                <w:color w:val="000000"/>
                <w:sz w:val="21"/>
                <w:szCs w:val="21"/>
                <w:highlight w:val="none"/>
                <w:u w:val="none"/>
                <w:lang w:val="en-US" w:eastAsia="zh-CN"/>
              </w:rPr>
              <w:t xml:space="preserve">突发事件应急处理预案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lang w:val="en-US" w:eastAsia="zh-CN"/>
              </w:rPr>
              <w:t xml:space="preserve">根据本项目采购需求编制，内容包含：1.公共安全类突发事件；2.自然灾害类突发事件；3.双休日、法定节假日、重大活动及临时接待；4.夜间安全服务保障。以上每项内容逐项评分：</w:t>
            </w:r>
            <w:r/>
          </w:p>
          <w:p>
            <w:pPr>
              <w:jc w:val="left"/>
              <w:keepLines w:val="0"/>
              <w:keepNext w:val="0"/>
              <w:pageBreakBefore w:val="0"/>
              <w:spacing w:line="264" w:lineRule="auto"/>
              <w:widowControl w:val="off"/>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color w:val="000000"/>
                <w:sz w:val="21"/>
                <w:szCs w:val="21"/>
                <w:highlight w:val="none"/>
                <w:u w:val="none"/>
                <w:lang w:val="en-US" w:eastAsia="zh-CN"/>
              </w:rPr>
              <w:t xml:space="preserve">内容完整、可行性强，且专门针对本项目，契合采购需求视为符合；方案内容属于通用类，非专门针对本项目，部分契合采购需求视为部分符合；方案内容非专门针对本项目，脱离采购需求视为不符合。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u w:val="none"/>
                <w:lang w:val="en-US" w:eastAsia="zh-CN"/>
              </w:rPr>
              <w:t xml:space="preserve">上述每项内容符合得1分；部分符合得0.5分；不符合或不提供不得分。</w:t>
            </w:r>
            <w:r/>
          </w:p>
        </w:tc>
        <w:tc>
          <w:tcPr>
            <w:tcW w:w="573" w:type="dxa"/>
            <w:vAlign w:val="center"/>
            <w:textDirection w:val="lrTb"/>
            <w:noWrap w:val="false"/>
          </w:tcPr>
          <w:p>
            <w:pPr>
              <w:jc w:val="center"/>
              <w:spacing w:before="69" w:line="264" w:lineRule="auto"/>
              <w:rPr>
                <w:rFonts w:ascii="Arial" w:hAnsi="Arial" w:cs="Arial"/>
                <w:color w:val="000000"/>
                <w:highlight w:val="none"/>
              </w:rPr>
            </w:pPr>
            <w:r>
              <w:rPr>
                <w:rFonts w:hint="eastAsia" w:ascii="宋体" w:hAnsi="宋体" w:eastAsia="宋体" w:cs="宋体"/>
                <w:szCs w:val="22"/>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tcW w:w="519" w:type="dxa"/>
            <w:vAlign w:val="center"/>
            <w:textDirection w:val="lrTb"/>
            <w:noWrap w:val="false"/>
          </w:tcPr>
          <w:p>
            <w:pPr>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2.5</w:t>
            </w:r>
            <w:r/>
          </w:p>
        </w:tc>
        <w:tc>
          <w:tcPr>
            <w:tcW w:w="1179" w:type="dxa"/>
            <w:vAlign w:val="center"/>
            <w:textDirection w:val="lrTb"/>
            <w:noWrap w:val="false"/>
          </w:tcPr>
          <w:p>
            <w:pPr>
              <w:jc w:val="center"/>
              <w:spacing w:line="264"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进场交接过渡方案</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根据本项目采购需求编制，内容包含：1.人员进场交接；2.接管验收。以上每项内容逐项评分：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制度内容完整、可行性强，且专门针对本项目，契合采购需求视为符合；方案内容属于通用类，非专门针对本项目，部分契合采购需求视为部分符合；方案内容非专门针对本项目，脱离采购需求视为不符合。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上述每项内容符合得2分；部分符合得1分；不符合或不提供不得分。</w:t>
            </w:r>
            <w:r/>
          </w:p>
        </w:tc>
        <w:tc>
          <w:tcPr>
            <w:tcW w:w="573" w:type="dxa"/>
            <w:vAlign w:val="center"/>
            <w:textDirection w:val="lrTb"/>
            <w:noWrap w:val="false"/>
          </w:tcPr>
          <w:p>
            <w:pPr>
              <w:jc w:val="center"/>
              <w:spacing w:before="69" w:line="264" w:lineRule="auto"/>
              <w:rPr>
                <w:rFonts w:ascii="Arial" w:hAnsi="Arial" w:cs="Arial"/>
                <w:color w:val="000000"/>
                <w:highlight w:val="none"/>
              </w:rPr>
            </w:pPr>
            <w:r>
              <w:rPr>
                <w:rFonts w:hint="eastAsia" w:ascii="宋体" w:hAnsi="宋体" w:eastAsia="宋体" w:cs="宋体"/>
                <w:szCs w:val="22"/>
              </w:rPr>
              <w:t xml:space="preserve">4</w:t>
            </w:r>
            <w:r/>
          </w:p>
        </w:tc>
        <w:tc>
          <w:tcPr>
            <w:tcW w:w="783" w:type="dxa"/>
            <w:vAlign w:val="center"/>
            <w:textDirection w:val="lrTb"/>
            <w:noWrap w:val="false"/>
          </w:tcPr>
          <w:p>
            <w:pPr>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p>
        </w:tc>
      </w:tr>
      <w:tr>
        <w:trPr>
          <w:jc w:val="center"/>
        </w:trPr>
        <w:tc>
          <w:tcPr>
            <w:gridSpan w:val="5"/>
            <w:tcW w:w="9670" w:type="dxa"/>
            <w:vAlign w:val="center"/>
            <w:textDirection w:val="lrTb"/>
            <w:noWrap w:val="false"/>
          </w:tcPr>
          <w:p>
            <w:pPr>
              <w:ind w:firstLine="205"/>
              <w:jc w:val="both"/>
              <w:keepLines w:val="0"/>
              <w:keepNext w:val="0"/>
              <w:pageBreakBefore w:val="0"/>
              <w:spacing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p>
        </w:tc>
        <w:tc>
          <w:tcPr>
            <w:tcW w:w="1179" w:type="dxa"/>
            <w:vAlign w:val="center"/>
            <w:textDirection w:val="lrTb"/>
            <w:noWrap w:val="false"/>
          </w:tcPr>
          <w:p>
            <w:pPr>
              <w:jc w:val="both"/>
              <w:keepLines w:val="0"/>
              <w:keepNext w:val="0"/>
              <w:pageBreakBefore w:val="0"/>
              <w:spacing w:before="69" w:line="264" w:lineRule="auto"/>
              <w:widowControl w:val="off"/>
              <w:rPr>
                <w:rStyle w:val="696"/>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pacing w:val="-2"/>
                <w:sz w:val="21"/>
                <w:szCs w:val="22"/>
                <w:highlight w:val="none"/>
                <w:lang w:val="en-US" w:eastAsia="zh-CN" w:bidi="ar-SA"/>
              </w:rPr>
              <w:t xml:space="preserve">2022年1月1日</w:t>
            </w:r>
            <w:r>
              <w:rPr>
                <w:rFonts w:hint="eastAsia" w:ascii="宋体" w:hAnsi="宋体" w:eastAsia="宋体" w:cs="宋体"/>
                <w:color w:val="000000"/>
                <w:sz w:val="21"/>
                <w:szCs w:val="21"/>
                <w:highlight w:val="none"/>
                <w:lang w:val="en-US" w:eastAsia="zh-CN" w:bidi="ar-SA"/>
              </w:rPr>
              <w:t xml:space="preserve">（含）以来，承接的类似物业项目（非住宅项目，服务内容至少包含会议服务、保安服务、保洁服务、工程维修</w:t>
            </w:r>
            <w:r>
              <w:rPr>
                <w:rFonts w:hint="eastAsia" w:ascii="宋体" w:hAnsi="宋体" w:eastAsia="宋体" w:cs="宋体"/>
                <w:color w:val="000000"/>
                <w:spacing w:val="-2"/>
                <w:sz w:val="21"/>
                <w:szCs w:val="22"/>
                <w:highlight w:val="none"/>
                <w:lang w:val="en-US" w:eastAsia="zh-CN" w:bidi="ar-SA"/>
              </w:rPr>
              <w:t xml:space="preserve">中的任意3项</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p>
        </w:tc>
        <w:tc>
          <w:tcPr>
            <w:tcW w:w="573" w:type="dxa"/>
            <w:vAlign w:val="center"/>
            <w:textDirection w:val="lrTb"/>
            <w:noWrap w:val="false"/>
          </w:tcPr>
          <w:p>
            <w:pPr>
              <w:jc w:val="center"/>
              <w:keepLines w:val="0"/>
              <w:keepNext w:val="0"/>
              <w:pageBreakBefore w:val="0"/>
              <w:spacing w:before="68"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W w:w="783" w:type="dxa"/>
            <w:vAlign w:val="center"/>
            <w:textDirection w:val="lrTb"/>
            <w:noWrap w:val="false"/>
          </w:tcPr>
          <w:p>
            <w:pPr>
              <w:jc w:val="center"/>
              <w:keepLines w:val="0"/>
              <w:keepNext w:val="0"/>
              <w:pageBreakBefore w:val="0"/>
              <w:spacing w:before="68" w:line="264" w:lineRule="auto"/>
              <w:widowControl w:val="off"/>
              <w:rPr>
                <w:rStyle w:val="696"/>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p>
        </w:tc>
      </w:tr>
      <w:tr>
        <w:trPr>
          <w:jc w:val="center"/>
        </w:trPr>
        <w:tc>
          <w:tcPr>
            <w:gridSpan w:val="5"/>
            <w:tcW w:w="9670" w:type="dxa"/>
            <w:vAlign w:val="top"/>
            <w:textDirection w:val="lrTb"/>
            <w:noWrap w:val="false"/>
          </w:tcPr>
          <w:p>
            <w:pPr>
              <w:ind w:firstLine="205"/>
              <w:jc w:val="both"/>
              <w:keepLines w:val="0"/>
              <w:keepNext w:val="0"/>
              <w:pageBreakBefore w:val="0"/>
              <w:spacing w:before="123"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p>
        </w:tc>
      </w:tr>
      <w:tr>
        <w:trPr>
          <w:jc w:val="center"/>
          <w:trHeight w:val="1780"/>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投标人拟投入本项目的项目经理：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（1）具有物业管理师（原物业管理员）三级（高级工）及以上职业技能等级证书，证书可在技能人才评价证书全国联网查询平台核验，得3分；（提供人员证书及核验记录）</w:t>
            </w:r>
            <w:r/>
          </w:p>
          <w:p>
            <w:pPr>
              <w:jc w:val="both"/>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（2）具有5年及以上非住宅物业项目经理（项目负责人）工作经验的，得1.5分。（提供加盖业主单位公章的工作经验证明材料，能体现人员姓名、岗位及工作年限，证明材料缺项或未提供的不得分。）</w:t>
            </w:r>
            <w:r/>
          </w:p>
        </w:tc>
        <w:tc>
          <w:tcPr>
            <w:tcW w:w="573" w:type="dxa"/>
            <w:vAlign w:val="center"/>
            <w:textDirection w:val="lrTb"/>
            <w:noWrap w:val="false"/>
          </w:tcPr>
          <w:p>
            <w:pPr>
              <w:jc w:val="center"/>
              <w:keepLines w:val="0"/>
              <w:keepNext w:val="0"/>
              <w:pageBreakBefore w:val="0"/>
              <w:spacing w:line="264" w:lineRule="auto"/>
              <w:widowControl w:val="off"/>
              <w:rPr>
                <w:rStyle w:val="696"/>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4.5</w:t>
            </w:r>
            <w:r/>
          </w:p>
        </w:tc>
        <w:tc>
          <w:tcPr>
            <w:tcW w:w="78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投标人拟投入本项目的所有人员（项目</w:t>
            </w:r>
            <w:r>
              <w:rPr>
                <w:rFonts w:hint="eastAsia" w:ascii="宋体" w:hAnsi="宋体" w:cs="宋体"/>
                <w:color w:val="000000"/>
                <w:sz w:val="21"/>
                <w:szCs w:val="21"/>
                <w:highlight w:val="none"/>
                <w:lang w:val="en-US" w:eastAsia="zh-CN" w:bidi="ar-SA"/>
              </w:rPr>
              <w:t xml:space="preserve">经理除</w:t>
            </w:r>
            <w:r>
              <w:rPr>
                <w:rFonts w:hint="eastAsia" w:ascii="宋体" w:hAnsi="宋体" w:eastAsia="宋体" w:cs="宋体"/>
                <w:color w:val="000000"/>
                <w:sz w:val="21"/>
                <w:szCs w:val="21"/>
                <w:highlight w:val="none"/>
                <w:lang w:val="en-US" w:eastAsia="zh-CN" w:bidi="ar-SA"/>
              </w:rPr>
              <w:t xml:space="preserve">外）中具有物业管理师（原物业管理员）</w:t>
            </w:r>
            <w:r>
              <w:rPr>
                <w:rFonts w:hint="eastAsia" w:ascii="宋体" w:hAnsi="宋体" w:cs="宋体"/>
                <w:color w:val="000000"/>
                <w:sz w:val="21"/>
                <w:szCs w:val="21"/>
                <w:highlight w:val="none"/>
                <w:lang w:val="en-US" w:eastAsia="zh-CN" w:bidi="ar-SA"/>
              </w:rPr>
              <w:t xml:space="preserve">四</w:t>
            </w:r>
            <w:r>
              <w:rPr>
                <w:rFonts w:hint="eastAsia" w:ascii="宋体" w:hAnsi="宋体" w:eastAsia="宋体" w:cs="宋体"/>
                <w:color w:val="000000"/>
                <w:sz w:val="21"/>
                <w:szCs w:val="21"/>
                <w:highlight w:val="none"/>
                <w:lang w:val="en-US" w:eastAsia="zh-CN" w:bidi="ar-SA"/>
              </w:rPr>
              <w:t xml:space="preserve">级及以上职业技能等级证书，证书可在技能人才评价证书全国联网查询平台核验，每有1人得</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分，最多得</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p>
          <w:p>
            <w:pPr>
              <w:jc w:val="left"/>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备</w:t>
            </w:r>
            <w:r>
              <w:rPr>
                <w:rFonts w:hint="eastAsia" w:ascii="宋体" w:hAnsi="宋体" w:eastAsia="宋体" w:cs="宋体"/>
                <w:color w:val="000000"/>
                <w:sz w:val="21"/>
                <w:szCs w:val="21"/>
                <w:highlight w:val="none"/>
                <w:lang w:val="en-US" w:eastAsia="zh-CN" w:bidi="ar-SA"/>
              </w:rPr>
              <w:t xml:space="preserve">注：提供人员证书及核验记录。</w:t>
            </w:r>
            <w:r/>
          </w:p>
        </w:tc>
        <w:tc>
          <w:tcPr>
            <w:tcW w:w="57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Style w:val="696"/>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投标人拟投入本项目的工程维修人员持有电工（原维修电工）四级（中级工）及以上职业技能等级证书，证书可在技能人才评价证书全国联网查询平台核验，</w:t>
            </w:r>
            <w:r>
              <w:rPr>
                <w:rFonts w:hint="eastAsia" w:ascii="宋体" w:hAnsi="宋体" w:cs="宋体"/>
                <w:color w:val="000000"/>
                <w:sz w:val="21"/>
                <w:szCs w:val="21"/>
                <w:highlight w:val="none"/>
                <w:lang w:val="en-US" w:eastAsia="zh-CN" w:bidi="ar-SA"/>
              </w:rPr>
              <w:t xml:space="preserve">每提供1人</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，最多得3分</w:t>
            </w:r>
            <w:r>
              <w:rPr>
                <w:rFonts w:hint="eastAsia" w:ascii="宋体" w:hAnsi="宋体" w:eastAsia="宋体" w:cs="宋体"/>
                <w:color w:val="000000"/>
                <w:sz w:val="21"/>
                <w:szCs w:val="21"/>
                <w:highlight w:val="none"/>
                <w:lang w:val="en-US" w:eastAsia="zh-CN" w:bidi="ar-SA"/>
              </w:rPr>
              <w:t xml:space="preserve">。</w:t>
            </w:r>
            <w:r/>
          </w:p>
          <w:p>
            <w:pPr>
              <w:jc w:val="left"/>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备注：提供人员证书及核验记录。</w:t>
            </w:r>
            <w:r/>
          </w:p>
        </w:tc>
        <w:tc>
          <w:tcPr>
            <w:tcW w:w="57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Style w:val="696"/>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4.4</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履约能力4</w:t>
            </w:r>
            <w:r/>
          </w:p>
        </w:tc>
        <w:tc>
          <w:tcPr>
            <w:tcW w:w="6616"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投标人拟投入本项目的保安队长具有5年及以上非住宅物业安保队长（安保负责人）工作经验的，得1.5分。</w:t>
            </w:r>
            <w:r/>
          </w:p>
          <w:p>
            <w:pPr>
              <w:jc w:val="both"/>
              <w:keepLines w:val="0"/>
              <w:keepNext w:val="0"/>
              <w:pageBreakBefore w:val="0"/>
              <w:spacing w:line="264" w:lineRule="auto"/>
              <w:widowControl w:val="off"/>
              <w:rPr>
                <w:lang w:val="en-US" w:eastAsia="zh-CN"/>
              </w:rPr>
            </w:pPr>
            <w:r>
              <w:rPr>
                <w:rFonts w:ascii="宋体" w:hAnsi="宋体" w:eastAsia="宋体" w:cs="宋体"/>
                <w:color w:val="000000"/>
                <w:sz w:val="21"/>
                <w:szCs w:val="21"/>
                <w:highlight w:val="none"/>
                <w:lang w:val="en-US" w:eastAsia="zh-CN" w:bidi="ar-SA"/>
              </w:rPr>
              <w:t xml:space="preserve">备注：提供加盖业主单位公章的工作经验证明材料，能体现人员姓名、岗位及工作年限，证明材料缺项或未提供的不得分。</w:t>
            </w:r>
            <w:r/>
          </w:p>
        </w:tc>
        <w:tc>
          <w:tcPr>
            <w:tcW w:w="57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p>
        </w:tc>
        <w:tc>
          <w:tcPr>
            <w:tcW w:w="78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Style w:val="696"/>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5</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5</w:t>
            </w:r>
            <w:r/>
          </w:p>
        </w:tc>
        <w:tc>
          <w:tcPr>
            <w:tcW w:w="6616" w:type="dxa"/>
            <w:vAlign w:val="center"/>
            <w:textDirection w:val="lrTb"/>
            <w:noWrap w:val="false"/>
          </w:tcPr>
          <w:p>
            <w:pPr>
              <w:jc w:val="left"/>
              <w:keepLines w:val="0"/>
              <w:keepNext w:val="0"/>
              <w:pageBreakBefore w:val="0"/>
              <w:spacing w:line="264" w:lineRule="auto"/>
              <w:widowControl w:val="off"/>
              <w:rPr>
                <w:rStyle w:val="1008"/>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投标人拟派保洁员具有1年及</w:t>
            </w:r>
            <w:r>
              <w:rPr>
                <w:rFonts w:hint="eastAsia" w:ascii="宋体" w:hAnsi="宋体" w:eastAsia="宋体" w:cs="宋体"/>
                <w:color w:val="000000"/>
                <w:spacing w:val="-2"/>
                <w:sz w:val="21"/>
                <w:szCs w:val="22"/>
                <w:lang w:val="en-US" w:eastAsia="zh-CN" w:bidi="ar-SA"/>
              </w:rPr>
              <w:t xml:space="preserve">以上非住宅物业</w:t>
            </w:r>
            <w:r>
              <w:rPr>
                <w:rFonts w:hint="eastAsia" w:ascii="宋体" w:hAnsi="宋体" w:eastAsia="宋体" w:cs="宋体"/>
                <w:color w:val="000000"/>
                <w:sz w:val="21"/>
                <w:szCs w:val="21"/>
                <w:lang w:val="en-US" w:eastAsia="zh-CN" w:bidi="ar-SA"/>
              </w:rPr>
              <w:t xml:space="preserve">项目保洁工作经验的，每提供1人得1分，最多得6分。</w:t>
            </w:r>
            <w:r/>
          </w:p>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备注：提供加盖业主单位公章的工作经验证明材料，能体现人员姓名、岗位及工作年限，证明材料缺项或未提供的不得分。</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4.6</w:t>
            </w:r>
            <w:r/>
          </w:p>
        </w:tc>
        <w:tc>
          <w:tcPr>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6</w:t>
            </w:r>
            <w:r/>
          </w:p>
        </w:tc>
        <w:tc>
          <w:tcPr>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承诺</w:t>
            </w:r>
            <w:r>
              <w:rPr>
                <w:rFonts w:hint="eastAsia" w:ascii="宋体" w:hAnsi="宋体" w:cs="宋体"/>
                <w:color w:val="000000"/>
                <w:sz w:val="21"/>
                <w:szCs w:val="21"/>
                <w:highlight w:val="none"/>
                <w:lang w:val="en-US" w:eastAsia="zh-CN" w:bidi="ar-SA"/>
              </w:rPr>
              <w:t xml:space="preserve">中标</w:t>
            </w:r>
            <w:r>
              <w:rPr>
                <w:rFonts w:hint="eastAsia" w:ascii="宋体" w:hAnsi="宋体" w:eastAsia="宋体" w:cs="宋体"/>
                <w:color w:val="000000"/>
                <w:sz w:val="21"/>
                <w:szCs w:val="21"/>
                <w:highlight w:val="none"/>
                <w:lang w:val="en-US" w:eastAsia="zh-CN" w:bidi="ar-SA"/>
              </w:rPr>
              <w:t xml:space="preserve">后购买雇主责任险和公众责任险等商业险，保险条款中明确</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在从事物业服务过程中，造成第三方人身伤亡或财产损失或其</w:t>
            </w:r>
            <w:r>
              <w:rPr>
                <w:rFonts w:hint="eastAsia" w:ascii="宋体" w:hAnsi="宋体" w:cs="宋体"/>
                <w:color w:val="000000"/>
                <w:sz w:val="21"/>
                <w:szCs w:val="21"/>
                <w:highlight w:val="none"/>
                <w:lang w:val="en-US" w:eastAsia="zh-CN" w:bidi="ar-SA"/>
              </w:rPr>
              <w:t xml:space="preserve">他</w:t>
            </w:r>
            <w:r>
              <w:rPr>
                <w:rFonts w:hint="eastAsia" w:ascii="宋体" w:hAnsi="宋体" w:eastAsia="宋体" w:cs="宋体"/>
                <w:color w:val="000000"/>
                <w:sz w:val="21"/>
                <w:szCs w:val="21"/>
                <w:highlight w:val="none"/>
                <w:lang w:val="en-US" w:eastAsia="zh-CN" w:bidi="ar-SA"/>
              </w:rPr>
              <w:t xml:space="preserve">安全事故，</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负责处理及赔偿事宜，提供书面承诺书的得3分，未提供不得分。（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p>
        </w:tc>
      </w:tr>
      <w:tr>
        <w:trPr>
          <w:jc w:val="center"/>
        </w:trPr>
        <w:tc>
          <w:tcPr>
            <w:tcW w:w="519" w:type="dxa"/>
            <w:vAlign w:val="center"/>
            <w:textDirection w:val="lrTb"/>
            <w:noWrap w:val="false"/>
          </w:tcPr>
          <w:p>
            <w:pPr>
              <w:jc w:val="center"/>
              <w:keepLines w:val="0"/>
              <w:keepNext w:val="0"/>
              <w:pageBreakBefore w:val="0"/>
              <w:spacing w:line="264" w:lineRule="auto"/>
              <w:widowControl w:val="off"/>
              <w:rPr>
                <w:rStyle w:val="696"/>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p>
        </w:tc>
        <w:tc>
          <w:tcPr>
            <w:gridSpan w:val="2"/>
            <w:tcW w:w="7795" w:type="dxa"/>
            <w:vAlign w:val="center"/>
            <w:textDirection w:val="lrTb"/>
            <w:noWrap w:val="false"/>
          </w:tcPr>
          <w:p>
            <w:pPr>
              <w:ind w:left="172"/>
              <w:jc w:val="center"/>
              <w:keepLines w:val="0"/>
              <w:keepNext w:val="0"/>
              <w:pageBreakBefore w:val="0"/>
              <w:spacing w:before="123" w:line="264" w:lineRule="auto"/>
              <w:widowControl w:val="off"/>
              <w:rPr>
                <w:rStyle w:val="696"/>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jc w:val="center"/>
              <w:keepLines w:val="0"/>
              <w:keepNext w:val="0"/>
              <w:pageBreakBefore w:val="0"/>
              <w:spacing w:line="264" w:lineRule="auto"/>
              <w:widowControl w:val="off"/>
              <w:rPr>
                <w:rStyle w:val="696"/>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18"/>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p>
    <w:p>
      <w:pPr>
        <w:jc w:val="center"/>
        <w:rPr>
          <w:rFonts w:hint="eastAsia" w:ascii="宋体" w:hAnsi="宋体"/>
          <w:b/>
          <w:color w:val="000000"/>
          <w:sz w:val="72"/>
          <w:highlight w:val="none"/>
        </w:rPr>
      </w:pPr>
      <w:r/>
      <w:bookmarkStart w:id="202" w:name="_Hlt26955039"/>
      <w:r/>
      <w:bookmarkEnd w:id="202"/>
      <w:r/>
      <w:bookmarkStart w:id="203" w:name="_Hlt26671244"/>
      <w:r/>
      <w:bookmarkEnd w:id="203"/>
      <w:r/>
      <w:bookmarkStart w:id="204" w:name="_Toc49090576"/>
      <w:r/>
      <w:bookmarkStart w:id="205" w:name="_Toc26554094"/>
      <w:r/>
      <w:bookmarkStart w:id="206" w:name="_Toc120614282"/>
      <w:r/>
      <w:r/>
    </w:p>
    <w:p>
      <w:pPr>
        <w:jc w:val="center"/>
        <w:rPr>
          <w:rFonts w:hint="eastAsia" w:ascii="宋体" w:hAnsi="宋体"/>
          <w:b/>
          <w:color w:val="000000"/>
          <w:sz w:val="72"/>
          <w:highlight w:val="none"/>
        </w:rPr>
        <w:outlineLvl w:val="0"/>
      </w:pPr>
      <w:r>
        <w:rPr>
          <w:rFonts w:hint="eastAsia" w:ascii="宋体" w:hAnsi="宋体"/>
          <w:b/>
          <w:color w:val="000000"/>
          <w:sz w:val="72"/>
          <w:highlight w:val="none"/>
        </w:rPr>
        <w:t xml:space="preserve">投  标  文  件</w:t>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1084"/>
        <w:rPr>
          <w:rFonts w:ascii="宋体" w:hAnsi="宋体" w:eastAsia="宋体"/>
          <w:b/>
          <w:color w:val="000000"/>
          <w:sz w:val="36"/>
          <w:highlight w:val="none"/>
          <w:lang w:val="en-US" w:eastAsia="zh-CN"/>
        </w:rPr>
        <w:outlineLvl w:val="0"/>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p>
    <w:p>
      <w:pPr>
        <w:ind w:firstLine="1084"/>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p>
    <w:p>
      <w:pPr>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p>
    <w:p>
      <w:pPr>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highlight w:val="none"/>
        </w:rPr>
      </w:pPr>
      <w:r>
        <w:rPr>
          <w:rFonts w:ascii="宋体" w:hAnsi="宋体"/>
          <w:color w:val="000000"/>
          <w:highlight w:val="none"/>
        </w:rPr>
      </w:r>
      <w:r/>
    </w:p>
    <w:p>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二、法定代表人授权委托书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三、投标函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八、中小企业声明函（如有）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九、残疾人福利性单位声明函（如有）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p>
    <w:p>
      <w:pPr>
        <w:pStyle w:val="736"/>
        <w:rPr>
          <w:rFonts w:hint="eastAsia"/>
          <w:highlight w:val="none"/>
          <w:lang w:val="en-US" w:eastAsia="zh-CN"/>
        </w:rPr>
      </w:pPr>
      <w:r>
        <w:rPr>
          <w:rFonts w:hint="eastAsia"/>
          <w:highlight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outlineLvl w:val="0"/>
      </w:pPr>
      <w:r>
        <w:rPr>
          <w:rFonts w:ascii="宋体" w:hAnsi="宋体"/>
          <w:color w:val="000000"/>
          <w:sz w:val="24"/>
          <w:szCs w:val="24"/>
          <w:highlight w:val="none"/>
        </w:rPr>
        <w:br w:type="page" w:clear="all"/>
      </w:r>
      <w:bookmarkEnd w:id="181"/>
      <w:r/>
      <w:bookmarkEnd w:id="182"/>
      <w:r/>
      <w:bookmarkEnd w:id="204"/>
      <w:r/>
      <w:bookmarkEnd w:id="205"/>
      <w:r/>
      <w:bookmarkEnd w:id="206"/>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94"/>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jc w:val="left"/>
        <w:spacing w:line="360" w:lineRule="auto"/>
        <w:rPr>
          <w:rFonts w:hint="eastAsia" w:ascii="黑体" w:hAnsi="黑体" w:eastAsia="黑体" w:cs="Times New Roman"/>
          <w:i w:val="0"/>
          <w:sz w:val="32"/>
          <w:szCs w:val="32"/>
          <w:highlight w:val="none"/>
          <w:u w:val="none"/>
          <w:lang w:eastAsia="zh-CN"/>
        </w:rPr>
        <w:outlineLvl w:val="0"/>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66"/>
        <w:ind w:firstLine="480"/>
        <w:spacing w:line="420" w:lineRule="exact"/>
        <w:rPr>
          <w:rFonts w:hint="eastAsia"/>
          <w:sz w:val="24"/>
          <w:szCs w:val="24"/>
          <w:highlight w:val="none"/>
        </w:rPr>
      </w:pPr>
      <w:r>
        <w:rPr>
          <w:rFonts w:hint="eastAsia"/>
          <w:sz w:val="24"/>
          <w:szCs w:val="24"/>
          <w:highlight w:val="none"/>
        </w:rPr>
      </w:r>
      <w:r/>
    </w:p>
    <w:p>
      <w:pPr>
        <w:pStyle w:val="966"/>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66"/>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66"/>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6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6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6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66"/>
        <w:ind w:firstLine="480"/>
        <w:spacing w:line="480" w:lineRule="exact"/>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                      </w:t>
      </w:r>
      <w:r/>
    </w:p>
    <w:p>
      <w:pPr>
        <w:pStyle w:val="966"/>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66"/>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689"/>
        <w:ind w:firstLine="0"/>
        <w:rPr>
          <w:rFonts w:hint="eastAsia"/>
          <w:highlight w:val="none"/>
        </w:rPr>
      </w:pPr>
      <w:r>
        <w:rPr>
          <w:rFonts w:hint="eastAsia"/>
          <w:highlight w:val="none"/>
        </w:rPr>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66"/>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66"/>
        <w:ind w:firstLine="480"/>
        <w:spacing w:line="480" w:lineRule="exact"/>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68"/>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68"/>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68"/>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68"/>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68"/>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p>
    <w:p>
      <w:pPr>
        <w:pStyle w:val="968"/>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p>
    <w:p>
      <w:pPr>
        <w:pStyle w:val="968"/>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p>
    <w:p>
      <w:pPr>
        <w:pStyle w:val="968"/>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p>
    <w:p>
      <w:pPr>
        <w:pStyle w:val="968"/>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p>
    <w:p>
      <w:pPr>
        <w:pStyle w:val="968"/>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p>
    <w:p>
      <w:pPr>
        <w:pStyle w:val="968"/>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p>
    <w:p>
      <w:pPr>
        <w:pStyle w:val="968"/>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p>
    <w:p>
      <w:pPr>
        <w:pStyle w:val="968"/>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p>
    <w:p>
      <w:pPr>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tbl>
      <w:tblPr>
        <w:tblStyle w:val="663"/>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96"/>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Fonts w:hint="eastAsia" w:ascii="宋体" w:hAnsi="宋体" w:cs="Times New Roman"/>
                <w:sz w:val="24"/>
                <w:szCs w:val="24"/>
                <w:highlight w:val="none"/>
                <w:lang w:val="en-US" w:eastAsia="zh-CN" w:bidi="ar-SA"/>
              </w:rPr>
              <w:t xml:space="preserve">（三年总价）</w:t>
            </w:r>
            <w:r/>
          </w:p>
        </w:tc>
      </w:tr>
      <w:tr>
        <w:trPr>
          <w:cantSplit/>
          <w:trHeight w:val="780"/>
        </w:trPr>
        <w:tc>
          <w:tcPr>
            <w:tcW w:w="9311" w:type="dxa"/>
            <w:vAlign w:val="center"/>
            <w:textDirection w:val="lrTb"/>
            <w:noWrap w:val="false"/>
          </w:tcPr>
          <w:p>
            <w:pPr>
              <w:pStyle w:val="968"/>
              <w:ind w:firstLine="0"/>
              <w:jc w:val="left"/>
              <w:keepLines w:val="0"/>
              <w:keepNext w:val="0"/>
              <w:pageBreakBefore w:val="0"/>
              <w:spacing w:before="0" w:after="0" w:line="480" w:lineRule="auto"/>
              <w:widowControl w:val="off"/>
              <w:rPr>
                <w:rStyle w:val="696"/>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pStyle w:val="747"/>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36"/>
        <w:rPr>
          <w:rFonts w:hint="eastAsia"/>
          <w:highlight w:val="none"/>
        </w:rPr>
      </w:pPr>
      <w:r>
        <w:rPr>
          <w:rFonts w:hint="eastAsia"/>
          <w:highlight w:val="none"/>
        </w:rPr>
      </w:r>
      <w:r/>
    </w:p>
    <w:p>
      <w:pPr>
        <w:rPr>
          <w:rFonts w:hint="eastAsia"/>
          <w:highlight w:val="none"/>
        </w:rPr>
      </w:pPr>
      <w:r>
        <w:rPr>
          <w:rFonts w:hint="eastAsia"/>
          <w:highlight w:val="none"/>
        </w:rPr>
      </w:r>
      <w:r/>
    </w:p>
    <w:p>
      <w:pPr>
        <w:pStyle w:val="736"/>
        <w:rPr>
          <w:rFonts w:hint="eastAsia"/>
          <w:highlight w:val="none"/>
        </w:rPr>
      </w:pPr>
      <w:r>
        <w:rPr>
          <w:rFonts w:hint="eastAsia"/>
          <w:highlight w:val="none"/>
        </w:rPr>
      </w:r>
      <w:r/>
    </w:p>
    <w:p>
      <w:pPr>
        <w:rPr>
          <w:rFonts w:hint="eastAsia"/>
          <w:highlight w:val="none"/>
        </w:rPr>
      </w:pPr>
      <w:r>
        <w:rPr>
          <w:rFonts w:hint="eastAsia"/>
          <w:highlight w:val="none"/>
        </w:rPr>
      </w:r>
      <w:r/>
    </w:p>
    <w:p>
      <w:pPr>
        <w:pStyle w:val="736"/>
        <w:rPr>
          <w:rFonts w:hint="eastAsia"/>
          <w:highlight w:val="none"/>
        </w:rPr>
      </w:pPr>
      <w:r>
        <w:rPr>
          <w:rFonts w:hint="eastAsia"/>
          <w:highlight w:val="none"/>
        </w:rPr>
      </w:r>
      <w:r/>
    </w:p>
    <w:p>
      <w:pPr>
        <w:rPr>
          <w:rFonts w:hint="eastAsia"/>
          <w:highlight w:val="none"/>
        </w:rPr>
      </w:pPr>
      <w:r>
        <w:rPr>
          <w:rFonts w:hint="eastAsia"/>
          <w:highlight w:val="none"/>
        </w:rPr>
      </w:r>
      <w:r/>
    </w:p>
    <w:p>
      <w:pPr>
        <w:pStyle w:val="736"/>
        <w:rPr>
          <w:rFonts w:hint="eastAsia"/>
          <w:highlight w:val="none"/>
        </w:rPr>
      </w:pPr>
      <w:r>
        <w:rPr>
          <w:rFonts w:hint="eastAsia"/>
          <w:highlight w:val="none"/>
        </w:rPr>
      </w:r>
      <w:r/>
    </w:p>
    <w:p>
      <w:pPr>
        <w:pStyle w:val="747"/>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47"/>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47"/>
        <w:rPr>
          <w:rFonts w:hint="eastAsia"/>
          <w:highlight w:val="none"/>
        </w:rPr>
      </w:pPr>
      <w:r>
        <w:rPr>
          <w:rFonts w:hint="eastAsia"/>
          <w:highlight w:val="none"/>
        </w:rPr>
      </w:r>
      <w:r/>
    </w:p>
    <w:p>
      <w:pPr>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7" w:name="OLE_LINK3"/>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7"/>
      <w:r/>
      <w:r/>
    </w:p>
    <w:tbl>
      <w:tblPr>
        <w:tblStyle w:val="663"/>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服装费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办公用品费、培训费、交通费、通讯费等</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卫生保洁用品费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零星维修配件及耗材费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6</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雨污水管网清淤清理费用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7</w:t>
            </w:r>
            <w:r/>
          </w:p>
        </w:tc>
        <w:tc>
          <w:tcPr>
            <w:tcW w:w="2559" w:type="dxa"/>
            <w:vAlign w:val="center"/>
            <w:textDirection w:val="lrTb"/>
            <w:noWrap w:val="false"/>
          </w:tcPr>
          <w:p>
            <w:pPr>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避雷检测费用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8</w:t>
            </w:r>
            <w:r/>
          </w:p>
        </w:tc>
        <w:tc>
          <w:tcPr>
            <w:tcW w:w="2559" w:type="dxa"/>
            <w:vAlign w:val="center"/>
            <w:textDirection w:val="lrTb"/>
            <w:noWrap w:val="false"/>
          </w:tcPr>
          <w:p>
            <w:pPr>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生活饮用水检测费用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9</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法定税费</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10</w:t>
            </w:r>
            <w:r/>
          </w:p>
        </w:tc>
        <w:tc>
          <w:tcPr>
            <w:tcW w:w="2559" w:type="dxa"/>
            <w:vAlign w:val="center"/>
            <w:textDirection w:val="lrTb"/>
            <w:noWrap w:val="false"/>
          </w:tcPr>
          <w:p>
            <w:pPr>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其他费用</w:t>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733"/>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p>
    <w:p>
      <w:pPr>
        <w:pStyle w:val="733"/>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p>
    <w:p>
      <w:pPr>
        <w:pStyle w:val="733"/>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208"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bookmarkEnd w:id="208"/>
      <w:r/>
    </w:p>
    <w:p>
      <w:pPr>
        <w:pStyle w:val="7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3"/>
        <w:tblW w:w="524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80"/>
        <w:gridCol w:w="1161"/>
        <w:gridCol w:w="1417"/>
        <w:gridCol w:w="1065"/>
        <w:gridCol w:w="1489"/>
        <w:gridCol w:w="2741"/>
      </w:tblGrid>
      <w:tr>
        <w:trPr>
          <w:jc w:val="center"/>
          <w:trHeight w:val="452"/>
        </w:trPr>
        <w:tc>
          <w:tcPr>
            <w:tcW w:w="9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0"/>
            <w:r>
              <w:rPr>
                <w:rFonts w:hint="eastAsia" w:ascii="宋体" w:hAnsi="宋体" w:eastAsia="宋体" w:cs="宋体"/>
                <w:b/>
                <w:bCs/>
                <w:i w:val="0"/>
                <w:iCs w:val="0"/>
                <w:color w:val="000000"/>
                <w:sz w:val="18"/>
                <w:szCs w:val="18"/>
                <w:highlight w:val="none"/>
                <w:u w:val="none"/>
                <w:lang w:val="en-US" w:eastAsia="zh-CN"/>
              </w:rPr>
              <w:t xml:space="preserve">1</w:t>
            </w:r>
            <w:r/>
          </w:p>
        </w:tc>
        <w:tc>
          <w:tcPr>
            <w:gridSpan w:val="6"/>
            <w:tcW w:w="9553" w:type="dxa"/>
            <w:vAlign w:val="center"/>
            <w:textDirection w:val="lrTb"/>
            <w:noWrap w:val="false"/>
          </w:tcPr>
          <w:p>
            <w:pPr>
              <w:jc w:val="left"/>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bookmarkEnd w:id="209"/>
            <w:r/>
          </w:p>
        </w:tc>
      </w:tr>
      <w:tr>
        <w:trPr>
          <w:jc w:val="center"/>
          <w:trHeight w:val="737"/>
        </w:trPr>
        <w:tc>
          <w:tcPr>
            <w:tcW w:w="900" w:type="dxa"/>
            <w:vAlign w:val="center"/>
            <w:vMerge w:val="continue"/>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p>
        </w:tc>
        <w:tc>
          <w:tcPr>
            <w:tcW w:w="11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p>
        </w:tc>
        <w:tc>
          <w:tcPr>
            <w:tcW w:w="14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p>
        </w:tc>
        <w:tc>
          <w:tcPr>
            <w:tcW w:w="1065" w:type="dxa"/>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14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p>
        </w:tc>
        <w:tc>
          <w:tcPr>
            <w:tcW w:w="27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p>
        </w:tc>
        <w:tc>
          <w:tcPr>
            <w:gridSpan w:val="6"/>
            <w:tcW w:w="9553"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vMerge w:val="restart"/>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bookmarkStart w:id="210" w:name="OLE_LINK11"/>
            <w:r>
              <w:rPr>
                <w:rFonts w:hint="eastAsia" w:ascii="宋体" w:hAnsi="宋体" w:eastAsia="宋体" w:cs="宋体"/>
                <w:b/>
                <w:bCs/>
                <w:i w:val="0"/>
                <w:iCs w:val="0"/>
                <w:color w:val="000000"/>
                <w:sz w:val="18"/>
                <w:szCs w:val="18"/>
                <w:highlight w:val="none"/>
                <w:u w:val="none"/>
                <w:lang w:val="en-US" w:eastAsia="zh-CN"/>
              </w:rPr>
              <w:t xml:space="preserve">2</w:t>
            </w:r>
            <w:r/>
          </w:p>
        </w:tc>
        <w:tc>
          <w:tcPr>
            <w:gridSpan w:val="6"/>
            <w:tcW w:w="9553" w:type="dxa"/>
            <w:vAlign w:val="center"/>
            <w:textDirection w:val="lrTb"/>
            <w:noWrap w:val="false"/>
          </w:tcPr>
          <w:p>
            <w:pPr>
              <w:jc w:val="left"/>
              <w:widowControl/>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bookmarkEnd w:id="210"/>
            <w:r/>
          </w:p>
        </w:tc>
      </w:tr>
      <w:tr>
        <w:trPr>
          <w:jc w:val="center"/>
          <w:trHeight w:val="1464"/>
        </w:trPr>
        <w:tc>
          <w:tcPr>
            <w:tcW w:w="9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p>
        </w:tc>
      </w:tr>
      <w:tr>
        <w:trPr>
          <w:jc w:val="center"/>
          <w:trHeight w:val="450"/>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p>
        </w:tc>
        <w:tc>
          <w:tcPr>
            <w:gridSpan w:val="6"/>
            <w:tcW w:w="9553"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vMerge w:val="restart"/>
            <w:textDirection w:val="lrTb"/>
            <w:noWrap w:val="false"/>
          </w:tcPr>
          <w:p>
            <w:pPr>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3</w:t>
            </w:r>
            <w:r/>
          </w:p>
        </w:tc>
        <w:tc>
          <w:tcPr>
            <w:gridSpan w:val="6"/>
            <w:tcW w:w="9553" w:type="dxa"/>
            <w:vAlign w:val="center"/>
            <w:textDirection w:val="lrTb"/>
            <w:noWrap w:val="false"/>
          </w:tcPr>
          <w:p>
            <w:pPr>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周末加班工资</w:t>
            </w:r>
            <w:r/>
          </w:p>
        </w:tc>
      </w:tr>
      <w:tr>
        <w:trPr>
          <w:jc w:val="center"/>
          <w:trHeight w:val="450"/>
        </w:trPr>
        <w:tc>
          <w:tcPr>
            <w:tcW w:w="900" w:type="dxa"/>
            <w:vAlign w:val="center"/>
            <w:vMerge w:val="continue"/>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p>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参考计算公式：人员工资÷21.75天（平均月计薪天数）×2×人数×周末加班天数</w:t>
            </w:r>
            <w:r>
              <w:rPr>
                <w:rFonts w:hint="eastAsia" w:ascii="宋体" w:hAnsi="宋体" w:eastAsia="宋体" w:cs="宋体"/>
                <w:b/>
                <w:bCs/>
                <w:i w:val="0"/>
                <w:iCs w:val="0"/>
                <w:color w:val="000000"/>
                <w:sz w:val="18"/>
                <w:szCs w:val="18"/>
                <w:highlight w:val="none"/>
                <w:u w:val="none"/>
                <w:lang w:val="en-US" w:eastAsia="zh-CN"/>
              </w:rPr>
              <w:t xml:space="preserve">）</w:t>
            </w:r>
            <w:r/>
          </w:p>
        </w:tc>
      </w:tr>
      <w:tr>
        <w:trPr>
          <w:jc w:val="center"/>
          <w:trHeight w:val="450"/>
        </w:trPr>
        <w:tc>
          <w:tcPr>
            <w:tcW w:w="900"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（1）</w:t>
            </w:r>
            <w:r/>
          </w:p>
        </w:tc>
        <w:tc>
          <w:tcPr>
            <w:tcW w:w="1680"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（2）</w:t>
            </w:r>
            <w:r/>
          </w:p>
        </w:tc>
        <w:tc>
          <w:tcPr>
            <w:tcW w:w="1680"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w:t>
            </w:r>
            <w:r/>
          </w:p>
        </w:tc>
        <w:tc>
          <w:tcPr>
            <w:tcW w:w="1680"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W w:w="900" w:type="dxa"/>
            <w:vAlign w:val="center"/>
            <w:textDirection w:val="lrTb"/>
            <w:noWrap w:val="false"/>
          </w:tcPr>
          <w:p>
            <w:pPr>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p>
        </w:tc>
        <w:tc>
          <w:tcPr>
            <w:gridSpan w:val="6"/>
            <w:tcW w:w="9553" w:type="dxa"/>
            <w:vAlign w:val="center"/>
            <w:textDirection w:val="lrTb"/>
            <w:noWrap w:val="false"/>
          </w:tcPr>
          <w:p>
            <w:pPr>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12"/>
        </w:trPr>
        <w:tc>
          <w:tcPr>
            <w:tcW w:w="9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211" w:name="OLE_LINK12"/>
            <w:r>
              <w:rPr>
                <w:rFonts w:hint="eastAsia" w:ascii="宋体" w:hAnsi="宋体" w:eastAsia="宋体" w:cs="宋体"/>
                <w:b/>
                <w:bCs/>
                <w:i w:val="0"/>
                <w:iCs w:val="0"/>
                <w:color w:val="000000"/>
                <w:sz w:val="18"/>
                <w:szCs w:val="18"/>
                <w:highlight w:val="none"/>
                <w:u w:val="none"/>
                <w:lang w:val="en-US" w:eastAsia="zh-CN"/>
              </w:rPr>
              <w:t xml:space="preserve">4</w:t>
            </w:r>
            <w:r/>
          </w:p>
        </w:tc>
        <w:tc>
          <w:tcPr>
            <w:gridSpan w:val="6"/>
            <w:tcW w:w="9553" w:type="dxa"/>
            <w:vAlign w:val="center"/>
            <w:textDirection w:val="lrTb"/>
            <w:noWrap w:val="false"/>
          </w:tcPr>
          <w:p>
            <w:pPr>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bookmarkEnd w:id="211"/>
            <w:r/>
          </w:p>
        </w:tc>
      </w:tr>
      <w:tr>
        <w:trPr>
          <w:jc w:val="center"/>
          <w:trHeight w:val="1149"/>
        </w:trPr>
        <w:tc>
          <w:tcPr>
            <w:tcW w:w="9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Start w:id="212" w:name="OLE_LINK13"/>
            <w:r/>
            <w:r/>
          </w:p>
        </w:tc>
        <w:tc>
          <w:tcPr>
            <w:tcW w:w="1680" w:type="dxa"/>
            <w:vAlign w:val="center"/>
            <w:textDirection w:val="lrTb"/>
            <w:noWrap w:val="false"/>
          </w:tcPr>
          <w:p>
            <w:pPr>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p>
        </w:tc>
        <w:tc>
          <w:tcPr>
            <w:tcW w:w="1065"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1489"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bookmarkEnd w:id="212"/>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p>
        </w:tc>
        <w:tc>
          <w:tcPr>
            <w:gridSpan w:val="6"/>
            <w:tcW w:w="95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W w:w="9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5</w:t>
            </w:r>
            <w:r/>
          </w:p>
        </w:tc>
        <w:tc>
          <w:tcPr>
            <w:gridSpan w:val="6"/>
            <w:tcW w:w="95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W w:w="9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W w:w="1680"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W w:w="116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p>
        </w:tc>
        <w:tc>
          <w:tcPr>
            <w:tcW w:w="1417"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p>
        </w:tc>
        <w:tc>
          <w:tcPr>
            <w:tcW w:w="1065"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W w:w="1489"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W w:w="2741" w:type="dxa"/>
            <w:vAlign w:val="center"/>
            <w:textDirection w:val="lrTb"/>
            <w:noWrap w:val="false"/>
          </w:tcPr>
          <w:p>
            <w:pPr>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p>
        </w:tc>
        <w:tc>
          <w:tcPr>
            <w:tcW w:w="16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W w:w="900" w:type="dxa"/>
            <w:vAlign w:val="center"/>
            <w:textDirection w:val="lrTb"/>
            <w:noWrap w:val="false"/>
          </w:tcPr>
          <w:p>
            <w:pPr>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p>
        </w:tc>
        <w:tc>
          <w:tcPr>
            <w:gridSpan w:val="6"/>
            <w:tcW w:w="955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W w:w="900" w:type="dxa"/>
            <w:vAlign w:val="center"/>
            <w:textDirection w:val="lrTb"/>
            <w:noWrap w:val="false"/>
          </w:tcPr>
          <w:p>
            <w:pPr>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p>
        </w:tc>
        <w:tc>
          <w:tcPr>
            <w:gridSpan w:val="6"/>
            <w:tcW w:w="9553" w:type="dxa"/>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W w:w="10453" w:type="dxa"/>
            <w:vAlign w:val="center"/>
            <w:textDirection w:val="lrTb"/>
            <w:noWrap w:val="false"/>
          </w:tcPr>
          <w:p>
            <w:pPr>
              <w:jc w:val="left"/>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p>
    <w:tbl>
      <w:tblPr>
        <w:tblStyle w:val="663"/>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p>
        </w:tc>
        <w:tc>
          <w:tcPr>
            <w:tcW w:w="1748"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p>
        </w:tc>
        <w:tc>
          <w:tcPr>
            <w:tcW w:w="4257"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p>
        </w:tc>
        <w:tc>
          <w:tcPr>
            <w:tcW w:w="1627"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p>
        </w:tc>
        <w:tc>
          <w:tcPr>
            <w:tcW w:w="1537" w:type="dxa"/>
            <w:vAlign w:val="center"/>
            <w:textDirection w:val="lrTb"/>
            <w:noWrap/>
          </w:tcPr>
          <w:p>
            <w:pPr>
              <w:jc w:val="center"/>
              <w:keepLines w:val="0"/>
              <w:keepNext w:val="0"/>
              <w:pageBreakBefore w:val="0"/>
              <w:spacing w:line="240" w:lineRule="auto"/>
              <w:widowControl/>
              <w:rPr>
                <w:rStyle w:val="69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p>
        </w:tc>
      </w:tr>
      <w:tr>
        <w:trPr>
          <w:trHeight w:val="417" w:hRule="exact"/>
        </w:trPr>
        <w:tc>
          <w:tcPr>
            <w:tcW w:w="736"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p>
        </w:tc>
        <w:tc>
          <w:tcPr>
            <w:tcW w:w="1748"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p>
        </w:tc>
        <w:tc>
          <w:tcPr>
            <w:tcW w:w="425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p>
        </w:tc>
        <w:tc>
          <w:tcPr>
            <w:tcW w:w="153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p>
        </w:tc>
        <w:tc>
          <w:tcPr>
            <w:tcW w:w="1748"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p>
        </w:tc>
        <w:tc>
          <w:tcPr>
            <w:tcW w:w="425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）*缴费比例（≥2</w:t>
            </w:r>
            <w:r>
              <w:rPr>
                <w:rFonts w:hint="eastAsia" w:ascii="宋体" w:hAnsi="宋体" w:cs="宋体"/>
                <w:sz w:val="21"/>
                <w:szCs w:val="21"/>
                <w:highlight w:val="none"/>
                <w:vertAlign w:val="baseline"/>
                <w:lang w:val="en-US" w:eastAsia="zh-CN" w:bidi="ar-SA"/>
              </w:rPr>
              <w:t xml:space="preserve">4.7</w:t>
            </w:r>
            <w:r>
              <w:rPr>
                <w:rFonts w:hint="eastAsia" w:ascii="宋体" w:hAnsi="宋体" w:eastAsia="宋体" w:cs="宋体"/>
                <w:sz w:val="21"/>
                <w:szCs w:val="21"/>
                <w:highlight w:val="none"/>
                <w:vertAlign w:val="baseline"/>
                <w:lang w:val="en-US" w:eastAsia="zh-CN" w:bidi="ar-SA"/>
              </w:rPr>
              <w:t xml:space="preserve">%）</w:t>
            </w:r>
            <w:r/>
          </w:p>
        </w:tc>
        <w:tc>
          <w:tcPr>
            <w:tcW w:w="1627"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w:t>
            </w:r>
            <w:r>
              <w:rPr>
                <w:rFonts w:hint="eastAsia" w:ascii="宋体" w:hAnsi="宋体" w:cs="宋体"/>
                <w:sz w:val="21"/>
                <w:szCs w:val="21"/>
                <w:highlight w:val="none"/>
                <w:vertAlign w:val="baseline"/>
                <w:lang w:val="en-US" w:eastAsia="zh-CN" w:bidi="ar-SA"/>
              </w:rPr>
              <w:t xml:space="preserve">41.1</w:t>
            </w:r>
            <w:bookmarkStart w:id="223" w:name="_GoBack"/>
            <w:r/>
            <w:bookmarkEnd w:id="223"/>
            <w:r>
              <w:rPr>
                <w:rFonts w:hint="eastAsia" w:ascii="宋体" w:hAnsi="宋体" w:eastAsia="宋体" w:cs="宋体"/>
                <w:sz w:val="21"/>
                <w:szCs w:val="21"/>
                <w:highlight w:val="none"/>
                <w:vertAlign w:val="baseline"/>
                <w:lang w:val="en-US" w:eastAsia="zh-CN" w:bidi="ar-SA"/>
              </w:rPr>
              <w:t xml:space="preserve">75</w:t>
            </w:r>
            <w:r/>
          </w:p>
        </w:tc>
        <w:tc>
          <w:tcPr>
            <w:tcW w:w="1537" w:type="dxa"/>
            <w:vAlign w:val="center"/>
            <w:textDirection w:val="lrTb"/>
            <w:noWrap/>
          </w:tcPr>
          <w:p>
            <w:pPr>
              <w:jc w:val="left"/>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p>
        </w:tc>
        <w:tc>
          <w:tcPr>
            <w:tcW w:w="1748"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p>
        </w:tc>
        <w:tc>
          <w:tcPr>
            <w:tcW w:w="425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p>
        </w:tc>
        <w:tc>
          <w:tcPr>
            <w:tcW w:w="1748"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p>
        </w:tc>
        <w:tc>
          <w:tcPr>
            <w:tcW w:w="4257" w:type="dxa"/>
            <w:vAlign w:val="center"/>
            <w:textDirection w:val="lrTb"/>
            <w:noWrap/>
          </w:tcPr>
          <w:p>
            <w:pPr>
              <w:jc w:val="center"/>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W w:w="1627" w:type="dxa"/>
            <w:vAlign w:val="center"/>
            <w:textDirection w:val="lrTb"/>
            <w:noWrap/>
          </w:tcPr>
          <w:p>
            <w:pPr>
              <w:jc w:val="center"/>
              <w:keepLines w:val="0"/>
              <w:keepNext w:val="0"/>
              <w:pageBreakBefore w:val="0"/>
              <w:spacing w:line="240" w:lineRule="auto"/>
              <w:widowControl w:val="off"/>
              <w:rPr>
                <w:rStyle w:val="69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W w:w="1537" w:type="dxa"/>
            <w:vAlign w:val="center"/>
            <w:textDirection w:val="lrTb"/>
            <w:noWrap/>
          </w:tcPr>
          <w:p>
            <w:pPr>
              <w:jc w:val="left"/>
              <w:keepLines w:val="0"/>
              <w:keepNext w:val="0"/>
              <w:pageBreakBefore w:val="0"/>
              <w:spacing w:line="240" w:lineRule="auto"/>
              <w:widowControl w:val="off"/>
              <w:rPr>
                <w:rStyle w:val="69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47"/>
        <w:rPr>
          <w:highlight w:val="none"/>
          <w:lang w:val="en-US" w:eastAsia="zh-CN"/>
        </w:rPr>
      </w:pPr>
      <w:r>
        <w:rPr>
          <w:highlight w:val="none"/>
          <w:lang w:val="en-US" w:eastAsia="zh-CN"/>
        </w:rPr>
      </w:r>
      <w:r/>
    </w:p>
    <w:p>
      <w:pPr>
        <w:spacing w:line="480" w:lineRule="exact"/>
        <w:rPr>
          <w:rFonts w:hint="eastAsia" w:ascii="黑体" w:hAnsi="黑体" w:eastAsia="黑体" w:cs="Times New Roman"/>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36"/>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3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733"/>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p>
    <w:p>
      <w:pPr>
        <w:pStyle w:val="733"/>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outlineLvl w:val="0"/>
      </w:pPr>
      <w:r/>
      <w:bookmarkStart w:id="213" w:name="_Hlt26955054"/>
      <w:r/>
      <w:bookmarkEnd w:id="213"/>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736"/>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bookmarkStart w:id="214" w:name="_Hlt26671343"/>
            <w:r/>
            <w:bookmarkEnd w:id="214"/>
            <w:r/>
            <w:bookmarkStart w:id="215" w:name="_Hlt26955056"/>
            <w:r/>
            <w:bookmarkEnd w:id="215"/>
            <w:r/>
            <w:bookmarkStart w:id="216" w:name="_Hlt26609391"/>
            <w:r/>
            <w:bookmarkEnd w:id="216"/>
            <w:r/>
            <w:bookmarkStart w:id="217" w:name="_Hlt26782999"/>
            <w:r/>
            <w:bookmarkEnd w:id="217"/>
            <w:r/>
            <w:bookmarkStart w:id="218" w:name="_Hlt26955064"/>
            <w:r/>
            <w:bookmarkEnd w:id="218"/>
            <w:r/>
            <w:bookmarkStart w:id="219" w:name="_Hlt26671372"/>
            <w:r/>
            <w:bookmarkEnd w:id="219"/>
            <w:r/>
            <w:bookmarkStart w:id="220" w:name="_Hlt24879081"/>
            <w:r/>
            <w:bookmarkEnd w:id="220"/>
            <w:r/>
            <w:bookmarkStart w:id="221" w:name="_Hlt26580838"/>
            <w:r/>
            <w:bookmarkEnd w:id="221"/>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3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73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7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highlight w:val="none"/>
        </w:rPr>
      </w:pPr>
      <w:r>
        <w:rPr>
          <w:highlight w:val="none"/>
        </w:rPr>
      </w:r>
      <w:r/>
    </w:p>
    <w:p>
      <w:pPr>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47"/>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ind w:firstLine="0"/>
        <w:jc w:val="left"/>
        <w:spacing w:line="360" w:lineRule="auto"/>
        <w:rPr>
          <w:rFonts w:hint="eastAsia" w:ascii="黑体" w:hAnsi="黑体" w:eastAsia="黑体"/>
          <w:b w:val="0"/>
          <w:sz w:val="32"/>
          <w:szCs w:val="32"/>
          <w:highlight w:val="none"/>
        </w:rPr>
        <w:outlineLvl w:val="0"/>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747"/>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480"/>
        <w:spacing w:line="480" w:lineRule="exact"/>
        <w:rPr>
          <w:rFonts w:ascii="宋体" w:hAnsi="宋体"/>
          <w:sz w:val="24"/>
          <w:highlight w:val="none"/>
        </w:rPr>
      </w:pPr>
      <w:r>
        <w:rPr>
          <w:rFonts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p>
    <w:p>
      <w:pPr>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p>
    <w:p>
      <w:pPr>
        <w:pStyle w:val="736"/>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r/>
    </w:p>
    <w:p>
      <w:pPr>
        <w:pStyle w:val="747"/>
        <w:rPr>
          <w:rFonts w:hint="eastAsia" w:ascii="宋体" w:hAnsi="宋体"/>
          <w:sz w:val="24"/>
          <w:highlight w:val="none"/>
        </w:rPr>
      </w:pPr>
      <w:r>
        <w:rPr>
          <w:rFonts w:hint="eastAsia"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keepLines w:val="0"/>
        <w:keepNext w:val="0"/>
        <w:pageBreakBefore w:val="0"/>
        <w:spacing w:line="360" w:lineRule="auto"/>
        <w:widowControl/>
        <w:rPr>
          <w:highlight w:val="none"/>
          <w:lang w:val="en-US"/>
        </w:rPr>
        <w:outlineLvl w:val="0"/>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p>
    <w:p>
      <w:pPr>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jc w:val="center"/>
              <w:keepLines w:val="0"/>
              <w:keepNext w:val="0"/>
              <w:spacing w:after="0" w:line="240" w:lineRule="auto"/>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43"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9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811"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jc w:val="center"/>
              <w:keepLines w:val="0"/>
              <w:keepNext w:val="0"/>
              <w:spacing w:after="0" w:line="240" w:lineRule="auto"/>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c>
          <w:tcPr>
            <w:tcW w:w="1287" w:type="dxa"/>
            <w:vAlign w:val="center"/>
            <w:textDirection w:val="lrTb"/>
            <w:noWrap w:val="false"/>
          </w:tcPr>
          <w:p>
            <w:pPr>
              <w:jc w:val="center"/>
              <w:keepLines w:val="0"/>
              <w:keepNext w:val="0"/>
              <w:spacing w:after="0" w:line="240" w:lineRule="auto"/>
              <w:widowControl/>
              <w:rPr>
                <w:highlight w:val="none"/>
                <w:vertAlign w:val="baseline"/>
              </w:rPr>
              <w:suppressLineNumbers w:val="0"/>
            </w:pPr>
            <w:r>
              <w:rPr>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p>
    <w:p>
      <w:pPr>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采购人（投标人）：</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乙方承诺将在上述情况下与采购人签订分包合同。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本协议自各方盖章之日起生效，如采购人未在该项目（采购包）中标，本协议自动终止。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p>
    <w:p>
      <w:pPr>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bookmarkStart w:id="222" w:name="OLE_LINK15"/>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bookmarkEnd w:id="222"/>
      <w:r/>
    </w:p>
    <w:p>
      <w:pPr>
        <w:pStyle w:val="747"/>
        <w:ind w:left="0" w:firstLine="0"/>
        <w:rPr>
          <w:rFonts w:hint="eastAsia"/>
          <w:highlight w:val="none"/>
        </w:rPr>
      </w:pPr>
      <w:r>
        <w:rPr>
          <w:rFonts w:hint="eastAsia"/>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３５</w:t>
    </w:r>
    <w:r>
      <w:rPr>
        <w:rFonts w:ascii="宋体" w:hAnsi="宋体"/>
      </w:rPr>
      <w:fldChar w:fldCharType="end"/>
    </w:r>
    <w:r/>
  </w:p>
  <w:p>
    <w:pPr>
      <w:pStyle w:val="92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p>
  <w:p>
    <w:pPr>
      <w:pStyle w:val="9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3"/>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7"/>
      <w:isLgl w:val="false"/>
      <w:suff w:val="nothing"/>
      <w:lvlText w:val=""/>
      <w:lvlJc w:val="left"/>
      <w:pPr>
        <w:ind w:left="0" w:firstLine="0"/>
      </w:pPr>
      <w:rPr>
        <w:rFonts w:hint="eastAsia"/>
      </w:rPr>
    </w:lvl>
    <w:lvl w:ilvl="8">
      <w:start w:val="1"/>
      <w:numFmt w:val="decimal"/>
      <w:pStyle w:val="899"/>
      <w:isLgl w:val="false"/>
      <w:suff w:val="nothing"/>
      <w:lvlText w:val=""/>
      <w:lvlJc w:val="left"/>
      <w:pPr>
        <w:ind w:left="0" w:firstLine="0"/>
      </w:pPr>
      <w:rPr>
        <w:rFonts w:hint="eastAsia"/>
      </w:rPr>
    </w:lvl>
  </w:abstractNum>
  <w:abstractNum w:abstractNumId="3">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link w:val="100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3">
    <w:name w:val="Heading 1"/>
    <w:basedOn w:val="652"/>
    <w:next w:val="652"/>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正文1"/>
    <w:basedOn w:val="652"/>
    <w:uiPriority w:val="0"/>
    <w:qFormat/>
    <w:pPr>
      <w:ind w:left="350" w:firstLine="0"/>
    </w:pPr>
    <w:rPr>
      <w:rFonts w:cs="Times New Roman"/>
      <w:sz w:val="20"/>
      <w:szCs w:val="24"/>
    </w:rPr>
  </w:style>
  <w:style w:type="paragraph" w:styleId="665">
    <w:name w:val="toc 7"/>
    <w:basedOn w:val="652"/>
    <w:next w:val="652"/>
    <w:uiPriority w:val="39"/>
    <w:unhideWhenUsed/>
    <w:qFormat/>
    <w:pPr>
      <w:ind w:left="1701" w:right="0" w:firstLine="0"/>
      <w:spacing w:after="57"/>
    </w:pPr>
  </w:style>
  <w:style w:type="paragraph" w:styleId="666">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7">
    <w:name w:val="toc 5"/>
    <w:basedOn w:val="652"/>
    <w:next w:val="652"/>
    <w:uiPriority w:val="39"/>
    <w:unhideWhenUsed/>
    <w:qFormat/>
    <w:pPr>
      <w:ind w:left="1134" w:right="0" w:firstLine="0"/>
      <w:spacing w:after="57"/>
    </w:pPr>
  </w:style>
  <w:style w:type="paragraph" w:styleId="668">
    <w:name w:val="toc 3"/>
    <w:basedOn w:val="652"/>
    <w:next w:val="652"/>
    <w:uiPriority w:val="39"/>
    <w:unhideWhenUsed/>
    <w:qFormat/>
    <w:pPr>
      <w:ind w:left="567" w:right="0" w:firstLine="0"/>
      <w:spacing w:after="57"/>
    </w:pPr>
  </w:style>
  <w:style w:type="paragraph" w:styleId="669">
    <w:name w:val="toc 8"/>
    <w:basedOn w:val="652"/>
    <w:next w:val="652"/>
    <w:uiPriority w:val="39"/>
    <w:unhideWhenUsed/>
    <w:qFormat/>
    <w:pPr>
      <w:ind w:left="1984" w:right="0" w:firstLine="0"/>
      <w:spacing w:after="57"/>
    </w:pPr>
  </w:style>
  <w:style w:type="paragraph" w:styleId="670">
    <w:name w:val="endnote text"/>
    <w:basedOn w:val="652"/>
    <w:uiPriority w:val="99"/>
    <w:semiHidden/>
    <w:unhideWhenUsed/>
    <w:qFormat/>
    <w:pPr>
      <w:spacing w:after="0" w:line="240" w:lineRule="auto"/>
    </w:pPr>
    <w:rPr>
      <w:sz w:val="20"/>
    </w:rPr>
  </w:style>
  <w:style w:type="paragraph" w:styleId="671">
    <w:name w:val="Footer"/>
    <w:basedOn w:val="652"/>
    <w:uiPriority w:val="99"/>
    <w:unhideWhenUsed/>
    <w:qFormat/>
    <w:pPr>
      <w:spacing w:after="0" w:line="240" w:lineRule="auto"/>
      <w:tabs>
        <w:tab w:val="center" w:pos="7143" w:leader="none"/>
        <w:tab w:val="right" w:pos="14287" w:leader="none"/>
      </w:tabs>
    </w:pPr>
  </w:style>
  <w:style w:type="paragraph" w:styleId="672">
    <w:name w:val="Header"/>
    <w:basedOn w:val="652"/>
    <w:uiPriority w:val="99"/>
    <w:unhideWhenUsed/>
    <w:qFormat/>
    <w:pPr>
      <w:spacing w:after="0" w:line="240" w:lineRule="auto"/>
      <w:tabs>
        <w:tab w:val="center" w:pos="7143" w:leader="none"/>
        <w:tab w:val="right" w:pos="14287" w:leader="none"/>
      </w:tabs>
    </w:pPr>
  </w:style>
  <w:style w:type="paragraph" w:styleId="673">
    <w:name w:val="toc 1"/>
    <w:basedOn w:val="652"/>
    <w:next w:val="652"/>
    <w:uiPriority w:val="39"/>
    <w:unhideWhenUsed/>
    <w:qFormat/>
    <w:pPr>
      <w:ind w:left="0" w:right="0" w:firstLine="0"/>
      <w:spacing w:after="57"/>
    </w:pPr>
  </w:style>
  <w:style w:type="paragraph" w:styleId="674">
    <w:name w:val="toc 4"/>
    <w:basedOn w:val="652"/>
    <w:next w:val="652"/>
    <w:uiPriority w:val="39"/>
    <w:unhideWhenUsed/>
    <w:qFormat/>
    <w:pPr>
      <w:ind w:left="850" w:right="0" w:firstLine="0"/>
      <w:spacing w:after="57"/>
    </w:pPr>
  </w:style>
  <w:style w:type="paragraph" w:styleId="675">
    <w:name w:val="Subtitle"/>
    <w:basedOn w:val="652"/>
    <w:next w:val="652"/>
    <w:uiPriority w:val="11"/>
    <w:qFormat/>
    <w:pPr>
      <w:spacing w:before="200" w:after="200"/>
    </w:pPr>
    <w:rPr>
      <w:sz w:val="24"/>
      <w:szCs w:val="24"/>
    </w:rPr>
  </w:style>
  <w:style w:type="paragraph" w:styleId="676">
    <w:name w:val="footnote text"/>
    <w:basedOn w:val="652"/>
    <w:uiPriority w:val="99"/>
    <w:semiHidden/>
    <w:unhideWhenUsed/>
    <w:qFormat/>
    <w:pPr>
      <w:spacing w:after="40" w:line="240" w:lineRule="auto"/>
    </w:pPr>
    <w:rPr>
      <w:sz w:val="18"/>
    </w:rPr>
  </w:style>
  <w:style w:type="paragraph" w:styleId="677">
    <w:name w:val="toc 6"/>
    <w:basedOn w:val="652"/>
    <w:next w:val="652"/>
    <w:uiPriority w:val="39"/>
    <w:unhideWhenUsed/>
    <w:qFormat/>
    <w:pPr>
      <w:ind w:left="1417" w:right="0" w:firstLine="0"/>
      <w:spacing w:after="57"/>
    </w:pPr>
  </w:style>
  <w:style w:type="paragraph" w:styleId="678">
    <w:name w:val="table of figures"/>
    <w:basedOn w:val="652"/>
    <w:next w:val="652"/>
    <w:uiPriority w:val="99"/>
    <w:unhideWhenUsed/>
    <w:qFormat/>
    <w:pPr>
      <w:spacing w:after="0" w:afterAutospacing="0"/>
    </w:pPr>
  </w:style>
  <w:style w:type="paragraph" w:styleId="679">
    <w:name w:val="toc 2"/>
    <w:basedOn w:val="652"/>
    <w:next w:val="652"/>
    <w:uiPriority w:val="39"/>
    <w:unhideWhenUsed/>
    <w:qFormat/>
    <w:pPr>
      <w:ind w:left="283" w:right="0" w:firstLine="0"/>
      <w:spacing w:after="57"/>
    </w:pPr>
  </w:style>
  <w:style w:type="paragraph" w:styleId="680">
    <w:name w:val="toc 9"/>
    <w:basedOn w:val="652"/>
    <w:next w:val="652"/>
    <w:uiPriority w:val="39"/>
    <w:unhideWhenUsed/>
    <w:qFormat/>
    <w:pPr>
      <w:ind w:left="2268" w:right="0" w:firstLine="0"/>
      <w:spacing w:after="57"/>
    </w:pPr>
  </w:style>
  <w:style w:type="paragraph" w:styleId="681">
    <w:name w:val="Title"/>
    <w:basedOn w:val="652"/>
    <w:next w:val="652"/>
    <w:uiPriority w:val="10"/>
    <w:qFormat/>
    <w:pPr>
      <w:contextualSpacing/>
      <w:spacing w:before="300" w:after="200"/>
    </w:pPr>
    <w:rPr>
      <w:sz w:val="48"/>
      <w:szCs w:val="48"/>
    </w:rPr>
  </w:style>
  <w:style w:type="table" w:styleId="6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uiPriority w:val="99"/>
    <w:semiHidden/>
    <w:unhideWhenUsed/>
    <w:qFormat/>
    <w:rPr>
      <w:vertAlign w:val="superscript"/>
    </w:rPr>
  </w:style>
  <w:style w:type="character" w:styleId="684">
    <w:name w:val="Hyperlink"/>
    <w:uiPriority w:val="99"/>
    <w:unhideWhenUsed/>
    <w:qFormat/>
    <w:rPr>
      <w:color w:val="0000ff" w:themeColor="hyperlink"/>
      <w:u w:val="single"/>
      <w14:textFill>
        <w14:solidFill>
          <w14:schemeClr w14:val="hlink"/>
        </w14:solidFill>
      </w14:textFill>
    </w:rPr>
  </w:style>
  <w:style w:type="character" w:styleId="685">
    <w:name w:val="footnote reference"/>
    <w:uiPriority w:val="99"/>
    <w:unhideWhenUsed/>
    <w:qFormat/>
    <w:rPr>
      <w:vertAlign w:val="superscript"/>
    </w:rPr>
  </w:style>
  <w:style w:type="paragraph" w:styleId="686" w:customStyle="1">
    <w:name w:val="标题 111"/>
    <w:basedOn w:val="652"/>
    <w:next w:val="652"/>
    <w:link w:val="698"/>
    <w:uiPriority w:val="9"/>
    <w:qFormat/>
    <w:pPr>
      <w:keepLines/>
      <w:keepNext/>
      <w:spacing w:before="480" w:after="200"/>
      <w:outlineLvl w:val="0"/>
    </w:pPr>
    <w:rPr>
      <w:rFonts w:ascii="Arial" w:hAnsi="Arial" w:eastAsia="Arial" w:cs="Arial"/>
      <w:sz w:val="40"/>
      <w:szCs w:val="40"/>
    </w:rPr>
  </w:style>
  <w:style w:type="paragraph" w:styleId="687" w:customStyle="1">
    <w:name w:val="标题 211"/>
    <w:basedOn w:val="652"/>
    <w:next w:val="652"/>
    <w:link w:val="699"/>
    <w:uiPriority w:val="9"/>
    <w:unhideWhenUsed/>
    <w:qFormat/>
    <w:pPr>
      <w:keepLines/>
      <w:keepNext/>
      <w:spacing w:before="360" w:after="200"/>
      <w:outlineLvl w:val="1"/>
    </w:pPr>
    <w:rPr>
      <w:rFonts w:ascii="Arial" w:hAnsi="Arial" w:eastAsia="Arial" w:cs="Arial"/>
      <w:sz w:val="34"/>
    </w:rPr>
  </w:style>
  <w:style w:type="paragraph" w:styleId="688" w:customStyle="1">
    <w:name w:val="标题 312"/>
    <w:basedOn w:val="652"/>
    <w:next w:val="689"/>
    <w:link w:val="700"/>
    <w:uiPriority w:val="9"/>
    <w:unhideWhenUsed/>
    <w:qFormat/>
    <w:pPr>
      <w:keepLines/>
      <w:keepNext/>
      <w:spacing w:before="320" w:after="200"/>
      <w:outlineLvl w:val="2"/>
    </w:pPr>
    <w:rPr>
      <w:rFonts w:ascii="Arial" w:hAnsi="Arial" w:eastAsia="Arial" w:cs="Arial"/>
      <w:sz w:val="30"/>
      <w:szCs w:val="30"/>
    </w:rPr>
  </w:style>
  <w:style w:type="paragraph" w:styleId="689" w:customStyle="1">
    <w:name w:val="正文缩进12"/>
    <w:basedOn w:val="652"/>
    <w:uiPriority w:val="0"/>
    <w:qFormat/>
    <w:pPr>
      <w:ind w:firstLine="420"/>
    </w:pPr>
  </w:style>
  <w:style w:type="paragraph" w:styleId="690" w:customStyle="1">
    <w:name w:val="标题 411"/>
    <w:basedOn w:val="652"/>
    <w:next w:val="689"/>
    <w:link w:val="701"/>
    <w:uiPriority w:val="9"/>
    <w:unhideWhenUsed/>
    <w:qFormat/>
    <w:pPr>
      <w:keepLines/>
      <w:keepNext/>
      <w:spacing w:before="320" w:after="200"/>
      <w:outlineLvl w:val="3"/>
    </w:pPr>
    <w:rPr>
      <w:rFonts w:ascii="Arial" w:hAnsi="Arial" w:eastAsia="Arial" w:cs="Arial"/>
      <w:b/>
      <w:bCs/>
      <w:sz w:val="26"/>
      <w:szCs w:val="26"/>
    </w:rPr>
  </w:style>
  <w:style w:type="paragraph" w:styleId="691" w:customStyle="1">
    <w:name w:val="标题 511"/>
    <w:basedOn w:val="652"/>
    <w:next w:val="652"/>
    <w:link w:val="702"/>
    <w:uiPriority w:val="9"/>
    <w:unhideWhenUsed/>
    <w:qFormat/>
    <w:pPr>
      <w:keepLines/>
      <w:keepNext/>
      <w:spacing w:before="320" w:after="200"/>
      <w:outlineLvl w:val="4"/>
    </w:pPr>
    <w:rPr>
      <w:rFonts w:ascii="Arial" w:hAnsi="Arial" w:eastAsia="Arial" w:cs="Arial"/>
      <w:b/>
      <w:bCs/>
      <w:sz w:val="24"/>
      <w:szCs w:val="24"/>
    </w:rPr>
  </w:style>
  <w:style w:type="paragraph" w:styleId="692" w:customStyle="1">
    <w:name w:val="标题 611"/>
    <w:basedOn w:val="652"/>
    <w:next w:val="652"/>
    <w:link w:val="703"/>
    <w:uiPriority w:val="9"/>
    <w:unhideWhenUsed/>
    <w:qFormat/>
    <w:pPr>
      <w:keepLines/>
      <w:keepNext/>
      <w:spacing w:before="320" w:after="200"/>
      <w:outlineLvl w:val="5"/>
    </w:pPr>
    <w:rPr>
      <w:rFonts w:ascii="Arial" w:hAnsi="Arial" w:eastAsia="Arial" w:cs="Arial"/>
      <w:b/>
      <w:bCs/>
      <w:sz w:val="22"/>
      <w:szCs w:val="22"/>
    </w:rPr>
  </w:style>
  <w:style w:type="paragraph" w:styleId="693" w:customStyle="1">
    <w:name w:val="标题 711"/>
    <w:basedOn w:val="652"/>
    <w:next w:val="652"/>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94" w:customStyle="1">
    <w:name w:val="标题 811"/>
    <w:basedOn w:val="652"/>
    <w:next w:val="652"/>
    <w:link w:val="705"/>
    <w:uiPriority w:val="9"/>
    <w:unhideWhenUsed/>
    <w:qFormat/>
    <w:pPr>
      <w:keepLines/>
      <w:keepNext/>
      <w:spacing w:before="320" w:after="200"/>
      <w:outlineLvl w:val="7"/>
    </w:pPr>
    <w:rPr>
      <w:rFonts w:ascii="Arial" w:hAnsi="Arial" w:eastAsia="Arial" w:cs="Arial"/>
      <w:i/>
      <w:iCs/>
      <w:sz w:val="22"/>
      <w:szCs w:val="22"/>
    </w:rPr>
  </w:style>
  <w:style w:type="paragraph" w:styleId="695" w:customStyle="1">
    <w:name w:val="标题 911"/>
    <w:basedOn w:val="652"/>
    <w:next w:val="652"/>
    <w:link w:val="706"/>
    <w:uiPriority w:val="9"/>
    <w:unhideWhenUsed/>
    <w:qFormat/>
    <w:pPr>
      <w:keepLines/>
      <w:keepNext/>
      <w:spacing w:before="320" w:after="200"/>
      <w:outlineLvl w:val="8"/>
    </w:pPr>
    <w:rPr>
      <w:rFonts w:ascii="Arial" w:hAnsi="Arial" w:eastAsia="Arial" w:cs="Arial"/>
      <w:i/>
      <w:iCs/>
      <w:sz w:val="21"/>
      <w:szCs w:val="21"/>
    </w:rPr>
  </w:style>
  <w:style w:type="character" w:styleId="696" w:customStyle="1">
    <w:name w:val="默认段落字体111"/>
    <w:link w:val="652"/>
    <w:uiPriority w:val="1"/>
    <w:unhideWhenUsed/>
    <w:qFormat/>
  </w:style>
  <w:style w:type="table" w:styleId="697" w:customStyle="1">
    <w:name w:val="普通表格12"/>
    <w:uiPriority w:val="99"/>
    <w:unhideWhenUsed/>
    <w:qFormat/>
    <w:tblPr/>
  </w:style>
  <w:style w:type="character" w:styleId="698" w:customStyle="1">
    <w:name w:val="Heading 1 Char"/>
    <w:link w:val="686"/>
    <w:uiPriority w:val="9"/>
    <w:qFormat/>
    <w:rPr>
      <w:rFonts w:ascii="Arial" w:hAnsi="Arial" w:eastAsia="Arial" w:cs="Arial"/>
      <w:sz w:val="40"/>
      <w:szCs w:val="40"/>
    </w:rPr>
  </w:style>
  <w:style w:type="character" w:styleId="699" w:customStyle="1">
    <w:name w:val="Heading 2 Char"/>
    <w:link w:val="687"/>
    <w:uiPriority w:val="9"/>
    <w:qFormat/>
    <w:rPr>
      <w:rFonts w:ascii="Arial" w:hAnsi="Arial" w:eastAsia="Arial" w:cs="Arial"/>
      <w:sz w:val="34"/>
    </w:rPr>
  </w:style>
  <w:style w:type="character" w:styleId="700" w:customStyle="1">
    <w:name w:val="Heading 3 Char"/>
    <w:link w:val="688"/>
    <w:uiPriority w:val="9"/>
    <w:qFormat/>
    <w:rPr>
      <w:rFonts w:ascii="Arial" w:hAnsi="Arial" w:eastAsia="Arial" w:cs="Arial"/>
      <w:sz w:val="30"/>
      <w:szCs w:val="30"/>
    </w:rPr>
  </w:style>
  <w:style w:type="character" w:styleId="701" w:customStyle="1">
    <w:name w:val="Heading 4 Char"/>
    <w:link w:val="690"/>
    <w:uiPriority w:val="9"/>
    <w:qFormat/>
    <w:rPr>
      <w:rFonts w:ascii="Arial" w:hAnsi="Arial" w:eastAsia="Arial" w:cs="Arial"/>
      <w:b/>
      <w:bCs/>
      <w:sz w:val="26"/>
      <w:szCs w:val="26"/>
    </w:rPr>
  </w:style>
  <w:style w:type="character" w:styleId="702" w:customStyle="1">
    <w:name w:val="Heading 5 Char"/>
    <w:link w:val="691"/>
    <w:uiPriority w:val="9"/>
    <w:qFormat/>
    <w:rPr>
      <w:rFonts w:ascii="Arial" w:hAnsi="Arial" w:eastAsia="Arial" w:cs="Arial"/>
      <w:b/>
      <w:bCs/>
      <w:sz w:val="24"/>
      <w:szCs w:val="24"/>
    </w:rPr>
  </w:style>
  <w:style w:type="character" w:styleId="703" w:customStyle="1">
    <w:name w:val="Heading 6 Char"/>
    <w:link w:val="692"/>
    <w:uiPriority w:val="9"/>
    <w:qFormat/>
    <w:rPr>
      <w:rFonts w:ascii="Arial" w:hAnsi="Arial" w:eastAsia="Arial" w:cs="Arial"/>
      <w:b/>
      <w:bCs/>
      <w:sz w:val="22"/>
      <w:szCs w:val="22"/>
    </w:rPr>
  </w:style>
  <w:style w:type="character" w:styleId="704" w:customStyle="1">
    <w:name w:val="Heading 7 Char"/>
    <w:link w:val="693"/>
    <w:uiPriority w:val="9"/>
    <w:qFormat/>
    <w:rPr>
      <w:rFonts w:ascii="Arial" w:hAnsi="Arial" w:eastAsia="Arial" w:cs="Arial"/>
      <w:b/>
      <w:bCs/>
      <w:i/>
      <w:iCs/>
      <w:sz w:val="22"/>
      <w:szCs w:val="22"/>
    </w:rPr>
  </w:style>
  <w:style w:type="character" w:styleId="705" w:customStyle="1">
    <w:name w:val="Heading 8 Char"/>
    <w:link w:val="694"/>
    <w:uiPriority w:val="9"/>
    <w:qFormat/>
    <w:rPr>
      <w:rFonts w:ascii="Arial" w:hAnsi="Arial" w:eastAsia="Arial" w:cs="Arial"/>
      <w:i/>
      <w:iCs/>
      <w:sz w:val="22"/>
      <w:szCs w:val="22"/>
    </w:rPr>
  </w:style>
  <w:style w:type="character" w:styleId="706" w:customStyle="1">
    <w:name w:val="Heading 9 Char"/>
    <w:link w:val="695"/>
    <w:uiPriority w:val="9"/>
    <w:qFormat/>
    <w:rPr>
      <w:rFonts w:ascii="Arial" w:hAnsi="Arial" w:eastAsia="Arial" w:cs="Arial"/>
      <w:i/>
      <w:iCs/>
      <w:sz w:val="21"/>
      <w:szCs w:val="21"/>
    </w:rPr>
  </w:style>
  <w:style w:type="paragraph" w:styleId="707" w:customStyle="1">
    <w:name w:val="目录 711"/>
    <w:basedOn w:val="652"/>
    <w:next w:val="652"/>
    <w:uiPriority w:val="39"/>
    <w:unhideWhenUsed/>
    <w:qFormat/>
    <w:pPr>
      <w:ind w:left="1701" w:right="0" w:firstLine="0"/>
      <w:spacing w:after="57"/>
    </w:pPr>
  </w:style>
  <w:style w:type="paragraph" w:styleId="708" w:customStyle="1">
    <w:name w:val="题注1"/>
    <w:basedOn w:val="652"/>
    <w:next w:val="652"/>
    <w:uiPriority w:val="35"/>
    <w:unhideWhenUsed/>
    <w:qFormat/>
    <w:pPr>
      <w:spacing w:line="276" w:lineRule="auto"/>
    </w:pPr>
    <w:rPr>
      <w:b/>
      <w:bCs/>
      <w:color w:val="4f81bd"/>
      <w:sz w:val="18"/>
      <w:szCs w:val="18"/>
    </w:rPr>
  </w:style>
  <w:style w:type="paragraph" w:styleId="709" w:customStyle="1">
    <w:name w:val="批注文字11"/>
    <w:basedOn w:val="65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10" w:customStyle="1">
    <w:name w:val="正文文本1221"/>
    <w:basedOn w:val="652"/>
    <w:uiPriority w:val="1"/>
    <w:qFormat/>
    <w:pPr>
      <w:ind w:left="120"/>
    </w:pPr>
    <w:rPr>
      <w:rFonts w:ascii="宋体" w:hAnsi="宋体" w:eastAsia="宋体" w:cs="宋体"/>
      <w:sz w:val="21"/>
      <w:szCs w:val="21"/>
      <w:lang w:val="zh-CN" w:eastAsia="zh-CN" w:bidi="zh-CN"/>
    </w:rPr>
  </w:style>
  <w:style w:type="paragraph" w:styleId="711" w:customStyle="1">
    <w:name w:val="正文文本缩进12"/>
    <w:basedOn w:val="652"/>
    <w:next w:val="712"/>
    <w:uiPriority w:val="0"/>
    <w:unhideWhenUsed/>
    <w:qFormat/>
    <w:pPr>
      <w:ind w:left="420"/>
      <w:spacing w:after="120"/>
    </w:pPr>
  </w:style>
  <w:style w:type="paragraph" w:styleId="712" w:customStyle="1">
    <w:name w:val="寄信人地址11"/>
    <w:basedOn w:val="652"/>
    <w:uiPriority w:val="0"/>
    <w:qFormat/>
    <w:rPr>
      <w:rFonts w:ascii="Arial" w:hAnsi="Arial" w:eastAsia="宋体" w:cs="宋体"/>
    </w:rPr>
  </w:style>
  <w:style w:type="paragraph" w:styleId="713" w:customStyle="1">
    <w:name w:val="目录 511"/>
    <w:basedOn w:val="652"/>
    <w:next w:val="652"/>
    <w:uiPriority w:val="39"/>
    <w:unhideWhenUsed/>
    <w:qFormat/>
    <w:pPr>
      <w:ind w:left="1134" w:right="0" w:firstLine="0"/>
      <w:spacing w:after="57"/>
    </w:pPr>
  </w:style>
  <w:style w:type="paragraph" w:styleId="714" w:customStyle="1">
    <w:name w:val="目录 311"/>
    <w:basedOn w:val="652"/>
    <w:next w:val="652"/>
    <w:uiPriority w:val="39"/>
    <w:unhideWhenUsed/>
    <w:qFormat/>
    <w:pPr>
      <w:ind w:left="567" w:right="0" w:firstLine="0"/>
      <w:spacing w:after="57"/>
    </w:pPr>
  </w:style>
  <w:style w:type="paragraph" w:styleId="715" w:customStyle="1">
    <w:name w:val="纯文本11"/>
    <w:basedOn w:val="652"/>
    <w:uiPriority w:val="0"/>
    <w:qFormat/>
    <w:rPr>
      <w:rFonts w:ascii="宋体" w:hAnsi="Courier New" w:cs="Courier New"/>
    </w:rPr>
  </w:style>
  <w:style w:type="paragraph" w:styleId="716" w:customStyle="1">
    <w:name w:val="目录 811"/>
    <w:basedOn w:val="652"/>
    <w:next w:val="652"/>
    <w:uiPriority w:val="39"/>
    <w:unhideWhenUsed/>
    <w:qFormat/>
    <w:pPr>
      <w:ind w:left="1984" w:right="0" w:firstLine="0"/>
      <w:spacing w:after="57"/>
    </w:pPr>
  </w:style>
  <w:style w:type="paragraph" w:styleId="717" w:customStyle="1">
    <w:name w:val="尾注文本1"/>
    <w:basedOn w:val="652"/>
    <w:link w:val="718"/>
    <w:uiPriority w:val="99"/>
    <w:unhideWhenUsed/>
    <w:qFormat/>
    <w:pPr>
      <w:spacing w:after="0" w:line="240" w:lineRule="auto"/>
    </w:pPr>
    <w:rPr>
      <w:sz w:val="20"/>
    </w:rPr>
  </w:style>
  <w:style w:type="character" w:styleId="718" w:customStyle="1">
    <w:name w:val="Endnote Text Char"/>
    <w:link w:val="717"/>
    <w:uiPriority w:val="99"/>
    <w:qFormat/>
    <w:rPr>
      <w:sz w:val="20"/>
    </w:rPr>
  </w:style>
  <w:style w:type="paragraph" w:styleId="719" w:customStyle="1">
    <w:name w:val="页脚11"/>
    <w:basedOn w:val="652"/>
    <w:link w:val="743"/>
    <w:uiPriority w:val="99"/>
    <w:unhideWhenUsed/>
    <w:qFormat/>
    <w:pPr>
      <w:spacing w:after="0" w:line="240" w:lineRule="auto"/>
      <w:tabs>
        <w:tab w:val="center" w:pos="7143" w:leader="none"/>
        <w:tab w:val="right" w:pos="14287" w:leader="none"/>
      </w:tabs>
    </w:pPr>
  </w:style>
  <w:style w:type="character" w:styleId="720" w:customStyle="1">
    <w:name w:val="Caption Char"/>
    <w:link w:val="719"/>
    <w:uiPriority w:val="99"/>
    <w:qFormat/>
  </w:style>
  <w:style w:type="paragraph" w:styleId="721" w:customStyle="1">
    <w:name w:val="页眉11"/>
    <w:basedOn w:val="652"/>
    <w:link w:val="722"/>
    <w:uiPriority w:val="99"/>
    <w:unhideWhenUsed/>
    <w:qFormat/>
    <w:pPr>
      <w:spacing w:after="0" w:line="240" w:lineRule="auto"/>
      <w:tabs>
        <w:tab w:val="center" w:pos="7143" w:leader="none"/>
        <w:tab w:val="right" w:pos="14287" w:leader="none"/>
      </w:tabs>
    </w:pPr>
  </w:style>
  <w:style w:type="character" w:styleId="722" w:customStyle="1">
    <w:name w:val="Header Char"/>
    <w:link w:val="721"/>
    <w:uiPriority w:val="99"/>
    <w:qFormat/>
  </w:style>
  <w:style w:type="paragraph" w:styleId="723" w:customStyle="1">
    <w:name w:val="目录 111"/>
    <w:basedOn w:val="652"/>
    <w:next w:val="652"/>
    <w:uiPriority w:val="39"/>
    <w:unhideWhenUsed/>
    <w:qFormat/>
    <w:pPr>
      <w:ind w:left="0" w:right="0" w:firstLine="0"/>
      <w:spacing w:after="57"/>
    </w:pPr>
  </w:style>
  <w:style w:type="paragraph" w:styleId="724" w:customStyle="1">
    <w:name w:val="目录 411"/>
    <w:basedOn w:val="652"/>
    <w:next w:val="652"/>
    <w:uiPriority w:val="39"/>
    <w:unhideWhenUsed/>
    <w:qFormat/>
    <w:pPr>
      <w:ind w:left="850" w:right="0" w:firstLine="0"/>
      <w:spacing w:after="57"/>
    </w:pPr>
  </w:style>
  <w:style w:type="paragraph" w:styleId="725" w:customStyle="1">
    <w:name w:val="副标题1"/>
    <w:basedOn w:val="652"/>
    <w:next w:val="652"/>
    <w:link w:val="726"/>
    <w:uiPriority w:val="11"/>
    <w:qFormat/>
    <w:pPr>
      <w:spacing w:before="200" w:after="200"/>
    </w:pPr>
    <w:rPr>
      <w:sz w:val="24"/>
      <w:szCs w:val="24"/>
    </w:rPr>
  </w:style>
  <w:style w:type="character" w:styleId="726" w:customStyle="1">
    <w:name w:val="Subtitle Char"/>
    <w:link w:val="725"/>
    <w:uiPriority w:val="11"/>
    <w:qFormat/>
    <w:rPr>
      <w:sz w:val="24"/>
      <w:szCs w:val="24"/>
    </w:rPr>
  </w:style>
  <w:style w:type="paragraph" w:styleId="727" w:customStyle="1">
    <w:name w:val="脚注文本1"/>
    <w:basedOn w:val="652"/>
    <w:link w:val="728"/>
    <w:uiPriority w:val="99"/>
    <w:unhideWhenUsed/>
    <w:qFormat/>
    <w:pPr>
      <w:spacing w:after="40" w:line="240" w:lineRule="auto"/>
    </w:pPr>
    <w:rPr>
      <w:sz w:val="18"/>
    </w:rPr>
  </w:style>
  <w:style w:type="character" w:styleId="728" w:customStyle="1">
    <w:name w:val="Footnote Text Char"/>
    <w:link w:val="727"/>
    <w:uiPriority w:val="99"/>
    <w:qFormat/>
    <w:rPr>
      <w:sz w:val="18"/>
    </w:rPr>
  </w:style>
  <w:style w:type="paragraph" w:styleId="729" w:customStyle="1">
    <w:name w:val="目录 611"/>
    <w:basedOn w:val="652"/>
    <w:next w:val="652"/>
    <w:uiPriority w:val="39"/>
    <w:unhideWhenUsed/>
    <w:qFormat/>
    <w:pPr>
      <w:ind w:left="1417" w:right="0" w:firstLine="0"/>
      <w:spacing w:after="57"/>
    </w:pPr>
  </w:style>
  <w:style w:type="paragraph" w:styleId="730" w:customStyle="1">
    <w:name w:val="图表目录11"/>
    <w:basedOn w:val="652"/>
    <w:next w:val="652"/>
    <w:uiPriority w:val="99"/>
    <w:unhideWhenUsed/>
    <w:qFormat/>
    <w:pPr>
      <w:spacing w:after="0" w:afterAutospacing="0"/>
    </w:pPr>
  </w:style>
  <w:style w:type="paragraph" w:styleId="731" w:customStyle="1">
    <w:name w:val="目录 211"/>
    <w:basedOn w:val="652"/>
    <w:next w:val="652"/>
    <w:uiPriority w:val="39"/>
    <w:unhideWhenUsed/>
    <w:qFormat/>
    <w:pPr>
      <w:ind w:left="283" w:right="0" w:firstLine="0"/>
      <w:spacing w:after="57"/>
    </w:pPr>
  </w:style>
  <w:style w:type="paragraph" w:styleId="732" w:customStyle="1">
    <w:name w:val="目录 911"/>
    <w:basedOn w:val="652"/>
    <w:next w:val="652"/>
    <w:uiPriority w:val="39"/>
    <w:unhideWhenUsed/>
    <w:qFormat/>
    <w:pPr>
      <w:ind w:left="2268" w:right="0" w:firstLine="0"/>
      <w:spacing w:after="57"/>
    </w:pPr>
  </w:style>
  <w:style w:type="paragraph" w:styleId="733" w:customStyle="1">
    <w:name w:val="普通(网站)11"/>
    <w:basedOn w:val="652"/>
    <w:uiPriority w:val="99"/>
    <w:qFormat/>
    <w:pPr>
      <w:jc w:val="left"/>
      <w:spacing w:before="100" w:beforeAutospacing="1" w:after="100" w:afterAutospacing="1"/>
      <w:widowControl/>
    </w:pPr>
    <w:rPr>
      <w:rFonts w:ascii="宋体" w:hAnsi="宋体" w:cs="宋体"/>
      <w:sz w:val="24"/>
      <w:szCs w:val="24"/>
    </w:rPr>
  </w:style>
  <w:style w:type="paragraph" w:styleId="734" w:customStyle="1">
    <w:name w:val="标题11"/>
    <w:basedOn w:val="652"/>
    <w:next w:val="652"/>
    <w:link w:val="735"/>
    <w:uiPriority w:val="10"/>
    <w:qFormat/>
    <w:pPr>
      <w:contextualSpacing/>
      <w:spacing w:before="300" w:after="200"/>
    </w:pPr>
    <w:rPr>
      <w:sz w:val="48"/>
      <w:szCs w:val="48"/>
    </w:rPr>
  </w:style>
  <w:style w:type="character" w:styleId="735" w:customStyle="1">
    <w:name w:val="Title Char"/>
    <w:link w:val="734"/>
    <w:uiPriority w:val="10"/>
    <w:qFormat/>
    <w:rPr>
      <w:sz w:val="48"/>
      <w:szCs w:val="48"/>
    </w:rPr>
  </w:style>
  <w:style w:type="paragraph" w:styleId="736" w:customStyle="1">
    <w:name w:val="正文首行缩进 212"/>
    <w:basedOn w:val="711"/>
    <w:next w:val="652"/>
    <w:uiPriority w:val="0"/>
    <w:qFormat/>
    <w:pPr>
      <w:ind w:left="0" w:firstLine="420"/>
      <w:spacing w:after="0" w:line="360" w:lineRule="auto"/>
    </w:pPr>
    <w:rPr>
      <w:rFonts w:ascii="宋体" w:hAnsi="宋体" w:eastAsia="宋体" w:cs="Times New Roman"/>
      <w:szCs w:val="20"/>
    </w:rPr>
  </w:style>
  <w:style w:type="table" w:styleId="737" w:customStyle="1">
    <w:name w:val="网格型12"/>
    <w:uiPriority w:val="59"/>
    <w:qFormat/>
    <w:pPr>
      <w:spacing w:after="0" w:line="240" w:lineRule="auto"/>
    </w:pPr>
    <w:tblPr/>
  </w:style>
  <w:style w:type="character" w:styleId="738" w:customStyle="1">
    <w:name w:val="尾注引用1"/>
    <w:link w:val="652"/>
    <w:uiPriority w:val="99"/>
    <w:unhideWhenUsed/>
    <w:qFormat/>
    <w:rPr>
      <w:vertAlign w:val="superscript"/>
    </w:rPr>
  </w:style>
  <w:style w:type="character" w:styleId="739" w:customStyle="1">
    <w:name w:val="页码11"/>
    <w:link w:val="652"/>
    <w:uiPriority w:val="0"/>
    <w:qFormat/>
  </w:style>
  <w:style w:type="character" w:styleId="740" w:customStyle="1">
    <w:name w:val="已访问的超链接11"/>
    <w:link w:val="652"/>
    <w:uiPriority w:val="0"/>
    <w:qFormat/>
    <w:rPr>
      <w:color w:val="800080"/>
      <w:u w:val="single"/>
    </w:rPr>
  </w:style>
  <w:style w:type="character" w:styleId="741" w:customStyle="1">
    <w:name w:val="超链接11"/>
    <w:link w:val="652"/>
    <w:uiPriority w:val="99"/>
    <w:unhideWhenUsed/>
    <w:qFormat/>
    <w:rPr>
      <w:color w:val="0000ff"/>
      <w:u w:val="single"/>
    </w:rPr>
  </w:style>
  <w:style w:type="character" w:styleId="742" w:customStyle="1">
    <w:name w:val="脚注引用1"/>
    <w:link w:val="652"/>
    <w:uiPriority w:val="99"/>
    <w:unhideWhenUsed/>
    <w:qFormat/>
    <w:rPr>
      <w:vertAlign w:val="superscript"/>
    </w:rPr>
  </w:style>
  <w:style w:type="character" w:styleId="743" w:customStyle="1">
    <w:name w:val="Footer Char"/>
    <w:link w:val="719"/>
    <w:uiPriority w:val="99"/>
    <w:qFormat/>
  </w:style>
  <w:style w:type="paragraph" w:styleId="744" w:customStyle="1">
    <w:name w:val="正文首行缩进 211"/>
    <w:basedOn w:val="745"/>
    <w:next w:val="652"/>
    <w:uiPriority w:val="0"/>
    <w:qFormat/>
    <w:pPr>
      <w:ind w:left="0" w:firstLine="420"/>
      <w:spacing w:after="0" w:line="360" w:lineRule="auto"/>
    </w:pPr>
    <w:rPr>
      <w:rFonts w:ascii="宋体" w:hAnsi="宋体" w:eastAsia="宋体" w:cs="Times New Roman"/>
      <w:szCs w:val="20"/>
    </w:rPr>
  </w:style>
  <w:style w:type="paragraph" w:styleId="745" w:customStyle="1">
    <w:name w:val="正文文本缩进11"/>
    <w:basedOn w:val="652"/>
    <w:next w:val="746"/>
    <w:uiPriority w:val="0"/>
    <w:unhideWhenUsed/>
    <w:qFormat/>
    <w:pPr>
      <w:ind w:left="420"/>
      <w:spacing w:after="120"/>
    </w:pPr>
  </w:style>
  <w:style w:type="paragraph" w:styleId="746" w:customStyle="1">
    <w:name w:val="寄信人地址1"/>
    <w:basedOn w:val="652"/>
    <w:uiPriority w:val="0"/>
    <w:qFormat/>
    <w:rPr>
      <w:rFonts w:ascii="Arial" w:hAnsi="Arial" w:eastAsia="宋体" w:cs="宋体"/>
    </w:rPr>
  </w:style>
  <w:style w:type="paragraph" w:styleId="747" w:customStyle="1">
    <w:name w:val="索引 41"/>
    <w:basedOn w:val="652"/>
    <w:next w:val="652"/>
    <w:uiPriority w:val="0"/>
    <w:semiHidden/>
    <w:qFormat/>
    <w:pPr>
      <w:ind w:left="1260"/>
    </w:pPr>
    <w:rPr>
      <w:rFonts w:ascii="Calibri" w:hAnsi="Calibri" w:eastAsia="Calibri" w:cs="宋体"/>
      <w:sz w:val="20"/>
      <w:lang w:val="zh-CN"/>
    </w:rPr>
  </w:style>
  <w:style w:type="paragraph" w:styleId="748" w:customStyle="1">
    <w:name w:val="正文文本121"/>
    <w:basedOn w:val="652"/>
    <w:uiPriority w:val="0"/>
    <w:qFormat/>
    <w:pPr>
      <w:ind w:left="120"/>
    </w:pPr>
    <w:rPr>
      <w:rFonts w:ascii="宋体" w:eastAsia="宋体" w:cs="宋体"/>
      <w:sz w:val="21"/>
      <w:szCs w:val="21"/>
      <w:lang w:val="zh-CN" w:eastAsia="zh-CN" w:bidi="zh-CN"/>
    </w:rPr>
  </w:style>
  <w:style w:type="paragraph" w:styleId="749">
    <w:name w:val="List Paragraph"/>
    <w:basedOn w:val="652"/>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paragraph" w:styleId="751">
    <w:name w:val="Quote"/>
    <w:basedOn w:val="652"/>
    <w:next w:val="652"/>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52"/>
    <w:next w:val="652"/>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table" w:styleId="755" w:customStyle="1">
    <w:name w:val="Table Grid Light"/>
    <w:uiPriority w:val="59"/>
    <w:qFormat/>
    <w:pPr>
      <w:spacing w:after="0" w:line="240" w:lineRule="auto"/>
    </w:pPr>
    <w:tblPr/>
  </w:style>
  <w:style w:type="table" w:styleId="756" w:customStyle="1">
    <w:name w:val="Plain Table 1"/>
    <w:uiPriority w:val="59"/>
    <w:qFormat/>
    <w:pPr>
      <w:spacing w:after="0" w:line="240" w:lineRule="auto"/>
    </w:pPr>
    <w:tblPr/>
  </w:style>
  <w:style w:type="table" w:styleId="757" w:customStyle="1">
    <w:name w:val="Plain Table 2"/>
    <w:uiPriority w:val="59"/>
    <w:qFormat/>
    <w:pPr>
      <w:spacing w:after="0" w:line="240" w:lineRule="auto"/>
    </w:pPr>
    <w:tblPr/>
  </w:style>
  <w:style w:type="table" w:styleId="758" w:customStyle="1">
    <w:name w:val="Plain Table 3"/>
    <w:uiPriority w:val="99"/>
    <w:qFormat/>
    <w:pPr>
      <w:spacing w:after="0" w:line="240" w:lineRule="auto"/>
    </w:pPr>
    <w:tblPr/>
  </w:style>
  <w:style w:type="table" w:styleId="759" w:customStyle="1">
    <w:name w:val="Plain Table 4"/>
    <w:uiPriority w:val="99"/>
    <w:qFormat/>
    <w:pPr>
      <w:spacing w:after="0" w:line="240" w:lineRule="auto"/>
    </w:pPr>
    <w:tblPr/>
  </w:style>
  <w:style w:type="table" w:styleId="760" w:customStyle="1">
    <w:name w:val="Plain Table 5"/>
    <w:uiPriority w:val="99"/>
    <w:qFormat/>
    <w:pPr>
      <w:spacing w:after="0" w:line="240" w:lineRule="auto"/>
    </w:pPr>
    <w:tblPr/>
  </w:style>
  <w:style w:type="table" w:styleId="761" w:customStyle="1">
    <w:name w:val="Grid Table 1 Light"/>
    <w:uiPriority w:val="99"/>
    <w:qFormat/>
    <w:pPr>
      <w:spacing w:after="0" w:line="240" w:lineRule="auto"/>
    </w:pPr>
    <w:tblPr/>
  </w:style>
  <w:style w:type="table" w:styleId="762" w:customStyle="1">
    <w:name w:val="Grid Table 1 Light - Accent 1"/>
    <w:uiPriority w:val="99"/>
    <w:qFormat/>
    <w:pPr>
      <w:spacing w:after="0" w:line="240" w:lineRule="auto"/>
    </w:pPr>
    <w:tblPr/>
  </w:style>
  <w:style w:type="table" w:styleId="763" w:customStyle="1">
    <w:name w:val="Grid Table 1 Light - Accent 2"/>
    <w:uiPriority w:val="99"/>
    <w:qFormat/>
    <w:pPr>
      <w:spacing w:after="0" w:line="240" w:lineRule="auto"/>
    </w:pPr>
    <w:tblPr/>
  </w:style>
  <w:style w:type="table" w:styleId="764" w:customStyle="1">
    <w:name w:val="Grid Table 1 Light - Accent 3"/>
    <w:uiPriority w:val="99"/>
    <w:qFormat/>
    <w:pPr>
      <w:spacing w:after="0" w:line="240" w:lineRule="auto"/>
    </w:pPr>
    <w:tblPr/>
  </w:style>
  <w:style w:type="table" w:styleId="765" w:customStyle="1">
    <w:name w:val="Grid Table 1 Light - Accent 4"/>
    <w:uiPriority w:val="99"/>
    <w:qFormat/>
    <w:pPr>
      <w:spacing w:after="0" w:line="240" w:lineRule="auto"/>
    </w:pPr>
    <w:tblPr/>
  </w:style>
  <w:style w:type="table" w:styleId="766" w:customStyle="1">
    <w:name w:val="Grid Table 1 Light - Accent 5"/>
    <w:uiPriority w:val="99"/>
    <w:qFormat/>
    <w:pPr>
      <w:spacing w:after="0" w:line="240" w:lineRule="auto"/>
    </w:pPr>
    <w:tblPr/>
  </w:style>
  <w:style w:type="table" w:styleId="767" w:customStyle="1">
    <w:name w:val="Grid Table 1 Light - Accent 6"/>
    <w:uiPriority w:val="99"/>
    <w:qFormat/>
    <w:pPr>
      <w:spacing w:after="0" w:line="240" w:lineRule="auto"/>
    </w:pPr>
    <w:tblPr/>
  </w:style>
  <w:style w:type="table" w:styleId="768" w:customStyle="1">
    <w:name w:val="Grid Table 2"/>
    <w:uiPriority w:val="99"/>
    <w:qFormat/>
    <w:pPr>
      <w:spacing w:after="0" w:line="240" w:lineRule="auto"/>
    </w:pPr>
    <w:tblPr/>
  </w:style>
  <w:style w:type="table" w:styleId="769" w:customStyle="1">
    <w:name w:val="Grid Table 2 - Accent 1"/>
    <w:uiPriority w:val="99"/>
    <w:qFormat/>
    <w:pPr>
      <w:spacing w:after="0" w:line="240" w:lineRule="auto"/>
    </w:pPr>
    <w:tblPr/>
  </w:style>
  <w:style w:type="table" w:styleId="770" w:customStyle="1">
    <w:name w:val="Grid Table 2 - Accent 2"/>
    <w:uiPriority w:val="99"/>
    <w:qFormat/>
    <w:pPr>
      <w:spacing w:after="0" w:line="240" w:lineRule="auto"/>
    </w:pPr>
    <w:tblPr/>
  </w:style>
  <w:style w:type="table" w:styleId="771" w:customStyle="1">
    <w:name w:val="Grid Table 2 - Accent 3"/>
    <w:uiPriority w:val="99"/>
    <w:qFormat/>
    <w:pPr>
      <w:spacing w:after="0" w:line="240" w:lineRule="auto"/>
    </w:pPr>
    <w:tblPr/>
  </w:style>
  <w:style w:type="table" w:styleId="772" w:customStyle="1">
    <w:name w:val="Grid Table 2 - Accent 4"/>
    <w:uiPriority w:val="99"/>
    <w:qFormat/>
    <w:pPr>
      <w:spacing w:after="0" w:line="240" w:lineRule="auto"/>
    </w:pPr>
    <w:tblPr/>
  </w:style>
  <w:style w:type="table" w:styleId="773" w:customStyle="1">
    <w:name w:val="Grid Table 2 - Accent 5"/>
    <w:uiPriority w:val="99"/>
    <w:qFormat/>
    <w:pPr>
      <w:spacing w:after="0" w:line="240" w:lineRule="auto"/>
    </w:pPr>
    <w:tblPr/>
  </w:style>
  <w:style w:type="table" w:styleId="774" w:customStyle="1">
    <w:name w:val="Grid Table 2 - Accent 6"/>
    <w:uiPriority w:val="99"/>
    <w:qFormat/>
    <w:pPr>
      <w:spacing w:after="0" w:line="240" w:lineRule="auto"/>
    </w:pPr>
    <w:tblPr/>
  </w:style>
  <w:style w:type="table" w:styleId="775" w:customStyle="1">
    <w:name w:val="Grid Table 3"/>
    <w:uiPriority w:val="99"/>
    <w:qFormat/>
    <w:pPr>
      <w:spacing w:after="0" w:line="240" w:lineRule="auto"/>
    </w:pPr>
    <w:tblPr/>
  </w:style>
  <w:style w:type="table" w:styleId="776" w:customStyle="1">
    <w:name w:val="Grid Table 3 - Accent 1"/>
    <w:uiPriority w:val="99"/>
    <w:qFormat/>
    <w:pPr>
      <w:spacing w:after="0" w:line="240" w:lineRule="auto"/>
    </w:pPr>
    <w:tblPr/>
  </w:style>
  <w:style w:type="table" w:styleId="777" w:customStyle="1">
    <w:name w:val="Grid Table 3 - Accent 2"/>
    <w:uiPriority w:val="99"/>
    <w:qFormat/>
    <w:pPr>
      <w:spacing w:after="0" w:line="240" w:lineRule="auto"/>
    </w:pPr>
    <w:tblPr/>
  </w:style>
  <w:style w:type="table" w:styleId="778" w:customStyle="1">
    <w:name w:val="Grid Table 3 - Accent 3"/>
    <w:uiPriority w:val="99"/>
    <w:qFormat/>
    <w:pPr>
      <w:spacing w:after="0" w:line="240" w:lineRule="auto"/>
    </w:pPr>
    <w:tblPr/>
  </w:style>
  <w:style w:type="table" w:styleId="779" w:customStyle="1">
    <w:name w:val="Grid Table 3 - Accent 4"/>
    <w:uiPriority w:val="99"/>
    <w:qFormat/>
    <w:pPr>
      <w:spacing w:after="0" w:line="240" w:lineRule="auto"/>
    </w:pPr>
    <w:tblPr/>
  </w:style>
  <w:style w:type="table" w:styleId="780" w:customStyle="1">
    <w:name w:val="Grid Table 3 - Accent 5"/>
    <w:uiPriority w:val="99"/>
    <w:qFormat/>
    <w:pPr>
      <w:spacing w:after="0" w:line="240" w:lineRule="auto"/>
    </w:pPr>
    <w:tblPr/>
  </w:style>
  <w:style w:type="table" w:styleId="781" w:customStyle="1">
    <w:name w:val="Grid Table 3 - Accent 6"/>
    <w:uiPriority w:val="99"/>
    <w:qFormat/>
    <w:pPr>
      <w:spacing w:after="0" w:line="240" w:lineRule="auto"/>
    </w:pPr>
    <w:tblPr/>
  </w:style>
  <w:style w:type="table" w:styleId="782" w:customStyle="1">
    <w:name w:val="Grid Table 4"/>
    <w:uiPriority w:val="59"/>
    <w:qFormat/>
    <w:pPr>
      <w:spacing w:after="0" w:line="240" w:lineRule="auto"/>
    </w:pPr>
    <w:tblPr/>
  </w:style>
  <w:style w:type="table" w:styleId="783" w:customStyle="1">
    <w:name w:val="Grid Table 4 - Accent 1"/>
    <w:uiPriority w:val="59"/>
    <w:qFormat/>
    <w:pPr>
      <w:spacing w:after="0" w:line="240" w:lineRule="auto"/>
    </w:pPr>
    <w:tblPr/>
  </w:style>
  <w:style w:type="table" w:styleId="784" w:customStyle="1">
    <w:name w:val="Grid Table 4 - Accent 2"/>
    <w:uiPriority w:val="59"/>
    <w:qFormat/>
    <w:pPr>
      <w:spacing w:after="0" w:line="240" w:lineRule="auto"/>
    </w:pPr>
    <w:tblPr/>
  </w:style>
  <w:style w:type="table" w:styleId="785" w:customStyle="1">
    <w:name w:val="Grid Table 4 - Accent 3"/>
    <w:uiPriority w:val="59"/>
    <w:qFormat/>
    <w:pPr>
      <w:spacing w:after="0" w:line="240" w:lineRule="auto"/>
    </w:pPr>
    <w:tblPr/>
  </w:style>
  <w:style w:type="table" w:styleId="786" w:customStyle="1">
    <w:name w:val="Grid Table 4 - Accent 4"/>
    <w:uiPriority w:val="59"/>
    <w:qFormat/>
    <w:pPr>
      <w:spacing w:after="0" w:line="240" w:lineRule="auto"/>
    </w:pPr>
    <w:tblPr/>
  </w:style>
  <w:style w:type="table" w:styleId="787" w:customStyle="1">
    <w:name w:val="Grid Table 4 - Accent 5"/>
    <w:uiPriority w:val="59"/>
    <w:qFormat/>
    <w:pPr>
      <w:spacing w:after="0" w:line="240" w:lineRule="auto"/>
    </w:pPr>
    <w:tblPr/>
  </w:style>
  <w:style w:type="table" w:styleId="788" w:customStyle="1">
    <w:name w:val="Grid Table 4 - Accent 6"/>
    <w:uiPriority w:val="59"/>
    <w:qFormat/>
    <w:pPr>
      <w:spacing w:after="0" w:line="240" w:lineRule="auto"/>
    </w:pPr>
    <w:tblPr/>
  </w:style>
  <w:style w:type="table" w:styleId="789" w:customStyle="1">
    <w:name w:val="Grid Table 5 Dark"/>
    <w:uiPriority w:val="99"/>
    <w:qFormat/>
    <w:pPr>
      <w:spacing w:after="0" w:line="240" w:lineRule="auto"/>
    </w:pPr>
    <w:tblPr/>
  </w:style>
  <w:style w:type="table" w:styleId="790" w:customStyle="1">
    <w:name w:val="Grid Table 5 Dark- Accent 1"/>
    <w:uiPriority w:val="99"/>
    <w:qFormat/>
    <w:pPr>
      <w:spacing w:after="0" w:line="240" w:lineRule="auto"/>
    </w:pPr>
    <w:tblPr/>
  </w:style>
  <w:style w:type="table" w:styleId="791" w:customStyle="1">
    <w:name w:val="Grid Table 5 Dark - Accent 2"/>
    <w:uiPriority w:val="99"/>
    <w:qFormat/>
    <w:pPr>
      <w:spacing w:after="0" w:line="240" w:lineRule="auto"/>
    </w:pPr>
    <w:tblPr/>
  </w:style>
  <w:style w:type="table" w:styleId="792" w:customStyle="1">
    <w:name w:val="Grid Table 5 Dark - Accent 3"/>
    <w:uiPriority w:val="99"/>
    <w:qFormat/>
    <w:pPr>
      <w:spacing w:after="0" w:line="240" w:lineRule="auto"/>
    </w:pPr>
    <w:tblPr/>
  </w:style>
  <w:style w:type="table" w:styleId="793" w:customStyle="1">
    <w:name w:val="Grid Table 5 Dark- Accent 4"/>
    <w:uiPriority w:val="99"/>
    <w:qFormat/>
    <w:pPr>
      <w:spacing w:after="0" w:line="240" w:lineRule="auto"/>
    </w:pPr>
    <w:tblPr/>
  </w:style>
  <w:style w:type="table" w:styleId="794" w:customStyle="1">
    <w:name w:val="Grid Table 5 Dark - Accent 5"/>
    <w:uiPriority w:val="99"/>
    <w:qFormat/>
    <w:pPr>
      <w:spacing w:after="0" w:line="240" w:lineRule="auto"/>
    </w:pPr>
    <w:tblPr/>
  </w:style>
  <w:style w:type="table" w:styleId="795" w:customStyle="1">
    <w:name w:val="Grid Table 5 Dark - Accent 6"/>
    <w:uiPriority w:val="99"/>
    <w:qFormat/>
    <w:pPr>
      <w:spacing w:after="0" w:line="240" w:lineRule="auto"/>
    </w:pPr>
    <w:tblPr/>
  </w:style>
  <w:style w:type="table" w:styleId="796" w:customStyle="1">
    <w:name w:val="Grid Table 6 Colorful"/>
    <w:uiPriority w:val="99"/>
    <w:qFormat/>
    <w:pPr>
      <w:spacing w:after="0" w:line="240" w:lineRule="auto"/>
    </w:pPr>
    <w:tblPr/>
  </w:style>
  <w:style w:type="table" w:styleId="797" w:customStyle="1">
    <w:name w:val="Grid Table 6 Colorful - Accent 1"/>
    <w:uiPriority w:val="99"/>
    <w:qFormat/>
    <w:pPr>
      <w:spacing w:after="0" w:line="240" w:lineRule="auto"/>
    </w:pPr>
    <w:tblPr/>
  </w:style>
  <w:style w:type="table" w:styleId="798" w:customStyle="1">
    <w:name w:val="Grid Table 6 Colorful - Accent 2"/>
    <w:uiPriority w:val="99"/>
    <w:qFormat/>
    <w:pPr>
      <w:spacing w:after="0" w:line="240" w:lineRule="auto"/>
    </w:pPr>
    <w:tblPr/>
  </w:style>
  <w:style w:type="table" w:styleId="799" w:customStyle="1">
    <w:name w:val="Grid Table 6 Colorful - Accent 3"/>
    <w:uiPriority w:val="99"/>
    <w:qFormat/>
    <w:pPr>
      <w:spacing w:after="0" w:line="240" w:lineRule="auto"/>
    </w:pPr>
    <w:tblPr/>
  </w:style>
  <w:style w:type="table" w:styleId="800" w:customStyle="1">
    <w:name w:val="Grid Table 6 Colorful - Accent 4"/>
    <w:uiPriority w:val="99"/>
    <w:qFormat/>
    <w:pPr>
      <w:spacing w:after="0" w:line="240" w:lineRule="auto"/>
    </w:pPr>
    <w:tblPr/>
  </w:style>
  <w:style w:type="table" w:styleId="801" w:customStyle="1">
    <w:name w:val="Grid Table 6 Colorful - Accent 5"/>
    <w:uiPriority w:val="99"/>
    <w:qFormat/>
    <w:pPr>
      <w:spacing w:after="0" w:line="240" w:lineRule="auto"/>
    </w:pPr>
    <w:tblPr/>
  </w:style>
  <w:style w:type="table" w:styleId="802" w:customStyle="1">
    <w:name w:val="Grid Table 6 Colorful - Accent 6"/>
    <w:uiPriority w:val="99"/>
    <w:qFormat/>
    <w:pPr>
      <w:spacing w:after="0" w:line="240" w:lineRule="auto"/>
    </w:pPr>
    <w:tblPr/>
  </w:style>
  <w:style w:type="table" w:styleId="803" w:customStyle="1">
    <w:name w:val="Grid Table 7 Colorful"/>
    <w:uiPriority w:val="99"/>
    <w:qFormat/>
    <w:pPr>
      <w:spacing w:after="0" w:line="240" w:lineRule="auto"/>
    </w:pPr>
    <w:tblPr/>
  </w:style>
  <w:style w:type="table" w:styleId="804" w:customStyle="1">
    <w:name w:val="Grid Table 7 Colorful - Accent 1"/>
    <w:uiPriority w:val="99"/>
    <w:qFormat/>
    <w:pPr>
      <w:spacing w:after="0" w:line="240" w:lineRule="auto"/>
    </w:pPr>
    <w:tblPr/>
  </w:style>
  <w:style w:type="table" w:styleId="805" w:customStyle="1">
    <w:name w:val="Grid Table 7 Colorful - Accent 2"/>
    <w:uiPriority w:val="99"/>
    <w:qFormat/>
    <w:pPr>
      <w:spacing w:after="0" w:line="240" w:lineRule="auto"/>
    </w:pPr>
    <w:tblPr/>
  </w:style>
  <w:style w:type="table" w:styleId="806" w:customStyle="1">
    <w:name w:val="Grid Table 7 Colorful - Accent 3"/>
    <w:uiPriority w:val="99"/>
    <w:qFormat/>
    <w:pPr>
      <w:spacing w:after="0" w:line="240" w:lineRule="auto"/>
    </w:pPr>
    <w:tblPr/>
  </w:style>
  <w:style w:type="table" w:styleId="807" w:customStyle="1">
    <w:name w:val="Grid Table 7 Colorful - Accent 4"/>
    <w:uiPriority w:val="99"/>
    <w:qFormat/>
    <w:pPr>
      <w:spacing w:after="0" w:line="240" w:lineRule="auto"/>
    </w:pPr>
    <w:tblPr/>
  </w:style>
  <w:style w:type="table" w:styleId="808" w:customStyle="1">
    <w:name w:val="Grid Table 7 Colorful - Accent 5"/>
    <w:uiPriority w:val="99"/>
    <w:qFormat/>
    <w:pPr>
      <w:spacing w:after="0" w:line="240" w:lineRule="auto"/>
    </w:pPr>
    <w:tblPr/>
  </w:style>
  <w:style w:type="table" w:styleId="809" w:customStyle="1">
    <w:name w:val="Grid Table 7 Colorful - Accent 6"/>
    <w:uiPriority w:val="99"/>
    <w:qFormat/>
    <w:pPr>
      <w:spacing w:after="0" w:line="240" w:lineRule="auto"/>
    </w:pPr>
    <w:tblPr/>
  </w:style>
  <w:style w:type="table" w:styleId="810" w:customStyle="1">
    <w:name w:val="List Table 1 Light"/>
    <w:uiPriority w:val="99"/>
    <w:qFormat/>
    <w:pPr>
      <w:spacing w:after="0" w:line="240" w:lineRule="auto"/>
    </w:pPr>
    <w:tblPr/>
  </w:style>
  <w:style w:type="table" w:styleId="811" w:customStyle="1">
    <w:name w:val="List Table 1 Light - Accent 1"/>
    <w:uiPriority w:val="99"/>
    <w:qFormat/>
    <w:pPr>
      <w:spacing w:after="0" w:line="240" w:lineRule="auto"/>
    </w:pPr>
    <w:tblPr/>
  </w:style>
  <w:style w:type="table" w:styleId="812" w:customStyle="1">
    <w:name w:val="List Table 1 Light - Accent 2"/>
    <w:uiPriority w:val="99"/>
    <w:qFormat/>
    <w:pPr>
      <w:spacing w:after="0" w:line="240" w:lineRule="auto"/>
    </w:pPr>
    <w:tblPr/>
  </w:style>
  <w:style w:type="table" w:styleId="813" w:customStyle="1">
    <w:name w:val="List Table 1 Light - Accent 3"/>
    <w:uiPriority w:val="99"/>
    <w:qFormat/>
    <w:pPr>
      <w:spacing w:after="0" w:line="240" w:lineRule="auto"/>
    </w:pPr>
    <w:tblPr/>
  </w:style>
  <w:style w:type="table" w:styleId="814" w:customStyle="1">
    <w:name w:val="List Table 1 Light - Accent 4"/>
    <w:uiPriority w:val="99"/>
    <w:qFormat/>
    <w:pPr>
      <w:spacing w:after="0" w:line="240" w:lineRule="auto"/>
    </w:pPr>
    <w:tblPr/>
  </w:style>
  <w:style w:type="table" w:styleId="815" w:customStyle="1">
    <w:name w:val="List Table 1 Light - Accent 5"/>
    <w:uiPriority w:val="99"/>
    <w:qFormat/>
    <w:pPr>
      <w:spacing w:after="0" w:line="240" w:lineRule="auto"/>
    </w:pPr>
    <w:tblPr/>
  </w:style>
  <w:style w:type="table" w:styleId="816" w:customStyle="1">
    <w:name w:val="List Table 1 Light - Accent 6"/>
    <w:uiPriority w:val="99"/>
    <w:qFormat/>
    <w:pPr>
      <w:spacing w:after="0" w:line="240" w:lineRule="auto"/>
    </w:pPr>
    <w:tblPr/>
  </w:style>
  <w:style w:type="table" w:styleId="817" w:customStyle="1">
    <w:name w:val="List Table 2"/>
    <w:uiPriority w:val="99"/>
    <w:qFormat/>
    <w:pPr>
      <w:spacing w:after="0" w:line="240" w:lineRule="auto"/>
    </w:pPr>
    <w:tblPr/>
  </w:style>
  <w:style w:type="table" w:styleId="818" w:customStyle="1">
    <w:name w:val="List Table 2 - Accent 1"/>
    <w:uiPriority w:val="99"/>
    <w:qFormat/>
    <w:pPr>
      <w:spacing w:after="0" w:line="240" w:lineRule="auto"/>
    </w:pPr>
    <w:tblPr/>
  </w:style>
  <w:style w:type="table" w:styleId="819" w:customStyle="1">
    <w:name w:val="List Table 2 - Accent 2"/>
    <w:uiPriority w:val="99"/>
    <w:qFormat/>
    <w:pPr>
      <w:spacing w:after="0" w:line="240" w:lineRule="auto"/>
    </w:pPr>
    <w:tblPr/>
  </w:style>
  <w:style w:type="table" w:styleId="820" w:customStyle="1">
    <w:name w:val="List Table 2 - Accent 3"/>
    <w:uiPriority w:val="99"/>
    <w:qFormat/>
    <w:pPr>
      <w:spacing w:after="0" w:line="240" w:lineRule="auto"/>
    </w:pPr>
    <w:tblPr/>
  </w:style>
  <w:style w:type="table" w:styleId="821" w:customStyle="1">
    <w:name w:val="List Table 2 - Accent 4"/>
    <w:uiPriority w:val="99"/>
    <w:qFormat/>
    <w:pPr>
      <w:spacing w:after="0" w:line="240" w:lineRule="auto"/>
    </w:pPr>
    <w:tblPr/>
  </w:style>
  <w:style w:type="table" w:styleId="822" w:customStyle="1">
    <w:name w:val="List Table 2 - Accent 5"/>
    <w:uiPriority w:val="99"/>
    <w:qFormat/>
    <w:pPr>
      <w:spacing w:after="0" w:line="240" w:lineRule="auto"/>
    </w:pPr>
    <w:tblPr/>
  </w:style>
  <w:style w:type="table" w:styleId="823" w:customStyle="1">
    <w:name w:val="List Table 2 - Accent 6"/>
    <w:uiPriority w:val="99"/>
    <w:qFormat/>
    <w:pPr>
      <w:spacing w:after="0" w:line="240" w:lineRule="auto"/>
    </w:pPr>
    <w:tblPr/>
  </w:style>
  <w:style w:type="table" w:styleId="824" w:customStyle="1">
    <w:name w:val="List Table 3"/>
    <w:uiPriority w:val="99"/>
    <w:qFormat/>
    <w:pPr>
      <w:spacing w:after="0" w:line="240" w:lineRule="auto"/>
    </w:pPr>
    <w:tblPr/>
  </w:style>
  <w:style w:type="table" w:styleId="825" w:customStyle="1">
    <w:name w:val="List Table 3 - Accent 1"/>
    <w:uiPriority w:val="99"/>
    <w:qFormat/>
    <w:pPr>
      <w:spacing w:after="0" w:line="240" w:lineRule="auto"/>
    </w:pPr>
    <w:tblPr/>
  </w:style>
  <w:style w:type="table" w:styleId="826" w:customStyle="1">
    <w:name w:val="List Table 3 - Accent 2"/>
    <w:uiPriority w:val="99"/>
    <w:qFormat/>
    <w:pPr>
      <w:spacing w:after="0" w:line="240" w:lineRule="auto"/>
    </w:pPr>
    <w:tblPr/>
  </w:style>
  <w:style w:type="table" w:styleId="827" w:customStyle="1">
    <w:name w:val="List Table 3 - Accent 3"/>
    <w:uiPriority w:val="99"/>
    <w:qFormat/>
    <w:pPr>
      <w:spacing w:after="0" w:line="240" w:lineRule="auto"/>
    </w:pPr>
    <w:tblPr/>
  </w:style>
  <w:style w:type="table" w:styleId="828" w:customStyle="1">
    <w:name w:val="List Table 3 - Accent 4"/>
    <w:uiPriority w:val="99"/>
    <w:qFormat/>
    <w:pPr>
      <w:spacing w:after="0" w:line="240" w:lineRule="auto"/>
    </w:pPr>
    <w:tblPr/>
  </w:style>
  <w:style w:type="table" w:styleId="829" w:customStyle="1">
    <w:name w:val="List Table 3 - Accent 5"/>
    <w:uiPriority w:val="99"/>
    <w:qFormat/>
    <w:pPr>
      <w:spacing w:after="0" w:line="240" w:lineRule="auto"/>
    </w:pPr>
    <w:tblPr/>
  </w:style>
  <w:style w:type="table" w:styleId="830" w:customStyle="1">
    <w:name w:val="List Table 3 - Accent 6"/>
    <w:uiPriority w:val="99"/>
    <w:qFormat/>
    <w:pPr>
      <w:spacing w:after="0" w:line="240" w:lineRule="auto"/>
    </w:pPr>
    <w:tblPr/>
  </w:style>
  <w:style w:type="table" w:styleId="831" w:customStyle="1">
    <w:name w:val="List Table 4"/>
    <w:uiPriority w:val="99"/>
    <w:qFormat/>
    <w:pPr>
      <w:spacing w:after="0" w:line="240" w:lineRule="auto"/>
    </w:pPr>
    <w:tblPr/>
  </w:style>
  <w:style w:type="table" w:styleId="832" w:customStyle="1">
    <w:name w:val="List Table 4 - Accent 1"/>
    <w:uiPriority w:val="99"/>
    <w:qFormat/>
    <w:pPr>
      <w:spacing w:after="0" w:line="240" w:lineRule="auto"/>
    </w:pPr>
    <w:tblPr/>
  </w:style>
  <w:style w:type="table" w:styleId="833" w:customStyle="1">
    <w:name w:val="List Table 4 - Accent 2"/>
    <w:uiPriority w:val="99"/>
    <w:qFormat/>
    <w:pPr>
      <w:spacing w:after="0" w:line="240" w:lineRule="auto"/>
    </w:pPr>
    <w:tblPr/>
  </w:style>
  <w:style w:type="table" w:styleId="834" w:customStyle="1">
    <w:name w:val="List Table 4 - Accent 3"/>
    <w:uiPriority w:val="99"/>
    <w:qFormat/>
    <w:pPr>
      <w:spacing w:after="0" w:line="240" w:lineRule="auto"/>
    </w:pPr>
    <w:tblPr/>
  </w:style>
  <w:style w:type="table" w:styleId="835" w:customStyle="1">
    <w:name w:val="List Table 4 - Accent 4"/>
    <w:uiPriority w:val="99"/>
    <w:qFormat/>
    <w:pPr>
      <w:spacing w:after="0" w:line="240" w:lineRule="auto"/>
    </w:pPr>
    <w:tblPr/>
  </w:style>
  <w:style w:type="table" w:styleId="836" w:customStyle="1">
    <w:name w:val="List Table 4 - Accent 5"/>
    <w:uiPriority w:val="99"/>
    <w:qFormat/>
    <w:pPr>
      <w:spacing w:after="0" w:line="240" w:lineRule="auto"/>
    </w:pPr>
    <w:tblPr/>
  </w:style>
  <w:style w:type="table" w:styleId="837" w:customStyle="1">
    <w:name w:val="List Table 4 - Accent 6"/>
    <w:uiPriority w:val="99"/>
    <w:qFormat/>
    <w:pPr>
      <w:spacing w:after="0" w:line="240" w:lineRule="auto"/>
    </w:pPr>
    <w:tblPr/>
  </w:style>
  <w:style w:type="table" w:styleId="838" w:customStyle="1">
    <w:name w:val="List Table 5 Dark"/>
    <w:uiPriority w:val="99"/>
    <w:qFormat/>
    <w:pPr>
      <w:spacing w:after="0" w:line="240" w:lineRule="auto"/>
    </w:pPr>
    <w:tblPr/>
  </w:style>
  <w:style w:type="table" w:styleId="839" w:customStyle="1">
    <w:name w:val="List Table 5 Dark - Accent 1"/>
    <w:uiPriority w:val="99"/>
    <w:qFormat/>
    <w:pPr>
      <w:spacing w:after="0" w:line="240" w:lineRule="auto"/>
    </w:pPr>
    <w:tblPr/>
  </w:style>
  <w:style w:type="table" w:styleId="840" w:customStyle="1">
    <w:name w:val="List Table 5 Dark - Accent 2"/>
    <w:uiPriority w:val="99"/>
    <w:qFormat/>
    <w:pPr>
      <w:spacing w:after="0" w:line="240" w:lineRule="auto"/>
    </w:pPr>
    <w:tblPr/>
  </w:style>
  <w:style w:type="table" w:styleId="841" w:customStyle="1">
    <w:name w:val="List Table 5 Dark - Accent 3"/>
    <w:uiPriority w:val="99"/>
    <w:qFormat/>
    <w:pPr>
      <w:spacing w:after="0" w:line="240" w:lineRule="auto"/>
    </w:pPr>
    <w:tblPr/>
  </w:style>
  <w:style w:type="table" w:styleId="842" w:customStyle="1">
    <w:name w:val="List Table 5 Dark - Accent 4"/>
    <w:uiPriority w:val="99"/>
    <w:qFormat/>
    <w:pPr>
      <w:spacing w:after="0" w:line="240" w:lineRule="auto"/>
    </w:pPr>
    <w:tblPr/>
  </w:style>
  <w:style w:type="table" w:styleId="843" w:customStyle="1">
    <w:name w:val="List Table 5 Dark - Accent 5"/>
    <w:uiPriority w:val="99"/>
    <w:qFormat/>
    <w:pPr>
      <w:spacing w:after="0" w:line="240" w:lineRule="auto"/>
    </w:pPr>
    <w:tblPr/>
  </w:style>
  <w:style w:type="table" w:styleId="844" w:customStyle="1">
    <w:name w:val="List Table 5 Dark - Accent 6"/>
    <w:uiPriority w:val="99"/>
    <w:qFormat/>
    <w:pPr>
      <w:spacing w:after="0" w:line="240" w:lineRule="auto"/>
    </w:pPr>
    <w:tblPr/>
  </w:style>
  <w:style w:type="table" w:styleId="845" w:customStyle="1">
    <w:name w:val="List Table 6 Colorful"/>
    <w:uiPriority w:val="99"/>
    <w:qFormat/>
    <w:pPr>
      <w:spacing w:after="0" w:line="240" w:lineRule="auto"/>
    </w:pPr>
    <w:tblPr/>
  </w:style>
  <w:style w:type="table" w:styleId="846" w:customStyle="1">
    <w:name w:val="List Table 6 Colorful - Accent 1"/>
    <w:uiPriority w:val="99"/>
    <w:qFormat/>
    <w:pPr>
      <w:spacing w:after="0" w:line="240" w:lineRule="auto"/>
    </w:pPr>
    <w:tblPr/>
  </w:style>
  <w:style w:type="table" w:styleId="847" w:customStyle="1">
    <w:name w:val="List Table 6 Colorful - Accent 2"/>
    <w:uiPriority w:val="99"/>
    <w:qFormat/>
    <w:pPr>
      <w:spacing w:after="0" w:line="240" w:lineRule="auto"/>
    </w:pPr>
    <w:tblPr/>
  </w:style>
  <w:style w:type="table" w:styleId="848" w:customStyle="1">
    <w:name w:val="List Table 6 Colorful - Accent 3"/>
    <w:uiPriority w:val="99"/>
    <w:qFormat/>
    <w:pPr>
      <w:spacing w:after="0" w:line="240" w:lineRule="auto"/>
    </w:pPr>
    <w:tblPr/>
  </w:style>
  <w:style w:type="table" w:styleId="849" w:customStyle="1">
    <w:name w:val="List Table 6 Colorful - Accent 4"/>
    <w:uiPriority w:val="99"/>
    <w:qFormat/>
    <w:pPr>
      <w:spacing w:after="0" w:line="240" w:lineRule="auto"/>
    </w:pPr>
    <w:tblPr/>
  </w:style>
  <w:style w:type="table" w:styleId="850" w:customStyle="1">
    <w:name w:val="List Table 6 Colorful - Accent 5"/>
    <w:uiPriority w:val="99"/>
    <w:qFormat/>
    <w:pPr>
      <w:spacing w:after="0" w:line="240" w:lineRule="auto"/>
    </w:pPr>
    <w:tblPr/>
  </w:style>
  <w:style w:type="table" w:styleId="851" w:customStyle="1">
    <w:name w:val="List Table 6 Colorful - Accent 6"/>
    <w:uiPriority w:val="99"/>
    <w:qFormat/>
    <w:pPr>
      <w:spacing w:after="0" w:line="240" w:lineRule="auto"/>
    </w:pPr>
    <w:tblPr/>
  </w:style>
  <w:style w:type="table" w:styleId="852" w:customStyle="1">
    <w:name w:val="List Table 7 Colorful"/>
    <w:uiPriority w:val="99"/>
    <w:qFormat/>
    <w:pPr>
      <w:spacing w:after="0" w:line="240" w:lineRule="auto"/>
    </w:pPr>
    <w:tblPr/>
  </w:style>
  <w:style w:type="table" w:styleId="853" w:customStyle="1">
    <w:name w:val="List Table 7 Colorful - Accent 1"/>
    <w:uiPriority w:val="99"/>
    <w:qFormat/>
    <w:pPr>
      <w:spacing w:after="0" w:line="240" w:lineRule="auto"/>
    </w:pPr>
    <w:tblPr/>
  </w:style>
  <w:style w:type="table" w:styleId="854" w:customStyle="1">
    <w:name w:val="List Table 7 Colorful - Accent 2"/>
    <w:uiPriority w:val="99"/>
    <w:qFormat/>
    <w:pPr>
      <w:spacing w:after="0" w:line="240" w:lineRule="auto"/>
    </w:pPr>
    <w:tblPr/>
  </w:style>
  <w:style w:type="table" w:styleId="855" w:customStyle="1">
    <w:name w:val="List Table 7 Colorful - Accent 3"/>
    <w:uiPriority w:val="99"/>
    <w:qFormat/>
    <w:pPr>
      <w:spacing w:after="0" w:line="240" w:lineRule="auto"/>
    </w:pPr>
    <w:tblPr/>
  </w:style>
  <w:style w:type="table" w:styleId="856" w:customStyle="1">
    <w:name w:val="List Table 7 Colorful - Accent 4"/>
    <w:uiPriority w:val="99"/>
    <w:qFormat/>
    <w:pPr>
      <w:spacing w:after="0" w:line="240" w:lineRule="auto"/>
    </w:pPr>
    <w:tblPr/>
  </w:style>
  <w:style w:type="table" w:styleId="857" w:customStyle="1">
    <w:name w:val="List Table 7 Colorful - Accent 5"/>
    <w:uiPriority w:val="99"/>
    <w:qFormat/>
    <w:pPr>
      <w:spacing w:after="0" w:line="240" w:lineRule="auto"/>
    </w:pPr>
    <w:tblPr/>
  </w:style>
  <w:style w:type="table" w:styleId="858" w:customStyle="1">
    <w:name w:val="List Table 7 Colorful - Accent 6"/>
    <w:uiPriority w:val="99"/>
    <w:qFormat/>
    <w:pPr>
      <w:spacing w:after="0" w:line="240" w:lineRule="auto"/>
    </w:pPr>
    <w:tblPr/>
  </w:style>
  <w:style w:type="table" w:styleId="859" w:customStyle="1">
    <w:name w:val="Lined - Accent"/>
    <w:uiPriority w:val="99"/>
    <w:qFormat/>
    <w:pPr>
      <w:spacing w:after="0" w:line="240" w:lineRule="auto"/>
    </w:pPr>
    <w:rPr>
      <w:color w:val="404040"/>
    </w:rPr>
    <w:tblPr/>
  </w:style>
  <w:style w:type="table" w:styleId="860" w:customStyle="1">
    <w:name w:val="Lined - Accent 1"/>
    <w:uiPriority w:val="99"/>
    <w:qFormat/>
    <w:pPr>
      <w:spacing w:after="0" w:line="240" w:lineRule="auto"/>
    </w:pPr>
    <w:rPr>
      <w:color w:val="404040"/>
    </w:rPr>
    <w:tblPr/>
  </w:style>
  <w:style w:type="table" w:styleId="861" w:customStyle="1">
    <w:name w:val="Lined - Accent 2"/>
    <w:uiPriority w:val="99"/>
    <w:qFormat/>
    <w:pPr>
      <w:spacing w:after="0" w:line="240" w:lineRule="auto"/>
    </w:pPr>
    <w:rPr>
      <w:color w:val="404040"/>
    </w:rPr>
    <w:tblPr/>
  </w:style>
  <w:style w:type="table" w:styleId="862" w:customStyle="1">
    <w:name w:val="Lined - Accent 3"/>
    <w:uiPriority w:val="99"/>
    <w:qFormat/>
    <w:pPr>
      <w:spacing w:after="0" w:line="240" w:lineRule="auto"/>
    </w:pPr>
    <w:rPr>
      <w:color w:val="404040"/>
    </w:rPr>
    <w:tblPr/>
  </w:style>
  <w:style w:type="table" w:styleId="863" w:customStyle="1">
    <w:name w:val="Lined - Accent 4"/>
    <w:uiPriority w:val="99"/>
    <w:qFormat/>
    <w:pPr>
      <w:spacing w:after="0" w:line="240" w:lineRule="auto"/>
    </w:pPr>
    <w:rPr>
      <w:color w:val="404040"/>
    </w:rPr>
    <w:tblPr/>
  </w:style>
  <w:style w:type="table" w:styleId="864" w:customStyle="1">
    <w:name w:val="Lined - Accent 5"/>
    <w:uiPriority w:val="99"/>
    <w:qFormat/>
    <w:pPr>
      <w:spacing w:after="0" w:line="240" w:lineRule="auto"/>
    </w:pPr>
    <w:rPr>
      <w:color w:val="404040"/>
    </w:rPr>
    <w:tblPr/>
  </w:style>
  <w:style w:type="table" w:styleId="865" w:customStyle="1">
    <w:name w:val="Lined - Accent 6"/>
    <w:uiPriority w:val="99"/>
    <w:qFormat/>
    <w:pPr>
      <w:spacing w:after="0" w:line="240" w:lineRule="auto"/>
    </w:pPr>
    <w:rPr>
      <w:color w:val="404040"/>
    </w:rPr>
    <w:tblPr/>
  </w:style>
  <w:style w:type="table" w:styleId="866" w:customStyle="1">
    <w:name w:val="Bordered &amp; Lined - Accent"/>
    <w:uiPriority w:val="99"/>
    <w:qFormat/>
    <w:pPr>
      <w:spacing w:after="0" w:line="240" w:lineRule="auto"/>
    </w:pPr>
    <w:rPr>
      <w:color w:val="404040"/>
    </w:rPr>
    <w:tblPr/>
  </w:style>
  <w:style w:type="table" w:styleId="867" w:customStyle="1">
    <w:name w:val="Bordered &amp; Lined - Accent 1"/>
    <w:uiPriority w:val="99"/>
    <w:qFormat/>
    <w:pPr>
      <w:spacing w:after="0" w:line="240" w:lineRule="auto"/>
    </w:pPr>
    <w:rPr>
      <w:color w:val="404040"/>
    </w:rPr>
    <w:tblPr/>
  </w:style>
  <w:style w:type="table" w:styleId="868" w:customStyle="1">
    <w:name w:val="Bordered &amp; Lined - Accent 2"/>
    <w:uiPriority w:val="99"/>
    <w:qFormat/>
    <w:pPr>
      <w:spacing w:after="0" w:line="240" w:lineRule="auto"/>
    </w:pPr>
    <w:rPr>
      <w:color w:val="404040"/>
    </w:rPr>
    <w:tblPr/>
  </w:style>
  <w:style w:type="table" w:styleId="869" w:customStyle="1">
    <w:name w:val="Bordered &amp; Lined - Accent 3"/>
    <w:uiPriority w:val="99"/>
    <w:qFormat/>
    <w:pPr>
      <w:spacing w:after="0" w:line="240" w:lineRule="auto"/>
    </w:pPr>
    <w:rPr>
      <w:color w:val="404040"/>
    </w:rPr>
    <w:tblPr/>
  </w:style>
  <w:style w:type="table" w:styleId="870" w:customStyle="1">
    <w:name w:val="Bordered &amp; Lined - Accent 4"/>
    <w:uiPriority w:val="99"/>
    <w:qFormat/>
    <w:pPr>
      <w:spacing w:after="0" w:line="240" w:lineRule="auto"/>
    </w:pPr>
    <w:rPr>
      <w:color w:val="404040"/>
    </w:rPr>
    <w:tblPr/>
  </w:style>
  <w:style w:type="table" w:styleId="871" w:customStyle="1">
    <w:name w:val="Bordered &amp; Lined - Accent 5"/>
    <w:uiPriority w:val="99"/>
    <w:qFormat/>
    <w:pPr>
      <w:spacing w:after="0" w:line="240" w:lineRule="auto"/>
    </w:pPr>
    <w:rPr>
      <w:color w:val="404040"/>
    </w:rPr>
    <w:tblPr/>
  </w:style>
  <w:style w:type="table" w:styleId="872" w:customStyle="1">
    <w:name w:val="Bordered &amp; Lined - Accent 6"/>
    <w:uiPriority w:val="99"/>
    <w:qFormat/>
    <w:pPr>
      <w:spacing w:after="0" w:line="240" w:lineRule="auto"/>
    </w:pPr>
    <w:rPr>
      <w:color w:val="404040"/>
    </w:rPr>
    <w:tblPr/>
  </w:style>
  <w:style w:type="table" w:styleId="873" w:customStyle="1">
    <w:name w:val="Bordered"/>
    <w:uiPriority w:val="99"/>
    <w:qFormat/>
    <w:pPr>
      <w:spacing w:after="0" w:line="240" w:lineRule="auto"/>
    </w:pPr>
    <w:tblPr/>
  </w:style>
  <w:style w:type="table" w:styleId="874" w:customStyle="1">
    <w:name w:val="Bordered - Accent 1"/>
    <w:uiPriority w:val="99"/>
    <w:qFormat/>
    <w:pPr>
      <w:spacing w:after="0" w:line="240" w:lineRule="auto"/>
    </w:pPr>
    <w:tblPr/>
  </w:style>
  <w:style w:type="table" w:styleId="875" w:customStyle="1">
    <w:name w:val="Bordered - Accent 2"/>
    <w:uiPriority w:val="99"/>
    <w:qFormat/>
    <w:pPr>
      <w:spacing w:after="0" w:line="240" w:lineRule="auto"/>
    </w:pPr>
    <w:tblPr/>
  </w:style>
  <w:style w:type="table" w:styleId="876" w:customStyle="1">
    <w:name w:val="Bordered - Accent 3"/>
    <w:uiPriority w:val="99"/>
    <w:qFormat/>
    <w:pPr>
      <w:spacing w:after="0" w:line="240" w:lineRule="auto"/>
    </w:pPr>
    <w:tblPr/>
  </w:style>
  <w:style w:type="table" w:styleId="877" w:customStyle="1">
    <w:name w:val="Bordered - Accent 4"/>
    <w:uiPriority w:val="99"/>
    <w:qFormat/>
    <w:pPr>
      <w:spacing w:after="0" w:line="240" w:lineRule="auto"/>
    </w:pPr>
    <w:tblPr/>
  </w:style>
  <w:style w:type="table" w:styleId="878" w:customStyle="1">
    <w:name w:val="Bordered - Accent 5"/>
    <w:uiPriority w:val="99"/>
    <w:qFormat/>
    <w:pPr>
      <w:spacing w:after="0" w:line="240" w:lineRule="auto"/>
    </w:pPr>
    <w:tblPr/>
  </w:style>
  <w:style w:type="table" w:styleId="879" w:customStyle="1">
    <w:name w:val="Bordered - Accent 6"/>
    <w:uiPriority w:val="99"/>
    <w:qFormat/>
    <w:pPr>
      <w:spacing w:after="0" w:line="240" w:lineRule="auto"/>
    </w:pPr>
    <w:tbl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
    <w:basedOn w:val="652"/>
    <w:next w:val="652"/>
    <w:link w:val="882"/>
    <w:uiPriority w:val="0"/>
    <w:qFormat/>
    <w:pPr>
      <w:jc w:val="center"/>
      <w:keepNext/>
      <w:outlineLvl w:val="0"/>
    </w:pPr>
    <w:rPr>
      <w:rFonts w:ascii="楷体_GB2312" w:eastAsia="楷体_GB2312"/>
      <w:sz w:val="28"/>
      <w:szCs w:val="28"/>
    </w:rPr>
  </w:style>
  <w:style w:type="character" w:styleId="882" w:customStyle="1">
    <w:name w:val="标题 1 Char"/>
    <w:link w:val="881"/>
    <w:uiPriority w:val="0"/>
    <w:qFormat/>
    <w:rPr>
      <w:rFonts w:ascii="楷体_GB2312" w:hAnsi="Times New Roman" w:eastAsia="楷体_GB2312" w:cs="Times New Roman"/>
      <w:sz w:val="28"/>
      <w:szCs w:val="28"/>
    </w:rPr>
  </w:style>
  <w:style w:type="paragraph" w:styleId="883" w:customStyle="1">
    <w:name w:val="标题 21"/>
    <w:basedOn w:val="652"/>
    <w:next w:val="884"/>
    <w:link w:val="8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正文缩进11"/>
    <w:basedOn w:val="652"/>
    <w:link w:val="886"/>
    <w:uiPriority w:val="0"/>
    <w:qFormat/>
    <w:pPr>
      <w:ind w:firstLine="420"/>
    </w:pPr>
  </w:style>
  <w:style w:type="character" w:styleId="885" w:customStyle="1">
    <w:name w:val="标题 2 Char"/>
    <w:link w:val="883"/>
    <w:uiPriority w:val="0"/>
    <w:qFormat/>
    <w:rPr>
      <w:rFonts w:ascii="Arial" w:hAnsi="Arial" w:eastAsia="幼圆" w:cs="Arial"/>
      <w:b/>
      <w:bCs/>
      <w:sz w:val="44"/>
      <w:szCs w:val="44"/>
    </w:rPr>
  </w:style>
  <w:style w:type="character" w:styleId="886" w:customStyle="1">
    <w:name w:val="正文缩进 Char"/>
    <w:link w:val="884"/>
    <w:uiPriority w:val="0"/>
    <w:qFormat/>
    <w:rPr>
      <w:rFonts w:ascii="Times New Roman" w:hAnsi="Times New Roman" w:eastAsia="宋体" w:cs="Times New Roman"/>
      <w:szCs w:val="21"/>
    </w:rPr>
  </w:style>
  <w:style w:type="paragraph" w:styleId="887" w:customStyle="1">
    <w:name w:val="标题 311"/>
    <w:basedOn w:val="652"/>
    <w:next w:val="884"/>
    <w:link w:val="888"/>
    <w:uiPriority w:val="0"/>
    <w:qFormat/>
    <w:pPr>
      <w:keepLines/>
      <w:keepNext/>
      <w:spacing w:before="260" w:after="260" w:line="416" w:lineRule="auto"/>
      <w:outlineLvl w:val="2"/>
    </w:pPr>
    <w:rPr>
      <w:b/>
      <w:bCs/>
      <w:sz w:val="32"/>
      <w:szCs w:val="32"/>
    </w:rPr>
  </w:style>
  <w:style w:type="character" w:styleId="888" w:customStyle="1">
    <w:name w:val="标题 3 Char"/>
    <w:link w:val="887"/>
    <w:uiPriority w:val="0"/>
    <w:qFormat/>
    <w:rPr>
      <w:rFonts w:ascii="Times New Roman" w:hAnsi="Times New Roman" w:eastAsia="宋体" w:cs="Times New Roman"/>
      <w:b/>
      <w:bCs/>
      <w:sz w:val="32"/>
      <w:szCs w:val="32"/>
    </w:rPr>
  </w:style>
  <w:style w:type="paragraph" w:styleId="889" w:customStyle="1">
    <w:name w:val="标题 41"/>
    <w:basedOn w:val="652"/>
    <w:next w:val="884"/>
    <w:link w:val="890"/>
    <w:uiPriority w:val="0"/>
    <w:qFormat/>
    <w:pPr>
      <w:keepLines/>
      <w:keepNext/>
      <w:spacing w:before="280" w:after="290" w:line="376" w:lineRule="auto"/>
      <w:outlineLvl w:val="3"/>
    </w:pPr>
    <w:rPr>
      <w:rFonts w:ascii="Arial" w:hAnsi="Arial" w:eastAsia="黑体" w:cs="Arial"/>
      <w:b/>
      <w:bCs/>
      <w:sz w:val="28"/>
      <w:szCs w:val="28"/>
    </w:rPr>
  </w:style>
  <w:style w:type="character" w:styleId="890" w:customStyle="1">
    <w:name w:val="标题 4 Char"/>
    <w:link w:val="889"/>
    <w:uiPriority w:val="0"/>
    <w:qFormat/>
    <w:rPr>
      <w:rFonts w:ascii="Arial" w:hAnsi="Arial" w:eastAsia="黑体" w:cs="Arial"/>
      <w:b/>
      <w:bCs/>
      <w:sz w:val="28"/>
      <w:szCs w:val="28"/>
    </w:rPr>
  </w:style>
  <w:style w:type="paragraph" w:styleId="891" w:customStyle="1">
    <w:name w:val="标题 51"/>
    <w:basedOn w:val="652"/>
    <w:next w:val="884"/>
    <w:link w:val="892"/>
    <w:uiPriority w:val="0"/>
    <w:qFormat/>
    <w:pPr>
      <w:keepNext/>
      <w:outlineLvl w:val="4"/>
    </w:pPr>
    <w:rPr>
      <w:rFonts w:ascii="宋体"/>
      <w:color w:val="000000"/>
      <w:sz w:val="28"/>
      <w:szCs w:val="28"/>
    </w:rPr>
  </w:style>
  <w:style w:type="character" w:styleId="892" w:customStyle="1">
    <w:name w:val="标题 5 Char"/>
    <w:link w:val="891"/>
    <w:uiPriority w:val="0"/>
    <w:qFormat/>
    <w:rPr>
      <w:rFonts w:ascii="宋体" w:hAnsi="Times New Roman" w:eastAsia="宋体" w:cs="Times New Roman"/>
      <w:color w:val="000000"/>
      <w:sz w:val="28"/>
      <w:szCs w:val="28"/>
    </w:rPr>
  </w:style>
  <w:style w:type="paragraph" w:styleId="893" w:customStyle="1">
    <w:name w:val="标题 61"/>
    <w:basedOn w:val="652"/>
    <w:next w:val="652"/>
    <w:link w:val="89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94" w:customStyle="1">
    <w:name w:val="标题 6 Char"/>
    <w:link w:val="893"/>
    <w:uiPriority w:val="0"/>
    <w:qFormat/>
    <w:rPr>
      <w:rFonts w:ascii="Arial" w:hAnsi="Arial" w:eastAsia="黑体" w:cs="Times New Roman"/>
      <w:b/>
      <w:bCs/>
      <w:sz w:val="24"/>
      <w:szCs w:val="24"/>
    </w:rPr>
  </w:style>
  <w:style w:type="paragraph" w:styleId="895" w:customStyle="1">
    <w:name w:val="标题 71"/>
    <w:basedOn w:val="652"/>
    <w:next w:val="652"/>
    <w:link w:val="896"/>
    <w:uiPriority w:val="0"/>
    <w:qFormat/>
    <w:pPr>
      <w:numPr>
        <w:ilvl w:val="6"/>
        <w:numId w:val="1"/>
      </w:numPr>
      <w:keepLines/>
      <w:keepNext/>
      <w:spacing w:before="240" w:after="64" w:line="320" w:lineRule="auto"/>
      <w:outlineLvl w:val="6"/>
    </w:pPr>
    <w:rPr>
      <w:b/>
      <w:bCs/>
      <w:sz w:val="24"/>
      <w:szCs w:val="24"/>
    </w:rPr>
  </w:style>
  <w:style w:type="character" w:styleId="896" w:customStyle="1">
    <w:name w:val="标题 7 Char"/>
    <w:link w:val="895"/>
    <w:uiPriority w:val="0"/>
    <w:qFormat/>
    <w:rPr>
      <w:rFonts w:ascii="Times New Roman" w:hAnsi="Times New Roman" w:eastAsia="宋体" w:cs="Times New Roman"/>
      <w:b/>
      <w:bCs/>
      <w:sz w:val="24"/>
      <w:szCs w:val="24"/>
    </w:rPr>
  </w:style>
  <w:style w:type="paragraph" w:styleId="897" w:customStyle="1">
    <w:name w:val="标题 81"/>
    <w:basedOn w:val="652"/>
    <w:next w:val="652"/>
    <w:link w:val="89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98" w:customStyle="1">
    <w:name w:val="标题 8 Char"/>
    <w:link w:val="897"/>
    <w:uiPriority w:val="0"/>
    <w:qFormat/>
    <w:rPr>
      <w:rFonts w:ascii="Arial" w:hAnsi="Arial" w:eastAsia="黑体" w:cs="Times New Roman"/>
      <w:sz w:val="24"/>
      <w:szCs w:val="24"/>
    </w:rPr>
  </w:style>
  <w:style w:type="paragraph" w:styleId="899" w:customStyle="1">
    <w:name w:val="标题 91"/>
    <w:basedOn w:val="652"/>
    <w:next w:val="652"/>
    <w:link w:val="900"/>
    <w:uiPriority w:val="0"/>
    <w:qFormat/>
    <w:pPr>
      <w:numPr>
        <w:ilvl w:val="8"/>
        <w:numId w:val="1"/>
      </w:numPr>
      <w:keepLines/>
      <w:keepNext/>
      <w:spacing w:before="240" w:after="64" w:line="320" w:lineRule="auto"/>
      <w:outlineLvl w:val="8"/>
    </w:pPr>
    <w:rPr>
      <w:rFonts w:ascii="Arial" w:hAnsi="Arial" w:eastAsia="黑体"/>
    </w:rPr>
  </w:style>
  <w:style w:type="character" w:styleId="900" w:customStyle="1">
    <w:name w:val="标题 9 Char"/>
    <w:link w:val="899"/>
    <w:uiPriority w:val="0"/>
    <w:qFormat/>
    <w:rPr>
      <w:rFonts w:ascii="Arial" w:hAnsi="Arial" w:eastAsia="黑体" w:cs="Times New Roman"/>
      <w:szCs w:val="21"/>
    </w:rPr>
  </w:style>
  <w:style w:type="character" w:styleId="901" w:customStyle="1">
    <w:name w:val="默认段落字体1"/>
    <w:link w:val="652"/>
    <w:uiPriority w:val="1"/>
    <w:unhideWhenUsed/>
    <w:qFormat/>
  </w:style>
  <w:style w:type="table" w:styleId="902" w:customStyle="1">
    <w:name w:val="普通表格11"/>
    <w:uiPriority w:val="99"/>
    <w:unhideWhenUsed/>
    <w:qFormat/>
    <w:tblPr/>
  </w:style>
  <w:style w:type="paragraph" w:styleId="903" w:customStyle="1">
    <w:name w:val="列表 31"/>
    <w:basedOn w:val="652"/>
    <w:uiPriority w:val="0"/>
    <w:qFormat/>
    <w:pPr>
      <w:ind w:left="100" w:hanging="200"/>
    </w:pPr>
  </w:style>
  <w:style w:type="paragraph" w:styleId="904" w:customStyle="1">
    <w:name w:val="目录 71"/>
    <w:basedOn w:val="652"/>
    <w:next w:val="652"/>
    <w:uiPriority w:val="0"/>
    <w:semiHidden/>
    <w:qFormat/>
    <w:pPr>
      <w:ind w:left="1260"/>
      <w:jc w:val="left"/>
    </w:pPr>
  </w:style>
  <w:style w:type="paragraph" w:styleId="905" w:customStyle="1">
    <w:name w:val="文档结构图1"/>
    <w:basedOn w:val="652"/>
    <w:link w:val="906"/>
    <w:uiPriority w:val="0"/>
    <w:semiHidden/>
    <w:qFormat/>
    <w:pPr>
      <w:shd w:val="clear" w:color="auto" w:fill="000080"/>
    </w:pPr>
  </w:style>
  <w:style w:type="character" w:styleId="906" w:customStyle="1">
    <w:name w:val="文档结构图 Char"/>
    <w:link w:val="905"/>
    <w:uiPriority w:val="0"/>
    <w:semiHidden/>
    <w:qFormat/>
    <w:rPr>
      <w:rFonts w:ascii="Times New Roman" w:hAnsi="Times New Roman" w:eastAsia="宋体" w:cs="Times New Roman"/>
      <w:szCs w:val="21"/>
      <w:shd w:val="clear" w:color="auto" w:fill="000080"/>
    </w:rPr>
  </w:style>
  <w:style w:type="paragraph" w:styleId="907" w:customStyle="1">
    <w:name w:val="批注文字1"/>
    <w:basedOn w:val="652"/>
    <w:link w:val="908"/>
    <w:uiPriority w:val="0"/>
    <w:semiHidden/>
    <w:qFormat/>
    <w:pPr>
      <w:jc w:val="left"/>
    </w:pPr>
  </w:style>
  <w:style w:type="character" w:styleId="908" w:customStyle="1">
    <w:name w:val="批注文字 Char"/>
    <w:link w:val="907"/>
    <w:uiPriority w:val="0"/>
    <w:semiHidden/>
    <w:qFormat/>
    <w:rPr>
      <w:rFonts w:ascii="Times New Roman" w:hAnsi="Times New Roman" w:eastAsia="宋体" w:cs="Times New Roman"/>
      <w:szCs w:val="21"/>
    </w:rPr>
  </w:style>
  <w:style w:type="paragraph" w:styleId="909" w:customStyle="1">
    <w:name w:val="正文文本 31"/>
    <w:basedOn w:val="652"/>
    <w:link w:val="910"/>
    <w:uiPriority w:val="0"/>
    <w:qFormat/>
    <w:rPr>
      <w:rFonts w:ascii="仿宋_GB2312" w:hAnsi="Arial" w:eastAsia="仿宋_GB2312"/>
      <w:sz w:val="32"/>
      <w:szCs w:val="32"/>
    </w:rPr>
  </w:style>
  <w:style w:type="character" w:styleId="910" w:customStyle="1">
    <w:name w:val="正文文本 3 Char"/>
    <w:link w:val="909"/>
    <w:uiPriority w:val="0"/>
    <w:qFormat/>
    <w:rPr>
      <w:rFonts w:ascii="仿宋_GB2312" w:hAnsi="Arial" w:eastAsia="仿宋_GB2312" w:cs="Times New Roman"/>
      <w:sz w:val="32"/>
      <w:szCs w:val="32"/>
    </w:rPr>
  </w:style>
  <w:style w:type="paragraph" w:styleId="911" w:customStyle="1">
    <w:name w:val="正文文本11"/>
    <w:basedOn w:val="652"/>
    <w:link w:val="912"/>
    <w:uiPriority w:val="0"/>
    <w:qFormat/>
    <w:rPr>
      <w:rFonts w:ascii="楷体_GB2312" w:hAnsi="Arial" w:eastAsia="楷体_GB2312"/>
      <w:sz w:val="28"/>
      <w:szCs w:val="28"/>
    </w:rPr>
  </w:style>
  <w:style w:type="character" w:styleId="912" w:customStyle="1">
    <w:name w:val="正文文本 Char"/>
    <w:link w:val="911"/>
    <w:uiPriority w:val="0"/>
    <w:qFormat/>
    <w:rPr>
      <w:rFonts w:ascii="楷体_GB2312" w:hAnsi="Arial" w:eastAsia="楷体_GB2312" w:cs="Times New Roman"/>
      <w:sz w:val="28"/>
      <w:szCs w:val="28"/>
    </w:rPr>
  </w:style>
  <w:style w:type="paragraph" w:styleId="913" w:customStyle="1">
    <w:name w:val="正文文本缩进1"/>
    <w:basedOn w:val="652"/>
    <w:link w:val="914"/>
    <w:uiPriority w:val="0"/>
    <w:qFormat/>
    <w:pPr>
      <w:ind w:firstLine="645"/>
    </w:pPr>
    <w:rPr>
      <w:rFonts w:ascii="楷体_GB2312" w:eastAsia="楷体_GB2312"/>
      <w:sz w:val="32"/>
      <w:szCs w:val="32"/>
    </w:rPr>
  </w:style>
  <w:style w:type="character" w:styleId="914" w:customStyle="1">
    <w:name w:val="正文文本缩进 Char"/>
    <w:link w:val="913"/>
    <w:uiPriority w:val="0"/>
    <w:qFormat/>
    <w:rPr>
      <w:rFonts w:ascii="楷体_GB2312" w:hAnsi="Times New Roman" w:eastAsia="楷体_GB2312" w:cs="Times New Roman"/>
      <w:sz w:val="32"/>
      <w:szCs w:val="32"/>
    </w:rPr>
  </w:style>
  <w:style w:type="paragraph" w:styleId="915" w:customStyle="1">
    <w:name w:val="列表 21"/>
    <w:basedOn w:val="652"/>
    <w:uiPriority w:val="0"/>
    <w:qFormat/>
    <w:pPr>
      <w:ind w:left="100" w:hanging="200"/>
    </w:pPr>
  </w:style>
  <w:style w:type="paragraph" w:styleId="916" w:customStyle="1">
    <w:name w:val="目录 51"/>
    <w:basedOn w:val="652"/>
    <w:next w:val="652"/>
    <w:uiPriority w:val="0"/>
    <w:semiHidden/>
    <w:qFormat/>
    <w:pPr>
      <w:ind w:left="840"/>
      <w:jc w:val="left"/>
    </w:pPr>
  </w:style>
  <w:style w:type="paragraph" w:styleId="917" w:customStyle="1">
    <w:name w:val="目录 31"/>
    <w:basedOn w:val="652"/>
    <w:next w:val="652"/>
    <w:uiPriority w:val="0"/>
    <w:semiHidden/>
    <w:qFormat/>
    <w:pPr>
      <w:ind w:left="420"/>
      <w:jc w:val="left"/>
    </w:pPr>
    <w:rPr>
      <w:i/>
      <w:iCs/>
      <w:szCs w:val="24"/>
    </w:rPr>
  </w:style>
  <w:style w:type="paragraph" w:styleId="918" w:customStyle="1">
    <w:name w:val="纯文本1"/>
    <w:basedOn w:val="652"/>
    <w:link w:val="919"/>
    <w:uiPriority w:val="0"/>
    <w:qFormat/>
    <w:rPr>
      <w:rFonts w:ascii="宋体" w:hAnsi="Courier New" w:cs="Courier New"/>
    </w:rPr>
  </w:style>
  <w:style w:type="character" w:styleId="919" w:customStyle="1">
    <w:name w:val="纯文本 Char"/>
    <w:link w:val="918"/>
    <w:uiPriority w:val="0"/>
    <w:qFormat/>
    <w:rPr>
      <w:rFonts w:ascii="宋体" w:hAnsi="Courier New" w:eastAsia="宋体" w:cs="Courier New"/>
      <w:szCs w:val="21"/>
    </w:rPr>
  </w:style>
  <w:style w:type="paragraph" w:styleId="920" w:customStyle="1">
    <w:name w:val="目录 81"/>
    <w:basedOn w:val="652"/>
    <w:next w:val="652"/>
    <w:uiPriority w:val="0"/>
    <w:semiHidden/>
    <w:qFormat/>
    <w:pPr>
      <w:ind w:left="1470"/>
      <w:jc w:val="left"/>
    </w:pPr>
  </w:style>
  <w:style w:type="paragraph" w:styleId="921" w:customStyle="1">
    <w:name w:val="日期1"/>
    <w:basedOn w:val="652"/>
    <w:next w:val="652"/>
    <w:link w:val="922"/>
    <w:uiPriority w:val="0"/>
    <w:qFormat/>
    <w:rPr>
      <w:sz w:val="24"/>
      <w:szCs w:val="24"/>
    </w:rPr>
  </w:style>
  <w:style w:type="character" w:styleId="922" w:customStyle="1">
    <w:name w:val="日期 Char"/>
    <w:link w:val="921"/>
    <w:uiPriority w:val="0"/>
    <w:qFormat/>
    <w:rPr>
      <w:rFonts w:ascii="Times New Roman" w:hAnsi="Times New Roman" w:eastAsia="宋体" w:cs="Times New Roman"/>
      <w:sz w:val="24"/>
      <w:szCs w:val="24"/>
    </w:rPr>
  </w:style>
  <w:style w:type="paragraph" w:styleId="923" w:customStyle="1">
    <w:name w:val="正文文本缩进 21"/>
    <w:basedOn w:val="652"/>
    <w:link w:val="924"/>
    <w:uiPriority w:val="0"/>
    <w:qFormat/>
    <w:pPr>
      <w:ind w:left="630" w:firstLine="645"/>
    </w:pPr>
    <w:rPr>
      <w:rFonts w:ascii="Arial" w:hAnsi="Arial" w:eastAsia="仿宋_GB2312" w:cs="Arial"/>
      <w:sz w:val="32"/>
      <w:szCs w:val="32"/>
    </w:rPr>
  </w:style>
  <w:style w:type="character" w:styleId="924" w:customStyle="1">
    <w:name w:val="正文文本缩进 2 Char"/>
    <w:link w:val="923"/>
    <w:uiPriority w:val="0"/>
    <w:qFormat/>
    <w:rPr>
      <w:rFonts w:ascii="Arial" w:hAnsi="Arial" w:eastAsia="仿宋_GB2312" w:cs="Arial"/>
      <w:sz w:val="32"/>
      <w:szCs w:val="32"/>
    </w:rPr>
  </w:style>
  <w:style w:type="paragraph" w:styleId="925" w:customStyle="1">
    <w:name w:val="批注框文本1"/>
    <w:basedOn w:val="652"/>
    <w:link w:val="926"/>
    <w:uiPriority w:val="0"/>
    <w:semiHidden/>
    <w:qFormat/>
    <w:rPr>
      <w:sz w:val="18"/>
      <w:szCs w:val="18"/>
    </w:rPr>
  </w:style>
  <w:style w:type="character" w:styleId="926" w:customStyle="1">
    <w:name w:val="批注框文本 Char"/>
    <w:link w:val="925"/>
    <w:uiPriority w:val="0"/>
    <w:semiHidden/>
    <w:qFormat/>
    <w:rPr>
      <w:rFonts w:ascii="Times New Roman" w:hAnsi="Times New Roman" w:eastAsia="宋体" w:cs="Times New Roman"/>
      <w:sz w:val="18"/>
      <w:szCs w:val="18"/>
    </w:rPr>
  </w:style>
  <w:style w:type="paragraph" w:styleId="927" w:customStyle="1">
    <w:name w:val="页脚1"/>
    <w:basedOn w:val="652"/>
    <w:link w:val="928"/>
    <w:uiPriority w:val="0"/>
    <w:qFormat/>
    <w:pPr>
      <w:jc w:val="left"/>
      <w:tabs>
        <w:tab w:val="center" w:pos="4153" w:leader="none"/>
        <w:tab w:val="right" w:pos="8306" w:leader="none"/>
      </w:tabs>
    </w:pPr>
    <w:rPr>
      <w:sz w:val="18"/>
      <w:szCs w:val="18"/>
    </w:rPr>
  </w:style>
  <w:style w:type="character" w:styleId="928" w:customStyle="1">
    <w:name w:val="页脚 Char"/>
    <w:link w:val="927"/>
    <w:uiPriority w:val="0"/>
    <w:qFormat/>
    <w:rPr>
      <w:rFonts w:ascii="Times New Roman" w:hAnsi="Times New Roman" w:eastAsia="宋体" w:cs="Times New Roman"/>
      <w:sz w:val="18"/>
      <w:szCs w:val="18"/>
    </w:rPr>
  </w:style>
  <w:style w:type="paragraph" w:styleId="929" w:customStyle="1">
    <w:name w:val="页眉1"/>
    <w:basedOn w:val="652"/>
    <w:link w:val="930"/>
    <w:uiPriority w:val="0"/>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Char"/>
    <w:link w:val="929"/>
    <w:uiPriority w:val="0"/>
    <w:qFormat/>
    <w:rPr>
      <w:rFonts w:ascii="Times New Roman" w:hAnsi="Times New Roman" w:eastAsia="宋体" w:cs="Times New Roman"/>
      <w:sz w:val="18"/>
      <w:szCs w:val="18"/>
    </w:rPr>
  </w:style>
  <w:style w:type="paragraph" w:styleId="931" w:customStyle="1">
    <w:name w:val="目录 1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932" w:customStyle="1">
    <w:name w:val="目录 41"/>
    <w:basedOn w:val="652"/>
    <w:next w:val="652"/>
    <w:uiPriority w:val="0"/>
    <w:semiHidden/>
    <w:qFormat/>
    <w:pPr>
      <w:ind w:left="630"/>
      <w:jc w:val="left"/>
    </w:pPr>
  </w:style>
  <w:style w:type="paragraph" w:styleId="933" w:customStyle="1">
    <w:name w:val="列表1"/>
    <w:basedOn w:val="652"/>
    <w:uiPriority w:val="0"/>
    <w:qFormat/>
    <w:pPr>
      <w:ind w:left="200" w:hanging="200"/>
    </w:pPr>
  </w:style>
  <w:style w:type="paragraph" w:styleId="934" w:customStyle="1">
    <w:name w:val="目录 61"/>
    <w:basedOn w:val="652"/>
    <w:next w:val="652"/>
    <w:uiPriority w:val="0"/>
    <w:semiHidden/>
    <w:qFormat/>
    <w:pPr>
      <w:ind w:left="1050"/>
      <w:jc w:val="left"/>
    </w:pPr>
  </w:style>
  <w:style w:type="paragraph" w:styleId="935" w:customStyle="1">
    <w:name w:val="正文文本缩进 31"/>
    <w:basedOn w:val="652"/>
    <w:link w:val="936"/>
    <w:uiPriority w:val="0"/>
    <w:qFormat/>
    <w:pPr>
      <w:ind w:left="645" w:firstLine="645"/>
    </w:pPr>
    <w:rPr>
      <w:rFonts w:ascii="Arial" w:hAnsi="Arial" w:eastAsia="仿宋_GB2312" w:cs="Arial"/>
      <w:color w:val="ffff00"/>
      <w:sz w:val="32"/>
      <w:szCs w:val="32"/>
    </w:rPr>
  </w:style>
  <w:style w:type="character" w:styleId="936" w:customStyle="1">
    <w:name w:val="正文文本缩进 3 Char"/>
    <w:link w:val="935"/>
    <w:uiPriority w:val="0"/>
    <w:qFormat/>
    <w:rPr>
      <w:rFonts w:ascii="Arial" w:hAnsi="Arial" w:eastAsia="仿宋_GB2312" w:cs="Arial"/>
      <w:color w:val="ffff00"/>
      <w:sz w:val="32"/>
      <w:szCs w:val="32"/>
    </w:rPr>
  </w:style>
  <w:style w:type="paragraph" w:styleId="937" w:customStyle="1">
    <w:name w:val="图表目录1"/>
    <w:basedOn w:val="652"/>
    <w:next w:val="652"/>
    <w:uiPriority w:val="0"/>
    <w:semiHidden/>
    <w:qFormat/>
    <w:pPr>
      <w:ind w:left="840" w:hanging="420"/>
    </w:pPr>
  </w:style>
  <w:style w:type="paragraph" w:styleId="938" w:customStyle="1">
    <w:name w:val="目录 21"/>
    <w:basedOn w:val="652"/>
    <w:next w:val="652"/>
    <w:uiPriority w:val="0"/>
    <w:semiHidden/>
    <w:qFormat/>
    <w:pPr>
      <w:ind w:left="210"/>
      <w:jc w:val="left"/>
    </w:pPr>
    <w:rPr>
      <w:smallCaps/>
      <w:szCs w:val="24"/>
    </w:rPr>
  </w:style>
  <w:style w:type="paragraph" w:styleId="939" w:customStyle="1">
    <w:name w:val="目录 91"/>
    <w:basedOn w:val="652"/>
    <w:next w:val="652"/>
    <w:uiPriority w:val="0"/>
    <w:semiHidden/>
    <w:qFormat/>
    <w:pPr>
      <w:ind w:left="1680"/>
      <w:jc w:val="left"/>
    </w:pPr>
  </w:style>
  <w:style w:type="paragraph" w:styleId="940" w:customStyle="1">
    <w:name w:val="正文文本 21"/>
    <w:basedOn w:val="652"/>
    <w:link w:val="941"/>
    <w:uiPriority w:val="0"/>
    <w:qFormat/>
    <w:pPr>
      <w:jc w:val="center"/>
      <w:widowControl/>
    </w:pPr>
    <w:rPr>
      <w:rFonts w:ascii="楷体_GB2312" w:eastAsia="楷体_GB2312"/>
      <w:sz w:val="28"/>
      <w:szCs w:val="28"/>
    </w:rPr>
  </w:style>
  <w:style w:type="character" w:styleId="941" w:customStyle="1">
    <w:name w:val="正文文本 2 Char"/>
    <w:link w:val="940"/>
    <w:uiPriority w:val="0"/>
    <w:qFormat/>
    <w:rPr>
      <w:rFonts w:ascii="楷体_GB2312" w:hAnsi="Times New Roman" w:eastAsia="楷体_GB2312" w:cs="Times New Roman"/>
      <w:sz w:val="28"/>
      <w:szCs w:val="28"/>
    </w:rPr>
  </w:style>
  <w:style w:type="paragraph" w:styleId="942" w:customStyle="1">
    <w:name w:val="普通(网站)1"/>
    <w:basedOn w:val="652"/>
    <w:uiPriority w:val="99"/>
    <w:qFormat/>
    <w:pPr>
      <w:jc w:val="left"/>
      <w:spacing w:before="100" w:beforeAutospacing="1" w:after="100" w:afterAutospacing="1"/>
      <w:widowControl/>
    </w:pPr>
    <w:rPr>
      <w:rFonts w:ascii="宋体" w:hAnsi="宋体" w:cs="宋体"/>
      <w:sz w:val="24"/>
      <w:szCs w:val="24"/>
    </w:rPr>
  </w:style>
  <w:style w:type="paragraph" w:styleId="943" w:customStyle="1">
    <w:name w:val="索引 11"/>
    <w:basedOn w:val="652"/>
    <w:next w:val="652"/>
    <w:uiPriority w:val="0"/>
    <w:semiHidden/>
    <w:qFormat/>
    <w:pPr>
      <w:spacing w:line="240" w:lineRule="atLeast"/>
    </w:pPr>
    <w:rPr>
      <w:b/>
      <w:bCs/>
    </w:rPr>
  </w:style>
  <w:style w:type="paragraph" w:styleId="944" w:customStyle="1">
    <w:name w:val="批注主题1"/>
    <w:basedOn w:val="907"/>
    <w:next w:val="907"/>
    <w:link w:val="945"/>
    <w:uiPriority w:val="0"/>
    <w:semiHidden/>
    <w:qFormat/>
    <w:rPr>
      <w:b/>
      <w:bCs/>
    </w:rPr>
  </w:style>
  <w:style w:type="character" w:styleId="945" w:customStyle="1">
    <w:name w:val="批注主题 Char"/>
    <w:link w:val="944"/>
    <w:uiPriority w:val="0"/>
    <w:semiHidden/>
    <w:qFormat/>
    <w:rPr>
      <w:rFonts w:ascii="Times New Roman" w:hAnsi="Times New Roman" w:eastAsia="宋体" w:cs="Times New Roman"/>
      <w:b/>
      <w:bCs/>
      <w:szCs w:val="21"/>
    </w:rPr>
  </w:style>
  <w:style w:type="paragraph" w:styleId="946" w:customStyle="1">
    <w:name w:val="正文首行缩进1"/>
    <w:basedOn w:val="652"/>
    <w:link w:val="947"/>
    <w:uiPriority w:val="0"/>
    <w:qFormat/>
    <w:pPr>
      <w:ind w:firstLine="200"/>
      <w:spacing w:line="360" w:lineRule="auto"/>
    </w:pPr>
    <w:rPr>
      <w:rFonts w:ascii="仿宋_GB2312" w:eastAsia="仿宋_GB2312"/>
      <w:sz w:val="30"/>
      <w:szCs w:val="30"/>
    </w:rPr>
  </w:style>
  <w:style w:type="character" w:styleId="947" w:customStyle="1">
    <w:name w:val="正文首行缩进 Char"/>
    <w:link w:val="946"/>
    <w:uiPriority w:val="0"/>
    <w:qFormat/>
    <w:rPr>
      <w:rFonts w:ascii="仿宋_GB2312" w:hAnsi="Times New Roman" w:eastAsia="仿宋_GB2312" w:cs="Times New Roman"/>
      <w:sz w:val="30"/>
      <w:szCs w:val="30"/>
    </w:rPr>
  </w:style>
  <w:style w:type="paragraph" w:styleId="948" w:customStyle="1">
    <w:name w:val="正文首行缩进 21"/>
    <w:basedOn w:val="913"/>
    <w:link w:val="949"/>
    <w:uiPriority w:val="0"/>
    <w:qFormat/>
    <w:pPr>
      <w:ind w:firstLine="420"/>
      <w:spacing w:line="360" w:lineRule="auto"/>
    </w:pPr>
    <w:rPr>
      <w:rFonts w:ascii="宋体" w:hAnsi="宋体" w:eastAsia="宋体"/>
      <w:sz w:val="21"/>
      <w:szCs w:val="20"/>
    </w:rPr>
  </w:style>
  <w:style w:type="character" w:styleId="949" w:customStyle="1">
    <w:name w:val="正文首行缩进 2 Char"/>
    <w:link w:val="948"/>
    <w:uiPriority w:val="0"/>
    <w:qFormat/>
    <w:rPr>
      <w:rFonts w:ascii="宋体" w:hAnsi="宋体" w:eastAsia="宋体" w:cs="Times New Roman"/>
      <w:sz w:val="32"/>
      <w:szCs w:val="20"/>
    </w:rPr>
  </w:style>
  <w:style w:type="table" w:styleId="950" w:customStyle="1">
    <w:name w:val="网格型11"/>
    <w:basedOn w:val="902"/>
    <w:uiPriority w:val="0"/>
    <w:qFormat/>
    <w:pPr>
      <w:jc w:val="both"/>
      <w:widowControl w:val="off"/>
    </w:pPr>
    <w:rPr>
      <w:rFonts w:ascii="Times New Roman" w:hAnsi="Times New Roman" w:eastAsia="宋体" w:cs="Times New Roman"/>
      <w:sz w:val="20"/>
      <w:szCs w:val="20"/>
    </w:rPr>
    <w:tblPr/>
  </w:style>
  <w:style w:type="character" w:styleId="951" w:customStyle="1">
    <w:name w:val="要点1"/>
    <w:link w:val="652"/>
    <w:uiPriority w:val="0"/>
    <w:qFormat/>
    <w:rPr>
      <w:b/>
      <w:bCs/>
    </w:rPr>
  </w:style>
  <w:style w:type="character" w:styleId="952" w:customStyle="1">
    <w:name w:val="页码1"/>
    <w:link w:val="652"/>
    <w:uiPriority w:val="0"/>
    <w:qFormat/>
  </w:style>
  <w:style w:type="character" w:styleId="953" w:customStyle="1">
    <w:name w:val="已访问的超链接1"/>
    <w:link w:val="652"/>
    <w:uiPriority w:val="0"/>
    <w:qFormat/>
    <w:rPr>
      <w:color w:val="800080"/>
      <w:u w:val="single"/>
    </w:rPr>
  </w:style>
  <w:style w:type="character" w:styleId="954" w:customStyle="1">
    <w:name w:val="超链接1"/>
    <w:link w:val="652"/>
    <w:uiPriority w:val="0"/>
    <w:qFormat/>
    <w:rPr>
      <w:color w:val="0000ff"/>
      <w:u w:val="single"/>
    </w:rPr>
  </w:style>
  <w:style w:type="character" w:styleId="955" w:customStyle="1">
    <w:name w:val="批注引用1"/>
    <w:link w:val="652"/>
    <w:uiPriority w:val="0"/>
    <w:semiHidden/>
    <w:qFormat/>
    <w:rPr>
      <w:sz w:val="21"/>
      <w:szCs w:val="21"/>
    </w:rPr>
  </w:style>
  <w:style w:type="paragraph" w:styleId="956" w:customStyle="1">
    <w:name w:val="正文文本1"/>
    <w:basedOn w:val="652"/>
    <w:next w:val="652"/>
    <w:uiPriority w:val="0"/>
    <w:semiHidden/>
    <w:qFormat/>
    <w:rPr>
      <w:rFonts w:ascii="Arial" w:hAnsi="Arial" w:eastAsia="Arial" w:cs="Arial"/>
      <w:sz w:val="21"/>
      <w:szCs w:val="21"/>
      <w:lang w:val="en-US" w:eastAsia="en-US" w:bidi="ar-SA"/>
    </w:rPr>
  </w:style>
  <w:style w:type="paragraph" w:styleId="957" w:customStyle="1">
    <w:name w:val="正文文本12"/>
    <w:basedOn w:val="652"/>
    <w:uiPriority w:val="1"/>
    <w:qFormat/>
    <w:pPr>
      <w:ind w:left="120"/>
    </w:pPr>
    <w:rPr>
      <w:rFonts w:ascii="宋体" w:hAnsi="宋体" w:eastAsia="宋体" w:cs="宋体"/>
      <w:sz w:val="21"/>
      <w:szCs w:val="21"/>
      <w:lang w:val="zh-CN" w:eastAsia="zh-CN" w:bidi="zh-CN"/>
    </w:rPr>
  </w:style>
  <w:style w:type="character" w:styleId="958" w:customStyle="1">
    <w:name w:val="font5 Char"/>
    <w:link w:val="652"/>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652"/>
    <w:link w:val="95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652"/>
    <w:link w:val="961"/>
    <w:uiPriority w:val="0"/>
    <w:qFormat/>
    <w:pPr>
      <w:contextualSpacing/>
      <w:ind w:left="720"/>
      <w:jc w:val="left"/>
      <w:widowControl/>
    </w:pPr>
    <w:rPr>
      <w:rFonts w:ascii="Calibri" w:hAnsi="Calibri" w:eastAsia="宋体" w:cs="Times New Roman"/>
      <w:sz w:val="24"/>
      <w:szCs w:val="24"/>
      <w:lang w:eastAsia="en-US" w:bidi="en-US"/>
    </w:rPr>
  </w:style>
  <w:style w:type="paragraph" w:styleId="963" w:customStyle="1">
    <w:name w:val="Body Text(ch)"/>
    <w:basedOn w:val="652"/>
    <w:next w:val="911"/>
    <w:uiPriority w:val="0"/>
    <w:qFormat/>
    <w:pPr>
      <w:spacing w:after="120"/>
    </w:pPr>
    <w:rPr>
      <w:rFonts w:ascii="宋体" w:hAnsi="Arial"/>
      <w:bCs/>
      <w:iCs/>
      <w:szCs w:val="24"/>
    </w:rPr>
  </w:style>
  <w:style w:type="paragraph" w:styleId="964"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652"/>
    <w:uiPriority w:val="0"/>
    <w:qFormat/>
    <w:pPr>
      <w:ind w:firstLine="200"/>
      <w:tabs>
        <w:tab w:val="left" w:pos="360" w:leader="none"/>
      </w:tabs>
    </w:pPr>
    <w:rPr>
      <w:sz w:val="28"/>
      <w:szCs w:val="30"/>
    </w:rPr>
  </w:style>
  <w:style w:type="paragraph" w:styleId="967" w:customStyle="1">
    <w:name w:val=" Char"/>
    <w:basedOn w:val="905"/>
    <w:uiPriority w:val="0"/>
    <w:qFormat/>
    <w:rPr>
      <w:rFonts w:ascii="Tahoma" w:hAnsi="Tahoma"/>
      <w:sz w:val="24"/>
      <w:szCs w:val="24"/>
    </w:rPr>
  </w:style>
  <w:style w:type="paragraph" w:styleId="968"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969" w:customStyle="1">
    <w:name w:val="table_lines"/>
    <w:basedOn w:val="652"/>
    <w:uiPriority w:val="0"/>
    <w:qFormat/>
    <w:pPr>
      <w:jc w:val="left"/>
      <w:widowControl/>
    </w:pPr>
    <w:rPr>
      <w:sz w:val="20"/>
      <w:szCs w:val="20"/>
      <w:lang w:val="de-DE" w:eastAsia="de-DE"/>
    </w:rPr>
  </w:style>
  <w:style w:type="paragraph" w:styleId="9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1"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 Char Char Char Char"/>
    <w:basedOn w:val="905"/>
    <w:uiPriority w:val="0"/>
    <w:qFormat/>
    <w:pPr>
      <w:spacing w:line="360" w:lineRule="auto"/>
    </w:pPr>
    <w:rPr>
      <w:rFonts w:ascii="Tahoma" w:hAnsi="Tahoma"/>
      <w:sz w:val="24"/>
      <w:szCs w:val="24"/>
    </w:rPr>
  </w:style>
  <w:style w:type="paragraph" w:styleId="973" w:customStyle="1">
    <w:name w:val="列出段落"/>
    <w:basedOn w:val="652"/>
    <w:uiPriority w:val="0"/>
    <w:qFormat/>
    <w:pPr>
      <w:contextualSpacing/>
      <w:ind w:left="720"/>
      <w:jc w:val="left"/>
      <w:widowControl/>
    </w:pPr>
    <w:rPr>
      <w:rFonts w:ascii="Calibri" w:hAnsi="Calibri"/>
      <w:sz w:val="24"/>
      <w:szCs w:val="24"/>
      <w:lang w:eastAsia="en-US" w:bidi="en-US"/>
    </w:rPr>
  </w:style>
  <w:style w:type="paragraph" w:styleId="974" w:customStyle="1">
    <w:name w:val="4"/>
    <w:basedOn w:val="652"/>
    <w:next w:val="935"/>
    <w:uiPriority w:val="0"/>
    <w:qFormat/>
    <w:pPr>
      <w:ind w:firstLine="420"/>
      <w:spacing w:line="360" w:lineRule="auto"/>
    </w:pPr>
    <w:rPr>
      <w:color w:val="ff0000"/>
      <w:sz w:val="24"/>
      <w:szCs w:val="24"/>
    </w:rPr>
  </w:style>
  <w:style w:type="paragraph" w:styleId="975" w:customStyle="1">
    <w:name w:val="普通 (Web)"/>
    <w:basedOn w:val="652"/>
    <w:uiPriority w:val="0"/>
    <w:qFormat/>
    <w:pPr>
      <w:jc w:val="left"/>
      <w:spacing w:before="100" w:beforeAutospacing="1" w:after="100" w:afterAutospacing="1"/>
      <w:widowControl/>
    </w:pPr>
    <w:rPr>
      <w:rFonts w:ascii="宋体" w:hAnsi="宋体"/>
      <w:sz w:val="24"/>
      <w:szCs w:val="24"/>
    </w:rPr>
  </w:style>
  <w:style w:type="paragraph" w:styleId="976" w:customStyle="1">
    <w:name w:val=" Char Char Char Char Char Char Char Char Char Char"/>
    <w:basedOn w:val="652"/>
    <w:uiPriority w:val="0"/>
    <w:qFormat/>
    <w:pPr>
      <w:spacing w:line="360" w:lineRule="auto"/>
    </w:pPr>
    <w:rPr>
      <w:sz w:val="24"/>
      <w:szCs w:val="20"/>
    </w:rPr>
  </w:style>
  <w:style w:type="paragraph" w:styleId="977" w:customStyle="1">
    <w:name w:val="样式1"/>
    <w:basedOn w:val="652"/>
    <w:uiPriority w:val="0"/>
    <w:qFormat/>
    <w:pPr>
      <w:numPr>
        <w:ilvl w:val="0"/>
        <w:numId w:val="3"/>
      </w:numPr>
    </w:pPr>
    <w:rPr>
      <w:rFonts w:ascii="宋体" w:hAnsi="宋体"/>
    </w:rPr>
  </w:style>
  <w:style w:type="paragraph" w:styleId="978"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652"/>
    <w:next w:val="652"/>
    <w:uiPriority w:val="0"/>
    <w:qFormat/>
    <w:pPr>
      <w:ind w:firstLine="624"/>
      <w:spacing w:line="590" w:lineRule="atLeast"/>
    </w:pPr>
    <w:rPr>
      <w:rFonts w:ascii="方正黑体_GBK" w:eastAsia="方正黑体_GBK"/>
      <w:sz w:val="32"/>
      <w:szCs w:val="32"/>
    </w:rPr>
  </w:style>
  <w:style w:type="paragraph" w:styleId="982"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 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
    <w:basedOn w:val="905"/>
    <w:uiPriority w:val="0"/>
    <w:qFormat/>
    <w:pPr>
      <w:spacing w:line="360" w:lineRule="auto"/>
    </w:pPr>
    <w:rPr>
      <w:rFonts w:ascii="Tahoma" w:hAnsi="Tahoma"/>
      <w:sz w:val="24"/>
      <w:szCs w:val="24"/>
    </w:rPr>
  </w:style>
  <w:style w:type="paragraph" w:styleId="989" w:customStyle="1">
    <w:name w:val="table_1stline"/>
    <w:basedOn w:val="652"/>
    <w:uiPriority w:val="0"/>
    <w:qFormat/>
    <w:pPr>
      <w:jc w:val="left"/>
      <w:spacing w:before="120"/>
      <w:widowControl/>
    </w:pPr>
    <w:rPr>
      <w:bCs/>
      <w:sz w:val="20"/>
      <w:szCs w:val="20"/>
      <w:lang w:val="de-DE" w:eastAsia="de-DE"/>
    </w:rPr>
  </w:style>
  <w:style w:type="paragraph" w:styleId="990"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正文文本 211"/>
    <w:basedOn w:val="652"/>
    <w:uiPriority w:val="99"/>
    <w:qFormat/>
    <w:pPr>
      <w:jc w:val="center"/>
    </w:pPr>
    <w:rPr>
      <w:b/>
      <w:bCs/>
      <w:sz w:val="20"/>
      <w:szCs w:val="20"/>
    </w:rPr>
  </w:style>
  <w:style w:type="table" w:styleId="995" w:customStyle="1">
    <w:name w:val="Table Normal_0"/>
    <w:uiPriority w:val="0"/>
    <w:qFormat/>
    <w:tblPr/>
  </w:style>
  <w:style w:type="character" w:styleId="996" w:customStyle="1">
    <w:name w:val="font71"/>
    <w:basedOn w:val="901"/>
    <w:link w:val="652"/>
    <w:uiPriority w:val="0"/>
    <w:qFormat/>
    <w:rPr>
      <w:rFonts w:hint="eastAsia" w:ascii="仿宋" w:hAnsi="仿宋" w:eastAsia="仿宋" w:cs="仿宋"/>
      <w:color w:val="000000"/>
      <w:sz w:val="24"/>
      <w:szCs w:val="24"/>
      <w:u w:val="single"/>
    </w:rPr>
  </w:style>
  <w:style w:type="character" w:styleId="997" w:customStyle="1">
    <w:name w:val="font41"/>
    <w:basedOn w:val="901"/>
    <w:link w:val="652"/>
    <w:uiPriority w:val="0"/>
    <w:qFormat/>
    <w:rPr>
      <w:rFonts w:hint="eastAsia" w:ascii="仿宋" w:hAnsi="仿宋" w:eastAsia="仿宋" w:cs="仿宋"/>
      <w:color w:val="000000"/>
      <w:sz w:val="24"/>
      <w:szCs w:val="24"/>
      <w:u w:val="none"/>
    </w:rPr>
  </w:style>
  <w:style w:type="character" w:styleId="998" w:customStyle="1">
    <w:name w:val="font81"/>
    <w:basedOn w:val="901"/>
    <w:link w:val="652"/>
    <w:uiPriority w:val="0"/>
    <w:qFormat/>
    <w:rPr>
      <w:rFonts w:hint="eastAsia" w:ascii="宋体" w:hAnsi="宋体" w:eastAsia="宋体" w:cs="宋体"/>
      <w:color w:val="000000"/>
      <w:sz w:val="24"/>
      <w:szCs w:val="24"/>
      <w:u w:val="single"/>
    </w:rPr>
  </w:style>
  <w:style w:type="paragraph" w:styleId="999" w:customStyle="1">
    <w:name w:val="Table Paragraph"/>
    <w:basedOn w:val="652"/>
    <w:uiPriority w:val="1"/>
    <w:qFormat/>
    <w:pPr>
      <w:jc w:val="left"/>
    </w:pPr>
    <w:rPr>
      <w:rFonts w:ascii="宋体" w:hAnsi="宋体" w:eastAsia="宋体" w:cs="宋体"/>
      <w:sz w:val="22"/>
      <w:szCs w:val="22"/>
      <w:lang w:val="zh-CN" w:bidi="zh-CN"/>
    </w:rPr>
  </w:style>
  <w:style w:type="table" w:styleId="1000" w:customStyle="1">
    <w:name w:val="网格型1"/>
    <w:basedOn w:val="1001"/>
    <w:uiPriority w:val="0"/>
    <w:qFormat/>
    <w:pPr>
      <w:jc w:val="both"/>
      <w:widowControl w:val="off"/>
    </w:pPr>
    <w:tblPr/>
  </w:style>
  <w:style w:type="table" w:styleId="1001" w:customStyle="1">
    <w:name w:val="普通表格1"/>
    <w:uiPriority w:val="0"/>
    <w:semiHidden/>
    <w:qFormat/>
    <w:tblPr/>
  </w:style>
  <w:style w:type="paragraph" w:styleId="1002" w:customStyle="1">
    <w:name w:val="首行缩进"/>
    <w:basedOn w:val="652"/>
    <w:uiPriority w:val="0"/>
    <w:qFormat/>
    <w:pPr>
      <w:ind w:firstLine="480"/>
    </w:pPr>
    <w:rPr>
      <w:lang w:val="zh-CN"/>
    </w:rPr>
  </w:style>
  <w:style w:type="paragraph" w:styleId="1003" w:customStyle="1">
    <w:name w:val="标题 31"/>
    <w:basedOn w:val="652"/>
    <w:next w:val="65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04" w:customStyle="1">
    <w:name w:val="正文缩进1"/>
    <w:basedOn w:val="652"/>
    <w:uiPriority w:val="0"/>
    <w:qFormat/>
    <w:pPr>
      <w:ind w:firstLine="420"/>
      <w:spacing w:line="360" w:lineRule="auto"/>
    </w:pPr>
    <w:rPr>
      <w:sz w:val="24"/>
    </w:rPr>
  </w:style>
  <w:style w:type="table" w:styleId="1005" w:customStyle="1">
    <w:name w:val="Table Normal"/>
    <w:uiPriority w:val="0"/>
    <w:qFormat/>
    <w:tblPr/>
  </w:style>
  <w:style w:type="character" w:styleId="1006" w:customStyle="1">
    <w:name w:val="15"/>
    <w:basedOn w:val="696"/>
    <w:link w:val="652"/>
    <w:uiPriority w:val="0"/>
    <w:qFormat/>
    <w:rPr>
      <w:rFonts w:ascii="Times New Roman" w:hAnsi="Times New Roman" w:cs="Times New Roman"/>
    </w:rPr>
  </w:style>
  <w:style w:type="paragraph" w:styleId="1007" w:customStyle="1">
    <w:name w:val="正文文本122"/>
    <w:basedOn w:val="652"/>
    <w:uiPriority w:val="1"/>
    <w:qFormat/>
    <w:pPr>
      <w:ind w:left="120"/>
    </w:pPr>
    <w:rPr>
      <w:rFonts w:ascii="宋体" w:hAnsi="宋体" w:eastAsia="宋体" w:cs="宋体"/>
      <w:sz w:val="21"/>
      <w:szCs w:val="21"/>
      <w:lang w:val="zh-CN" w:eastAsia="zh-CN" w:bidi="zh-CN"/>
    </w:rPr>
  </w:style>
  <w:style w:type="character" w:styleId="1008" w:customStyle="1">
    <w:name w:val="默认段落字体11"/>
    <w:link w:val="652"/>
    <w:uiPriority w:val="1"/>
    <w:unhideWhenUsed/>
    <w:qFormat/>
    <w:rPr>
      <w:rFonts w:ascii="Times New Roman" w:hAnsi="Times New Roman" w:eastAsia="宋体" w:cs="Times New Roman"/>
      <w:sz w:val="21"/>
      <w:szCs w:val="21"/>
      <w:lang w:val="en-US" w:eastAsia="zh-CN" w:bidi="ar-SA"/>
    </w:rPr>
  </w:style>
  <w:style w:type="numbering" w:styleId="14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3</cp:revision>
  <dcterms:created xsi:type="dcterms:W3CDTF">2023-03-16T02:16:00Z</dcterms:created>
  <dcterms:modified xsi:type="dcterms:W3CDTF">2026-10-12T08:01:22Z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35C75A6759044890B89A2943645F8F62_13</vt:lpwstr>
  </property>
  <property fmtid="{D5CDD505-2E9C-101B-9397-08002B2CF9AE}" pid="4" name="KSOTemplateDocerSaveRecord">
    <vt:lpwstr>eyJoZGlkIjoiNmIwYzA3OWIzYzVjMDVmN2E2N2UwMDY5NTQyOGE5ZjQiLCJ1c2VySWQiOiIyMzMxNjM1NjEifQ==</vt:lpwstr>
  </property>
</Properties>
</file>