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800" w:lineRule="exact"/>
        <w:widowControl w:val="off"/>
        <w:rPr>
          <w:rFonts w:hint="eastAsia" w:ascii="宋体" w:hAnsi="宋体" w:cs="宋体"/>
          <w:b/>
          <w:color w:val="auto"/>
          <w:spacing w:val="20"/>
          <w:sz w:val="44"/>
          <w:szCs w:val="44"/>
          <w:highlight w:val="none"/>
          <w:lang w:eastAsia="zh-CN"/>
        </w:rPr>
      </w:pPr>
      <w:r/>
      <w:bookmarkStart w:id="63" w:name="_GoBack"/>
      <w:r/>
      <w:bookmarkEnd w:id="63"/>
      <w:r>
        <w:rPr>
          <w:rFonts w:hint="eastAsia" w:ascii="宋体" w:hAnsi="宋体" w:cs="宋体"/>
          <w:b/>
          <w:color w:val="auto"/>
          <w:spacing w:val="20"/>
          <w:sz w:val="44"/>
          <w:szCs w:val="44"/>
          <w:highlight w:val="none"/>
          <w:lang w:eastAsia="zh-CN"/>
        </w:rPr>
        <w:t xml:space="preserve">南通市公安局交通管理支队</w:t>
      </w:r>
      <w:r/>
    </w:p>
    <w:p>
      <w:pPr>
        <w:jc w:val="center"/>
        <w:keepLines w:val="0"/>
        <w:keepNext w:val="0"/>
        <w:pageBreakBefore w:val="0"/>
        <w:spacing w:line="800" w:lineRule="exact"/>
        <w:widowControl w:val="off"/>
        <w:rPr>
          <w:rFonts w:hint="eastAsia" w:ascii="宋体" w:hAnsi="宋体" w:eastAsia="宋体" w:cs="宋体"/>
          <w:b/>
          <w:color w:val="auto"/>
          <w:spacing w:val="20"/>
          <w:sz w:val="44"/>
          <w:szCs w:val="44"/>
          <w:highlight w:val="none"/>
          <w:lang w:val="en-US" w:eastAsia="zh-CN"/>
        </w:rPr>
      </w:pPr>
      <w:r>
        <w:rPr>
          <w:rFonts w:hint="eastAsia" w:ascii="宋体" w:hAnsi="宋体" w:cs="宋体"/>
          <w:b/>
          <w:color w:val="auto"/>
          <w:spacing w:val="20"/>
          <w:sz w:val="44"/>
          <w:szCs w:val="44"/>
          <w:highlight w:val="none"/>
          <w:lang w:eastAsia="zh-CN"/>
        </w:rPr>
        <w:t xml:space="preserve">涉案财物（车辆）管理中心委托社会化管理服务采购项目（</w:t>
      </w:r>
      <w:r>
        <w:rPr>
          <w:rFonts w:hint="eastAsia" w:ascii="宋体" w:hAnsi="宋体" w:cs="宋体"/>
          <w:b/>
          <w:color w:val="auto"/>
          <w:spacing w:val="20"/>
          <w:sz w:val="44"/>
          <w:szCs w:val="44"/>
          <w:highlight w:val="none"/>
          <w:lang w:val="en-US" w:eastAsia="zh-CN"/>
        </w:rPr>
        <w:t xml:space="preserve">2027年-2029年</w:t>
      </w:r>
      <w:r>
        <w:rPr>
          <w:rFonts w:hint="eastAsia" w:ascii="宋体" w:hAnsi="宋体" w:cs="宋体"/>
          <w:b/>
          <w:color w:val="auto"/>
          <w:spacing w:val="20"/>
          <w:sz w:val="44"/>
          <w:szCs w:val="44"/>
          <w:highlight w:val="none"/>
          <w:lang w:eastAsia="zh-CN"/>
        </w:rPr>
        <w:t xml:space="preserve">）</w:t>
      </w:r>
      <w:r/>
    </w:p>
    <w:p>
      <w:pPr>
        <w:jc w:val="center"/>
        <w:spacing w:line="1000" w:lineRule="exact"/>
        <w:rPr>
          <w:rFonts w:ascii="宋体" w:hAnsi="宋体" w:cs="宋体"/>
          <w:bCs/>
          <w:color w:val="auto"/>
          <w:sz w:val="100"/>
          <w:szCs w:val="100"/>
          <w:highlight w:val="none"/>
        </w:rPr>
      </w:pPr>
      <w:r>
        <w:rPr>
          <w:rFonts w:ascii="宋体" w:hAnsi="宋体" w:cs="宋体"/>
          <w:bCs/>
          <w:color w:val="auto"/>
          <w:sz w:val="100"/>
          <w:szCs w:val="100"/>
          <w:highlight w:val="none"/>
        </w:rPr>
      </w:r>
      <w:r/>
    </w:p>
    <w:p>
      <w:pPr>
        <w:jc w:val="center"/>
        <w:spacing w:line="1000" w:lineRule="exact"/>
        <w:rPr>
          <w:rFonts w:ascii="宋体" w:hAnsi="宋体" w:cs="宋体"/>
          <w:bCs/>
          <w:color w:val="auto"/>
          <w:sz w:val="100"/>
          <w:szCs w:val="100"/>
          <w:highlight w:val="none"/>
        </w:rPr>
      </w:pPr>
      <w:r>
        <w:rPr>
          <w:rFonts w:hint="eastAsia" w:ascii="宋体" w:hAnsi="宋体" w:cs="宋体"/>
          <w:bCs/>
          <w:color w:val="auto"/>
          <w:sz w:val="100"/>
          <w:szCs w:val="100"/>
          <w:highlight w:val="none"/>
        </w:rPr>
        <w:t xml:space="preserve">政府采购招标文件</w:t>
      </w:r>
      <w:r/>
    </w:p>
    <w:p>
      <w:pPr>
        <w:spacing w:line="1000" w:lineRule="exact"/>
        <w:rPr>
          <w:rFonts w:ascii="宋体" w:hAnsi="宋体" w:cs="宋体"/>
          <w:b/>
          <w:bCs/>
          <w:color w:val="auto"/>
          <w:highlight w:val="none"/>
        </w:rPr>
      </w:pPr>
      <w:r>
        <w:rPr>
          <w:rFonts w:ascii="宋体" w:hAnsi="宋体" w:cs="宋体"/>
          <w:b/>
          <w:bCs/>
          <w:color w:val="auto"/>
          <w:highlight w:val="none"/>
        </w:rPr>
      </w:r>
      <w:r/>
    </w:p>
    <w:p>
      <w:pPr>
        <w:jc w:val="center"/>
        <w:spacing w:line="1000" w:lineRule="exact"/>
        <w:rPr>
          <w:rFonts w:hint="eastAsia" w:ascii="宋体" w:hAnsi="宋体" w:eastAsia="宋体" w:cs="宋体"/>
          <w:bCs/>
          <w:color w:val="auto"/>
          <w:sz w:val="36"/>
          <w:szCs w:val="36"/>
          <w:highlight w:val="none"/>
          <w:lang w:eastAsia="zh-CN"/>
        </w:rPr>
      </w:pPr>
      <w:r>
        <w:rPr>
          <w:rFonts w:hint="eastAsia" w:ascii="宋体" w:hAnsi="宋体" w:cs="宋体"/>
          <w:bCs/>
          <w:color w:val="auto"/>
          <w:sz w:val="36"/>
          <w:szCs w:val="36"/>
          <w:highlight w:val="none"/>
        </w:rPr>
        <w:t xml:space="preserve">招标文件编号：JSZC-320600-ZRJS-G2026-0032</w:t>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500" w:lineRule="exact"/>
        <w:rPr>
          <w:rFonts w:ascii="宋体" w:hAnsi="宋体" w:cs="宋体"/>
          <w:b/>
          <w:color w:val="auto"/>
          <w:sz w:val="36"/>
          <w:highlight w:val="none"/>
        </w:rPr>
      </w:pPr>
      <w:r>
        <w:rPr>
          <w:rFonts w:ascii="宋体" w:hAnsi="宋体" w:cs="宋体"/>
          <w:b/>
          <w:color w:val="auto"/>
          <w:sz w:val="36"/>
          <w:highlight w:val="none"/>
        </w:rPr>
      </w:r>
      <w:r/>
    </w:p>
    <w:p>
      <w:pPr>
        <w:pStyle w:val="1213"/>
        <w:rPr>
          <w:rFonts w:ascii="宋体" w:hAnsi="宋体" w:eastAsia="宋体" w:cs="宋体"/>
          <w:color w:val="auto"/>
          <w:sz w:val="32"/>
          <w:highlight w:val="none"/>
        </w:rPr>
      </w:pPr>
      <w:r>
        <w:rPr>
          <w:rFonts w:ascii="宋体" w:hAnsi="宋体" w:eastAsia="宋体" w:cs="宋体"/>
          <w:color w:val="auto"/>
          <w:sz w:val="32"/>
          <w:highlight w:val="none"/>
        </w:rPr>
      </w:r>
      <w:r/>
    </w:p>
    <w:p>
      <w:pPr>
        <w:pStyle w:val="1213"/>
        <w:rPr>
          <w:rFonts w:ascii="宋体" w:hAnsi="宋体" w:eastAsia="宋体" w:cs="宋体"/>
          <w:color w:val="auto"/>
          <w:sz w:val="32"/>
          <w:highlight w:val="none"/>
        </w:rPr>
      </w:pPr>
      <w:r>
        <w:rPr>
          <w:rFonts w:ascii="宋体" w:hAnsi="宋体" w:eastAsia="宋体" w:cs="宋体"/>
          <w:color w:val="auto"/>
          <w:sz w:val="32"/>
          <w:highlight w:val="none"/>
        </w:rPr>
      </w:r>
      <w:r/>
    </w:p>
    <w:p>
      <w:pPr>
        <w:pStyle w:val="1213"/>
        <w:rPr>
          <w:rFonts w:ascii="宋体" w:hAnsi="宋体" w:eastAsia="宋体" w:cs="宋体"/>
          <w:color w:val="auto"/>
          <w:sz w:val="32"/>
          <w:highlight w:val="none"/>
        </w:rPr>
      </w:pPr>
      <w:r>
        <w:rPr>
          <w:rFonts w:ascii="宋体" w:hAnsi="宋体" w:eastAsia="宋体" w:cs="宋体"/>
          <w:color w:val="auto"/>
          <w:sz w:val="32"/>
          <w:highlight w:val="none"/>
        </w:rPr>
      </w:r>
      <w:r/>
    </w:p>
    <w:p>
      <w:pPr>
        <w:pStyle w:val="1213"/>
        <w:rPr>
          <w:rFonts w:ascii="宋体" w:hAnsi="宋体" w:eastAsia="宋体" w:cs="宋体"/>
          <w:color w:val="auto"/>
          <w:sz w:val="32"/>
          <w:highlight w:val="none"/>
        </w:rPr>
      </w:pPr>
      <w:r>
        <w:rPr>
          <w:rFonts w:ascii="宋体" w:hAnsi="宋体" w:eastAsia="宋体" w:cs="宋体"/>
          <w:color w:val="auto"/>
          <w:sz w:val="32"/>
          <w:highlight w:val="none"/>
        </w:rPr>
      </w:r>
      <w:r/>
    </w:p>
    <w:p>
      <w:pPr>
        <w:pStyle w:val="1213"/>
        <w:rPr>
          <w:rFonts w:ascii="宋体" w:hAnsi="宋体" w:eastAsia="宋体" w:cs="宋体"/>
          <w:color w:val="auto"/>
          <w:sz w:val="32"/>
          <w:highlight w:val="none"/>
        </w:rPr>
      </w:pPr>
      <w:r>
        <w:rPr>
          <w:rFonts w:ascii="宋体" w:hAnsi="宋体" w:eastAsia="宋体" w:cs="宋体"/>
          <w:color w:val="auto"/>
          <w:sz w:val="32"/>
          <w:highlight w:val="none"/>
        </w:rPr>
      </w:r>
      <w:r/>
    </w:p>
    <w:p>
      <w:pPr>
        <w:pStyle w:val="1213"/>
        <w:rPr>
          <w:rFonts w:ascii="宋体" w:hAnsi="宋体" w:eastAsia="宋体" w:cs="宋体"/>
          <w:color w:val="auto"/>
          <w:sz w:val="32"/>
          <w:highlight w:val="none"/>
        </w:rPr>
      </w:pPr>
      <w:r>
        <w:rPr>
          <w:rFonts w:ascii="宋体" w:hAnsi="宋体" w:eastAsia="宋体" w:cs="宋体"/>
          <w:color w:val="auto"/>
          <w:sz w:val="32"/>
          <w:highlight w:val="none"/>
        </w:rPr>
      </w:r>
      <w:r/>
    </w:p>
    <w:p>
      <w:pPr>
        <w:pStyle w:val="1213"/>
        <w:rPr>
          <w:rFonts w:ascii="宋体" w:hAnsi="宋体" w:eastAsia="宋体" w:cs="宋体"/>
          <w:color w:val="auto"/>
          <w:sz w:val="32"/>
          <w:highlight w:val="none"/>
        </w:rPr>
      </w:pPr>
      <w:r>
        <w:rPr>
          <w:rFonts w:ascii="宋体" w:hAnsi="宋体" w:eastAsia="宋体" w:cs="宋体"/>
          <w:color w:val="auto"/>
          <w:sz w:val="32"/>
          <w:highlight w:val="none"/>
        </w:rPr>
      </w:r>
      <w:r/>
    </w:p>
    <w:p>
      <w:pPr>
        <w:ind w:left="-2" w:right="120"/>
        <w:jc w:val="center"/>
        <w:spacing w:before="120" w:after="120" w:line="460" w:lineRule="exact"/>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南通市公安局交通管理支队</w:t>
      </w:r>
      <w:r/>
    </w:p>
    <w:p>
      <w:pPr>
        <w:ind w:left="-2" w:right="120"/>
        <w:jc w:val="center"/>
        <w:spacing w:before="120" w:after="120" w:line="46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10</w:t>
      </w:r>
      <w:r>
        <w:rPr>
          <w:rFonts w:hint="eastAsia" w:ascii="宋体" w:hAnsi="宋体" w:cs="宋体"/>
          <w:b/>
          <w:bCs/>
          <w:color w:val="auto"/>
          <w:sz w:val="32"/>
          <w:szCs w:val="32"/>
          <w:highlight w:val="none"/>
        </w:rPr>
        <w:t xml:space="preserve">月</w:t>
      </w:r>
      <w:r/>
    </w:p>
    <w:p>
      <w:pPr>
        <w:jc w:val="center"/>
        <w:spacing w:line="1000" w:lineRule="exact"/>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rPr>
          <w:rFonts w:hint="eastAsia" w:ascii="宋体" w:hAnsi="宋体" w:cs="宋体"/>
          <w:color w:val="auto"/>
          <w:sz w:val="44"/>
          <w:szCs w:val="44"/>
          <w:highlight w:val="none"/>
        </w:rPr>
        <w:t xml:space="preserve">目 录</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第一部分  投标邀请</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第二部分  投标须知</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第三部分  项目需求</w:t>
      </w:r>
      <w:r/>
    </w:p>
    <w:p>
      <w:pPr>
        <w:ind w:firstLine="640"/>
        <w:spacing w:line="1000" w:lineRule="exact"/>
        <w:tabs>
          <w:tab w:val="left" w:pos="7740" w:leader="none"/>
        </w:tabs>
        <w:rPr>
          <w:rFonts w:ascii="宋体" w:hAnsi="宋体" w:cs="宋体"/>
          <w:color w:val="auto"/>
          <w:sz w:val="32"/>
          <w:szCs w:val="32"/>
          <w:highlight w:val="none"/>
        </w:rPr>
      </w:pPr>
      <w:r>
        <w:rPr>
          <w:rFonts w:hint="eastAsia" w:ascii="宋体" w:hAnsi="宋体" w:cs="宋体"/>
          <w:color w:val="auto"/>
          <w:sz w:val="32"/>
          <w:szCs w:val="32"/>
          <w:highlight w:val="none"/>
        </w:rPr>
        <w:t xml:space="preserve">第四部分  </w:t>
      </w:r>
      <w:r>
        <w:rPr>
          <w:rFonts w:hint="eastAsia" w:ascii="宋体" w:hAnsi="宋体" w:cs="宋体"/>
          <w:bCs/>
          <w:color w:val="auto"/>
          <w:sz w:val="32"/>
          <w:szCs w:val="32"/>
          <w:highlight w:val="none"/>
        </w:rPr>
        <w:t xml:space="preserve">开标和评标</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第五部分  投标文件组成</w:t>
      </w:r>
      <w:r/>
    </w:p>
    <w:p>
      <w:pPr>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500" w:lineRule="exact"/>
        <w:rPr>
          <w:rFonts w:ascii="宋体" w:hAnsi="宋体" w:cs="宋体"/>
          <w:b/>
          <w:color w:val="auto"/>
          <w:sz w:val="44"/>
          <w:szCs w:val="44"/>
          <w:highlight w:val="none"/>
        </w:rPr>
      </w:pPr>
      <w:r>
        <w:rPr>
          <w:rFonts w:ascii="宋体" w:hAnsi="宋体" w:cs="宋体"/>
          <w:b/>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pStyle w:val="1166"/>
        <w:rPr>
          <w:rFonts w:ascii="宋体" w:hAnsi="宋体" w:cs="宋体"/>
          <w:color w:val="auto"/>
          <w:sz w:val="44"/>
          <w:szCs w:val="44"/>
          <w:highlight w:val="none"/>
        </w:rPr>
      </w:pPr>
      <w:r>
        <w:rPr>
          <w:rFonts w:ascii="宋体" w:hAnsi="宋体" w:cs="宋体"/>
          <w:color w:val="auto"/>
          <w:sz w:val="44"/>
          <w:szCs w:val="44"/>
          <w:highlight w:val="none"/>
        </w:rPr>
      </w:r>
      <w:r/>
    </w:p>
    <w:p>
      <w:pPr>
        <w:rPr>
          <w:rFonts w:ascii="宋体" w:hAnsi="宋体" w:cs="宋体"/>
          <w:color w:val="auto"/>
          <w:highlight w:val="none"/>
        </w:rPr>
      </w:pPr>
      <w:r>
        <w:rPr>
          <w:rFonts w:ascii="宋体" w:hAnsi="宋体" w:cs="宋体"/>
          <w:color w:val="auto"/>
          <w:highlight w:val="none"/>
        </w:rPr>
      </w:r>
      <w:r/>
    </w:p>
    <w:p>
      <w:pPr>
        <w:jc w:val="center"/>
        <w:spacing w:line="500" w:lineRule="exact"/>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r>
        <w:rPr>
          <w:rFonts w:hint="eastAsia" w:ascii="宋体" w:hAnsi="宋体" w:cs="宋体"/>
          <w:b/>
          <w:bCs w:val="0"/>
          <w:color w:val="auto"/>
          <w:sz w:val="36"/>
          <w:szCs w:val="36"/>
          <w:highlight w:val="none"/>
        </w:rPr>
        <w:t xml:space="preserve">第一部分  投标邀请</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受[</w:t>
      </w:r>
      <w:r>
        <w:rPr>
          <w:rFonts w:hint="eastAsia" w:ascii="方正仿宋_GBK" w:hAnsi="方正仿宋_GBK" w:eastAsia="方正仿宋_GBK" w:cs="方正仿宋_GBK"/>
          <w:color w:val="auto"/>
          <w:sz w:val="28"/>
          <w:szCs w:val="28"/>
          <w:highlight w:val="none"/>
          <w:lang w:eastAsia="zh-CN"/>
        </w:rPr>
        <w:t xml:space="preserve">南通市公安局交通管理支队</w:t>
      </w:r>
      <w:r>
        <w:rPr>
          <w:rFonts w:hint="eastAsia" w:ascii="方正仿宋_GBK" w:hAnsi="方正仿宋_GBK" w:eastAsia="方正仿宋_GBK" w:cs="方正仿宋_GBK"/>
          <w:color w:val="auto"/>
          <w:sz w:val="28"/>
          <w:szCs w:val="28"/>
          <w:highlight w:val="none"/>
        </w:rPr>
        <w:t xml:space="preserve">]的委托，江苏中润工程建设咨询有限公司就[</w:t>
      </w:r>
      <w:r>
        <w:rPr>
          <w:rFonts w:hint="eastAsia" w:ascii="方正仿宋_GBK" w:hAnsi="方正仿宋_GBK" w:eastAsia="方正仿宋_GBK" w:cs="方正仿宋_GBK"/>
          <w:color w:val="auto"/>
          <w:sz w:val="28"/>
          <w:szCs w:val="28"/>
          <w:highlight w:val="none"/>
          <w:lang w:eastAsia="zh-CN"/>
        </w:rPr>
        <w:t xml:space="preserve">南通市公安局交通管理支队涉案财物（车辆）管理中心委托社会化管理服务采购项目（2027年-2029年）</w:t>
      </w:r>
      <w:r>
        <w:rPr>
          <w:rFonts w:hint="eastAsia" w:ascii="方正仿宋_GBK" w:hAnsi="方正仿宋_GBK" w:eastAsia="方正仿宋_GBK" w:cs="方正仿宋_GBK"/>
          <w:color w:val="auto"/>
          <w:sz w:val="28"/>
          <w:szCs w:val="28"/>
          <w:highlight w:val="none"/>
        </w:rPr>
        <w:t xml:space="preserve">](项目编号:JSZC-320600-ZRJS-G2026-0032)进行公开招标采购，欢迎符合条件的供应商投标。</w:t>
      </w:r>
      <w:r/>
    </w:p>
    <w:p>
      <w:pPr>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auto"/>
          <w:sz w:val="28"/>
          <w:szCs w:val="28"/>
          <w:highlight w:val="none"/>
        </w:rPr>
        <w:t xml:space="preserve">项目概况</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auto"/>
          <w:sz w:val="28"/>
          <w:szCs w:val="28"/>
          <w:highlight w:val="none"/>
        </w:rPr>
        <w:t xml:space="preserve"> (</w:t>
      </w:r>
      <w:r>
        <w:rPr>
          <w:rFonts w:hint="eastAsia" w:ascii="方正仿宋_GBK" w:hAnsi="方正仿宋_GBK" w:eastAsia="方正仿宋_GBK" w:cs="方正仿宋_GBK"/>
          <w:color w:val="auto"/>
          <w:sz w:val="28"/>
          <w:szCs w:val="28"/>
          <w:highlight w:val="none"/>
          <w:lang w:eastAsia="zh-CN"/>
        </w:rPr>
        <w:t xml:space="preserve">南通市公安局交通管理支队涉案财物（车辆）管理中心委托社会化管理服务采购项目（2027年-2029年）</w:t>
      </w:r>
      <w:r>
        <w:rPr>
          <w:rFonts w:hint="eastAsia" w:ascii="方正仿宋_GBK" w:hAnsi="方正仿宋_GBK" w:eastAsia="方正仿宋_GBK" w:cs="方正仿宋_GBK"/>
          <w:color w:val="auto"/>
          <w:sz w:val="28"/>
          <w:szCs w:val="28"/>
          <w:highlight w:val="none"/>
        </w:rPr>
        <w:t xml:space="preserve">）招标项目的潜在投标人应在（苏采云系统内免费）获取招标文件，并于202</w:t>
      </w:r>
      <w:r>
        <w:rPr>
          <w:rFonts w:hint="eastAsia" w:ascii="方正仿宋_GBK" w:hAnsi="方正仿宋_GBK" w:eastAsia="方正仿宋_GBK" w:cs="方正仿宋_GBK"/>
          <w:color w:val="auto"/>
          <w:sz w:val="28"/>
          <w:szCs w:val="28"/>
          <w:highlight w:val="none"/>
          <w:lang w:val="en-US" w:eastAsia="zh-CN"/>
        </w:rPr>
        <w:t xml:space="preserve">6</w:t>
      </w:r>
      <w:r>
        <w:rPr>
          <w:rFonts w:hint="eastAsia" w:ascii="方正仿宋_GBK" w:hAnsi="方正仿宋_GBK" w:eastAsia="方正仿宋_GBK" w:cs="方正仿宋_GBK"/>
          <w:color w:val="auto"/>
          <w:sz w:val="28"/>
          <w:szCs w:val="28"/>
          <w:highlight w:val="none"/>
        </w:rPr>
        <w:t xml:space="preserve">年</w:t>
      </w:r>
      <w:r>
        <w:rPr>
          <w:rFonts w:hint="eastAsia" w:ascii="方正仿宋_GBK" w:hAnsi="方正仿宋_GBK" w:eastAsia="方正仿宋_GBK" w:cs="方正仿宋_GBK"/>
          <w:color w:val="auto"/>
          <w:sz w:val="28"/>
          <w:szCs w:val="28"/>
          <w:highlight w:val="none"/>
          <w:lang w:val="en-US" w:eastAsia="zh-CN"/>
        </w:rPr>
        <w:t xml:space="preserve">11</w:t>
      </w:r>
      <w:r>
        <w:rPr>
          <w:rFonts w:hint="eastAsia" w:ascii="方正仿宋_GBK" w:hAnsi="方正仿宋_GBK" w:eastAsia="方正仿宋_GBK" w:cs="方正仿宋_GBK"/>
          <w:color w:val="auto"/>
          <w:sz w:val="28"/>
          <w:szCs w:val="28"/>
          <w:highlight w:val="none"/>
        </w:rPr>
        <w:t xml:space="preserve">月</w:t>
      </w:r>
      <w:r>
        <w:rPr>
          <w:rFonts w:hint="eastAsia" w:ascii="方正仿宋_GBK" w:hAnsi="方正仿宋_GBK" w:eastAsia="方正仿宋_GBK" w:cs="方正仿宋_GBK"/>
          <w:color w:val="auto"/>
          <w:sz w:val="28"/>
          <w:szCs w:val="28"/>
          <w:highlight w:val="none"/>
          <w:lang w:val="en-US" w:eastAsia="zh-CN"/>
        </w:rPr>
        <w:t xml:space="preserve">13</w:t>
      </w:r>
      <w:r>
        <w:rPr>
          <w:rFonts w:hint="eastAsia" w:ascii="方正仿宋_GBK" w:hAnsi="方正仿宋_GBK" w:eastAsia="方正仿宋_GBK" w:cs="方正仿宋_GBK"/>
          <w:color w:val="auto"/>
          <w:sz w:val="28"/>
          <w:szCs w:val="28"/>
          <w:highlight w:val="none"/>
        </w:rPr>
        <w:t xml:space="preserve">日</w:t>
      </w:r>
      <w:r>
        <w:rPr>
          <w:rFonts w:hint="eastAsia" w:ascii="方正仿宋_GBK" w:hAnsi="方正仿宋_GBK" w:eastAsia="方正仿宋_GBK" w:cs="方正仿宋_GBK"/>
          <w:color w:val="auto"/>
          <w:sz w:val="28"/>
          <w:szCs w:val="28"/>
          <w:highlight w:val="none"/>
          <w:lang w:val="en-US" w:eastAsia="zh-CN"/>
        </w:rPr>
        <w:t xml:space="preserve">9</w:t>
      </w:r>
      <w:r>
        <w:rPr>
          <w:rFonts w:hint="eastAsia" w:ascii="方正仿宋_GBK" w:hAnsi="方正仿宋_GBK" w:eastAsia="方正仿宋_GBK" w:cs="方正仿宋_GBK"/>
          <w:color w:val="auto"/>
          <w:sz w:val="28"/>
          <w:szCs w:val="28"/>
          <w:highlight w:val="none"/>
        </w:rPr>
        <w:t xml:space="preserve">点</w:t>
      </w:r>
      <w:r>
        <w:rPr>
          <w:rFonts w:hint="eastAsia" w:ascii="方正仿宋_GBK" w:hAnsi="方正仿宋_GBK" w:eastAsia="方正仿宋_GBK" w:cs="方正仿宋_GBK"/>
          <w:color w:val="auto"/>
          <w:sz w:val="28"/>
          <w:szCs w:val="28"/>
          <w:highlight w:val="none"/>
          <w:lang w:val="en-US" w:eastAsia="zh-CN"/>
        </w:rPr>
        <w:t xml:space="preserve">30</w:t>
      </w:r>
      <w:r>
        <w:rPr>
          <w:rFonts w:hint="eastAsia" w:ascii="方正仿宋_GBK" w:hAnsi="方正仿宋_GBK" w:eastAsia="方正仿宋_GBK" w:cs="方正仿宋_GBK"/>
          <w:color w:val="auto"/>
          <w:sz w:val="28"/>
          <w:szCs w:val="28"/>
          <w:highlight w:val="none"/>
        </w:rPr>
        <w:t xml:space="preserve">分（北京时间）前递交投标文件。</w:t>
      </w:r>
      <w:r/>
    </w:p>
    <w:p>
      <w:pPr>
        <w:ind w:firstLine="562"/>
        <w:keepLines w:val="0"/>
        <w:keepNext w:val="0"/>
        <w:pageBreakBefore w:val="0"/>
        <w:spacing w:line="500" w:lineRule="exact"/>
        <w:widowControl w:val="off"/>
        <w:rPr>
          <w:rFonts w:hint="eastAsia" w:ascii="方正仿宋_GBK" w:hAnsi="方正仿宋_GBK" w:eastAsia="方正仿宋_GBK" w:cs="方正仿宋_GBK"/>
          <w:b/>
          <w:color w:val="auto"/>
          <w:sz w:val="28"/>
          <w:szCs w:val="28"/>
          <w:highlight w:val="none"/>
        </w:rPr>
        <w:outlineLvl w:val="1"/>
      </w:pPr>
      <w:r>
        <w:rPr>
          <w:rFonts w:hint="eastAsia" w:ascii="方正仿宋_GBK" w:hAnsi="方正仿宋_GBK" w:eastAsia="方正仿宋_GBK" w:cs="方正仿宋_GBK"/>
          <w:b/>
          <w:color w:val="auto"/>
          <w:sz w:val="28"/>
          <w:szCs w:val="28"/>
          <w:highlight w:val="none"/>
        </w:rPr>
        <w:t xml:space="preserve">一、项目基本情况</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rPr>
        <w:t xml:space="preserve">1.项目编号：JSZC-320600-ZRJS-G2026-0032</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rPr>
        <w:t xml:space="preserve">2.项目名称：</w:t>
      </w:r>
      <w:r>
        <w:rPr>
          <w:rFonts w:hint="eastAsia" w:ascii="方正仿宋_GBK" w:hAnsi="方正仿宋_GBK" w:eastAsia="方正仿宋_GBK" w:cs="方正仿宋_GBK"/>
          <w:color w:val="auto"/>
          <w:sz w:val="28"/>
          <w:szCs w:val="28"/>
          <w:highlight w:val="none"/>
          <w:lang w:eastAsia="zh-CN"/>
        </w:rPr>
        <w:t xml:space="preserve">南通市公安局交通管理支队涉案财物（车辆）管理中心委托社会化管理服务采购项目（2027年-2029年）</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3.项目类型：服务</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4.所属行业：租赁和商务服务业</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rPr>
        <w:t xml:space="preserve">5.预算金额：</w:t>
      </w:r>
      <w:r>
        <w:rPr>
          <w:rFonts w:hint="eastAsia" w:ascii="方正仿宋_GBK" w:hAnsi="方正仿宋_GBK" w:eastAsia="方正仿宋_GBK" w:cs="方正仿宋_GBK"/>
          <w:color w:val="auto"/>
          <w:sz w:val="28"/>
          <w:szCs w:val="28"/>
          <w:highlight w:val="none"/>
          <w:lang w:val="en-US" w:eastAsia="zh-CN"/>
        </w:rPr>
        <w:t xml:space="preserve">292.85万元/年；</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6.最高限价：292.85万元/年，投标报价超过最高限价的，按无效标处理。</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7.采购需求：详见招标文件，请仔细研究。</w:t>
      </w:r>
      <w:r/>
    </w:p>
    <w:p>
      <w:pPr>
        <w:ind w:firstLine="560"/>
        <w:keepLines w:val="0"/>
        <w:keepNext w:val="0"/>
        <w:pageBreakBefore w:val="0"/>
        <w:spacing w:line="500" w:lineRule="exact"/>
        <w:widowControl w:val="off"/>
        <w:rPr>
          <w:rFonts w:hint="default"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rPr>
        <w:t xml:space="preserve">8.合同履行期限：</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年</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合同一年一签</w:t>
      </w:r>
      <w:r>
        <w:rPr>
          <w:rFonts w:hint="eastAsia" w:ascii="方正仿宋_GBK" w:hAnsi="方正仿宋_GBK" w:eastAsia="方正仿宋_GBK" w:cs="方正仿宋_GBK"/>
          <w:color w:val="auto"/>
          <w:sz w:val="28"/>
          <w:szCs w:val="28"/>
          <w:highlight w:val="none"/>
        </w:rPr>
        <w:t xml:space="preserve">。</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outlineLvl w:val="1"/>
      </w:pPr>
      <w:r>
        <w:rPr>
          <w:rFonts w:hint="eastAsia" w:ascii="方正仿宋_GBK" w:hAnsi="方正仿宋_GBK" w:eastAsia="方正仿宋_GBK" w:cs="方正仿宋_GBK"/>
          <w:color w:val="auto"/>
          <w:sz w:val="28"/>
          <w:szCs w:val="28"/>
          <w:highlight w:val="none"/>
        </w:rPr>
        <w:t xml:space="preserve">本项目是否接受</w:t>
      </w:r>
      <w:r>
        <w:rPr>
          <w:rFonts w:hint="eastAsia" w:ascii="方正仿宋_GBK" w:hAnsi="方正仿宋_GBK" w:eastAsia="方正仿宋_GBK" w:cs="方正仿宋_GBK"/>
          <w:color w:val="auto"/>
          <w:sz w:val="28"/>
          <w:szCs w:val="28"/>
          <w:highlight w:val="none"/>
          <w:lang w:val="en-US" w:eastAsia="zh-CN"/>
        </w:rPr>
        <w:t xml:space="preserve">分包</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否</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outlineLvl w:val="1"/>
      </w:pPr>
      <w:r>
        <w:rPr>
          <w:rFonts w:hint="eastAsia" w:ascii="方正仿宋_GBK" w:hAnsi="方正仿宋_GBK" w:eastAsia="方正仿宋_GBK" w:cs="方正仿宋_GBK"/>
          <w:color w:val="auto"/>
          <w:sz w:val="28"/>
          <w:szCs w:val="28"/>
          <w:highlight w:val="none"/>
        </w:rPr>
        <w:t xml:space="preserve">本项目是否接受联合体投标：</w:t>
      </w:r>
      <w:r>
        <w:rPr>
          <w:rFonts w:hint="eastAsia" w:ascii="方正仿宋_GBK" w:hAnsi="方正仿宋_GBK" w:eastAsia="方正仿宋_GBK" w:cs="方正仿宋_GBK"/>
          <w:color w:val="auto"/>
          <w:sz w:val="28"/>
          <w:szCs w:val="28"/>
          <w:highlight w:val="none"/>
          <w:lang w:val="en-US" w:eastAsia="zh-CN"/>
        </w:rPr>
        <w:t xml:space="preserve">否</w:t>
      </w:r>
      <w:r>
        <w:rPr>
          <w:rFonts w:hint="eastAsia" w:ascii="方正仿宋_GBK" w:hAnsi="方正仿宋_GBK" w:eastAsia="方正仿宋_GBK" w:cs="方正仿宋_GBK"/>
          <w:color w:val="auto"/>
          <w:sz w:val="28"/>
          <w:szCs w:val="28"/>
          <w:highlight w:val="none"/>
        </w:rPr>
        <w:t xml:space="preserve">。</w:t>
      </w:r>
      <w:r/>
    </w:p>
    <w:p>
      <w:pPr>
        <w:ind w:firstLine="562"/>
        <w:keepLines w:val="0"/>
        <w:keepNext w:val="0"/>
        <w:pageBreakBefore w:val="0"/>
        <w:spacing w:line="500" w:lineRule="exact"/>
        <w:widowControl w:val="off"/>
        <w:rPr>
          <w:rFonts w:hint="eastAsia" w:ascii="方正仿宋_GBK" w:hAnsi="方正仿宋_GBK" w:eastAsia="方正仿宋_GBK" w:cs="方正仿宋_GBK"/>
          <w:b/>
          <w:color w:val="auto"/>
          <w:sz w:val="28"/>
          <w:szCs w:val="28"/>
          <w:highlight w:val="none"/>
        </w:rPr>
        <w:outlineLvl w:val="1"/>
      </w:pPr>
      <w:r>
        <w:rPr>
          <w:rFonts w:hint="eastAsia" w:ascii="方正仿宋_GBK" w:hAnsi="方正仿宋_GBK" w:eastAsia="方正仿宋_GBK" w:cs="方正仿宋_GBK"/>
          <w:b/>
          <w:color w:val="auto"/>
          <w:sz w:val="28"/>
          <w:szCs w:val="28"/>
          <w:highlight w:val="none"/>
        </w:rPr>
        <w:t xml:space="preserve">二、申请人的资格要求：</w:t>
      </w:r>
      <w:r/>
    </w:p>
    <w:p>
      <w:pPr>
        <w:numPr>
          <w:ilvl w:val="0"/>
          <w:numId w:val="2"/>
        </w:numPr>
        <w:ind w:firstLine="560"/>
        <w:keepLines w:val="0"/>
        <w:keepNext w:val="0"/>
        <w:pageBreakBefore w:val="0"/>
        <w:spacing w:line="500" w:lineRule="exact"/>
        <w:widowControl w:val="off"/>
        <w:rPr>
          <w:rFonts w:hint="default" w:ascii="Times New Roman" w:hAnsi="Times New Roman" w:eastAsia="方正仿宋_GBK" w:cs="Times New Roman"/>
          <w:b w:val="0"/>
          <w:bCs/>
          <w:color w:val="auto"/>
          <w:sz w:val="28"/>
          <w:szCs w:val="28"/>
          <w:highlight w:val="none"/>
          <w:lang w:val="en-US" w:eastAsia="zh-CN"/>
        </w:rPr>
      </w:pPr>
      <w:r>
        <w:rPr>
          <w:rFonts w:hint="default" w:ascii="Times New Roman" w:hAnsi="Times New Roman" w:eastAsia="方正仿宋_GBK" w:cs="Times New Roman"/>
          <w:b w:val="0"/>
          <w:bCs/>
          <w:color w:val="auto"/>
          <w:sz w:val="28"/>
          <w:szCs w:val="28"/>
          <w:highlight w:val="none"/>
          <w:lang w:val="en-US" w:eastAsia="zh-CN"/>
        </w:rPr>
        <w:t xml:space="preserve">满足《中华人民共和国政府采购法》第二十二条规定</w:t>
      </w:r>
      <w:r>
        <w:rPr>
          <w:rFonts w:hint="eastAsia" w:ascii="Times New Roman" w:hAnsi="Times New Roman" w:eastAsia="方正仿宋_GBK" w:cs="Times New Roman"/>
          <w:b w:val="0"/>
          <w:bCs/>
          <w:color w:val="auto"/>
          <w:sz w:val="28"/>
          <w:szCs w:val="28"/>
          <w:highlight w:val="none"/>
          <w:lang w:val="en-US" w:eastAsia="zh-CN"/>
        </w:rPr>
        <w:t xml:space="preserve">；</w:t>
      </w:r>
      <w:r/>
    </w:p>
    <w:p>
      <w:pPr>
        <w:ind w:firstLine="560"/>
        <w:keepLines w:val="0"/>
        <w:keepNext w:val="0"/>
        <w:pageBreakBefore w:val="0"/>
        <w:spacing w:line="500" w:lineRule="exact"/>
        <w:widowControl w:val="off"/>
        <w:rPr>
          <w:rFonts w:hint="default"/>
          <w:color w:val="auto"/>
          <w:highlight w:val="none"/>
          <w:lang w:val="en-US" w:eastAsia="zh-CN"/>
        </w:rPr>
      </w:pPr>
      <w:r>
        <w:rPr>
          <w:rFonts w:hint="default" w:ascii="Times New Roman" w:hAnsi="Times New Roman" w:eastAsia="方正仿宋_GBK" w:cs="Times New Roman"/>
          <w:b w:val="0"/>
          <w:bCs/>
          <w:color w:val="auto"/>
          <w:sz w:val="28"/>
          <w:szCs w:val="28"/>
          <w:highlight w:val="none"/>
          <w:lang w:val="en-US" w:eastAsia="zh-CN"/>
        </w:rPr>
        <w:t xml:space="preserve">2.</w:t>
      </w:r>
      <w:r>
        <w:rPr>
          <w:rFonts w:hint="eastAsia" w:ascii="Times New Roman" w:hAnsi="Times New Roman" w:eastAsia="方正仿宋_GBK" w:cs="Times New Roman"/>
          <w:b w:val="0"/>
          <w:bCs/>
          <w:color w:val="auto"/>
          <w:sz w:val="28"/>
          <w:szCs w:val="28"/>
          <w:highlight w:val="none"/>
          <w:lang w:val="en-US" w:eastAsia="zh-CN"/>
        </w:rPr>
        <w:t xml:space="preserve">落实政府采购政策需满足的资格要求：</w:t>
      </w:r>
      <w:r>
        <w:rPr>
          <w:rFonts w:hint="eastAsia" w:ascii="Times New Roman" w:hAnsi="Times New Roman" w:eastAsia="方正仿宋_GBK" w:cs="Times New Roman"/>
          <w:b w:val="0"/>
          <w:bCs/>
          <w:color w:val="auto"/>
          <w:sz w:val="28"/>
          <w:szCs w:val="28"/>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 </w:t>
      </w:r>
      <w:r/>
    </w:p>
    <w:p>
      <w:pPr>
        <w:ind w:firstLine="560"/>
        <w:keepLines w:val="0"/>
        <w:keepNext w:val="0"/>
        <w:pageBreakBefore w:val="0"/>
        <w:spacing w:line="500" w:lineRule="exact"/>
        <w:widowControl w:val="off"/>
        <w:rPr>
          <w:rFonts w:hint="default" w:ascii="Times New Roman" w:hAnsi="Times New Roman" w:eastAsia="方正仿宋_GBK" w:cs="Times New Roman"/>
          <w:b w:val="0"/>
          <w:bCs/>
          <w:color w:val="auto"/>
          <w:sz w:val="28"/>
          <w:szCs w:val="28"/>
          <w:highlight w:val="none"/>
          <w:lang w:val="en-US" w:eastAsia="zh-CN"/>
        </w:rPr>
      </w:pPr>
      <w:r>
        <w:rPr>
          <w:rFonts w:hint="eastAsia" w:ascii="Times New Roman" w:hAnsi="Times New Roman" w:eastAsia="方正仿宋_GBK" w:cs="Times New Roman"/>
          <w:b w:val="0"/>
          <w:bCs/>
          <w:color w:val="auto"/>
          <w:sz w:val="28"/>
          <w:szCs w:val="28"/>
          <w:highlight w:val="none"/>
          <w:lang w:val="en-US" w:eastAsia="zh-CN"/>
        </w:rPr>
        <w:t xml:space="preserve">3</w:t>
      </w:r>
      <w:r>
        <w:rPr>
          <w:rFonts w:hint="default" w:ascii="Times New Roman" w:hAnsi="Times New Roman" w:eastAsia="方正仿宋_GBK" w:cs="Times New Roman"/>
          <w:b w:val="0"/>
          <w:bCs/>
          <w:color w:val="auto"/>
          <w:sz w:val="28"/>
          <w:szCs w:val="28"/>
          <w:highlight w:val="none"/>
          <w:lang w:val="en-US" w:eastAsia="zh-CN"/>
        </w:rPr>
        <w:t xml:space="preserve">.提供有效的营业执照</w:t>
      </w:r>
      <w:r>
        <w:rPr>
          <w:rFonts w:hint="eastAsia" w:eastAsia="方正仿宋_GBK" w:cs="Times New Roman"/>
          <w:b w:val="0"/>
          <w:bCs/>
          <w:color w:val="auto"/>
          <w:sz w:val="28"/>
          <w:szCs w:val="28"/>
          <w:highlight w:val="none"/>
          <w:lang w:val="en-US" w:eastAsia="zh-CN"/>
        </w:rPr>
        <w:t xml:space="preserve">副本</w:t>
      </w:r>
      <w:r>
        <w:rPr>
          <w:rFonts w:hint="default" w:ascii="Times New Roman" w:hAnsi="Times New Roman" w:eastAsia="方正仿宋_GBK" w:cs="Times New Roman"/>
          <w:b w:val="0"/>
          <w:bCs/>
          <w:color w:val="auto"/>
          <w:sz w:val="28"/>
          <w:szCs w:val="28"/>
          <w:highlight w:val="none"/>
          <w:lang w:val="en-US" w:eastAsia="zh-CN"/>
        </w:rPr>
        <w:t xml:space="preserve">复印件加盖公章；</w:t>
      </w:r>
      <w:r/>
    </w:p>
    <w:p>
      <w:pPr>
        <w:ind w:firstLine="560"/>
        <w:keepLines w:val="0"/>
        <w:keepNext w:val="0"/>
        <w:pageBreakBefore w:val="0"/>
        <w:spacing w:line="500" w:lineRule="exact"/>
        <w:widowControl w:val="off"/>
        <w:rPr>
          <w:rFonts w:hint="default" w:ascii="Times New Roman" w:hAnsi="Times New Roman" w:eastAsia="方正仿宋_GBK" w:cs="Times New Roman"/>
          <w:b w:val="0"/>
          <w:bCs/>
          <w:color w:val="auto"/>
          <w:sz w:val="28"/>
          <w:szCs w:val="28"/>
          <w:highlight w:val="none"/>
          <w:lang w:val="en-US" w:eastAsia="zh-CN"/>
        </w:rPr>
      </w:pPr>
      <w:r>
        <w:rPr>
          <w:rFonts w:hint="eastAsia" w:eastAsia="方正仿宋_GBK" w:cs="Times New Roman"/>
          <w:b w:val="0"/>
          <w:bCs/>
          <w:color w:val="auto"/>
          <w:sz w:val="28"/>
          <w:szCs w:val="28"/>
          <w:highlight w:val="none"/>
          <w:lang w:val="en-US" w:eastAsia="zh-CN"/>
        </w:rPr>
        <w:t xml:space="preserve">4</w:t>
      </w:r>
      <w:r>
        <w:rPr>
          <w:rFonts w:hint="default" w:ascii="Times New Roman" w:hAnsi="Times New Roman" w:eastAsia="方正仿宋_GBK" w:cs="Times New Roman"/>
          <w:b w:val="0"/>
          <w:bCs/>
          <w:color w:val="auto"/>
          <w:sz w:val="28"/>
          <w:szCs w:val="28"/>
          <w:highlight w:val="none"/>
          <w:lang w:val="en-US" w:eastAsia="zh-CN"/>
        </w:rPr>
        <w:t xml:space="preserve">.本项目的特定资格要求：</w:t>
      </w:r>
      <w:r/>
    </w:p>
    <w:p>
      <w:pPr>
        <w:ind w:firstLine="560"/>
        <w:keepLines w:val="0"/>
        <w:keepNext w:val="0"/>
        <w:pageBreakBefore w:val="0"/>
        <w:spacing w:line="500" w:lineRule="exact"/>
        <w:widowControl w:val="off"/>
        <w:rPr>
          <w:rFonts w:hint="default" w:ascii="Times New Roman" w:hAnsi="Times New Roman" w:eastAsia="方正仿宋_GBK" w:cs="Times New Roman"/>
          <w:b w:val="0"/>
          <w:bCs/>
          <w:color w:val="auto"/>
          <w:sz w:val="28"/>
          <w:szCs w:val="28"/>
          <w:highlight w:val="none"/>
          <w:lang w:val="en-US" w:eastAsia="zh-CN"/>
        </w:rPr>
      </w:pPr>
      <w:r>
        <w:rPr>
          <w:rFonts w:hint="default" w:ascii="Times New Roman" w:hAnsi="Times New Roman" w:eastAsia="方正仿宋_GBK" w:cs="Times New Roman"/>
          <w:b w:val="0"/>
          <w:bCs/>
          <w:color w:val="auto"/>
          <w:sz w:val="28"/>
          <w:szCs w:val="28"/>
          <w:highlight w:val="none"/>
          <w:lang w:val="en-US" w:eastAsia="zh-CN"/>
        </w:rPr>
        <w:t xml:space="preserve">（1）投标人具有履行合同所必需的场所、设备和专业人员，并承诺：①在中标后、签订合同前按</w:t>
      </w:r>
      <w:r>
        <w:rPr>
          <w:rFonts w:hint="eastAsia" w:eastAsia="方正仿宋_GBK" w:cs="Times New Roman"/>
          <w:b w:val="0"/>
          <w:bCs/>
          <w:color w:val="auto"/>
          <w:sz w:val="28"/>
          <w:szCs w:val="28"/>
          <w:highlight w:val="none"/>
          <w:lang w:val="en-US" w:eastAsia="zh-CN"/>
        </w:rPr>
        <w:t xml:space="preserve">招标人</w:t>
      </w:r>
      <w:r>
        <w:rPr>
          <w:rFonts w:hint="default" w:ascii="Times New Roman" w:hAnsi="Times New Roman" w:eastAsia="方正仿宋_GBK" w:cs="Times New Roman"/>
          <w:b w:val="0"/>
          <w:bCs/>
          <w:color w:val="auto"/>
          <w:sz w:val="28"/>
          <w:szCs w:val="28"/>
          <w:highlight w:val="none"/>
          <w:lang w:val="en-US" w:eastAsia="zh-CN"/>
        </w:rPr>
        <w:t xml:space="preserve">要求进行标准化改造、直至符合</w:t>
      </w:r>
      <w:r>
        <w:rPr>
          <w:rFonts w:hint="eastAsia" w:eastAsia="方正仿宋_GBK" w:cs="Times New Roman"/>
          <w:b w:val="0"/>
          <w:bCs/>
          <w:color w:val="auto"/>
          <w:sz w:val="28"/>
          <w:szCs w:val="28"/>
          <w:highlight w:val="none"/>
          <w:lang w:val="en-US" w:eastAsia="zh-CN"/>
        </w:rPr>
        <w:t xml:space="preserve">招标人</w:t>
      </w:r>
      <w:r>
        <w:rPr>
          <w:rFonts w:hint="default" w:ascii="Times New Roman" w:hAnsi="Times New Roman" w:eastAsia="方正仿宋_GBK" w:cs="Times New Roman"/>
          <w:b w:val="0"/>
          <w:bCs/>
          <w:color w:val="auto"/>
          <w:sz w:val="28"/>
          <w:szCs w:val="28"/>
          <w:highlight w:val="none"/>
          <w:lang w:val="en-US" w:eastAsia="zh-CN"/>
        </w:rPr>
        <w:t xml:space="preserve">管理使用要求；②投标人施救车辆设备如为租赁，需确保所租赁车辆设备为中标项目所用（不得挪作他用或同时租赁给其他单位或其他项目使用）。投标时提供承诺函（格式自拟）。</w:t>
      </w:r>
      <w:r/>
    </w:p>
    <w:p>
      <w:pPr>
        <w:ind w:firstLine="562"/>
        <w:keepLines w:val="0"/>
        <w:keepNext w:val="0"/>
        <w:pageBreakBefore w:val="0"/>
        <w:spacing w:line="500" w:lineRule="exact"/>
        <w:widowControl w:val="off"/>
        <w:rPr>
          <w:rFonts w:hint="eastAsia" w:ascii="方正仿宋_GBK" w:hAnsi="方正仿宋_GBK" w:eastAsia="方正仿宋_GBK" w:cs="方正仿宋_GBK"/>
          <w:b/>
          <w:color w:val="auto"/>
          <w:sz w:val="28"/>
          <w:szCs w:val="28"/>
          <w:highlight w:val="none"/>
        </w:rPr>
        <w:outlineLvl w:val="1"/>
      </w:pPr>
      <w:r>
        <w:rPr>
          <w:rFonts w:hint="eastAsia" w:ascii="方正仿宋_GBK" w:hAnsi="方正仿宋_GBK" w:eastAsia="方正仿宋_GBK" w:cs="方正仿宋_GBK"/>
          <w:b/>
          <w:color w:val="auto"/>
          <w:sz w:val="28"/>
          <w:szCs w:val="28"/>
          <w:highlight w:val="none"/>
        </w:rPr>
        <w:t xml:space="preserve">三、获取招标文件</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1.时间：自招标文件公告发布之日起5个工作日；</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2.地点：系统内免费下载</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3.获取方式：本项目采用网上注册登记方式。</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3.1潜在供应商访问电子招标响应交易平台的网络地址和方法：</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3.2潜在供应商访问“苏采云”系统的网络地址和方法：“苏采云”系统的网址：http://jszfcg.jsczt.cn/。</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3.3“CA数字证书”的获取：</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响应供应商需办理“CA 数字证书”，CA办理指南及“苏采云”操作手册可至江苏省政府采购网―办事指南-资料下载中心下载。</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3.5招标人或采购代理机构将数据电文形式的招标文件加载至“苏采云”系统，供潜在供应商下载或者查阅。</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3.6请潜在供应商提前安装相应的控件（详见《江苏省政府采购管理交易系统（苏采云）供应商操作手册》）并使用谷歌浏览器登录“苏采云”系统参与不见面开评标。</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3.7开评标</w:t>
      </w:r>
      <w:r>
        <w:rPr>
          <w:rFonts w:hint="eastAsia" w:ascii="方正仿宋_GBK" w:hAnsi="方正仿宋_GBK" w:eastAsia="方正仿宋_GBK" w:cs="方正仿宋_GBK"/>
          <w:color w:val="auto"/>
          <w:sz w:val="28"/>
          <w:szCs w:val="28"/>
          <w:highlight w:val="none"/>
        </w:rPr>
        <w:t xml:space="preserve">全过程中，投标供应商一端参与交互的人员将均被视为是投标供应商的授权委托人或法定代表人，投标供应商不得以不承认交互人员的资格或身份等为借口抵赖推脱，投标供应商自行承担随意更换人员所导致的一切后果。为顺利实现本项目开评标的远程交互，建议投标供应商配置的硬件设施有：电脑或手机、高速稳定的网络、电源（不间断）、音视频设备（话筒、耳麦、高清摄像头、音响）等。为保证交互效果，建议投标供应商选择封闭安静的地点参与远程交互。因投标供应商自身软硬件问题而导致在交互过程中出现不稳定或中断等情况的，由投标供应商自身承担一切后果。</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注：如潜在供应商未按上述要求操作，将自行承担所产生的风险。</w:t>
      </w:r>
      <w:r/>
    </w:p>
    <w:p>
      <w:pPr>
        <w:ind w:firstLine="562"/>
        <w:keepLines w:val="0"/>
        <w:keepNext w:val="0"/>
        <w:pageBreakBefore w:val="0"/>
        <w:spacing w:line="500" w:lineRule="exact"/>
        <w:widowControl w:val="off"/>
        <w:rPr>
          <w:rFonts w:hint="eastAsia" w:ascii="方正仿宋_GBK" w:hAnsi="方正仿宋_GBK" w:eastAsia="方正仿宋_GBK" w:cs="方正仿宋_GBK"/>
          <w:b/>
          <w:color w:val="auto"/>
          <w:sz w:val="28"/>
          <w:szCs w:val="28"/>
          <w:highlight w:val="none"/>
        </w:rPr>
        <w:outlineLvl w:val="1"/>
      </w:pPr>
      <w:r>
        <w:rPr>
          <w:rFonts w:hint="eastAsia" w:ascii="方正仿宋_GBK" w:hAnsi="方正仿宋_GBK" w:eastAsia="方正仿宋_GBK" w:cs="方正仿宋_GBK"/>
          <w:b/>
          <w:color w:val="auto"/>
          <w:sz w:val="28"/>
          <w:szCs w:val="28"/>
          <w:highlight w:val="none"/>
        </w:rPr>
        <w:t xml:space="preserve">四、提交投标文件截止时间、开标时间和地点</w:t>
      </w:r>
      <w:r/>
    </w:p>
    <w:p>
      <w:pPr>
        <w:ind w:firstLine="420"/>
        <w:keepLines w:val="0"/>
        <w:keepNext w:val="0"/>
        <w:pageBreakBefore w:val="0"/>
        <w:spacing w:line="500" w:lineRule="exact"/>
        <w:widowControl w:val="off"/>
        <w:rPr>
          <w:rStyle w:val="1272"/>
          <w:rFonts w:hint="eastAsia" w:ascii="方正仿宋_GBK" w:hAnsi="方正仿宋_GBK" w:eastAsia="方正仿宋_GBK" w:cs="方正仿宋_GBK"/>
          <w:color w:val="auto"/>
          <w:sz w:val="28"/>
          <w:szCs w:val="28"/>
          <w:highlight w:val="none"/>
        </w:rPr>
      </w:pPr>
      <w:r>
        <w:rPr>
          <w:rStyle w:val="1272"/>
          <w:rFonts w:hint="eastAsia" w:ascii="方正仿宋_GBK" w:hAnsi="方正仿宋_GBK" w:eastAsia="方正仿宋_GBK" w:cs="方正仿宋_GBK"/>
          <w:color w:val="auto"/>
          <w:sz w:val="28"/>
          <w:szCs w:val="28"/>
          <w:highlight w:val="none"/>
        </w:rPr>
        <w:t xml:space="preserve">1.投标文件接收截止及开标时间：</w:t>
      </w:r>
      <w:r>
        <w:rPr>
          <w:rStyle w:val="1272"/>
          <w:rFonts w:hint="eastAsia" w:ascii="方正仿宋_GBK" w:hAnsi="方正仿宋_GBK" w:eastAsia="方正仿宋_GBK" w:cs="方正仿宋_GBK"/>
          <w:b/>
          <w:bCs/>
          <w:color w:val="auto"/>
          <w:sz w:val="28"/>
          <w:szCs w:val="28"/>
          <w:highlight w:val="none"/>
        </w:rPr>
        <w:t xml:space="preserve">202</w:t>
      </w:r>
      <w:r>
        <w:rPr>
          <w:rStyle w:val="1272"/>
          <w:rFonts w:hint="eastAsia" w:ascii="方正仿宋_GBK" w:hAnsi="方正仿宋_GBK" w:eastAsia="方正仿宋_GBK" w:cs="方正仿宋_GBK"/>
          <w:b/>
          <w:bCs/>
          <w:color w:val="auto"/>
          <w:sz w:val="28"/>
          <w:szCs w:val="28"/>
          <w:highlight w:val="none"/>
          <w:lang w:val="en-US" w:eastAsia="zh-CN"/>
        </w:rPr>
        <w:t xml:space="preserve">6</w:t>
      </w:r>
      <w:r>
        <w:rPr>
          <w:rStyle w:val="1272"/>
          <w:rFonts w:hint="eastAsia" w:ascii="方正仿宋_GBK" w:hAnsi="方正仿宋_GBK" w:eastAsia="方正仿宋_GBK" w:cs="方正仿宋_GBK"/>
          <w:b/>
          <w:bCs/>
          <w:color w:val="auto"/>
          <w:sz w:val="28"/>
          <w:szCs w:val="28"/>
          <w:highlight w:val="none"/>
        </w:rPr>
        <w:t xml:space="preserve">年</w:t>
      </w:r>
      <w:r>
        <w:rPr>
          <w:rStyle w:val="1272"/>
          <w:rFonts w:hint="eastAsia" w:ascii="方正仿宋_GBK" w:hAnsi="方正仿宋_GBK" w:eastAsia="方正仿宋_GBK" w:cs="方正仿宋_GBK"/>
          <w:b/>
          <w:bCs/>
          <w:color w:val="auto"/>
          <w:sz w:val="28"/>
          <w:szCs w:val="28"/>
          <w:highlight w:val="none"/>
          <w:lang w:val="en-US" w:eastAsia="zh-CN"/>
        </w:rPr>
        <w:t xml:space="preserve">11</w:t>
      </w:r>
      <w:r>
        <w:rPr>
          <w:rStyle w:val="1272"/>
          <w:rFonts w:hint="eastAsia" w:ascii="方正仿宋_GBK" w:hAnsi="方正仿宋_GBK" w:eastAsia="方正仿宋_GBK" w:cs="方正仿宋_GBK"/>
          <w:b/>
          <w:bCs/>
          <w:color w:val="auto"/>
          <w:sz w:val="28"/>
          <w:szCs w:val="28"/>
          <w:highlight w:val="none"/>
        </w:rPr>
        <w:t xml:space="preserve">月</w:t>
      </w:r>
      <w:r>
        <w:rPr>
          <w:rStyle w:val="1272"/>
          <w:rFonts w:hint="eastAsia" w:ascii="方正仿宋_GBK" w:hAnsi="方正仿宋_GBK" w:eastAsia="方正仿宋_GBK" w:cs="方正仿宋_GBK"/>
          <w:b/>
          <w:bCs/>
          <w:color w:val="auto"/>
          <w:sz w:val="28"/>
          <w:szCs w:val="28"/>
          <w:highlight w:val="none"/>
          <w:lang w:val="en-US" w:eastAsia="zh-CN"/>
        </w:rPr>
        <w:t xml:space="preserve">13</w:t>
      </w:r>
      <w:r>
        <w:rPr>
          <w:rStyle w:val="1272"/>
          <w:rFonts w:hint="eastAsia" w:ascii="方正仿宋_GBK" w:hAnsi="方正仿宋_GBK" w:eastAsia="方正仿宋_GBK" w:cs="方正仿宋_GBK"/>
          <w:b/>
          <w:bCs/>
          <w:color w:val="auto"/>
          <w:sz w:val="28"/>
          <w:szCs w:val="28"/>
          <w:highlight w:val="none"/>
        </w:rPr>
        <w:t xml:space="preserve">日</w:t>
      </w:r>
      <w:r>
        <w:rPr>
          <w:rStyle w:val="1272"/>
          <w:rFonts w:hint="eastAsia" w:ascii="方正仿宋_GBK" w:hAnsi="方正仿宋_GBK" w:eastAsia="方正仿宋_GBK" w:cs="方正仿宋_GBK"/>
          <w:b/>
          <w:bCs/>
          <w:color w:val="auto"/>
          <w:sz w:val="28"/>
          <w:szCs w:val="28"/>
          <w:highlight w:val="none"/>
          <w:lang w:val="en-US" w:eastAsia="zh-CN"/>
        </w:rPr>
        <w:t xml:space="preserve">9</w:t>
      </w:r>
      <w:r>
        <w:rPr>
          <w:rStyle w:val="1272"/>
          <w:rFonts w:hint="eastAsia" w:ascii="方正仿宋_GBK" w:hAnsi="方正仿宋_GBK" w:eastAsia="方正仿宋_GBK" w:cs="方正仿宋_GBK"/>
          <w:b/>
          <w:bCs/>
          <w:color w:val="auto"/>
          <w:sz w:val="28"/>
          <w:szCs w:val="28"/>
          <w:highlight w:val="none"/>
        </w:rPr>
        <w:t xml:space="preserve">点</w:t>
      </w:r>
      <w:r>
        <w:rPr>
          <w:rStyle w:val="1272"/>
          <w:rFonts w:hint="eastAsia" w:ascii="方正仿宋_GBK" w:hAnsi="方正仿宋_GBK" w:eastAsia="方正仿宋_GBK" w:cs="方正仿宋_GBK"/>
          <w:b/>
          <w:bCs/>
          <w:color w:val="auto"/>
          <w:sz w:val="28"/>
          <w:szCs w:val="28"/>
          <w:highlight w:val="none"/>
          <w:lang w:val="en-US" w:eastAsia="zh-CN"/>
        </w:rPr>
        <w:t xml:space="preserve">3</w:t>
      </w:r>
      <w:r>
        <w:rPr>
          <w:rStyle w:val="1272"/>
          <w:rFonts w:hint="eastAsia" w:ascii="方正仿宋_GBK" w:hAnsi="方正仿宋_GBK" w:eastAsia="方正仿宋_GBK" w:cs="方正仿宋_GBK"/>
          <w:b/>
          <w:bCs/>
          <w:color w:val="auto"/>
          <w:sz w:val="28"/>
          <w:szCs w:val="28"/>
          <w:highlight w:val="none"/>
        </w:rPr>
        <w:t xml:space="preserve">0分（北京时间）</w:t>
      </w:r>
      <w:r>
        <w:rPr>
          <w:rStyle w:val="1272"/>
          <w:rFonts w:hint="eastAsia" w:ascii="方正仿宋_GBK" w:hAnsi="方正仿宋_GBK" w:eastAsia="方正仿宋_GBK" w:cs="方正仿宋_GBK"/>
          <w:color w:val="auto"/>
          <w:sz w:val="28"/>
          <w:szCs w:val="28"/>
          <w:highlight w:val="none"/>
        </w:rPr>
        <w:t xml:space="preserve">，逾时“苏采云”系统将拒绝接受上传投标文件电子文档。</w:t>
      </w:r>
      <w:r/>
    </w:p>
    <w:p>
      <w:pPr>
        <w:ind w:firstLine="420"/>
        <w:keepLines w:val="0"/>
        <w:keepNext w:val="0"/>
        <w:pageBreakBefore w:val="0"/>
        <w:spacing w:line="500" w:lineRule="exact"/>
        <w:widowControl w:val="off"/>
        <w:rPr>
          <w:rStyle w:val="1272"/>
          <w:rFonts w:hint="eastAsia" w:ascii="方正仿宋_GBK" w:hAnsi="方正仿宋_GBK" w:eastAsia="方正仿宋_GBK" w:cs="方正仿宋_GBK"/>
          <w:color w:val="auto"/>
          <w:sz w:val="28"/>
          <w:szCs w:val="28"/>
          <w:highlight w:val="none"/>
          <w:lang w:eastAsia="en-US"/>
        </w:rPr>
      </w:pPr>
      <w:r>
        <w:rPr>
          <w:rStyle w:val="1272"/>
          <w:rFonts w:hint="eastAsia" w:ascii="方正仿宋_GBK" w:hAnsi="方正仿宋_GBK" w:eastAsia="方正仿宋_GBK" w:cs="方正仿宋_GBK"/>
          <w:color w:val="auto"/>
          <w:sz w:val="28"/>
          <w:szCs w:val="28"/>
          <w:highlight w:val="none"/>
          <w:lang w:eastAsia="en-US"/>
        </w:rPr>
        <w:t xml:space="preserve">2.地点：“苏采云”系统（网址：http://jszfcg.jsczt.cn/）</w:t>
      </w:r>
      <w:r/>
    </w:p>
    <w:p>
      <w:pPr>
        <w:ind w:firstLine="420"/>
        <w:keepLines w:val="0"/>
        <w:keepNext w:val="0"/>
        <w:pageBreakBefore w:val="0"/>
        <w:spacing w:line="500" w:lineRule="exact"/>
        <w:widowControl w:val="off"/>
        <w:rPr>
          <w:rStyle w:val="1272"/>
          <w:rFonts w:hint="eastAsia" w:ascii="方正仿宋_GBK" w:hAnsi="方正仿宋_GBK" w:eastAsia="方正仿宋_GBK" w:cs="方正仿宋_GBK"/>
          <w:color w:val="auto"/>
          <w:sz w:val="28"/>
          <w:szCs w:val="28"/>
          <w:highlight w:val="none"/>
        </w:rPr>
      </w:pPr>
      <w:r>
        <w:rPr>
          <w:rStyle w:val="1272"/>
          <w:rFonts w:hint="eastAsia" w:ascii="方正仿宋_GBK" w:hAnsi="方正仿宋_GBK" w:eastAsia="方正仿宋_GBK" w:cs="方正仿宋_GBK"/>
          <w:color w:val="auto"/>
          <w:sz w:val="28"/>
          <w:szCs w:val="28"/>
          <w:highlight w:val="none"/>
        </w:rPr>
        <w:t xml:space="preserve">3.投标文件的解密：开标当天各供应商及时登录不见面开标大厅，投标文件接收截止时间后，招标人将在系统内公布供应商名单，然后通过开标会议区发出投标文件解密的指令，投标人在开标室按规定时间自行实施远程解密，</w:t>
      </w:r>
      <w:r>
        <w:rPr>
          <w:rStyle w:val="1272"/>
          <w:rFonts w:hint="eastAsia" w:ascii="方正仿宋_GBK" w:hAnsi="方正仿宋_GBK" w:eastAsia="方正仿宋_GBK" w:cs="方正仿宋_GBK"/>
          <w:b/>
          <w:bCs/>
          <w:color w:val="auto"/>
          <w:sz w:val="28"/>
          <w:szCs w:val="28"/>
          <w:highlight w:val="none"/>
        </w:rPr>
        <w:t xml:space="preserve">投标人解密限定在开标后30分钟之内完成</w:t>
      </w:r>
      <w:r>
        <w:rPr>
          <w:rStyle w:val="1272"/>
          <w:rFonts w:hint="eastAsia" w:ascii="方正仿宋_GBK" w:hAnsi="方正仿宋_GBK" w:eastAsia="方正仿宋_GBK" w:cs="方正仿宋_GBK"/>
          <w:color w:val="auto"/>
          <w:sz w:val="28"/>
          <w:szCs w:val="28"/>
          <w:highlight w:val="none"/>
        </w:rPr>
        <w:t xml:space="preserve">。</w:t>
      </w:r>
      <w:r>
        <w:rPr>
          <w:rStyle w:val="1272"/>
          <w:rFonts w:hint="eastAsia" w:ascii="方正仿宋_GBK" w:hAnsi="方正仿宋_GBK" w:eastAsia="方正仿宋_GBK" w:cs="方正仿宋_GBK"/>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r/>
    </w:p>
    <w:p>
      <w:pPr>
        <w:ind w:firstLine="562"/>
        <w:keepLines w:val="0"/>
        <w:keepNext w:val="0"/>
        <w:pageBreakBefore w:val="0"/>
        <w:spacing w:line="500" w:lineRule="exact"/>
        <w:widowControl w:val="off"/>
        <w:rPr>
          <w:rFonts w:hint="eastAsia" w:ascii="方正仿宋_GBK" w:hAnsi="方正仿宋_GBK" w:eastAsia="方正仿宋_GBK" w:cs="方正仿宋_GBK"/>
          <w:b/>
          <w:color w:val="auto"/>
          <w:sz w:val="28"/>
          <w:szCs w:val="28"/>
          <w:highlight w:val="none"/>
        </w:rPr>
        <w:outlineLvl w:val="1"/>
      </w:pPr>
      <w:r>
        <w:rPr>
          <w:rFonts w:hint="eastAsia" w:ascii="方正仿宋_GBK" w:hAnsi="方正仿宋_GBK" w:eastAsia="方正仿宋_GBK" w:cs="方正仿宋_GBK"/>
          <w:b/>
          <w:color w:val="auto"/>
          <w:sz w:val="28"/>
          <w:szCs w:val="28"/>
          <w:highlight w:val="none"/>
        </w:rPr>
        <w:t xml:space="preserve">五、公告期限</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自本公告发布之日起5个工作日。</w:t>
      </w:r>
      <w:r/>
    </w:p>
    <w:p>
      <w:pPr>
        <w:ind w:firstLine="562"/>
        <w:keepLines w:val="0"/>
        <w:keepNext w:val="0"/>
        <w:pageBreakBefore w:val="0"/>
        <w:spacing w:line="500" w:lineRule="exact"/>
        <w:widowControl w:val="off"/>
        <w:rPr>
          <w:rFonts w:hint="eastAsia" w:ascii="方正仿宋_GBK" w:hAnsi="方正仿宋_GBK" w:eastAsia="方正仿宋_GBK" w:cs="方正仿宋_GBK"/>
          <w:b/>
          <w:color w:val="auto"/>
          <w:sz w:val="28"/>
          <w:szCs w:val="28"/>
          <w:highlight w:val="none"/>
        </w:rPr>
        <w:outlineLvl w:val="1"/>
      </w:pPr>
      <w:r>
        <w:rPr>
          <w:rFonts w:hint="eastAsia" w:ascii="方正仿宋_GBK" w:hAnsi="方正仿宋_GBK" w:eastAsia="方正仿宋_GBK" w:cs="方正仿宋_GBK"/>
          <w:b/>
          <w:color w:val="auto"/>
          <w:sz w:val="28"/>
          <w:szCs w:val="28"/>
          <w:highlight w:val="none"/>
        </w:rPr>
        <w:t xml:space="preserve">六、其他补充事宜</w:t>
      </w:r>
      <w:r/>
    </w:p>
    <w:p>
      <w:pPr>
        <w:ind w:firstLine="567"/>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1.投标保证金：免收</w:t>
      </w:r>
      <w:r/>
    </w:p>
    <w:p>
      <w:pPr>
        <w:ind w:firstLine="567"/>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2.项目开标活动模式：</w:t>
      </w:r>
      <w:r>
        <w:rPr>
          <w:rFonts w:hint="eastAsia" w:ascii="方正仿宋_GBK" w:hAnsi="方正仿宋_GBK" w:eastAsia="方正仿宋_GBK" w:cs="方正仿宋_GBK"/>
          <w:color w:val="auto"/>
          <w:sz w:val="28"/>
          <w:szCs w:val="28"/>
          <w:highlight w:val="none"/>
          <w:lang w:val="en-US" w:eastAsia="zh-CN"/>
        </w:rPr>
        <w:t xml:space="preserve">纸质投标文件提交后，电子投标文件采取</w:t>
      </w:r>
      <w:r>
        <w:rPr>
          <w:rFonts w:hint="eastAsia" w:ascii="方正仿宋_GBK" w:hAnsi="方正仿宋_GBK" w:eastAsia="方正仿宋_GBK" w:cs="方正仿宋_GBK"/>
          <w:color w:val="auto"/>
          <w:sz w:val="28"/>
          <w:szCs w:val="28"/>
          <w:highlight w:val="none"/>
        </w:rPr>
        <w:t xml:space="preserve">不见面远程开标模式，供应商在各自地点通过不见面交易系统参加开标会。</w:t>
      </w:r>
      <w:r/>
    </w:p>
    <w:p>
      <w:pPr>
        <w:ind w:firstLine="567"/>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3.项目演示：无。</w:t>
      </w:r>
      <w:r/>
    </w:p>
    <w:p>
      <w:pPr>
        <w:ind w:firstLine="567"/>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4.对采购方式、招标文件中项目需求、供应商资格条件、评标方法和评标标准、资格审查结果等应当由</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答复的质疑，请向</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提出，由</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负责答复。供应商对其他事项的质疑，请向代理机构提出，由</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或代理机构负责答复。</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供应商应依照规定提交各类声明函、承诺函，不再同时件备查或提供有关部门出具的相关证明文件。但成交供应商应做好提交声明函、承诺函、认真、业绩等相应原件的核查准备；核查后发现虚假或违背承诺的，依照相关法律法规规定处理。</w:t>
      </w:r>
      <w:r/>
    </w:p>
    <w:p>
      <w:pPr>
        <w:ind w:firstLine="562"/>
        <w:keepLines w:val="0"/>
        <w:keepNext w:val="0"/>
        <w:pageBreakBefore w:val="0"/>
        <w:spacing w:line="500" w:lineRule="exact"/>
        <w:widowControl w:val="off"/>
        <w:rPr>
          <w:rFonts w:hint="eastAsia" w:ascii="方正仿宋_GBK" w:hAnsi="方正仿宋_GBK" w:eastAsia="方正仿宋_GBK" w:cs="方正仿宋_GBK"/>
          <w:b/>
          <w:color w:val="auto"/>
          <w:sz w:val="28"/>
          <w:szCs w:val="28"/>
          <w:highlight w:val="none"/>
        </w:rPr>
        <w:outlineLvl w:val="1"/>
      </w:pPr>
      <w:r>
        <w:rPr>
          <w:rFonts w:hint="eastAsia" w:ascii="方正仿宋_GBK" w:hAnsi="方正仿宋_GBK" w:eastAsia="方正仿宋_GBK" w:cs="方正仿宋_GBK"/>
          <w:b/>
          <w:color w:val="auto"/>
          <w:sz w:val="28"/>
          <w:szCs w:val="28"/>
          <w:highlight w:val="none"/>
        </w:rPr>
        <w:t xml:space="preserve">七、对本次招标提出询问，请按以下方式联系。</w:t>
      </w:r>
      <w:r/>
    </w:p>
    <w:p>
      <w:pPr>
        <w:ind w:firstLine="567"/>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t xml:space="preserve">1.招标人信息</w:t>
      </w:r>
      <w:r/>
    </w:p>
    <w:p>
      <w:pPr>
        <w:ind w:firstLine="567"/>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t xml:space="preserve">名称：南通市公安局交通管理支队　　</w:t>
      </w:r>
      <w:r/>
    </w:p>
    <w:p>
      <w:pPr>
        <w:ind w:firstLine="567"/>
        <w:keepLines w:val="0"/>
        <w:keepNext w:val="0"/>
        <w:pageBreakBefore w:val="0"/>
        <w:spacing w:line="500" w:lineRule="exact"/>
        <w:widowControl w:val="off"/>
        <w:rPr>
          <w:rFonts w:hint="default"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地址：南通市崇川区虹桥路11号</w:t>
      </w:r>
      <w:r/>
    </w:p>
    <w:p>
      <w:pPr>
        <w:ind w:firstLine="567"/>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t xml:space="preserve">联系人:缪源</w:t>
      </w:r>
      <w:r/>
    </w:p>
    <w:p>
      <w:pPr>
        <w:ind w:firstLine="567"/>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t xml:space="preserve">联系方式:13962956612</w:t>
      </w:r>
      <w:r/>
    </w:p>
    <w:p>
      <w:pPr>
        <w:ind w:firstLine="567"/>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t xml:space="preserve">2.招标代理机构信息</w:t>
      </w:r>
      <w:r/>
    </w:p>
    <w:p>
      <w:pPr>
        <w:ind w:firstLine="567"/>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t xml:space="preserve">名称：江苏中润工程建设咨询有限公司</w:t>
      </w:r>
      <w:r/>
    </w:p>
    <w:p>
      <w:pPr>
        <w:ind w:firstLine="567"/>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t xml:space="preserve">地址：南通市崇川路58号南通产业技术研究院9号楼1004室</w:t>
      </w:r>
      <w:r/>
    </w:p>
    <w:p>
      <w:pPr>
        <w:ind w:firstLine="567"/>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t xml:space="preserve">联系方式：肖俊菁  </w:t>
      </w:r>
      <w:r>
        <w:rPr>
          <w:rFonts w:hint="eastAsia" w:ascii="方正仿宋_GBK" w:hAnsi="方正仿宋_GBK" w:eastAsia="方正仿宋_GBK" w:cs="方正仿宋_GBK"/>
          <w:color w:val="auto"/>
          <w:sz w:val="28"/>
          <w:szCs w:val="28"/>
          <w:highlight w:val="none"/>
          <w:lang w:val="en-US" w:eastAsia="zh-CN"/>
        </w:rPr>
        <w:t xml:space="preserve">051355887688  </w:t>
      </w:r>
      <w:r>
        <w:rPr>
          <w:rFonts w:hint="eastAsia" w:ascii="方正仿宋_GBK" w:hAnsi="方正仿宋_GBK" w:eastAsia="方正仿宋_GBK" w:cs="方正仿宋_GBK"/>
          <w:color w:val="auto"/>
          <w:sz w:val="28"/>
          <w:szCs w:val="28"/>
          <w:highlight w:val="none"/>
          <w:lang w:eastAsia="zh-CN"/>
        </w:rPr>
        <w:t xml:space="preserve">18106299008  </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邮箱：</w:t>
      </w:r>
      <w:r>
        <w:rPr>
          <w:rFonts w:hint="eastAsia" w:ascii="方正仿宋_GBK" w:hAnsi="方正仿宋_GBK" w:eastAsia="方正仿宋_GBK" w:cs="方正仿宋_GBK"/>
          <w:color w:val="auto"/>
          <w:highlight w:val="none"/>
        </w:rPr>
        <w:fldChar w:fldCharType="begin"/>
      </w:r>
      <w:r>
        <w:rPr>
          <w:rFonts w:hint="eastAsia" w:ascii="方正仿宋_GBK" w:hAnsi="方正仿宋_GBK" w:eastAsia="方正仿宋_GBK" w:cs="方正仿宋_GBK"/>
          <w:color w:val="auto"/>
          <w:highlight w:val="none"/>
        </w:rPr>
        <w:instrText xml:space="preserve"> HYPERLINK "mailto:279366603@qq.com" \o "mailto:279366603@qq.com" </w:instrText>
      </w:r>
      <w:r>
        <w:rPr>
          <w:rFonts w:hint="eastAsia" w:ascii="方正仿宋_GBK" w:hAnsi="方正仿宋_GBK" w:eastAsia="方正仿宋_GBK" w:cs="方正仿宋_GBK"/>
          <w:color w:val="auto"/>
          <w:highlight w:val="none"/>
        </w:rPr>
        <w:fldChar w:fldCharType="separate"/>
      </w:r>
      <w:r>
        <w:rPr>
          <w:rStyle w:val="1209"/>
          <w:rFonts w:hint="eastAsia" w:ascii="方正仿宋_GBK" w:hAnsi="方正仿宋_GBK" w:eastAsia="方正仿宋_GBK" w:cs="方正仿宋_GBK"/>
          <w:color w:val="auto"/>
          <w:sz w:val="28"/>
          <w:szCs w:val="28"/>
          <w:highlight w:val="none"/>
        </w:rPr>
        <w:t xml:space="preserve">279366603@qq.com</w:t>
      </w:r>
      <w:r>
        <w:rPr>
          <w:rStyle w:val="1209"/>
          <w:rFonts w:hint="eastAsia" w:ascii="方正仿宋_GBK" w:hAnsi="方正仿宋_GBK" w:eastAsia="方正仿宋_GBK" w:cs="方正仿宋_GBK"/>
          <w:color w:val="auto"/>
          <w:sz w:val="28"/>
          <w:szCs w:val="28"/>
          <w:highlight w:val="none"/>
        </w:rPr>
        <w:fldChar w:fldCharType="end"/>
      </w:r>
      <w:r/>
    </w:p>
    <w:p>
      <w:pPr>
        <w:ind w:firstLine="588"/>
        <w:keepLines w:val="0"/>
        <w:keepNext w:val="0"/>
        <w:pageBreakBefore w:val="0"/>
        <w:spacing w:line="500" w:lineRule="exact"/>
        <w:shd w:val="clear" w:color="auto" w:fill="ffffff"/>
        <w:widowControl w:val="off"/>
        <w:rPr>
          <w:rFonts w:hint="eastAsia" w:ascii="方正仿宋_GBK" w:hAnsi="方正仿宋_GBK" w:eastAsia="方正仿宋_GBK" w:cs="方正仿宋_GBK"/>
          <w:color w:val="auto"/>
          <w:spacing w:val="7"/>
          <w:sz w:val="28"/>
          <w:szCs w:val="28"/>
          <w:highlight w:val="none"/>
        </w:rPr>
      </w:pPr>
      <w:r>
        <w:rPr>
          <w:rFonts w:hint="eastAsia" w:ascii="方正仿宋_GBK" w:hAnsi="方正仿宋_GBK" w:eastAsia="方正仿宋_GBK" w:cs="方正仿宋_GBK"/>
          <w:color w:val="auto"/>
          <w:spacing w:val="7"/>
          <w:sz w:val="28"/>
          <w:szCs w:val="28"/>
          <w:highlight w:val="none"/>
        </w:rPr>
        <w:t xml:space="preserve">附件:</w:t>
      </w:r>
      <w:r/>
    </w:p>
    <w:p>
      <w:pPr>
        <w:ind w:firstLine="588"/>
        <w:keepLines w:val="0"/>
        <w:keepNext w:val="0"/>
        <w:pageBreakBefore w:val="0"/>
        <w:spacing w:line="500" w:lineRule="exact"/>
        <w:shd w:val="clear" w:color="auto" w:fill="ffffff"/>
        <w:widowControl w:val="off"/>
        <w:rPr>
          <w:rFonts w:hint="eastAsia" w:ascii="方正仿宋_GBK" w:hAnsi="方正仿宋_GBK" w:eastAsia="方正仿宋_GBK" w:cs="方正仿宋_GBK"/>
          <w:color w:val="auto"/>
          <w:spacing w:val="7"/>
          <w:sz w:val="28"/>
          <w:szCs w:val="28"/>
          <w:highlight w:val="none"/>
        </w:rPr>
      </w:pPr>
      <w:r>
        <w:rPr>
          <w:rFonts w:hint="eastAsia" w:ascii="方正仿宋_GBK" w:hAnsi="方正仿宋_GBK" w:eastAsia="方正仿宋_GBK" w:cs="方正仿宋_GBK"/>
          <w:color w:val="auto"/>
          <w:spacing w:val="7"/>
          <w:sz w:val="28"/>
          <w:szCs w:val="28"/>
          <w:highlight w:val="none"/>
        </w:rPr>
        <w:t xml:space="preserve">1.公开招标文件</w:t>
      </w:r>
      <w:r/>
    </w:p>
    <w:p>
      <w:pPr>
        <w:ind w:firstLine="588"/>
        <w:keepLines w:val="0"/>
        <w:keepNext w:val="0"/>
        <w:pageBreakBefore w:val="0"/>
        <w:spacing w:line="500" w:lineRule="exact"/>
        <w:shd w:val="clear" w:color="auto" w:fill="ffffff"/>
        <w:widowControl w:val="off"/>
        <w:rPr>
          <w:rFonts w:hint="eastAsia" w:ascii="方正仿宋_GBK" w:hAnsi="方正仿宋_GBK" w:eastAsia="方正仿宋_GBK" w:cs="方正仿宋_GBK"/>
          <w:color w:val="auto"/>
          <w:spacing w:val="7"/>
          <w:sz w:val="28"/>
          <w:szCs w:val="28"/>
          <w:highlight w:val="none"/>
        </w:rPr>
      </w:pPr>
      <w:r>
        <w:rPr>
          <w:rFonts w:hint="eastAsia" w:ascii="方正仿宋_GBK" w:hAnsi="方正仿宋_GBK" w:eastAsia="方正仿宋_GBK" w:cs="方正仿宋_GBK"/>
          <w:color w:val="auto"/>
          <w:spacing w:val="7"/>
          <w:sz w:val="28"/>
          <w:szCs w:val="28"/>
          <w:highlight w:val="none"/>
        </w:rPr>
        <w:t xml:space="preserve">2.招标人信用承诺书</w:t>
      </w:r>
      <w:r/>
    </w:p>
    <w:p>
      <w:pPr>
        <w:jc w:val="center"/>
        <w:spacing w:line="500" w:lineRule="exact"/>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r>
        <w:rPr>
          <w:rFonts w:hint="eastAsia" w:ascii="宋体" w:hAnsi="宋体" w:cs="宋体"/>
          <w:b/>
          <w:bCs w:val="0"/>
          <w:color w:val="auto"/>
          <w:sz w:val="36"/>
          <w:szCs w:val="36"/>
          <w:highlight w:val="none"/>
        </w:rPr>
        <w:t xml:space="preserve">第二部分  投标须知</w:t>
      </w:r>
      <w:r/>
    </w:p>
    <w:p>
      <w:pPr>
        <w:pStyle w:val="1145"/>
        <w:ind w:firstLine="562"/>
        <w:pageBreakBefore w:val="0"/>
        <w:spacing w:before="0" w:after="0" w:line="500" w:lineRule="exact"/>
        <w:widowControl w:val="off"/>
        <w:rPr>
          <w:rFonts w:hint="eastAsia" w:ascii="方正仿宋_GBK" w:hAnsi="方正仿宋_GBK" w:eastAsia="方正仿宋_GBK" w:cs="方正仿宋_GBK"/>
          <w:color w:val="auto"/>
          <w:sz w:val="28"/>
          <w:szCs w:val="28"/>
          <w:highlight w:val="none"/>
        </w:rPr>
      </w:pPr>
      <w:r/>
      <w:bookmarkStart w:id="0" w:name="_Toc16938519"/>
      <w:r/>
      <w:bookmarkEnd w:id="0"/>
      <w:r/>
      <w:bookmarkStart w:id="1" w:name="_Toc513029203"/>
      <w:r/>
      <w:bookmarkEnd w:id="1"/>
      <w:r/>
      <w:bookmarkStart w:id="2" w:name="_Toc120614214"/>
      <w:r/>
      <w:bookmarkEnd w:id="2"/>
      <w:r/>
      <w:bookmarkStart w:id="3" w:name="_Toc20823275"/>
      <w:r/>
      <w:bookmarkEnd w:id="3"/>
      <w:r>
        <w:rPr>
          <w:rFonts w:hint="eastAsia" w:ascii="方正仿宋_GBK" w:hAnsi="方正仿宋_GBK" w:eastAsia="方正仿宋_GBK" w:cs="方正仿宋_GBK"/>
          <w:color w:val="auto"/>
          <w:sz w:val="28"/>
          <w:szCs w:val="28"/>
          <w:highlight w:val="none"/>
        </w:rPr>
        <w:t xml:space="preserve">一、总则</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bookmarkStart w:id="4" w:name="_Hlt16619475"/>
      <w:r/>
      <w:bookmarkEnd w:id="4"/>
      <w:r/>
      <w:bookmarkStart w:id="5" w:name="_Toc458694821"/>
      <w:r/>
      <w:bookmarkEnd w:id="5"/>
      <w:r/>
      <w:bookmarkStart w:id="6" w:name="_Toc513029204"/>
      <w:r/>
      <w:bookmarkEnd w:id="6"/>
      <w:r/>
      <w:bookmarkStart w:id="7" w:name="_Toc20823276"/>
      <w:r/>
      <w:bookmarkEnd w:id="7"/>
      <w:r/>
      <w:bookmarkStart w:id="8" w:name="_Toc16938520"/>
      <w:r/>
      <w:bookmarkEnd w:id="8"/>
      <w:r>
        <w:rPr>
          <w:rFonts w:hint="eastAsia" w:ascii="方正仿宋_GBK" w:hAnsi="方正仿宋_GBK" w:eastAsia="方正仿宋_GBK" w:cs="方正仿宋_GBK"/>
          <w:color w:val="auto"/>
          <w:sz w:val="28"/>
          <w:szCs w:val="28"/>
          <w:highlight w:val="none"/>
        </w:rPr>
        <w:t xml:space="preserve">1.招标方式</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1.1 本次招标采取公开招标方式，本招标文件仅适用于招标公告中所述项目。</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bookmarkStart w:id="9" w:name="_Toc16938521"/>
      <w:r/>
      <w:bookmarkEnd w:id="9"/>
      <w:r/>
      <w:bookmarkStart w:id="10" w:name="_Toc513029205"/>
      <w:r/>
      <w:bookmarkEnd w:id="10"/>
      <w:r/>
      <w:bookmarkStart w:id="11" w:name="_Toc20823277"/>
      <w:r/>
      <w:bookmarkEnd w:id="11"/>
      <w:r>
        <w:rPr>
          <w:rFonts w:hint="eastAsia" w:ascii="方正仿宋_GBK" w:hAnsi="方正仿宋_GBK" w:eastAsia="方正仿宋_GBK" w:cs="方正仿宋_GBK"/>
          <w:color w:val="auto"/>
          <w:sz w:val="28"/>
          <w:szCs w:val="28"/>
          <w:highlight w:val="none"/>
        </w:rPr>
        <w:t xml:space="preserve">2.合格的投标人</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2.1满足招标公告中供应商的资格要求的规定。</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2.2 满足本文件实质性条款的规定。</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bookmarkStart w:id="12" w:name="_Toc20823278"/>
      <w:r/>
      <w:bookmarkEnd w:id="12"/>
      <w:r/>
      <w:bookmarkStart w:id="13" w:name="_Toc513029206"/>
      <w:r/>
      <w:bookmarkEnd w:id="13"/>
      <w:r/>
      <w:bookmarkStart w:id="14" w:name="_Toc16938522"/>
      <w:r/>
      <w:bookmarkEnd w:id="14"/>
      <w:r>
        <w:rPr>
          <w:rFonts w:hint="eastAsia" w:ascii="方正仿宋_GBK" w:hAnsi="方正仿宋_GBK" w:eastAsia="方正仿宋_GBK" w:cs="方正仿宋_GBK"/>
          <w:color w:val="auto"/>
          <w:sz w:val="28"/>
          <w:szCs w:val="28"/>
          <w:highlight w:val="none"/>
        </w:rPr>
        <w:t xml:space="preserve">3.适用法律</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3.1本次招标及由此产生的合同受中华人民共和国有关的法律法规制约和保护。</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bookmarkStart w:id="15" w:name="_Toc462564067"/>
      <w:r/>
      <w:bookmarkEnd w:id="15"/>
      <w:r/>
      <w:bookmarkStart w:id="16" w:name="_Toc513029207"/>
      <w:r/>
      <w:bookmarkEnd w:id="16"/>
      <w:r/>
      <w:bookmarkStart w:id="17" w:name="_Toc20823279"/>
      <w:r/>
      <w:bookmarkEnd w:id="17"/>
      <w:r/>
      <w:bookmarkStart w:id="18" w:name="_Toc16938523"/>
      <w:r/>
      <w:bookmarkEnd w:id="18"/>
      <w:r>
        <w:rPr>
          <w:rFonts w:hint="eastAsia" w:ascii="方正仿宋_GBK" w:hAnsi="方正仿宋_GBK" w:eastAsia="方正仿宋_GBK" w:cs="方正仿宋_GBK"/>
          <w:color w:val="auto"/>
          <w:sz w:val="28"/>
          <w:szCs w:val="28"/>
          <w:highlight w:val="none"/>
        </w:rPr>
        <w:t xml:space="preserve">4.投标费用</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bCs/>
          <w:color w:val="auto"/>
          <w:sz w:val="28"/>
          <w:szCs w:val="28"/>
          <w:highlight w:val="none"/>
        </w:rPr>
        <w:t xml:space="preserve">4.1</w:t>
      </w:r>
      <w:r>
        <w:rPr>
          <w:rFonts w:hint="eastAsia" w:ascii="方正仿宋_GBK" w:hAnsi="方正仿宋_GBK" w:eastAsia="方正仿宋_GBK" w:cs="方正仿宋_GBK"/>
          <w:color w:val="auto"/>
          <w:sz w:val="28"/>
          <w:szCs w:val="28"/>
          <w:highlight w:val="none"/>
        </w:rPr>
        <w:t xml:space="preserve">投标人应自行承担所有与参加投标有关的费用，无论投标过程中的做法和结果如何，江苏中润工程建设咨询有限公司（以下简称招标代理机构）在任何情况下均无义务和责任承担这些费用。</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color w:val="auto"/>
          <w:sz w:val="28"/>
          <w:szCs w:val="28"/>
          <w:highlight w:val="none"/>
          <w:lang w:val="en-US" w:eastAsia="zh-CN"/>
        </w:rPr>
        <w:t xml:space="preserve">4.2</w:t>
      </w:r>
      <w:r>
        <w:rPr>
          <w:rFonts w:hint="eastAsia" w:ascii="方正仿宋_GBK" w:hAnsi="方正仿宋_GBK" w:eastAsia="方正仿宋_GBK" w:cs="方正仿宋_GBK"/>
          <w:color w:val="auto"/>
          <w:sz w:val="28"/>
          <w:szCs w:val="28"/>
          <w:highlight w:val="none"/>
          <w:lang w:val="zh-CN"/>
        </w:rPr>
        <w:t xml:space="preserve">本项目招标代理费按照</w:t>
      </w:r>
      <w:r>
        <w:rPr>
          <w:rFonts w:hint="eastAsia" w:ascii="方正仿宋_GBK" w:hAnsi="方正仿宋_GBK" w:eastAsia="方正仿宋_GBK" w:cs="方正仿宋_GBK"/>
          <w:color w:val="auto"/>
          <w:sz w:val="28"/>
          <w:szCs w:val="28"/>
          <w:highlight w:val="none"/>
          <w:lang w:val="zh-CN" w:eastAsia="zh-CN"/>
        </w:rPr>
        <w:t xml:space="preserve">下表规定计取</w:t>
      </w:r>
      <w:r>
        <w:rPr>
          <w:rFonts w:hint="eastAsia" w:ascii="方正仿宋_GBK" w:hAnsi="方正仿宋_GBK" w:eastAsia="方正仿宋_GBK" w:cs="方正仿宋_GBK"/>
          <w:color w:val="auto"/>
          <w:sz w:val="28"/>
          <w:szCs w:val="28"/>
          <w:highlight w:val="none"/>
          <w:lang w:val="zh-CN"/>
        </w:rPr>
        <w:t xml:space="preserve">，由中标人支付。投标人报价时应综合考虑（不单列）。</w:t>
      </w:r>
      <w:r/>
    </w:p>
    <w:tbl>
      <w:tblPr>
        <w:tblStyle w:val="923"/>
        <w:tblW w:w="88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576"/>
        <w:gridCol w:w="3806"/>
        <w:gridCol w:w="2494"/>
      </w:tblGrid>
      <w:tr>
        <w:trPr>
          <w:trHeight w:val="507"/>
          <w:tblHeader/>
        </w:trPr>
        <w:tc>
          <w:tcPr>
            <w:shd w:val="clear" w:color="auto" w:fill="eeece1"/>
            <w:tcMar>
              <w:left w:w="0" w:type="dxa"/>
            </w:tcMar>
            <w:tcW w:w="2576" w:type="dxa"/>
            <w:vAlign w:val="center"/>
            <w:textDirection w:val="lrTb"/>
            <w:noWrap w:val="false"/>
          </w:tcPr>
          <w:p>
            <w:pPr>
              <w:ind w:firstLine="198"/>
              <w:jc w:val="center"/>
              <w:keepLines w:val="0"/>
              <w:keepNext w:val="0"/>
              <w:pageBreakBefore w:val="0"/>
              <w:spacing w:line="3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项目金额区间</w:t>
            </w:r>
            <w:r/>
          </w:p>
        </w:tc>
        <w:tc>
          <w:tcPr>
            <w:shd w:val="clear" w:color="auto" w:fill="eeece1"/>
            <w:tcW w:w="3806" w:type="dxa"/>
            <w:vAlign w:val="center"/>
            <w:textDirection w:val="lrTb"/>
            <w:noWrap w:val="false"/>
          </w:tcPr>
          <w:p>
            <w:pPr>
              <w:ind w:firstLine="198"/>
              <w:jc w:val="center"/>
              <w:keepLines w:val="0"/>
              <w:keepNext w:val="0"/>
              <w:pageBreakBefore w:val="0"/>
              <w:spacing w:line="3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代理服务费计算方式</w:t>
            </w:r>
            <w:r/>
          </w:p>
        </w:tc>
        <w:tc>
          <w:tcPr>
            <w:shd w:val="clear" w:color="auto" w:fill="eeece1"/>
            <w:tcW w:w="2494" w:type="dxa"/>
            <w:vAlign w:val="center"/>
            <w:textDirection w:val="lrTb"/>
            <w:noWrap w:val="false"/>
          </w:tcPr>
          <w:p>
            <w:pPr>
              <w:ind w:firstLine="198"/>
              <w:jc w:val="center"/>
              <w:keepLines w:val="0"/>
              <w:keepNext w:val="0"/>
              <w:pageBreakBefore w:val="0"/>
              <w:spacing w:line="3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价格</w:t>
            </w:r>
            <w:r/>
          </w:p>
        </w:tc>
      </w:tr>
      <w:tr>
        <w:trPr>
          <w:trHeight w:val="432"/>
        </w:trPr>
        <w:tc>
          <w:tcPr>
            <w:tcMar>
              <w:left w:w="0" w:type="dxa"/>
            </w:tcMar>
            <w:tcW w:w="2576" w:type="dxa"/>
            <w:vAlign w:val="center"/>
            <w:textDirection w:val="lrTb"/>
            <w:noWrap w:val="false"/>
          </w:tcPr>
          <w:p>
            <w:pPr>
              <w:ind w:firstLine="198"/>
              <w:jc w:val="center"/>
              <w:keepLines w:val="0"/>
              <w:keepNext w:val="0"/>
              <w:pageBreakBefore w:val="0"/>
              <w:spacing w:line="3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10万≤X&lt;100万元</w:t>
            </w:r>
            <w:r/>
          </w:p>
        </w:tc>
        <w:tc>
          <w:tcPr>
            <w:tcW w:w="3806" w:type="dxa"/>
            <w:vAlign w:val="center"/>
            <w:textDirection w:val="lrTb"/>
            <w:noWrap w:val="false"/>
          </w:tcPr>
          <w:p>
            <w:pPr>
              <w:ind w:firstLine="198"/>
              <w:jc w:val="center"/>
              <w:keepLines w:val="0"/>
              <w:keepNext w:val="0"/>
              <w:pageBreakBefore w:val="0"/>
              <w:spacing w:line="3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2000元+（X-10万）×0.4%</w:t>
            </w:r>
            <w:r/>
          </w:p>
        </w:tc>
        <w:tc>
          <w:tcPr>
            <w:tcW w:w="2494" w:type="dxa"/>
            <w:vAlign w:val="center"/>
            <w:textDirection w:val="lrTb"/>
            <w:noWrap w:val="false"/>
          </w:tcPr>
          <w:p>
            <w:pPr>
              <w:ind w:firstLine="198"/>
              <w:jc w:val="center"/>
              <w:keepLines w:val="0"/>
              <w:keepNext w:val="0"/>
              <w:pageBreakBefore w:val="0"/>
              <w:spacing w:line="3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2000元-5600元，</w:t>
            </w:r>
            <w:r/>
          </w:p>
          <w:p>
            <w:pPr>
              <w:ind w:firstLine="198"/>
              <w:jc w:val="center"/>
              <w:keepLines w:val="0"/>
              <w:keepNext w:val="0"/>
              <w:pageBreakBefore w:val="0"/>
              <w:spacing w:line="3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最低收费2000元。</w:t>
            </w:r>
            <w:r/>
          </w:p>
        </w:tc>
      </w:tr>
      <w:tr>
        <w:trPr>
          <w:trHeight w:val="659"/>
        </w:trPr>
        <w:tc>
          <w:tcPr>
            <w:tcMar>
              <w:left w:w="0" w:type="dxa"/>
            </w:tcMar>
            <w:tcW w:w="2576" w:type="dxa"/>
            <w:vAlign w:val="center"/>
            <w:textDirection w:val="lrTb"/>
            <w:noWrap w:val="false"/>
          </w:tcPr>
          <w:p>
            <w:pPr>
              <w:ind w:firstLine="198"/>
              <w:jc w:val="center"/>
              <w:keepLines w:val="0"/>
              <w:keepNext w:val="0"/>
              <w:pageBreakBefore w:val="0"/>
              <w:spacing w:line="3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100万≤X&lt;400万元</w:t>
            </w:r>
            <w:r/>
          </w:p>
        </w:tc>
        <w:tc>
          <w:tcPr>
            <w:tcW w:w="3806" w:type="dxa"/>
            <w:vAlign w:val="center"/>
            <w:textDirection w:val="lrTb"/>
            <w:noWrap w:val="false"/>
          </w:tcPr>
          <w:p>
            <w:pPr>
              <w:ind w:firstLine="198"/>
              <w:jc w:val="center"/>
              <w:keepLines w:val="0"/>
              <w:keepNext w:val="0"/>
              <w:pageBreakBefore w:val="0"/>
              <w:spacing w:line="3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5600元+（X-100万）×0.3%</w:t>
            </w:r>
            <w:r/>
          </w:p>
        </w:tc>
        <w:tc>
          <w:tcPr>
            <w:tcW w:w="2494" w:type="dxa"/>
            <w:vAlign w:val="center"/>
            <w:textDirection w:val="lrTb"/>
            <w:noWrap w:val="false"/>
          </w:tcPr>
          <w:p>
            <w:pPr>
              <w:ind w:firstLine="198"/>
              <w:jc w:val="center"/>
              <w:keepLines w:val="0"/>
              <w:keepNext w:val="0"/>
              <w:pageBreakBefore w:val="0"/>
              <w:spacing w:line="3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5600元-14600元</w:t>
            </w:r>
            <w:r/>
          </w:p>
        </w:tc>
      </w:tr>
      <w:tr>
        <w:trPr>
          <w:trHeight w:val="897"/>
        </w:trPr>
        <w:tc>
          <w:tcPr>
            <w:tcMar>
              <w:left w:w="0" w:type="dxa"/>
            </w:tcMar>
            <w:tcW w:w="2576" w:type="dxa"/>
            <w:vAlign w:val="center"/>
            <w:textDirection w:val="lrTb"/>
            <w:noWrap w:val="false"/>
          </w:tcPr>
          <w:p>
            <w:pPr>
              <w:ind w:firstLine="198"/>
              <w:jc w:val="center"/>
              <w:keepLines w:val="0"/>
              <w:keepNext w:val="0"/>
              <w:pageBreakBefore w:val="0"/>
              <w:spacing w:line="3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400万≤X</w:t>
            </w:r>
            <w:r/>
          </w:p>
        </w:tc>
        <w:tc>
          <w:tcPr>
            <w:tcW w:w="3806" w:type="dxa"/>
            <w:vAlign w:val="center"/>
            <w:textDirection w:val="lrTb"/>
            <w:noWrap w:val="false"/>
          </w:tcPr>
          <w:p>
            <w:pPr>
              <w:ind w:firstLine="198"/>
              <w:jc w:val="center"/>
              <w:keepLines w:val="0"/>
              <w:keepNext w:val="0"/>
              <w:pageBreakBefore w:val="0"/>
              <w:spacing w:line="3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14600元+（X-400万）×0.2%</w:t>
            </w:r>
            <w:r/>
          </w:p>
          <w:p>
            <w:pPr>
              <w:ind w:firstLine="198"/>
              <w:jc w:val="center"/>
              <w:keepLines w:val="0"/>
              <w:keepNext w:val="0"/>
              <w:pageBreakBefore w:val="0"/>
              <w:spacing w:line="3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【最高不超过35000元（代理费为35000元时，X=1420万）】</w:t>
            </w:r>
            <w:r/>
          </w:p>
        </w:tc>
        <w:tc>
          <w:tcPr>
            <w:tcW w:w="2494" w:type="dxa"/>
            <w:vAlign w:val="center"/>
            <w:textDirection w:val="lrTb"/>
            <w:noWrap w:val="false"/>
          </w:tcPr>
          <w:p>
            <w:pPr>
              <w:ind w:firstLine="198"/>
              <w:jc w:val="center"/>
              <w:keepLines w:val="0"/>
              <w:keepNext w:val="0"/>
              <w:pageBreakBefore w:val="0"/>
              <w:spacing w:line="3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14600元-35000元</w:t>
            </w:r>
            <w:r/>
          </w:p>
        </w:tc>
      </w:tr>
    </w:tbl>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zh-CN" w:eastAsia="zh-CN"/>
        </w:rPr>
        <w:t xml:space="preserve">备注：上表中的X为项目实际成交金额。</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代理费由成交供应商在开标现场定标后支付给代理机构，如因成交供应商原因导致本项目流标或改变中标结果或其被取消中标资格的，代理费不予退还。</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评委费由招标人支付。</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5.招标文件的约束力</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5.1</w:t>
      </w:r>
      <w:r>
        <w:rPr>
          <w:rFonts w:hint="eastAsia" w:ascii="方正仿宋_GBK" w:hAnsi="方正仿宋_GBK" w:eastAsia="方正仿宋_GBK" w:cs="方正仿宋_GBK"/>
          <w:color w:val="auto"/>
          <w:sz w:val="28"/>
          <w:szCs w:val="28"/>
          <w:highlight w:val="none"/>
        </w:rPr>
        <w:t xml:space="preserve"> 投标人一旦参加本项目采购活动，即被认为接受了本招标文件的规定和约束。</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6.招标文件的解释</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6.1</w:t>
      </w:r>
      <w:r>
        <w:rPr>
          <w:rFonts w:hint="eastAsia" w:ascii="方正仿宋_GBK" w:hAnsi="方正仿宋_GBK" w:eastAsia="方正仿宋_GBK" w:cs="方正仿宋_GBK"/>
          <w:color w:val="auto"/>
          <w:sz w:val="28"/>
          <w:szCs w:val="28"/>
          <w:highlight w:val="none"/>
        </w:rPr>
        <w:t xml:space="preserve">招标文件需求部分（供应商资格要求、项目需求、商务技术评分标准）由招标人解释，其它部分由代理机构解释。</w:t>
      </w:r>
      <w:r/>
    </w:p>
    <w:p>
      <w:pPr>
        <w:pStyle w:val="1145"/>
        <w:ind w:firstLine="562"/>
        <w:pageBreakBefore w:val="0"/>
        <w:spacing w:before="0" w:after="0" w:line="500" w:lineRule="exact"/>
        <w:widowControl w:val="off"/>
        <w:rPr>
          <w:rFonts w:hint="eastAsia" w:ascii="方正仿宋_GBK" w:hAnsi="方正仿宋_GBK" w:eastAsia="方正仿宋_GBK" w:cs="方正仿宋_GBK"/>
          <w:color w:val="auto"/>
          <w:sz w:val="28"/>
          <w:szCs w:val="28"/>
          <w:highlight w:val="none"/>
        </w:rPr>
      </w:pPr>
      <w:r/>
      <w:bookmarkStart w:id="19" w:name="_Toc120614215"/>
      <w:r/>
      <w:bookmarkEnd w:id="19"/>
      <w:r/>
      <w:bookmarkStart w:id="20" w:name="_Toc16938525"/>
      <w:r/>
      <w:bookmarkEnd w:id="20"/>
      <w:r/>
      <w:bookmarkStart w:id="21" w:name="_Toc513029209"/>
      <w:r/>
      <w:bookmarkEnd w:id="21"/>
      <w:r/>
      <w:bookmarkStart w:id="22" w:name="_Toc20823281"/>
      <w:r/>
      <w:bookmarkEnd w:id="22"/>
      <w:r>
        <w:rPr>
          <w:rFonts w:hint="eastAsia" w:ascii="方正仿宋_GBK" w:hAnsi="方正仿宋_GBK" w:eastAsia="方正仿宋_GBK" w:cs="方正仿宋_GBK"/>
          <w:color w:val="auto"/>
          <w:sz w:val="28"/>
          <w:szCs w:val="28"/>
          <w:highlight w:val="none"/>
        </w:rPr>
        <w:t xml:space="preserve">二、招标文件</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bookmarkStart w:id="23" w:name="_Toc16938526"/>
      <w:r/>
      <w:bookmarkEnd w:id="23"/>
      <w:r/>
      <w:bookmarkStart w:id="24" w:name="_Toc20823282"/>
      <w:r/>
      <w:bookmarkEnd w:id="24"/>
      <w:r/>
      <w:bookmarkStart w:id="25" w:name="_Toc513029210"/>
      <w:r/>
      <w:bookmarkEnd w:id="25"/>
      <w:r>
        <w:rPr>
          <w:rFonts w:hint="eastAsia" w:ascii="方正仿宋_GBK" w:hAnsi="方正仿宋_GBK" w:eastAsia="方正仿宋_GBK" w:cs="方正仿宋_GBK"/>
          <w:color w:val="auto"/>
          <w:sz w:val="28"/>
          <w:szCs w:val="28"/>
          <w:highlight w:val="none"/>
        </w:rPr>
        <w:t xml:space="preserve">1.招标文件构成</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1.1</w:t>
      </w:r>
      <w:r>
        <w:rPr>
          <w:rFonts w:hint="eastAsia" w:ascii="方正仿宋_GBK" w:hAnsi="方正仿宋_GBK" w:eastAsia="方正仿宋_GBK" w:cs="方正仿宋_GBK"/>
          <w:color w:val="auto"/>
          <w:sz w:val="28"/>
          <w:szCs w:val="28"/>
          <w:highlight w:val="none"/>
        </w:rPr>
        <w:t xml:space="preserve"> 招标文件由以下部分组成：</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（1）招标邀请</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（2）投标须知</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（3）项目需求</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（4）开标和评标</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（5）投标文件组成</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（6）附件（如有）</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请仔细检查招标文件是否齐全，如有缺漏请立即与代理机构联系解决。</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1.2</w:t>
      </w:r>
      <w:r>
        <w:rPr>
          <w:rFonts w:hint="eastAsia" w:ascii="方正仿宋_GBK" w:hAnsi="方正仿宋_GBK" w:eastAsia="方正仿宋_GBK" w:cs="方正仿宋_GBK"/>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bookmarkStart w:id="26" w:name="_Toc16938527"/>
      <w:r/>
      <w:bookmarkEnd w:id="26"/>
      <w:r/>
      <w:bookmarkStart w:id="27" w:name="_Toc513029211"/>
      <w:r/>
      <w:bookmarkEnd w:id="27"/>
      <w:r/>
      <w:bookmarkStart w:id="28" w:name="_Toc20823283"/>
      <w:r/>
      <w:bookmarkEnd w:id="28"/>
      <w:r/>
      <w:bookmarkStart w:id="29" w:name="_Toc462564070"/>
      <w:r/>
      <w:bookmarkEnd w:id="29"/>
      <w:r>
        <w:rPr>
          <w:rFonts w:hint="eastAsia" w:ascii="方正仿宋_GBK" w:hAnsi="方正仿宋_GBK" w:eastAsia="方正仿宋_GBK" w:cs="方正仿宋_GBK"/>
          <w:color w:val="auto"/>
          <w:sz w:val="28"/>
          <w:szCs w:val="28"/>
          <w:highlight w:val="none"/>
        </w:rPr>
        <w:t xml:space="preserve">2.招标文件的澄清</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2.1</w:t>
      </w:r>
      <w:r>
        <w:rPr>
          <w:rFonts w:hint="eastAsia" w:ascii="方正仿宋_GBK" w:hAnsi="方正仿宋_GBK" w:eastAsia="方正仿宋_GBK" w:cs="方正仿宋_GBK"/>
          <w:color w:val="auto"/>
          <w:sz w:val="28"/>
          <w:szCs w:val="28"/>
          <w:highlight w:val="none"/>
        </w:rPr>
        <w:t xml:space="preserve"> 任何要求对招标文件进行澄清的投标人，应在投标截止期十日前按招标公告中的通讯地址，以书面形式通知招标人。招标人有权对发出的招标文件进行必要的澄清或修改</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2.2招标人视情组织答疑会</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bookmarkStart w:id="30" w:name="_Toc20823284"/>
      <w:r/>
      <w:bookmarkEnd w:id="30"/>
      <w:r/>
      <w:bookmarkStart w:id="31" w:name="_Toc462564071"/>
      <w:r/>
      <w:bookmarkEnd w:id="31"/>
      <w:r/>
      <w:bookmarkStart w:id="32" w:name="_Toc513029212"/>
      <w:r/>
      <w:bookmarkEnd w:id="32"/>
      <w:r/>
      <w:bookmarkStart w:id="33" w:name="_Toc16938528"/>
      <w:r/>
      <w:bookmarkEnd w:id="33"/>
      <w:r>
        <w:rPr>
          <w:rFonts w:hint="eastAsia" w:ascii="方正仿宋_GBK" w:hAnsi="方正仿宋_GBK" w:eastAsia="方正仿宋_GBK" w:cs="方正仿宋_GBK"/>
          <w:color w:val="auto"/>
          <w:sz w:val="28"/>
          <w:szCs w:val="28"/>
          <w:highlight w:val="none"/>
        </w:rPr>
        <w:t xml:space="preserve">3.招标文件的修改</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3.1</w:t>
      </w:r>
      <w:r>
        <w:rPr>
          <w:rFonts w:hint="eastAsia" w:ascii="方正仿宋_GBK" w:hAnsi="方正仿宋_GBK" w:eastAsia="方正仿宋_GBK" w:cs="方正仿宋_GBK"/>
          <w:color w:val="auto"/>
          <w:sz w:val="28"/>
          <w:szCs w:val="28"/>
          <w:highlight w:val="none"/>
        </w:rPr>
        <w:t xml:space="preserve"> 在投标截止时间前，代理机构可以对招标文件进行修改。</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3.2 </w:t>
      </w:r>
      <w:r>
        <w:rPr>
          <w:rFonts w:hint="eastAsia" w:ascii="方正仿宋_GBK" w:hAnsi="方正仿宋_GBK" w:eastAsia="方正仿宋_GBK" w:cs="方正仿宋_GBK"/>
          <w:color w:val="auto"/>
          <w:sz w:val="28"/>
          <w:szCs w:val="28"/>
          <w:highlight w:val="none"/>
        </w:rPr>
        <w:t xml:space="preserve">代理机构有权按照法定的要求推迟投标截止日期和开标日期。</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3.3 </w:t>
      </w:r>
      <w:r>
        <w:rPr>
          <w:rFonts w:hint="eastAsia" w:ascii="方正仿宋_GBK" w:hAnsi="方正仿宋_GBK" w:eastAsia="方正仿宋_GBK" w:cs="方正仿宋_GBK"/>
          <w:color w:val="auto"/>
          <w:sz w:val="28"/>
          <w:szCs w:val="28"/>
          <w:highlight w:val="none"/>
        </w:rPr>
        <w:t xml:space="preserve">招标文件的修改将在江苏省政府采购网公布，补充文件将作为招标文件的组成部分，并对投标人具有约束力。</w:t>
      </w:r>
      <w:r/>
    </w:p>
    <w:p>
      <w:pPr>
        <w:ind w:firstLine="482"/>
        <w:pageBreakBefore w:val="0"/>
        <w:spacing w:line="500" w:lineRule="exact"/>
        <w:widowControl w:val="off"/>
        <w:rPr>
          <w:rFonts w:hint="eastAsia" w:ascii="方正仿宋_GBK" w:hAnsi="方正仿宋_GBK" w:eastAsia="方正仿宋_GBK" w:cs="方正仿宋_GBK"/>
          <w:b/>
          <w:bCs/>
          <w:color w:val="auto"/>
          <w:sz w:val="28"/>
          <w:szCs w:val="28"/>
          <w:highlight w:val="none"/>
          <w:u w:val="single"/>
        </w:rPr>
      </w:pPr>
      <w:r>
        <w:rPr>
          <w:rFonts w:hint="eastAsia" w:ascii="方正仿宋_GBK" w:hAnsi="方正仿宋_GBK" w:eastAsia="方正仿宋_GBK" w:cs="方正仿宋_GBK"/>
          <w:b/>
          <w:bCs/>
          <w:color w:val="auto"/>
          <w:sz w:val="28"/>
          <w:szCs w:val="28"/>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ind w:firstLine="482"/>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pStyle w:val="1145"/>
        <w:ind w:firstLine="562"/>
        <w:pageBreakBefore w:val="0"/>
        <w:spacing w:before="0" w:after="0"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三、投标文件的编制</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bookmarkStart w:id="34" w:name="_Toc462564073"/>
      <w:r/>
      <w:bookmarkEnd w:id="34"/>
      <w:r/>
      <w:bookmarkStart w:id="35" w:name="_Toc513029214"/>
      <w:r/>
      <w:bookmarkEnd w:id="35"/>
      <w:r/>
      <w:bookmarkStart w:id="36" w:name="_Toc20823286"/>
      <w:r/>
      <w:bookmarkEnd w:id="36"/>
      <w:r/>
      <w:bookmarkStart w:id="37" w:name="_Toc16938530"/>
      <w:r/>
      <w:bookmarkEnd w:id="37"/>
      <w:r>
        <w:rPr>
          <w:rFonts w:hint="eastAsia" w:ascii="方正仿宋_GBK" w:hAnsi="方正仿宋_GBK" w:eastAsia="方正仿宋_GBK" w:cs="方正仿宋_GBK"/>
          <w:color w:val="auto"/>
          <w:sz w:val="28"/>
          <w:szCs w:val="28"/>
          <w:highlight w:val="none"/>
        </w:rPr>
        <w:t xml:space="preserve">1.投标文件的语言及度量衡单位</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1.1</w:t>
      </w:r>
      <w:r>
        <w:rPr>
          <w:rFonts w:hint="eastAsia" w:ascii="方正仿宋_GBK" w:hAnsi="方正仿宋_GBK" w:eastAsia="方正仿宋_GBK" w:cs="方正仿宋_GBK"/>
          <w:color w:val="auto"/>
          <w:sz w:val="28"/>
          <w:szCs w:val="28"/>
          <w:highlight w:val="none"/>
        </w:rPr>
        <w:t xml:space="preserve"> 投标人提交的投标文件以及投标人与代理机构就有关投标的所有来往通知、函件和文件均应使用</w:t>
      </w:r>
      <w:r>
        <w:rPr>
          <w:rFonts w:hint="eastAsia" w:ascii="方正仿宋_GBK" w:hAnsi="方正仿宋_GBK" w:eastAsia="方正仿宋_GBK" w:cs="方正仿宋_GBK"/>
          <w:bCs/>
          <w:color w:val="auto"/>
          <w:sz w:val="28"/>
          <w:szCs w:val="28"/>
          <w:highlight w:val="none"/>
        </w:rPr>
        <w:t xml:space="preserve">简体中文</w:t>
      </w:r>
      <w:r>
        <w:rPr>
          <w:rFonts w:hint="eastAsia" w:ascii="方正仿宋_GBK" w:hAnsi="方正仿宋_GBK" w:eastAsia="方正仿宋_GBK" w:cs="方正仿宋_GBK"/>
          <w:color w:val="auto"/>
          <w:sz w:val="28"/>
          <w:szCs w:val="28"/>
          <w:highlight w:val="none"/>
        </w:rPr>
        <w:t xml:space="preserve">。</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1.2</w:t>
      </w:r>
      <w:r>
        <w:rPr>
          <w:rFonts w:hint="eastAsia" w:ascii="方正仿宋_GBK" w:hAnsi="方正仿宋_GBK" w:eastAsia="方正仿宋_GBK" w:cs="方正仿宋_GBK"/>
          <w:color w:val="auto"/>
          <w:sz w:val="28"/>
          <w:szCs w:val="28"/>
          <w:highlight w:val="none"/>
        </w:rPr>
        <w:t xml:space="preserve"> 除技术性能另有规定外，投标文件所使用的度量衡单位，均须采用国家法定计量单位。</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bookmarkStart w:id="38" w:name="_Toc16938531"/>
      <w:r/>
      <w:bookmarkEnd w:id="38"/>
      <w:r/>
      <w:bookmarkStart w:id="39" w:name="_Toc513029215"/>
      <w:r/>
      <w:bookmarkEnd w:id="39"/>
      <w:r/>
      <w:bookmarkStart w:id="40" w:name="_Toc20823287"/>
      <w:r/>
      <w:bookmarkEnd w:id="40"/>
      <w:r/>
      <w:bookmarkStart w:id="41" w:name="_Toc462564074"/>
      <w:r/>
      <w:bookmarkEnd w:id="41"/>
      <w:r>
        <w:rPr>
          <w:rFonts w:hint="eastAsia" w:ascii="方正仿宋_GBK" w:hAnsi="方正仿宋_GBK" w:eastAsia="方正仿宋_GBK" w:cs="方正仿宋_GBK"/>
          <w:color w:val="auto"/>
          <w:sz w:val="28"/>
          <w:szCs w:val="28"/>
          <w:highlight w:val="none"/>
        </w:rPr>
        <w:t xml:space="preserve">2.投标文件构成</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lang w:eastAsia="zh-CN"/>
        </w:rPr>
      </w:pPr>
      <w:r>
        <w:rPr>
          <w:rFonts w:hint="eastAsia" w:ascii="方正仿宋_GBK" w:hAnsi="方正仿宋_GBK" w:eastAsia="方正仿宋_GBK" w:cs="方正仿宋_GBK"/>
          <w:bCs/>
          <w:color w:val="auto"/>
          <w:sz w:val="28"/>
          <w:szCs w:val="28"/>
          <w:highlight w:val="none"/>
        </w:rPr>
        <w:t xml:space="preserve">2.1</w:t>
      </w:r>
      <w:r>
        <w:rPr>
          <w:rFonts w:hint="eastAsia" w:ascii="方正仿宋_GBK" w:hAnsi="方正仿宋_GBK" w:eastAsia="方正仿宋_GBK" w:cs="方正仿宋_GBK"/>
          <w:color w:val="auto"/>
          <w:sz w:val="28"/>
          <w:szCs w:val="28"/>
          <w:highlight w:val="none"/>
        </w:rPr>
        <w:t xml:space="preserve"> 投标人编写的投标文件应包括资格审查证明材料文件、商务技术标文件、价格标文件。供应商按“第五部分 投标文件组成”要求编写投标文件</w:t>
      </w:r>
      <w:r>
        <w:rPr>
          <w:rFonts w:hint="eastAsia" w:ascii="方正仿宋_GBK" w:hAnsi="方正仿宋_GBK" w:eastAsia="方正仿宋_GBK" w:cs="方正仿宋_GBK"/>
          <w:color w:val="auto"/>
          <w:sz w:val="28"/>
          <w:szCs w:val="28"/>
          <w:highlight w:val="none"/>
          <w:lang w:eastAsia="zh-CN"/>
        </w:rPr>
        <w:t xml:space="preserve">。</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bookmarkStart w:id="42" w:name="_Hlt26954838"/>
      <w:r/>
      <w:bookmarkEnd w:id="42"/>
      <w:r/>
      <w:bookmarkStart w:id="43" w:name="_Hlt26668975"/>
      <w:r/>
      <w:bookmarkEnd w:id="43"/>
      <w:r/>
      <w:bookmarkStart w:id="44" w:name="_Toc49090511"/>
      <w:r/>
      <w:bookmarkEnd w:id="44"/>
      <w:r/>
      <w:bookmarkStart w:id="45" w:name="_Toc14577360"/>
      <w:r/>
      <w:bookmarkEnd w:id="45"/>
      <w:r/>
      <w:bookmarkStart w:id="46" w:name="_Hlt26670360"/>
      <w:r/>
      <w:bookmarkEnd w:id="46"/>
      <w:r>
        <w:rPr>
          <w:rFonts w:hint="eastAsia" w:ascii="方正仿宋_GBK" w:hAnsi="方正仿宋_GBK" w:eastAsia="方正仿宋_GBK" w:cs="方正仿宋_GBK"/>
          <w:color w:val="auto"/>
          <w:sz w:val="28"/>
          <w:szCs w:val="28"/>
          <w:highlight w:val="none"/>
        </w:rPr>
        <w:t xml:space="preserve">3.投标有效期</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3.1投标有效期为代理机构规定的开标之日后</w:t>
      </w:r>
      <w:r>
        <w:rPr>
          <w:rFonts w:hint="eastAsia" w:ascii="方正仿宋_GBK" w:hAnsi="方正仿宋_GBK" w:eastAsia="方正仿宋_GBK" w:cs="方正仿宋_GBK"/>
          <w:b/>
          <w:color w:val="auto"/>
          <w:sz w:val="28"/>
          <w:szCs w:val="28"/>
          <w:highlight w:val="none"/>
          <w:u w:val="single"/>
        </w:rPr>
        <w:t xml:space="preserve">六十（60）天</w:t>
      </w:r>
      <w:r>
        <w:rPr>
          <w:rFonts w:hint="eastAsia" w:ascii="方正仿宋_GBK" w:hAnsi="方正仿宋_GBK" w:eastAsia="方正仿宋_GBK" w:cs="方正仿宋_GBK"/>
          <w:bCs/>
          <w:color w:val="auto"/>
          <w:sz w:val="28"/>
          <w:szCs w:val="28"/>
          <w:highlight w:val="none"/>
        </w:rPr>
        <w:t xml:space="preserve">。投标有效期比规定短的将被视为非响应性投标而予以拒绝。</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4.投标有效期的延长</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方正仿宋_GBK" w:hAnsi="方正仿宋_GBK" w:eastAsia="方正仿宋_GBK" w:cs="方正仿宋_GBK"/>
          <w:color w:val="auto"/>
          <w:sz w:val="28"/>
          <w:szCs w:val="28"/>
          <w:highlight w:val="none"/>
        </w:rPr>
        <w:t xml:space="preserve">受投标有效期约束的所有权利与义务均延长至新的有效期</w:t>
      </w:r>
      <w:r>
        <w:rPr>
          <w:rFonts w:hint="eastAsia" w:ascii="方正仿宋_GBK" w:hAnsi="方正仿宋_GBK" w:eastAsia="方正仿宋_GBK" w:cs="方正仿宋_GBK"/>
          <w:bCs/>
          <w:color w:val="auto"/>
          <w:sz w:val="28"/>
          <w:szCs w:val="28"/>
          <w:highlight w:val="none"/>
        </w:rPr>
        <w:t xml:space="preserve">。</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bookmarkStart w:id="47" w:name="_Hlt26954739"/>
      <w:r/>
      <w:bookmarkEnd w:id="47"/>
      <w:r/>
      <w:bookmarkStart w:id="48" w:name="_Hlt26954852"/>
      <w:r/>
      <w:bookmarkEnd w:id="48"/>
      <w:r>
        <w:rPr>
          <w:rFonts w:hint="eastAsia" w:ascii="方正仿宋_GBK" w:hAnsi="方正仿宋_GBK" w:eastAsia="方正仿宋_GBK" w:cs="方正仿宋_GBK"/>
          <w:bCs/>
          <w:color w:val="auto"/>
          <w:sz w:val="28"/>
          <w:szCs w:val="28"/>
          <w:highlight w:val="none"/>
        </w:rPr>
        <w:t xml:space="preserve">5.电子投标文件其他要求</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5.1电子招标投标交易平台（即“苏采云”系统）相关要求是本招标文件的组成部分。</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5.2投标人应对CA证书妥善保管，如被他人盗用投标，因此带来的结果均由投标人自行承担。</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5.3投标人应当对招标文件提出的实质性要求和条件作出实质性响应，并在电子投标系统逐条应答。</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1145"/>
        <w:ind w:firstLine="562"/>
        <w:pageBreakBefore w:val="0"/>
        <w:spacing w:before="0" w:after="0"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四、投标文件的递交</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bookmarkStart w:id="49" w:name="_Toc513029225"/>
      <w:r/>
      <w:bookmarkEnd w:id="49"/>
      <w:r/>
      <w:bookmarkStart w:id="50" w:name="_Toc16938541"/>
      <w:r/>
      <w:bookmarkEnd w:id="50"/>
      <w:r/>
      <w:bookmarkStart w:id="51" w:name="_Toc20823297"/>
      <w:r/>
      <w:bookmarkEnd w:id="51"/>
      <w:r/>
      <w:bookmarkStart w:id="52" w:name="_Toc462564084"/>
      <w:r/>
      <w:bookmarkEnd w:id="52"/>
      <w:r>
        <w:rPr>
          <w:rFonts w:hint="eastAsia" w:ascii="方正仿宋_GBK" w:hAnsi="方正仿宋_GBK" w:eastAsia="方正仿宋_GBK" w:cs="方正仿宋_GBK"/>
          <w:bCs/>
          <w:color w:val="auto"/>
          <w:sz w:val="28"/>
          <w:szCs w:val="28"/>
          <w:highlight w:val="none"/>
        </w:rPr>
        <w:t xml:space="preserve">1.投标文件的提交</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1.1线上提交与接收地点：投标人应当通过“苏采云”系统提交数据电文形式的投标文件（即电子投标），“苏采云”系统自动接收。</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2.提交投标文件截止日期</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2.1 投标人上传电子投标文件的时间不得迟于公开招标公告中规定的投标文件提交截止时间。</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3.投标文件的密封（加密）要求：</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3.2投标人须通过“苏采云”系统提供的政府采购客户端工具（使用“CA数字证书”）加盖电子签章。</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3.3投标人未按规定加密的投标文件，“苏采云”系统将拒收并提示。</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4.投标文件的拒收</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4.1 招标代理机构拒绝接收在其规定的投标文件提交截止时间后上传的任何投标文件。</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 投标文件的撤回和修改</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5.1 投标文件的撤回</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5.1.1 电子投标文件的撤回</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投标人可在投标文件提交截止时间前，撤回其电子投标文件，具体操作方法见“苏采云”系统供应商操作手册。</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5.1.2 投标人撤回电子投标文件，则认为其不再参与本项目投标活动。</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5.2 投标文件的修改</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投标人可在投标文件提交截止时间前，对其电子投标文件进行修改。具体操作方法见“苏采云”系统供应商操作手册。</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5.3 在投标文件提交截止时间之后，投标人不得对其电子投标文件作任何修改。</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5.4 在投标文件提交截止时间至招标文件中规定的投标有效期满之间的这段时间内，投标人不得撤回其投标文件。</w:t>
      </w:r>
      <w:r/>
    </w:p>
    <w:p>
      <w:pPr>
        <w:pStyle w:val="1145"/>
        <w:ind w:firstLine="562"/>
        <w:pageBreakBefore w:val="0"/>
        <w:spacing w:before="0" w:after="0"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五、开标与评标</w:t>
      </w:r>
      <w:r/>
    </w:p>
    <w:p>
      <w:pPr>
        <w:ind w:firstLine="3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1.开标</w:t>
      </w:r>
      <w:r/>
    </w:p>
    <w:p>
      <w:pPr>
        <w:ind w:firstLine="482"/>
        <w:pageBreakBefore w:val="0"/>
        <w:spacing w:line="500" w:lineRule="exact"/>
        <w:widowControl w:val="off"/>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1.1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w:t>
      </w:r>
      <w:r>
        <w:rPr>
          <w:rFonts w:hint="eastAsia" w:ascii="方正仿宋_GBK" w:hAnsi="方正仿宋_GBK" w:eastAsia="方正仿宋_GBK" w:cs="方正仿宋_GBK"/>
          <w:b/>
          <w:color w:val="auto"/>
          <w:sz w:val="28"/>
          <w:szCs w:val="28"/>
          <w:highlight w:val="none"/>
          <w:u w:val="single"/>
        </w:rPr>
        <w:t xml:space="preserve">30分钟之内</w:t>
      </w:r>
      <w:r>
        <w:rPr>
          <w:rFonts w:hint="eastAsia" w:ascii="方正仿宋_GBK" w:hAnsi="方正仿宋_GBK" w:eastAsia="方正仿宋_GBK" w:cs="方正仿宋_GBK"/>
          <w:b/>
          <w:color w:val="auto"/>
          <w:sz w:val="28"/>
          <w:szCs w:val="28"/>
          <w:highlight w:val="none"/>
        </w:rPr>
        <w:t xml:space="preserve">完成。</w:t>
      </w:r>
      <w:r/>
    </w:p>
    <w:p>
      <w:pPr>
        <w:ind w:firstLine="482"/>
        <w:pageBreakBefore w:val="0"/>
        <w:spacing w:line="500" w:lineRule="exact"/>
        <w:widowControl w:val="off"/>
        <w:rPr>
          <w:rFonts w:hint="eastAsia" w:ascii="方正仿宋_GBK" w:hAnsi="方正仿宋_GBK" w:eastAsia="方正仿宋_GBK" w:cs="方正仿宋_GBK"/>
          <w:b/>
          <w:color w:val="auto"/>
          <w:sz w:val="28"/>
          <w:szCs w:val="28"/>
          <w:highlight w:val="none"/>
          <w:u w:val="single"/>
        </w:rPr>
      </w:pPr>
      <w:r>
        <w:rPr>
          <w:rFonts w:hint="eastAsia" w:ascii="方正仿宋_GBK" w:hAnsi="方正仿宋_GBK" w:eastAsia="方正仿宋_GBK" w:cs="方正仿宋_GBK"/>
          <w:b/>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方正仿宋_GBK" w:hAnsi="方正仿宋_GBK" w:eastAsia="方正仿宋_GBK" w:cs="方正仿宋_GBK"/>
          <w:b/>
          <w:color w:val="auto"/>
          <w:sz w:val="28"/>
          <w:szCs w:val="28"/>
          <w:highlight w:val="none"/>
        </w:rPr>
        <w:t xml:space="preserve">因招标人（或招标代理机构）原因或网上招投标平台发生故障，导致无法按时完成投标文件解密或开、评标工作无法进行的，可根据实际情况相应延迟解密时间或调整开、评标时间。</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1.2</w:t>
      </w:r>
      <w:r>
        <w:rPr>
          <w:rFonts w:hint="eastAsia" w:ascii="方正仿宋_GBK" w:hAnsi="方正仿宋_GBK" w:eastAsia="方正仿宋_GBK" w:cs="方正仿宋_GBK"/>
          <w:color w:val="auto"/>
          <w:sz w:val="28"/>
          <w:szCs w:val="28"/>
          <w:highlight w:val="none"/>
        </w:rPr>
        <w:t xml:space="preserve">开标仪式由</w:t>
      </w:r>
      <w:r>
        <w:rPr>
          <w:rFonts w:hint="eastAsia" w:ascii="方正仿宋_GBK" w:hAnsi="方正仿宋_GBK" w:eastAsia="方正仿宋_GBK" w:cs="方正仿宋_GBK"/>
          <w:bCs/>
          <w:color w:val="auto"/>
          <w:sz w:val="28"/>
          <w:szCs w:val="28"/>
          <w:highlight w:val="none"/>
        </w:rPr>
        <w:t xml:space="preserve">招标代理机构</w:t>
      </w:r>
      <w:r>
        <w:rPr>
          <w:rFonts w:hint="eastAsia" w:ascii="方正仿宋_GBK" w:hAnsi="方正仿宋_GBK" w:eastAsia="方正仿宋_GBK" w:cs="方正仿宋_GBK"/>
          <w:color w:val="auto"/>
          <w:sz w:val="28"/>
          <w:szCs w:val="28"/>
          <w:highlight w:val="none"/>
        </w:rPr>
        <w:t xml:space="preserve">组织。苏采云系统将自动对项目进行开标，并宣布各投标人名称和投标价格。</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1.3投标人在开标过程中涉及到的投标文件解密、开标结果确认等工作，应按照“苏采云”系统供应商操作手册规定执行。</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1.4投标人如果对开标过程和开标记录有疑义，应当根据</w:t>
      </w:r>
      <w:r>
        <w:rPr>
          <w:rFonts w:hint="eastAsia" w:ascii="方正仿宋_GBK" w:hAnsi="方正仿宋_GBK" w:eastAsia="方正仿宋_GBK" w:cs="方正仿宋_GBK"/>
          <w:bCs/>
          <w:color w:val="auto"/>
          <w:sz w:val="28"/>
          <w:szCs w:val="28"/>
          <w:highlight w:val="none"/>
        </w:rPr>
        <w:t xml:space="preserve">“苏采云”系统供应商操作手册</w:t>
      </w:r>
      <w:r>
        <w:rPr>
          <w:rFonts w:hint="eastAsia" w:ascii="方正仿宋_GBK" w:hAnsi="方正仿宋_GBK" w:eastAsia="方正仿宋_GBK" w:cs="方正仿宋_GBK"/>
          <w:color w:val="auto"/>
          <w:sz w:val="28"/>
          <w:szCs w:val="28"/>
          <w:highlight w:val="none"/>
        </w:rPr>
        <w:t xml:space="preserve">规定提出，如苏采云系统中《开标记录表》宣布后5分钟内未提出的，视同认可开标结果。</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2.评标委员会</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2.1开标后，招标代理机构将立即组织评标委员会（以下简称评委会）进行评审。</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2.2评委会由招标人代表和有关技术、经济等方面的专家组成，且人员构成符合政府采购有关规定。</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2.3评标委员会独立工作，负责评审所有投标文件并确定中标候选人。</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 评审过程的保密与公正</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3.1评标委员会、招标人或招标代理机构、相关监督人员等与评审工作有关的人员，对评审情况以及在评审过程中获悉的国家秘密、商业秘密负有保密责任。</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3.2在评审过程中，投标人不得以任何行为影响评审过程，否则其投标文件将被作为无效投标文件。</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3.4凡是与审查、澄清、评价和比较投标的有关资料以及授标建议等，招标人、评标委员会、招标代理机构均不得向投标人或与评标无关的其他人员透露。</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3.5在评审期间，招标代理机构将设专门人员与投标人联系。</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3.6招标人、招标代理机构和评标委员会不向未中标的投标人解释未中标原因，也不公布评审过程中的相关细节。</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3.7 采用综合评分法的项目，未中标的投标人可于中标结果公告期限届满之日起通过苏采云系统查看自己的评审得分及排序情况。</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4.投标文件的澄清</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4.3 接到评标委员会澄清、说明和更正要求的投标人如未按规定做出澄清、说明和更正，其风险由投标人自行承担。</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5.对投标文件的审查</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5.1投标文件初审分为资格性审查和符合性审查。</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5.1.1资格性检查：依据法律法规和招标文件的规定，由招标人对投标文件中的资格证明文件进行审查。资格审查的结论，招标人以书面形式向评委会进行反馈。</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招标人在进行资格性审查的同时，将在“信用中国”网站（www.creditchina.gov.cn）查询投标人的信用记录，以确定投标人是否具备投标资格,查询结果留存并归档。</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5.1.2符合性审查：依据招标文件的规定，由评标委员会从投标文件的有效性、完整性和对招标文件的响应程度进行审查，以确定是否对招标文件的实质性要求作出响应。</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5.1.3未通过资格审查或符合性审查的投标人，招标代理机构将在苏采云系统中告知未通过资格审查或符合性审查的原因，评审结束后，招标代理机构将不再告知未通过资格审查或符合性审查的原因。</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5.2在详细评审之前，评标委员会将首先审查每份投标文件是否实质性响应了招标文件的要求。实质性响应的投标文件应该是与招标文件要求的全部条款、条件和规格相符，没有重大负偏离或保留。</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5.3如果投标文件实质上没有响应招标文件的要求，评标委员会将予以拒绝，投标人不得通过修改或撤销不合要求的偏离或保留而使其投标文件成为实质性响应的文件。</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5.4评标委员会将对确定为实质性响应的文件进行进一步审核，看其是否有计算上或累加上的算术错误，修正错误的原则如下：</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（1）投标文件中开标一览表内容与投标文件中相应内容不一致的，以开标一览表为准。</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（2）大写金额和小写金额不一致的，以大写金额为准。</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（3）单价金额小数点或者百分比有明显错位的，以开标一览表的总价为准，并修改单价。</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（4）总价金额与按单价汇总金额不一致的，以单价金额计算结果为准。</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同时出现两种以上错误的，按照前款规定的顺序修正。</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5.6评标委员会将允许修正投标文件中不构成重大偏离的、微小的、非正规的、不一致的或不规则的地方，但这些修改不能影响任何投标人相应的名次排列。</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w:t>
      </w:r>
      <w:r>
        <w:rPr>
          <w:rFonts w:hint="eastAsia" w:ascii="方正仿宋_GBK" w:hAnsi="方正仿宋_GBK" w:eastAsia="方正仿宋_GBK" w:cs="方正仿宋_GBK"/>
          <w:bCs/>
          <w:color w:val="auto"/>
          <w:sz w:val="28"/>
          <w:szCs w:val="28"/>
          <w:highlight w:val="none"/>
          <w:lang w:val="en-US" w:eastAsia="zh-CN"/>
        </w:rPr>
        <w:t xml:space="preserve">7</w:t>
      </w:r>
      <w:r>
        <w:rPr>
          <w:rFonts w:hint="eastAsia" w:ascii="方正仿宋_GBK" w:hAnsi="方正仿宋_GBK" w:eastAsia="方正仿宋_GBK" w:cs="方正仿宋_GBK"/>
          <w:bCs/>
          <w:color w:val="auto"/>
          <w:sz w:val="28"/>
          <w:szCs w:val="28"/>
          <w:highlight w:val="none"/>
        </w:rPr>
        <w:t xml:space="preserve">异常低价审查</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w:t>
      </w:r>
      <w:r>
        <w:rPr>
          <w:rFonts w:hint="eastAsia" w:ascii="方正仿宋_GBK" w:hAnsi="方正仿宋_GBK" w:eastAsia="方正仿宋_GBK" w:cs="方正仿宋_GBK"/>
          <w:bCs/>
          <w:color w:val="auto"/>
          <w:sz w:val="28"/>
          <w:szCs w:val="28"/>
          <w:highlight w:val="none"/>
          <w:lang w:val="en-US" w:eastAsia="zh-CN"/>
        </w:rPr>
        <w:t xml:space="preserve">7</w:t>
      </w:r>
      <w:r>
        <w:rPr>
          <w:rFonts w:hint="eastAsia" w:ascii="方正仿宋_GBK" w:hAnsi="方正仿宋_GBK" w:eastAsia="方正仿宋_GBK" w:cs="方正仿宋_GBK"/>
          <w:bCs/>
          <w:color w:val="auto"/>
          <w:sz w:val="28"/>
          <w:szCs w:val="28"/>
          <w:highlight w:val="none"/>
        </w:rPr>
        <w:t xml:space="preserve">.1根据财库〔2026〕2号文件</w:t>
      </w:r>
      <w:r>
        <w:rPr>
          <w:rFonts w:hint="eastAsia" w:ascii="方正仿宋_GBK" w:hAnsi="方正仿宋_GBK" w:eastAsia="方正仿宋_GBK" w:cs="方正仿宋_GBK"/>
          <w:bCs/>
          <w:color w:val="auto"/>
          <w:sz w:val="28"/>
          <w:szCs w:val="28"/>
          <w:highlight w:val="none"/>
          <w:lang w:eastAsia="zh-CN"/>
        </w:rPr>
        <w:t xml:space="preserve">，</w:t>
      </w:r>
      <w:r>
        <w:rPr>
          <w:rFonts w:hint="eastAsia" w:ascii="方正仿宋_GBK" w:hAnsi="方正仿宋_GBK" w:eastAsia="方正仿宋_GBK" w:cs="方正仿宋_GBK"/>
          <w:bCs/>
          <w:color w:val="auto"/>
          <w:sz w:val="28"/>
          <w:szCs w:val="28"/>
          <w:highlight w:val="none"/>
        </w:rPr>
        <w:t xml:space="preserve">政府采购评审中出现下列情形之一的，评审委员会应当启动异常低价投标（响应）审查程序：</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（1）投标（响应）报价低于全部通过符合性审查供应商投标（响应）报价平均值50%的，即投标（响应）报价</w:t>
      </w:r>
      <w:r>
        <w:rPr>
          <w:rFonts w:hint="eastAsia" w:ascii="方正仿宋_GBK" w:hAnsi="方正仿宋_GBK" w:eastAsia="方正仿宋_GBK" w:cs="方正仿宋_GBK"/>
          <w:bCs/>
          <w:color w:val="auto"/>
          <w:sz w:val="28"/>
          <w:szCs w:val="28"/>
          <w:highlight w:val="none"/>
          <w:lang w:eastAsia="zh-CN"/>
        </w:rPr>
        <w:t xml:space="preserve">〈</w:t>
      </w:r>
      <w:r>
        <w:rPr>
          <w:rFonts w:hint="eastAsia" w:ascii="方正仿宋_GBK" w:hAnsi="方正仿宋_GBK" w:eastAsia="方正仿宋_GBK" w:cs="方正仿宋_GBK"/>
          <w:bCs/>
          <w:color w:val="auto"/>
          <w:sz w:val="28"/>
          <w:szCs w:val="28"/>
          <w:highlight w:val="none"/>
        </w:rPr>
        <w:t xml:space="preserve">全部通过符合性审查供应商投标（响应）报价平均值×50%； </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（2）投标（响应）报价低于通过符合性审查的次低报价供应商投标（响应）报价50%的，即投标（响应）报价</w:t>
      </w:r>
      <w:r>
        <w:rPr>
          <w:rFonts w:hint="eastAsia" w:ascii="方正仿宋_GBK" w:hAnsi="方正仿宋_GBK" w:eastAsia="方正仿宋_GBK" w:cs="方正仿宋_GBK"/>
          <w:bCs/>
          <w:color w:val="auto"/>
          <w:sz w:val="28"/>
          <w:szCs w:val="28"/>
          <w:highlight w:val="none"/>
          <w:lang w:eastAsia="zh-CN"/>
        </w:rPr>
        <w:t xml:space="preserve">〈</w:t>
      </w:r>
      <w:r>
        <w:rPr>
          <w:rFonts w:hint="eastAsia" w:ascii="方正仿宋_GBK" w:hAnsi="方正仿宋_GBK" w:eastAsia="方正仿宋_GBK" w:cs="方正仿宋_GBK"/>
          <w:bCs/>
          <w:color w:val="auto"/>
          <w:sz w:val="28"/>
          <w:szCs w:val="28"/>
          <w:highlight w:val="none"/>
        </w:rPr>
        <w:t xml:space="preserve">通过符合性审查的次低报价供应商投标（响应）报价×50%； </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（3）投标（响应）报价低于采购项目最高限价45%的，即投标（响应）报价</w:t>
      </w:r>
      <w:r>
        <w:rPr>
          <w:rFonts w:hint="eastAsia" w:ascii="方正仿宋_GBK" w:hAnsi="方正仿宋_GBK" w:eastAsia="方正仿宋_GBK" w:cs="方正仿宋_GBK"/>
          <w:bCs/>
          <w:color w:val="auto"/>
          <w:sz w:val="28"/>
          <w:szCs w:val="28"/>
          <w:highlight w:val="none"/>
          <w:lang w:eastAsia="zh-CN"/>
        </w:rPr>
        <w:t xml:space="preserve">〈</w:t>
      </w:r>
      <w:r>
        <w:rPr>
          <w:rFonts w:hint="eastAsia" w:ascii="方正仿宋_GBK" w:hAnsi="方正仿宋_GBK" w:eastAsia="方正仿宋_GBK" w:cs="方正仿宋_GBK"/>
          <w:bCs/>
          <w:color w:val="auto"/>
          <w:sz w:val="28"/>
          <w:szCs w:val="28"/>
          <w:highlight w:val="none"/>
        </w:rPr>
        <w:t xml:space="preserve">采购项目最高限价×45%； </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（4）评审委员会基于专业判断，认为供应商报价过低，有可能影响产品质量或者不能诚信履约的其他情形。 </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相关法律法规对供应商报价有规定的，从其规定。 </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w:t>
      </w:r>
      <w:r>
        <w:rPr>
          <w:rFonts w:hint="eastAsia" w:ascii="方正仿宋_GBK" w:hAnsi="方正仿宋_GBK" w:eastAsia="方正仿宋_GBK" w:cs="方正仿宋_GBK"/>
          <w:bCs/>
          <w:color w:val="auto"/>
          <w:sz w:val="28"/>
          <w:szCs w:val="28"/>
          <w:highlight w:val="none"/>
          <w:lang w:val="en-US" w:eastAsia="zh-CN"/>
        </w:rPr>
        <w:t xml:space="preserve">7.2</w:t>
      </w:r>
      <w:r>
        <w:rPr>
          <w:rFonts w:hint="eastAsia" w:ascii="方正仿宋_GBK" w:hAnsi="方正仿宋_GBK" w:eastAsia="方正仿宋_GBK" w:cs="方正仿宋_GBK"/>
          <w:bCs/>
          <w:color w:val="auto"/>
          <w:sz w:val="28"/>
          <w:szCs w:val="28"/>
          <w:highlight w:val="none"/>
        </w:rPr>
        <w:t xml:space="preserve">启动异常低价投标</w:t>
      </w:r>
      <w:r>
        <w:rPr>
          <w:rFonts w:hint="eastAsia" w:ascii="方正仿宋_GBK" w:hAnsi="方正仿宋_GBK" w:eastAsia="方正仿宋_GBK" w:cs="方正仿宋_GBK"/>
          <w:bCs/>
          <w:color w:val="auto"/>
          <w:sz w:val="28"/>
          <w:szCs w:val="28"/>
          <w:highlight w:val="none"/>
          <w:lang w:eastAsia="zh-CN"/>
        </w:rPr>
        <w:t xml:space="preserve">（</w:t>
      </w:r>
      <w:r>
        <w:rPr>
          <w:rFonts w:hint="eastAsia" w:ascii="方正仿宋_GBK" w:hAnsi="方正仿宋_GBK" w:eastAsia="方正仿宋_GBK" w:cs="方正仿宋_GBK"/>
          <w:bCs/>
          <w:color w:val="auto"/>
          <w:sz w:val="28"/>
          <w:szCs w:val="28"/>
          <w:highlight w:val="none"/>
        </w:rPr>
        <w:t xml:space="preserve">响应</w:t>
      </w:r>
      <w:r>
        <w:rPr>
          <w:rFonts w:hint="eastAsia" w:ascii="方正仿宋_GBK" w:hAnsi="方正仿宋_GBK" w:eastAsia="方正仿宋_GBK" w:cs="方正仿宋_GBK"/>
          <w:bCs/>
          <w:color w:val="auto"/>
          <w:sz w:val="28"/>
          <w:szCs w:val="28"/>
          <w:highlight w:val="none"/>
          <w:lang w:eastAsia="zh-CN"/>
        </w:rPr>
        <w:t xml:space="preserve">）</w:t>
      </w:r>
      <w:r>
        <w:rPr>
          <w:rFonts w:hint="eastAsia" w:ascii="方正仿宋_GBK" w:hAnsi="方正仿宋_GBK" w:eastAsia="方正仿宋_GBK" w:cs="方正仿宋_GBK"/>
          <w:bCs/>
          <w:color w:val="auto"/>
          <w:sz w:val="28"/>
          <w:szCs w:val="28"/>
          <w:highlight w:val="none"/>
        </w:rPr>
        <w:t xml:space="preserve">审查后，属于上述情形的，应当要求相关供应商在评审现场合理的时间内对投标（响应）价格作出解释</w:t>
      </w:r>
      <w:r>
        <w:rPr>
          <w:rFonts w:hint="eastAsia" w:ascii="方正仿宋_GBK" w:hAnsi="方正仿宋_GBK" w:eastAsia="方正仿宋_GBK" w:cs="方正仿宋_GBK"/>
          <w:bCs/>
          <w:color w:val="auto"/>
          <w:sz w:val="28"/>
          <w:szCs w:val="28"/>
          <w:highlight w:val="none"/>
          <w:lang w:eastAsia="zh-CN"/>
        </w:rPr>
        <w:t xml:space="preserve">，并</w:t>
      </w:r>
      <w:r>
        <w:rPr>
          <w:rFonts w:hint="eastAsia" w:ascii="方正仿宋_GBK" w:hAnsi="方正仿宋_GBK" w:eastAsia="方正仿宋_GBK" w:cs="方正仿宋_GBK"/>
          <w:bCs/>
          <w:color w:val="auto"/>
          <w:sz w:val="28"/>
          <w:szCs w:val="28"/>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lang w:eastAsia="zh-CN"/>
        </w:rPr>
      </w:pPr>
      <w:r>
        <w:rPr>
          <w:rFonts w:hint="eastAsia" w:ascii="方正仿宋_GBK" w:hAnsi="方正仿宋_GBK" w:eastAsia="方正仿宋_GBK" w:cs="方正仿宋_GBK"/>
          <w:bCs/>
          <w:color w:val="auto"/>
          <w:sz w:val="28"/>
          <w:szCs w:val="28"/>
          <w:highlight w:val="none"/>
          <w:lang w:val="en-US" w:eastAsia="zh-CN"/>
        </w:rPr>
        <w:t xml:space="preserve">5.8</w:t>
      </w:r>
      <w:r>
        <w:rPr>
          <w:rFonts w:hint="eastAsia" w:ascii="方正仿宋_GBK" w:hAnsi="方正仿宋_GBK" w:eastAsia="方正仿宋_GBK" w:cs="方正仿宋_GBK"/>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rPr>
          <w:rFonts w:hint="eastAsia" w:ascii="方正仿宋_GBK" w:hAnsi="方正仿宋_GBK" w:eastAsia="方正仿宋_GBK" w:cs="方正仿宋_GBK"/>
          <w:bCs/>
          <w:color w:val="auto"/>
          <w:sz w:val="28"/>
          <w:szCs w:val="28"/>
          <w:highlight w:val="none"/>
          <w:lang w:eastAsia="zh-CN"/>
        </w:rPr>
        <w:t xml:space="preserve">。</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w:t>
      </w:r>
      <w:r>
        <w:rPr>
          <w:rFonts w:hint="eastAsia" w:ascii="方正仿宋_GBK" w:hAnsi="方正仿宋_GBK" w:eastAsia="方正仿宋_GBK" w:cs="方正仿宋_GBK"/>
          <w:bCs/>
          <w:color w:val="auto"/>
          <w:sz w:val="28"/>
          <w:szCs w:val="28"/>
          <w:highlight w:val="none"/>
          <w:lang w:val="en-US" w:eastAsia="zh-CN"/>
        </w:rPr>
        <w:t xml:space="preserve">9</w:t>
      </w:r>
      <w:r>
        <w:rPr>
          <w:rFonts w:hint="eastAsia" w:ascii="方正仿宋_GBK" w:hAnsi="方正仿宋_GBK" w:eastAsia="方正仿宋_GBK" w:cs="方正仿宋_GBK"/>
          <w:bCs/>
          <w:color w:val="auto"/>
          <w:sz w:val="28"/>
          <w:szCs w:val="28"/>
          <w:highlight w:val="none"/>
        </w:rPr>
        <w:t xml:space="preserve">投标人在开、评标全过程中应保持通讯畅通，及时登录苏采云系统查阅、答复相关信息，并安排专人与招标人或招标代理机构及评标委员会联系。</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6. 投标文件线上格式要求</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6.1投标人应当通过“苏采云”系统提交数据电文形式的投标文件（即电子投标）。</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6.2 通过“苏采云”系统提交政府采购客户端工具导出加密的投标文件（后缀名为zip）。投标文件不得超过150M！</w:t>
      </w:r>
      <w:r/>
    </w:p>
    <w:p>
      <w:pPr>
        <w:ind w:firstLine="48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6.3 本项目采用线上投标，即投标人投标文件从政府采购客户端工具制作通过“苏采云”系统提交，未提供线上投标文件的，投标无效。</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7.无效投标条款和废标条款</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7.1无效投标条款</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7.1.1 同一投标人提交两个（含两个）以上不同的投标报价的。</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7.1.2投标人不具备招标文件中规定资格要求的。</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7.1.3投标人的报价超过了采购预算或最高限价的。</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7.1.4未通过符合性检查的。</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7.1.5不符合招标文件中规定的其他实质性要求和条件的。</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7.1.6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7.1.7投标文件含有招标人不能接受的附加条件的 。</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7.1.8 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7.1.9</w:t>
      </w:r>
      <w:r>
        <w:rPr>
          <w:rFonts w:hint="eastAsia" w:ascii="方正仿宋_GBK" w:hAnsi="方正仿宋_GBK" w:eastAsia="方正仿宋_GBK" w:cs="方正仿宋_GBK"/>
          <w:bCs/>
          <w:color w:val="auto"/>
          <w:sz w:val="28"/>
          <w:szCs w:val="28"/>
          <w:highlight w:val="none"/>
          <w:lang w:val="en-US" w:eastAsia="zh-CN"/>
        </w:rPr>
        <w:t xml:space="preserve">电子</w:t>
      </w:r>
      <w:r>
        <w:rPr>
          <w:rFonts w:hint="eastAsia" w:ascii="方正仿宋_GBK" w:hAnsi="方正仿宋_GBK" w:eastAsia="方正仿宋_GBK" w:cs="方正仿宋_GBK"/>
          <w:bCs/>
          <w:color w:val="auto"/>
          <w:sz w:val="28"/>
          <w:szCs w:val="28"/>
          <w:highlight w:val="none"/>
        </w:rPr>
        <w:t xml:space="preserve">投标文件未按照招标文件要求加盖CA电子公章的。</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7.1.10投标人的商务技术部分得分相差悬殊，评标委员会认为得分畸低者没有实质性响应的。</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lang w:val="en-US" w:eastAsia="zh-CN"/>
        </w:rPr>
        <w:t xml:space="preserve">7.1.11启动异常低价响应审查后，投标人不提供书面说明、证明材料，或者提供的书面说明、证明材料不能证明其报价合理性的。</w:t>
      </w:r>
      <w:r/>
    </w:p>
    <w:p>
      <w:pPr>
        <w:ind w:firstLine="560"/>
        <w:pageBreakBefore w:val="0"/>
        <w:spacing w:line="500" w:lineRule="exact"/>
        <w:widowControl w:val="off"/>
        <w:rPr>
          <w:rFonts w:hint="eastAsia" w:ascii="方正仿宋_GBK" w:hAnsi="方正仿宋_GBK" w:eastAsia="仿宋" w:cs="方正仿宋_GBK"/>
          <w:bCs/>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lang w:val="en-US" w:eastAsia="zh-CN"/>
        </w:rPr>
        <w:t xml:space="preserve">7.1.11</w:t>
      </w:r>
      <w:r>
        <w:rPr>
          <w:rFonts w:hint="eastAsia" w:ascii="仿宋" w:hAnsi="仿宋" w:eastAsia="仿宋" w:cs="宋体"/>
          <w:b/>
          <w:bCs/>
          <w:color w:val="auto"/>
          <w:sz w:val="28"/>
          <w:szCs w:val="28"/>
          <w:highlight w:val="none"/>
        </w:rPr>
        <w:t xml:space="preserve">停车场总面积</w:t>
      </w:r>
      <w:r>
        <w:rPr>
          <w:rFonts w:ascii="仿宋" w:hAnsi="仿宋" w:eastAsia="仿宋" w:cs="宋体"/>
          <w:b/>
          <w:bCs/>
          <w:color w:val="auto"/>
          <w:sz w:val="28"/>
          <w:szCs w:val="28"/>
          <w:highlight w:val="none"/>
        </w:rPr>
        <w:t xml:space="preserve">少于</w:t>
      </w:r>
      <w:r>
        <w:rPr>
          <w:rFonts w:hint="eastAsia" w:ascii="仿宋" w:hAnsi="仿宋" w:eastAsia="仿宋" w:cs="宋体"/>
          <w:b/>
          <w:bCs/>
          <w:color w:val="auto"/>
          <w:sz w:val="28"/>
          <w:szCs w:val="28"/>
          <w:highlight w:val="none"/>
          <w:lang w:val="en-US" w:eastAsia="zh-CN"/>
        </w:rPr>
        <w:t xml:space="preserve">2</w:t>
      </w:r>
      <w:r>
        <w:rPr>
          <w:rFonts w:hint="eastAsia" w:ascii="仿宋" w:hAnsi="仿宋" w:eastAsia="仿宋" w:cs="宋体"/>
          <w:b/>
          <w:bCs/>
          <w:color w:val="auto"/>
          <w:sz w:val="28"/>
          <w:szCs w:val="28"/>
          <w:highlight w:val="none"/>
        </w:rPr>
        <w:t xml:space="preserve">.2万</w:t>
      </w:r>
      <w:r>
        <w:rPr>
          <w:rFonts w:ascii="仿宋" w:hAnsi="仿宋" w:eastAsia="仿宋" w:cs="宋体"/>
          <w:b/>
          <w:bCs/>
          <w:color w:val="auto"/>
          <w:sz w:val="28"/>
          <w:szCs w:val="28"/>
          <w:highlight w:val="none"/>
        </w:rPr>
        <w:t xml:space="preserve">平方米</w:t>
      </w:r>
      <w:r>
        <w:rPr>
          <w:rFonts w:hint="eastAsia" w:ascii="仿宋" w:hAnsi="仿宋" w:eastAsia="仿宋" w:cs="宋体"/>
          <w:b/>
          <w:bCs/>
          <w:color w:val="auto"/>
          <w:sz w:val="28"/>
          <w:szCs w:val="28"/>
          <w:highlight w:val="none"/>
          <w:lang w:val="en-US" w:eastAsia="zh-CN"/>
        </w:rPr>
        <w:t xml:space="preserve">的。</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lang w:val="en-US" w:eastAsia="zh-CN"/>
        </w:rPr>
        <w:t xml:space="preserve">7.1.12其他法</w:t>
      </w:r>
      <w:r>
        <w:rPr>
          <w:rFonts w:hint="eastAsia" w:ascii="方正仿宋_GBK" w:hAnsi="方正仿宋_GBK" w:eastAsia="方正仿宋_GBK" w:cs="方正仿宋_GBK"/>
          <w:bCs/>
          <w:color w:val="auto"/>
          <w:sz w:val="28"/>
          <w:szCs w:val="28"/>
          <w:highlight w:val="none"/>
        </w:rPr>
        <w:t xml:space="preserve">律、法规及本招标文件规定的属无效投标的情形。</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7.2废标条款：</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7.2.1</w:t>
      </w:r>
      <w:r>
        <w:rPr>
          <w:rFonts w:hint="eastAsia" w:ascii="方正仿宋_GBK" w:hAnsi="方正仿宋_GBK" w:eastAsia="方正仿宋_GBK" w:cs="方正仿宋_GBK"/>
          <w:bCs/>
          <w:color w:val="auto"/>
          <w:sz w:val="28"/>
          <w:szCs w:val="28"/>
          <w:highlight w:val="none"/>
          <w:lang w:val="en-US" w:eastAsia="zh-CN"/>
        </w:rPr>
        <w:t xml:space="preserve">某</w:t>
      </w:r>
      <w:r>
        <w:rPr>
          <w:rFonts w:hint="eastAsia" w:ascii="方正仿宋_GBK" w:hAnsi="方正仿宋_GBK" w:eastAsia="方正仿宋_GBK" w:cs="方正仿宋_GBK"/>
          <w:bCs/>
          <w:color w:val="auto"/>
          <w:sz w:val="28"/>
          <w:szCs w:val="28"/>
          <w:highlight w:val="none"/>
        </w:rPr>
        <w:t xml:space="preserve">符合专业条件的供应商或者对招标文件作实质响应的供应商不足三家的。</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7.2.2出现影响采购公正的违法、违规行为的。</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7.2.3因重大变故，采购任务取消的。</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7.2.4评标委员会认定招标文件存在歧义、重大缺陷导致评审工作无法进行。</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7.2.5 因苏采云系统系统故障原因造成开标不成功的。</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7.3 投标截止时间结束后参加投标的供应商不足三家的处理：</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7.3.1如出现投标截止时间结束后参加投标的供应商或者在评标期间对招标文件做出实质响应的供应商不足三家情况，按政府采购相关规定执行。</w:t>
      </w:r>
      <w:r/>
    </w:p>
    <w:p>
      <w:pPr>
        <w:pStyle w:val="1145"/>
        <w:ind w:firstLine="562"/>
        <w:pageBreakBefore w:val="0"/>
        <w:spacing w:before="0" w:after="0" w:line="500" w:lineRule="exact"/>
        <w:widowControl w:val="off"/>
        <w:rPr>
          <w:rFonts w:hint="eastAsia" w:ascii="方正仿宋_GBK" w:hAnsi="方正仿宋_GBK" w:eastAsia="方正仿宋_GBK" w:cs="方正仿宋_GBK"/>
          <w:color w:val="auto"/>
          <w:sz w:val="28"/>
          <w:szCs w:val="28"/>
          <w:highlight w:val="none"/>
        </w:rPr>
      </w:pPr>
      <w:r/>
      <w:bookmarkStart w:id="53" w:name="_Toc120614219"/>
      <w:r/>
      <w:bookmarkEnd w:id="53"/>
      <w:r>
        <w:rPr>
          <w:rFonts w:hint="eastAsia" w:ascii="方正仿宋_GBK" w:hAnsi="方正仿宋_GBK" w:eastAsia="方正仿宋_GBK" w:cs="方正仿宋_GBK"/>
          <w:color w:val="auto"/>
          <w:sz w:val="28"/>
          <w:szCs w:val="28"/>
          <w:highlight w:val="none"/>
        </w:rPr>
        <w:t xml:space="preserve">六、定标</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bookmarkStart w:id="54" w:name="_Toc20823310"/>
      <w:r/>
      <w:bookmarkEnd w:id="54"/>
      <w:r/>
      <w:bookmarkStart w:id="55" w:name="_Toc16938554"/>
      <w:r/>
      <w:bookmarkEnd w:id="55"/>
      <w:r>
        <w:rPr>
          <w:rFonts w:hint="eastAsia" w:ascii="方正仿宋_GBK" w:hAnsi="方正仿宋_GBK" w:eastAsia="方正仿宋_GBK" w:cs="方正仿宋_GBK"/>
          <w:color w:val="auto"/>
          <w:sz w:val="28"/>
          <w:szCs w:val="28"/>
          <w:highlight w:val="none"/>
        </w:rPr>
        <w:t xml:space="preserve">1.确定中标单位</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1.1中标候选人的选取原则和数量见招标文件第四部分规定。 </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1.2招标人授权评委会在中标候选人中直接确定中标人。</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1.3</w:t>
      </w:r>
      <w:r>
        <w:rPr>
          <w:rFonts w:hint="eastAsia" w:ascii="方正仿宋_GBK" w:hAnsi="方正仿宋_GBK" w:eastAsia="方正仿宋_GBK" w:cs="方正仿宋_GBK"/>
          <w:color w:val="auto"/>
          <w:sz w:val="28"/>
          <w:szCs w:val="28"/>
          <w:highlight w:val="none"/>
        </w:rPr>
        <w:t xml:space="preserve">代</w:t>
      </w:r>
      <w:r>
        <w:rPr>
          <w:rFonts w:hint="eastAsia" w:ascii="方正仿宋_GBK" w:hAnsi="方正仿宋_GBK" w:eastAsia="方正仿宋_GBK" w:cs="方正仿宋_GBK"/>
          <w:bCs/>
          <w:color w:val="auto"/>
          <w:sz w:val="28"/>
          <w:szCs w:val="28"/>
          <w:highlight w:val="none"/>
        </w:rPr>
        <w:t xml:space="preserve">理机构将在“江苏省政府采购网”发布中</w:t>
      </w:r>
      <w:r>
        <w:rPr>
          <w:rFonts w:hint="eastAsia" w:ascii="方正仿宋_GBK" w:hAnsi="方正仿宋_GBK" w:eastAsia="方正仿宋_GBK" w:cs="方正仿宋_GBK"/>
          <w:color w:val="auto"/>
          <w:sz w:val="28"/>
          <w:szCs w:val="28"/>
          <w:highlight w:val="none"/>
        </w:rPr>
        <w:t xml:space="preserve">标公告，公告期限为1个工作日。</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1.4若有充分证据证明，中标人出现下列情况之一的，一经查实，将被取消中标资格：</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1.4.1提供虚假材料谋取中标的。</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1.4.2向招标人、代理机构行贿或者提供其他不正当利益的。</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1.4.3恶意竞争，投标总报价明显低于其自身合理成本且又无法提供证明的。</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1.4.4属于本文件规定的无效条件，但在评标过程中又未被评委会发现的。</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1.4.5与招标人或者其他供应商恶意串通的。</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1.4.6采取不正当手段诋毁、排挤其他供应商的。</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1.5.有下列情形之一的，视为投标人串通投标，投标无效：</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1.5.1不同投标人的投标文件由同一单位或者个人编制；</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1.5.2不同投标人委托同一单位或者个人办理投标事宜；</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1.5.3不同投标人的投标文件载明的项目管理成员或者联系人员为同一人；</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1.5.4不同投标人的投标文件异常一致或者投标报价呈规律性差异；</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2.质疑处理</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2.1 提出质疑的供应商应当是参与所质疑项目采购活动的供应商。潜在供应商依法获取其可质疑的招标文件的，可以对招标文件提出质疑。</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2.2供应商认为招标文件、采购过程和采购结果使自己的权益受到损害的，可以在知道或应知其权益受到损害之日起七个工作日内，以书面形式向代理机构或招标人提出质疑。上述应知其权益受到损害之日，是指：</w:t>
      </w:r>
      <w:r/>
    </w:p>
    <w:p>
      <w:pPr>
        <w:ind w:firstLine="562"/>
        <w:pageBreakBefore w:val="0"/>
        <w:spacing w:line="500" w:lineRule="exact"/>
        <w:widowControl w:val="off"/>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2.2.1对可以质疑的招标文件提出质疑的，为收到招标文件之日或者招标文件公告期限届满之日；</w:t>
      </w:r>
      <w:r/>
    </w:p>
    <w:p>
      <w:pPr>
        <w:ind w:firstLine="562"/>
        <w:pageBreakBefore w:val="0"/>
        <w:spacing w:line="500" w:lineRule="exact"/>
        <w:widowControl w:val="off"/>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2.2.2对采购过程提出质疑的，为各采购程序环节结束之日；</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2.2.3对中标或者成交结果提出质疑的，为中标或者成交结果公告期限届满之日。</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供应商应当在法定质疑期内一次性提出针对同一采购程序环节的质疑。</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2.3质疑函必须按照本招标文件中《质疑函范本》要求的格式和内容进行填写。</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2.4对采购方式、招标文件中项目需求、供应商资格条件、评标方法和评标标准、资格审查结果等应当由招标人答复的质疑，请向招标人提出，由招标人负责答复。供应商对其他事项的质疑，请向代理机构提出，由招标人或代理机构负责答复。</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供应商提起质疑采取书面形式，可以现场送达，也可以邮寄。</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招标人及代理机构质疑接收人及联系方式，见招标文件第一部分。</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2.5 以下情形的质疑不予受理</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2.5.1 内容不符合《政府采购质疑和投诉办法》第十二条规定的质疑。</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2.5.2 超出政府采购法定期限的质疑。</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2.5.3 未参加投标活动的供应商或在投标活动中自身权益未受到损害的供应商所提出的质疑。</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3.中标通知书</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l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3.2中标通知书将是合同的一个组成部分。对招标人和中标供应商均具有法律效力。中标通知书发出后，招标人改变中标结果的，或者中标供应商放弃中标项目的，应当依法承担法律责任。</w:t>
      </w:r>
      <w:r/>
    </w:p>
    <w:p>
      <w:pPr>
        <w:pStyle w:val="1145"/>
        <w:ind w:firstLine="562"/>
        <w:pageBreakBefore w:val="0"/>
        <w:spacing w:before="0" w:after="0"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特别说明：中标人在下载中标通知书后须</w:t>
      </w:r>
      <w:r>
        <w:rPr>
          <w:rFonts w:hint="eastAsia" w:ascii="方正仿宋_GBK" w:hAnsi="方正仿宋_GBK" w:eastAsia="方正仿宋_GBK" w:cs="方正仿宋_GBK"/>
          <w:color w:val="auto"/>
          <w:sz w:val="28"/>
          <w:szCs w:val="28"/>
          <w:highlight w:val="none"/>
          <w:lang w:val="en-US" w:eastAsia="zh-CN"/>
        </w:rPr>
        <w:t xml:space="preserve">再</w:t>
      </w:r>
      <w:r>
        <w:rPr>
          <w:rFonts w:hint="eastAsia" w:ascii="方正仿宋_GBK" w:hAnsi="方正仿宋_GBK" w:eastAsia="方正仿宋_GBK" w:cs="方正仿宋_GBK"/>
          <w:color w:val="auto"/>
          <w:sz w:val="28"/>
          <w:szCs w:val="28"/>
          <w:highlight w:val="none"/>
        </w:rPr>
        <w:t xml:space="preserve">提供</w:t>
      </w:r>
      <w:r>
        <w:rPr>
          <w:rFonts w:hint="eastAsia" w:ascii="方正仿宋_GBK" w:hAnsi="方正仿宋_GBK" w:eastAsia="方正仿宋_GBK" w:cs="方正仿宋_GBK"/>
          <w:color w:val="auto"/>
          <w:sz w:val="28"/>
          <w:szCs w:val="28"/>
          <w:highlight w:val="none"/>
          <w:u w:val="single"/>
        </w:rPr>
        <w:t xml:space="preserve">2套</w:t>
      </w:r>
      <w:r>
        <w:rPr>
          <w:rFonts w:hint="eastAsia" w:ascii="方正仿宋_GBK" w:hAnsi="方正仿宋_GBK" w:eastAsia="方正仿宋_GBK" w:cs="方正仿宋_GBK"/>
          <w:color w:val="auto"/>
          <w:sz w:val="28"/>
          <w:szCs w:val="28"/>
          <w:highlight w:val="none"/>
        </w:rPr>
        <w:t xml:space="preserve">加盖红章的系统内打印的纸质响应文件给招标代理机构。</w:t>
      </w:r>
      <w:r/>
    </w:p>
    <w:p>
      <w:pPr>
        <w:pStyle w:val="1145"/>
        <w:ind w:firstLine="562"/>
        <w:pageBreakBefore w:val="0"/>
        <w:spacing w:before="0" w:after="0"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七、授予合同</w:t>
      </w:r>
      <w:r/>
    </w:p>
    <w:p>
      <w:pPr>
        <w:ind w:firstLine="560"/>
        <w:keepNext/>
        <w:pageBreakBefore w:val="0"/>
        <w:spacing w:line="500" w:lineRule="exact"/>
        <w:widowControl w:val="off"/>
        <w:rPr>
          <w:rFonts w:hint="eastAsia" w:ascii="方正仿宋_GBK" w:hAnsi="方正仿宋_GBK" w:eastAsia="方正仿宋_GBK" w:cs="方正仿宋_GBK"/>
          <w:color w:val="auto"/>
          <w:sz w:val="28"/>
          <w:szCs w:val="28"/>
          <w:highlight w:val="none"/>
        </w:rPr>
        <w:outlineLvl w:val="3"/>
      </w:pPr>
      <w:r>
        <w:rPr>
          <w:rFonts w:hint="eastAsia" w:ascii="方正仿宋_GBK" w:hAnsi="方正仿宋_GBK" w:eastAsia="方正仿宋_GBK" w:cs="方正仿宋_GBK"/>
          <w:color w:val="auto"/>
          <w:sz w:val="28"/>
          <w:szCs w:val="28"/>
          <w:highlight w:val="none"/>
        </w:rPr>
        <w:t xml:space="preserve">1.签订合同</w:t>
      </w:r>
      <w:r/>
    </w:p>
    <w:p>
      <w:pPr>
        <w:ind w:firstLine="56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w:t>
      </w:r>
      <w:r>
        <w:rPr>
          <w:rFonts w:hint="eastAsia" w:ascii="方正仿宋_GBK" w:hAnsi="方正仿宋_GBK" w:eastAsia="方正仿宋_GBK" w:cs="方正仿宋_GBK"/>
          <w:color w:val="auto"/>
          <w:sz w:val="28"/>
          <w:szCs w:val="28"/>
          <w:highlight w:val="none"/>
        </w:rPr>
        <w:t xml:space="preserve">.l中标人应当在成交通知书发出之日起三十日内，按照招标文件确定的事项与招标人签订政府采购合同。</w:t>
      </w:r>
      <w:r/>
    </w:p>
    <w:p>
      <w:pPr>
        <w:ind w:firstLine="422"/>
        <w:pageBreakBefore w:val="0"/>
        <w:spacing w:line="500" w:lineRule="exact"/>
        <w:widowControl w:val="off"/>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1.2招标文件、中标人的响应文件及开标过程中有关澄清、承诺文件均应作为合同附件。</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1.3签订合同后，中标人不得将货物及其他相关服务进行转包。未经招标人同意，中标人也不得采用分包的形式履行合同，否则招标人有权终止合同，中标人的履约保证金将不予退还。政府采购合同分包履行的，中标人就采购项目和分包项目向招标人负责，分包供应商就分包项目承担责任。转包或分包造成招标人损失的，中标人应承担相应赔偿责任。</w:t>
      </w:r>
      <w:r/>
    </w:p>
    <w:p>
      <w:pPr>
        <w:ind w:firstLine="560"/>
        <w:keepNext/>
        <w:pageBreakBefore w:val="0"/>
        <w:spacing w:line="500" w:lineRule="exact"/>
        <w:widowControl w:val="off"/>
        <w:rPr>
          <w:rFonts w:hint="eastAsia" w:ascii="方正仿宋_GBK" w:hAnsi="方正仿宋_GBK" w:eastAsia="方正仿宋_GBK" w:cs="方正仿宋_GBK"/>
          <w:color w:val="auto"/>
          <w:sz w:val="28"/>
          <w:szCs w:val="28"/>
          <w:highlight w:val="none"/>
        </w:rPr>
        <w:outlineLvl w:val="3"/>
      </w:pPr>
      <w:r>
        <w:rPr>
          <w:rFonts w:hint="eastAsia" w:ascii="方正仿宋_GBK" w:hAnsi="方正仿宋_GBK" w:eastAsia="方正仿宋_GBK" w:cs="方正仿宋_GBK"/>
          <w:color w:val="auto"/>
          <w:sz w:val="28"/>
          <w:szCs w:val="28"/>
          <w:highlight w:val="none"/>
        </w:rPr>
        <w:t xml:space="preserve">2.货物和服务的追加、减少和添购。</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2.1政府采购合同履行中，招标人需追加与合同标的相同的货物和服务的，在不改变合同其他条款的前提下，可以与中标人协商签订补充合同，但所有补充合同的采购金额不超过原合同金额10%。</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2.2采购结束后，招标人若由于各种客观原因，必须对采购项目所牵涉的货物和服务进行适当的减少时，在双方协商一致的前提下，可以按照采购时的价格水平做相应的调减，并据此签订补充合同。</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3.政府采购履约保证资金、合同信用融资扶持政策</w:t>
      </w:r>
      <w:r/>
    </w:p>
    <w:p>
      <w:pPr>
        <w:ind w:firstLine="56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关于深入开展南通市政府采购线上合同信用融资工作的通知》（通财购〔2022〕68号），对政府采购中标人提出“政采贷”融资申请的，招标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pageBreakBefore w:val="0"/>
        <w:spacing w:line="500" w:lineRule="exact"/>
        <w:widowControl w:val="off"/>
        <w:rPr>
          <w:rFonts w:hint="eastAsia" w:ascii="方正仿宋_GBK" w:hAnsi="方正仿宋_GBK" w:eastAsia="方正仿宋_GBK" w:cs="方正仿宋_GBK"/>
          <w:b/>
          <w:bCs/>
          <w:color w:val="auto"/>
          <w:sz w:val="28"/>
          <w:szCs w:val="28"/>
          <w:highlight w:val="none"/>
        </w:rPr>
        <w:outlineLvl w:val="2"/>
      </w:pPr>
      <w:r>
        <w:rPr>
          <w:rFonts w:hint="eastAsia" w:ascii="方正仿宋_GBK" w:hAnsi="方正仿宋_GBK" w:eastAsia="方正仿宋_GBK" w:cs="方正仿宋_GBK"/>
          <w:b/>
          <w:bCs/>
          <w:color w:val="auto"/>
          <w:sz w:val="28"/>
          <w:szCs w:val="28"/>
          <w:highlight w:val="none"/>
        </w:rPr>
        <w:t xml:space="preserve">八、电子招标投标交易平台</w:t>
      </w:r>
      <w:r/>
    </w:p>
    <w:p>
      <w:pPr>
        <w:ind w:firstLine="560"/>
        <w:jc w:val="left"/>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电子招标投标交易平台（即“苏采云”系统，网址：http://www.ccgp-jiangsu.gov.cn/jiangsu/bridge_page.html）相关要求是本招标文件的组成部分。</w:t>
      </w:r>
      <w:r/>
    </w:p>
    <w:p>
      <w:pPr>
        <w:jc w:val="center"/>
        <w:spacing w:line="460" w:lineRule="exact"/>
        <w:rPr>
          <w:rFonts w:ascii="宋体" w:hAnsi="宋体" w:cs="宋体"/>
          <w:bCs/>
          <w:color w:val="auto"/>
          <w:sz w:val="36"/>
          <w:szCs w:val="36"/>
          <w:highlight w:val="none"/>
        </w:rPr>
      </w:pPr>
      <w:r>
        <w:rPr>
          <w:rFonts w:hint="eastAsia" w:ascii="宋体" w:hAnsi="宋体" w:cs="宋体"/>
          <w:bCs/>
          <w:color w:val="auto"/>
          <w:sz w:val="36"/>
          <w:szCs w:val="36"/>
          <w:highlight w:val="none"/>
        </w:rPr>
        <w:br w:type="page" w:clear="all"/>
      </w:r>
      <w:r>
        <w:rPr>
          <w:rFonts w:hint="eastAsia" w:ascii="宋体" w:hAnsi="宋体" w:cs="宋体"/>
          <w:b/>
          <w:bCs w:val="0"/>
          <w:color w:val="auto"/>
          <w:sz w:val="36"/>
          <w:szCs w:val="36"/>
          <w:highlight w:val="none"/>
        </w:rPr>
        <w:t xml:space="preserve">第三部分  项目需求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r/>
    </w:p>
    <w:p>
      <w:pPr>
        <w:ind w:firstLine="562"/>
        <w:keepLines w:val="0"/>
        <w:keepNext w:val="0"/>
        <w:pageBreakBefore w:val="0"/>
        <w:spacing w:line="460" w:lineRule="exact"/>
        <w:rPr>
          <w:rFonts w:hint="eastAsia" w:ascii="方正仿宋_GBK" w:hAnsi="方正仿宋_GBK" w:eastAsia="方正仿宋_GBK" w:cs="方正仿宋_GBK"/>
          <w:b/>
          <w:bCs/>
          <w:color w:val="auto"/>
          <w:sz w:val="28"/>
          <w:szCs w:val="28"/>
          <w:highlight w:val="none"/>
        </w:rPr>
        <w:outlineLvl w:val="0"/>
      </w:pPr>
      <w:r>
        <w:rPr>
          <w:rFonts w:hint="eastAsia" w:ascii="方正仿宋_GBK" w:hAnsi="方正仿宋_GBK" w:eastAsia="方正仿宋_GBK" w:cs="方正仿宋_GBK"/>
          <w:b/>
          <w:color w:val="auto"/>
          <w:sz w:val="28"/>
          <w:szCs w:val="28"/>
          <w:highlight w:val="none"/>
        </w:rPr>
        <w:t xml:space="preserve">一、</w:t>
      </w:r>
      <w:r>
        <w:rPr>
          <w:rFonts w:hint="eastAsia" w:ascii="方正仿宋_GBK" w:hAnsi="方正仿宋_GBK" w:eastAsia="方正仿宋_GBK" w:cs="方正仿宋_GBK"/>
          <w:b/>
          <w:bCs/>
          <w:color w:val="auto"/>
          <w:sz w:val="28"/>
          <w:szCs w:val="28"/>
          <w:highlight w:val="none"/>
        </w:rPr>
        <w:t xml:space="preserve">项目具体需求说明</w:t>
      </w:r>
      <w:r/>
    </w:p>
    <w:p>
      <w:pPr>
        <w:ind w:firstLine="560"/>
        <w:jc w:val="left"/>
        <w:keepLines w:val="0"/>
        <w:keepNext w:val="0"/>
        <w:pageBreakBefore w:val="0"/>
        <w:spacing w:line="460" w:lineRule="exact"/>
        <w:widowControl/>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（一）采购标的需实现的功能或者目标, 以及为落实政府采购政策需满足的要求</w:t>
      </w:r>
      <w:r/>
    </w:p>
    <w:p>
      <w:pPr>
        <w:ind w:firstLine="560"/>
        <w:jc w:val="left"/>
        <w:keepLines w:val="0"/>
        <w:keepNext w:val="0"/>
        <w:pageBreakBefore w:val="0"/>
        <w:spacing w:line="460" w:lineRule="exact"/>
        <w:widowControl/>
        <w:rPr>
          <w:rFonts w:hint="default"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rPr>
        <w:t xml:space="preserve">根据法律法规和公安部规章的规定，公安</w:t>
      </w:r>
      <w:r>
        <w:rPr>
          <w:rFonts w:hint="eastAsia" w:ascii="方正仿宋_GBK" w:hAnsi="方正仿宋_GBK" w:eastAsia="方正仿宋_GBK" w:cs="方正仿宋_GBK"/>
          <w:color w:val="auto"/>
          <w:sz w:val="28"/>
          <w:szCs w:val="28"/>
          <w:highlight w:val="none"/>
          <w:lang w:eastAsia="zh-CN"/>
        </w:rPr>
        <w:t xml:space="preserve">交通管理</w:t>
      </w:r>
      <w:r>
        <w:rPr>
          <w:rFonts w:hint="eastAsia" w:ascii="方正仿宋_GBK" w:hAnsi="方正仿宋_GBK" w:eastAsia="方正仿宋_GBK" w:cs="方正仿宋_GBK"/>
          <w:color w:val="auto"/>
          <w:sz w:val="28"/>
          <w:szCs w:val="28"/>
          <w:highlight w:val="none"/>
        </w:rPr>
        <w:t xml:space="preserve">部门依法扣</w:t>
      </w:r>
      <w:r>
        <w:rPr>
          <w:rFonts w:hint="eastAsia" w:ascii="方正仿宋_GBK" w:hAnsi="方正仿宋_GBK" w:eastAsia="方正仿宋_GBK" w:cs="方正仿宋_GBK"/>
          <w:color w:val="auto"/>
          <w:sz w:val="28"/>
          <w:szCs w:val="28"/>
          <w:highlight w:val="none"/>
          <w:lang w:val="en-US" w:eastAsia="zh-CN"/>
        </w:rPr>
        <w:t xml:space="preserve">留</w:t>
      </w:r>
      <w:r>
        <w:rPr>
          <w:rFonts w:hint="eastAsia" w:ascii="方正仿宋_GBK" w:hAnsi="方正仿宋_GBK" w:eastAsia="方正仿宋_GBK" w:cs="方正仿宋_GBK"/>
          <w:color w:val="auto"/>
          <w:sz w:val="28"/>
          <w:szCs w:val="28"/>
          <w:highlight w:val="none"/>
        </w:rPr>
        <w:t xml:space="preserve">的事故车辆和违法车辆，作为涉案车辆，应停放至指定停车场。此次招标通过政府购买服务的形式，确定有资质的社会停车场用于涉案车辆停放，同时做好日常违法车辆及当事人自愿委托的事故车辆清障工作。结合项目实际，本次招标要求投标人须在</w:t>
      </w:r>
      <w:r>
        <w:rPr>
          <w:rFonts w:hint="eastAsia" w:ascii="方正仿宋_GBK" w:hAnsi="方正仿宋_GBK" w:eastAsia="方正仿宋_GBK" w:cs="方正仿宋_GBK"/>
          <w:color w:val="auto"/>
          <w:sz w:val="28"/>
          <w:szCs w:val="28"/>
          <w:highlight w:val="none"/>
          <w:lang w:eastAsia="zh-CN"/>
        </w:rPr>
        <w:t xml:space="preserve">通吕运河以北、通吕运河以南（包括开发区和苏锡通园区）</w:t>
      </w:r>
      <w:r>
        <w:rPr>
          <w:rFonts w:hint="eastAsia" w:ascii="方正仿宋_GBK" w:hAnsi="方正仿宋_GBK" w:eastAsia="方正仿宋_GBK" w:cs="方正仿宋_GBK"/>
          <w:color w:val="auto"/>
          <w:sz w:val="28"/>
          <w:szCs w:val="28"/>
          <w:highlight w:val="none"/>
          <w:lang w:val="en-US" w:eastAsia="zh-CN"/>
        </w:rPr>
        <w:t xml:space="preserve">两</w:t>
      </w:r>
      <w:r>
        <w:rPr>
          <w:rFonts w:hint="eastAsia" w:ascii="方正仿宋_GBK" w:hAnsi="方正仿宋_GBK" w:eastAsia="方正仿宋_GBK" w:cs="方正仿宋_GBK"/>
          <w:color w:val="auto"/>
          <w:sz w:val="28"/>
          <w:szCs w:val="28"/>
          <w:highlight w:val="none"/>
        </w:rPr>
        <w:t xml:space="preserve">个区域内分别按要求配置1个停车场。停车场招标面积要求、设备设施配备要求、服务事项等具体详见附件《停车场配置要求一览表》见下文（服务对应的辖区大队、区域范围划分、《南通市公安局</w:t>
      </w:r>
      <w:r>
        <w:rPr>
          <w:rFonts w:hint="eastAsia" w:ascii="方正仿宋_GBK" w:hAnsi="方正仿宋_GBK" w:eastAsia="方正仿宋_GBK" w:cs="方正仿宋_GBK"/>
          <w:color w:val="auto"/>
          <w:sz w:val="28"/>
          <w:szCs w:val="28"/>
          <w:highlight w:val="none"/>
          <w:lang w:eastAsia="zh-CN"/>
        </w:rPr>
        <w:t xml:space="preserve">交通管理</w:t>
      </w:r>
      <w:r>
        <w:rPr>
          <w:rFonts w:hint="eastAsia" w:ascii="方正仿宋_GBK" w:hAnsi="方正仿宋_GBK" w:eastAsia="方正仿宋_GBK" w:cs="方正仿宋_GBK"/>
          <w:color w:val="auto"/>
          <w:sz w:val="28"/>
          <w:szCs w:val="28"/>
          <w:highlight w:val="none"/>
        </w:rPr>
        <w:t xml:space="preserve">支队各大队辖区》详见停车场配套需求具体参数附件</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rPr>
        <w:t xml:space="preserve">）。</w:t>
      </w:r>
      <w:r/>
    </w:p>
    <w:p>
      <w:pPr>
        <w:ind w:firstLine="560"/>
        <w:jc w:val="left"/>
        <w:keepLines w:val="0"/>
        <w:keepNext w:val="0"/>
        <w:pageBreakBefore w:val="0"/>
        <w:spacing w:line="460" w:lineRule="exact"/>
        <w:widowControl/>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（二）具体需求</w:t>
      </w:r>
      <w:r>
        <w:rPr>
          <w:rFonts w:hint="eastAsia" w:ascii="方正仿宋_GBK" w:hAnsi="方正仿宋_GBK" w:eastAsia="方正仿宋_GBK" w:cs="方正仿宋_GBK"/>
          <w:b/>
          <w:color w:val="auto"/>
          <w:sz w:val="28"/>
          <w:szCs w:val="28"/>
          <w:highlight w:val="none"/>
        </w:rPr>
        <w:t xml:space="preserve">（带★项为实质性要求，必须响应）</w:t>
      </w:r>
      <w:r/>
    </w:p>
    <w:p>
      <w:pPr>
        <w:ind w:firstLine="562"/>
        <w:jc w:val="left"/>
        <w:keepLines w:val="0"/>
        <w:keepNext w:val="0"/>
        <w:pageBreakBefore w:val="0"/>
        <w:spacing w:line="460" w:lineRule="exact"/>
        <w:widowControl/>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1．服务需求</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负责按招标人指令，就对应辖区大队需扣留的违法、事故车辆提供接运、保管、发还处置等服务（高速涉案车辆，由停车场到就近高速收费站接运，对因交通事故不便交接的，由高速大队协调高速公路清排障送至相应停车场）。</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（2）负责支队</w:t>
      </w:r>
      <w:r>
        <w:rPr>
          <w:rFonts w:hint="eastAsia" w:ascii="方正仿宋_GBK" w:hAnsi="方正仿宋_GBK" w:eastAsia="方正仿宋_GBK" w:cs="方正仿宋_GBK"/>
          <w:color w:val="auto"/>
          <w:sz w:val="28"/>
          <w:szCs w:val="28"/>
          <w:highlight w:val="none"/>
          <w:lang w:val="en-US" w:eastAsia="zh-CN"/>
        </w:rPr>
        <w:t xml:space="preserve">事故处理和案件办理</w:t>
      </w:r>
      <w:r>
        <w:rPr>
          <w:rFonts w:hint="eastAsia" w:ascii="方正仿宋_GBK" w:hAnsi="方正仿宋_GBK" w:eastAsia="方正仿宋_GBK" w:cs="方正仿宋_GBK"/>
          <w:color w:val="auto"/>
          <w:sz w:val="28"/>
          <w:szCs w:val="28"/>
          <w:highlight w:val="none"/>
        </w:rPr>
        <w:t xml:space="preserve">大队、七大队以及对应辖区其他公安机关执法过程中需要扣留的涉案车辆的接运、保管、发还处置工作；事故车拖至停车场，中标人按</w:t>
      </w:r>
      <w:r>
        <w:rPr>
          <w:rFonts w:hint="eastAsia" w:ascii="方正仿宋_GBK" w:hAnsi="方正仿宋_GBK" w:eastAsia="方正仿宋_GBK" w:cs="方正仿宋_GBK"/>
          <w:color w:val="auto"/>
          <w:sz w:val="28"/>
          <w:szCs w:val="28"/>
          <w:highlight w:val="none"/>
          <w:lang w:val="en-US" w:eastAsia="zh-CN"/>
        </w:rPr>
        <w:t xml:space="preserve">事故处理和案件办理</w:t>
      </w:r>
      <w:r>
        <w:rPr>
          <w:rFonts w:hint="eastAsia" w:ascii="方正仿宋_GBK" w:hAnsi="方正仿宋_GBK" w:eastAsia="方正仿宋_GBK" w:cs="方正仿宋_GBK"/>
          <w:color w:val="auto"/>
          <w:sz w:val="28"/>
          <w:szCs w:val="28"/>
          <w:highlight w:val="none"/>
        </w:rPr>
        <w:t xml:space="preserve">大队处置方案及工作指令做好相应配合工作。</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（3）负责交通事故现场清理工作</w:t>
      </w:r>
      <w:r>
        <w:rPr>
          <w:rFonts w:hint="eastAsia" w:ascii="方正仿宋_GBK" w:hAnsi="方正仿宋_GBK" w:eastAsia="方正仿宋_GBK" w:cs="方正仿宋_GBK"/>
          <w:color w:val="auto"/>
          <w:sz w:val="28"/>
          <w:szCs w:val="28"/>
          <w:highlight w:val="none"/>
          <w:lang w:eastAsia="zh-CN"/>
        </w:rPr>
        <w:t xml:space="preserve">（不包含高速公路）；</w:t>
      </w:r>
      <w:r>
        <w:rPr>
          <w:rFonts w:hint="eastAsia" w:ascii="方正仿宋_GBK" w:hAnsi="方正仿宋_GBK" w:eastAsia="方正仿宋_GBK" w:cs="方正仿宋_GBK"/>
          <w:color w:val="auto"/>
          <w:sz w:val="28"/>
          <w:szCs w:val="28"/>
          <w:highlight w:val="none"/>
        </w:rPr>
        <w:t xml:space="preserve">发生亡人交通事故时，</w:t>
      </w:r>
      <w:r>
        <w:rPr>
          <w:rFonts w:hint="eastAsia" w:ascii="方正仿宋_GBK" w:hAnsi="方正仿宋_GBK" w:eastAsia="方正仿宋_GBK" w:cs="方正仿宋_GBK"/>
          <w:color w:val="auto"/>
          <w:sz w:val="28"/>
          <w:szCs w:val="28"/>
          <w:highlight w:val="none"/>
          <w:lang w:eastAsia="zh-CN"/>
        </w:rPr>
        <w:t xml:space="preserve">须</w:t>
      </w:r>
      <w:r>
        <w:rPr>
          <w:rFonts w:hint="eastAsia" w:ascii="方正仿宋_GBK" w:hAnsi="方正仿宋_GBK" w:eastAsia="方正仿宋_GBK" w:cs="方正仿宋_GBK"/>
          <w:color w:val="auto"/>
          <w:sz w:val="28"/>
          <w:szCs w:val="28"/>
          <w:highlight w:val="none"/>
        </w:rPr>
        <w:t xml:space="preserve">根据民警的指挥，负责将尸体（包括在事故现场、医院等地点）搬运（含转运）至指定场所。</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（4）因其他停车场饱和、集中整治等需要，招标人可在所有停车场内统筹调度停放，中标人不得拒绝。</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（5）对涉案车辆做好配合检测、送达检测等工作；</w:t>
      </w:r>
      <w:r>
        <w:rPr>
          <w:rFonts w:hint="eastAsia" w:ascii="方正仿宋_GBK" w:hAnsi="方正仿宋_GBK" w:eastAsia="方正仿宋_GBK" w:cs="方正仿宋_GBK"/>
          <w:color w:val="auto"/>
          <w:sz w:val="28"/>
          <w:szCs w:val="28"/>
          <w:highlight w:val="none"/>
          <w:lang w:val="en-US" w:eastAsia="zh-CN"/>
        </w:rPr>
        <w:t xml:space="preserve">免费</w:t>
      </w:r>
      <w:r>
        <w:rPr>
          <w:rFonts w:hint="eastAsia" w:ascii="方正仿宋_GBK" w:hAnsi="方正仿宋_GBK" w:eastAsia="方正仿宋_GBK" w:cs="方正仿宋_GBK"/>
          <w:color w:val="auto"/>
          <w:sz w:val="28"/>
          <w:szCs w:val="28"/>
          <w:highlight w:val="none"/>
        </w:rPr>
        <w:t xml:space="preserve">提供地磅称重24小时服务。</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6</w:t>
      </w:r>
      <w:r>
        <w:rPr>
          <w:rFonts w:hint="eastAsia" w:ascii="方正仿宋_GBK" w:hAnsi="方正仿宋_GBK" w:eastAsia="方正仿宋_GBK" w:cs="方正仿宋_GBK"/>
          <w:color w:val="auto"/>
          <w:sz w:val="28"/>
          <w:szCs w:val="28"/>
          <w:highlight w:val="none"/>
        </w:rPr>
        <w:t xml:space="preserve">）除出车施救服务外，</w:t>
      </w:r>
      <w:r>
        <w:rPr>
          <w:rFonts w:hint="eastAsia" w:ascii="方正仿宋_GBK" w:hAnsi="方正仿宋_GBK" w:eastAsia="方正仿宋_GBK" w:cs="方正仿宋_GBK"/>
          <w:color w:val="auto"/>
          <w:sz w:val="28"/>
          <w:szCs w:val="28"/>
          <w:highlight w:val="none"/>
          <w:lang w:eastAsia="zh-CN"/>
        </w:rPr>
        <w:t xml:space="preserve">每个停车场地</w:t>
      </w:r>
      <w:r>
        <w:rPr>
          <w:rFonts w:hint="eastAsia" w:ascii="方正仿宋_GBK" w:hAnsi="方正仿宋_GBK" w:eastAsia="方正仿宋_GBK" w:cs="方正仿宋_GBK"/>
          <w:color w:val="auto"/>
          <w:sz w:val="28"/>
          <w:szCs w:val="28"/>
          <w:highlight w:val="none"/>
        </w:rPr>
        <w:t xml:space="preserve">每天</w:t>
      </w:r>
      <w:r>
        <w:rPr>
          <w:rFonts w:hint="eastAsia" w:ascii="方正仿宋_GBK" w:hAnsi="方正仿宋_GBK" w:eastAsia="方正仿宋_GBK" w:cs="方正仿宋_GBK"/>
          <w:color w:val="auto"/>
          <w:sz w:val="28"/>
          <w:szCs w:val="28"/>
          <w:highlight w:val="none"/>
          <w:lang w:eastAsia="zh-CN"/>
        </w:rPr>
        <w:t xml:space="preserve">早晚高峰时段</w:t>
      </w:r>
      <w:r>
        <w:rPr>
          <w:rFonts w:hint="eastAsia" w:ascii="方正仿宋_GBK" w:hAnsi="方正仿宋_GBK" w:eastAsia="方正仿宋_GBK" w:cs="方正仿宋_GBK"/>
          <w:color w:val="auto"/>
          <w:sz w:val="28"/>
          <w:szCs w:val="28"/>
          <w:highlight w:val="none"/>
        </w:rPr>
        <w:t xml:space="preserve">按招标人要求</w:t>
      </w:r>
      <w:r>
        <w:rPr>
          <w:rFonts w:hint="eastAsia" w:ascii="方正仿宋_GBK" w:hAnsi="方正仿宋_GBK" w:eastAsia="方正仿宋_GBK" w:cs="方正仿宋_GBK"/>
          <w:color w:val="auto"/>
          <w:sz w:val="28"/>
          <w:szCs w:val="28"/>
          <w:highlight w:val="none"/>
          <w:lang w:eastAsia="zh-CN"/>
        </w:rPr>
        <w:t xml:space="preserve">，至少安排</w:t>
      </w:r>
      <w:r>
        <w:rPr>
          <w:rFonts w:hint="eastAsia" w:ascii="方正仿宋_GBK" w:hAnsi="方正仿宋_GBK" w:eastAsia="方正仿宋_GBK" w:cs="方正仿宋_GBK"/>
          <w:color w:val="auto"/>
          <w:sz w:val="28"/>
          <w:szCs w:val="28"/>
          <w:highlight w:val="none"/>
          <w:lang w:val="en-US" w:eastAsia="zh-CN"/>
        </w:rPr>
        <w:t xml:space="preserve">1辆施救车辆</w:t>
      </w:r>
      <w:r>
        <w:rPr>
          <w:rFonts w:hint="eastAsia" w:ascii="方正仿宋_GBK" w:hAnsi="方正仿宋_GBK" w:eastAsia="方正仿宋_GBK" w:cs="方正仿宋_GBK"/>
          <w:color w:val="auto"/>
          <w:sz w:val="28"/>
          <w:szCs w:val="28"/>
          <w:highlight w:val="none"/>
        </w:rPr>
        <w:t xml:space="preserve">到</w:t>
      </w:r>
      <w:r>
        <w:rPr>
          <w:rFonts w:hint="eastAsia" w:ascii="方正仿宋_GBK" w:hAnsi="方正仿宋_GBK" w:eastAsia="方正仿宋_GBK" w:cs="方正仿宋_GBK"/>
          <w:color w:val="auto"/>
          <w:sz w:val="28"/>
          <w:szCs w:val="28"/>
          <w:highlight w:val="none"/>
          <w:vertAlign w:val="baseline"/>
          <w:lang w:val="en-US" w:eastAsia="zh-CN"/>
        </w:rPr>
        <w:t xml:space="preserve">通沪大道、江海大道、长江路、东方大道等高架道路</w:t>
      </w:r>
      <w:r>
        <w:rPr>
          <w:rFonts w:hint="eastAsia" w:ascii="方正仿宋_GBK" w:hAnsi="方正仿宋_GBK" w:eastAsia="方正仿宋_GBK" w:cs="方正仿宋_GBK"/>
          <w:color w:val="auto"/>
          <w:sz w:val="28"/>
          <w:szCs w:val="28"/>
          <w:highlight w:val="none"/>
        </w:rPr>
        <w:t xml:space="preserve">值守。</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7</w:t>
      </w:r>
      <w:r>
        <w:rPr>
          <w:rFonts w:hint="eastAsia" w:ascii="方正仿宋_GBK" w:hAnsi="方正仿宋_GBK" w:eastAsia="方正仿宋_GBK" w:cs="方正仿宋_GBK"/>
          <w:color w:val="auto"/>
          <w:sz w:val="28"/>
          <w:szCs w:val="28"/>
          <w:highlight w:val="none"/>
        </w:rPr>
        <w:t xml:space="preserve">）每个停车场出入口要规范合理，满足车辆正常出入条件，保证出入安全。停车场门口需设置醒目的单位名称标牌，出入口安装照明，24小时办理车辆存取手续，方便群众。停车场分区分级管理指引图、相关制度、收费标准、服务承诺、投诉举报等必须公开的内容，在醒目位置公示（各工种职责、指引图、制度上墙）。</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8</w:t>
      </w:r>
      <w:r>
        <w:rPr>
          <w:rFonts w:hint="eastAsia" w:ascii="方正仿宋_GBK" w:hAnsi="方正仿宋_GBK" w:eastAsia="方正仿宋_GBK" w:cs="方正仿宋_GBK"/>
          <w:color w:val="auto"/>
          <w:sz w:val="28"/>
          <w:szCs w:val="28"/>
          <w:highlight w:val="none"/>
        </w:rPr>
        <w:t xml:space="preserve">）严格执行公共场所消防安全管理规定和《停车场车辆停放安全保卫安全消防管理制度》，每个停车场要严格落实防火、防水、防盗等安全措施。</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9</w:t>
      </w:r>
      <w:r>
        <w:rPr>
          <w:rFonts w:hint="eastAsia" w:ascii="方正仿宋_GBK" w:hAnsi="方正仿宋_GBK" w:eastAsia="方正仿宋_GBK" w:cs="方正仿宋_GBK"/>
          <w:color w:val="auto"/>
          <w:sz w:val="28"/>
          <w:szCs w:val="28"/>
          <w:highlight w:val="none"/>
        </w:rPr>
        <w:t xml:space="preserve">）每个停车场投入使用必须具备相关的营业登记、收费标准备案等相关</w:t>
      </w:r>
      <w:r>
        <w:rPr>
          <w:rFonts w:hint="eastAsia" w:ascii="方正仿宋_GBK" w:hAnsi="方正仿宋_GBK" w:eastAsia="方正仿宋_GBK" w:cs="方正仿宋_GBK"/>
          <w:color w:val="auto"/>
          <w:sz w:val="28"/>
          <w:szCs w:val="28"/>
          <w:highlight w:val="none"/>
          <w:lang w:val="en-US" w:eastAsia="zh-CN"/>
        </w:rPr>
        <w:t xml:space="preserve">符合法律、法规的</w:t>
      </w:r>
      <w:r>
        <w:rPr>
          <w:rFonts w:hint="eastAsia" w:ascii="方正仿宋_GBK" w:hAnsi="方正仿宋_GBK" w:eastAsia="方正仿宋_GBK" w:cs="方正仿宋_GBK"/>
          <w:color w:val="auto"/>
          <w:sz w:val="28"/>
          <w:szCs w:val="28"/>
          <w:highlight w:val="none"/>
        </w:rPr>
        <w:t xml:space="preserve">手续</w:t>
      </w:r>
      <w:r>
        <w:rPr>
          <w:rFonts w:hint="eastAsia" w:ascii="方正仿宋_GBK" w:hAnsi="方正仿宋_GBK" w:eastAsia="方正仿宋_GBK" w:cs="方正仿宋_GBK"/>
          <w:color w:val="auto"/>
          <w:sz w:val="28"/>
          <w:szCs w:val="28"/>
          <w:highlight w:val="none"/>
          <w:lang w:eastAsia="zh-CN"/>
        </w:rPr>
        <w:t xml:space="preserve">，在规定期限内取车的，不得收取停放费用；超过时限的，按规范执行。</w:t>
      </w:r>
      <w:r/>
    </w:p>
    <w:p>
      <w:pPr>
        <w:ind w:firstLine="562"/>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b/>
          <w:color w:val="auto"/>
          <w:sz w:val="28"/>
          <w:szCs w:val="28"/>
          <w:highlight w:val="none"/>
        </w:rPr>
        <w:t xml:space="preserve">2．场地需求。</w:t>
      </w:r>
      <w:r>
        <w:rPr>
          <w:rFonts w:hint="eastAsia" w:ascii="方正仿宋_GBK" w:hAnsi="方正仿宋_GBK" w:eastAsia="方正仿宋_GBK" w:cs="方正仿宋_GBK"/>
          <w:color w:val="auto"/>
          <w:sz w:val="28"/>
          <w:szCs w:val="28"/>
          <w:highlight w:val="none"/>
        </w:rPr>
        <w:t xml:space="preserve">中标后30日内、签订合同前中标人停车场设备及相关设施等须满足以下条件（可在中标后30日内补充完善）。</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★投标人必须对中标后能否实际和合法拥有所投停车场场地的土地使用权进行明确表示（提供承诺函，样本格式见附件</w:t>
      </w:r>
      <w:r>
        <w:rPr>
          <w:rFonts w:hint="eastAsia" w:ascii="方正仿宋_GBK" w:hAnsi="方正仿宋_GBK" w:eastAsia="方正仿宋_GBK" w:cs="方正仿宋_GBK"/>
          <w:color w:val="auto"/>
          <w:sz w:val="28"/>
          <w:szCs w:val="28"/>
          <w:highlight w:val="none"/>
          <w:lang w:val="en-US" w:eastAsia="zh-CN"/>
        </w:rPr>
        <w:t xml:space="preserve">7</w:t>
      </w:r>
      <w:r>
        <w:rPr>
          <w:rFonts w:hint="eastAsia" w:ascii="方正仿宋_GBK" w:hAnsi="方正仿宋_GBK" w:eastAsia="方正仿宋_GBK" w:cs="方正仿宋_GBK"/>
          <w:color w:val="auto"/>
          <w:sz w:val="28"/>
          <w:szCs w:val="28"/>
          <w:highlight w:val="none"/>
        </w:rPr>
        <w:t xml:space="preserve">）。停车场土地可以是自有或租赁（向土地所有权人或使用权人租赁）。提供①场地位置定位（高德或百度地图）截图，并标明所属区、街道或镇；②投标人提供现有停车场场地尺寸平面图、照片等证明材料，中标后合同签订签前</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将赴成交供应商停车场现场核验，如投标人提供的证明材料与实际不符（负偏离），</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有权拒签合同。</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★①投标人拥有停车场土地所有权确权证明的，提供有效证明文件的复印件；</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②投标人拥有停车场土地使用权的，分三种情况：</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a.如投标人直接具有政府部门颁发的所投停车场土地使用权确权证明的，提供证明文件加盖公章；</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b.如属于投标人直接向土地使用权人租赁的，提供所投停车场土地使用权人出具的证明材料，包括停车场土地使用权人确权证明（政府部门直接颁发或备案确认，不包括从其他使用权人转租取得的使用权）、租赁合同（租赁期限应覆盖整个中标服务期），且以上租赁合同材料必须经土地所在住建局或街道、镇级相关政府部门登记备案（样本格式见附件</w:t>
      </w:r>
      <w:r>
        <w:rPr>
          <w:rFonts w:hint="eastAsia" w:ascii="方正仿宋_GBK" w:hAnsi="方正仿宋_GBK" w:eastAsia="方正仿宋_GBK" w:cs="方正仿宋_GBK"/>
          <w:color w:val="auto"/>
          <w:sz w:val="28"/>
          <w:szCs w:val="28"/>
          <w:highlight w:val="none"/>
          <w:lang w:val="en-US" w:eastAsia="zh-CN"/>
        </w:rPr>
        <w:t xml:space="preserve">6</w:t>
      </w:r>
      <w:r>
        <w:rPr>
          <w:rFonts w:hint="eastAsia" w:ascii="方正仿宋_GBK" w:hAnsi="方正仿宋_GBK" w:eastAsia="方正仿宋_GBK" w:cs="方正仿宋_GBK"/>
          <w:color w:val="auto"/>
          <w:sz w:val="28"/>
          <w:szCs w:val="28"/>
          <w:highlight w:val="none"/>
        </w:rPr>
        <w:t xml:space="preserve">），提供登记备案复印件加盖公章；</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rPr>
        <w:t xml:space="preserve">c.土地使用权人（政府部门直接颁发的提供确权证明；或者经土地所在住建局或街道、镇级相关政府部门登记备案，提供备案证明材料）租赁给第三方，投标人再从该第三方转租（只能转租一次）取得使用权的，需同时提供1.土地使用权人（政府部门直接颁发的提供确权证明；或者经土地所在住建局或街道、镇级相关政府部门登记备案（样本格式见附件</w:t>
      </w:r>
      <w:r>
        <w:rPr>
          <w:rFonts w:hint="eastAsia" w:ascii="方正仿宋_GBK" w:hAnsi="方正仿宋_GBK" w:eastAsia="方正仿宋_GBK" w:cs="方正仿宋_GBK"/>
          <w:color w:val="auto"/>
          <w:sz w:val="28"/>
          <w:szCs w:val="28"/>
          <w:highlight w:val="none"/>
          <w:lang w:val="en-US" w:eastAsia="zh-CN"/>
        </w:rPr>
        <w:t xml:space="preserve">6</w:t>
      </w:r>
      <w:r>
        <w:rPr>
          <w:rFonts w:hint="eastAsia" w:ascii="方正仿宋_GBK" w:hAnsi="方正仿宋_GBK" w:eastAsia="方正仿宋_GBK" w:cs="方正仿宋_GBK"/>
          <w:color w:val="auto"/>
          <w:sz w:val="28"/>
          <w:szCs w:val="28"/>
          <w:highlight w:val="none"/>
        </w:rPr>
        <w:t xml:space="preserve">），提供备案证明材料）确权证明，2.土地使用权人（政府部门直接颁发的提供确权证明；或者经土地所在住建局或街道、镇级相关政府部门登记备案（样本格式见附件</w:t>
      </w:r>
      <w:r>
        <w:rPr>
          <w:rFonts w:hint="eastAsia" w:ascii="方正仿宋_GBK" w:hAnsi="方正仿宋_GBK" w:eastAsia="方正仿宋_GBK" w:cs="方正仿宋_GBK"/>
          <w:color w:val="auto"/>
          <w:sz w:val="28"/>
          <w:szCs w:val="28"/>
          <w:highlight w:val="none"/>
          <w:lang w:val="en-US" w:eastAsia="zh-CN"/>
        </w:rPr>
        <w:t xml:space="preserve">6</w:t>
      </w:r>
      <w:r>
        <w:rPr>
          <w:rFonts w:hint="eastAsia" w:ascii="方正仿宋_GBK" w:hAnsi="方正仿宋_GBK" w:eastAsia="方正仿宋_GBK" w:cs="方正仿宋_GBK"/>
          <w:color w:val="auto"/>
          <w:sz w:val="28"/>
          <w:szCs w:val="28"/>
          <w:highlight w:val="none"/>
        </w:rPr>
        <w:t xml:space="preserve">），提供备案证明材料）出具的同意转租证明，3.租赁合同（租赁期限应覆盖整个中标服务期）。</w:t>
      </w:r>
      <w:r>
        <w:rPr>
          <w:rFonts w:hint="eastAsia" w:ascii="方正仿宋_GBK" w:hAnsi="方正仿宋_GBK" w:eastAsia="方正仿宋_GBK" w:cs="方正仿宋_GBK"/>
          <w:color w:val="auto"/>
          <w:sz w:val="28"/>
          <w:szCs w:val="28"/>
          <w:highlight w:val="none"/>
          <w:lang w:val="en-US" w:eastAsia="zh-CN"/>
        </w:rPr>
        <w:t xml:space="preserve">注：以上事项不能出具政府相关部门备案手续的，投标人可以提供承诺函（</w:t>
      </w:r>
      <w:r>
        <w:rPr>
          <w:rFonts w:hint="eastAsia" w:ascii="方正仿宋_GBK" w:hAnsi="方正仿宋_GBK" w:eastAsia="方正仿宋_GBK" w:cs="方正仿宋_GBK"/>
          <w:color w:val="auto"/>
          <w:sz w:val="28"/>
          <w:szCs w:val="28"/>
          <w:highlight w:val="none"/>
        </w:rPr>
        <w:t xml:space="preserve">样本格式见附件</w:t>
      </w:r>
      <w:r>
        <w:rPr>
          <w:rFonts w:hint="eastAsia" w:ascii="方正仿宋_GBK" w:hAnsi="方正仿宋_GBK" w:eastAsia="方正仿宋_GBK" w:cs="方正仿宋_GBK"/>
          <w:color w:val="auto"/>
          <w:sz w:val="28"/>
          <w:szCs w:val="28"/>
          <w:highlight w:val="none"/>
          <w:lang w:val="en-US" w:eastAsia="zh-CN"/>
        </w:rPr>
        <w:t xml:space="preserve">7），并承担由此产生的责任。</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b/>
          <w:bCs/>
          <w:color w:val="auto"/>
          <w:sz w:val="28"/>
          <w:szCs w:val="28"/>
          <w:highlight w:val="none"/>
        </w:rPr>
        <w:t xml:space="preserve">（1）停车场总面积不得少于</w:t>
      </w:r>
      <w:r>
        <w:rPr>
          <w:rFonts w:hint="eastAsia" w:ascii="方正仿宋_GBK" w:hAnsi="方正仿宋_GBK" w:eastAsia="方正仿宋_GBK" w:cs="方正仿宋_GBK"/>
          <w:b/>
          <w:bCs/>
          <w:color w:val="auto"/>
          <w:sz w:val="28"/>
          <w:szCs w:val="28"/>
          <w:highlight w:val="none"/>
          <w:lang w:val="en-US" w:eastAsia="zh-CN"/>
        </w:rPr>
        <w:t xml:space="preserve">2.2</w:t>
      </w:r>
      <w:r>
        <w:rPr>
          <w:rFonts w:hint="eastAsia" w:ascii="方正仿宋_GBK" w:hAnsi="方正仿宋_GBK" w:eastAsia="方正仿宋_GBK" w:cs="方正仿宋_GBK"/>
          <w:b/>
          <w:bCs/>
          <w:color w:val="auto"/>
          <w:sz w:val="28"/>
          <w:szCs w:val="28"/>
          <w:highlight w:val="none"/>
        </w:rPr>
        <w:t xml:space="preserve">万平方米。某一区域如设一个停车场的面积达不到招标面积要求的，可在该区域最多再增设一个停车场；每个区域的停车场面积之和不得低于对应区域招标面积要求的80%，所有</w:t>
      </w:r>
      <w:r>
        <w:rPr>
          <w:rFonts w:hint="eastAsia" w:ascii="方正仿宋_GBK" w:hAnsi="方正仿宋_GBK" w:eastAsia="方正仿宋_GBK" w:cs="方正仿宋_GBK"/>
          <w:b/>
          <w:bCs/>
          <w:color w:val="auto"/>
          <w:sz w:val="28"/>
          <w:szCs w:val="28"/>
          <w:highlight w:val="none"/>
          <w:lang w:val="en-US" w:eastAsia="zh-CN"/>
        </w:rPr>
        <w:t xml:space="preserve">两</w:t>
      </w:r>
      <w:r>
        <w:rPr>
          <w:rFonts w:hint="eastAsia" w:ascii="方正仿宋_GBK" w:hAnsi="方正仿宋_GBK" w:eastAsia="方正仿宋_GBK" w:cs="方正仿宋_GBK"/>
          <w:b/>
          <w:bCs/>
          <w:color w:val="auto"/>
          <w:sz w:val="28"/>
          <w:szCs w:val="28"/>
          <w:highlight w:val="none"/>
        </w:rPr>
        <w:t xml:space="preserve">个区域的停车场总面积不得低于总的招标面积要求，停车场土地性质须符合相关规划要求</w:t>
      </w:r>
      <w:r>
        <w:rPr>
          <w:rFonts w:hint="eastAsia" w:ascii="方正仿宋_GBK" w:hAnsi="方正仿宋_GBK" w:eastAsia="方正仿宋_GBK" w:cs="方正仿宋_GBK"/>
          <w:color w:val="auto"/>
          <w:sz w:val="28"/>
          <w:szCs w:val="28"/>
          <w:highlight w:val="none"/>
        </w:rPr>
        <w:t xml:space="preserve">：</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①区域一：通吕运河以南（包括开发区和苏锡通园区），对应服务市区一、二、三</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五、六</w:t>
      </w:r>
      <w:r>
        <w:rPr>
          <w:rFonts w:hint="eastAsia" w:ascii="方正仿宋_GBK" w:hAnsi="方正仿宋_GBK" w:eastAsia="方正仿宋_GBK" w:cs="方正仿宋_GBK"/>
          <w:color w:val="auto"/>
          <w:sz w:val="28"/>
          <w:szCs w:val="28"/>
          <w:highlight w:val="none"/>
        </w:rPr>
        <w:t xml:space="preserve">大队</w:t>
      </w:r>
      <w:r>
        <w:rPr>
          <w:rFonts w:hint="eastAsia" w:ascii="方正仿宋_GBK" w:hAnsi="方正仿宋_GBK" w:eastAsia="方正仿宋_GBK" w:cs="方正仿宋_GBK"/>
          <w:color w:val="auto"/>
          <w:sz w:val="28"/>
          <w:szCs w:val="28"/>
          <w:highlight w:val="none"/>
          <w:lang w:val="en-US" w:eastAsia="zh-CN"/>
        </w:rPr>
        <w:t xml:space="preserve">和高速四大队</w:t>
      </w:r>
      <w:r>
        <w:rPr>
          <w:rFonts w:hint="eastAsia" w:ascii="方正仿宋_GBK" w:hAnsi="方正仿宋_GBK" w:eastAsia="方正仿宋_GBK" w:cs="方正仿宋_GBK"/>
          <w:color w:val="auto"/>
          <w:sz w:val="28"/>
          <w:szCs w:val="28"/>
          <w:highlight w:val="none"/>
        </w:rPr>
        <w:t xml:space="preserve">，面积不少于1.5万平方米；</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②区域二：</w:t>
      </w:r>
      <w:r>
        <w:rPr>
          <w:rFonts w:hint="eastAsia" w:ascii="方正仿宋_GBK" w:hAnsi="方正仿宋_GBK" w:eastAsia="方正仿宋_GBK" w:cs="方正仿宋_GBK"/>
          <w:color w:val="auto"/>
          <w:sz w:val="28"/>
          <w:szCs w:val="28"/>
          <w:highlight w:val="none"/>
          <w:lang w:eastAsia="zh-CN"/>
        </w:rPr>
        <w:t xml:space="preserve">通吕运河以北</w:t>
      </w:r>
      <w:r>
        <w:rPr>
          <w:rFonts w:hint="eastAsia" w:ascii="方正仿宋_GBK" w:hAnsi="方正仿宋_GBK" w:eastAsia="方正仿宋_GBK" w:cs="方正仿宋_GBK"/>
          <w:color w:val="auto"/>
          <w:sz w:val="28"/>
          <w:szCs w:val="28"/>
          <w:highlight w:val="none"/>
        </w:rPr>
        <w:t xml:space="preserve">，对应服务市区四大队和高速九大队，面积不少于0.7万平方米。</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每个停车场停放车辆的区域需为封闭的区域，四周由大门和围墙组成。停车场围墙需为砖混结构实体围墙或砖混结构透视性围墙，墙体高度（含电子围栏高度）不低于1.8m，砖混结构透视型围墙的应加装防攀爬护栏。</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每个停车场场地需以沥青、水泥、石子等方式硬化。对涉案车辆按照一般事故停放区、重大车损事故停放区、事故痕检停放区、违法货车停放区、违法小型机动车停放区、非机动车停放区等分类停放管理（需对各区域采用固定护栏进行必要的物理隔离）。每个停车场具备实体固定车棚（满足车辆包括大型货车痕检需求，</w:t>
      </w:r>
      <w:r>
        <w:rPr>
          <w:rFonts w:hint="eastAsia" w:ascii="方正仿宋_GBK" w:hAnsi="方正仿宋_GBK" w:eastAsia="方正仿宋_GBK" w:cs="方正仿宋_GBK"/>
          <w:b/>
          <w:color w:val="auto"/>
          <w:sz w:val="28"/>
          <w:szCs w:val="28"/>
          <w:highlight w:val="none"/>
        </w:rPr>
        <w:t xml:space="preserve">具体要求详见</w:t>
      </w:r>
      <w:r>
        <w:rPr>
          <w:rFonts w:hint="eastAsia" w:ascii="方正仿宋_GBK" w:hAnsi="方正仿宋_GBK" w:eastAsia="方正仿宋_GBK" w:cs="方正仿宋_GBK"/>
          <w:color w:val="auto"/>
          <w:sz w:val="28"/>
          <w:szCs w:val="28"/>
          <w:highlight w:val="none"/>
        </w:rPr>
        <w:t xml:space="preserve">停车场配套需求具体参数附件</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rPr>
        <w:t xml:space="preserve">）、苫布等设施或物品。</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（4）每个停车场设置停车位车位牌（可采取架空设置或地面喷涂等方式）停车场设置标牌、标识、标线等，标识标牌齐全、清晰、合规，实行停车场停车点位管理。</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（5）一个停车场有多个服务项目的，要针对本标的单独设置醒目的划分范围，实行分区管理，保证专场专用（停车场专用区域面积须与投标条件一致）。</w:t>
      </w:r>
      <w:r/>
    </w:p>
    <w:p>
      <w:pPr>
        <w:ind w:firstLine="562"/>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投标时需提供平面布置图以及固定车棚技术方案（中标后</w:t>
      </w:r>
      <w:r>
        <w:rPr>
          <w:rFonts w:hint="eastAsia" w:ascii="方正仿宋_GBK" w:hAnsi="方正仿宋_GBK" w:eastAsia="方正仿宋_GBK" w:cs="方正仿宋_GBK"/>
          <w:b/>
          <w:color w:val="auto"/>
          <w:sz w:val="28"/>
          <w:szCs w:val="28"/>
          <w:highlight w:val="none"/>
          <w:lang w:val="en-US" w:eastAsia="zh-CN"/>
        </w:rPr>
        <w:t xml:space="preserve">30日</w:t>
      </w:r>
      <w:r>
        <w:rPr>
          <w:rFonts w:hint="eastAsia" w:ascii="方正仿宋_GBK" w:hAnsi="方正仿宋_GBK" w:eastAsia="方正仿宋_GBK" w:cs="方正仿宋_GBK"/>
          <w:b/>
          <w:color w:val="auto"/>
          <w:sz w:val="28"/>
          <w:szCs w:val="28"/>
          <w:highlight w:val="none"/>
        </w:rPr>
        <w:t xml:space="preserve">内完成）</w:t>
      </w:r>
      <w:r>
        <w:rPr>
          <w:rFonts w:hint="eastAsia" w:ascii="方正仿宋_GBK" w:hAnsi="方正仿宋_GBK" w:eastAsia="方正仿宋_GBK" w:cs="方正仿宋_GBK"/>
          <w:color w:val="auto"/>
          <w:sz w:val="28"/>
          <w:szCs w:val="28"/>
          <w:highlight w:val="none"/>
        </w:rPr>
        <w:t xml:space="preserve">。</w:t>
      </w:r>
      <w:r/>
    </w:p>
    <w:p>
      <w:pPr>
        <w:ind w:firstLine="562"/>
        <w:jc w:val="left"/>
        <w:keepLines w:val="0"/>
        <w:keepNext w:val="0"/>
        <w:pageBreakBefore w:val="0"/>
        <w:spacing w:line="460" w:lineRule="exact"/>
        <w:widowControl/>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3．车辆需求。</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★投标时需提供车辆清单明细、行驶证及为车辆投保的保险公司保单、机动车登记证书等，</w:t>
      </w:r>
      <w:r>
        <w:rPr>
          <w:rFonts w:hint="eastAsia" w:ascii="方正仿宋_GBK" w:hAnsi="方正仿宋_GBK" w:eastAsia="方正仿宋_GBK" w:cs="方正仿宋_GBK"/>
          <w:color w:val="auto"/>
          <w:sz w:val="28"/>
          <w:szCs w:val="28"/>
          <w:highlight w:val="none"/>
          <w:lang w:eastAsia="zh-CN"/>
        </w:rPr>
        <w:t xml:space="preserve">其中</w:t>
      </w:r>
      <w:r>
        <w:rPr>
          <w:rFonts w:hint="eastAsia" w:ascii="方正仿宋_GBK" w:hAnsi="方正仿宋_GBK" w:eastAsia="方正仿宋_GBK" w:cs="方正仿宋_GBK"/>
          <w:color w:val="auto"/>
          <w:sz w:val="28"/>
          <w:szCs w:val="28"/>
          <w:highlight w:val="none"/>
        </w:rPr>
        <w:t xml:space="preserve">自有车辆，车辆行驶证上的单位名称必须与投标单位名称一致</w:t>
      </w:r>
      <w:r>
        <w:rPr>
          <w:rFonts w:hint="eastAsia" w:ascii="方正仿宋_GBK" w:hAnsi="方正仿宋_GBK" w:eastAsia="方正仿宋_GBK" w:cs="方正仿宋_GBK"/>
          <w:color w:val="auto"/>
          <w:sz w:val="28"/>
          <w:szCs w:val="28"/>
          <w:highlight w:val="none"/>
          <w:lang w:eastAsia="zh-CN"/>
        </w:rPr>
        <w:t xml:space="preserve">；租赁车辆，租赁合同上的承租方</w:t>
      </w:r>
      <w:r>
        <w:rPr>
          <w:rFonts w:hint="eastAsia" w:ascii="方正仿宋_GBK" w:hAnsi="方正仿宋_GBK" w:eastAsia="方正仿宋_GBK" w:cs="方正仿宋_GBK"/>
          <w:color w:val="auto"/>
          <w:sz w:val="28"/>
          <w:szCs w:val="28"/>
          <w:highlight w:val="none"/>
        </w:rPr>
        <w:t xml:space="preserve">必须与投标单位名称一致。投标人上传系统的相关证明材料均应为原件的扫描件且清晰可见，否则，投标人自行承担因扫描件模糊等问题导致评委无法辨识的一切后果。</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★（1）至少配备</w:t>
      </w:r>
      <w:r>
        <w:rPr>
          <w:rFonts w:hint="eastAsia" w:ascii="方正仿宋_GBK" w:hAnsi="方正仿宋_GBK" w:eastAsia="方正仿宋_GBK" w:cs="方正仿宋_GBK"/>
          <w:color w:val="auto"/>
          <w:sz w:val="28"/>
          <w:szCs w:val="28"/>
          <w:highlight w:val="none"/>
          <w:lang w:val="en-US" w:eastAsia="zh-CN"/>
        </w:rPr>
        <w:t xml:space="preserve">6</w:t>
      </w:r>
      <w:r>
        <w:rPr>
          <w:rFonts w:hint="eastAsia" w:ascii="方正仿宋_GBK" w:hAnsi="方正仿宋_GBK" w:eastAsia="方正仿宋_GBK" w:cs="方正仿宋_GBK"/>
          <w:color w:val="auto"/>
          <w:sz w:val="28"/>
          <w:szCs w:val="28"/>
          <w:highlight w:val="none"/>
        </w:rPr>
        <w:t xml:space="preserve">台</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区域一四台；区域二2台</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救援、清障车辆；柴油货车排放标准达到国</w:t>
      </w:r>
      <w:r>
        <w:rPr>
          <w:rFonts w:hint="eastAsia" w:ascii="方正仿宋_GBK" w:hAnsi="方正仿宋_GBK" w:eastAsia="方正仿宋_GBK" w:cs="方正仿宋_GBK"/>
          <w:color w:val="auto"/>
          <w:sz w:val="28"/>
          <w:szCs w:val="28"/>
          <w:highlight w:val="none"/>
          <w:lang w:val="en-US" w:eastAsia="zh-CN"/>
        </w:rPr>
        <w:t xml:space="preserve">五</w:t>
      </w:r>
      <w:r>
        <w:rPr>
          <w:rFonts w:hint="eastAsia" w:ascii="方正仿宋_GBK" w:hAnsi="方正仿宋_GBK" w:eastAsia="方正仿宋_GBK" w:cs="方正仿宋_GBK"/>
          <w:color w:val="auto"/>
          <w:sz w:val="28"/>
          <w:szCs w:val="28"/>
          <w:highlight w:val="none"/>
        </w:rPr>
        <w:t xml:space="preserve">（含）以上标准。</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w:t>
      </w:r>
      <w:r>
        <w:rPr>
          <w:rFonts w:hint="eastAsia" w:ascii="方正仿宋_GBK" w:hAnsi="方正仿宋_GBK" w:eastAsia="方正仿宋_GBK" w:cs="方正仿宋_GBK"/>
          <w:color w:val="auto"/>
          <w:sz w:val="28"/>
          <w:szCs w:val="28"/>
          <w:highlight w:val="none"/>
          <w:lang w:val="en-US" w:eastAsia="zh-CN"/>
        </w:rPr>
        <w:t xml:space="preserve">每个区域</w:t>
      </w:r>
      <w:r>
        <w:rPr>
          <w:rFonts w:hint="eastAsia" w:ascii="方正仿宋_GBK" w:hAnsi="方正仿宋_GBK" w:eastAsia="方正仿宋_GBK" w:cs="方正仿宋_GBK"/>
          <w:color w:val="auto"/>
          <w:sz w:val="28"/>
          <w:szCs w:val="28"/>
          <w:highlight w:val="none"/>
        </w:rPr>
        <w:t xml:space="preserve">配备一辆尸体转运车辆（带帘布的皮卡车</w:t>
      </w:r>
      <w:r>
        <w:rPr>
          <w:rFonts w:hint="eastAsia" w:ascii="方正仿宋_GBK" w:hAnsi="方正仿宋_GBK" w:eastAsia="方正仿宋_GBK" w:cs="方正仿宋_GBK"/>
          <w:color w:val="auto"/>
          <w:sz w:val="28"/>
          <w:szCs w:val="28"/>
          <w:highlight w:val="none"/>
          <w:lang w:val="en-US" w:eastAsia="zh-CN"/>
        </w:rPr>
        <w:t xml:space="preserve">或者轻型封闭式货车</w:t>
      </w:r>
      <w:r>
        <w:rPr>
          <w:rFonts w:hint="eastAsia" w:ascii="方正仿宋_GBK" w:hAnsi="方正仿宋_GBK" w:eastAsia="方正仿宋_GBK" w:cs="方正仿宋_GBK"/>
          <w:color w:val="auto"/>
          <w:sz w:val="28"/>
          <w:szCs w:val="28"/>
          <w:highlight w:val="none"/>
        </w:rPr>
        <w:t xml:space="preserve">）；</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★每辆清障车设置不少于2个监控探头，一个照前方，一个照后方（可看到后方被拖车辆及周边行车环境），可回放。视频保存时间不少于六个月(可回放）。</w:t>
      </w:r>
      <w:r/>
    </w:p>
    <w:p>
      <w:pPr>
        <w:ind w:firstLine="562"/>
        <w:jc w:val="left"/>
        <w:keepLines w:val="0"/>
        <w:keepNext w:val="0"/>
        <w:pageBreakBefore w:val="0"/>
        <w:spacing w:line="460" w:lineRule="exact"/>
        <w:widowControl/>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4．人员需求</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★（1）中标人需设置一个总负责人（</w:t>
      </w:r>
      <w:r>
        <w:rPr>
          <w:rFonts w:hint="eastAsia" w:ascii="方正仿宋_GBK" w:hAnsi="方正仿宋_GBK" w:eastAsia="方正仿宋_GBK" w:cs="方正仿宋_GBK"/>
          <w:color w:val="auto"/>
          <w:sz w:val="28"/>
          <w:szCs w:val="28"/>
          <w:highlight w:val="none"/>
          <w:lang w:val="en-US" w:eastAsia="zh-CN"/>
        </w:rPr>
        <w:t xml:space="preserve">总负责人、</w:t>
      </w:r>
      <w:r>
        <w:rPr>
          <w:rFonts w:hint="eastAsia" w:ascii="方正仿宋_GBK" w:hAnsi="方正仿宋_GBK" w:eastAsia="方正仿宋_GBK" w:cs="方正仿宋_GBK"/>
          <w:color w:val="auto"/>
          <w:sz w:val="28"/>
          <w:szCs w:val="28"/>
          <w:highlight w:val="none"/>
        </w:rPr>
        <w:t xml:space="preserve">项目</w:t>
      </w:r>
      <w:r>
        <w:rPr>
          <w:rFonts w:hint="eastAsia" w:ascii="方正仿宋_GBK" w:hAnsi="方正仿宋_GBK" w:eastAsia="方正仿宋_GBK" w:cs="方正仿宋_GBK"/>
          <w:color w:val="auto"/>
          <w:sz w:val="28"/>
          <w:szCs w:val="28"/>
          <w:highlight w:val="none"/>
          <w:lang w:val="en-US" w:eastAsia="zh-CN"/>
        </w:rPr>
        <w:t xml:space="preserve">负责人</w:t>
      </w:r>
      <w:r>
        <w:rPr>
          <w:rFonts w:hint="eastAsia" w:ascii="方正仿宋_GBK" w:hAnsi="方正仿宋_GBK" w:eastAsia="方正仿宋_GBK" w:cs="方正仿宋_GBK"/>
          <w:color w:val="auto"/>
          <w:sz w:val="28"/>
          <w:szCs w:val="28"/>
          <w:highlight w:val="none"/>
        </w:rPr>
        <w:t xml:space="preserve">，应熟悉业务和相关法</w:t>
      </w:r>
      <w:r>
        <w:rPr>
          <w:rFonts w:hint="eastAsia" w:ascii="方正仿宋_GBK" w:hAnsi="方正仿宋_GBK" w:eastAsia="方正仿宋_GBK" w:cs="方正仿宋_GBK"/>
          <w:color w:val="auto"/>
          <w:sz w:val="28"/>
          <w:szCs w:val="28"/>
          <w:highlight w:val="none"/>
          <w:lang w:val="en-US" w:eastAsia="zh-CN"/>
        </w:rPr>
        <w:t xml:space="preserve">律</w:t>
      </w:r>
      <w:r>
        <w:rPr>
          <w:rFonts w:hint="eastAsia" w:ascii="方正仿宋_GBK" w:hAnsi="方正仿宋_GBK" w:eastAsia="方正仿宋_GBK" w:cs="方正仿宋_GBK"/>
          <w:color w:val="auto"/>
          <w:sz w:val="28"/>
          <w:szCs w:val="28"/>
          <w:highlight w:val="none"/>
        </w:rPr>
        <w:t xml:space="preserve">规范），每个停车场需分别明确一名项目负责人（分区负责人）；</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★（2）停车场需合理</w:t>
      </w:r>
      <w:r>
        <w:rPr>
          <w:rFonts w:hint="eastAsia" w:ascii="方正仿宋_GBK" w:hAnsi="方正仿宋_GBK" w:eastAsia="方正仿宋_GBK" w:cs="方正仿宋_GBK"/>
          <w:color w:val="auto"/>
          <w:sz w:val="28"/>
          <w:szCs w:val="28"/>
          <w:highlight w:val="none"/>
          <w:lang w:val="en-US" w:eastAsia="zh-CN"/>
        </w:rPr>
        <w:t xml:space="preserve">配备</w:t>
      </w:r>
      <w:r>
        <w:rPr>
          <w:rFonts w:hint="eastAsia" w:ascii="方正仿宋_GBK" w:hAnsi="方正仿宋_GBK" w:eastAsia="方正仿宋_GBK" w:cs="方正仿宋_GBK"/>
          <w:color w:val="auto"/>
          <w:sz w:val="28"/>
          <w:szCs w:val="28"/>
          <w:highlight w:val="none"/>
        </w:rPr>
        <w:t xml:space="preserve">门卫、调度员、接车员等工作人员</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每个停车场门卫不少于2人，专人专职；接车员不少于12人，具备清障车驾驶能力素质和相应的驾驶证，确保两个区域大车接车任务的正常开展</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，确保按要求及时提供相关服务。</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（3）提供组织架构图。</w:t>
      </w:r>
      <w:r/>
    </w:p>
    <w:p>
      <w:pPr>
        <w:ind w:firstLine="562"/>
        <w:jc w:val="left"/>
        <w:keepLines w:val="0"/>
        <w:keepNext w:val="0"/>
        <w:pageBreakBefore w:val="0"/>
        <w:spacing w:line="460" w:lineRule="exact"/>
        <w:widowControl/>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5．业务用房需求</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★（1）每个停车场应具备不少于50平方米的专用业务办公用房（不得用于员工住宿、就餐等其他功能）；</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★（2）每个停车场分类设置接待区、涉案物品保管区、办公区等区域并配备相应的物品和设施。</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①接待区，即业务大厅，具备连接互联网的电脑1台、打印机1台等办公设备，配备至少3张休息座椅、饮水机、便民服务箱等设施设备；</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②涉案物品储物区，配备相应的储物架和不少于10个储物柜；</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③办公区，能容纳3张办公桌。</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（3）每个停车场业务用房便民服务区周边及场内主要通道必须水泥或沥青硬化（中标后</w:t>
      </w:r>
      <w:r>
        <w:rPr>
          <w:rFonts w:hint="eastAsia" w:ascii="方正仿宋_GBK" w:hAnsi="方正仿宋_GBK" w:eastAsia="方正仿宋_GBK" w:cs="方正仿宋_GBK"/>
          <w:color w:val="auto"/>
          <w:sz w:val="28"/>
          <w:szCs w:val="28"/>
          <w:highlight w:val="none"/>
          <w:lang w:val="en-US" w:eastAsia="zh-CN"/>
        </w:rPr>
        <w:t xml:space="preserve">30日</w:t>
      </w:r>
      <w:r>
        <w:rPr>
          <w:rFonts w:hint="eastAsia" w:ascii="方正仿宋_GBK" w:hAnsi="方正仿宋_GBK" w:eastAsia="方正仿宋_GBK" w:cs="方正仿宋_GBK"/>
          <w:color w:val="auto"/>
          <w:sz w:val="28"/>
          <w:szCs w:val="28"/>
          <w:highlight w:val="none"/>
        </w:rPr>
        <w:t xml:space="preserve">内完成）。</w:t>
      </w:r>
      <w:r/>
    </w:p>
    <w:p>
      <w:pPr>
        <w:ind w:firstLine="562"/>
        <w:jc w:val="left"/>
        <w:keepLines w:val="0"/>
        <w:keepNext w:val="0"/>
        <w:pageBreakBefore w:val="0"/>
        <w:spacing w:line="460" w:lineRule="exact"/>
        <w:widowControl/>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（4）投标时需提供平面布置图及技术方案。</w:t>
      </w:r>
      <w:r/>
    </w:p>
    <w:p>
      <w:pPr>
        <w:ind w:firstLine="562"/>
        <w:jc w:val="left"/>
        <w:keepLines w:val="0"/>
        <w:keepNext w:val="0"/>
        <w:pageBreakBefore w:val="0"/>
        <w:spacing w:line="460" w:lineRule="exact"/>
        <w:widowControl/>
        <w:rPr>
          <w:rFonts w:hint="default" w:ascii="方正仿宋_GBK" w:hAnsi="方正仿宋_GBK" w:eastAsia="方正仿宋_GBK" w:cs="方正仿宋_GBK"/>
          <w:b/>
          <w:color w:val="auto"/>
          <w:sz w:val="28"/>
          <w:szCs w:val="28"/>
          <w:highlight w:val="none"/>
          <w:lang w:val="en-US" w:eastAsia="zh-CN"/>
        </w:rPr>
      </w:pPr>
      <w:r>
        <w:rPr>
          <w:rFonts w:hint="eastAsia" w:ascii="方正仿宋_GBK" w:hAnsi="方正仿宋_GBK" w:eastAsia="方正仿宋_GBK" w:cs="方正仿宋_GBK"/>
          <w:b/>
          <w:color w:val="auto"/>
          <w:sz w:val="28"/>
          <w:szCs w:val="28"/>
          <w:highlight w:val="none"/>
        </w:rPr>
        <w:t xml:space="preserve">6.配套需求（</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b/>
          <w:color w:val="auto"/>
          <w:sz w:val="28"/>
          <w:szCs w:val="28"/>
          <w:highlight w:val="none"/>
        </w:rPr>
        <w:t xml:space="preserve">具体参数</w:t>
      </w:r>
      <w:r>
        <w:rPr>
          <w:rFonts w:hint="eastAsia" w:ascii="方正仿宋_GBK" w:hAnsi="方正仿宋_GBK" w:eastAsia="方正仿宋_GBK" w:cs="方正仿宋_GBK"/>
          <w:color w:val="auto"/>
          <w:sz w:val="28"/>
          <w:szCs w:val="28"/>
          <w:highlight w:val="none"/>
        </w:rPr>
        <w:t xml:space="preserve">详见停车场配套需求具体参数附件</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b/>
          <w:color w:val="auto"/>
          <w:sz w:val="28"/>
          <w:szCs w:val="28"/>
          <w:highlight w:val="none"/>
        </w:rPr>
        <w:t xml:space="preserve">）</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★（1）停车场需规范停车场技防要求，设置周界警系统等技术措施，确保涉案车辆在停车场期间满足公安执法等管理要求。每个停车场要安装视频监控设备并达到</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管理要求，视频可视范围应覆盖整个停车场（视频监控系统应覆盖停车场主要出入口、通道及关键区域，满足日常监管及执法取证需求），并每天24小时不间断录像及从接车到停放停车场，直至发放车辆必须保留全程视频资料，视频保存、可调阅时间不少于6个月（可回放）。</w:t>
      </w:r>
      <w:r/>
    </w:p>
    <w:p>
      <w:pPr>
        <w:ind w:firstLine="560"/>
        <w:jc w:val="left"/>
        <w:keepLines w:val="0"/>
        <w:keepNext w:val="0"/>
        <w:pageBreakBefore w:val="0"/>
        <w:spacing w:line="460" w:lineRule="exact"/>
        <w:widowControl/>
        <w:rPr>
          <w:rFonts w:hint="default"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rPr>
        <w:t xml:space="preserve">★（2）开发涉案车辆管理系统，并与招标人监管系统对接</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内外网交汇服务器由投标方提供</w:t>
      </w:r>
      <w:r>
        <w:rPr>
          <w:rFonts w:hint="eastAsia" w:ascii="方正仿宋_GBK" w:hAnsi="方正仿宋_GBK" w:eastAsia="方正仿宋_GBK" w:cs="方正仿宋_GBK"/>
          <w:color w:val="auto"/>
          <w:sz w:val="28"/>
          <w:szCs w:val="28"/>
          <w:highlight w:val="none"/>
        </w:rPr>
        <w:t xml:space="preserve">，交换数据（对停车场所停放涉案车辆入场时进行四面拍摄并存档，具体要求详见停车场配套需求具体参数附件</w:t>
      </w:r>
      <w:r>
        <w:rPr>
          <w:rFonts w:hint="eastAsia" w:ascii="方正仿宋_GBK" w:hAnsi="方正仿宋_GBK" w:eastAsia="方正仿宋_GBK" w:cs="方正仿宋_GBK"/>
          <w:color w:val="auto"/>
          <w:sz w:val="28"/>
          <w:szCs w:val="28"/>
          <w:highlight w:val="none"/>
          <w:lang w:val="en-US" w:eastAsia="zh-CN"/>
        </w:rPr>
        <w:t xml:space="preserve">4、</w:t>
      </w:r>
      <w:r>
        <w:rPr>
          <w:rFonts w:hint="eastAsia" w:ascii="方正仿宋_GBK" w:hAnsi="方正仿宋_GBK" w:eastAsia="方正仿宋_GBK" w:cs="方正仿宋_GBK"/>
          <w:color w:val="auto"/>
          <w:sz w:val="28"/>
          <w:szCs w:val="28"/>
          <w:highlight w:val="none"/>
        </w:rPr>
        <w:t xml:space="preserve">附件</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★（3）每个区域停车场内，必须配置1台</w:t>
      </w:r>
      <w:r>
        <w:rPr>
          <w:rFonts w:hint="eastAsia" w:ascii="仿宋" w:hAnsi="仿宋" w:eastAsia="仿宋" w:cs="宋体"/>
          <w:color w:val="auto"/>
          <w:sz w:val="28"/>
          <w:highlight w:val="none"/>
        </w:rPr>
        <w:t xml:space="preserve">具备符合实际业务需求的称重设备</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通吕运河以北、通吕运河以南（包括开发区和苏锡通园区）</w:t>
      </w:r>
      <w:r>
        <w:rPr>
          <w:rFonts w:hint="eastAsia" w:ascii="方正仿宋_GBK" w:hAnsi="方正仿宋_GBK" w:eastAsia="方正仿宋_GBK" w:cs="方正仿宋_GBK"/>
          <w:color w:val="auto"/>
          <w:sz w:val="28"/>
          <w:szCs w:val="28"/>
          <w:highlight w:val="none"/>
          <w:lang w:val="en-US" w:eastAsia="zh-CN"/>
        </w:rPr>
        <w:t xml:space="preserve">2个</w:t>
      </w:r>
      <w:r>
        <w:rPr>
          <w:rFonts w:hint="eastAsia" w:ascii="方正仿宋_GBK" w:hAnsi="方正仿宋_GBK" w:eastAsia="方正仿宋_GBK" w:cs="方正仿宋_GBK"/>
          <w:color w:val="auto"/>
          <w:sz w:val="28"/>
          <w:szCs w:val="28"/>
          <w:highlight w:val="none"/>
        </w:rPr>
        <w:t xml:space="preserve">区域各1台），且通过当地计量部门检定，地磅经法定计量检定机构检定合格后方可使用，并按规定出具称重记录或凭证，并提供24小时</w:t>
      </w:r>
      <w:r>
        <w:rPr>
          <w:rFonts w:hint="eastAsia" w:ascii="方正仿宋_GBK" w:hAnsi="方正仿宋_GBK" w:eastAsia="方正仿宋_GBK" w:cs="方正仿宋_GBK"/>
          <w:color w:val="auto"/>
          <w:sz w:val="28"/>
          <w:szCs w:val="28"/>
          <w:highlight w:val="none"/>
          <w:lang w:val="en-US" w:eastAsia="zh-CN"/>
        </w:rPr>
        <w:t xml:space="preserve">交通执法免费</w:t>
      </w:r>
      <w:r>
        <w:rPr>
          <w:rFonts w:hint="eastAsia" w:ascii="方正仿宋_GBK" w:hAnsi="方正仿宋_GBK" w:eastAsia="方正仿宋_GBK" w:cs="方正仿宋_GBK"/>
          <w:color w:val="auto"/>
          <w:sz w:val="28"/>
          <w:szCs w:val="28"/>
          <w:highlight w:val="none"/>
        </w:rPr>
        <w:t xml:space="preserve">服务。</w:t>
      </w:r>
      <w:r/>
    </w:p>
    <w:p>
      <w:pPr>
        <w:pStyle w:val="949"/>
        <w:ind w:firstLine="560"/>
        <w:keepLines w:val="0"/>
        <w:keepNext w:val="0"/>
        <w:pageBreakBefore w:val="0"/>
        <w:spacing w:before="0" w:beforeAutospacing="0" w:after="0" w:afterAutospacing="0"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★（4）停车场内场安装大功率的照明灯，方便群众在夜间到停车场取车，并确保夜间拍摄识别度不低于98%。</w:t>
      </w:r>
      <w:r/>
    </w:p>
    <w:p>
      <w:pPr>
        <w:pStyle w:val="949"/>
        <w:ind w:firstLine="560"/>
        <w:keepLines w:val="0"/>
        <w:keepNext w:val="0"/>
        <w:pageBreakBefore w:val="0"/>
        <w:spacing w:before="0" w:beforeAutospacing="0" w:after="0" w:afterAutospacing="0"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（5）按规定设置“涉案车辆停车场”标牌（详见停车场配套需求具体参数附件</w:t>
      </w:r>
      <w:r>
        <w:rPr>
          <w:rFonts w:hint="eastAsia" w:ascii="方正仿宋_GBK" w:hAnsi="方正仿宋_GBK" w:eastAsia="方正仿宋_GBK" w:cs="方正仿宋_GBK"/>
          <w:color w:val="auto"/>
          <w:sz w:val="28"/>
          <w:szCs w:val="28"/>
          <w:highlight w:val="none"/>
          <w:lang w:val="en-US" w:eastAsia="zh-CN"/>
        </w:rPr>
        <w:t xml:space="preserve">6</w:t>
      </w:r>
      <w:r>
        <w:rPr>
          <w:rFonts w:hint="eastAsia" w:ascii="方正仿宋_GBK" w:hAnsi="方正仿宋_GBK" w:eastAsia="方正仿宋_GBK" w:cs="方正仿宋_GBK"/>
          <w:color w:val="auto"/>
          <w:sz w:val="28"/>
          <w:szCs w:val="28"/>
          <w:highlight w:val="none"/>
        </w:rPr>
        <w:t xml:space="preserve">）。</w:t>
      </w:r>
      <w:r/>
    </w:p>
    <w:p>
      <w:pPr>
        <w:pStyle w:val="949"/>
        <w:ind w:firstLine="562"/>
        <w:keepLines w:val="0"/>
        <w:keepNext w:val="0"/>
        <w:pageBreakBefore w:val="0"/>
        <w:spacing w:before="0" w:beforeAutospacing="0" w:after="0" w:afterAutospacing="0" w:line="46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7.其它需求</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（1）服务期满或合同终止后，停车场无偿负责过渡期内（3个月）滞留车辆的停放管理工作。</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（2）每个停车场必须配备足量的木屑（用于清理道路路面油污）。</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（3）提供必要的便民服务措施（免费）。提供车辆电瓶搭接电设施，为长期停放车辆亏电发动提供借用</w:t>
      </w:r>
      <w:r>
        <w:rPr>
          <w:rFonts w:hint="eastAsia" w:ascii="方正仿宋_GBK" w:hAnsi="方正仿宋_GBK" w:eastAsia="方正仿宋_GBK" w:cs="方正仿宋_GBK"/>
          <w:color w:val="auto"/>
          <w:sz w:val="28"/>
          <w:szCs w:val="28"/>
          <w:highlight w:val="none"/>
          <w:lang w:val="en-US" w:eastAsia="zh-CN"/>
        </w:rPr>
        <w:t xml:space="preserve">便民</w:t>
      </w:r>
      <w:r>
        <w:rPr>
          <w:rFonts w:hint="eastAsia" w:ascii="方正仿宋_GBK" w:hAnsi="方正仿宋_GBK" w:eastAsia="方正仿宋_GBK" w:cs="方正仿宋_GBK"/>
          <w:color w:val="auto"/>
          <w:sz w:val="28"/>
          <w:szCs w:val="28"/>
          <w:highlight w:val="none"/>
        </w:rPr>
        <w:t xml:space="preserve">服务。</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（4）场地、车辆如为租赁形式的，必须具有合法有效的租赁合同。</w:t>
      </w:r>
      <w:r>
        <w:rPr>
          <w:rFonts w:hint="eastAsia" w:ascii="方正仿宋_GBK" w:hAnsi="方正仿宋_GBK" w:eastAsia="方正仿宋_GBK" w:cs="方正仿宋_GBK"/>
          <w:color w:val="auto"/>
          <w:sz w:val="28"/>
          <w:szCs w:val="28"/>
          <w:highlight w:val="none"/>
          <w:lang w:val="en-US" w:eastAsia="zh-CN"/>
        </w:rPr>
        <w:t xml:space="preserve">注明</w:t>
      </w:r>
      <w:r>
        <w:rPr>
          <w:rFonts w:hint="eastAsia" w:ascii="方正仿宋_GBK" w:hAnsi="方正仿宋_GBK" w:eastAsia="方正仿宋_GBK" w:cs="方正仿宋_GBK"/>
          <w:b/>
          <w:bCs/>
          <w:color w:val="auto"/>
          <w:sz w:val="28"/>
          <w:szCs w:val="28"/>
          <w:highlight w:val="none"/>
        </w:rPr>
        <w:t xml:space="preserve">场地用途</w:t>
      </w:r>
      <w:r>
        <w:rPr>
          <w:rFonts w:hint="eastAsia" w:ascii="方正仿宋_GBK" w:hAnsi="方正仿宋_GBK" w:eastAsia="方正仿宋_GBK" w:cs="方正仿宋_GBK"/>
          <w:b/>
          <w:bCs/>
          <w:color w:val="auto"/>
          <w:sz w:val="28"/>
          <w:szCs w:val="28"/>
          <w:highlight w:val="none"/>
          <w:lang w:eastAsia="zh-CN"/>
        </w:rPr>
        <w:t xml:space="preserve">，</w:t>
      </w:r>
      <w:r>
        <w:rPr>
          <w:rFonts w:hint="eastAsia" w:ascii="方正仿宋_GBK" w:hAnsi="方正仿宋_GBK" w:eastAsia="方正仿宋_GBK" w:cs="方正仿宋_GBK"/>
          <w:b/>
          <w:bCs/>
          <w:color w:val="auto"/>
          <w:sz w:val="28"/>
          <w:szCs w:val="28"/>
          <w:highlight w:val="none"/>
        </w:rPr>
        <w:t xml:space="preserve">可以用于停车场，</w:t>
      </w:r>
      <w:r>
        <w:rPr>
          <w:rFonts w:hint="eastAsia" w:ascii="方正仿宋_GBK" w:hAnsi="方正仿宋_GBK" w:eastAsia="方正仿宋_GBK" w:cs="方正仿宋_GBK"/>
          <w:b/>
          <w:bCs/>
          <w:color w:val="auto"/>
          <w:sz w:val="28"/>
          <w:szCs w:val="28"/>
          <w:highlight w:val="none"/>
          <w:lang w:val="en-US" w:eastAsia="zh-CN"/>
        </w:rPr>
        <w:t xml:space="preserve">并</w:t>
      </w:r>
      <w:r>
        <w:rPr>
          <w:rFonts w:hint="eastAsia" w:ascii="方正仿宋_GBK" w:hAnsi="方正仿宋_GBK" w:eastAsia="方正仿宋_GBK" w:cs="方正仿宋_GBK"/>
          <w:b/>
          <w:bCs/>
          <w:color w:val="auto"/>
          <w:sz w:val="28"/>
          <w:szCs w:val="28"/>
          <w:highlight w:val="none"/>
        </w:rPr>
        <w:t xml:space="preserve">符合相关规划要求。</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（5）场地内所有材料应符合消防相关要求。</w:t>
      </w:r>
      <w:r/>
    </w:p>
    <w:p>
      <w:pPr>
        <w:ind w:firstLine="562"/>
        <w:jc w:val="left"/>
        <w:keepLines w:val="0"/>
        <w:keepNext w:val="0"/>
        <w:pageBreakBefore w:val="0"/>
        <w:spacing w:line="460" w:lineRule="exact"/>
        <w:widowControl/>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（6）投标时，投标人需提供车棚、附属建筑物相关设施技术方案，中标后需进行深化设计，并征得招标人同意后施工。</w:t>
      </w:r>
      <w:r/>
    </w:p>
    <w:p>
      <w:pPr>
        <w:ind w:firstLine="562"/>
        <w:keepLines w:val="0"/>
        <w:keepNext w:val="0"/>
        <w:pageBreakBefore w:val="0"/>
        <w:spacing w:line="460" w:lineRule="exact"/>
        <w:tabs>
          <w:tab w:val="left" w:pos="0" w:leader="none"/>
        </w:tabs>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bCs/>
          <w:color w:val="auto"/>
          <w:sz w:val="28"/>
          <w:szCs w:val="28"/>
          <w:highlight w:val="none"/>
          <w:lang w:val="en-US" w:eastAsia="zh-CN"/>
        </w:rPr>
        <w:t xml:space="preserve">二</w:t>
      </w:r>
      <w:r>
        <w:rPr>
          <w:rFonts w:hint="eastAsia" w:ascii="方正仿宋_GBK" w:hAnsi="方正仿宋_GBK" w:eastAsia="方正仿宋_GBK" w:cs="方正仿宋_GBK"/>
          <w:b/>
          <w:bCs/>
          <w:color w:val="auto"/>
          <w:sz w:val="28"/>
          <w:szCs w:val="28"/>
          <w:highlight w:val="none"/>
        </w:rPr>
        <w:t xml:space="preserve">、采购标的需执行的国家相关标准、行业标准、地方标准或者其他标准、规范，包括但不限于：</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1.《中华人民共和国行政强制法》</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2.《中华人民共和国道路交通安全法》</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3.其他国家现行相关法律法规</w:t>
      </w:r>
      <w:r/>
    </w:p>
    <w:p>
      <w:pPr>
        <w:ind w:firstLine="562"/>
        <w:keepLines w:val="0"/>
        <w:keepNext w:val="0"/>
        <w:pageBreakBefore w:val="0"/>
        <w:spacing w:line="460" w:lineRule="exact"/>
        <w:tabs>
          <w:tab w:val="left" w:pos="0" w:leader="none"/>
        </w:tabs>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lang w:val="en-US" w:eastAsia="zh-CN"/>
        </w:rPr>
        <w:t xml:space="preserve">三</w:t>
      </w:r>
      <w:r>
        <w:rPr>
          <w:rFonts w:hint="eastAsia" w:ascii="方正仿宋_GBK" w:hAnsi="方正仿宋_GBK" w:eastAsia="方正仿宋_GBK" w:cs="方正仿宋_GBK"/>
          <w:b/>
          <w:bCs/>
          <w:color w:val="auto"/>
          <w:sz w:val="28"/>
          <w:szCs w:val="28"/>
          <w:highlight w:val="none"/>
        </w:rPr>
        <w:t xml:space="preserve">、采购标的数量、采购项目交付或者实施的时间和地点</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1.通过本次招标，择优选择1个社会服务机构，为</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涉案车辆提供停放保管及配套服务。</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1.1支</w:t>
      </w:r>
      <w:r>
        <w:rPr>
          <w:rFonts w:hint="eastAsia" w:ascii="方正仿宋_GBK" w:hAnsi="方正仿宋_GBK" w:eastAsia="方正仿宋_GBK" w:cs="方正仿宋_GBK"/>
          <w:color w:val="auto"/>
          <w:sz w:val="28"/>
          <w:szCs w:val="28"/>
          <w:highlight w:val="none"/>
          <w:lang w:val="en-US" w:eastAsia="zh-CN"/>
        </w:rPr>
        <w:t xml:space="preserve">队事故处理和案件办理大队</w:t>
      </w:r>
      <w:r>
        <w:rPr>
          <w:rFonts w:hint="eastAsia" w:ascii="方正仿宋_GBK" w:hAnsi="方正仿宋_GBK" w:eastAsia="方正仿宋_GBK" w:cs="方正仿宋_GBK"/>
          <w:color w:val="auto"/>
          <w:sz w:val="28"/>
          <w:szCs w:val="28"/>
          <w:highlight w:val="none"/>
        </w:rPr>
        <w:t xml:space="preserve">、七大队扣留的车辆可指定任何一停车场内停放；辖区其他办案机关需要扣留的车辆，按辖区大队要求就近停放或在大队指定的停车场停放。</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1.2每个区域最多可以配2个停车场，面积之和不得低于招标文件要求的该区域最低面积要求的80%。各区域停车场总面积不得低于招标总面积要求，低于总的招标面积要求的，视为不能实质性响应招标需求；投标人停车场面积达到或多于招标面积的，按招标面积计费，超出部分不予另外计费。</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1.3其他设备配备可在中标后签订合同前到位。</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2.项目实施地点：</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指定。</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3.停车场建设管理及配套设备、车辆、人员，提供清障运输等24小时配套服务，由投标人提供，所有费用应包括在投标报价中。</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投标报价还应包括场地租赁、保险、设施设备投入、人员工资以及为完成招标文件规定的工作内容所涉及到的一切相关费用。投标人报价时应充分考虑服务期内所有可能影响到报价的因素，一旦成交，总价将包定，即为合同价，不予调整。如发生漏、缺、少项，都将被认为是投标人的报价让利行为，损失自负。</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针对本项目建立《涉案财物管理系统》，系统开发费用</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内外网交汇服务器等费用</w:t>
      </w:r>
      <w:r>
        <w:rPr>
          <w:rFonts w:hint="eastAsia" w:ascii="方正仿宋_GBK" w:hAnsi="方正仿宋_GBK" w:eastAsia="方正仿宋_GBK" w:cs="方正仿宋_GBK"/>
          <w:color w:val="auto"/>
          <w:sz w:val="28"/>
          <w:szCs w:val="28"/>
          <w:highlight w:val="none"/>
        </w:rPr>
        <w:t xml:space="preserve">包括在本项目投标总报价中。</w:t>
      </w:r>
      <w:r/>
    </w:p>
    <w:p>
      <w:pPr>
        <w:ind w:firstLine="562"/>
        <w:jc w:val="left"/>
        <w:keepLines w:val="0"/>
        <w:keepNext w:val="0"/>
        <w:pageBreakBefore w:val="0"/>
        <w:spacing w:line="460" w:lineRule="exact"/>
        <w:widowControl/>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lang w:val="en-US" w:eastAsia="zh-CN"/>
        </w:rPr>
        <w:t xml:space="preserve">四</w:t>
      </w:r>
      <w:r>
        <w:rPr>
          <w:rFonts w:hint="eastAsia" w:ascii="方正仿宋_GBK" w:hAnsi="方正仿宋_GBK" w:eastAsia="方正仿宋_GBK" w:cs="方正仿宋_GBK"/>
          <w:b/>
          <w:bCs/>
          <w:color w:val="auto"/>
          <w:sz w:val="28"/>
          <w:szCs w:val="28"/>
          <w:highlight w:val="none"/>
        </w:rPr>
        <w:t xml:space="preserve">、采购标的需满足的服务标准、期限、效率等要求</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1.停车场在车辆被执法机关扣留期间，不得向当事人收取停车费（执法机关已发还的车辆，自《放车单》发放之日起超过48小时未取的，自48小时期满后</w:t>
      </w:r>
      <w:r>
        <w:rPr>
          <w:rFonts w:hint="eastAsia" w:ascii="方正仿宋_GBK" w:hAnsi="方正仿宋_GBK" w:eastAsia="方正仿宋_GBK" w:cs="方正仿宋_GBK"/>
          <w:color w:val="auto"/>
          <w:sz w:val="28"/>
          <w:szCs w:val="28"/>
          <w:highlight w:val="none"/>
          <w:lang w:val="en-US" w:eastAsia="zh-CN"/>
        </w:rPr>
        <w:t xml:space="preserve">可</w:t>
      </w:r>
      <w:r>
        <w:rPr>
          <w:rFonts w:hint="eastAsia" w:ascii="方正仿宋_GBK" w:hAnsi="方正仿宋_GBK" w:eastAsia="方正仿宋_GBK" w:cs="方正仿宋_GBK"/>
          <w:color w:val="auto"/>
          <w:sz w:val="28"/>
          <w:szCs w:val="28"/>
          <w:highlight w:val="none"/>
        </w:rPr>
        <w:t xml:space="preserve">按当地物价部门的规定计价收取停车费。未取得收费标准备案等相关手续的，当事人凭执法放行单即时免费放行；执法机关按规定需要报废的车辆，不产生停车费用）。</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如需收费的，必须经当地物价主管部门价格备案后，执行政府指导价，使用正规收费票据，并在停车场醒目位置张贴告示。</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2.接</w:t>
      </w:r>
      <w:r>
        <w:rPr>
          <w:rFonts w:hint="eastAsia" w:ascii="方正仿宋_GBK" w:hAnsi="方正仿宋_GBK" w:eastAsia="方正仿宋_GBK" w:cs="方正仿宋_GBK"/>
          <w:color w:val="auto"/>
          <w:sz w:val="28"/>
          <w:szCs w:val="28"/>
          <w:highlight w:val="none"/>
          <w:lang w:eastAsia="zh-CN"/>
        </w:rPr>
        <w:t xml:space="preserve">交通管理</w:t>
      </w:r>
      <w:r>
        <w:rPr>
          <w:rFonts w:hint="eastAsia" w:ascii="方正仿宋_GBK" w:hAnsi="方正仿宋_GBK" w:eastAsia="方正仿宋_GBK" w:cs="方正仿宋_GBK"/>
          <w:color w:val="auto"/>
          <w:sz w:val="28"/>
          <w:szCs w:val="28"/>
          <w:highlight w:val="none"/>
          <w:lang w:val="en-US" w:eastAsia="zh-CN"/>
        </w:rPr>
        <w:t xml:space="preserve">部门</w:t>
      </w:r>
      <w:r>
        <w:rPr>
          <w:rFonts w:hint="eastAsia" w:ascii="方正仿宋_GBK" w:hAnsi="方正仿宋_GBK" w:eastAsia="方正仿宋_GBK" w:cs="方正仿宋_GBK"/>
          <w:color w:val="auto"/>
          <w:sz w:val="28"/>
          <w:szCs w:val="28"/>
          <w:highlight w:val="none"/>
        </w:rPr>
        <w:t xml:space="preserve">接车通知5分钟内出动接车人员或响应接车通知，最晚在30分钟到场处置</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如遇特殊情况不能按时到达的，应及时向相关大队报告并采取相应措施</w:t>
      </w:r>
      <w:r>
        <w:rPr>
          <w:rFonts w:hint="eastAsia" w:ascii="方正仿宋_GBK" w:hAnsi="方正仿宋_GBK" w:eastAsia="方正仿宋_GBK" w:cs="方正仿宋_GBK"/>
          <w:color w:val="auto"/>
          <w:sz w:val="28"/>
          <w:szCs w:val="28"/>
          <w:highlight w:val="none"/>
        </w:rPr>
        <w:t xml:space="preserve">。</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3.停车场工作人员要工作规范，熟练操作涉案财物管理系统，按要求做好涉案车辆出入停车场的数据核对工作，热情接待办事群众，避免发生矛盾争执等问题。服务工作人员需统一着装，佩戴工作牌。</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停车场在车辆接收时，要做好车况检查、核对工作，详细记录车辆外观、车辆燃油、车内物品情况，记录归档并全程摄录，视频保存时间不少于六个月。对发生重大交通事故车辆、车损严重，存在安全隐患的要及时排查处置，并设专门区域停放管理。</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5.停车场因</w:t>
      </w:r>
      <w:r>
        <w:rPr>
          <w:rFonts w:hint="eastAsia" w:ascii="方正仿宋_GBK" w:hAnsi="方正仿宋_GBK" w:eastAsia="方正仿宋_GBK" w:cs="方正仿宋_GBK"/>
          <w:color w:val="auto"/>
          <w:sz w:val="28"/>
          <w:szCs w:val="28"/>
          <w:highlight w:val="none"/>
          <w:lang w:val="en-US" w:eastAsia="zh-CN"/>
        </w:rPr>
        <w:t xml:space="preserve">管理</w:t>
      </w:r>
      <w:r>
        <w:rPr>
          <w:rFonts w:hint="eastAsia" w:ascii="方正仿宋_GBK" w:hAnsi="方正仿宋_GBK" w:eastAsia="方正仿宋_GBK" w:cs="方正仿宋_GBK"/>
          <w:color w:val="auto"/>
          <w:sz w:val="28"/>
          <w:szCs w:val="28"/>
          <w:highlight w:val="none"/>
        </w:rPr>
        <w:t xml:space="preserve">不善造成车辆损坏、物品丢失的，承担赔偿责任，发生保管纠纷的，负责解释处理工作。</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6.未经公安部门批准，不得以任何形式擅自拍摄、传播相关执法活动及与执法有关的视频。</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7.应制定相应的规章制度、应急预案、服务承诺。</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8.停车场须配合公安部门做好积压（或报废）车辆的清理工作。</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9.高速涉案车辆，由对应停车场到就近高速收费站接运。</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10.对进入停车场办理相关业务（取车、取物、拍照、车辆检测、鉴定等）接触到案件车辆的人员必须有停车场工作人员的陪同。</w:t>
      </w:r>
      <w:r/>
    </w:p>
    <w:p>
      <w:pPr>
        <w:ind w:firstLine="562"/>
        <w:jc w:val="left"/>
        <w:keepLines w:val="0"/>
        <w:keepNext w:val="0"/>
        <w:pageBreakBefore w:val="0"/>
        <w:spacing w:line="460" w:lineRule="exact"/>
        <w:widowControl/>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lang w:val="en-US" w:eastAsia="zh-CN"/>
        </w:rPr>
        <w:t xml:space="preserve">五</w:t>
      </w:r>
      <w:r>
        <w:rPr>
          <w:rFonts w:hint="eastAsia" w:ascii="方正仿宋_GBK" w:hAnsi="方正仿宋_GBK" w:eastAsia="方正仿宋_GBK" w:cs="方正仿宋_GBK"/>
          <w:b/>
          <w:bCs/>
          <w:color w:val="auto"/>
          <w:sz w:val="28"/>
          <w:szCs w:val="28"/>
          <w:highlight w:val="none"/>
        </w:rPr>
        <w:t xml:space="preserve">、采购标的验收标准</w:t>
      </w:r>
      <w:r/>
    </w:p>
    <w:p>
      <w:pPr>
        <w:ind w:firstLine="562"/>
        <w:jc w:val="left"/>
        <w:keepLines w:val="0"/>
        <w:keepNext w:val="0"/>
        <w:pageBreakBefore w:val="0"/>
        <w:spacing w:line="460" w:lineRule="exact"/>
        <w:widowControl/>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（一）正式交付使用前对场地、车辆、设备、配套设施等验收</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将严格按照招标文件约定，在规定时间内对中标单位场地、车辆、设备、配套设施、人员到位等情况进行逐项验收确认。因中标单位原因未在招标文件约定的时间内完成上述事项的，视为中标单位无实际履约能力，依照相关法律法规规定处理。</w:t>
      </w:r>
      <w:r/>
    </w:p>
    <w:p>
      <w:pPr>
        <w:ind w:firstLine="562"/>
        <w:jc w:val="left"/>
        <w:keepLines w:val="0"/>
        <w:keepNext w:val="0"/>
        <w:pageBreakBefore w:val="0"/>
        <w:spacing w:line="460" w:lineRule="exact"/>
        <w:widowControl/>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（二）运行考核</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1.南通市公安局</w:t>
      </w:r>
      <w:r>
        <w:rPr>
          <w:rFonts w:hint="eastAsia" w:ascii="方正仿宋_GBK" w:hAnsi="方正仿宋_GBK" w:eastAsia="方正仿宋_GBK" w:cs="方正仿宋_GBK"/>
          <w:color w:val="auto"/>
          <w:sz w:val="28"/>
          <w:szCs w:val="28"/>
          <w:highlight w:val="none"/>
          <w:lang w:val="en-US" w:eastAsia="zh-CN"/>
        </w:rPr>
        <w:t xml:space="preserve">交通管理</w:t>
      </w:r>
      <w:r>
        <w:rPr>
          <w:rFonts w:hint="eastAsia" w:ascii="方正仿宋_GBK" w:hAnsi="方正仿宋_GBK" w:eastAsia="方正仿宋_GBK" w:cs="方正仿宋_GBK"/>
          <w:color w:val="auto"/>
          <w:sz w:val="28"/>
          <w:szCs w:val="28"/>
          <w:highlight w:val="none"/>
        </w:rPr>
        <w:t xml:space="preserve">支队各服务大队是本项目管理职能部门，负责本项目的日常管理考核，核实处理群众投诉，各大队的考核成绩占总成绩的90℅、支队专项考核占总成绩的10℅。</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2.考核结果运用：根据考核结果支付相应服务费用，支付金额=合同金额-所扣分数×500元。</w:t>
      </w:r>
      <w:r/>
    </w:p>
    <w:p>
      <w:pPr>
        <w:ind w:firstLine="560"/>
        <w:jc w:val="left"/>
        <w:keepLines w:val="0"/>
        <w:keepNext w:val="0"/>
        <w:pageBreakBefore w:val="0"/>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3.每月为一考核周期，不定期抽查。基础分100分，出现下列情况的扣除相应分值。如一个考核周期内扣分超过10分（含）的，责令整改。连续两个月考核低于90分的，</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有权终止服务合同。</w:t>
      </w:r>
      <w:r/>
    </w:p>
    <w:tbl>
      <w:tblPr>
        <w:tblStyle w:val="923"/>
        <w:tblW w:w="8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9"/>
        <w:gridCol w:w="8037"/>
      </w:tblGrid>
      <w:tr>
        <w:trPr>
          <w:trHeight w:val="726"/>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3.1</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lang w:val="en-US" w:eastAsia="zh-CN"/>
              </w:rPr>
              <w:t xml:space="preserve">停车场工作</w:t>
            </w:r>
            <w:r>
              <w:rPr>
                <w:rFonts w:hint="eastAsia"/>
                <w:color w:val="auto"/>
                <w:szCs w:val="21"/>
                <w:highlight w:val="none"/>
              </w:rPr>
              <w:t xml:space="preserve">电话保持24小时通畅，保持</w:t>
            </w:r>
            <w:r>
              <w:rPr>
                <w:rFonts w:hint="eastAsia"/>
                <w:color w:val="auto"/>
                <w:szCs w:val="21"/>
                <w:highlight w:val="none"/>
                <w:lang w:val="en-US" w:eastAsia="zh-CN"/>
              </w:rPr>
              <w:t xml:space="preserve">工作人员</w:t>
            </w:r>
            <w:r>
              <w:rPr>
                <w:rFonts w:hint="eastAsia"/>
                <w:color w:val="auto"/>
                <w:szCs w:val="21"/>
                <w:highlight w:val="none"/>
              </w:rPr>
              <w:t xml:space="preserve">在岗，接</w:t>
            </w:r>
            <w:r>
              <w:rPr>
                <w:rFonts w:hint="eastAsia"/>
                <w:color w:val="auto"/>
                <w:szCs w:val="21"/>
                <w:highlight w:val="none"/>
                <w:lang w:val="en-US" w:eastAsia="zh-CN"/>
              </w:rPr>
              <w:t xml:space="preserve">大队指令</w:t>
            </w:r>
            <w:r>
              <w:rPr>
                <w:rFonts w:hint="eastAsia"/>
                <w:color w:val="auto"/>
                <w:szCs w:val="21"/>
                <w:highlight w:val="none"/>
              </w:rPr>
              <w:t xml:space="preserve">后5分钟内发车，30分钟必须达到现场，违反上述要求规定的，发现一次扣1分。</w:t>
            </w:r>
            <w:r/>
          </w:p>
        </w:tc>
      </w:tr>
      <w:tr>
        <w:trPr>
          <w:trHeight w:val="1263"/>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3.2</w:t>
            </w:r>
            <w:r/>
          </w:p>
        </w:tc>
        <w:tc>
          <w:tcPr>
            <w:tcMar>
              <w:left w:w="108" w:type="dxa"/>
              <w:top w:w="0" w:type="dxa"/>
              <w:right w:w="108" w:type="dxa"/>
              <w:bottom w:w="0" w:type="dxa"/>
            </w:tcMar>
            <w:tcW w:w="8037" w:type="dxa"/>
            <w:vAlign w:val="center"/>
            <w:textDirection w:val="lrTb"/>
            <w:noWrap w:val="false"/>
          </w:tcPr>
          <w:p>
            <w:pPr>
              <w:pStyle w:val="928"/>
              <w:rPr>
                <w:color w:val="auto"/>
                <w:highlight w:val="none"/>
              </w:rPr>
            </w:pPr>
            <w:r>
              <w:rPr>
                <w:rFonts w:hint="eastAsia"/>
                <w:color w:val="auto"/>
                <w:highlight w:val="none"/>
              </w:rPr>
              <w:t xml:space="preserve">安排专人负责操作管理公安部门提供的涉案财物信息管理系统。接</w:t>
            </w:r>
            <w:r>
              <w:rPr>
                <w:rFonts w:hint="eastAsia"/>
                <w:color w:val="auto"/>
                <w:highlight w:val="none"/>
                <w:lang w:val="en-US" w:eastAsia="zh-CN"/>
              </w:rPr>
              <w:t xml:space="preserve">大队指令</w:t>
            </w:r>
            <w:r>
              <w:rPr>
                <w:rFonts w:hint="eastAsia"/>
                <w:color w:val="auto"/>
                <w:highlight w:val="none"/>
              </w:rPr>
              <w:t xml:space="preserve">登记，及时祥细、真实填写相关内容（</w:t>
            </w:r>
            <w:r>
              <w:rPr>
                <w:rFonts w:hint="eastAsia"/>
                <w:color w:val="auto"/>
                <w:highlight w:val="none"/>
                <w:lang w:val="en-US" w:eastAsia="zh-CN"/>
              </w:rPr>
              <w:t xml:space="preserve">接大队指令</w:t>
            </w:r>
            <w:r>
              <w:rPr>
                <w:rFonts w:hint="eastAsia"/>
                <w:color w:val="auto"/>
                <w:highlight w:val="none"/>
              </w:rPr>
              <w:t xml:space="preserve">时间、</w:t>
            </w:r>
            <w:r>
              <w:rPr>
                <w:rFonts w:hint="eastAsia"/>
                <w:color w:val="auto"/>
                <w:highlight w:val="none"/>
                <w:lang w:val="en-US" w:eastAsia="zh-CN"/>
              </w:rPr>
              <w:t xml:space="preserve">事故现场</w:t>
            </w:r>
            <w:r>
              <w:rPr>
                <w:rFonts w:hint="eastAsia"/>
                <w:color w:val="auto"/>
                <w:highlight w:val="none"/>
              </w:rPr>
              <w:t xml:space="preserve">地点、</w:t>
            </w:r>
            <w:r>
              <w:rPr>
                <w:rFonts w:hint="eastAsia"/>
                <w:color w:val="auto"/>
                <w:highlight w:val="none"/>
                <w:lang w:val="en-US" w:eastAsia="zh-CN"/>
              </w:rPr>
              <w:t xml:space="preserve">派发指令</w:t>
            </w:r>
            <w:r>
              <w:rPr>
                <w:rFonts w:hint="eastAsia"/>
                <w:color w:val="auto"/>
                <w:highlight w:val="none"/>
              </w:rPr>
              <w:t xml:space="preserve">单位及</w:t>
            </w:r>
            <w:r>
              <w:rPr>
                <w:rFonts w:hint="eastAsia"/>
                <w:color w:val="auto"/>
                <w:highlight w:val="none"/>
                <w:lang w:val="en-US" w:eastAsia="zh-CN"/>
              </w:rPr>
              <w:t xml:space="preserve">现场处理</w:t>
            </w:r>
            <w:r>
              <w:rPr>
                <w:rFonts w:hint="eastAsia"/>
                <w:color w:val="auto"/>
                <w:highlight w:val="none"/>
              </w:rPr>
              <w:t xml:space="preserve">民警、拖车时间、拖车人员、拖车号等工作），进场登记，进场时间、车型车号、电动车辆电瓶情况、事故车辆的破损细节登记、其它随车物品登记、车辆钥匙登记。接车员在</w:t>
            </w:r>
            <w:r>
              <w:rPr>
                <w:rFonts w:hint="eastAsia"/>
                <w:color w:val="auto"/>
                <w:highlight w:val="none"/>
                <w:lang w:val="en-US" w:eastAsia="zh-CN"/>
              </w:rPr>
              <w:t xml:space="preserve">事故</w:t>
            </w:r>
            <w:r>
              <w:rPr>
                <w:rFonts w:hint="eastAsia"/>
                <w:color w:val="auto"/>
                <w:highlight w:val="none"/>
              </w:rPr>
              <w:t xml:space="preserve">现场与民警做好车辆物品交接手续并签字确认，不按规定的每次扣1分。</w:t>
            </w:r>
            <w:r/>
          </w:p>
        </w:tc>
      </w:tr>
      <w:tr>
        <w:trPr>
          <w:trHeight w:val="945"/>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3.3</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当事人及委托取车人进停车场必须持有办案单位车辆放行单（办案单位盖章、发放单存档备查），无关人员一律不得进入场地。事故勘察、保险勘察人员进入场地须持有效证件，并登记方可入内，不按规定的，每次扣1分。</w:t>
            </w:r>
            <w:r/>
          </w:p>
        </w:tc>
      </w:tr>
      <w:tr>
        <w:trPr>
          <w:trHeight w:val="428"/>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3.4</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不按要求使用行车记录仪、</w:t>
            </w:r>
            <w:r>
              <w:rPr>
                <w:rFonts w:hint="eastAsia"/>
                <w:color w:val="auto"/>
                <w:szCs w:val="21"/>
                <w:highlight w:val="none"/>
                <w:lang w:val="en-US" w:eastAsia="zh-CN"/>
              </w:rPr>
              <w:t xml:space="preserve">工作</w:t>
            </w:r>
            <w:r>
              <w:rPr>
                <w:rFonts w:hint="eastAsia"/>
                <w:color w:val="auto"/>
                <w:szCs w:val="21"/>
                <w:highlight w:val="none"/>
              </w:rPr>
              <w:t xml:space="preserve">记录仪的，或不按要求保存相关数据的，每次扣1分。</w:t>
            </w:r>
            <w:r/>
          </w:p>
        </w:tc>
      </w:tr>
      <w:tr>
        <w:trPr>
          <w:trHeight w:val="595"/>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3.5</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停车场对涉案车辆管理台账应妥善保存（服务期满后，统一移交辖区大队），以备查阅，未按要求落实的，每次扣1分；监控数据未按要求保存的，每次扣2分。</w:t>
            </w:r>
            <w:r/>
          </w:p>
        </w:tc>
      </w:tr>
      <w:tr>
        <w:trPr>
          <w:trHeight w:val="726"/>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3.6</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针对服务功能需求、停车车辆类型、进场涉案车辆涉案性质等，对停车场进行分区、分等级管理，并采取展板等形式上墙公示。因停车场管理措施不到位或硬件设施不齐全，造成清障、保管的车辆损坏或车物品遗失的，除负责处理赔偿外，发现一起扣2分。</w:t>
            </w:r>
            <w:r/>
          </w:p>
        </w:tc>
      </w:tr>
      <w:tr>
        <w:trPr>
          <w:trHeight w:val="646"/>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3.7</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工作中发生重大失误</w:t>
            </w:r>
            <w:r>
              <w:rPr>
                <w:rFonts w:hint="eastAsia"/>
                <w:color w:val="auto"/>
                <w:szCs w:val="21"/>
                <w:highlight w:val="none"/>
                <w:lang w:eastAsia="zh-CN"/>
              </w:rPr>
              <w:t xml:space="preserve">、</w:t>
            </w:r>
            <w:r>
              <w:rPr>
                <w:rFonts w:hint="eastAsia"/>
                <w:color w:val="auto"/>
                <w:szCs w:val="21"/>
                <w:highlight w:val="none"/>
              </w:rPr>
              <w:t xml:space="preserve">违规</w:t>
            </w:r>
            <w:r>
              <w:rPr>
                <w:rFonts w:hint="eastAsia"/>
                <w:color w:val="auto"/>
                <w:szCs w:val="21"/>
                <w:highlight w:val="none"/>
                <w:lang w:val="en-US" w:eastAsia="zh-CN"/>
              </w:rPr>
              <w:t xml:space="preserve">操作或管理不善</w:t>
            </w:r>
            <w:r>
              <w:rPr>
                <w:rFonts w:hint="eastAsia"/>
                <w:color w:val="auto"/>
                <w:szCs w:val="21"/>
                <w:highlight w:val="none"/>
              </w:rPr>
              <w:t xml:space="preserve">被当事人投诉至相关部门的，除负责赔偿处理外，每次扣3分。</w:t>
            </w:r>
            <w:r/>
          </w:p>
        </w:tc>
      </w:tr>
      <w:tr>
        <w:trPr>
          <w:trHeight w:val="388"/>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3.8</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擅自拍摄、传播</w:t>
            </w:r>
            <w:r>
              <w:rPr>
                <w:rFonts w:hint="eastAsia"/>
                <w:color w:val="auto"/>
                <w:szCs w:val="21"/>
                <w:highlight w:val="none"/>
                <w:lang w:val="en-US" w:eastAsia="zh-CN"/>
              </w:rPr>
              <w:t xml:space="preserve">与</w:t>
            </w:r>
            <w:r>
              <w:rPr>
                <w:rFonts w:hint="eastAsia"/>
                <w:color w:val="auto"/>
                <w:szCs w:val="21"/>
                <w:highlight w:val="none"/>
              </w:rPr>
              <w:t xml:space="preserve">执法</w:t>
            </w:r>
            <w:r>
              <w:rPr>
                <w:rFonts w:hint="eastAsia"/>
                <w:color w:val="auto"/>
                <w:szCs w:val="21"/>
                <w:highlight w:val="none"/>
                <w:lang w:val="en-US" w:eastAsia="zh-CN"/>
              </w:rPr>
              <w:t xml:space="preserve">相关</w:t>
            </w:r>
            <w:r>
              <w:rPr>
                <w:rFonts w:hint="eastAsia"/>
                <w:color w:val="auto"/>
                <w:szCs w:val="21"/>
                <w:highlight w:val="none"/>
              </w:rPr>
              <w:t xml:space="preserve">视频的，每次扣5分，造成恶劣影响的，每次扣10分。</w:t>
            </w:r>
            <w:r/>
          </w:p>
        </w:tc>
      </w:tr>
      <w:tr>
        <w:trPr>
          <w:trHeight w:val="388"/>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3.9</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违规收费，经查证属实的，除退还相应费用外，发现一起扣5分。</w:t>
            </w:r>
            <w:r/>
          </w:p>
        </w:tc>
      </w:tr>
      <w:tr>
        <w:trPr>
          <w:trHeight w:val="726"/>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3.10 </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私自使用被拖车辆或车上物品的，每次扣5分；造成车辆损坏或遗失的，除负责赔偿处理外，每次扣5分。</w:t>
            </w:r>
            <w:r/>
          </w:p>
        </w:tc>
      </w:tr>
      <w:tr>
        <w:trPr>
          <w:trHeight w:val="696"/>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3.11</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停车场未在显著位置公示监督举报电话、服务承诺、收费标准（未取得收费标准备案等相关手续的凭执法放行单即时免费放行）、管理规定或者以上内容污损后不完善的，扣5分。</w:t>
            </w:r>
            <w:r/>
          </w:p>
        </w:tc>
      </w:tr>
      <w:tr>
        <w:trPr>
          <w:trHeight w:val="428"/>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3.12</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停车场停放与执法涉案无关的其他单位车辆、设备的，发现一起扣5分。</w:t>
            </w:r>
            <w:r/>
          </w:p>
        </w:tc>
      </w:tr>
      <w:tr>
        <w:trPr>
          <w:trHeight w:val="428"/>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3.13</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停车场私拆车辆配件的，发现一起扣10分，并进行赔偿。</w:t>
            </w:r>
            <w:r/>
          </w:p>
        </w:tc>
      </w:tr>
      <w:tr>
        <w:trPr>
          <w:trHeight w:val="527"/>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3.14</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因保管不善造成起火、水淹致车辆损毁、灭失的，除赔偿相应损失外，发现一起扣10分。</w:t>
            </w:r>
            <w:r/>
          </w:p>
        </w:tc>
      </w:tr>
      <w:tr>
        <w:trPr>
          <w:trHeight w:val="766"/>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3.15</w:t>
            </w:r>
            <w:r/>
          </w:p>
        </w:tc>
        <w:tc>
          <w:tcPr>
            <w:tcMar>
              <w:left w:w="108" w:type="dxa"/>
              <w:top w:w="0" w:type="dxa"/>
              <w:right w:w="108" w:type="dxa"/>
              <w:bottom w:w="0" w:type="dxa"/>
            </w:tcMar>
            <w:tcW w:w="8037" w:type="dxa"/>
            <w:vAlign w:val="center"/>
            <w:textDirection w:val="lrTb"/>
            <w:noWrap w:val="false"/>
          </w:tcPr>
          <w:p>
            <w:pPr>
              <w:pStyle w:val="928"/>
              <w:rPr>
                <w:color w:val="auto"/>
                <w:highlight w:val="none"/>
              </w:rPr>
            </w:pPr>
            <w:r>
              <w:rPr>
                <w:rFonts w:hint="eastAsia"/>
                <w:color w:val="auto"/>
                <w:highlight w:val="none"/>
              </w:rPr>
              <w:t xml:space="preserve">侵占、拆卸被执法车辆零配件的，每次扣5分；有侵占、盗窃被执法车内物品的，每次扣10分，同时追究法律责任。</w:t>
            </w:r>
            <w:r/>
          </w:p>
        </w:tc>
      </w:tr>
      <w:tr>
        <w:trPr>
          <w:trHeight w:val="766"/>
        </w:trPr>
        <w:tc>
          <w:tcPr>
            <w:tcMar>
              <w:left w:w="108" w:type="dxa"/>
              <w:top w:w="0" w:type="dxa"/>
              <w:right w:w="108" w:type="dxa"/>
              <w:bottom w:w="0" w:type="dxa"/>
            </w:tcMar>
            <w:tcW w:w="709" w:type="dxa"/>
            <w:vAlign w:val="center"/>
            <w:textDirection w:val="lrTb"/>
            <w:noWrap w:val="false"/>
          </w:tcPr>
          <w:p>
            <w:pPr>
              <w:widowControl/>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3.16</w:t>
            </w:r>
            <w:r/>
          </w:p>
        </w:tc>
        <w:tc>
          <w:tcPr>
            <w:tcMar>
              <w:left w:w="108" w:type="dxa"/>
              <w:top w:w="0" w:type="dxa"/>
              <w:right w:w="108" w:type="dxa"/>
              <w:bottom w:w="0" w:type="dxa"/>
            </w:tcMar>
            <w:tcW w:w="8037" w:type="dxa"/>
            <w:vAlign w:val="center"/>
            <w:textDirection w:val="lrTb"/>
            <w:noWrap w:val="false"/>
          </w:tcPr>
          <w:p>
            <w:pPr>
              <w:pStyle w:val="928"/>
              <w:rPr>
                <w:rFonts w:hint="default" w:eastAsia="宋体"/>
                <w:color w:val="auto"/>
                <w:highlight w:val="none"/>
                <w:lang w:val="en-US" w:eastAsia="zh-CN"/>
              </w:rPr>
            </w:pPr>
            <w:r>
              <w:rPr>
                <w:rFonts w:hint="eastAsia"/>
                <w:color w:val="auto"/>
                <w:highlight w:val="none"/>
                <w:lang w:val="en-US" w:eastAsia="zh-CN"/>
              </w:rPr>
              <w:t xml:space="preserve">停车场发生被盗抢案件应及时报警，造成的损失由停车场承担，同时及时向支队报告，故意拖延或者隐瞒不报的，扣10分；停车场发生被盗抢案件，经查停车场管理存在问题的，扣10分。</w:t>
            </w:r>
            <w:r/>
          </w:p>
        </w:tc>
      </w:tr>
      <w:tr>
        <w:trPr>
          <w:trHeight w:val="726"/>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仿宋" w:cs="宋体"/>
                <w:color w:val="auto"/>
                <w:szCs w:val="21"/>
                <w:highlight w:val="none"/>
                <w:lang w:val="en-US" w:eastAsia="zh-CN"/>
              </w:rPr>
            </w:pPr>
            <w:r>
              <w:rPr>
                <w:rFonts w:hint="eastAsia" w:ascii="仿宋" w:hAnsi="仿宋" w:eastAsia="仿宋" w:cs="宋体"/>
                <w:color w:val="auto"/>
                <w:sz w:val="24"/>
                <w:highlight w:val="none"/>
              </w:rPr>
              <w:t xml:space="preserve">3.1</w:t>
            </w:r>
            <w:r>
              <w:rPr>
                <w:rFonts w:hint="eastAsia" w:ascii="仿宋" w:hAnsi="仿宋" w:eastAsia="仿宋" w:cs="宋体"/>
                <w:color w:val="auto"/>
                <w:sz w:val="24"/>
                <w:highlight w:val="none"/>
                <w:lang w:val="en-US" w:eastAsia="zh-CN"/>
              </w:rPr>
              <w:t xml:space="preserve">7</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严禁私放车辆，出场车辆必须由办案单位开具放行单（办案单位盖章），方能出场。违反规定的，发现一起扣10分。</w:t>
            </w:r>
            <w:r/>
          </w:p>
        </w:tc>
      </w:tr>
      <w:tr>
        <w:trPr>
          <w:trHeight w:val="705"/>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仿宋" w:cs="宋体"/>
                <w:color w:val="auto"/>
                <w:szCs w:val="21"/>
                <w:highlight w:val="none"/>
                <w:lang w:val="en-US" w:eastAsia="zh-CN"/>
              </w:rPr>
            </w:pPr>
            <w:r>
              <w:rPr>
                <w:rFonts w:hint="eastAsia" w:ascii="仿宋" w:hAnsi="仿宋" w:eastAsia="仿宋" w:cs="宋体"/>
                <w:color w:val="auto"/>
                <w:sz w:val="24"/>
                <w:highlight w:val="none"/>
              </w:rPr>
              <w:t xml:space="preserve">3.1</w:t>
            </w:r>
            <w:r>
              <w:rPr>
                <w:rFonts w:hint="eastAsia" w:ascii="仿宋" w:hAnsi="仿宋" w:eastAsia="仿宋" w:cs="宋体"/>
                <w:color w:val="auto"/>
                <w:sz w:val="24"/>
                <w:highlight w:val="none"/>
                <w:lang w:val="en-US" w:eastAsia="zh-CN"/>
              </w:rPr>
              <w:t xml:space="preserve">8</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停车场对</w:t>
            </w:r>
            <w:r>
              <w:rPr>
                <w:rFonts w:hint="eastAsia"/>
                <w:color w:val="auto"/>
                <w:szCs w:val="21"/>
                <w:highlight w:val="none"/>
                <w:lang w:eastAsia="zh-CN"/>
              </w:rPr>
              <w:t xml:space="preserve">交通管理</w:t>
            </w:r>
            <w:r>
              <w:rPr>
                <w:rFonts w:hint="eastAsia"/>
                <w:color w:val="auto"/>
                <w:szCs w:val="21"/>
                <w:highlight w:val="none"/>
              </w:rPr>
              <w:t xml:space="preserve">和相关职能部门布置的工作任务、检查要求、整改要求、其他管理要求不落实的，发现一起扣5分，故意推诿、拖延的扣10分。</w:t>
            </w:r>
            <w:r/>
          </w:p>
        </w:tc>
      </w:tr>
      <w:tr>
        <w:trPr>
          <w:trHeight w:val="382"/>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仿宋" w:cs="宋体"/>
                <w:color w:val="auto"/>
                <w:szCs w:val="21"/>
                <w:highlight w:val="none"/>
                <w:lang w:val="en-US" w:eastAsia="zh-CN"/>
              </w:rPr>
            </w:pPr>
            <w:r>
              <w:rPr>
                <w:rFonts w:hint="eastAsia" w:ascii="仿宋" w:hAnsi="仿宋" w:eastAsia="仿宋" w:cs="宋体"/>
                <w:color w:val="auto"/>
                <w:sz w:val="24"/>
                <w:highlight w:val="none"/>
              </w:rPr>
              <w:t xml:space="preserve">3.1</w:t>
            </w:r>
            <w:r>
              <w:rPr>
                <w:rFonts w:hint="eastAsia" w:ascii="仿宋" w:hAnsi="仿宋" w:eastAsia="仿宋" w:cs="宋体"/>
                <w:color w:val="auto"/>
                <w:sz w:val="24"/>
                <w:highlight w:val="none"/>
                <w:lang w:val="en-US" w:eastAsia="zh-CN"/>
              </w:rPr>
              <w:t xml:space="preserve">9</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存在弄虚作假行为的，每次扣10分。</w:t>
            </w:r>
            <w:r/>
          </w:p>
        </w:tc>
      </w:tr>
      <w:tr>
        <w:trPr>
          <w:trHeight w:val="746"/>
        </w:trPr>
        <w:tc>
          <w:tcPr>
            <w:tcMar>
              <w:left w:w="108" w:type="dxa"/>
              <w:top w:w="0" w:type="dxa"/>
              <w:right w:w="108" w:type="dxa"/>
              <w:bottom w:w="0" w:type="dxa"/>
            </w:tcMar>
            <w:tcW w:w="709" w:type="dxa"/>
            <w:vAlign w:val="center"/>
            <w:textDirection w:val="lrTb"/>
            <w:noWrap w:val="false"/>
          </w:tcPr>
          <w:p>
            <w:pPr>
              <w:widowControl/>
              <w:rPr>
                <w:rFonts w:hint="default" w:ascii="宋体" w:hAnsi="宋体" w:eastAsia="仿宋" w:cs="宋体"/>
                <w:color w:val="auto"/>
                <w:szCs w:val="21"/>
                <w:highlight w:val="none"/>
                <w:lang w:val="en-US" w:eastAsia="zh-CN"/>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20</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停车场有故意阻碍</w:t>
            </w:r>
            <w:r>
              <w:rPr>
                <w:rFonts w:hint="eastAsia"/>
                <w:color w:val="auto"/>
                <w:szCs w:val="21"/>
                <w:highlight w:val="none"/>
                <w:lang w:eastAsia="zh-CN"/>
              </w:rPr>
              <w:t xml:space="preserve">交通管理</w:t>
            </w:r>
            <w:r>
              <w:rPr>
                <w:rFonts w:hint="eastAsia"/>
                <w:color w:val="auto"/>
                <w:szCs w:val="21"/>
                <w:highlight w:val="none"/>
              </w:rPr>
              <w:t xml:space="preserve">部门管理人员开展工作、与违法事故车辆当事人或其他人员里外勾结影响办案处理的，发现一起扣50分，涉及违法犯罪的依法追究。</w:t>
            </w:r>
            <w:r/>
          </w:p>
        </w:tc>
      </w:tr>
      <w:tr>
        <w:trPr>
          <w:trHeight w:val="341"/>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3.2</w:t>
            </w:r>
            <w:r>
              <w:rPr>
                <w:rFonts w:hint="eastAsia" w:ascii="仿宋" w:hAnsi="仿宋" w:eastAsia="仿宋" w:cs="宋体"/>
                <w:color w:val="auto"/>
                <w:sz w:val="24"/>
                <w:highlight w:val="none"/>
                <w:lang w:val="en-US" w:eastAsia="zh-CN"/>
              </w:rPr>
              <w:t xml:space="preserve">1</w:t>
            </w:r>
            <w:r>
              <w:rPr>
                <w:rFonts w:hint="eastAsia" w:ascii="仿宋" w:hAnsi="仿宋" w:eastAsia="仿宋" w:cs="宋体"/>
                <w:color w:val="auto"/>
                <w:sz w:val="24"/>
                <w:highlight w:val="none"/>
              </w:rPr>
              <w:t xml:space="preserve"> </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停车场及车辆、工作人员满足正常运转需求，如有其他违反招标文件、投标文件、合同、相关承诺、声明等违规行为的，发现一起视情扣1至3分，造成损害的承担赔偿责任。</w:t>
            </w:r>
            <w:r/>
          </w:p>
        </w:tc>
      </w:tr>
      <w:tr>
        <w:trPr>
          <w:trHeight w:val="478"/>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仿宋" w:cs="宋体"/>
                <w:color w:val="auto"/>
                <w:szCs w:val="21"/>
                <w:highlight w:val="none"/>
                <w:lang w:val="en-US" w:eastAsia="zh-CN"/>
              </w:rPr>
            </w:pPr>
            <w:r>
              <w:rPr>
                <w:rFonts w:hint="eastAsia" w:ascii="仿宋" w:hAnsi="仿宋" w:eastAsia="仿宋" w:cs="宋体"/>
                <w:color w:val="auto"/>
                <w:sz w:val="24"/>
                <w:highlight w:val="none"/>
              </w:rPr>
              <w:t xml:space="preserve">3.2</w:t>
            </w:r>
            <w:r>
              <w:rPr>
                <w:rFonts w:hint="eastAsia" w:ascii="仿宋" w:hAnsi="仿宋" w:eastAsia="仿宋" w:cs="宋体"/>
                <w:color w:val="auto"/>
                <w:sz w:val="24"/>
                <w:highlight w:val="none"/>
                <w:lang w:val="en-US" w:eastAsia="zh-CN"/>
              </w:rPr>
              <w:t xml:space="preserve">2</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应建立设备设施管理台账，做好各项设施的日常维护，保持设备实施完好和正常使用状态。如未建立管理台账，或台账混乱，或者设备设施有损坏、应维护不维护、应更换不更换的将视情扣1至3分。因中标人维护管理不善影响招标人执法工作的，每起扣5-10分，造成严重后果的，招标人停止中标人服务资格并解除合同。</w:t>
            </w:r>
            <w:r/>
          </w:p>
        </w:tc>
      </w:tr>
      <w:tr>
        <w:trPr>
          <w:trHeight w:val="478"/>
        </w:trPr>
        <w:tc>
          <w:tcPr>
            <w:tcMar>
              <w:left w:w="108" w:type="dxa"/>
              <w:top w:w="0" w:type="dxa"/>
              <w:right w:w="108" w:type="dxa"/>
              <w:bottom w:w="0" w:type="dxa"/>
            </w:tcMar>
            <w:tcW w:w="709" w:type="dxa"/>
            <w:vAlign w:val="center"/>
            <w:textDirection w:val="lrTb"/>
            <w:noWrap w:val="false"/>
          </w:tcPr>
          <w:p>
            <w:pPr>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3.2</w:t>
            </w:r>
            <w:r>
              <w:rPr>
                <w:rFonts w:hint="eastAsia" w:ascii="仿宋" w:hAnsi="仿宋" w:eastAsia="仿宋" w:cs="宋体"/>
                <w:color w:val="auto"/>
                <w:sz w:val="24"/>
                <w:highlight w:val="none"/>
                <w:lang w:val="en-US" w:eastAsia="zh-CN"/>
              </w:rPr>
              <w:t xml:space="preserve">3</w:t>
            </w:r>
            <w:r/>
          </w:p>
        </w:tc>
        <w:tc>
          <w:tcPr>
            <w:tcMar>
              <w:left w:w="108" w:type="dxa"/>
              <w:top w:w="0" w:type="dxa"/>
              <w:right w:w="108" w:type="dxa"/>
              <w:bottom w:w="0" w:type="dxa"/>
            </w:tcMar>
            <w:tcW w:w="8037" w:type="dxa"/>
            <w:vAlign w:val="center"/>
            <w:textDirection w:val="lrTb"/>
            <w:noWrap w:val="false"/>
          </w:tcPr>
          <w:p>
            <w:pPr>
              <w:pStyle w:val="928"/>
              <w:rPr>
                <w:color w:val="auto"/>
                <w:highlight w:val="none"/>
              </w:rPr>
            </w:pPr>
            <w:r>
              <w:rPr>
                <w:rFonts w:hint="eastAsia"/>
                <w:color w:val="auto"/>
                <w:highlight w:val="none"/>
              </w:rPr>
              <w:t xml:space="preserve">配合</w:t>
            </w:r>
            <w:r>
              <w:rPr>
                <w:rFonts w:hint="eastAsia"/>
                <w:color w:val="auto"/>
                <w:highlight w:val="none"/>
                <w:lang w:val="en-US" w:eastAsia="zh-CN"/>
              </w:rPr>
              <w:t xml:space="preserve">事故处理和案件办理大队</w:t>
            </w:r>
            <w:r>
              <w:rPr>
                <w:rFonts w:hint="eastAsia"/>
                <w:color w:val="auto"/>
                <w:highlight w:val="none"/>
              </w:rPr>
              <w:t xml:space="preserve">等做好车辆痕检检测。因中标人原因破坏痕检或因中标人管理不到位，造成痕检工作受阻，不配合车辆检测的，或未按要求和指令将车辆停放到指定停车场停放区域，每起扣3-6分，造成严重后果的，招标人停止中标人服务资格并解除合同。</w:t>
            </w:r>
            <w:r/>
          </w:p>
        </w:tc>
      </w:tr>
      <w:tr>
        <w:trPr>
          <w:trHeight w:val="478"/>
        </w:trPr>
        <w:tc>
          <w:tcPr>
            <w:tcMar>
              <w:left w:w="108" w:type="dxa"/>
              <w:top w:w="0" w:type="dxa"/>
              <w:right w:w="108" w:type="dxa"/>
              <w:bottom w:w="0" w:type="dxa"/>
            </w:tcMar>
            <w:tcW w:w="709" w:type="dxa"/>
            <w:vAlign w:val="center"/>
            <w:textDirection w:val="lrTb"/>
            <w:noWrap w:val="false"/>
          </w:tcPr>
          <w:p>
            <w:pPr>
              <w:widowControl/>
              <w:rPr>
                <w:rFonts w:hint="eastAsia" w:eastAsia="仿宋"/>
                <w:color w:val="auto"/>
                <w:szCs w:val="21"/>
                <w:highlight w:val="none"/>
                <w:lang w:val="en-US" w:eastAsia="zh-CN"/>
              </w:rPr>
            </w:pPr>
            <w:r>
              <w:rPr>
                <w:rFonts w:hint="eastAsia" w:ascii="仿宋" w:hAnsi="仿宋" w:eastAsia="仿宋" w:cs="宋体"/>
                <w:color w:val="auto"/>
                <w:sz w:val="24"/>
                <w:highlight w:val="none"/>
              </w:rPr>
              <w:t xml:space="preserve">3.2</w:t>
            </w:r>
            <w:r>
              <w:rPr>
                <w:rFonts w:hint="eastAsia" w:ascii="仿宋" w:hAnsi="仿宋" w:eastAsia="仿宋" w:cs="宋体"/>
                <w:color w:val="auto"/>
                <w:sz w:val="24"/>
                <w:highlight w:val="none"/>
                <w:lang w:val="en-US" w:eastAsia="zh-CN"/>
              </w:rPr>
              <w:t xml:space="preserve">4</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合理安排工作人员、视频巡查，消防等安全防范设施到位，措施得力有效，做到每半年至少一次全员有针对性的消防演练和每月的安全学习。做好应急预案并落实相应措施，确保停车场工作人员在岗，正常供电、供水等，保障停车场正常工作运转。因中标人原因影响招标人正常执法办案的，未有效执行上述规定的每起扣3-6分，造成严重后果的，招标人停止中标人服务资格并解除合同。</w:t>
            </w:r>
            <w:r/>
          </w:p>
        </w:tc>
      </w:tr>
      <w:tr>
        <w:trPr>
          <w:trHeight w:val="90"/>
        </w:trPr>
        <w:tc>
          <w:tcPr>
            <w:tcMar>
              <w:left w:w="108" w:type="dxa"/>
              <w:top w:w="0" w:type="dxa"/>
              <w:right w:w="108" w:type="dxa"/>
              <w:bottom w:w="0" w:type="dxa"/>
            </w:tcMar>
            <w:tcW w:w="709" w:type="dxa"/>
            <w:vAlign w:val="center"/>
            <w:textDirection w:val="lrTb"/>
            <w:noWrap w:val="false"/>
          </w:tcPr>
          <w:p>
            <w:pPr>
              <w:widowControl/>
              <w:rPr>
                <w:rFonts w:hint="eastAsia" w:eastAsia="仿宋"/>
                <w:color w:val="auto"/>
                <w:szCs w:val="21"/>
                <w:highlight w:val="none"/>
                <w:lang w:val="en-US" w:eastAsia="zh-CN"/>
              </w:rPr>
            </w:pPr>
            <w:r>
              <w:rPr>
                <w:rFonts w:hint="eastAsia" w:ascii="仿宋" w:hAnsi="仿宋" w:eastAsia="仿宋" w:cs="宋体"/>
                <w:color w:val="auto"/>
                <w:sz w:val="24"/>
                <w:highlight w:val="none"/>
              </w:rPr>
              <w:t xml:space="preserve">3.2</w:t>
            </w:r>
            <w:r>
              <w:rPr>
                <w:rFonts w:hint="eastAsia" w:ascii="仿宋" w:hAnsi="仿宋" w:eastAsia="仿宋" w:cs="宋体"/>
                <w:color w:val="auto"/>
                <w:sz w:val="24"/>
                <w:highlight w:val="none"/>
                <w:lang w:val="en-US" w:eastAsia="zh-CN"/>
              </w:rPr>
              <w:t xml:space="preserve">5</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做好招标人暂存物资（执法仪装备）设备登记、保管、维护、交还台账。对招标人暂存在停车场的设备进行维护检修，发现问题及时汇报处理，确保设备完好、可随时使用。因投标人原因影响招标人设备正常使用的，每起扣3分。</w:t>
            </w:r>
            <w:r/>
          </w:p>
        </w:tc>
      </w:tr>
      <w:tr>
        <w:trPr>
          <w:trHeight w:val="90"/>
        </w:trPr>
        <w:tc>
          <w:tcPr>
            <w:tcMar>
              <w:left w:w="108" w:type="dxa"/>
              <w:top w:w="0" w:type="dxa"/>
              <w:right w:w="108" w:type="dxa"/>
              <w:bottom w:w="0" w:type="dxa"/>
            </w:tcMar>
            <w:tcW w:w="709" w:type="dxa"/>
            <w:vAlign w:val="center"/>
            <w:textDirection w:val="lrTb"/>
            <w:noWrap w:val="false"/>
          </w:tcPr>
          <w:p>
            <w:pPr>
              <w:widowControl/>
              <w:rPr>
                <w:rFonts w:hint="eastAsia" w:eastAsia="仿宋"/>
                <w:color w:val="auto"/>
                <w:szCs w:val="21"/>
                <w:highlight w:val="none"/>
                <w:lang w:val="en-US" w:eastAsia="zh-CN"/>
              </w:rPr>
            </w:pPr>
            <w:r>
              <w:rPr>
                <w:rFonts w:hint="eastAsia" w:ascii="仿宋" w:hAnsi="仿宋" w:eastAsia="仿宋" w:cs="宋体"/>
                <w:color w:val="auto"/>
                <w:sz w:val="24"/>
                <w:highlight w:val="none"/>
              </w:rPr>
              <w:t xml:space="preserve">3.2</w:t>
            </w:r>
            <w:r>
              <w:rPr>
                <w:rFonts w:hint="eastAsia" w:ascii="仿宋" w:hAnsi="仿宋" w:eastAsia="仿宋" w:cs="宋体"/>
                <w:color w:val="auto"/>
                <w:sz w:val="24"/>
                <w:highlight w:val="none"/>
                <w:lang w:val="en-US" w:eastAsia="zh-CN"/>
              </w:rPr>
              <w:t xml:space="preserve">6</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停车场内不得眷养猫、狗、鸽子、鸡鸭等动物。发现一起扣5分。</w:t>
            </w:r>
            <w:r/>
          </w:p>
        </w:tc>
      </w:tr>
      <w:tr>
        <w:trPr>
          <w:trHeight w:val="90"/>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3.2</w:t>
            </w:r>
            <w:r>
              <w:rPr>
                <w:rFonts w:hint="eastAsia" w:ascii="宋体" w:hAnsi="宋体" w:eastAsia="宋体" w:cs="宋体"/>
                <w:color w:val="auto"/>
                <w:sz w:val="24"/>
                <w:highlight w:val="none"/>
                <w:lang w:val="en-US" w:eastAsia="zh-CN"/>
              </w:rPr>
              <w:t xml:space="preserve">7</w:t>
            </w:r>
            <w:r/>
          </w:p>
        </w:tc>
        <w:tc>
          <w:tcPr>
            <w:tcMar>
              <w:left w:w="108" w:type="dxa"/>
              <w:top w:w="0" w:type="dxa"/>
              <w:right w:w="108" w:type="dxa"/>
              <w:bottom w:w="0" w:type="dxa"/>
            </w:tcMar>
            <w:tcW w:w="8037"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 w:val="24"/>
                <w:highlight w:val="none"/>
                <w:lang w:val="en-US" w:eastAsia="zh-CN"/>
              </w:rPr>
              <w:t xml:space="preserve">清障救援装备不仅限于拖车辅助轮、卧式千斤顶、立式千斤顶、行程记录仪、反光背心、警示带、枕木警示桶、捆绑带紧固器、电瓶搭线、爆闪警示灯、十字轮胎扳手、三角折叠停车牌、灭火器、专业拖车钩、手电、应急灯等，上述装备少一件扣1分。</w:t>
            </w:r>
            <w:r/>
          </w:p>
        </w:tc>
      </w:tr>
      <w:tr>
        <w:trPr>
          <w:trHeight w:val="90"/>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3.2</w:t>
            </w:r>
            <w:r>
              <w:rPr>
                <w:rFonts w:hint="eastAsia" w:ascii="宋体" w:hAnsi="宋体" w:eastAsia="宋体" w:cs="宋体"/>
                <w:color w:val="auto"/>
                <w:sz w:val="24"/>
                <w:highlight w:val="none"/>
                <w:lang w:val="en-US" w:eastAsia="zh-CN"/>
              </w:rPr>
              <w:t xml:space="preserve">8</w:t>
            </w:r>
            <w:r/>
          </w:p>
        </w:tc>
        <w:tc>
          <w:tcPr>
            <w:tcMar>
              <w:left w:w="108" w:type="dxa"/>
              <w:top w:w="0" w:type="dxa"/>
              <w:right w:w="108" w:type="dxa"/>
              <w:bottom w:w="0" w:type="dxa"/>
            </w:tcMar>
            <w:tcW w:w="8037"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 w:val="24"/>
                <w:highlight w:val="none"/>
                <w:lang w:eastAsia="zh-CN"/>
              </w:rPr>
              <w:t xml:space="preserve">提供必要的便民服务措施（免费）。提供车辆电瓶搭接电设施，为长期停放车辆亏电发动提供借用服务，未提供的或者收费的，发现一起扣</w:t>
            </w:r>
            <w:r>
              <w:rPr>
                <w:rFonts w:hint="eastAsia" w:ascii="宋体" w:hAnsi="宋体" w:eastAsia="宋体" w:cs="宋体"/>
                <w:color w:val="auto"/>
                <w:sz w:val="24"/>
                <w:highlight w:val="none"/>
                <w:lang w:val="en-US" w:eastAsia="zh-CN"/>
              </w:rPr>
              <w:t xml:space="preserve">5分</w:t>
            </w:r>
            <w:r>
              <w:rPr>
                <w:rFonts w:hint="eastAsia" w:ascii="宋体" w:hAnsi="宋体" w:eastAsia="宋体" w:cs="宋体"/>
                <w:color w:val="auto"/>
                <w:sz w:val="24"/>
                <w:highlight w:val="none"/>
                <w:lang w:eastAsia="zh-CN"/>
              </w:rPr>
              <w:t xml:space="preserve">。</w:t>
            </w:r>
            <w:r/>
          </w:p>
        </w:tc>
      </w:tr>
      <w:tr>
        <w:trPr>
          <w:trHeight w:val="90"/>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3.2</w:t>
            </w:r>
            <w:r>
              <w:rPr>
                <w:rFonts w:hint="eastAsia" w:ascii="宋体" w:hAnsi="宋体" w:eastAsia="宋体" w:cs="宋体"/>
                <w:color w:val="auto"/>
                <w:sz w:val="24"/>
                <w:highlight w:val="none"/>
                <w:lang w:val="en-US" w:eastAsia="zh-CN"/>
              </w:rPr>
              <w:t xml:space="preserve">9</w:t>
            </w:r>
            <w:r/>
          </w:p>
        </w:tc>
        <w:tc>
          <w:tcPr>
            <w:tcMar>
              <w:left w:w="108" w:type="dxa"/>
              <w:top w:w="0" w:type="dxa"/>
              <w:right w:w="108" w:type="dxa"/>
              <w:bottom w:w="0" w:type="dxa"/>
            </w:tcMar>
            <w:tcW w:w="8037"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 w:val="24"/>
                <w:highlight w:val="none"/>
                <w:lang w:eastAsia="zh-CN"/>
              </w:rPr>
              <w:t xml:space="preserve">每个区域停车场内，必须配置</w:t>
            </w:r>
            <w:r>
              <w:rPr>
                <w:rFonts w:hint="eastAsia" w:ascii="宋体" w:hAnsi="宋体" w:eastAsia="宋体" w:cs="宋体"/>
                <w:color w:val="auto"/>
                <w:sz w:val="24"/>
                <w:highlight w:val="none"/>
                <w:lang w:val="en-US" w:eastAsia="zh-CN"/>
              </w:rPr>
              <w:t xml:space="preserve">1台要求具备符合实际业务需求的称重设备，且通过当地计量部门检定，地磅经法定计量检定机构检定合格后方可使用，并按规定出具称重记录或凭证</w:t>
            </w:r>
            <w:r>
              <w:rPr>
                <w:rFonts w:hint="eastAsia" w:ascii="宋体" w:hAnsi="宋体" w:eastAsia="宋体" w:cs="宋体"/>
                <w:color w:val="auto"/>
                <w:sz w:val="24"/>
                <w:highlight w:val="none"/>
                <w:lang w:eastAsia="zh-CN"/>
              </w:rPr>
              <w:t xml:space="preserve">，未按规定落实的，发现一处扣</w:t>
            </w:r>
            <w:r>
              <w:rPr>
                <w:rFonts w:hint="eastAsia" w:ascii="宋体" w:hAnsi="宋体" w:eastAsia="宋体" w:cs="宋体"/>
                <w:color w:val="auto"/>
                <w:sz w:val="24"/>
                <w:highlight w:val="none"/>
                <w:lang w:val="en-US" w:eastAsia="zh-CN"/>
              </w:rPr>
              <w:t xml:space="preserve">5分。</w:t>
            </w:r>
            <w:r/>
          </w:p>
        </w:tc>
      </w:tr>
      <w:tr>
        <w:trPr>
          <w:trHeight w:val="90"/>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30</w:t>
            </w:r>
            <w:r/>
          </w:p>
        </w:tc>
        <w:tc>
          <w:tcPr>
            <w:tcMar>
              <w:left w:w="108" w:type="dxa"/>
              <w:top w:w="0" w:type="dxa"/>
              <w:right w:w="108" w:type="dxa"/>
              <w:bottom w:w="0" w:type="dxa"/>
            </w:tcMar>
            <w:tcW w:w="8037"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eastAsia="zh-CN"/>
              </w:rPr>
              <w:t xml:space="preserve">提供的场地需购置有效期内场地责任险（公众责任险），每块场地所投的场地责任险（公众责任险）累计赔偿限额不低于</w:t>
            </w:r>
            <w:r>
              <w:rPr>
                <w:rFonts w:hint="eastAsia" w:ascii="宋体" w:hAnsi="宋体" w:eastAsia="宋体" w:cs="宋体"/>
                <w:color w:val="auto"/>
                <w:sz w:val="24"/>
                <w:highlight w:val="none"/>
                <w:lang w:val="en-US" w:eastAsia="zh-CN"/>
              </w:rPr>
              <w:t xml:space="preserve">300万元，每次赔偿限额不低于20万元，未按规定购买的，发现一处扣5分。</w:t>
            </w:r>
            <w:r/>
          </w:p>
        </w:tc>
      </w:tr>
      <w:tr>
        <w:trPr>
          <w:trHeight w:val="90"/>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31</w:t>
            </w:r>
            <w:r/>
          </w:p>
        </w:tc>
        <w:tc>
          <w:tcPr>
            <w:tcMar>
              <w:left w:w="108" w:type="dxa"/>
              <w:top w:w="0" w:type="dxa"/>
              <w:right w:w="108" w:type="dxa"/>
              <w:bottom w:w="0" w:type="dxa"/>
            </w:tcMar>
            <w:tcW w:w="8037" w:type="dxa"/>
            <w:vAlign w:val="center"/>
            <w:textDirection w:val="lrTb"/>
            <w:noWrap w:val="false"/>
          </w:tcPr>
          <w:p>
            <w:pPr>
              <w:widowControl/>
              <w:rPr>
                <w:rFonts w:hint="eastAsia" w:ascii="宋体" w:hAnsi="宋体" w:eastAsia="宋体" w:cs="宋体"/>
                <w:color w:val="auto"/>
                <w:szCs w:val="21"/>
                <w:highlight w:val="none"/>
                <w:lang w:eastAsia="zh-CN"/>
              </w:rPr>
            </w:pPr>
            <w:r>
              <w:rPr>
                <w:rFonts w:hint="eastAsia" w:ascii="宋体" w:hAnsi="宋体" w:eastAsia="宋体" w:cs="宋体"/>
                <w:color w:val="auto"/>
                <w:sz w:val="24"/>
                <w:highlight w:val="none"/>
              </w:rPr>
              <w:t xml:space="preserve">其他需要停车场提高完善的方面</w:t>
            </w:r>
            <w:r>
              <w:rPr>
                <w:rFonts w:hint="eastAsia" w:ascii="宋体" w:hAnsi="宋体" w:eastAsia="宋体" w:cs="宋体"/>
                <w:color w:val="auto"/>
                <w:sz w:val="24"/>
                <w:highlight w:val="none"/>
                <w:lang w:eastAsia="zh-CN"/>
              </w:rPr>
              <w:t xml:space="preserve">。</w:t>
            </w:r>
            <w:r/>
          </w:p>
        </w:tc>
      </w:tr>
    </w:tbl>
    <w:p>
      <w:p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4.专项考核：每半年进行一次，由支队综合</w:t>
      </w:r>
      <w:r>
        <w:rPr>
          <w:rFonts w:hint="eastAsia" w:ascii="方正仿宋_GBK" w:hAnsi="方正仿宋_GBK" w:eastAsia="方正仿宋_GBK" w:cs="方正仿宋_GBK"/>
          <w:color w:val="auto"/>
          <w:sz w:val="28"/>
          <w:szCs w:val="28"/>
          <w:highlight w:val="none"/>
          <w:lang w:val="en-US" w:eastAsia="zh-CN"/>
        </w:rPr>
        <w:t xml:space="preserve">大队</w:t>
      </w:r>
      <w:r>
        <w:rPr>
          <w:rFonts w:hint="eastAsia" w:ascii="方正仿宋_GBK" w:hAnsi="方正仿宋_GBK" w:eastAsia="方正仿宋_GBK" w:cs="方正仿宋_GBK"/>
          <w:color w:val="auto"/>
          <w:sz w:val="28"/>
          <w:szCs w:val="28"/>
          <w:highlight w:val="none"/>
        </w:rPr>
        <w:t xml:space="preserve">会同督察大队进行，考核分有效投诉量和规范化两个方面，总计100分，存在下列情况的扣除相应分值，且扣除1分均为扣500元：</w:t>
      </w:r>
      <w:r/>
    </w:p>
    <w:p>
      <w:p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对各停车场工作情况进行抽查，发现存在违反招标文件、投标文件、合同、相关承诺、声明等情况的，每起扣5分。根据督察部门受理的关于停车场投诉，经查证属实的，每起扣5分。</w:t>
      </w:r>
      <w:r/>
    </w:p>
    <w:p>
      <w:p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费用结算</w:t>
      </w:r>
      <w:r/>
    </w:p>
    <w:p>
      <w:p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合同签订后支付合同价的</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rPr>
        <w:t xml:space="preserve">0%，合同余额（合同金额的</w:t>
      </w:r>
      <w:r>
        <w:rPr>
          <w:rFonts w:hint="eastAsia" w:ascii="方正仿宋_GBK" w:hAnsi="方正仿宋_GBK" w:eastAsia="方正仿宋_GBK" w:cs="方正仿宋_GBK"/>
          <w:color w:val="auto"/>
          <w:sz w:val="28"/>
          <w:szCs w:val="28"/>
          <w:highlight w:val="none"/>
          <w:lang w:val="en-US" w:eastAsia="zh-CN"/>
        </w:rPr>
        <w:t xml:space="preserve">9</w:t>
      </w:r>
      <w:r>
        <w:rPr>
          <w:rFonts w:hint="eastAsia" w:ascii="方正仿宋_GBK" w:hAnsi="方正仿宋_GBK" w:eastAsia="方正仿宋_GBK" w:cs="方正仿宋_GBK"/>
          <w:color w:val="auto"/>
          <w:sz w:val="28"/>
          <w:szCs w:val="28"/>
          <w:highlight w:val="none"/>
        </w:rPr>
        <w:t xml:space="preserve">0%）按季度考核支付。</w:t>
      </w:r>
      <w:r/>
    </w:p>
    <w:p>
      <w:p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第一个季度结算费用=合同金额*</w:t>
      </w:r>
      <w:r>
        <w:rPr>
          <w:rFonts w:hint="eastAsia" w:ascii="方正仿宋_GBK" w:hAnsi="方正仿宋_GBK" w:eastAsia="方正仿宋_GBK" w:cs="方正仿宋_GBK"/>
          <w:color w:val="auto"/>
          <w:sz w:val="28"/>
          <w:szCs w:val="28"/>
          <w:highlight w:val="none"/>
          <w:lang w:val="en-US" w:eastAsia="zh-CN"/>
        </w:rPr>
        <w:t xml:space="preserve">9</w:t>
      </w:r>
      <w:r>
        <w:rPr>
          <w:rFonts w:hint="eastAsia" w:ascii="方正仿宋_GBK" w:hAnsi="方正仿宋_GBK" w:eastAsia="方正仿宋_GBK" w:cs="方正仿宋_GBK"/>
          <w:color w:val="auto"/>
          <w:sz w:val="28"/>
          <w:szCs w:val="28"/>
          <w:highlight w:val="none"/>
        </w:rPr>
        <w:t xml:space="preserve">0%*25%-该季度3个月各大队考核总扣分*500元/分。</w:t>
      </w:r>
      <w:r/>
    </w:p>
    <w:p>
      <w:pPr>
        <w:ind w:left="141" w:firstLine="42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第二个季度结算费用=合同金额*</w:t>
      </w:r>
      <w:r>
        <w:rPr>
          <w:rFonts w:hint="eastAsia" w:ascii="方正仿宋_GBK" w:hAnsi="方正仿宋_GBK" w:eastAsia="方正仿宋_GBK" w:cs="方正仿宋_GBK"/>
          <w:color w:val="auto"/>
          <w:sz w:val="28"/>
          <w:szCs w:val="28"/>
          <w:highlight w:val="none"/>
          <w:lang w:val="en-US" w:eastAsia="zh-CN"/>
        </w:rPr>
        <w:t xml:space="preserve">9</w:t>
      </w:r>
      <w:r>
        <w:rPr>
          <w:rFonts w:hint="eastAsia" w:ascii="方正仿宋_GBK" w:hAnsi="方正仿宋_GBK" w:eastAsia="方正仿宋_GBK" w:cs="方正仿宋_GBK"/>
          <w:color w:val="auto"/>
          <w:sz w:val="28"/>
          <w:szCs w:val="28"/>
          <w:highlight w:val="none"/>
        </w:rPr>
        <w:t xml:space="preserve">0%*25%-（该季度3个月各大队考核总扣分*90%+甲方专项考核扣分*10%）*500元/分；</w:t>
      </w:r>
      <w:r/>
    </w:p>
    <w:p>
      <w:p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第三个季度结算费用方式同第一个季度；</w:t>
      </w:r>
      <w:r/>
    </w:p>
    <w:p>
      <w:p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第四个季度结算费用方式同第二个季度；</w:t>
      </w:r>
      <w:r/>
    </w:p>
    <w:p>
      <w:p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甲方凭乙方完税发票付款。款项由甲方按相关财务支付规定办理支付手续。不得故意拖延支付时间。</w:t>
      </w:r>
      <w:r/>
    </w:p>
    <w:p>
      <w:pPr>
        <w:ind w:firstLine="562"/>
        <w:spacing w:line="440" w:lineRule="exact"/>
        <w:tabs>
          <w:tab w:val="left" w:pos="0" w:leader="none"/>
        </w:tabs>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lang w:val="en-US" w:eastAsia="zh-CN"/>
        </w:rPr>
        <w:t xml:space="preserve">六</w:t>
      </w:r>
      <w:r>
        <w:rPr>
          <w:rFonts w:hint="eastAsia" w:ascii="方正仿宋_GBK" w:hAnsi="方正仿宋_GBK" w:eastAsia="方正仿宋_GBK" w:cs="方正仿宋_GBK"/>
          <w:b/>
          <w:bCs/>
          <w:color w:val="auto"/>
          <w:sz w:val="28"/>
          <w:szCs w:val="28"/>
          <w:highlight w:val="none"/>
        </w:rPr>
        <w:t xml:space="preserve">、采购标的其他技术、服务等要求</w:t>
      </w:r>
      <w:r/>
    </w:p>
    <w:p>
      <w:p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1.本次招标的涉案车辆停车场共分</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rPr>
        <w:t xml:space="preserve">个区域（点位），最多可配备</w:t>
      </w:r>
      <w:r>
        <w:rPr>
          <w:rFonts w:hint="eastAsia" w:ascii="方正仿宋_GBK" w:hAnsi="方正仿宋_GBK" w:eastAsia="方正仿宋_GBK" w:cs="方正仿宋_GBK"/>
          <w:color w:val="auto"/>
          <w:sz w:val="28"/>
          <w:szCs w:val="28"/>
          <w:highlight w:val="none"/>
          <w:lang w:val="en-US" w:eastAsia="zh-CN"/>
        </w:rPr>
        <w:t xml:space="preserve">4</w:t>
      </w:r>
      <w:r>
        <w:rPr>
          <w:rFonts w:hint="eastAsia" w:ascii="方正仿宋_GBK" w:hAnsi="方正仿宋_GBK" w:eastAsia="方正仿宋_GBK" w:cs="方正仿宋_GBK"/>
          <w:color w:val="auto"/>
          <w:sz w:val="28"/>
          <w:szCs w:val="28"/>
          <w:highlight w:val="none"/>
        </w:rPr>
        <w:t xml:space="preserve">个停车场（每个区域可设置1-2个），停车场总面积不得低于招标文件约定的最低面积要求。</w:t>
      </w:r>
      <w:r/>
    </w:p>
    <w:p>
      <w:pPr>
        <w:ind w:firstLine="560"/>
        <w:jc w:val="left"/>
        <w:spacing w:line="440" w:lineRule="exact"/>
        <w:widowControl/>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rPr>
        <w:t xml:space="preserve">2.中标停车场需投保停车场责任险，每个停车场最低保险赔偿金额不低于300万元</w:t>
      </w:r>
      <w:r>
        <w:rPr>
          <w:rFonts w:hint="eastAsia" w:ascii="方正仿宋_GBK" w:hAnsi="方正仿宋_GBK" w:eastAsia="方正仿宋_GBK" w:cs="方正仿宋_GBK"/>
          <w:color w:val="auto"/>
          <w:sz w:val="28"/>
          <w:szCs w:val="28"/>
          <w:highlight w:val="none"/>
          <w:lang w:eastAsia="zh-CN"/>
        </w:rPr>
        <w:t xml:space="preserve">；中标单位提供的服务车辆商业险赔付金额不低于</w:t>
      </w:r>
      <w:r>
        <w:rPr>
          <w:rFonts w:hint="eastAsia" w:ascii="方正仿宋_GBK" w:hAnsi="方正仿宋_GBK" w:eastAsia="方正仿宋_GBK" w:cs="方正仿宋_GBK"/>
          <w:color w:val="auto"/>
          <w:sz w:val="28"/>
          <w:szCs w:val="28"/>
          <w:highlight w:val="none"/>
          <w:lang w:val="en-US" w:eastAsia="zh-CN"/>
        </w:rPr>
        <w:t xml:space="preserve">100万元。</w:t>
      </w:r>
      <w:r/>
    </w:p>
    <w:p>
      <w:p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.中标后10日内提供有资质的第三方出具的场地面积测绘图</w:t>
      </w:r>
      <w:r>
        <w:rPr>
          <w:rFonts w:hint="eastAsia" w:ascii="方正仿宋_GBK" w:hAnsi="方正仿宋_GBK" w:eastAsia="方正仿宋_GBK" w:cs="方正仿宋_GBK"/>
          <w:color w:val="auto"/>
          <w:sz w:val="28"/>
          <w:szCs w:val="28"/>
          <w:highlight w:val="none"/>
          <w:lang w:eastAsia="zh-CN"/>
        </w:rPr>
        <w:t xml:space="preserve">（例如具备自然资源主管部门颁发的相应测绘资质</w:t>
      </w:r>
      <w:r>
        <w:rPr>
          <w:rFonts w:hint="eastAsia" w:ascii="方正仿宋_GBK" w:hAnsi="方正仿宋_GBK" w:eastAsia="方正仿宋_GBK" w:cs="方正仿宋_GBK"/>
          <w:b/>
          <w:bCs/>
          <w:color w:val="auto"/>
          <w:sz w:val="28"/>
          <w:szCs w:val="28"/>
          <w:highlight w:val="none"/>
          <w:lang w:eastAsia="zh-CN"/>
        </w:rPr>
        <w:t xml:space="preserve">，</w:t>
      </w:r>
      <w:r>
        <w:rPr>
          <w:rFonts w:hint="eastAsia" w:ascii="方正仿宋_GBK" w:hAnsi="方正仿宋_GBK" w:eastAsia="方正仿宋_GBK" w:cs="方正仿宋_GBK"/>
          <w:b/>
          <w:bCs/>
          <w:color w:val="auto"/>
          <w:sz w:val="28"/>
          <w:szCs w:val="28"/>
          <w:highlight w:val="none"/>
        </w:rPr>
        <w:t xml:space="preserve">投标时不能提供第三方出具的场地面积测绘图的，应提供自绘平面图代替）</w:t>
      </w:r>
      <w:r>
        <w:rPr>
          <w:rFonts w:hint="eastAsia" w:ascii="方正仿宋_GBK" w:hAnsi="方正仿宋_GBK" w:eastAsia="方正仿宋_GBK" w:cs="方正仿宋_GBK"/>
          <w:color w:val="auto"/>
          <w:sz w:val="28"/>
          <w:szCs w:val="28"/>
          <w:highlight w:val="none"/>
        </w:rPr>
        <w:t xml:space="preserve">。签订合同前，招标人对停车场场地面积进行核查。经核查停车场面积不符合区域点位面积要求的，招标人可拒绝签订合同，并提请政府采购监管部门对该中标停车场虚假投标进行处罚。停车场测绘图纸作为合同不可分割附件（测绘费用由中标单位承担）。</w:t>
      </w:r>
      <w:r/>
    </w:p>
    <w:p>
      <w:p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4</w:t>
      </w:r>
      <w:r>
        <w:rPr>
          <w:rFonts w:hint="eastAsia" w:ascii="方正仿宋_GBK" w:hAnsi="方正仿宋_GBK" w:eastAsia="方正仿宋_GBK" w:cs="方正仿宋_GBK"/>
          <w:color w:val="auto"/>
          <w:sz w:val="28"/>
          <w:szCs w:val="28"/>
          <w:highlight w:val="none"/>
        </w:rPr>
        <w:t xml:space="preserve">.中标停车场应按照招标人的要求在中标停车场门口醒目位置安装“政府采购涉案车辆停车场标牌”式样和规格要求附后（安装费用由中标单位承担），并作为</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支付第一季度服务费用的条件。</w:t>
      </w:r>
      <w:r/>
    </w:p>
    <w:p>
      <w:p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.合同签订生效后，中标停车场具备收费许可的，由停车场提供收费的政府备案材料。</w:t>
      </w:r>
      <w:r/>
    </w:p>
    <w:p>
      <w:p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6.</w:t>
      </w:r>
      <w:r>
        <w:rPr>
          <w:rFonts w:hint="eastAsia" w:ascii="方正仿宋_GBK" w:hAnsi="方正仿宋_GBK" w:eastAsia="方正仿宋_GBK" w:cs="方正仿宋_GBK"/>
          <w:color w:val="auto"/>
          <w:sz w:val="28"/>
          <w:szCs w:val="28"/>
          <w:highlight w:val="none"/>
        </w:rPr>
        <w:t xml:space="preserve">招标人可根据实际需要统筹调配停车场对应服务的大队，停车场自接到通知起必须服从执行。停车场不服从调配影响涉案车辆停放工作的，招标人有权发出整改通知书要求限期整改，停车场拒绝整改、整改达不到要求的，招标人可以中止履行合同或解除合同。在合同履行中，中标人提前解除合同的，则需向招标人支付合同金额20%的违约金。</w:t>
      </w:r>
      <w:r/>
    </w:p>
    <w:p>
      <w:pPr>
        <w:ind w:firstLine="562"/>
        <w:spacing w:line="440" w:lineRule="exact"/>
        <w:tabs>
          <w:tab w:val="left" w:pos="0" w:leader="none"/>
        </w:tabs>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lang w:val="en-US" w:eastAsia="zh-CN"/>
        </w:rPr>
        <w:t xml:space="preserve">七</w:t>
      </w:r>
      <w:r>
        <w:rPr>
          <w:rFonts w:hint="eastAsia" w:ascii="方正仿宋_GBK" w:hAnsi="方正仿宋_GBK" w:eastAsia="方正仿宋_GBK" w:cs="方正仿宋_GBK"/>
          <w:b/>
          <w:bCs/>
          <w:color w:val="auto"/>
          <w:sz w:val="28"/>
          <w:szCs w:val="28"/>
          <w:highlight w:val="none"/>
        </w:rPr>
        <w:t xml:space="preserve">、付款条件</w:t>
      </w:r>
      <w:r/>
    </w:p>
    <w:p>
      <w:p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付款方式：合同签订后支付合同价的</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rPr>
        <w:t xml:space="preserve">0%，合同余额按季度考核支付。</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凭中标人完税发票付款。款项由</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按相关财务支付规定办理支付手续</w:t>
      </w:r>
      <w:r>
        <w:rPr>
          <w:rFonts w:hint="eastAsia" w:ascii="方正仿宋_GBK" w:hAnsi="方正仿宋_GBK" w:eastAsia="方正仿宋_GBK" w:cs="方正仿宋_GBK"/>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招标人</w:t>
      </w:r>
      <w:r>
        <w:rPr>
          <w:rFonts w:hint="eastAsia" w:ascii="仿宋" w:hAnsi="仿宋" w:eastAsia="仿宋" w:cs="宋体"/>
          <w:color w:val="auto"/>
          <w:sz w:val="28"/>
          <w:szCs w:val="28"/>
          <w:highlight w:val="none"/>
        </w:rPr>
        <w:t xml:space="preserve">通过银行转账/财政直接支付/财政授权支付方式将款项支付至</w:t>
      </w:r>
      <w:r>
        <w:rPr>
          <w:rFonts w:hint="eastAsia" w:ascii="仿宋" w:hAnsi="仿宋" w:eastAsia="仿宋" w:cs="宋体"/>
          <w:color w:val="auto"/>
          <w:sz w:val="28"/>
          <w:szCs w:val="28"/>
          <w:highlight w:val="none"/>
          <w:lang w:val="en-US" w:eastAsia="zh-CN"/>
        </w:rPr>
        <w:t xml:space="preserve">中标人</w:t>
      </w:r>
      <w:r>
        <w:rPr>
          <w:rFonts w:hint="eastAsia" w:ascii="仿宋" w:hAnsi="仿宋" w:eastAsia="仿宋" w:cs="宋体"/>
          <w:color w:val="auto"/>
          <w:sz w:val="28"/>
          <w:szCs w:val="28"/>
          <w:highlight w:val="none"/>
        </w:rPr>
        <w:t xml:space="preserve">指定账户</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。不得故意拖延支付时间。</w:t>
      </w:r>
      <w:r/>
    </w:p>
    <w:p>
      <w:p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中标通知书发出后，合同签订前，中标人须支付合同价</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%的履约保证金至</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账户，如在中标后30日内、签订合同前中标人停车场设备及相关设施等未能满足本招标文件规定的相关条件，招标人有权扣除全额履约保证金并报相关部门列入采购黑名单。</w:t>
      </w:r>
      <w:r/>
    </w:p>
    <w:p>
      <w:pPr>
        <w:numPr>
          <w:ilvl w:val="0"/>
          <w:numId w:val="0"/>
        </w:numPr>
        <w:ind w:left="560" w:firstLine="0"/>
        <w:jc w:val="left"/>
        <w:spacing w:line="440" w:lineRule="exact"/>
        <w:widowControl/>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lang w:val="en-US" w:eastAsia="zh-CN" w:bidi="ar-SA"/>
        </w:rPr>
        <w:t xml:space="preserve">八、</w:t>
      </w:r>
      <w:r>
        <w:rPr>
          <w:rFonts w:hint="eastAsia" w:ascii="方正仿宋_GBK" w:hAnsi="方正仿宋_GBK" w:eastAsia="方正仿宋_GBK" w:cs="方正仿宋_GBK"/>
          <w:b/>
          <w:bCs/>
          <w:color w:val="auto"/>
          <w:sz w:val="28"/>
          <w:szCs w:val="28"/>
          <w:highlight w:val="none"/>
        </w:rPr>
        <w:t xml:space="preserve">履约保证金</w:t>
      </w:r>
      <w:r/>
    </w:p>
    <w:p>
      <w:pPr>
        <w:numPr>
          <w:ilvl w:val="0"/>
          <w:numId w:val="0"/>
        </w:num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1.本项目中标后的履约保证金为项目中标价的5%，成交供应商的履约保证金须在中标通知书发出之日起至合同签订前汇入</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单位账户（应当以数字人民币、支票、汇票或者金融机构、担保机构出具的保函等形式提交），成交供应商凭中标通知书与</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签订合同。超期或未有协商，则视为自动放弃中标资格。</w:t>
      </w:r>
      <w:r/>
    </w:p>
    <w:p>
      <w:pPr>
        <w:numPr>
          <w:ilvl w:val="0"/>
          <w:numId w:val="0"/>
        </w:numPr>
        <w:ind w:firstLine="560"/>
        <w:jc w:val="left"/>
        <w:spacing w:line="4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2.成交供应商全部履约合同义务，经</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验收合格无质量、进度等问题的，</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在验收合格后10个工作日内一次性退还履约保证金（保函除外），</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若逾期退还履约保证金的，按照逾期部分的每日0.05%支付违约金；</w:t>
      </w:r>
      <w:r/>
    </w:p>
    <w:p>
      <w:pPr>
        <w:ind w:firstLine="560"/>
        <w:keepLines w:val="0"/>
        <w:keepNext/>
        <w:pageBreakBefore w:val="0"/>
        <w:spacing w:line="460" w:lineRule="exact"/>
        <w:shd w:val="clear" w:color="auto"/>
        <w:widowControl w:val="off"/>
        <w:rPr>
          <w:rFonts w:hint="eastAsia" w:ascii="方正仿宋_GBK" w:hAnsi="方正仿宋_GBK" w:eastAsia="方正仿宋_GBK" w:cs="方正仿宋_GBK"/>
          <w:color w:val="auto"/>
          <w:sz w:val="28"/>
          <w:szCs w:val="28"/>
          <w:highlight w:val="none"/>
        </w:rPr>
        <w:outlineLvl w:val="3"/>
      </w:pPr>
      <w:r>
        <w:rPr>
          <w:rFonts w:hint="eastAsia" w:ascii="方正仿宋_GBK" w:hAnsi="方正仿宋_GBK" w:eastAsia="方正仿宋_GBK" w:cs="方正仿宋_GBK"/>
          <w:color w:val="auto"/>
          <w:sz w:val="28"/>
          <w:szCs w:val="28"/>
          <w:highlight w:val="none"/>
        </w:rPr>
        <w:t xml:space="preserve">3.发生以下情况的，履约保证金不予退还或部分退还：</w:t>
      </w:r>
      <w:r/>
    </w:p>
    <w:p>
      <w:pPr>
        <w:ind w:firstLine="560"/>
        <w:keepLines w:val="0"/>
        <w:keepNext/>
        <w:pageBreakBefore w:val="0"/>
        <w:spacing w:line="460" w:lineRule="exact"/>
        <w:shd w:val="clear" w:color="auto"/>
        <w:widowControl w:val="off"/>
        <w:rPr>
          <w:rFonts w:hint="eastAsia" w:ascii="方正仿宋_GBK" w:hAnsi="方正仿宋_GBK" w:eastAsia="方正仿宋_GBK" w:cs="方正仿宋_GBK"/>
          <w:color w:val="auto"/>
          <w:sz w:val="28"/>
          <w:szCs w:val="28"/>
          <w:highlight w:val="none"/>
        </w:rPr>
        <w:outlineLvl w:val="3"/>
      </w:pPr>
      <w:r>
        <w:rPr>
          <w:rFonts w:hint="eastAsia" w:ascii="方正仿宋_GBK" w:hAnsi="方正仿宋_GBK" w:eastAsia="方正仿宋_GBK" w:cs="方正仿宋_GBK"/>
          <w:color w:val="auto"/>
          <w:sz w:val="28"/>
          <w:szCs w:val="28"/>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560"/>
        <w:keepLines w:val="0"/>
        <w:keepNext/>
        <w:pageBreakBefore w:val="0"/>
        <w:spacing w:line="460" w:lineRule="exact"/>
        <w:shd w:val="clear" w:color="auto"/>
        <w:widowControl w:val="off"/>
        <w:rPr>
          <w:rFonts w:hint="eastAsia" w:ascii="方正仿宋_GBK" w:hAnsi="方正仿宋_GBK" w:eastAsia="方正仿宋_GBK" w:cs="方正仿宋_GBK"/>
          <w:color w:val="auto"/>
          <w:sz w:val="28"/>
          <w:szCs w:val="28"/>
          <w:highlight w:val="none"/>
        </w:rPr>
        <w:outlineLvl w:val="3"/>
      </w:pPr>
      <w:r>
        <w:rPr>
          <w:rFonts w:hint="eastAsia" w:ascii="方正仿宋_GBK" w:hAnsi="方正仿宋_GBK" w:eastAsia="方正仿宋_GBK" w:cs="方正仿宋_GBK"/>
          <w:color w:val="auto"/>
          <w:sz w:val="28"/>
          <w:szCs w:val="28"/>
          <w:highlight w:val="none"/>
        </w:rPr>
        <w:t xml:space="preserve">b.成交供应商在履约过程中发生违约行为，给</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造成损失的，</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有权在成交供应商缴纳的履约保证金中予以扣款，以弥补</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经济损失，不足的部分成交供应商另外补齐。</w:t>
      </w:r>
      <w:r/>
    </w:p>
    <w:p>
      <w:pPr>
        <w:ind w:firstLine="560"/>
        <w:keepLines w:val="0"/>
        <w:keepNext/>
        <w:pageBreakBefore w:val="0"/>
        <w:spacing w:line="460" w:lineRule="exact"/>
        <w:shd w:val="clear" w:color="auto"/>
        <w:widowControl w:val="off"/>
        <w:rPr>
          <w:rFonts w:hint="eastAsia" w:ascii="方正仿宋_GBK" w:hAnsi="方正仿宋_GBK" w:eastAsia="方正仿宋_GBK" w:cs="方正仿宋_GBK"/>
          <w:color w:val="auto"/>
          <w:sz w:val="28"/>
          <w:szCs w:val="28"/>
          <w:highlight w:val="none"/>
        </w:rPr>
        <w:outlineLvl w:val="3"/>
      </w:pPr>
      <w:r>
        <w:rPr>
          <w:rFonts w:hint="eastAsia" w:ascii="方正仿宋_GBK" w:hAnsi="方正仿宋_GBK" w:eastAsia="方正仿宋_GBK" w:cs="方正仿宋_GBK"/>
          <w:color w:val="auto"/>
          <w:sz w:val="28"/>
          <w:szCs w:val="28"/>
          <w:highlight w:val="none"/>
        </w:rPr>
        <w:t xml:space="preserve">4.以履约保函（保险）形式向</w:t>
      </w:r>
      <w:r>
        <w:rPr>
          <w:rFonts w:hint="eastAsia" w:ascii="方正仿宋_GBK" w:hAnsi="方正仿宋_GBK" w:eastAsia="方正仿宋_GBK" w:cs="方正仿宋_GBK"/>
          <w:color w:val="auto"/>
          <w:sz w:val="28"/>
          <w:szCs w:val="28"/>
          <w:highlight w:val="none"/>
          <w:lang w:eastAsia="zh-CN"/>
        </w:rPr>
        <w:t xml:space="preserve">招标人</w:t>
      </w:r>
      <w:r>
        <w:rPr>
          <w:rFonts w:hint="eastAsia" w:ascii="方正仿宋_GBK" w:hAnsi="方正仿宋_GBK" w:eastAsia="方正仿宋_GBK" w:cs="方正仿宋_GBK"/>
          <w:color w:val="auto"/>
          <w:sz w:val="28"/>
          <w:szCs w:val="28"/>
          <w:highlight w:val="none"/>
        </w:rPr>
        <w:t xml:space="preserve">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 HYPERLINK "http://www.ccgp-jiangsu.gov.cn/jisngsu/zlxz/)。" </w:instrText>
      </w:r>
      <w:r>
        <w:rPr>
          <w:rFonts w:hint="eastAsia" w:ascii="方正仿宋_GBK" w:hAnsi="方正仿宋_GBK" w:eastAsia="方正仿宋_GBK" w:cs="方正仿宋_GBK"/>
          <w:color w:val="auto"/>
          <w:sz w:val="28"/>
          <w:szCs w:val="28"/>
          <w:highlight w:val="none"/>
        </w:rPr>
        <w:fldChar w:fldCharType="separate"/>
      </w:r>
      <w:r>
        <w:rPr>
          <w:rStyle w:val="956"/>
          <w:rFonts w:hint="eastAsia" w:ascii="方正仿宋_GBK" w:hAnsi="方正仿宋_GBK" w:eastAsia="方正仿宋_GBK" w:cs="方正仿宋_GBK"/>
          <w:color w:val="auto"/>
          <w:sz w:val="28"/>
          <w:szCs w:val="28"/>
          <w:highlight w:val="none"/>
        </w:rPr>
        <w:t xml:space="preserve">https://jsdzbh.com/webSite/bHIndex。</w:t>
      </w:r>
      <w:r>
        <w:rPr>
          <w:rFonts w:hint="eastAsia" w:ascii="方正仿宋_GBK" w:hAnsi="方正仿宋_GBK" w:eastAsia="方正仿宋_GBK" w:cs="方正仿宋_GBK"/>
          <w:color w:val="auto"/>
          <w:sz w:val="28"/>
          <w:szCs w:val="28"/>
          <w:highlight w:val="none"/>
        </w:rPr>
        <w:fldChar w:fldCharType="end"/>
      </w:r>
      <w:r/>
    </w:p>
    <w:p>
      <w:pPr>
        <w:ind w:firstLine="562"/>
        <w:keepLines w:val="0"/>
        <w:keepNext/>
        <w:pageBreakBefore w:val="0"/>
        <w:spacing w:line="460" w:lineRule="exact"/>
        <w:shd w:val="clear" w:color="auto"/>
        <w:widowControl w:val="off"/>
        <w:rPr>
          <w:rFonts w:hint="default" w:ascii="Times New Roman" w:hAnsi="Times New Roman" w:eastAsia="仿宋" w:cs="Times New Roman"/>
          <w:b/>
          <w:bCs/>
          <w:color w:val="auto"/>
          <w:sz w:val="28"/>
          <w:szCs w:val="28"/>
          <w:highlight w:val="none"/>
          <w:lang w:val="en-US" w:eastAsia="zh-CN"/>
        </w:rPr>
        <w:outlineLvl w:val="3"/>
      </w:pPr>
      <w:r>
        <w:rPr>
          <w:rFonts w:hint="eastAsia" w:ascii="方正仿宋_GBK" w:hAnsi="方正仿宋_GBK" w:eastAsia="方正仿宋_GBK" w:cs="方正仿宋_GBK"/>
          <w:b/>
          <w:bCs/>
          <w:color w:val="auto"/>
          <w:sz w:val="28"/>
          <w:szCs w:val="28"/>
          <w:highlight w:val="none"/>
          <w:lang w:val="en-US" w:eastAsia="zh-CN"/>
        </w:rPr>
        <w:t xml:space="preserve">九</w:t>
      </w:r>
      <w:r>
        <w:rPr>
          <w:rFonts w:hint="eastAsia" w:ascii="方正仿宋_GBK" w:hAnsi="方正仿宋_GBK" w:eastAsia="方正仿宋_GBK" w:cs="方正仿宋_GBK"/>
          <w:b/>
          <w:bCs/>
          <w:color w:val="auto"/>
          <w:sz w:val="28"/>
          <w:szCs w:val="28"/>
          <w:highlight w:val="none"/>
        </w:rPr>
        <w:t xml:space="preserve">、</w:t>
      </w:r>
      <w:r>
        <w:rPr>
          <w:rFonts w:hint="default" w:ascii="Times New Roman" w:hAnsi="Times New Roman" w:eastAsia="仿宋" w:cs="Times New Roman"/>
          <w:b/>
          <w:bCs/>
          <w:color w:val="auto"/>
          <w:sz w:val="28"/>
          <w:szCs w:val="28"/>
          <w:highlight w:val="none"/>
          <w:lang w:val="en-US" w:eastAsia="zh-CN"/>
        </w:rPr>
        <w:t xml:space="preserve">采购需求中必须满足的实质性要求</w:t>
      </w:r>
      <w:r/>
    </w:p>
    <w:p>
      <w:pPr>
        <w:ind w:firstLine="562"/>
        <w:jc w:val="left"/>
        <w:keepLines w:val="0"/>
        <w:keepNext w:val="0"/>
        <w:pageBreakBefore w:val="0"/>
        <w:spacing w:line="460" w:lineRule="exact"/>
        <w:shd w:val="clear" w:color="auto"/>
        <w:widowControl w:val="off"/>
        <w:rPr>
          <w:rFonts w:hint="default" w:ascii="Times New Roman" w:hAnsi="Times New Roman" w:eastAsia="仿宋" w:cs="Times New Roman"/>
          <w:b/>
          <w:color w:val="auto"/>
          <w:sz w:val="28"/>
          <w:szCs w:val="28"/>
          <w:highlight w:val="none"/>
          <w:lang w:val="en-US" w:eastAsia="zh-CN"/>
        </w:rPr>
        <w:outlineLvl w:val="1"/>
      </w:pPr>
      <w:r>
        <w:rPr>
          <w:rFonts w:hint="eastAsia" w:ascii="Times New Roman" w:hAnsi="Times New Roman" w:eastAsia="仿宋" w:cs="Times New Roman"/>
          <w:b/>
          <w:bCs/>
          <w:i/>
          <w:iCs/>
          <w:color w:val="auto"/>
          <w:sz w:val="28"/>
          <w:szCs w:val="28"/>
          <w:highlight w:val="none"/>
          <w:u w:val="single"/>
          <w:lang w:val="en-US" w:eastAsia="zh-CN"/>
        </w:rPr>
        <w:t xml:space="preserve">1.</w:t>
      </w:r>
      <w:r>
        <w:rPr>
          <w:rFonts w:hint="default" w:ascii="Times New Roman" w:hAnsi="Times New Roman" w:eastAsia="仿宋" w:cs="Times New Roman"/>
          <w:b/>
          <w:bCs/>
          <w:i/>
          <w:iCs/>
          <w:color w:val="auto"/>
          <w:sz w:val="28"/>
          <w:szCs w:val="28"/>
          <w:highlight w:val="none"/>
          <w:u w:val="single"/>
          <w:lang w:val="en-US" w:eastAsia="zh-CN"/>
        </w:rPr>
        <w:t xml:space="preserve">投标报价不得超过本项目最高限价，投标时提供承诺函或报价材料（承诺函格式自拟）。</w:t>
      </w:r>
      <w:r/>
    </w:p>
    <w:p>
      <w:pPr>
        <w:ind w:firstLine="562"/>
        <w:jc w:val="left"/>
        <w:keepLines w:val="0"/>
        <w:keepNext w:val="0"/>
        <w:pageBreakBefore w:val="0"/>
        <w:spacing w:line="460" w:lineRule="exact"/>
        <w:shd w:val="clear" w:color="auto"/>
        <w:widowControl w:val="off"/>
        <w:rPr>
          <w:rFonts w:hint="eastAsia" w:ascii="Times New Roman" w:hAnsi="Times New Roman" w:eastAsia="仿宋" w:cs="Times New Roman"/>
          <w:b/>
          <w:bCs/>
          <w:i/>
          <w:iCs/>
          <w:color w:val="auto"/>
          <w:sz w:val="28"/>
          <w:szCs w:val="28"/>
          <w:highlight w:val="none"/>
          <w:u w:val="single"/>
          <w:lang w:val="en-US" w:eastAsia="zh-CN"/>
        </w:rPr>
        <w:outlineLvl w:val="1"/>
      </w:pPr>
      <w:r>
        <w:rPr>
          <w:rFonts w:hint="eastAsia" w:ascii="Times New Roman" w:hAnsi="Times New Roman" w:eastAsia="仿宋" w:cs="Times New Roman"/>
          <w:b/>
          <w:bCs/>
          <w:i/>
          <w:iCs/>
          <w:color w:val="auto"/>
          <w:sz w:val="28"/>
          <w:szCs w:val="28"/>
          <w:highlight w:val="none"/>
          <w:u w:val="single"/>
          <w:lang w:val="en-US" w:eastAsia="zh-CN"/>
        </w:rPr>
        <w:t xml:space="preserve">2.招标文件中</w:t>
      </w:r>
      <w:r>
        <w:rPr>
          <w:rFonts w:hint="eastAsia" w:eastAsia="仿宋" w:cs="Times New Roman"/>
          <w:b/>
          <w:bCs/>
          <w:i/>
          <w:iCs/>
          <w:color w:val="auto"/>
          <w:sz w:val="28"/>
          <w:szCs w:val="28"/>
          <w:highlight w:val="none"/>
          <w:u w:val="single"/>
          <w:lang w:val="en-US" w:eastAsia="zh-CN"/>
        </w:rPr>
        <w:t xml:space="preserve">所有</w:t>
      </w:r>
      <w:r>
        <w:rPr>
          <w:rFonts w:hint="eastAsia" w:ascii="Times New Roman" w:hAnsi="Times New Roman" w:eastAsia="仿宋" w:cs="Times New Roman"/>
          <w:b/>
          <w:bCs/>
          <w:i/>
          <w:iCs/>
          <w:color w:val="auto"/>
          <w:sz w:val="28"/>
          <w:szCs w:val="28"/>
          <w:highlight w:val="none"/>
          <w:u w:val="single"/>
          <w:lang w:val="en-US" w:eastAsia="zh-CN"/>
        </w:rPr>
        <w:t xml:space="preserve">标★号须逐条响应，提供相关证明材料及承诺函（格式自拟）。</w:t>
      </w:r>
      <w:r/>
    </w:p>
    <w:p>
      <w:pPr>
        <w:ind w:firstLine="562"/>
        <w:jc w:val="left"/>
        <w:keepLines w:val="0"/>
        <w:keepNext w:val="0"/>
        <w:pageBreakBefore w:val="0"/>
        <w:spacing w:line="460" w:lineRule="exact"/>
        <w:shd w:val="clear" w:color="auto"/>
        <w:widowControl w:val="off"/>
        <w:rPr>
          <w:rFonts w:hint="default" w:ascii="Times New Roman" w:hAnsi="Times New Roman" w:eastAsia="仿宋" w:cs="Times New Roman"/>
          <w:b/>
          <w:bCs/>
          <w:i/>
          <w:iCs/>
          <w:color w:val="auto"/>
          <w:sz w:val="28"/>
          <w:szCs w:val="28"/>
          <w:highlight w:val="none"/>
          <w:u w:val="single"/>
          <w:lang w:val="en-US" w:eastAsia="zh-CN"/>
        </w:rPr>
        <w:outlineLvl w:val="1"/>
      </w:pPr>
      <w:r>
        <w:rPr>
          <w:rFonts w:hint="eastAsia" w:ascii="Times New Roman" w:hAnsi="Times New Roman" w:eastAsia="仿宋" w:cs="Times New Roman"/>
          <w:b/>
          <w:bCs/>
          <w:i/>
          <w:iCs/>
          <w:color w:val="auto"/>
          <w:sz w:val="28"/>
          <w:szCs w:val="28"/>
          <w:highlight w:val="none"/>
          <w:u w:val="single"/>
          <w:lang w:val="en-US" w:eastAsia="zh-CN"/>
        </w:rPr>
        <w:t xml:space="preserve">3.本项目投标人须拥有清障车辆6辆，清障车辆可以为自有的，也可以是与具有清障施救经营范围企业合作租赁的</w:t>
      </w:r>
      <w:r>
        <w:rPr>
          <w:rFonts w:hint="eastAsia" w:eastAsia="仿宋" w:cs="Times New Roman"/>
          <w:b/>
          <w:bCs/>
          <w:i/>
          <w:iCs/>
          <w:color w:val="auto"/>
          <w:sz w:val="28"/>
          <w:szCs w:val="28"/>
          <w:highlight w:val="none"/>
          <w:u w:val="single"/>
          <w:lang w:val="en-US" w:eastAsia="zh-CN"/>
        </w:rPr>
        <w:t xml:space="preserve">。若自有车辆提供自有清障车辆行驶证；若租赁车辆提供①与具有清障施救经营范围企业签订的合作协议（协议期限应覆盖整个中标服务期）、②租赁车辆的行驶证；③合作企业的营业执照。</w:t>
      </w:r>
      <w:r>
        <w:rPr>
          <w:rFonts w:hint="eastAsia" w:ascii="Times New Roman" w:hAnsi="Times New Roman" w:eastAsia="仿宋" w:cs="Times New Roman"/>
          <w:b/>
          <w:bCs/>
          <w:i/>
          <w:iCs/>
          <w:color w:val="auto"/>
          <w:sz w:val="28"/>
          <w:szCs w:val="28"/>
          <w:highlight w:val="none"/>
          <w:u w:val="single"/>
          <w:lang w:val="en-US" w:eastAsia="zh-CN"/>
        </w:rPr>
        <w:t xml:space="preserve">提供的车辆符合当前国家和南通市政府排放标准，提供相关证明材料及承诺函（格式自拟）。</w:t>
      </w:r>
      <w:r/>
    </w:p>
    <w:p>
      <w:pPr>
        <w:ind w:firstLine="562"/>
        <w:jc w:val="left"/>
        <w:spacing w:line="440" w:lineRule="exact"/>
        <w:widowControl/>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lang w:val="en-US" w:eastAsia="zh-CN"/>
        </w:rPr>
        <w:t xml:space="preserve">十、</w:t>
      </w:r>
      <w:r>
        <w:rPr>
          <w:rFonts w:hint="eastAsia" w:ascii="方正仿宋_GBK" w:hAnsi="方正仿宋_GBK" w:eastAsia="方正仿宋_GBK" w:cs="方正仿宋_GBK"/>
          <w:b/>
          <w:bCs/>
          <w:color w:val="auto"/>
          <w:sz w:val="28"/>
          <w:szCs w:val="28"/>
          <w:highlight w:val="none"/>
        </w:rPr>
        <w:t xml:space="preserve">合同其他条款</w:t>
      </w:r>
      <w:r/>
    </w:p>
    <w:p>
      <w:pPr>
        <w:ind w:firstLine="420"/>
        <w:jc w:val="left"/>
        <w:spacing w:line="440" w:lineRule="exact"/>
        <w:widowControl/>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1.在合同履行期间，场地、人员、车辆等有关事项需变更的，需报告支队批准。</w:t>
      </w:r>
      <w:r/>
    </w:p>
    <w:p>
      <w:pPr>
        <w:ind w:firstLine="420"/>
        <w:jc w:val="left"/>
        <w:spacing w:line="440" w:lineRule="exact"/>
        <w:widowControl/>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2.合同模板（仅供参考）</w:t>
      </w:r>
      <w:r/>
    </w:p>
    <w:p>
      <w:pPr>
        <w:jc w:val="center"/>
        <w:spacing w:line="360" w:lineRule="auto"/>
        <w:rPr>
          <w:rFonts w:hint="eastAsia" w:ascii="Courier New" w:hAnsi="Courier New" w:eastAsia="方正魏碑简体"/>
          <w:b/>
          <w:color w:val="auto"/>
          <w:spacing w:val="20"/>
          <w:sz w:val="84"/>
          <w:szCs w:val="84"/>
          <w:highlight w:val="none"/>
        </w:rPr>
      </w:pPr>
      <w:r>
        <w:rPr>
          <w:rFonts w:hint="eastAsia" w:ascii="Courier New" w:hAnsi="Courier New" w:eastAsia="方正魏碑简体"/>
          <w:b/>
          <w:color w:val="auto"/>
          <w:spacing w:val="20"/>
          <w:sz w:val="84"/>
          <w:szCs w:val="84"/>
          <w:highlight w:val="none"/>
        </w:rPr>
      </w:r>
      <w:r/>
    </w:p>
    <w:p>
      <w:pPr>
        <w:jc w:val="center"/>
        <w:spacing w:line="360" w:lineRule="auto"/>
        <w:rPr>
          <w:rFonts w:hint="eastAsia" w:ascii="Courier New" w:hAnsi="Courier New" w:eastAsia="方正魏碑简体"/>
          <w:b/>
          <w:color w:val="auto"/>
          <w:spacing w:val="20"/>
          <w:sz w:val="84"/>
          <w:szCs w:val="84"/>
          <w:highlight w:val="none"/>
        </w:rPr>
      </w:pPr>
      <w:r>
        <w:rPr>
          <w:rFonts w:hint="eastAsia" w:ascii="Courier New" w:hAnsi="Courier New" w:eastAsia="方正魏碑简体"/>
          <w:b/>
          <w:color w:val="auto"/>
          <w:spacing w:val="20"/>
          <w:sz w:val="84"/>
          <w:szCs w:val="84"/>
          <w:highlight w:val="none"/>
        </w:rPr>
      </w:r>
      <w:r/>
    </w:p>
    <w:p>
      <w:pPr>
        <w:jc w:val="center"/>
        <w:spacing w:line="360" w:lineRule="auto"/>
        <w:rPr>
          <w:rFonts w:hint="eastAsia" w:ascii="Courier New" w:hAnsi="Courier New" w:eastAsia="方正魏碑简体"/>
          <w:b/>
          <w:color w:val="auto"/>
          <w:spacing w:val="20"/>
          <w:sz w:val="84"/>
          <w:szCs w:val="84"/>
          <w:highlight w:val="none"/>
        </w:rPr>
      </w:pPr>
      <w:r>
        <w:rPr>
          <w:rFonts w:hint="eastAsia" w:ascii="Courier New" w:hAnsi="Courier New" w:eastAsia="方正魏碑简体"/>
          <w:b/>
          <w:color w:val="auto"/>
          <w:spacing w:val="20"/>
          <w:sz w:val="84"/>
          <w:szCs w:val="84"/>
          <w:highlight w:val="none"/>
        </w:rPr>
      </w:r>
      <w:r/>
    </w:p>
    <w:p>
      <w:pPr>
        <w:jc w:val="center"/>
        <w:spacing w:line="360" w:lineRule="auto"/>
        <w:rPr>
          <w:rFonts w:hint="eastAsia" w:ascii="Courier New" w:hAnsi="Courier New" w:eastAsia="方正魏碑简体"/>
          <w:b/>
          <w:color w:val="auto"/>
          <w:spacing w:val="20"/>
          <w:sz w:val="84"/>
          <w:szCs w:val="84"/>
          <w:highlight w:val="none"/>
        </w:rPr>
      </w:pPr>
      <w:r>
        <w:rPr>
          <w:rFonts w:hint="eastAsia" w:ascii="Courier New" w:hAnsi="Courier New" w:eastAsia="方正魏碑简体"/>
          <w:b/>
          <w:color w:val="auto"/>
          <w:spacing w:val="20"/>
          <w:sz w:val="84"/>
          <w:szCs w:val="84"/>
          <w:highlight w:val="none"/>
        </w:rPr>
      </w:r>
      <w:r/>
    </w:p>
    <w:p>
      <w:pPr>
        <w:jc w:val="center"/>
        <w:spacing w:line="360" w:lineRule="auto"/>
        <w:rPr>
          <w:rFonts w:hint="eastAsia" w:ascii="Courier New" w:hAnsi="Courier New" w:eastAsia="方正魏碑简体"/>
          <w:b/>
          <w:color w:val="auto"/>
          <w:spacing w:val="20"/>
          <w:sz w:val="84"/>
          <w:szCs w:val="84"/>
          <w:highlight w:val="none"/>
        </w:rPr>
      </w:pPr>
      <w:r>
        <w:rPr>
          <w:rFonts w:hint="eastAsia" w:ascii="Courier New" w:hAnsi="Courier New" w:eastAsia="方正魏碑简体"/>
          <w:b/>
          <w:color w:val="auto"/>
          <w:spacing w:val="20"/>
          <w:sz w:val="84"/>
          <w:szCs w:val="84"/>
          <w:highlight w:val="none"/>
        </w:rPr>
      </w:r>
      <w:r/>
    </w:p>
    <w:p>
      <w:pPr>
        <w:jc w:val="both"/>
        <w:spacing w:line="360" w:lineRule="auto"/>
        <w:rPr>
          <w:rFonts w:hint="eastAsia" w:ascii="Courier New" w:hAnsi="Courier New" w:eastAsia="方正魏碑简体"/>
          <w:b/>
          <w:color w:val="auto"/>
          <w:spacing w:val="20"/>
          <w:sz w:val="84"/>
          <w:szCs w:val="84"/>
          <w:highlight w:val="none"/>
          <w:lang w:eastAsia="zh-CN"/>
        </w:rPr>
      </w:pPr>
      <w:r>
        <w:rPr>
          <w:rFonts w:hint="eastAsia" w:ascii="Courier New" w:hAnsi="Courier New" w:eastAsia="方正魏碑简体"/>
          <w:b/>
          <w:color w:val="auto"/>
          <w:spacing w:val="20"/>
          <w:sz w:val="84"/>
          <w:szCs w:val="84"/>
          <w:highlight w:val="none"/>
          <w:lang w:eastAsia="zh-CN"/>
        </w:rPr>
      </w:r>
      <w:r/>
    </w:p>
    <w:p>
      <w:pPr>
        <w:jc w:val="center"/>
        <w:spacing w:line="360" w:lineRule="auto"/>
        <w:rPr>
          <w:rFonts w:hint="eastAsia" w:ascii="Courier New" w:hAnsi="Courier New" w:eastAsia="方正魏碑简体"/>
          <w:b/>
          <w:color w:val="auto"/>
          <w:spacing w:val="20"/>
          <w:sz w:val="84"/>
          <w:szCs w:val="84"/>
          <w:highlight w:val="none"/>
        </w:rPr>
      </w:pPr>
      <w:r>
        <w:rPr>
          <w:rFonts w:hint="eastAsia" w:ascii="Courier New" w:hAnsi="Courier New" w:eastAsia="方正魏碑简体"/>
          <w:b/>
          <w:color w:val="auto"/>
          <w:spacing w:val="20"/>
          <w:sz w:val="84"/>
          <w:szCs w:val="84"/>
          <w:highlight w:val="none"/>
        </w:rPr>
        <w:t xml:space="preserve">南通市政府采购项目</w:t>
      </w:r>
      <w:r/>
    </w:p>
    <w:p>
      <w:pPr>
        <w:jc w:val="center"/>
        <w:spacing w:line="360" w:lineRule="auto"/>
        <w:rPr>
          <w:rFonts w:hint="eastAsia" w:ascii="Courier New" w:hAnsi="Courier New" w:eastAsia="方正魏碑简体"/>
          <w:b/>
          <w:color w:val="auto"/>
          <w:spacing w:val="20"/>
          <w:sz w:val="28"/>
          <w:highlight w:val="none"/>
        </w:rPr>
      </w:pPr>
      <w:r>
        <w:rPr>
          <w:rFonts w:hint="eastAsia" w:ascii="Courier New" w:hAnsi="Courier New" w:eastAsia="方正魏碑简体"/>
          <w:b/>
          <w:color w:val="auto"/>
          <w:spacing w:val="20"/>
          <w:sz w:val="28"/>
          <w:highlight w:val="none"/>
        </w:rPr>
      </w:r>
      <w:r/>
    </w:p>
    <w:p>
      <w:pPr>
        <w:jc w:val="center"/>
        <w:spacing w:line="360" w:lineRule="auto"/>
        <w:rPr>
          <w:rFonts w:hint="eastAsia" w:ascii="宋体" w:eastAsia="方正魏碑简体"/>
          <w:b/>
          <w:color w:val="auto"/>
          <w:sz w:val="44"/>
          <w:highlight w:val="none"/>
        </w:rPr>
      </w:pPr>
      <w:r>
        <w:rPr>
          <w:rFonts w:hint="eastAsia" w:ascii="宋体" w:eastAsia="方正魏碑简体"/>
          <w:b/>
          <w:color w:val="auto"/>
          <w:sz w:val="44"/>
          <w:highlight w:val="none"/>
        </w:rPr>
      </w:r>
      <w:r/>
    </w:p>
    <w:p>
      <w:pPr>
        <w:jc w:val="center"/>
        <w:spacing w:line="360" w:lineRule="auto"/>
        <w:rPr>
          <w:rFonts w:hint="eastAsia" w:ascii="华文新魏" w:eastAsia="华文新魏"/>
          <w:b/>
          <w:color w:val="auto"/>
          <w:spacing w:val="200"/>
          <w:sz w:val="96"/>
          <w:highlight w:val="none"/>
        </w:rPr>
      </w:pPr>
      <w:r>
        <w:rPr>
          <w:rFonts w:hint="eastAsia" w:ascii="华文新魏" w:eastAsia="华文新魏"/>
          <w:b/>
          <w:color w:val="auto"/>
          <w:spacing w:val="200"/>
          <w:sz w:val="96"/>
          <w:highlight w:val="none"/>
        </w:rPr>
        <w:t xml:space="preserve">合同书</w:t>
      </w:r>
      <w:r/>
    </w:p>
    <w:p>
      <w:pPr>
        <w:jc w:val="center"/>
        <w:spacing w:line="360" w:lineRule="auto"/>
        <w:rPr>
          <w:rFonts w:hint="eastAsia" w:ascii="宋体"/>
          <w:b/>
          <w:color w:val="auto"/>
          <w:sz w:val="32"/>
          <w:highlight w:val="none"/>
        </w:rPr>
      </w:pPr>
      <w:r>
        <w:rPr>
          <w:rFonts w:hint="eastAsia" w:ascii="宋体"/>
          <w:b/>
          <w:color w:val="auto"/>
          <w:sz w:val="32"/>
          <w:highlight w:val="none"/>
        </w:rPr>
      </w:r>
      <w:r/>
    </w:p>
    <w:p>
      <w:pPr>
        <w:jc w:val="both"/>
        <w:spacing w:line="360" w:lineRule="auto"/>
        <w:rPr>
          <w:rFonts w:hint="eastAsia" w:ascii="宋体"/>
          <w:b/>
          <w:color w:val="auto"/>
          <w:sz w:val="32"/>
          <w:highlight w:val="none"/>
        </w:rPr>
      </w:pPr>
      <w:r>
        <w:rPr>
          <w:rFonts w:hint="eastAsia" w:ascii="宋体"/>
          <w:b/>
          <w:color w:val="auto"/>
          <w:sz w:val="32"/>
          <w:highlight w:val="none"/>
        </w:rPr>
      </w:r>
      <w:r/>
    </w:p>
    <w:p>
      <w:pPr>
        <w:ind w:left="1680"/>
        <w:spacing w:line="480" w:lineRule="auto"/>
        <w:rPr>
          <w:rFonts w:hint="eastAsia" w:ascii="宋体"/>
          <w:b/>
          <w:color w:val="auto"/>
          <w:sz w:val="28"/>
          <w:highlight w:val="none"/>
        </w:rPr>
      </w:pPr>
      <w:r>
        <w:rPr>
          <w:rFonts w:hint="eastAsia" w:ascii="宋体"/>
          <w:b/>
          <w:color w:val="auto"/>
          <w:sz w:val="28"/>
          <w:highlight w:val="none"/>
        </w:rPr>
      </w:r>
      <w:r/>
    </w:p>
    <w:p>
      <w:pPr>
        <w:ind w:left="1680"/>
        <w:spacing w:line="480" w:lineRule="auto"/>
        <w:rPr>
          <w:rFonts w:hint="eastAsia" w:ascii="宋体"/>
          <w:b/>
          <w:color w:val="auto"/>
          <w:sz w:val="28"/>
          <w:highlight w:val="none"/>
        </w:rPr>
      </w:pPr>
      <w:r>
        <w:rPr>
          <w:rFonts w:hint="eastAsia" w:ascii="宋体"/>
          <w:b/>
          <w:color w:val="auto"/>
          <w:sz w:val="28"/>
          <w:highlight w:val="none"/>
        </w:rPr>
      </w:r>
      <w:r/>
    </w:p>
    <w:p>
      <w:pPr>
        <w:ind w:firstLine="1687"/>
        <w:spacing w:line="480" w:lineRule="auto"/>
        <w:rPr>
          <w:rFonts w:hint="eastAsia" w:ascii="宋体"/>
          <w:b/>
          <w:color w:val="auto"/>
          <w:sz w:val="28"/>
          <w:highlight w:val="none"/>
        </w:rPr>
      </w:pPr>
      <w:r>
        <w:rPr>
          <w:rFonts w:hint="eastAsia" w:ascii="宋体"/>
          <w:b/>
          <w:color w:val="auto"/>
          <w:sz w:val="28"/>
          <w:highlight w:val="none"/>
        </w:rPr>
        <w:t xml:space="preserve">项目名称：</w:t>
      </w:r>
      <w:r>
        <w:rPr>
          <w:rFonts w:hint="eastAsia" w:ascii="宋体"/>
          <w:b/>
          <w:color w:val="auto"/>
          <w:sz w:val="28"/>
          <w:highlight w:val="none"/>
          <w:u w:val="single"/>
        </w:rPr>
        <w:t xml:space="preserve">南通市公安局交通管理支队涉案财物（车辆）管理中心委托社会化管理服务采购项目（2027年-2029年）</w:t>
      </w:r>
      <w:r/>
    </w:p>
    <w:p>
      <w:pPr>
        <w:ind w:left="1680"/>
        <w:spacing w:line="480" w:lineRule="auto"/>
        <w:rPr>
          <w:rFonts w:ascii="宋体"/>
          <w:b/>
          <w:color w:val="auto"/>
          <w:sz w:val="28"/>
          <w:highlight w:val="none"/>
        </w:rPr>
      </w:pPr>
      <w:r>
        <w:rPr>
          <w:rFonts w:hint="eastAsia" w:ascii="宋体"/>
          <w:b/>
          <w:color w:val="auto"/>
          <w:sz w:val="28"/>
          <w:highlight w:val="none"/>
        </w:rPr>
        <w:t xml:space="preserve">合同编号：</w:t>
      </w:r>
      <w:r>
        <w:rPr>
          <w:rFonts w:ascii="宋体" w:hAnsi="宋体"/>
          <w:color w:val="auto"/>
          <w:sz w:val="36"/>
          <w:szCs w:val="36"/>
          <w:highlight w:val="none"/>
          <w:u w:val="single"/>
        </w:rPr>
        <w:t xml:space="preserve">                      </w:t>
      </w:r>
      <w:r/>
    </w:p>
    <w:p>
      <w:pPr>
        <w:ind w:left="1680"/>
        <w:spacing w:line="480" w:lineRule="auto"/>
        <w:rPr>
          <w:rFonts w:hint="eastAsia" w:ascii="宋体"/>
          <w:b/>
          <w:color w:val="auto"/>
          <w:sz w:val="28"/>
          <w:highlight w:val="none"/>
        </w:rPr>
      </w:pPr>
      <w:r>
        <w:rPr>
          <w:rFonts w:hint="eastAsia" w:ascii="宋体"/>
          <w:b/>
          <w:color w:val="auto"/>
          <w:sz w:val="28"/>
          <w:highlight w:val="none"/>
        </w:rPr>
        <w:t xml:space="preserve">签约地点：</w:t>
      </w:r>
      <w:r>
        <w:rPr>
          <w:rFonts w:hint="eastAsia" w:ascii="宋体"/>
          <w:b/>
          <w:color w:val="auto"/>
          <w:sz w:val="28"/>
          <w:highlight w:val="none"/>
          <w:u w:val="single"/>
        </w:rPr>
        <w:t xml:space="preserve">      江苏南通崇川区       </w:t>
      </w:r>
      <w:r/>
    </w:p>
    <w:p>
      <w:pPr>
        <w:ind w:firstLine="1687"/>
        <w:rPr>
          <w:rFonts w:hint="eastAsia" w:ascii="宋体"/>
          <w:b/>
          <w:color w:val="auto"/>
          <w:sz w:val="28"/>
          <w:highlight w:val="none"/>
        </w:rPr>
      </w:pPr>
      <w:r>
        <w:rPr>
          <w:rFonts w:hint="eastAsia" w:ascii="宋体"/>
          <w:b/>
          <w:color w:val="auto"/>
          <w:sz w:val="28"/>
          <w:highlight w:val="none"/>
        </w:rPr>
        <w:t xml:space="preserve">签订日期：</w:t>
      </w:r>
      <w:r>
        <w:rPr>
          <w:rFonts w:hint="eastAsia" w:ascii="宋体" w:hAnsi="Times New Roman" w:eastAsia="宋体" w:cs="Times New Roman"/>
          <w:b/>
          <w:color w:val="auto"/>
          <w:sz w:val="28"/>
          <w:highlight w:val="none"/>
          <w:u w:val="single"/>
        </w:rPr>
        <w:t xml:space="preserve">二○二</w:t>
      </w:r>
      <w:r>
        <w:rPr>
          <w:rFonts w:hint="eastAsia" w:ascii="宋体" w:cs="Times New Roman"/>
          <w:b/>
          <w:color w:val="auto"/>
          <w:sz w:val="28"/>
          <w:highlight w:val="none"/>
          <w:u w:val="single"/>
          <w:lang w:val="en-US" w:eastAsia="zh-CN"/>
        </w:rPr>
        <w:t xml:space="preserve">六</w:t>
      </w:r>
      <w:r>
        <w:rPr>
          <w:rFonts w:hint="eastAsia" w:ascii="宋体" w:hAnsi="Times New Roman" w:eastAsia="宋体" w:cs="Times New Roman"/>
          <w:b/>
          <w:color w:val="auto"/>
          <w:sz w:val="28"/>
          <w:highlight w:val="none"/>
          <w:u w:val="single"/>
        </w:rPr>
        <w:t xml:space="preserve">年  月   日</w:t>
      </w:r>
      <w:r/>
    </w:p>
    <w:p>
      <w:pPr>
        <w:rPr>
          <w:rFonts w:hint="eastAsia" w:ascii="宋体"/>
          <w:b/>
          <w:color w:val="auto"/>
          <w:sz w:val="28"/>
          <w:highlight w:val="none"/>
        </w:rPr>
      </w:pPr>
      <w:r>
        <w:rPr>
          <w:rFonts w:hint="eastAsia" w:ascii="宋体"/>
          <w:b/>
          <w:color w:val="auto"/>
          <w:sz w:val="28"/>
          <w:highlight w:val="none"/>
        </w:rPr>
      </w:r>
      <w:r/>
    </w:p>
    <w:p>
      <w:pPr>
        <w:rPr>
          <w:rFonts w:hint="eastAsia" w:ascii="宋体"/>
          <w:b/>
          <w:color w:val="auto"/>
          <w:sz w:val="28"/>
          <w:highlight w:val="none"/>
        </w:rPr>
      </w:pPr>
      <w:r>
        <w:rPr>
          <w:rFonts w:hint="eastAsia" w:ascii="宋体"/>
          <w:b/>
          <w:color w:val="auto"/>
          <w:sz w:val="28"/>
          <w:highlight w:val="none"/>
        </w:rPr>
      </w:r>
      <w:r/>
    </w:p>
    <w:p>
      <w:pPr>
        <w:rPr>
          <w:rFonts w:hint="eastAsia" w:ascii="宋体" w:eastAsia="宋体"/>
          <w:b/>
          <w:color w:val="auto"/>
          <w:sz w:val="28"/>
          <w:highlight w:val="none"/>
          <w:lang w:eastAsia="zh-CN"/>
        </w:rPr>
      </w:pPr>
      <w:r>
        <w:rPr>
          <w:rFonts w:hint="eastAsia" w:ascii="宋体" w:eastAsia="宋体"/>
          <w:b/>
          <w:color w:val="auto"/>
          <w:sz w:val="28"/>
          <w:highlight w:val="none"/>
          <w:lang w:eastAsia="zh-CN"/>
        </w:rPr>
      </w:r>
      <w:r/>
    </w:p>
    <w:p>
      <w:pPr>
        <w:contextualSpacing/>
        <w:spacing w:line="30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 xml:space="preserve">招标人</w:t>
      </w:r>
      <w:r>
        <w:rPr>
          <w:rFonts w:hint="eastAsia" w:ascii="仿宋" w:hAnsi="仿宋" w:eastAsia="仿宋" w:cs="仿宋"/>
          <w:color w:val="auto"/>
          <w:sz w:val="32"/>
          <w:szCs w:val="32"/>
          <w:highlight w:val="none"/>
        </w:rPr>
        <w:t xml:space="preserve">全称：</w:t>
      </w:r>
      <w:r>
        <w:rPr>
          <w:rFonts w:hint="eastAsia" w:ascii="仿宋" w:hAnsi="仿宋" w:eastAsia="仿宋" w:cs="仿宋"/>
          <w:color w:val="auto"/>
          <w:sz w:val="28"/>
          <w:szCs w:val="28"/>
          <w:highlight w:val="none"/>
          <w:u w:val="single"/>
          <w:lang w:eastAsia="zh-CN"/>
        </w:rPr>
        <w:t xml:space="preserve">南通市公安局交通管理支队</w:t>
      </w:r>
      <w:r>
        <w:rPr>
          <w:rFonts w:hint="eastAsia" w:ascii="仿宋" w:hAnsi="仿宋" w:eastAsia="仿宋" w:cs="仿宋"/>
          <w:color w:val="auto"/>
          <w:sz w:val="32"/>
          <w:szCs w:val="32"/>
          <w:highlight w:val="none"/>
        </w:rPr>
        <w:t xml:space="preserve">（以下简称甲方）</w:t>
      </w:r>
      <w:r/>
    </w:p>
    <w:p>
      <w:pPr>
        <w:contextualSpacing/>
        <w:spacing w:line="30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32"/>
          <w:szCs w:val="32"/>
          <w:highlight w:val="none"/>
          <w:lang w:eastAsia="zh-CN"/>
        </w:rPr>
        <w:t xml:space="preserve">地址：</w:t>
      </w:r>
      <w:r>
        <w:rPr>
          <w:rFonts w:hint="eastAsia" w:ascii="仿宋" w:hAnsi="仿宋" w:eastAsia="仿宋" w:cs="仿宋"/>
          <w:color w:val="auto"/>
          <w:sz w:val="28"/>
          <w:szCs w:val="28"/>
          <w:highlight w:val="none"/>
          <w:u w:val="single"/>
          <w:lang w:eastAsia="zh-CN"/>
        </w:rPr>
        <w:t xml:space="preserve">南通市崇川区虹桥路11号</w:t>
      </w:r>
      <w:r/>
    </w:p>
    <w:p>
      <w:pPr>
        <w:contextualSpacing/>
        <w:spacing w:line="30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成交人全称：</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32"/>
          <w:szCs w:val="32"/>
          <w:highlight w:val="none"/>
        </w:rPr>
        <w:t xml:space="preserve">（以下简称乙方）</w:t>
      </w:r>
      <w:r/>
    </w:p>
    <w:p>
      <w:pPr>
        <w:pStyle w:val="924"/>
        <w:ind w:left="0" w:firstLine="0"/>
        <w:rPr>
          <w:rFonts w:hint="eastAsia" w:eastAsia="仿宋"/>
          <w:color w:val="auto"/>
          <w:highlight w:val="none"/>
          <w:lang w:val="en-US" w:eastAsia="zh-CN"/>
        </w:rPr>
      </w:pPr>
      <w:r>
        <w:rPr>
          <w:rFonts w:hint="eastAsia" w:ascii="仿宋" w:hAnsi="仿宋" w:eastAsia="仿宋" w:cs="仿宋"/>
          <w:color w:val="auto"/>
          <w:sz w:val="32"/>
          <w:szCs w:val="32"/>
          <w:highlight w:val="none"/>
          <w:lang w:val="en-US" w:eastAsia="zh-CN"/>
        </w:rPr>
        <w:t xml:space="preserve">地址：</w:t>
      </w:r>
      <w:r>
        <w:rPr>
          <w:rFonts w:hint="eastAsia" w:ascii="仿宋" w:hAnsi="仿宋" w:eastAsia="仿宋" w:cs="仿宋"/>
          <w:color w:val="auto"/>
          <w:sz w:val="28"/>
          <w:szCs w:val="28"/>
          <w:highlight w:val="none"/>
          <w:u w:val="single"/>
          <w:lang w:val="en-US" w:eastAsia="zh-CN"/>
        </w:rPr>
        <w:t xml:space="preserve">                        </w:t>
      </w:r>
      <w:r/>
    </w:p>
    <w:p>
      <w:pPr>
        <w:contextualSpacing/>
        <w:ind w:firstLine="560"/>
        <w:spacing w:before="160"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依照《中华人民共和国政府采购法》、《中华人民共和国民法典》及其他有关法律、行政法规，遵循平等、自愿、公平和诚实信用的原则，双方就采购</w:t>
      </w:r>
      <w:r>
        <w:rPr>
          <w:rFonts w:hint="eastAsia" w:ascii="仿宋" w:hAnsi="仿宋" w:eastAsia="仿宋" w:cs="仿宋"/>
          <w:bCs/>
          <w:color w:val="auto"/>
          <w:sz w:val="28"/>
          <w:szCs w:val="28"/>
          <w:highlight w:val="none"/>
        </w:rPr>
        <w:t xml:space="preserve">项目相关</w:t>
      </w:r>
      <w:r>
        <w:rPr>
          <w:rFonts w:hint="eastAsia" w:ascii="仿宋" w:hAnsi="仿宋" w:eastAsia="仿宋" w:cs="仿宋"/>
          <w:color w:val="auto"/>
          <w:sz w:val="28"/>
          <w:szCs w:val="28"/>
          <w:highlight w:val="none"/>
        </w:rPr>
        <w:t xml:space="preserve">事项协商一致，签订本合同，并达成如下合同条款：</w:t>
      </w:r>
      <w:r/>
    </w:p>
    <w:p>
      <w:pPr>
        <w:contextualSpacing/>
        <w:ind w:firstLine="562"/>
        <w:spacing w:before="180" w:line="4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一、合同标的:</w:t>
      </w:r>
      <w:r/>
    </w:p>
    <w:p>
      <w:pPr>
        <w:contextualSpacing/>
        <w:ind w:firstLine="560"/>
        <w:spacing w:line="460" w:lineRule="exact"/>
        <w:tabs>
          <w:tab w:val="left" w:pos="360" w:leader="none"/>
        </w:tabs>
        <w:rPr>
          <w:rFonts w:hint="eastAsia" w:ascii="仿宋" w:hAnsi="仿宋" w:eastAsia="仿宋" w:cs="仿宋"/>
          <w:b/>
          <w:bCs/>
          <w:color w:val="auto"/>
          <w:sz w:val="28"/>
          <w:szCs w:val="28"/>
          <w:highlight w:val="none"/>
        </w:rPr>
      </w:pPr>
      <w:r/>
      <w:bookmarkStart w:id="56" w:name="_Toc81879419"/>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rPr>
        <w:t xml:space="preserve">根据法律法规和公安部规章的规定，公安</w:t>
      </w:r>
      <w:r>
        <w:rPr>
          <w:rFonts w:hint="eastAsia" w:ascii="仿宋" w:hAnsi="仿宋" w:eastAsia="仿宋" w:cs="宋体"/>
          <w:color w:val="auto"/>
          <w:sz w:val="28"/>
          <w:szCs w:val="28"/>
          <w:highlight w:val="none"/>
          <w:lang w:eastAsia="zh-CN"/>
        </w:rPr>
        <w:t xml:space="preserve">交通管理</w:t>
      </w:r>
      <w:r>
        <w:rPr>
          <w:rFonts w:hint="eastAsia" w:ascii="仿宋" w:hAnsi="仿宋" w:eastAsia="仿宋" w:cs="宋体"/>
          <w:color w:val="auto"/>
          <w:sz w:val="28"/>
          <w:szCs w:val="28"/>
          <w:highlight w:val="none"/>
        </w:rPr>
        <w:t xml:space="preserve">部门依法扣</w:t>
      </w:r>
      <w:r>
        <w:rPr>
          <w:rFonts w:hint="eastAsia" w:ascii="仿宋" w:hAnsi="仿宋" w:eastAsia="仿宋" w:cs="宋体"/>
          <w:color w:val="auto"/>
          <w:sz w:val="28"/>
          <w:szCs w:val="28"/>
          <w:highlight w:val="none"/>
          <w:lang w:val="en-US" w:eastAsia="zh-CN"/>
        </w:rPr>
        <w:t xml:space="preserve">留</w:t>
      </w:r>
      <w:r>
        <w:rPr>
          <w:rFonts w:hint="eastAsia" w:ascii="仿宋" w:hAnsi="仿宋" w:eastAsia="仿宋" w:cs="宋体"/>
          <w:color w:val="auto"/>
          <w:sz w:val="28"/>
          <w:szCs w:val="28"/>
          <w:highlight w:val="none"/>
        </w:rPr>
        <w:t xml:space="preserve">的事故车辆和违法车辆，作为涉案车辆，应停放至指定停车场。确定有资质的社会停车场用于涉案车辆停放，同时做好日常违法车辆及当事人自愿委托的事故车辆清障工作。结合项目实际，本次</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须在</w:t>
      </w:r>
      <w:r>
        <w:rPr>
          <w:rFonts w:hint="eastAsia" w:ascii="仿宋" w:hAnsi="仿宋" w:eastAsia="仿宋" w:cs="宋体"/>
          <w:color w:val="auto"/>
          <w:sz w:val="28"/>
          <w:szCs w:val="28"/>
          <w:highlight w:val="none"/>
          <w:lang w:eastAsia="zh-CN"/>
        </w:rPr>
        <w:t xml:space="preserve">通吕运河以北、通吕运河以南（包括开发区和苏锡通园区）</w:t>
      </w:r>
      <w:r>
        <w:rPr>
          <w:rFonts w:hint="eastAsia" w:ascii="仿宋" w:hAnsi="仿宋" w:eastAsia="仿宋" w:cs="宋体"/>
          <w:color w:val="auto"/>
          <w:sz w:val="28"/>
          <w:szCs w:val="28"/>
          <w:highlight w:val="none"/>
          <w:lang w:val="en-US" w:eastAsia="zh-CN"/>
        </w:rPr>
        <w:t xml:space="preserve">两</w:t>
      </w:r>
      <w:r>
        <w:rPr>
          <w:rFonts w:hint="eastAsia" w:ascii="仿宋" w:hAnsi="仿宋" w:eastAsia="仿宋" w:cs="宋体"/>
          <w:color w:val="auto"/>
          <w:sz w:val="28"/>
          <w:szCs w:val="28"/>
          <w:highlight w:val="none"/>
        </w:rPr>
        <w:t xml:space="preserve">个区域内分别按要求配置1个停车场。</w:t>
      </w:r>
      <w:r/>
    </w:p>
    <w:p>
      <w:pPr>
        <w:contextualSpacing/>
        <w:ind w:firstLine="560"/>
        <w:spacing w:line="460" w:lineRule="exact"/>
        <w:tabs>
          <w:tab w:val="left" w:pos="360" w:leader="none"/>
        </w:tabs>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2.</w:t>
      </w:r>
      <w:r>
        <w:rPr>
          <w:rFonts w:hint="eastAsia" w:ascii="仿宋" w:hAnsi="仿宋" w:eastAsia="仿宋" w:cs="宋体"/>
          <w:color w:val="auto"/>
          <w:sz w:val="28"/>
          <w:szCs w:val="28"/>
          <w:highlight w:val="none"/>
        </w:rPr>
        <w:t xml:space="preserve">合同价款</w:t>
      </w:r>
      <w:r/>
    </w:p>
    <w:p>
      <w:pPr>
        <w:contextualSpacing/>
        <w:ind w:firstLine="560"/>
        <w:spacing w:line="460" w:lineRule="exact"/>
        <w:tabs>
          <w:tab w:val="left" w:pos="360" w:leader="none"/>
        </w:tabs>
        <w:rPr>
          <w:rFonts w:hint="eastAsia"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rPr>
        <w:t xml:space="preserve">本合同价款（大写）：____________元/年；（小写人民币：____________元/年）；合同总价款以中标通知书载明成交金额为准。本价款包含人员、场地、车辆、保险、测绘、改造等完成全部服务的一切费用。</w:t>
      </w:r>
      <w:r/>
    </w:p>
    <w:p>
      <w:pPr>
        <w:contextualSpacing/>
        <w:ind w:firstLine="562"/>
        <w:spacing w:line="460" w:lineRule="exact"/>
        <w:tabs>
          <w:tab w:val="left" w:pos="360" w:leader="none"/>
        </w:tabs>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二、服务需求</w:t>
      </w:r>
      <w:r/>
    </w:p>
    <w:p>
      <w:pPr>
        <w:ind w:firstLine="562"/>
        <w:jc w:val="left"/>
        <w:spacing w:line="440" w:lineRule="exact"/>
        <w:widowControl/>
        <w:rPr>
          <w:rFonts w:ascii="仿宋" w:hAnsi="仿宋" w:eastAsia="仿宋" w:cs="宋体"/>
          <w:b/>
          <w:color w:val="auto"/>
          <w:sz w:val="28"/>
          <w:szCs w:val="28"/>
          <w:highlight w:val="none"/>
        </w:rPr>
      </w:pPr>
      <w:r>
        <w:rPr>
          <w:rFonts w:hint="eastAsia" w:ascii="仿宋" w:hAnsi="仿宋" w:eastAsia="仿宋" w:cs="宋体"/>
          <w:b/>
          <w:color w:val="auto"/>
          <w:sz w:val="28"/>
          <w:szCs w:val="28"/>
          <w:highlight w:val="none"/>
        </w:rPr>
        <w:t xml:space="preserve">1．</w:t>
      </w:r>
      <w:r>
        <w:rPr>
          <w:rFonts w:ascii="仿宋" w:hAnsi="仿宋" w:eastAsia="仿宋" w:cs="宋体"/>
          <w:b/>
          <w:color w:val="auto"/>
          <w:sz w:val="28"/>
          <w:szCs w:val="28"/>
          <w:highlight w:val="none"/>
        </w:rPr>
        <w:t xml:space="preserve">服务需求</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w:t>
      </w:r>
      <w:r>
        <w:rPr>
          <w:rFonts w:hint="eastAsia" w:ascii="宋体" w:hAnsi="宋体" w:cs="宋体"/>
          <w:color w:val="auto"/>
          <w:sz w:val="28"/>
          <w:szCs w:val="28"/>
          <w:highlight w:val="none"/>
        </w:rPr>
        <w:t xml:space="preserve">1</w:t>
      </w:r>
      <w:r>
        <w:rPr>
          <w:rFonts w:hint="eastAsia" w:ascii="仿宋" w:hAnsi="仿宋" w:eastAsia="仿宋" w:cs="宋体"/>
          <w:color w:val="auto"/>
          <w:sz w:val="28"/>
          <w:szCs w:val="28"/>
          <w:highlight w:val="none"/>
        </w:rPr>
        <w:t xml:space="preserve">）负责按</w:t>
      </w:r>
      <w:r>
        <w:rPr>
          <w:rFonts w:hint="eastAsia" w:ascii="仿宋" w:hAnsi="仿宋" w:eastAsia="仿宋" w:cs="宋体"/>
          <w:color w:val="auto"/>
          <w:sz w:val="28"/>
          <w:szCs w:val="28"/>
          <w:highlight w:val="none"/>
          <w:lang w:val="en-US" w:eastAsia="zh-CN"/>
        </w:rPr>
        <w:t xml:space="preserve">甲方</w:t>
      </w:r>
      <w:r>
        <w:rPr>
          <w:rFonts w:hint="eastAsia" w:ascii="仿宋" w:hAnsi="仿宋" w:eastAsia="仿宋" w:cs="宋体"/>
          <w:color w:val="auto"/>
          <w:sz w:val="28"/>
          <w:szCs w:val="28"/>
          <w:highlight w:val="none"/>
        </w:rPr>
        <w:t xml:space="preserve">指令，就对应辖区大队需扣留的违法、事故车辆提供接运、保管、发还处置等服务（高速涉案车辆，由停车场到就近高速收费站接运，对因交通事故不便交接的，由高速大队协调高速公路清排障送至相应停车场）。</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（2）负责支队</w:t>
      </w:r>
      <w:r>
        <w:rPr>
          <w:rFonts w:hint="eastAsia" w:ascii="仿宋" w:hAnsi="仿宋" w:eastAsia="仿宋" w:cs="宋体"/>
          <w:color w:val="auto"/>
          <w:sz w:val="28"/>
          <w:szCs w:val="28"/>
          <w:highlight w:val="none"/>
          <w:lang w:val="en-US" w:eastAsia="zh-CN"/>
        </w:rPr>
        <w:t xml:space="preserve">事故处理和案件办理</w:t>
      </w:r>
      <w:r>
        <w:rPr>
          <w:rFonts w:hint="eastAsia" w:ascii="仿宋" w:hAnsi="仿宋" w:eastAsia="仿宋" w:cs="宋体"/>
          <w:color w:val="auto"/>
          <w:sz w:val="28"/>
          <w:szCs w:val="28"/>
          <w:highlight w:val="none"/>
        </w:rPr>
        <w:t xml:space="preserve">大队、七大队以及对应辖区其他公安机关执法过程中需要扣留的涉案车辆的接运、保管、发还处置工作；事故车拖至停车场，</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按</w:t>
      </w:r>
      <w:r>
        <w:rPr>
          <w:rFonts w:hint="eastAsia" w:ascii="仿宋" w:hAnsi="仿宋" w:eastAsia="仿宋" w:cs="宋体"/>
          <w:color w:val="auto"/>
          <w:sz w:val="28"/>
          <w:szCs w:val="28"/>
          <w:highlight w:val="none"/>
          <w:lang w:val="en-US" w:eastAsia="zh-CN"/>
        </w:rPr>
        <w:t xml:space="preserve">事故处理和案件办理</w:t>
      </w:r>
      <w:r>
        <w:rPr>
          <w:rFonts w:hint="eastAsia" w:ascii="仿宋" w:hAnsi="仿宋" w:eastAsia="仿宋" w:cs="宋体"/>
          <w:color w:val="auto"/>
          <w:sz w:val="28"/>
          <w:szCs w:val="28"/>
          <w:highlight w:val="none"/>
        </w:rPr>
        <w:t xml:space="preserve">大队处置方案及工作指令做好相应配合工作。</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（3）负责交通事故现场清理工作</w:t>
      </w:r>
      <w:r>
        <w:rPr>
          <w:rFonts w:hint="eastAsia" w:ascii="仿宋" w:hAnsi="仿宋" w:eastAsia="仿宋" w:cs="宋体"/>
          <w:color w:val="auto"/>
          <w:sz w:val="28"/>
          <w:szCs w:val="28"/>
          <w:highlight w:val="none"/>
          <w:lang w:eastAsia="zh-CN"/>
        </w:rPr>
        <w:t xml:space="preserve">（不包含高速公路）；</w:t>
      </w:r>
      <w:r>
        <w:rPr>
          <w:rFonts w:hint="eastAsia" w:ascii="仿宋" w:hAnsi="仿宋" w:eastAsia="仿宋" w:cs="宋体"/>
          <w:color w:val="auto"/>
          <w:sz w:val="28"/>
          <w:szCs w:val="28"/>
          <w:highlight w:val="none"/>
        </w:rPr>
        <w:t xml:space="preserve">发生亡人交通事故时，</w:t>
      </w:r>
      <w:r>
        <w:rPr>
          <w:rFonts w:hint="eastAsia" w:ascii="仿宋" w:hAnsi="仿宋" w:eastAsia="仿宋" w:cs="宋体"/>
          <w:color w:val="auto"/>
          <w:sz w:val="28"/>
          <w:szCs w:val="28"/>
          <w:highlight w:val="none"/>
          <w:lang w:eastAsia="zh-CN"/>
        </w:rPr>
        <w:t xml:space="preserve">须</w:t>
      </w:r>
      <w:r>
        <w:rPr>
          <w:rFonts w:hint="eastAsia" w:ascii="仿宋" w:hAnsi="仿宋" w:eastAsia="仿宋" w:cs="宋体"/>
          <w:color w:val="auto"/>
          <w:sz w:val="28"/>
          <w:szCs w:val="28"/>
          <w:highlight w:val="none"/>
        </w:rPr>
        <w:t xml:space="preserve">根据民警的指挥，负责将尸体（包括在事故现场、医院等地点）搬运（含转运）至指定场所。</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w:t>
      </w:r>
      <w:r>
        <w:rPr>
          <w:rFonts w:hint="eastAsia" w:ascii="宋体" w:hAnsi="宋体" w:cs="宋体"/>
          <w:color w:val="auto"/>
          <w:sz w:val="28"/>
          <w:szCs w:val="28"/>
          <w:highlight w:val="none"/>
        </w:rPr>
        <w:t xml:space="preserve">4</w:t>
      </w:r>
      <w:r>
        <w:rPr>
          <w:rFonts w:hint="eastAsia" w:ascii="仿宋" w:hAnsi="仿宋" w:eastAsia="仿宋" w:cs="宋体"/>
          <w:color w:val="auto"/>
          <w:sz w:val="28"/>
          <w:szCs w:val="28"/>
          <w:highlight w:val="none"/>
        </w:rPr>
        <w:t xml:space="preserve">）因其他停车场饱和、集中整治等需要，</w:t>
      </w:r>
      <w:r>
        <w:rPr>
          <w:rFonts w:hint="eastAsia" w:ascii="仿宋" w:hAnsi="仿宋" w:eastAsia="仿宋" w:cs="宋体"/>
          <w:color w:val="auto"/>
          <w:sz w:val="28"/>
          <w:szCs w:val="28"/>
          <w:highlight w:val="none"/>
          <w:lang w:val="en-US" w:eastAsia="zh-CN"/>
        </w:rPr>
        <w:t xml:space="preserve">甲方</w:t>
      </w:r>
      <w:r>
        <w:rPr>
          <w:rFonts w:hint="eastAsia" w:ascii="仿宋" w:hAnsi="仿宋" w:eastAsia="仿宋" w:cs="宋体"/>
          <w:color w:val="auto"/>
          <w:sz w:val="28"/>
          <w:szCs w:val="28"/>
          <w:highlight w:val="none"/>
        </w:rPr>
        <w:t xml:space="preserve">可在所有停车场内统筹调度停放，</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不得拒绝。</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w:t>
      </w:r>
      <w:r>
        <w:rPr>
          <w:rFonts w:ascii="仿宋" w:hAnsi="仿宋" w:eastAsia="仿宋" w:cs="宋体"/>
          <w:color w:val="auto"/>
          <w:sz w:val="28"/>
          <w:szCs w:val="28"/>
          <w:highlight w:val="none"/>
        </w:rPr>
        <w:t xml:space="preserve">5</w:t>
      </w:r>
      <w:r>
        <w:rPr>
          <w:rFonts w:hint="eastAsia" w:ascii="仿宋" w:hAnsi="仿宋" w:eastAsia="仿宋" w:cs="宋体"/>
          <w:color w:val="auto"/>
          <w:sz w:val="28"/>
          <w:szCs w:val="28"/>
          <w:highlight w:val="none"/>
        </w:rPr>
        <w:t xml:space="preserve">）对涉案车辆做好配合检测、送达检测等工作；</w:t>
      </w:r>
      <w:r>
        <w:rPr>
          <w:rFonts w:hint="eastAsia" w:ascii="仿宋" w:hAnsi="仿宋" w:eastAsia="仿宋" w:cs="宋体"/>
          <w:color w:val="auto"/>
          <w:sz w:val="28"/>
          <w:szCs w:val="28"/>
          <w:highlight w:val="none"/>
          <w:lang w:val="en-US" w:eastAsia="zh-CN"/>
        </w:rPr>
        <w:t xml:space="preserve">免费</w:t>
      </w:r>
      <w:r>
        <w:rPr>
          <w:rFonts w:hint="eastAsia" w:ascii="仿宋" w:hAnsi="仿宋" w:eastAsia="仿宋" w:cs="宋体"/>
          <w:color w:val="auto"/>
          <w:sz w:val="28"/>
          <w:szCs w:val="28"/>
          <w:highlight w:val="none"/>
        </w:rPr>
        <w:t xml:space="preserve">提供地磅称重24小时服务。</w:t>
      </w:r>
      <w:r/>
    </w:p>
    <w:p>
      <w:pPr>
        <w:ind w:firstLine="560"/>
        <w:jc w:val="left"/>
        <w:spacing w:line="440" w:lineRule="exact"/>
        <w:widowControl/>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）除出车施救服务外，</w:t>
      </w:r>
      <w:r>
        <w:rPr>
          <w:rFonts w:hint="eastAsia" w:ascii="仿宋" w:hAnsi="仿宋" w:eastAsia="仿宋" w:cs="宋体"/>
          <w:color w:val="auto"/>
          <w:sz w:val="28"/>
          <w:szCs w:val="28"/>
          <w:highlight w:val="none"/>
          <w:lang w:eastAsia="zh-CN"/>
        </w:rPr>
        <w:t xml:space="preserve">每个停车场地</w:t>
      </w:r>
      <w:r>
        <w:rPr>
          <w:rFonts w:hint="eastAsia" w:ascii="仿宋" w:hAnsi="仿宋" w:eastAsia="仿宋" w:cs="宋体"/>
          <w:color w:val="auto"/>
          <w:sz w:val="28"/>
          <w:szCs w:val="28"/>
          <w:highlight w:val="none"/>
        </w:rPr>
        <w:t xml:space="preserve">每天</w:t>
      </w:r>
      <w:r>
        <w:rPr>
          <w:rFonts w:hint="eastAsia" w:ascii="仿宋" w:hAnsi="仿宋" w:eastAsia="仿宋" w:cs="宋体"/>
          <w:color w:val="auto"/>
          <w:sz w:val="28"/>
          <w:szCs w:val="28"/>
          <w:highlight w:val="none"/>
          <w:lang w:eastAsia="zh-CN"/>
        </w:rPr>
        <w:t xml:space="preserve">早晚高峰时段</w:t>
      </w:r>
      <w:r>
        <w:rPr>
          <w:rFonts w:hint="eastAsia" w:ascii="仿宋" w:hAnsi="仿宋" w:eastAsia="仿宋" w:cs="宋体"/>
          <w:color w:val="auto"/>
          <w:sz w:val="28"/>
          <w:szCs w:val="28"/>
          <w:highlight w:val="none"/>
        </w:rPr>
        <w:t xml:space="preserve">按招标人要求</w:t>
      </w:r>
      <w:r>
        <w:rPr>
          <w:rFonts w:hint="eastAsia" w:ascii="仿宋" w:hAnsi="仿宋" w:eastAsia="仿宋" w:cs="宋体"/>
          <w:color w:val="auto"/>
          <w:sz w:val="28"/>
          <w:szCs w:val="28"/>
          <w:highlight w:val="none"/>
          <w:lang w:eastAsia="zh-CN"/>
        </w:rPr>
        <w:t xml:space="preserve">，至少安排</w:t>
      </w:r>
      <w:r>
        <w:rPr>
          <w:rFonts w:hint="eastAsia" w:ascii="仿宋" w:hAnsi="仿宋" w:eastAsia="仿宋" w:cs="宋体"/>
          <w:color w:val="auto"/>
          <w:sz w:val="28"/>
          <w:szCs w:val="28"/>
          <w:highlight w:val="none"/>
          <w:lang w:val="en-US" w:eastAsia="zh-CN"/>
        </w:rPr>
        <w:t xml:space="preserve">1辆施救车辆</w:t>
      </w:r>
      <w:r>
        <w:rPr>
          <w:rFonts w:hint="eastAsia" w:ascii="仿宋" w:hAnsi="仿宋" w:eastAsia="仿宋" w:cs="宋体"/>
          <w:color w:val="auto"/>
          <w:sz w:val="28"/>
          <w:szCs w:val="28"/>
          <w:highlight w:val="none"/>
        </w:rPr>
        <w:t xml:space="preserve">到</w:t>
      </w:r>
      <w:r>
        <w:rPr>
          <w:rFonts w:hint="eastAsia" w:ascii="仿宋" w:hAnsi="仿宋" w:eastAsia="仿宋" w:cs="宋体"/>
          <w:color w:val="auto"/>
          <w:sz w:val="28"/>
          <w:szCs w:val="28"/>
          <w:highlight w:val="none"/>
          <w:lang w:val="en-US" w:eastAsia="zh-CN"/>
        </w:rPr>
        <w:t xml:space="preserve">通沪大道、江海大道、长江路、东方大道等高架道路</w:t>
      </w:r>
      <w:r>
        <w:rPr>
          <w:rFonts w:hint="eastAsia" w:ascii="仿宋" w:hAnsi="仿宋" w:eastAsia="仿宋" w:cs="宋体"/>
          <w:color w:val="auto"/>
          <w:sz w:val="28"/>
          <w:szCs w:val="28"/>
          <w:highlight w:val="none"/>
        </w:rPr>
        <w:t xml:space="preserve">值守。</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lang w:val="en-US" w:eastAsia="zh-CN"/>
        </w:rPr>
        <w:t xml:space="preserve">7</w:t>
      </w:r>
      <w:r>
        <w:rPr>
          <w:rFonts w:hint="eastAsia" w:ascii="仿宋" w:hAnsi="仿宋" w:eastAsia="仿宋" w:cs="宋体"/>
          <w:color w:val="auto"/>
          <w:sz w:val="28"/>
          <w:szCs w:val="28"/>
          <w:highlight w:val="none"/>
        </w:rPr>
        <w:t xml:space="preserve">）每个停车场出入口要规范合理，满足车辆正常出入条件，保证出入安全。停车场门口需设置醒目的单位名称标牌，出入口安装照明，24小时办理车辆存取手续，方便群众。停车场分区分级管理指引图、相关制度、收费标准、服务承诺、投诉举报等必须公开的内容，在醒目位置公示（各工种职责、指引图、制度上墙）。</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lang w:val="en-US" w:eastAsia="zh-CN"/>
        </w:rPr>
        <w:t xml:space="preserve">8</w:t>
      </w:r>
      <w:r>
        <w:rPr>
          <w:rFonts w:hint="eastAsia" w:ascii="仿宋" w:hAnsi="仿宋" w:eastAsia="仿宋" w:cs="宋体"/>
          <w:color w:val="auto"/>
          <w:sz w:val="28"/>
          <w:szCs w:val="28"/>
          <w:highlight w:val="none"/>
        </w:rPr>
        <w:t xml:space="preserve">）严格执行公共场所消防安全管理规定和《停车场车辆停放安全保卫安全消防管理制度》，每个停车场要严格落实防火、防水、防盗等安全措施。</w:t>
      </w:r>
      <w:r/>
    </w:p>
    <w:p>
      <w:pPr>
        <w:ind w:firstLine="560"/>
        <w:jc w:val="left"/>
        <w:spacing w:line="440" w:lineRule="exact"/>
        <w:widowControl/>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rPr>
        <w:t xml:space="preserve">）每个停车场投入使用必须具备相关的营业登记、收费标准备案等相关</w:t>
      </w:r>
      <w:r>
        <w:rPr>
          <w:rFonts w:hint="eastAsia" w:ascii="仿宋" w:hAnsi="仿宋" w:eastAsia="仿宋" w:cs="宋体"/>
          <w:color w:val="auto"/>
          <w:sz w:val="28"/>
          <w:szCs w:val="28"/>
          <w:highlight w:val="none"/>
          <w:lang w:val="en-US" w:eastAsia="zh-CN"/>
        </w:rPr>
        <w:t xml:space="preserve">符合法律、法规的</w:t>
      </w:r>
      <w:r>
        <w:rPr>
          <w:rFonts w:hint="eastAsia" w:ascii="仿宋" w:hAnsi="仿宋" w:eastAsia="仿宋" w:cs="宋体"/>
          <w:color w:val="auto"/>
          <w:sz w:val="28"/>
          <w:szCs w:val="28"/>
          <w:highlight w:val="none"/>
        </w:rPr>
        <w:t xml:space="preserve">手续</w:t>
      </w:r>
      <w:r>
        <w:rPr>
          <w:rFonts w:hint="eastAsia" w:ascii="仿宋" w:hAnsi="仿宋" w:eastAsia="仿宋" w:cs="宋体"/>
          <w:color w:val="auto"/>
          <w:sz w:val="28"/>
          <w:szCs w:val="28"/>
          <w:highlight w:val="none"/>
          <w:lang w:eastAsia="zh-CN"/>
        </w:rPr>
        <w:t xml:space="preserve">，在规定期限内取车的，不得收取停放费用；超过时限的，按规范执行。</w:t>
      </w:r>
      <w:r/>
    </w:p>
    <w:p>
      <w:pPr>
        <w:ind w:firstLine="560"/>
        <w:jc w:val="left"/>
        <w:spacing w:line="440" w:lineRule="exact"/>
        <w:widowControl/>
        <w:rPr>
          <w:rFonts w:hint="eastAsia" w:ascii="仿宋" w:hAnsi="仿宋" w:eastAsia="仿宋" w:cs="宋体"/>
          <w:color w:val="auto"/>
          <w:sz w:val="28"/>
          <w:szCs w:val="28"/>
          <w:highlight w:val="none"/>
          <w:lang w:eastAsia="zh-CN"/>
        </w:rPr>
      </w:pPr>
      <w:r>
        <w:rPr>
          <w:rFonts w:hint="eastAsia" w:ascii="仿宋" w:hAnsi="仿宋" w:eastAsia="仿宋" w:cs="宋体"/>
          <w:b/>
          <w:color w:val="auto"/>
          <w:sz w:val="28"/>
          <w:szCs w:val="28"/>
          <w:highlight w:val="none"/>
        </w:rPr>
        <w:t xml:space="preserve">2．</w:t>
      </w:r>
      <w:r>
        <w:rPr>
          <w:rFonts w:ascii="仿宋" w:hAnsi="仿宋" w:eastAsia="仿宋" w:cs="宋体"/>
          <w:b/>
          <w:color w:val="auto"/>
          <w:sz w:val="28"/>
          <w:szCs w:val="28"/>
          <w:highlight w:val="none"/>
        </w:rPr>
        <w:t xml:space="preserve">场地需求</w:t>
      </w:r>
      <w:r>
        <w:rPr>
          <w:rFonts w:hint="eastAsia" w:ascii="仿宋" w:hAnsi="仿宋" w:eastAsia="仿宋" w:cs="宋体"/>
          <w:b/>
          <w:color w:val="auto"/>
          <w:sz w:val="28"/>
          <w:szCs w:val="28"/>
          <w:highlight w:val="none"/>
        </w:rPr>
        <w:t xml:space="preserve">。</w:t>
      </w:r>
      <w:r>
        <w:rPr>
          <w:rFonts w:hint="eastAsia" w:ascii="仿宋" w:hAnsi="仿宋" w:eastAsia="仿宋" w:cs="宋体"/>
          <w:color w:val="auto"/>
          <w:sz w:val="28"/>
          <w:szCs w:val="28"/>
          <w:highlight w:val="none"/>
        </w:rPr>
        <w:t xml:space="preserve">中标后30日内、签订合同前</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停车场设备及相关设施等须满足以下条件（可在中标后30日内补充完善）。</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必须对中标后能否实际和合法拥有所投停车场场地的土地使用权进行明确表示。停车场土地可以是自有或租赁（向土地所有权人或使用权人租赁）。提供①场地位置定位（高德或百度地图）截图，并标明所属区、街道或镇；②投标人提供现有停车场场地尺寸平面图、照片等证明材料，中标后合同签订签前</w:t>
      </w:r>
      <w:r>
        <w:rPr>
          <w:rFonts w:hint="eastAsia" w:ascii="仿宋" w:hAnsi="仿宋" w:eastAsia="仿宋" w:cs="宋体"/>
          <w:color w:val="auto"/>
          <w:sz w:val="28"/>
          <w:szCs w:val="28"/>
          <w:highlight w:val="none"/>
          <w:lang w:eastAsia="zh-CN"/>
        </w:rPr>
        <w:t xml:space="preserve">招标人</w:t>
      </w:r>
      <w:r>
        <w:rPr>
          <w:rFonts w:hint="eastAsia" w:ascii="仿宋" w:hAnsi="仿宋" w:eastAsia="仿宋" w:cs="宋体"/>
          <w:color w:val="auto"/>
          <w:sz w:val="28"/>
          <w:szCs w:val="28"/>
          <w:highlight w:val="none"/>
        </w:rPr>
        <w:t xml:space="preserve">将赴成交供应商停车场现场核验，如</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提供的证明材料与实际不符（负偏离），</w:t>
      </w:r>
      <w:r>
        <w:rPr>
          <w:rFonts w:hint="eastAsia" w:ascii="仿宋" w:hAnsi="仿宋" w:eastAsia="仿宋" w:cs="宋体"/>
          <w:color w:val="auto"/>
          <w:sz w:val="28"/>
          <w:szCs w:val="28"/>
          <w:highlight w:val="none"/>
          <w:lang w:val="en-US" w:eastAsia="zh-CN"/>
        </w:rPr>
        <w:t xml:space="preserve">甲方</w:t>
      </w:r>
      <w:r>
        <w:rPr>
          <w:rFonts w:hint="eastAsia" w:ascii="仿宋" w:hAnsi="仿宋" w:eastAsia="仿宋" w:cs="宋体"/>
          <w:color w:val="auto"/>
          <w:sz w:val="28"/>
          <w:szCs w:val="28"/>
          <w:highlight w:val="none"/>
        </w:rPr>
        <w:t xml:space="preserve">有权拒签合同。</w:t>
      </w:r>
      <w:r/>
    </w:p>
    <w:p>
      <w:pPr>
        <w:ind w:firstLine="560"/>
        <w:jc w:val="left"/>
        <w:spacing w:line="440" w:lineRule="exact"/>
        <w:widowControl/>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rPr>
        <w:t xml:space="preserve">★①</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拥有停车场土地所有权确权证明的，提供有效证明文件的复印件；②</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拥有停车场土地使用权的，分三种情况：a.如</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直接具有政府部门颁发的所投停车场土地使用权确权证明的，提供证明文件加盖公章；b.如属于</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直接向土地使用权人租赁的，提供所投停车场土地使用权人出具的证明材料，包括停车场土地使用权人确权证明（政府部门直接颁发或备案确认，不包括从其他使用权人转租取得的使用权）、租赁合同（租赁期限应覆盖整个中标服务期），且以上租赁合同材料必须经土地所在住建局或街道、镇级相关政府部门登记备案，提供登记备案复印件加盖公章；c.土地使用权人（政府部门直接颁发的提供确权证明；或者经土地所在住建局或街道、镇级相关政府部门登记备案，提供备案证明材料）租赁给第三方，</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再从该第三方转租（只能转租一次）取得使用权的，需同时提供1.土地使用权人（政府部门直接颁发的提供确权证明；或者经土地所在住建局或街道、镇级相关政府部门登记备案，提供备案证明材料）确权证明，2.土地使用权人（政府部门直接颁发的提供确权证明；或者经土地所在住建局或街道、镇级相关政府部门登记备案，提供备案证明材料）出具的同意转租证明，3.租赁合同（租赁期限应覆盖整个中标服务期）。</w:t>
      </w:r>
      <w:r>
        <w:rPr>
          <w:rFonts w:hint="eastAsia" w:ascii="仿宋" w:hAnsi="仿宋" w:eastAsia="仿宋" w:cs="宋体"/>
          <w:color w:val="auto"/>
          <w:sz w:val="28"/>
          <w:szCs w:val="28"/>
          <w:highlight w:val="none"/>
          <w:lang w:val="en-US" w:eastAsia="zh-CN"/>
        </w:rPr>
        <w:t xml:space="preserve">注：以上事项不能出具政府相关部门备案手续的乙方承担由此产生的责任。</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w:t>
      </w:r>
      <w:r>
        <w:rPr>
          <w:rFonts w:hint="eastAsia" w:ascii="仿宋" w:hAnsi="仿宋" w:eastAsia="仿宋" w:cs="宋体"/>
          <w:b/>
          <w:bCs/>
          <w:color w:val="auto"/>
          <w:sz w:val="28"/>
          <w:szCs w:val="28"/>
          <w:highlight w:val="none"/>
        </w:rPr>
        <w:t xml:space="preserve">（1）停车场总面积</w:t>
      </w:r>
      <w:r>
        <w:rPr>
          <w:rFonts w:ascii="仿宋" w:hAnsi="仿宋" w:eastAsia="仿宋" w:cs="宋体"/>
          <w:b/>
          <w:bCs/>
          <w:color w:val="auto"/>
          <w:sz w:val="28"/>
          <w:szCs w:val="28"/>
          <w:highlight w:val="none"/>
        </w:rPr>
        <w:t xml:space="preserve">不得少于</w:t>
      </w:r>
      <w:r>
        <w:rPr>
          <w:rFonts w:hint="eastAsia" w:ascii="仿宋" w:hAnsi="仿宋" w:eastAsia="仿宋" w:cs="宋体"/>
          <w:b/>
          <w:bCs/>
          <w:color w:val="auto"/>
          <w:sz w:val="28"/>
          <w:szCs w:val="28"/>
          <w:highlight w:val="none"/>
          <w:lang w:val="en-US" w:eastAsia="zh-CN"/>
        </w:rPr>
        <w:t xml:space="preserve">2</w:t>
      </w:r>
      <w:r>
        <w:rPr>
          <w:rFonts w:hint="eastAsia" w:ascii="仿宋" w:hAnsi="仿宋" w:eastAsia="仿宋" w:cs="宋体"/>
          <w:b/>
          <w:bCs/>
          <w:color w:val="auto"/>
          <w:sz w:val="28"/>
          <w:szCs w:val="28"/>
          <w:highlight w:val="none"/>
        </w:rPr>
        <w:t xml:space="preserve">.2万</w:t>
      </w:r>
      <w:r>
        <w:rPr>
          <w:rFonts w:ascii="仿宋" w:hAnsi="仿宋" w:eastAsia="仿宋" w:cs="宋体"/>
          <w:b/>
          <w:bCs/>
          <w:color w:val="auto"/>
          <w:sz w:val="28"/>
          <w:szCs w:val="28"/>
          <w:highlight w:val="none"/>
        </w:rPr>
        <w:t xml:space="preserve">平方米</w:t>
      </w:r>
      <w:r>
        <w:rPr>
          <w:rFonts w:hint="eastAsia" w:ascii="仿宋" w:hAnsi="仿宋" w:eastAsia="仿宋" w:cs="宋体"/>
          <w:b/>
          <w:bCs/>
          <w:color w:val="auto"/>
          <w:sz w:val="28"/>
          <w:szCs w:val="28"/>
          <w:highlight w:val="none"/>
        </w:rPr>
        <w:t xml:space="preserve">。某一区域如设一个停车场的面积达不到招标面积要求的，可在该区域最多再增设一个停车场；每个区域的停车场面积之和不得低于对应区域招标面积要求的80%，所有</w:t>
      </w:r>
      <w:r>
        <w:rPr>
          <w:rFonts w:hint="eastAsia" w:ascii="仿宋" w:hAnsi="仿宋" w:eastAsia="仿宋" w:cs="宋体"/>
          <w:b/>
          <w:bCs/>
          <w:color w:val="auto"/>
          <w:sz w:val="28"/>
          <w:szCs w:val="28"/>
          <w:highlight w:val="none"/>
          <w:lang w:val="en-US" w:eastAsia="zh-CN"/>
        </w:rPr>
        <w:t xml:space="preserve">两</w:t>
      </w:r>
      <w:r>
        <w:rPr>
          <w:rFonts w:hint="eastAsia" w:ascii="仿宋" w:hAnsi="仿宋" w:eastAsia="仿宋" w:cs="宋体"/>
          <w:b/>
          <w:bCs/>
          <w:color w:val="auto"/>
          <w:sz w:val="28"/>
          <w:szCs w:val="28"/>
          <w:highlight w:val="none"/>
        </w:rPr>
        <w:t xml:space="preserve">个区域的停车场总面积不得低于总的招标面积要求，停车场土地性质须符合相关规划要求</w:t>
      </w:r>
      <w:r>
        <w:rPr>
          <w:rFonts w:hint="eastAsia" w:ascii="仿宋" w:hAnsi="仿宋" w:eastAsia="仿宋" w:cs="宋体"/>
          <w:color w:val="auto"/>
          <w:sz w:val="28"/>
          <w:szCs w:val="28"/>
          <w:highlight w:val="none"/>
        </w:rPr>
        <w:t xml:space="preserve">：</w:t>
      </w:r>
      <w:r/>
    </w:p>
    <w:p>
      <w:pPr>
        <w:ind w:firstLine="560"/>
        <w:jc w:val="left"/>
        <w:spacing w:line="440" w:lineRule="exact"/>
        <w:widowControl/>
        <w:rPr>
          <w:rFonts w:ascii="仿宋" w:hAnsi="仿宋" w:eastAsia="仿宋" w:cs="宋体"/>
          <w:color w:val="auto"/>
          <w:sz w:val="28"/>
          <w:szCs w:val="28"/>
          <w:highlight w:val="none"/>
        </w:rPr>
      </w:pPr>
      <w:r>
        <w:rPr>
          <w:rFonts w:ascii="仿宋" w:hAnsi="仿宋" w:eastAsia="仿宋" w:cs="宋体"/>
          <w:color w:val="auto"/>
          <w:sz w:val="28"/>
          <w:szCs w:val="28"/>
          <w:highlight w:val="none"/>
        </w:rPr>
        <w:t xml:space="preserve">①</w:t>
      </w:r>
      <w:r>
        <w:rPr>
          <w:rFonts w:hint="eastAsia" w:ascii="仿宋" w:hAnsi="仿宋" w:eastAsia="仿宋" w:cs="宋体"/>
          <w:color w:val="auto"/>
          <w:sz w:val="28"/>
          <w:szCs w:val="28"/>
          <w:highlight w:val="none"/>
        </w:rPr>
        <w:t xml:space="preserve">区域</w:t>
      </w:r>
      <w:r>
        <w:rPr>
          <w:rFonts w:ascii="仿宋" w:hAnsi="仿宋" w:eastAsia="仿宋" w:cs="宋体"/>
          <w:color w:val="auto"/>
          <w:sz w:val="28"/>
          <w:szCs w:val="28"/>
          <w:highlight w:val="none"/>
        </w:rPr>
        <w:t xml:space="preserve">一：</w:t>
      </w:r>
      <w:r>
        <w:rPr>
          <w:rFonts w:hint="eastAsia" w:ascii="仿宋" w:hAnsi="仿宋" w:eastAsia="仿宋" w:cs="宋体"/>
          <w:color w:val="auto"/>
          <w:sz w:val="28"/>
          <w:szCs w:val="28"/>
          <w:highlight w:val="none"/>
          <w:lang w:eastAsia="zh-CN"/>
        </w:rPr>
        <w:t xml:space="preserve">通吕运河以南</w:t>
      </w:r>
      <w:r>
        <w:rPr>
          <w:rFonts w:hint="eastAsia" w:ascii="仿宋" w:hAnsi="仿宋" w:eastAsia="仿宋" w:cs="宋体"/>
          <w:color w:val="auto"/>
          <w:sz w:val="28"/>
          <w:szCs w:val="28"/>
          <w:highlight w:val="none"/>
          <w:lang w:val="en-US" w:eastAsia="zh-CN"/>
        </w:rPr>
        <w:t xml:space="preserve">包括开发区和苏锡通园区</w:t>
      </w:r>
      <w:r>
        <w:rPr>
          <w:rFonts w:hint="eastAsia" w:ascii="仿宋" w:hAnsi="仿宋" w:eastAsia="仿宋" w:cs="宋体"/>
          <w:color w:val="auto"/>
          <w:sz w:val="28"/>
          <w:szCs w:val="28"/>
          <w:highlight w:val="none"/>
        </w:rPr>
        <w:t xml:space="preserve">，对应</w:t>
      </w:r>
      <w:r>
        <w:rPr>
          <w:rFonts w:ascii="仿宋" w:hAnsi="仿宋" w:eastAsia="仿宋" w:cs="宋体"/>
          <w:color w:val="auto"/>
          <w:sz w:val="28"/>
          <w:szCs w:val="28"/>
          <w:highlight w:val="none"/>
        </w:rPr>
        <w:t xml:space="preserve">服务</w:t>
      </w:r>
      <w:r>
        <w:rPr>
          <w:rFonts w:hint="eastAsia" w:ascii="仿宋" w:hAnsi="仿宋" w:eastAsia="仿宋" w:cs="宋体"/>
          <w:color w:val="auto"/>
          <w:sz w:val="28"/>
          <w:szCs w:val="28"/>
          <w:highlight w:val="none"/>
        </w:rPr>
        <w:t xml:space="preserve">市区</w:t>
      </w:r>
      <w:r>
        <w:rPr>
          <w:rFonts w:ascii="仿宋" w:hAnsi="仿宋" w:eastAsia="仿宋" w:cs="宋体"/>
          <w:color w:val="auto"/>
          <w:sz w:val="28"/>
          <w:szCs w:val="28"/>
          <w:highlight w:val="none"/>
        </w:rPr>
        <w:t xml:space="preserve">一、二、三</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五、六</w:t>
      </w:r>
      <w:r>
        <w:rPr>
          <w:rFonts w:ascii="仿宋" w:hAnsi="仿宋" w:eastAsia="仿宋" w:cs="宋体"/>
          <w:color w:val="auto"/>
          <w:sz w:val="28"/>
          <w:szCs w:val="28"/>
          <w:highlight w:val="none"/>
        </w:rPr>
        <w:t xml:space="preserve">大队</w:t>
      </w:r>
      <w:r>
        <w:rPr>
          <w:rFonts w:hint="eastAsia" w:ascii="仿宋" w:hAnsi="仿宋" w:eastAsia="仿宋" w:cs="宋体"/>
          <w:color w:val="auto"/>
          <w:sz w:val="28"/>
          <w:szCs w:val="28"/>
          <w:highlight w:val="none"/>
          <w:lang w:val="en-US" w:eastAsia="zh-CN"/>
        </w:rPr>
        <w:t xml:space="preserve">以及高速四大队</w:t>
      </w:r>
      <w:r>
        <w:rPr>
          <w:rFonts w:ascii="仿宋" w:hAnsi="仿宋" w:eastAsia="仿宋" w:cs="宋体"/>
          <w:color w:val="auto"/>
          <w:sz w:val="28"/>
          <w:szCs w:val="28"/>
          <w:highlight w:val="none"/>
        </w:rPr>
        <w:t xml:space="preserve">，面积不少于</w:t>
      </w:r>
      <w:r>
        <w:rPr>
          <w:rFonts w:hint="eastAsia" w:ascii="仿宋" w:hAnsi="仿宋" w:eastAsia="仿宋" w:cs="宋体"/>
          <w:color w:val="auto"/>
          <w:sz w:val="28"/>
          <w:szCs w:val="28"/>
          <w:highlight w:val="none"/>
        </w:rPr>
        <w:t xml:space="preserve">1.</w:t>
      </w:r>
      <w:r>
        <w:rPr>
          <w:rFonts w:ascii="仿宋" w:hAnsi="仿宋" w:eastAsia="仿宋" w:cs="宋体"/>
          <w:color w:val="auto"/>
          <w:sz w:val="28"/>
          <w:szCs w:val="28"/>
          <w:highlight w:val="none"/>
        </w:rPr>
        <w:t xml:space="preserve">5</w:t>
      </w:r>
      <w:r>
        <w:rPr>
          <w:rFonts w:hint="eastAsia" w:ascii="仿宋" w:hAnsi="仿宋" w:eastAsia="仿宋" w:cs="宋体"/>
          <w:color w:val="auto"/>
          <w:sz w:val="28"/>
          <w:szCs w:val="28"/>
          <w:highlight w:val="none"/>
        </w:rPr>
        <w:t xml:space="preserve">万</w:t>
      </w:r>
      <w:r>
        <w:rPr>
          <w:rFonts w:ascii="仿宋" w:hAnsi="仿宋" w:eastAsia="仿宋" w:cs="宋体"/>
          <w:color w:val="auto"/>
          <w:sz w:val="28"/>
          <w:szCs w:val="28"/>
          <w:highlight w:val="none"/>
        </w:rPr>
        <w:t xml:space="preserve">平方米；</w:t>
      </w:r>
      <w:r/>
    </w:p>
    <w:p>
      <w:pPr>
        <w:ind w:firstLine="560"/>
        <w:jc w:val="left"/>
        <w:spacing w:line="440" w:lineRule="exact"/>
        <w:widowControl/>
        <w:rPr>
          <w:rFonts w:ascii="仿宋" w:hAnsi="仿宋" w:eastAsia="仿宋" w:cs="宋体"/>
          <w:color w:val="auto"/>
          <w:sz w:val="28"/>
          <w:szCs w:val="28"/>
          <w:highlight w:val="none"/>
        </w:rPr>
      </w:pPr>
      <w:r>
        <w:rPr>
          <w:rFonts w:ascii="仿宋" w:hAnsi="仿宋" w:eastAsia="仿宋" w:cs="宋体"/>
          <w:color w:val="auto"/>
          <w:sz w:val="28"/>
          <w:szCs w:val="28"/>
          <w:highlight w:val="none"/>
        </w:rPr>
        <w:t xml:space="preserve">②</w:t>
      </w:r>
      <w:r>
        <w:rPr>
          <w:rFonts w:hint="eastAsia" w:ascii="仿宋" w:hAnsi="仿宋" w:eastAsia="仿宋" w:cs="宋体"/>
          <w:color w:val="auto"/>
          <w:sz w:val="28"/>
          <w:szCs w:val="28"/>
          <w:highlight w:val="none"/>
        </w:rPr>
        <w:t xml:space="preserve">区域</w:t>
      </w:r>
      <w:r>
        <w:rPr>
          <w:rFonts w:ascii="仿宋" w:hAnsi="仿宋" w:eastAsia="仿宋" w:cs="宋体"/>
          <w:color w:val="auto"/>
          <w:sz w:val="28"/>
          <w:szCs w:val="28"/>
          <w:highlight w:val="none"/>
        </w:rPr>
        <w:t xml:space="preserve">二：</w:t>
      </w:r>
      <w:r>
        <w:rPr>
          <w:rFonts w:hint="eastAsia" w:ascii="仿宋" w:hAnsi="仿宋" w:eastAsia="仿宋" w:cs="宋体"/>
          <w:color w:val="auto"/>
          <w:sz w:val="28"/>
          <w:szCs w:val="28"/>
          <w:highlight w:val="none"/>
          <w:lang w:eastAsia="zh-CN"/>
        </w:rPr>
        <w:t xml:space="preserve">通吕运河以北</w:t>
      </w:r>
      <w:r>
        <w:rPr>
          <w:rFonts w:ascii="仿宋" w:hAnsi="仿宋" w:eastAsia="仿宋" w:cs="宋体"/>
          <w:color w:val="auto"/>
          <w:sz w:val="28"/>
          <w:szCs w:val="28"/>
          <w:highlight w:val="none"/>
        </w:rPr>
        <w:t xml:space="preserve">，对应服务市区四大队和高速九大队，面积不少于</w:t>
      </w:r>
      <w:r>
        <w:rPr>
          <w:rFonts w:hint="eastAsia" w:ascii="仿宋" w:hAnsi="仿宋" w:eastAsia="仿宋" w:cs="宋体"/>
          <w:color w:val="auto"/>
          <w:sz w:val="28"/>
          <w:szCs w:val="28"/>
          <w:highlight w:val="none"/>
        </w:rPr>
        <w:t xml:space="preserve">0.7万</w:t>
      </w:r>
      <w:r>
        <w:rPr>
          <w:rFonts w:ascii="仿宋" w:hAnsi="仿宋" w:eastAsia="仿宋" w:cs="宋体"/>
          <w:color w:val="auto"/>
          <w:sz w:val="28"/>
          <w:szCs w:val="28"/>
          <w:highlight w:val="none"/>
        </w:rPr>
        <w:t xml:space="preserve">平方米。</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每个停车场停放车辆的区域需为封闭的区域，四周由大门和围墙组成。停车场围墙需为砖混结构实体围墙或砖混结构透视性围墙，墙体高度（含电子围栏高度）不低于1.8m，砖混结构透视型围墙的应加装防攀爬护栏。</w:t>
      </w:r>
      <w:r/>
    </w:p>
    <w:p>
      <w:pPr>
        <w:ind w:firstLine="560"/>
        <w:jc w:val="left"/>
        <w:spacing w:line="440" w:lineRule="exact"/>
        <w:widowControl/>
        <w:rPr>
          <w:rFonts w:ascii="仿宋" w:hAnsi="仿宋" w:eastAsia="仿宋" w:cs="宋体"/>
          <w:color w:val="auto"/>
          <w:sz w:val="28"/>
          <w:highlight w:val="none"/>
        </w:rPr>
      </w:pPr>
      <w:r>
        <w:rPr>
          <w:rFonts w:hint="eastAsia" w:ascii="仿宋" w:hAnsi="仿宋" w:eastAsia="仿宋" w:cs="宋体"/>
          <w:color w:val="auto"/>
          <w:sz w:val="32"/>
          <w:szCs w:val="28"/>
          <w:highlight w:val="none"/>
        </w:rPr>
        <w:t xml:space="preserve">（3）</w:t>
      </w:r>
      <w:r>
        <w:rPr>
          <w:rFonts w:hint="eastAsia" w:ascii="仿宋" w:hAnsi="仿宋" w:eastAsia="仿宋" w:cs="宋体"/>
          <w:color w:val="auto"/>
          <w:sz w:val="28"/>
          <w:highlight w:val="none"/>
        </w:rPr>
        <w:t xml:space="preserve">每个停车场场地需以沥青、水泥、石子等方式硬化。对涉案车辆按照一般事故停放区、重大车损事故停放区、事故痕检停放区、违法货车停放区、违法小型机动车停放区、非机动车停放区等分类停放管理（需对各区域采用固定护栏进行必要的物理隔离）。每个</w:t>
      </w:r>
      <w:r>
        <w:rPr>
          <w:rFonts w:ascii="仿宋" w:hAnsi="仿宋" w:eastAsia="仿宋" w:cs="宋体"/>
          <w:color w:val="auto"/>
          <w:sz w:val="28"/>
          <w:highlight w:val="none"/>
        </w:rPr>
        <w:t xml:space="preserve">停车场</w:t>
      </w:r>
      <w:r>
        <w:rPr>
          <w:rFonts w:hint="eastAsia" w:ascii="仿宋" w:hAnsi="仿宋" w:eastAsia="仿宋" w:cs="宋体"/>
          <w:color w:val="auto"/>
          <w:sz w:val="28"/>
          <w:highlight w:val="none"/>
        </w:rPr>
        <w:t xml:space="preserve">具备实体固定车棚（满足车辆包括大型货车痕检需求，</w:t>
      </w:r>
      <w:r>
        <w:rPr>
          <w:rFonts w:hint="eastAsia" w:ascii="仿宋" w:hAnsi="仿宋" w:eastAsia="仿宋" w:cs="宋体"/>
          <w:b/>
          <w:color w:val="auto"/>
          <w:sz w:val="28"/>
          <w:highlight w:val="none"/>
        </w:rPr>
        <w:t xml:space="preserve">具体要求</w:t>
      </w:r>
      <w:r>
        <w:rPr>
          <w:rFonts w:hint="eastAsia" w:ascii="方正仿宋_GBK" w:hAnsi="方正仿宋_GBK" w:eastAsia="方正仿宋_GBK" w:cs="方正仿宋_GBK"/>
          <w:color w:val="auto"/>
          <w:sz w:val="28"/>
          <w:szCs w:val="28"/>
          <w:highlight w:val="none"/>
        </w:rPr>
        <w:t xml:space="preserve">详见停车场配套需求具体参数附件</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仿宋" w:hAnsi="仿宋" w:eastAsia="仿宋" w:cs="宋体"/>
          <w:color w:val="auto"/>
          <w:sz w:val="28"/>
          <w:highlight w:val="none"/>
        </w:rPr>
        <w:t xml:space="preserve">）、苫布等设施或物品。</w:t>
      </w:r>
      <w:r/>
    </w:p>
    <w:p>
      <w:pPr>
        <w:ind w:firstLine="560"/>
        <w:jc w:val="left"/>
        <w:spacing w:line="440" w:lineRule="exact"/>
        <w:widowControl/>
        <w:rPr>
          <w:rFonts w:ascii="仿宋" w:hAnsi="仿宋" w:eastAsia="仿宋" w:cs="宋体"/>
          <w:color w:val="auto"/>
          <w:sz w:val="28"/>
          <w:highlight w:val="none"/>
        </w:rPr>
      </w:pPr>
      <w:r>
        <w:rPr>
          <w:rFonts w:hint="eastAsia" w:ascii="仿宋" w:hAnsi="仿宋" w:eastAsia="仿宋" w:cs="宋体"/>
          <w:color w:val="auto"/>
          <w:sz w:val="28"/>
          <w:highlight w:val="none"/>
        </w:rPr>
        <w:t xml:space="preserve">（4）每个</w:t>
      </w:r>
      <w:r>
        <w:rPr>
          <w:rFonts w:ascii="仿宋" w:hAnsi="仿宋" w:eastAsia="仿宋" w:cs="宋体"/>
          <w:color w:val="auto"/>
          <w:sz w:val="28"/>
          <w:highlight w:val="none"/>
        </w:rPr>
        <w:t xml:space="preserve">停车场</w:t>
      </w:r>
      <w:r>
        <w:rPr>
          <w:rFonts w:hint="eastAsia" w:ascii="仿宋" w:hAnsi="仿宋" w:eastAsia="仿宋" w:cs="宋体"/>
          <w:color w:val="auto"/>
          <w:sz w:val="28"/>
          <w:highlight w:val="none"/>
        </w:rPr>
        <w:t xml:space="preserve">设置停车位车位牌（可采取架空设置或地面喷涂等方式）停车场设置标牌、标识、标线等，标识标牌齐全、清晰、合规，实行停车场停车点位管理。</w:t>
      </w:r>
      <w:r/>
    </w:p>
    <w:p>
      <w:pPr>
        <w:ind w:firstLine="560"/>
        <w:jc w:val="left"/>
        <w:spacing w:line="440" w:lineRule="exact"/>
        <w:widowControl/>
        <w:rPr>
          <w:rFonts w:ascii="仿宋" w:hAnsi="仿宋" w:eastAsia="仿宋" w:cs="宋体"/>
          <w:color w:val="auto"/>
          <w:sz w:val="28"/>
          <w:highlight w:val="none"/>
        </w:rPr>
      </w:pPr>
      <w:r>
        <w:rPr>
          <w:rFonts w:hint="eastAsia" w:ascii="仿宋" w:hAnsi="仿宋" w:eastAsia="仿宋" w:cs="宋体"/>
          <w:color w:val="auto"/>
          <w:sz w:val="28"/>
          <w:highlight w:val="none"/>
        </w:rPr>
        <w:t xml:space="preserve">（5）一个停车场有多个服务项目的，要针对本标的单独设置醒目的划分范围，实行分区管理，保证专场专用（停车场专用区域面积须与投标条件一致）。</w:t>
      </w:r>
      <w:r/>
    </w:p>
    <w:p>
      <w:pPr>
        <w:ind w:firstLine="560"/>
        <w:jc w:val="left"/>
        <w:spacing w:line="440" w:lineRule="exact"/>
        <w:widowControl/>
        <w:rPr>
          <w:rFonts w:ascii="仿宋" w:hAnsi="仿宋" w:eastAsia="仿宋" w:cs="宋体"/>
          <w:color w:val="auto"/>
          <w:sz w:val="28"/>
          <w:highlight w:val="none"/>
        </w:rPr>
      </w:pPr>
      <w:r>
        <w:rPr>
          <w:rFonts w:hint="eastAsia" w:ascii="仿宋" w:hAnsi="仿宋" w:eastAsia="仿宋" w:cs="宋体"/>
          <w:b/>
          <w:color w:val="auto"/>
          <w:sz w:val="28"/>
          <w:highlight w:val="none"/>
        </w:rPr>
        <w:t xml:space="preserve">投标时需提供平面布置图以及固定</w:t>
      </w:r>
      <w:r>
        <w:rPr>
          <w:rFonts w:ascii="仿宋" w:hAnsi="仿宋" w:eastAsia="仿宋" w:cs="宋体"/>
          <w:b/>
          <w:color w:val="auto"/>
          <w:sz w:val="28"/>
          <w:highlight w:val="none"/>
        </w:rPr>
        <w:t xml:space="preserve">车棚技术方案</w:t>
      </w:r>
      <w:r>
        <w:rPr>
          <w:rFonts w:hint="eastAsia" w:ascii="仿宋" w:hAnsi="仿宋" w:eastAsia="仿宋" w:cs="宋体"/>
          <w:b/>
          <w:color w:val="auto"/>
          <w:sz w:val="28"/>
          <w:highlight w:val="none"/>
        </w:rPr>
        <w:t xml:space="preserve">（中标后</w:t>
      </w:r>
      <w:r>
        <w:rPr>
          <w:rFonts w:hint="eastAsia" w:ascii="仿宋" w:hAnsi="仿宋" w:eastAsia="仿宋" w:cs="宋体"/>
          <w:b/>
          <w:color w:val="auto"/>
          <w:sz w:val="28"/>
          <w:highlight w:val="none"/>
          <w:lang w:val="en-US" w:eastAsia="zh-CN"/>
        </w:rPr>
        <w:t xml:space="preserve">30日</w:t>
      </w:r>
      <w:r>
        <w:rPr>
          <w:rFonts w:hint="eastAsia" w:ascii="仿宋" w:hAnsi="仿宋" w:eastAsia="仿宋" w:cs="宋体"/>
          <w:b/>
          <w:color w:val="auto"/>
          <w:sz w:val="28"/>
          <w:highlight w:val="none"/>
        </w:rPr>
        <w:t xml:space="preserve">内完成）</w:t>
      </w:r>
      <w:r>
        <w:rPr>
          <w:rFonts w:hint="eastAsia" w:ascii="仿宋" w:hAnsi="仿宋" w:eastAsia="仿宋" w:cs="宋体"/>
          <w:color w:val="auto"/>
          <w:sz w:val="28"/>
          <w:highlight w:val="none"/>
        </w:rPr>
        <w:t xml:space="preserve">。</w:t>
      </w:r>
      <w:r/>
    </w:p>
    <w:p>
      <w:pPr>
        <w:ind w:firstLine="560"/>
        <w:jc w:val="left"/>
        <w:spacing w:line="440" w:lineRule="exact"/>
        <w:widowControl/>
        <w:rPr>
          <w:rFonts w:ascii="仿宋" w:hAnsi="仿宋" w:eastAsia="仿宋" w:cs="宋体"/>
          <w:b/>
          <w:color w:val="auto"/>
          <w:sz w:val="28"/>
          <w:szCs w:val="28"/>
          <w:highlight w:val="none"/>
        </w:rPr>
      </w:pPr>
      <w:r>
        <w:rPr>
          <w:rFonts w:hint="eastAsia" w:ascii="仿宋" w:hAnsi="仿宋" w:eastAsia="仿宋" w:cs="宋体"/>
          <w:b/>
          <w:color w:val="auto"/>
          <w:sz w:val="28"/>
          <w:szCs w:val="28"/>
          <w:highlight w:val="none"/>
        </w:rPr>
        <w:t xml:space="preserve">3．</w:t>
      </w:r>
      <w:r>
        <w:rPr>
          <w:rFonts w:ascii="仿宋" w:hAnsi="仿宋" w:eastAsia="仿宋" w:cs="宋体"/>
          <w:b/>
          <w:color w:val="auto"/>
          <w:sz w:val="28"/>
          <w:szCs w:val="28"/>
          <w:highlight w:val="none"/>
        </w:rPr>
        <w:t xml:space="preserve">车辆需求。</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★投标时需提供车辆清单明细、行驶证及为车辆投保的保险公司保单、机动车登记证书等，</w:t>
      </w:r>
      <w:r>
        <w:rPr>
          <w:rFonts w:hint="eastAsia" w:ascii="仿宋" w:hAnsi="仿宋" w:eastAsia="仿宋" w:cs="宋体"/>
          <w:color w:val="auto"/>
          <w:sz w:val="28"/>
          <w:szCs w:val="28"/>
          <w:highlight w:val="none"/>
          <w:lang w:eastAsia="zh-CN"/>
        </w:rPr>
        <w:t xml:space="preserve">其中</w:t>
      </w:r>
      <w:r>
        <w:rPr>
          <w:rFonts w:hint="eastAsia" w:ascii="仿宋" w:hAnsi="仿宋" w:eastAsia="仿宋" w:cs="宋体"/>
          <w:color w:val="auto"/>
          <w:sz w:val="28"/>
          <w:szCs w:val="28"/>
          <w:highlight w:val="none"/>
        </w:rPr>
        <w:t xml:space="preserve">自有车辆，车辆行驶证上的单位名称必须与</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单位名称一致</w:t>
      </w:r>
      <w:r>
        <w:rPr>
          <w:rFonts w:hint="eastAsia" w:ascii="仿宋" w:hAnsi="仿宋" w:eastAsia="仿宋" w:cs="宋体"/>
          <w:color w:val="auto"/>
          <w:sz w:val="28"/>
          <w:szCs w:val="28"/>
          <w:highlight w:val="none"/>
          <w:lang w:eastAsia="zh-CN"/>
        </w:rPr>
        <w:t xml:space="preserve">；租赁车辆，租赁合同上的承租方</w:t>
      </w:r>
      <w:r>
        <w:rPr>
          <w:rFonts w:hint="eastAsia" w:ascii="仿宋" w:hAnsi="仿宋" w:eastAsia="仿宋" w:cs="宋体"/>
          <w:color w:val="auto"/>
          <w:sz w:val="28"/>
          <w:szCs w:val="28"/>
          <w:highlight w:val="none"/>
        </w:rPr>
        <w:t xml:space="preserve">必须与</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单位名称一致。</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★（1）至少配备</w:t>
      </w:r>
      <w:r>
        <w:rPr>
          <w:rFonts w:hint="eastAsia" w:ascii="仿宋" w:hAnsi="仿宋" w:eastAsia="仿宋" w:cs="宋体"/>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台</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区域一4台；区域二2台</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救援、</w:t>
      </w:r>
      <w:r>
        <w:rPr>
          <w:rFonts w:ascii="仿宋" w:hAnsi="仿宋" w:eastAsia="仿宋" w:cs="宋体"/>
          <w:color w:val="auto"/>
          <w:sz w:val="28"/>
          <w:szCs w:val="28"/>
          <w:highlight w:val="none"/>
        </w:rPr>
        <w:t xml:space="preserve">清障</w:t>
      </w:r>
      <w:r>
        <w:rPr>
          <w:rFonts w:hint="eastAsia" w:ascii="仿宋" w:hAnsi="仿宋" w:eastAsia="仿宋" w:cs="宋体"/>
          <w:color w:val="auto"/>
          <w:sz w:val="28"/>
          <w:szCs w:val="28"/>
          <w:highlight w:val="none"/>
        </w:rPr>
        <w:t xml:space="preserve">车辆；柴油货车排放标准达到国</w:t>
      </w:r>
      <w:r>
        <w:rPr>
          <w:rFonts w:hint="eastAsia" w:ascii="仿宋" w:hAnsi="仿宋" w:eastAsia="仿宋" w:cs="宋体"/>
          <w:color w:val="auto"/>
          <w:sz w:val="28"/>
          <w:szCs w:val="28"/>
          <w:highlight w:val="none"/>
          <w:lang w:val="en-US" w:eastAsia="zh-CN"/>
        </w:rPr>
        <w:t xml:space="preserve">五</w:t>
      </w:r>
      <w:r>
        <w:rPr>
          <w:rFonts w:hint="eastAsia" w:ascii="仿宋" w:hAnsi="仿宋" w:eastAsia="仿宋" w:cs="宋体"/>
          <w:color w:val="auto"/>
          <w:sz w:val="28"/>
          <w:szCs w:val="28"/>
          <w:highlight w:val="none"/>
        </w:rPr>
        <w:t xml:space="preserve">（含）以上标准。</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w:t>
      </w:r>
      <w:r>
        <w:rPr>
          <w:rFonts w:hint="eastAsia" w:ascii="仿宋" w:hAnsi="仿宋" w:eastAsia="仿宋" w:cs="宋体"/>
          <w:color w:val="auto"/>
          <w:sz w:val="28"/>
          <w:szCs w:val="28"/>
          <w:highlight w:val="none"/>
          <w:lang w:val="en-US" w:eastAsia="zh-CN"/>
        </w:rPr>
        <w:t xml:space="preserve">每个区域</w:t>
      </w:r>
      <w:r>
        <w:rPr>
          <w:rFonts w:hint="eastAsia" w:ascii="仿宋" w:hAnsi="仿宋" w:eastAsia="仿宋" w:cs="宋体"/>
          <w:color w:val="auto"/>
          <w:sz w:val="28"/>
          <w:szCs w:val="28"/>
          <w:highlight w:val="none"/>
        </w:rPr>
        <w:t xml:space="preserve">配备</w:t>
      </w:r>
      <w:r>
        <w:rPr>
          <w:rFonts w:ascii="仿宋" w:hAnsi="仿宋" w:eastAsia="仿宋" w:cs="宋体"/>
          <w:color w:val="auto"/>
          <w:sz w:val="28"/>
          <w:szCs w:val="28"/>
          <w:highlight w:val="none"/>
        </w:rPr>
        <w:t xml:space="preserve">一辆尸体转运车辆（带帘布的皮卡车</w:t>
      </w:r>
      <w:r>
        <w:rPr>
          <w:rFonts w:hint="eastAsia" w:ascii="仿宋" w:hAnsi="仿宋" w:eastAsia="仿宋" w:cs="宋体"/>
          <w:color w:val="auto"/>
          <w:sz w:val="28"/>
          <w:szCs w:val="28"/>
          <w:highlight w:val="none"/>
          <w:lang w:val="en-US" w:eastAsia="zh-CN"/>
        </w:rPr>
        <w:t xml:space="preserve">或者轻型封闭式货车</w:t>
      </w:r>
      <w:r>
        <w:rPr>
          <w:rFonts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rPr>
        <w:t xml:space="preserve">；</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★每辆</w:t>
      </w:r>
      <w:r>
        <w:rPr>
          <w:rFonts w:ascii="仿宋" w:hAnsi="仿宋" w:eastAsia="仿宋" w:cs="宋体"/>
          <w:color w:val="auto"/>
          <w:sz w:val="28"/>
          <w:szCs w:val="28"/>
          <w:highlight w:val="none"/>
        </w:rPr>
        <w:t xml:space="preserve">清障车</w:t>
      </w:r>
      <w:r>
        <w:rPr>
          <w:rFonts w:hint="eastAsia" w:ascii="仿宋" w:hAnsi="仿宋" w:eastAsia="仿宋" w:cs="宋体"/>
          <w:color w:val="auto"/>
          <w:sz w:val="28"/>
          <w:szCs w:val="28"/>
          <w:highlight w:val="none"/>
        </w:rPr>
        <w:t xml:space="preserve">设置</w:t>
      </w:r>
      <w:r>
        <w:rPr>
          <w:rFonts w:ascii="仿宋" w:hAnsi="仿宋" w:eastAsia="仿宋" w:cs="宋体"/>
          <w:color w:val="auto"/>
          <w:sz w:val="28"/>
          <w:szCs w:val="28"/>
          <w:highlight w:val="none"/>
        </w:rPr>
        <w:t xml:space="preserve">不少于</w:t>
      </w:r>
      <w:r>
        <w:rPr>
          <w:rFonts w:hint="eastAsia" w:ascii="仿宋" w:hAnsi="仿宋" w:eastAsia="仿宋" w:cs="宋体"/>
          <w:color w:val="auto"/>
          <w:sz w:val="28"/>
          <w:szCs w:val="28"/>
          <w:highlight w:val="none"/>
        </w:rPr>
        <w:t xml:space="preserve">2个监控探头，一个照前方，一个照后方（可看到后方被拖车辆及周边行车环境），可回放。视频保存时间不少于六个月(可回放）。</w:t>
      </w:r>
      <w:r/>
    </w:p>
    <w:p>
      <w:pPr>
        <w:ind w:firstLine="560"/>
        <w:jc w:val="left"/>
        <w:spacing w:line="440" w:lineRule="exact"/>
        <w:widowControl/>
        <w:rPr>
          <w:rFonts w:ascii="仿宋" w:hAnsi="仿宋" w:eastAsia="仿宋" w:cs="宋体"/>
          <w:b/>
          <w:color w:val="auto"/>
          <w:sz w:val="28"/>
          <w:szCs w:val="28"/>
          <w:highlight w:val="none"/>
        </w:rPr>
      </w:pPr>
      <w:r>
        <w:rPr>
          <w:rFonts w:hint="eastAsia" w:ascii="仿宋" w:hAnsi="仿宋" w:eastAsia="仿宋" w:cs="宋体"/>
          <w:b/>
          <w:color w:val="auto"/>
          <w:sz w:val="28"/>
          <w:szCs w:val="28"/>
          <w:highlight w:val="none"/>
        </w:rPr>
        <w:t xml:space="preserve">4．</w:t>
      </w:r>
      <w:r>
        <w:rPr>
          <w:rFonts w:ascii="仿宋" w:hAnsi="仿宋" w:eastAsia="仿宋" w:cs="宋体"/>
          <w:b/>
          <w:color w:val="auto"/>
          <w:sz w:val="28"/>
          <w:szCs w:val="28"/>
          <w:highlight w:val="none"/>
        </w:rPr>
        <w:t xml:space="preserve">人员需求</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需设置一个总负责人（</w:t>
      </w:r>
      <w:r>
        <w:rPr>
          <w:rFonts w:hint="eastAsia" w:ascii="仿宋" w:hAnsi="仿宋" w:eastAsia="仿宋" w:cs="宋体"/>
          <w:color w:val="auto"/>
          <w:sz w:val="28"/>
          <w:szCs w:val="28"/>
          <w:highlight w:val="none"/>
          <w:lang w:val="en-US" w:eastAsia="zh-CN"/>
        </w:rPr>
        <w:t xml:space="preserve">总负责人、</w:t>
      </w:r>
      <w:r>
        <w:rPr>
          <w:rFonts w:hint="eastAsia" w:ascii="仿宋" w:hAnsi="仿宋" w:eastAsia="仿宋" w:cs="宋体"/>
          <w:color w:val="auto"/>
          <w:sz w:val="28"/>
          <w:szCs w:val="28"/>
          <w:highlight w:val="none"/>
        </w:rPr>
        <w:t xml:space="preserve">项目</w:t>
      </w:r>
      <w:r>
        <w:rPr>
          <w:rFonts w:hint="eastAsia" w:ascii="仿宋" w:hAnsi="仿宋" w:eastAsia="仿宋" w:cs="宋体"/>
          <w:color w:val="auto"/>
          <w:sz w:val="28"/>
          <w:szCs w:val="28"/>
          <w:highlight w:val="none"/>
          <w:lang w:val="en-US" w:eastAsia="zh-CN"/>
        </w:rPr>
        <w:t xml:space="preserve">负责人</w:t>
      </w:r>
      <w:r>
        <w:rPr>
          <w:rFonts w:hint="eastAsia" w:ascii="仿宋" w:hAnsi="仿宋" w:eastAsia="仿宋" w:cs="宋体"/>
          <w:color w:val="auto"/>
          <w:sz w:val="28"/>
          <w:szCs w:val="28"/>
          <w:highlight w:val="none"/>
        </w:rPr>
        <w:t xml:space="preserve">，应熟悉业务和相关法</w:t>
      </w:r>
      <w:r>
        <w:rPr>
          <w:rFonts w:hint="eastAsia" w:ascii="仿宋" w:hAnsi="仿宋" w:eastAsia="仿宋" w:cs="宋体"/>
          <w:color w:val="auto"/>
          <w:sz w:val="28"/>
          <w:szCs w:val="28"/>
          <w:highlight w:val="none"/>
          <w:lang w:val="en-US" w:eastAsia="zh-CN"/>
        </w:rPr>
        <w:t xml:space="preserve">律</w:t>
      </w:r>
      <w:r>
        <w:rPr>
          <w:rFonts w:hint="eastAsia" w:ascii="仿宋" w:hAnsi="仿宋" w:eastAsia="仿宋" w:cs="宋体"/>
          <w:color w:val="auto"/>
          <w:sz w:val="28"/>
          <w:szCs w:val="28"/>
          <w:highlight w:val="none"/>
        </w:rPr>
        <w:t xml:space="preserve">规范），每个停车场需分别明确一名项目负责人（分区负责人）；</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★（2）停车场需合理</w:t>
      </w:r>
      <w:r>
        <w:rPr>
          <w:rFonts w:hint="eastAsia" w:ascii="仿宋" w:hAnsi="仿宋" w:eastAsia="仿宋" w:cs="宋体"/>
          <w:color w:val="auto"/>
          <w:sz w:val="28"/>
          <w:szCs w:val="28"/>
          <w:highlight w:val="none"/>
          <w:lang w:val="en-US" w:eastAsia="zh-CN"/>
        </w:rPr>
        <w:t xml:space="preserve">配备</w:t>
      </w:r>
      <w:r>
        <w:rPr>
          <w:rFonts w:hint="eastAsia" w:ascii="仿宋" w:hAnsi="仿宋" w:eastAsia="仿宋" w:cs="宋体"/>
          <w:color w:val="auto"/>
          <w:sz w:val="28"/>
          <w:szCs w:val="28"/>
          <w:highlight w:val="none"/>
        </w:rPr>
        <w:t xml:space="preserve">门卫</w:t>
      </w:r>
      <w:r>
        <w:rPr>
          <w:rFonts w:ascii="仿宋" w:hAnsi="仿宋" w:eastAsia="仿宋" w:cs="宋体"/>
          <w:color w:val="auto"/>
          <w:sz w:val="28"/>
          <w:szCs w:val="28"/>
          <w:highlight w:val="none"/>
        </w:rPr>
        <w:t xml:space="preserve">、调度员、接车员等</w:t>
      </w:r>
      <w:r>
        <w:rPr>
          <w:rFonts w:hint="eastAsia" w:ascii="仿宋" w:hAnsi="仿宋" w:eastAsia="仿宋" w:cs="宋体"/>
          <w:color w:val="auto"/>
          <w:sz w:val="28"/>
          <w:szCs w:val="28"/>
          <w:highlight w:val="none"/>
        </w:rPr>
        <w:t xml:space="preserve">工作人员</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每个停车场门卫不少于2人，专人专职；接车员不少于12人，具备清障车驾驶能力素质和相应重型车辆驾驶资质的驾驶证，确保三个区域大车接车任务的正常开展</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，确保按要求及时提供相关服务。</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（3）提供组织架构图。</w:t>
      </w:r>
      <w:r/>
    </w:p>
    <w:p>
      <w:pPr>
        <w:ind w:firstLine="560"/>
        <w:jc w:val="left"/>
        <w:spacing w:line="440" w:lineRule="exact"/>
        <w:widowControl/>
        <w:rPr>
          <w:rFonts w:ascii="仿宋" w:hAnsi="仿宋" w:eastAsia="仿宋" w:cs="宋体"/>
          <w:b/>
          <w:color w:val="auto"/>
          <w:sz w:val="28"/>
          <w:szCs w:val="28"/>
          <w:highlight w:val="none"/>
        </w:rPr>
      </w:pPr>
      <w:r>
        <w:rPr>
          <w:rFonts w:hint="eastAsia" w:ascii="仿宋" w:hAnsi="仿宋" w:eastAsia="仿宋" w:cs="宋体"/>
          <w:b/>
          <w:color w:val="auto"/>
          <w:sz w:val="28"/>
          <w:szCs w:val="28"/>
          <w:highlight w:val="none"/>
        </w:rPr>
        <w:t xml:space="preserve">5．</w:t>
      </w:r>
      <w:r>
        <w:rPr>
          <w:rFonts w:ascii="仿宋" w:hAnsi="仿宋" w:eastAsia="仿宋" w:cs="宋体"/>
          <w:b/>
          <w:color w:val="auto"/>
          <w:sz w:val="28"/>
          <w:szCs w:val="28"/>
          <w:highlight w:val="none"/>
        </w:rPr>
        <w:t xml:space="preserve">业务用房需求</w:t>
      </w:r>
      <w:r/>
    </w:p>
    <w:p>
      <w:pPr>
        <w:ind w:firstLine="560"/>
        <w:jc w:val="left"/>
        <w:spacing w:line="440" w:lineRule="exact"/>
        <w:widowControl/>
        <w:rPr>
          <w:rFonts w:ascii="仿宋" w:hAnsi="仿宋" w:eastAsia="仿宋" w:cs="宋体"/>
          <w:color w:val="auto"/>
          <w:sz w:val="28"/>
          <w:highlight w:val="none"/>
        </w:rPr>
      </w:pP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highlight w:val="none"/>
        </w:rPr>
        <w:t xml:space="preserve">（1）每个停车场应具备不少于50平方米的专用业务办公用房（不得用于员工住宿、就餐等其他功能）；</w:t>
      </w:r>
      <w:r/>
    </w:p>
    <w:p>
      <w:pPr>
        <w:ind w:firstLine="560"/>
        <w:jc w:val="left"/>
        <w:spacing w:line="440" w:lineRule="exact"/>
        <w:widowControl/>
        <w:rPr>
          <w:rFonts w:ascii="仿宋" w:hAnsi="仿宋" w:eastAsia="仿宋" w:cs="宋体"/>
          <w:color w:val="auto"/>
          <w:sz w:val="28"/>
          <w:highlight w:val="none"/>
        </w:rPr>
      </w:pP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highlight w:val="none"/>
        </w:rPr>
        <w:t xml:space="preserve">（2）每个停车场分类</w:t>
      </w:r>
      <w:r>
        <w:rPr>
          <w:rFonts w:ascii="仿宋" w:hAnsi="仿宋" w:eastAsia="仿宋" w:cs="宋体"/>
          <w:color w:val="auto"/>
          <w:sz w:val="28"/>
          <w:highlight w:val="none"/>
        </w:rPr>
        <w:t xml:space="preserve">设置</w:t>
      </w:r>
      <w:r>
        <w:rPr>
          <w:rFonts w:hint="eastAsia" w:ascii="仿宋" w:hAnsi="仿宋" w:eastAsia="仿宋" w:cs="宋体"/>
          <w:color w:val="auto"/>
          <w:sz w:val="28"/>
          <w:highlight w:val="none"/>
        </w:rPr>
        <w:t xml:space="preserve">接待区</w:t>
      </w:r>
      <w:r>
        <w:rPr>
          <w:rFonts w:ascii="仿宋" w:hAnsi="仿宋" w:eastAsia="仿宋" w:cs="宋体"/>
          <w:color w:val="auto"/>
          <w:sz w:val="28"/>
          <w:highlight w:val="none"/>
        </w:rPr>
        <w:t xml:space="preserve">、</w:t>
      </w:r>
      <w:r>
        <w:rPr>
          <w:rFonts w:hint="eastAsia" w:ascii="仿宋" w:hAnsi="仿宋" w:eastAsia="仿宋" w:cs="宋体"/>
          <w:color w:val="auto"/>
          <w:sz w:val="28"/>
          <w:highlight w:val="none"/>
        </w:rPr>
        <w:t xml:space="preserve">涉案</w:t>
      </w:r>
      <w:r>
        <w:rPr>
          <w:rFonts w:ascii="仿宋" w:hAnsi="仿宋" w:eastAsia="仿宋" w:cs="宋体"/>
          <w:color w:val="auto"/>
          <w:sz w:val="28"/>
          <w:highlight w:val="none"/>
        </w:rPr>
        <w:t xml:space="preserve">物品保管区、办公区等区域并配备相应的物品和设施。</w:t>
      </w:r>
      <w:r/>
    </w:p>
    <w:p>
      <w:pPr>
        <w:ind w:firstLine="560"/>
        <w:jc w:val="left"/>
        <w:spacing w:line="440" w:lineRule="exact"/>
        <w:widowControl/>
        <w:rPr>
          <w:rFonts w:ascii="仿宋" w:hAnsi="仿宋" w:eastAsia="仿宋" w:cs="宋体"/>
          <w:color w:val="auto"/>
          <w:sz w:val="28"/>
          <w:highlight w:val="none"/>
        </w:rPr>
      </w:pPr>
      <w:r>
        <w:rPr>
          <w:rFonts w:ascii="仿宋" w:hAnsi="仿宋" w:eastAsia="仿宋" w:cs="宋体"/>
          <w:color w:val="auto"/>
          <w:sz w:val="28"/>
          <w:highlight w:val="none"/>
        </w:rPr>
        <w:t xml:space="preserve">①</w:t>
      </w:r>
      <w:r>
        <w:rPr>
          <w:rFonts w:hint="eastAsia" w:ascii="仿宋" w:hAnsi="仿宋" w:eastAsia="仿宋" w:cs="宋体"/>
          <w:color w:val="auto"/>
          <w:sz w:val="28"/>
          <w:highlight w:val="none"/>
        </w:rPr>
        <w:t xml:space="preserve">接待</w:t>
      </w:r>
      <w:r>
        <w:rPr>
          <w:rFonts w:ascii="仿宋" w:hAnsi="仿宋" w:eastAsia="仿宋" w:cs="宋体"/>
          <w:color w:val="auto"/>
          <w:sz w:val="28"/>
          <w:highlight w:val="none"/>
        </w:rPr>
        <w:t xml:space="preserve">区，即</w:t>
      </w:r>
      <w:r>
        <w:rPr>
          <w:rFonts w:hint="eastAsia" w:ascii="仿宋" w:hAnsi="仿宋" w:eastAsia="仿宋" w:cs="宋体"/>
          <w:color w:val="auto"/>
          <w:sz w:val="28"/>
          <w:highlight w:val="none"/>
        </w:rPr>
        <w:t xml:space="preserve">业务大厅，具备连接互联网的电脑1台、打印机1台等办公设备，配备至少3张休息座椅、饮水机、便民服务箱等设施设备；</w:t>
      </w:r>
      <w:r/>
    </w:p>
    <w:p>
      <w:pPr>
        <w:ind w:firstLine="560"/>
        <w:jc w:val="left"/>
        <w:spacing w:line="440" w:lineRule="exact"/>
        <w:widowControl/>
        <w:rPr>
          <w:rFonts w:ascii="仿宋" w:hAnsi="仿宋" w:eastAsia="仿宋" w:cs="宋体"/>
          <w:color w:val="auto"/>
          <w:sz w:val="28"/>
          <w:highlight w:val="none"/>
        </w:rPr>
      </w:pPr>
      <w:r>
        <w:rPr>
          <w:rFonts w:ascii="仿宋" w:hAnsi="仿宋" w:eastAsia="仿宋" w:cs="宋体"/>
          <w:color w:val="auto"/>
          <w:sz w:val="28"/>
          <w:highlight w:val="none"/>
        </w:rPr>
        <w:t xml:space="preserve">②</w:t>
      </w:r>
      <w:r>
        <w:rPr>
          <w:rFonts w:hint="eastAsia" w:ascii="仿宋" w:hAnsi="仿宋" w:eastAsia="仿宋" w:cs="宋体"/>
          <w:color w:val="auto"/>
          <w:sz w:val="28"/>
          <w:highlight w:val="none"/>
        </w:rPr>
        <w:t xml:space="preserve">涉案物品储物区，配备</w:t>
      </w:r>
      <w:r>
        <w:rPr>
          <w:rFonts w:ascii="仿宋" w:hAnsi="仿宋" w:eastAsia="仿宋" w:cs="宋体"/>
          <w:color w:val="auto"/>
          <w:sz w:val="28"/>
          <w:highlight w:val="none"/>
        </w:rPr>
        <w:t xml:space="preserve">相应的</w:t>
      </w:r>
      <w:r>
        <w:rPr>
          <w:rFonts w:hint="eastAsia" w:ascii="仿宋" w:hAnsi="仿宋" w:eastAsia="仿宋" w:cs="宋体"/>
          <w:color w:val="auto"/>
          <w:sz w:val="28"/>
          <w:highlight w:val="none"/>
        </w:rPr>
        <w:t xml:space="preserve">储物架</w:t>
      </w:r>
      <w:r>
        <w:rPr>
          <w:rFonts w:ascii="仿宋" w:hAnsi="仿宋" w:eastAsia="仿宋" w:cs="宋体"/>
          <w:color w:val="auto"/>
          <w:sz w:val="28"/>
          <w:highlight w:val="none"/>
        </w:rPr>
        <w:t xml:space="preserve">和</w:t>
      </w:r>
      <w:r>
        <w:rPr>
          <w:rFonts w:hint="eastAsia" w:ascii="仿宋" w:hAnsi="仿宋" w:eastAsia="仿宋" w:cs="宋体"/>
          <w:color w:val="auto"/>
          <w:sz w:val="28"/>
          <w:highlight w:val="none"/>
        </w:rPr>
        <w:t xml:space="preserve">不少于10个</w:t>
      </w:r>
      <w:r>
        <w:rPr>
          <w:rFonts w:ascii="仿宋" w:hAnsi="仿宋" w:eastAsia="仿宋" w:cs="宋体"/>
          <w:color w:val="auto"/>
          <w:sz w:val="28"/>
          <w:highlight w:val="none"/>
        </w:rPr>
        <w:t xml:space="preserve">储物柜</w:t>
      </w:r>
      <w:r>
        <w:rPr>
          <w:rFonts w:hint="eastAsia" w:ascii="仿宋" w:hAnsi="仿宋" w:eastAsia="仿宋" w:cs="宋体"/>
          <w:color w:val="auto"/>
          <w:sz w:val="28"/>
          <w:highlight w:val="none"/>
        </w:rPr>
        <w:t xml:space="preserve">；</w:t>
      </w:r>
      <w:r/>
    </w:p>
    <w:p>
      <w:pPr>
        <w:ind w:firstLine="560"/>
        <w:jc w:val="left"/>
        <w:spacing w:line="440" w:lineRule="exact"/>
        <w:widowControl/>
        <w:rPr>
          <w:rFonts w:ascii="仿宋" w:hAnsi="仿宋" w:eastAsia="仿宋" w:cs="宋体"/>
          <w:color w:val="auto"/>
          <w:sz w:val="28"/>
          <w:highlight w:val="none"/>
        </w:rPr>
      </w:pPr>
      <w:r>
        <w:rPr>
          <w:rFonts w:ascii="仿宋" w:hAnsi="仿宋" w:eastAsia="仿宋" w:cs="宋体"/>
          <w:color w:val="auto"/>
          <w:sz w:val="28"/>
          <w:highlight w:val="none"/>
        </w:rPr>
        <w:t xml:space="preserve">③</w:t>
      </w:r>
      <w:r>
        <w:rPr>
          <w:rFonts w:hint="eastAsia" w:ascii="仿宋" w:hAnsi="仿宋" w:eastAsia="仿宋" w:cs="宋体"/>
          <w:color w:val="auto"/>
          <w:sz w:val="28"/>
          <w:highlight w:val="none"/>
        </w:rPr>
        <w:t xml:space="preserve">办公区</w:t>
      </w:r>
      <w:r>
        <w:rPr>
          <w:rFonts w:ascii="仿宋" w:hAnsi="仿宋" w:eastAsia="仿宋" w:cs="宋体"/>
          <w:color w:val="auto"/>
          <w:sz w:val="28"/>
          <w:highlight w:val="none"/>
        </w:rPr>
        <w:t xml:space="preserve">，</w:t>
      </w:r>
      <w:r>
        <w:rPr>
          <w:rFonts w:hint="eastAsia" w:ascii="仿宋" w:hAnsi="仿宋" w:eastAsia="仿宋" w:cs="宋体"/>
          <w:color w:val="auto"/>
          <w:sz w:val="28"/>
          <w:highlight w:val="none"/>
        </w:rPr>
        <w:t xml:space="preserve">能容纳3张办公桌。</w:t>
      </w:r>
      <w:r/>
    </w:p>
    <w:p>
      <w:pPr>
        <w:ind w:firstLine="560"/>
        <w:jc w:val="left"/>
        <w:spacing w:line="440" w:lineRule="exact"/>
        <w:widowControl/>
        <w:rPr>
          <w:rFonts w:ascii="仿宋" w:hAnsi="仿宋" w:eastAsia="仿宋" w:cs="宋体"/>
          <w:color w:val="auto"/>
          <w:sz w:val="28"/>
          <w:highlight w:val="none"/>
        </w:rPr>
      </w:pPr>
      <w:r>
        <w:rPr>
          <w:rFonts w:hint="eastAsia" w:ascii="仿宋" w:hAnsi="仿宋" w:eastAsia="仿宋" w:cs="宋体"/>
          <w:color w:val="auto"/>
          <w:sz w:val="28"/>
          <w:highlight w:val="none"/>
        </w:rPr>
        <w:t xml:space="preserve">（3）每个</w:t>
      </w:r>
      <w:r>
        <w:rPr>
          <w:rFonts w:ascii="仿宋" w:hAnsi="仿宋" w:eastAsia="仿宋" w:cs="宋体"/>
          <w:color w:val="auto"/>
          <w:sz w:val="28"/>
          <w:highlight w:val="none"/>
        </w:rPr>
        <w:t xml:space="preserve">停车场业务用房</w:t>
      </w:r>
      <w:r>
        <w:rPr>
          <w:rFonts w:hint="eastAsia" w:ascii="仿宋" w:hAnsi="仿宋" w:eastAsia="仿宋" w:cs="宋体"/>
          <w:color w:val="auto"/>
          <w:sz w:val="28"/>
          <w:highlight w:val="none"/>
        </w:rPr>
        <w:t xml:space="preserve">便民服务区周边及场内主要通道必须水泥或沥青硬化（中标后</w:t>
      </w:r>
      <w:r>
        <w:rPr>
          <w:rFonts w:hint="eastAsia" w:ascii="仿宋" w:hAnsi="仿宋" w:eastAsia="仿宋" w:cs="宋体"/>
          <w:color w:val="auto"/>
          <w:sz w:val="28"/>
          <w:highlight w:val="none"/>
          <w:lang w:val="en-US" w:eastAsia="zh-CN"/>
        </w:rPr>
        <w:t xml:space="preserve">30日</w:t>
      </w:r>
      <w:r>
        <w:rPr>
          <w:rFonts w:hint="eastAsia" w:ascii="仿宋" w:hAnsi="仿宋" w:eastAsia="仿宋" w:cs="宋体"/>
          <w:color w:val="auto"/>
          <w:sz w:val="28"/>
          <w:highlight w:val="none"/>
        </w:rPr>
        <w:t xml:space="preserve">内完成）。</w:t>
      </w:r>
      <w:r/>
    </w:p>
    <w:p>
      <w:pPr>
        <w:ind w:firstLine="560"/>
        <w:jc w:val="left"/>
        <w:spacing w:line="440" w:lineRule="exact"/>
        <w:widowControl/>
        <w:rPr>
          <w:rFonts w:ascii="仿宋" w:hAnsi="仿宋" w:eastAsia="仿宋" w:cs="宋体"/>
          <w:b/>
          <w:color w:val="auto"/>
          <w:sz w:val="28"/>
          <w:highlight w:val="none"/>
        </w:rPr>
      </w:pPr>
      <w:r>
        <w:rPr>
          <w:rFonts w:hint="eastAsia" w:ascii="仿宋" w:hAnsi="仿宋" w:eastAsia="仿宋" w:cs="宋体"/>
          <w:b/>
          <w:color w:val="auto"/>
          <w:sz w:val="28"/>
          <w:highlight w:val="none"/>
        </w:rPr>
        <w:t xml:space="preserve">（4）需提供平面布置图及</w:t>
      </w:r>
      <w:r>
        <w:rPr>
          <w:rFonts w:ascii="仿宋" w:hAnsi="仿宋" w:eastAsia="仿宋" w:cs="宋体"/>
          <w:b/>
          <w:color w:val="auto"/>
          <w:sz w:val="28"/>
          <w:highlight w:val="none"/>
        </w:rPr>
        <w:t xml:space="preserve">技术方案</w:t>
      </w:r>
      <w:r>
        <w:rPr>
          <w:rFonts w:hint="eastAsia" w:ascii="仿宋" w:hAnsi="仿宋" w:eastAsia="仿宋" w:cs="宋体"/>
          <w:b/>
          <w:color w:val="auto"/>
          <w:sz w:val="28"/>
          <w:highlight w:val="none"/>
        </w:rPr>
        <w:t xml:space="preserve">。</w:t>
      </w:r>
      <w:r/>
    </w:p>
    <w:p>
      <w:pPr>
        <w:ind w:firstLine="560"/>
        <w:jc w:val="left"/>
        <w:spacing w:line="440" w:lineRule="exact"/>
        <w:widowControl/>
        <w:rPr>
          <w:rFonts w:ascii="仿宋" w:hAnsi="仿宋" w:eastAsia="仿宋" w:cs="宋体"/>
          <w:b/>
          <w:color w:val="auto"/>
          <w:sz w:val="28"/>
          <w:szCs w:val="28"/>
          <w:highlight w:val="none"/>
        </w:rPr>
      </w:pPr>
      <w:r>
        <w:rPr>
          <w:rFonts w:ascii="仿宋" w:hAnsi="仿宋" w:eastAsia="仿宋" w:cs="宋体"/>
          <w:b/>
          <w:color w:val="auto"/>
          <w:sz w:val="28"/>
          <w:szCs w:val="28"/>
          <w:highlight w:val="none"/>
        </w:rPr>
        <w:t xml:space="preserve">6</w:t>
      </w:r>
      <w:r>
        <w:rPr>
          <w:rFonts w:hint="eastAsia" w:ascii="仿宋" w:hAnsi="仿宋" w:eastAsia="仿宋" w:cs="宋体"/>
          <w:b/>
          <w:color w:val="auto"/>
          <w:sz w:val="28"/>
          <w:szCs w:val="28"/>
          <w:highlight w:val="none"/>
        </w:rPr>
        <w:t xml:space="preserve">.</w:t>
      </w:r>
      <w:r>
        <w:rPr>
          <w:rFonts w:ascii="仿宋" w:hAnsi="仿宋" w:eastAsia="仿宋" w:cs="宋体"/>
          <w:b/>
          <w:color w:val="auto"/>
          <w:sz w:val="28"/>
          <w:szCs w:val="28"/>
          <w:highlight w:val="none"/>
        </w:rPr>
        <w:t xml:space="preserve">配套需求</w:t>
      </w:r>
      <w:r>
        <w:rPr>
          <w:rFonts w:hint="eastAsia" w:ascii="仿宋" w:hAnsi="仿宋" w:eastAsia="仿宋" w:cs="宋体"/>
          <w:b/>
          <w:color w:val="auto"/>
          <w:sz w:val="28"/>
          <w:szCs w:val="28"/>
          <w:highlight w:val="none"/>
        </w:rPr>
        <w:t xml:space="preserve">（</w:t>
      </w:r>
      <w:r>
        <w:rPr>
          <w:rFonts w:hint="eastAsia" w:ascii="仿宋" w:hAnsi="仿宋" w:eastAsia="仿宋" w:cs="宋体"/>
          <w:color w:val="auto"/>
          <w:sz w:val="28"/>
          <w:szCs w:val="28"/>
          <w:highlight w:val="none"/>
        </w:rPr>
        <w:t xml:space="preserve">★</w:t>
      </w:r>
      <w:r>
        <w:rPr>
          <w:rFonts w:hint="eastAsia" w:ascii="仿宋" w:hAnsi="仿宋" w:eastAsia="仿宋" w:cs="宋体"/>
          <w:b/>
          <w:color w:val="auto"/>
          <w:sz w:val="28"/>
          <w:szCs w:val="28"/>
          <w:highlight w:val="none"/>
        </w:rPr>
        <w:t xml:space="preserve">具体参数</w:t>
      </w:r>
      <w:r>
        <w:rPr>
          <w:rFonts w:hint="eastAsia" w:ascii="方正仿宋_GBK" w:hAnsi="方正仿宋_GBK" w:eastAsia="方正仿宋_GBK" w:cs="方正仿宋_GBK"/>
          <w:color w:val="auto"/>
          <w:sz w:val="28"/>
          <w:szCs w:val="28"/>
          <w:highlight w:val="none"/>
        </w:rPr>
        <w:t xml:space="preserve">详见停车场配套需求具体参数附件</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仿宋" w:hAnsi="仿宋" w:eastAsia="仿宋" w:cs="宋体"/>
          <w:b/>
          <w:color w:val="auto"/>
          <w:sz w:val="28"/>
          <w:szCs w:val="28"/>
          <w:highlight w:val="none"/>
        </w:rPr>
        <w:t xml:space="preserve">）</w:t>
      </w:r>
      <w:r/>
    </w:p>
    <w:p>
      <w:pPr>
        <w:ind w:firstLine="560"/>
        <w:jc w:val="left"/>
        <w:spacing w:line="440" w:lineRule="exact"/>
        <w:widowControl/>
        <w:rPr>
          <w:rFonts w:ascii="仿宋" w:hAnsi="仿宋" w:eastAsia="仿宋" w:cs="宋体"/>
          <w:color w:val="auto"/>
          <w:sz w:val="28"/>
          <w:highlight w:val="none"/>
        </w:rPr>
      </w:pPr>
      <w:r>
        <w:rPr>
          <w:rFonts w:hint="eastAsia" w:ascii="仿宋" w:hAnsi="仿宋" w:eastAsia="仿宋" w:cs="宋体"/>
          <w:color w:val="auto"/>
          <w:sz w:val="28"/>
          <w:szCs w:val="28"/>
          <w:highlight w:val="none"/>
        </w:rPr>
        <w:t xml:space="preserve">★（1）停车场需规范停车场技防要求，设置周界警系统等技术措施，确保涉案车辆在</w:t>
      </w:r>
      <w:r>
        <w:rPr>
          <w:rFonts w:hint="eastAsia" w:ascii="仿宋" w:hAnsi="仿宋" w:eastAsia="仿宋" w:cs="宋体"/>
          <w:color w:val="auto"/>
          <w:sz w:val="28"/>
          <w:highlight w:val="none"/>
        </w:rPr>
        <w:t xml:space="preserve">停车场期间满足公安执法等管理要求。每个停车场要安装视频监控设备并达到</w:t>
      </w:r>
      <w:r>
        <w:rPr>
          <w:rFonts w:hint="eastAsia" w:ascii="仿宋" w:hAnsi="仿宋" w:eastAsia="仿宋" w:cs="宋体"/>
          <w:color w:val="auto"/>
          <w:sz w:val="28"/>
          <w:highlight w:val="none"/>
          <w:lang w:eastAsia="zh-CN"/>
        </w:rPr>
        <w:t xml:space="preserve">招标人</w:t>
      </w:r>
      <w:r>
        <w:rPr>
          <w:rFonts w:hint="eastAsia" w:ascii="仿宋" w:hAnsi="仿宋" w:eastAsia="仿宋" w:cs="宋体"/>
          <w:color w:val="auto"/>
          <w:sz w:val="28"/>
          <w:highlight w:val="none"/>
        </w:rPr>
        <w:t xml:space="preserve">管理要求，视频可视范围应覆盖整个停车场（视频监控系统应覆盖停车场主要出入口、通道及关键区域，满足日常监管及执法取证需求即可。），并每天</w:t>
      </w:r>
      <w:r>
        <w:rPr>
          <w:rFonts w:ascii="仿宋" w:hAnsi="仿宋" w:eastAsia="仿宋" w:cs="宋体"/>
          <w:color w:val="auto"/>
          <w:sz w:val="28"/>
          <w:highlight w:val="none"/>
        </w:rPr>
        <w:t xml:space="preserve">24</w:t>
      </w:r>
      <w:r>
        <w:rPr>
          <w:rFonts w:hint="eastAsia" w:ascii="仿宋" w:hAnsi="仿宋" w:eastAsia="仿宋" w:cs="宋体"/>
          <w:color w:val="auto"/>
          <w:sz w:val="28"/>
          <w:highlight w:val="none"/>
        </w:rPr>
        <w:t xml:space="preserve">小时不间断录像及从接车到停放停车场，直至发放车辆必须保留全程视频资料，视频保存、可调阅时间不少于6个月（可回放）。</w:t>
      </w:r>
      <w:r/>
    </w:p>
    <w:p>
      <w:pPr>
        <w:ind w:firstLine="560"/>
        <w:jc w:val="left"/>
        <w:spacing w:line="440" w:lineRule="exact"/>
        <w:widowControl/>
        <w:rPr>
          <w:rFonts w:ascii="仿宋" w:hAnsi="仿宋" w:eastAsia="仿宋" w:cs="宋体"/>
          <w:color w:val="auto"/>
          <w:sz w:val="28"/>
          <w:highlight w:val="none"/>
        </w:rPr>
      </w:pP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highlight w:val="none"/>
        </w:rPr>
        <w:t xml:space="preserve">（2）开发涉案车辆</w:t>
      </w:r>
      <w:r>
        <w:rPr>
          <w:rFonts w:ascii="仿宋" w:hAnsi="仿宋" w:eastAsia="仿宋" w:cs="宋体"/>
          <w:color w:val="auto"/>
          <w:sz w:val="28"/>
          <w:highlight w:val="none"/>
        </w:rPr>
        <w:t xml:space="preserve">管理系统</w:t>
      </w:r>
      <w:r>
        <w:rPr>
          <w:rFonts w:hint="eastAsia" w:ascii="仿宋" w:hAnsi="仿宋" w:eastAsia="仿宋" w:cs="宋体"/>
          <w:color w:val="auto"/>
          <w:sz w:val="28"/>
          <w:highlight w:val="none"/>
        </w:rPr>
        <w:t xml:space="preserve">，</w:t>
      </w:r>
      <w:r>
        <w:rPr>
          <w:rFonts w:ascii="仿宋" w:hAnsi="仿宋" w:eastAsia="仿宋" w:cs="宋体"/>
          <w:color w:val="auto"/>
          <w:sz w:val="28"/>
          <w:highlight w:val="none"/>
        </w:rPr>
        <w:t xml:space="preserve">并与</w:t>
      </w:r>
      <w:r>
        <w:rPr>
          <w:rFonts w:hint="eastAsia" w:ascii="仿宋" w:hAnsi="仿宋" w:eastAsia="仿宋" w:cs="宋体"/>
          <w:color w:val="auto"/>
          <w:sz w:val="28"/>
          <w:highlight w:val="none"/>
        </w:rPr>
        <w:t xml:space="preserve">招标</w:t>
      </w:r>
      <w:r>
        <w:rPr>
          <w:rFonts w:ascii="仿宋" w:hAnsi="仿宋" w:eastAsia="仿宋" w:cs="宋体"/>
          <w:color w:val="auto"/>
          <w:sz w:val="28"/>
          <w:highlight w:val="none"/>
        </w:rPr>
        <w:t xml:space="preserve">人</w:t>
      </w:r>
      <w:r>
        <w:rPr>
          <w:rFonts w:hint="eastAsia" w:ascii="仿宋" w:hAnsi="仿宋" w:eastAsia="仿宋" w:cs="宋体"/>
          <w:color w:val="auto"/>
          <w:sz w:val="28"/>
          <w:highlight w:val="none"/>
        </w:rPr>
        <w:t xml:space="preserve">监管</w:t>
      </w:r>
      <w:r>
        <w:rPr>
          <w:rFonts w:ascii="仿宋" w:hAnsi="仿宋" w:eastAsia="仿宋" w:cs="宋体"/>
          <w:color w:val="auto"/>
          <w:sz w:val="28"/>
          <w:highlight w:val="none"/>
        </w:rPr>
        <w:t xml:space="preserve">系统对接</w:t>
      </w:r>
      <w:r>
        <w:rPr>
          <w:rFonts w:hint="eastAsia" w:ascii="仿宋" w:hAnsi="仿宋" w:eastAsia="仿宋" w:cs="宋体"/>
          <w:color w:val="auto"/>
          <w:sz w:val="28"/>
          <w:highlight w:val="none"/>
          <w:lang w:eastAsia="zh-CN"/>
        </w:rPr>
        <w:t xml:space="preserve">，</w:t>
      </w:r>
      <w:r>
        <w:rPr>
          <w:rFonts w:hint="eastAsia" w:ascii="仿宋" w:hAnsi="仿宋" w:eastAsia="仿宋" w:cs="宋体"/>
          <w:color w:val="auto"/>
          <w:sz w:val="28"/>
          <w:highlight w:val="none"/>
          <w:lang w:val="en-US" w:eastAsia="zh-CN"/>
        </w:rPr>
        <w:t xml:space="preserve">内外网交汇服务器由投标方提供</w:t>
      </w:r>
      <w:r>
        <w:rPr>
          <w:rFonts w:hint="eastAsia" w:ascii="仿宋" w:hAnsi="仿宋" w:eastAsia="仿宋" w:cs="宋体"/>
          <w:color w:val="auto"/>
          <w:sz w:val="28"/>
          <w:highlight w:val="none"/>
        </w:rPr>
        <w:t xml:space="preserve">，交换</w:t>
      </w:r>
      <w:r>
        <w:rPr>
          <w:rFonts w:ascii="仿宋" w:hAnsi="仿宋" w:eastAsia="仿宋" w:cs="宋体"/>
          <w:color w:val="auto"/>
          <w:sz w:val="28"/>
          <w:highlight w:val="none"/>
        </w:rPr>
        <w:t xml:space="preserve">数据（</w:t>
      </w:r>
      <w:r>
        <w:rPr>
          <w:rFonts w:hint="eastAsia" w:ascii="仿宋" w:hAnsi="仿宋" w:eastAsia="仿宋" w:cs="宋体"/>
          <w:color w:val="auto"/>
          <w:sz w:val="28"/>
          <w:highlight w:val="none"/>
        </w:rPr>
        <w:t xml:space="preserve">对停车场所停放涉案车辆入场时进行四面拍摄并存档，具体要求</w:t>
      </w:r>
      <w:r>
        <w:rPr>
          <w:rFonts w:hint="eastAsia" w:ascii="方正仿宋_GBK" w:hAnsi="方正仿宋_GBK" w:eastAsia="方正仿宋_GBK" w:cs="方正仿宋_GBK"/>
          <w:color w:val="auto"/>
          <w:sz w:val="28"/>
          <w:szCs w:val="28"/>
          <w:highlight w:val="none"/>
        </w:rPr>
        <w:t xml:space="preserve">详见停车场配套需求具体参数附件</w:t>
      </w:r>
      <w:r>
        <w:rPr>
          <w:rFonts w:hint="eastAsia" w:ascii="方正仿宋_GBK" w:hAnsi="方正仿宋_GBK" w:eastAsia="方正仿宋_GBK" w:cs="方正仿宋_GBK"/>
          <w:color w:val="auto"/>
          <w:sz w:val="28"/>
          <w:szCs w:val="28"/>
          <w:highlight w:val="none"/>
          <w:lang w:val="en-US" w:eastAsia="zh-CN"/>
        </w:rPr>
        <w:t xml:space="preserve">4、</w:t>
      </w:r>
      <w:r>
        <w:rPr>
          <w:rFonts w:hint="eastAsia" w:ascii="方正仿宋_GBK" w:hAnsi="方正仿宋_GBK" w:eastAsia="方正仿宋_GBK" w:cs="方正仿宋_GBK"/>
          <w:color w:val="auto"/>
          <w:sz w:val="28"/>
          <w:szCs w:val="28"/>
          <w:highlight w:val="none"/>
        </w:rPr>
        <w:t xml:space="preserve">附件</w:t>
      </w:r>
      <w:r>
        <w:rPr>
          <w:rFonts w:hint="eastAsia" w:ascii="方正仿宋_GBK" w:hAnsi="方正仿宋_GBK" w:eastAsia="方正仿宋_GBK" w:cs="方正仿宋_GBK"/>
          <w:color w:val="auto"/>
          <w:sz w:val="28"/>
          <w:szCs w:val="28"/>
          <w:highlight w:val="none"/>
          <w:lang w:val="en-US" w:eastAsia="zh-CN"/>
        </w:rPr>
        <w:t xml:space="preserve">5</w:t>
      </w:r>
      <w:r>
        <w:rPr>
          <w:rFonts w:ascii="仿宋" w:hAnsi="仿宋" w:eastAsia="仿宋" w:cs="宋体"/>
          <w:color w:val="auto"/>
          <w:sz w:val="28"/>
          <w:highlight w:val="none"/>
        </w:rPr>
        <w:t xml:space="preserve">）</w:t>
      </w:r>
      <w:r>
        <w:rPr>
          <w:rFonts w:hint="eastAsia" w:ascii="仿宋" w:hAnsi="仿宋" w:eastAsia="仿宋" w:cs="宋体"/>
          <w:color w:val="auto"/>
          <w:sz w:val="28"/>
          <w:highlight w:val="none"/>
        </w:rPr>
        <w:t xml:space="preserve">。</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highlight w:val="none"/>
        </w:rPr>
        <w:t xml:space="preserve">（3）每个</w:t>
      </w:r>
      <w:r>
        <w:rPr>
          <w:rFonts w:ascii="仿宋" w:hAnsi="仿宋" w:eastAsia="仿宋" w:cs="宋体"/>
          <w:color w:val="auto"/>
          <w:sz w:val="28"/>
          <w:highlight w:val="none"/>
        </w:rPr>
        <w:t xml:space="preserve">区域停车场内，必须配置</w:t>
      </w:r>
      <w:r>
        <w:rPr>
          <w:rFonts w:hint="eastAsia" w:ascii="仿宋" w:hAnsi="仿宋" w:eastAsia="仿宋" w:cs="宋体"/>
          <w:color w:val="auto"/>
          <w:sz w:val="28"/>
          <w:highlight w:val="none"/>
        </w:rPr>
        <w:t xml:space="preserve">1台具备符合实际业务需求的称重设备</w:t>
      </w:r>
      <w:r>
        <w:rPr>
          <w:rFonts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lang w:eastAsia="zh-CN"/>
        </w:rPr>
        <w:t xml:space="preserve">通吕运河以北、通吕运河以南（包括开发区和苏锡通园区）</w:t>
      </w:r>
      <w:r>
        <w:rPr>
          <w:rFonts w:hint="eastAsia" w:ascii="仿宋" w:hAnsi="仿宋" w:eastAsia="仿宋" w:cs="宋体"/>
          <w:color w:val="auto"/>
          <w:sz w:val="28"/>
          <w:szCs w:val="28"/>
          <w:highlight w:val="none"/>
          <w:lang w:val="en-US" w:eastAsia="zh-CN"/>
        </w:rPr>
        <w:t xml:space="preserve">2个</w:t>
      </w:r>
      <w:r>
        <w:rPr>
          <w:rFonts w:hint="eastAsia" w:ascii="仿宋" w:hAnsi="仿宋" w:eastAsia="仿宋" w:cs="宋体"/>
          <w:color w:val="auto"/>
          <w:sz w:val="28"/>
          <w:szCs w:val="28"/>
          <w:highlight w:val="none"/>
        </w:rPr>
        <w:t xml:space="preserve">区</w:t>
      </w:r>
      <w:r>
        <w:rPr>
          <w:rFonts w:ascii="仿宋" w:hAnsi="仿宋" w:eastAsia="仿宋" w:cs="宋体"/>
          <w:color w:val="auto"/>
          <w:sz w:val="28"/>
          <w:szCs w:val="28"/>
          <w:highlight w:val="none"/>
        </w:rPr>
        <w:t xml:space="preserve">域各1台）</w:t>
      </w:r>
      <w:r>
        <w:rPr>
          <w:rFonts w:hint="eastAsia" w:ascii="仿宋" w:hAnsi="仿宋" w:eastAsia="仿宋" w:cs="宋体"/>
          <w:color w:val="auto"/>
          <w:sz w:val="28"/>
          <w:szCs w:val="28"/>
          <w:highlight w:val="none"/>
        </w:rPr>
        <w:t xml:space="preserve">，且通过当地计量部门检定，地磅经法定计量检定机构检定合格后方可使用，并按规定出具称重记录或凭证，并提供24小时</w:t>
      </w:r>
      <w:r>
        <w:rPr>
          <w:rFonts w:hint="eastAsia" w:ascii="仿宋" w:hAnsi="仿宋" w:eastAsia="仿宋" w:cs="宋体"/>
          <w:color w:val="auto"/>
          <w:sz w:val="28"/>
          <w:szCs w:val="28"/>
          <w:highlight w:val="none"/>
          <w:lang w:val="en-US" w:eastAsia="zh-CN"/>
        </w:rPr>
        <w:t xml:space="preserve">交通执法免费</w:t>
      </w:r>
      <w:r>
        <w:rPr>
          <w:rFonts w:hint="eastAsia" w:ascii="仿宋" w:hAnsi="仿宋" w:eastAsia="仿宋" w:cs="宋体"/>
          <w:color w:val="auto"/>
          <w:sz w:val="28"/>
          <w:szCs w:val="28"/>
          <w:highlight w:val="none"/>
        </w:rPr>
        <w:t xml:space="preserve">服务。</w:t>
      </w:r>
      <w:r/>
    </w:p>
    <w:p>
      <w:pPr>
        <w:pStyle w:val="949"/>
        <w:ind w:firstLine="560"/>
        <w:spacing w:before="0" w:beforeAutospacing="0" w:after="0" w:afterAutospacing="0" w:line="440" w:lineRule="exact"/>
        <w:rPr>
          <w:rFonts w:ascii="仿宋" w:hAnsi="仿宋" w:eastAsia="仿宋" w:cs="宋体"/>
          <w:color w:val="auto"/>
          <w:sz w:val="32"/>
          <w:szCs w:val="28"/>
          <w:highlight w:val="none"/>
        </w:rPr>
      </w:pP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highlight w:val="none"/>
        </w:rPr>
        <w:t xml:space="preserve">（4）停车场内场安装大功率的照明灯，方便群众在夜间到停车场取车，并确保夜间拍摄识别度不低于98%。</w:t>
      </w:r>
      <w:r/>
    </w:p>
    <w:p>
      <w:pPr>
        <w:pStyle w:val="949"/>
        <w:ind w:firstLine="560"/>
        <w:spacing w:before="0" w:beforeAutospacing="0" w:after="0" w:afterAutospacing="0" w:line="44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w:t>
      </w:r>
      <w:r>
        <w:rPr>
          <w:rFonts w:ascii="仿宋" w:hAnsi="仿宋" w:eastAsia="仿宋" w:cs="宋体"/>
          <w:color w:val="auto"/>
          <w:sz w:val="28"/>
          <w:szCs w:val="28"/>
          <w:highlight w:val="none"/>
        </w:rPr>
        <w:t xml:space="preserve">5</w:t>
      </w:r>
      <w:r>
        <w:rPr>
          <w:rFonts w:hint="eastAsia" w:ascii="仿宋" w:hAnsi="仿宋" w:eastAsia="仿宋" w:cs="宋体"/>
          <w:color w:val="auto"/>
          <w:sz w:val="28"/>
          <w:szCs w:val="28"/>
          <w:highlight w:val="none"/>
        </w:rPr>
        <w:t xml:space="preserve">）按规定设置“涉案车辆停车场”标牌（样式</w:t>
      </w:r>
      <w:r>
        <w:rPr>
          <w:rFonts w:hint="eastAsia" w:ascii="方正仿宋_GBK" w:hAnsi="方正仿宋_GBK" w:eastAsia="方正仿宋_GBK" w:cs="方正仿宋_GBK"/>
          <w:color w:val="auto"/>
          <w:sz w:val="28"/>
          <w:szCs w:val="28"/>
          <w:highlight w:val="none"/>
        </w:rPr>
        <w:t xml:space="preserve">详见停车场配套需求具体参数附件</w:t>
      </w:r>
      <w:r>
        <w:rPr>
          <w:rFonts w:hint="eastAsia" w:ascii="方正仿宋_GBK" w:hAnsi="方正仿宋_GBK" w:eastAsia="方正仿宋_GBK" w:cs="方正仿宋_GBK"/>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w:t>
      </w:r>
      <w:r/>
    </w:p>
    <w:p>
      <w:pPr>
        <w:ind w:firstLine="560"/>
        <w:jc w:val="left"/>
        <w:spacing w:line="440" w:lineRule="exact"/>
        <w:widowControl/>
        <w:rPr>
          <w:rFonts w:ascii="仿宋" w:hAnsi="仿宋" w:eastAsia="仿宋" w:cs="宋体"/>
          <w:b/>
          <w:color w:val="auto"/>
          <w:sz w:val="28"/>
          <w:szCs w:val="28"/>
          <w:highlight w:val="none"/>
        </w:rPr>
      </w:pPr>
      <w:r>
        <w:rPr>
          <w:rFonts w:hint="eastAsia" w:ascii="仿宋" w:hAnsi="仿宋" w:eastAsia="仿宋" w:cs="宋体"/>
          <w:b/>
          <w:color w:val="auto"/>
          <w:sz w:val="28"/>
          <w:szCs w:val="28"/>
          <w:highlight w:val="none"/>
        </w:rPr>
        <w:t xml:space="preserve">7.其它</w:t>
      </w:r>
      <w:r>
        <w:rPr>
          <w:rFonts w:ascii="仿宋" w:hAnsi="仿宋" w:eastAsia="仿宋" w:cs="宋体"/>
          <w:b/>
          <w:color w:val="auto"/>
          <w:sz w:val="28"/>
          <w:szCs w:val="28"/>
          <w:highlight w:val="none"/>
        </w:rPr>
        <w:t xml:space="preserve">需求</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w:t>
      </w:r>
      <w:r>
        <w:rPr>
          <w:rFonts w:ascii="仿宋" w:hAnsi="仿宋" w:eastAsia="仿宋" w:cs="宋体"/>
          <w:color w:val="auto"/>
          <w:sz w:val="28"/>
          <w:szCs w:val="28"/>
          <w:highlight w:val="none"/>
        </w:rPr>
        <w:t xml:space="preserve">1</w:t>
      </w:r>
      <w:r>
        <w:rPr>
          <w:rFonts w:hint="eastAsia" w:ascii="仿宋" w:hAnsi="仿宋" w:eastAsia="仿宋" w:cs="宋体"/>
          <w:color w:val="auto"/>
          <w:sz w:val="28"/>
          <w:szCs w:val="28"/>
          <w:highlight w:val="none"/>
        </w:rPr>
        <w:t xml:space="preserve">）服务期满或合同终止后，停车场无偿负责过渡期内（3个月）滞留车辆的停放管理工作。</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w:t>
      </w:r>
      <w:r>
        <w:rPr>
          <w:rFonts w:ascii="仿宋" w:hAnsi="仿宋" w:eastAsia="仿宋" w:cs="宋体"/>
          <w:color w:val="auto"/>
          <w:sz w:val="28"/>
          <w:szCs w:val="28"/>
          <w:highlight w:val="none"/>
        </w:rPr>
        <w:t xml:space="preserve">2</w:t>
      </w:r>
      <w:r>
        <w:rPr>
          <w:rFonts w:hint="eastAsia" w:ascii="仿宋" w:hAnsi="仿宋" w:eastAsia="仿宋" w:cs="宋体"/>
          <w:color w:val="auto"/>
          <w:sz w:val="28"/>
          <w:szCs w:val="28"/>
          <w:highlight w:val="none"/>
        </w:rPr>
        <w:t xml:space="preserve">）每个</w:t>
      </w:r>
      <w:r>
        <w:rPr>
          <w:rFonts w:ascii="仿宋" w:hAnsi="仿宋" w:eastAsia="仿宋" w:cs="宋体"/>
          <w:color w:val="auto"/>
          <w:sz w:val="28"/>
          <w:szCs w:val="28"/>
          <w:highlight w:val="none"/>
        </w:rPr>
        <w:t xml:space="preserve">停车场必须</w:t>
      </w:r>
      <w:r>
        <w:rPr>
          <w:rFonts w:hint="eastAsia" w:ascii="仿宋" w:hAnsi="仿宋" w:eastAsia="仿宋" w:cs="宋体"/>
          <w:color w:val="auto"/>
          <w:sz w:val="28"/>
          <w:szCs w:val="28"/>
          <w:highlight w:val="none"/>
        </w:rPr>
        <w:t xml:space="preserve">配备足量的木屑（用于清理道路路面油污）。</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（3）提供</w:t>
      </w:r>
      <w:r>
        <w:rPr>
          <w:rFonts w:ascii="仿宋" w:hAnsi="仿宋" w:eastAsia="仿宋" w:cs="宋体"/>
          <w:color w:val="auto"/>
          <w:sz w:val="28"/>
          <w:szCs w:val="28"/>
          <w:highlight w:val="none"/>
        </w:rPr>
        <w:t xml:space="preserve">必要的便民服务措施（</w:t>
      </w:r>
      <w:r>
        <w:rPr>
          <w:rFonts w:hint="eastAsia" w:ascii="仿宋" w:hAnsi="仿宋" w:eastAsia="仿宋" w:cs="宋体"/>
          <w:color w:val="auto"/>
          <w:sz w:val="28"/>
          <w:szCs w:val="28"/>
          <w:highlight w:val="none"/>
        </w:rPr>
        <w:t xml:space="preserve">免费</w:t>
      </w:r>
      <w:r>
        <w:rPr>
          <w:rFonts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rPr>
        <w:t xml:space="preserve">。提供车辆电瓶搭接电设施，为长期停放车辆亏电发动提供借用</w:t>
      </w:r>
      <w:r>
        <w:rPr>
          <w:rFonts w:hint="eastAsia" w:ascii="仿宋" w:hAnsi="仿宋" w:eastAsia="仿宋" w:cs="宋体"/>
          <w:color w:val="auto"/>
          <w:sz w:val="28"/>
          <w:szCs w:val="28"/>
          <w:highlight w:val="none"/>
          <w:lang w:val="en-US" w:eastAsia="zh-CN"/>
        </w:rPr>
        <w:t xml:space="preserve">便民</w:t>
      </w:r>
      <w:r>
        <w:rPr>
          <w:rFonts w:hint="eastAsia" w:ascii="仿宋" w:hAnsi="仿宋" w:eastAsia="仿宋" w:cs="宋体"/>
          <w:color w:val="auto"/>
          <w:sz w:val="28"/>
          <w:szCs w:val="28"/>
          <w:highlight w:val="none"/>
        </w:rPr>
        <w:t xml:space="preserve">服务。</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（4）场地、</w:t>
      </w:r>
      <w:r>
        <w:rPr>
          <w:rFonts w:ascii="仿宋" w:hAnsi="仿宋" w:eastAsia="仿宋" w:cs="宋体"/>
          <w:color w:val="auto"/>
          <w:sz w:val="28"/>
          <w:szCs w:val="28"/>
          <w:highlight w:val="none"/>
        </w:rPr>
        <w:t xml:space="preserve">车辆</w:t>
      </w:r>
      <w:r>
        <w:rPr>
          <w:rFonts w:hint="eastAsia" w:ascii="仿宋" w:hAnsi="仿宋" w:eastAsia="仿宋" w:cs="宋体"/>
          <w:color w:val="auto"/>
          <w:sz w:val="28"/>
          <w:szCs w:val="28"/>
          <w:highlight w:val="none"/>
        </w:rPr>
        <w:t xml:space="preserve">如为租赁形式的，必须具有合法有效的租赁合同。</w:t>
      </w:r>
      <w:r>
        <w:rPr>
          <w:rFonts w:hint="eastAsia" w:ascii="仿宋" w:hAnsi="仿宋" w:eastAsia="仿宋" w:cs="宋体"/>
          <w:color w:val="auto"/>
          <w:sz w:val="28"/>
          <w:szCs w:val="28"/>
          <w:highlight w:val="none"/>
          <w:lang w:val="en-US" w:eastAsia="zh-CN"/>
        </w:rPr>
        <w:t xml:space="preserve">注明</w:t>
      </w:r>
      <w:r>
        <w:rPr>
          <w:rFonts w:hint="eastAsia" w:ascii="仿宋" w:hAnsi="仿宋" w:eastAsia="仿宋" w:cs="宋体"/>
          <w:b/>
          <w:bCs/>
          <w:color w:val="auto"/>
          <w:sz w:val="28"/>
          <w:szCs w:val="28"/>
          <w:highlight w:val="none"/>
        </w:rPr>
        <w:t xml:space="preserve">场地用途</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rPr>
        <w:t xml:space="preserve">可以用于停车场，</w:t>
      </w:r>
      <w:r>
        <w:rPr>
          <w:rFonts w:hint="eastAsia" w:ascii="仿宋" w:hAnsi="仿宋" w:eastAsia="仿宋" w:cs="宋体"/>
          <w:b/>
          <w:bCs/>
          <w:color w:val="auto"/>
          <w:sz w:val="28"/>
          <w:szCs w:val="28"/>
          <w:highlight w:val="none"/>
          <w:lang w:val="en-US" w:eastAsia="zh-CN"/>
        </w:rPr>
        <w:t xml:space="preserve">并</w:t>
      </w:r>
      <w:r>
        <w:rPr>
          <w:rFonts w:hint="eastAsia" w:ascii="仿宋" w:hAnsi="仿宋" w:eastAsia="仿宋" w:cs="宋体"/>
          <w:b/>
          <w:bCs/>
          <w:color w:val="auto"/>
          <w:sz w:val="28"/>
          <w:szCs w:val="28"/>
          <w:highlight w:val="none"/>
        </w:rPr>
        <w:t xml:space="preserve">符合相关规划要求。</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（5）场地</w:t>
      </w:r>
      <w:r>
        <w:rPr>
          <w:rFonts w:ascii="仿宋" w:hAnsi="仿宋" w:eastAsia="仿宋" w:cs="宋体"/>
          <w:color w:val="auto"/>
          <w:sz w:val="28"/>
          <w:szCs w:val="28"/>
          <w:highlight w:val="none"/>
        </w:rPr>
        <w:t xml:space="preserve">内所有材料应</w:t>
      </w:r>
      <w:r>
        <w:rPr>
          <w:rFonts w:hint="eastAsia" w:ascii="仿宋" w:hAnsi="仿宋" w:eastAsia="仿宋" w:cs="宋体"/>
          <w:color w:val="auto"/>
          <w:sz w:val="28"/>
          <w:szCs w:val="28"/>
          <w:highlight w:val="none"/>
        </w:rPr>
        <w:t xml:space="preserve">符合</w:t>
      </w:r>
      <w:r>
        <w:rPr>
          <w:rFonts w:ascii="仿宋" w:hAnsi="仿宋" w:eastAsia="仿宋" w:cs="宋体"/>
          <w:color w:val="auto"/>
          <w:sz w:val="28"/>
          <w:szCs w:val="28"/>
          <w:highlight w:val="none"/>
        </w:rPr>
        <w:t xml:space="preserve">消防相关要求。</w:t>
      </w:r>
      <w:r/>
    </w:p>
    <w:p>
      <w:pPr>
        <w:ind w:firstLine="560"/>
        <w:jc w:val="left"/>
        <w:spacing w:line="440" w:lineRule="exact"/>
        <w:widowControl/>
        <w:rPr>
          <w:rFonts w:ascii="仿宋" w:hAnsi="仿宋" w:eastAsia="仿宋" w:cs="宋体"/>
          <w:b/>
          <w:color w:val="auto"/>
          <w:sz w:val="28"/>
          <w:szCs w:val="28"/>
          <w:highlight w:val="none"/>
        </w:rPr>
      </w:pPr>
      <w:r>
        <w:rPr>
          <w:rFonts w:hint="eastAsia" w:ascii="仿宋" w:hAnsi="仿宋" w:eastAsia="仿宋" w:cs="宋体"/>
          <w:b/>
          <w:color w:val="auto"/>
          <w:sz w:val="28"/>
          <w:szCs w:val="28"/>
          <w:highlight w:val="none"/>
        </w:rPr>
        <w:t xml:space="preserve">（6）</w:t>
      </w:r>
      <w:r>
        <w:rPr>
          <w:rFonts w:hint="eastAsia" w:ascii="仿宋" w:hAnsi="仿宋" w:eastAsia="仿宋" w:cs="宋体"/>
          <w:b/>
          <w:color w:val="auto"/>
          <w:sz w:val="28"/>
          <w:szCs w:val="28"/>
          <w:highlight w:val="none"/>
          <w:lang w:val="en-US" w:eastAsia="zh-CN"/>
        </w:rPr>
        <w:t xml:space="preserve">乙方</w:t>
      </w:r>
      <w:r>
        <w:rPr>
          <w:rFonts w:ascii="仿宋" w:hAnsi="仿宋" w:eastAsia="仿宋" w:cs="宋体"/>
          <w:b/>
          <w:color w:val="auto"/>
          <w:sz w:val="28"/>
          <w:szCs w:val="28"/>
          <w:highlight w:val="none"/>
        </w:rPr>
        <w:t xml:space="preserve">需提供车棚、附属建筑物相关</w:t>
      </w:r>
      <w:r>
        <w:rPr>
          <w:rFonts w:hint="eastAsia" w:ascii="仿宋" w:hAnsi="仿宋" w:eastAsia="仿宋" w:cs="宋体"/>
          <w:b/>
          <w:color w:val="auto"/>
          <w:sz w:val="28"/>
          <w:szCs w:val="28"/>
          <w:highlight w:val="none"/>
        </w:rPr>
        <w:t xml:space="preserve">设施</w:t>
      </w:r>
      <w:r>
        <w:rPr>
          <w:rFonts w:ascii="仿宋" w:hAnsi="仿宋" w:eastAsia="仿宋" w:cs="宋体"/>
          <w:b/>
          <w:color w:val="auto"/>
          <w:sz w:val="28"/>
          <w:szCs w:val="28"/>
          <w:highlight w:val="none"/>
        </w:rPr>
        <w:t xml:space="preserve">技术方案，中标后需进行深化</w:t>
      </w:r>
      <w:r>
        <w:rPr>
          <w:rFonts w:hint="eastAsia" w:ascii="仿宋" w:hAnsi="仿宋" w:eastAsia="仿宋" w:cs="宋体"/>
          <w:b/>
          <w:color w:val="auto"/>
          <w:sz w:val="28"/>
          <w:szCs w:val="28"/>
          <w:highlight w:val="none"/>
        </w:rPr>
        <w:t xml:space="preserve">设计</w:t>
      </w:r>
      <w:r>
        <w:rPr>
          <w:rFonts w:ascii="仿宋" w:hAnsi="仿宋" w:eastAsia="仿宋" w:cs="宋体"/>
          <w:b/>
          <w:color w:val="auto"/>
          <w:sz w:val="28"/>
          <w:szCs w:val="28"/>
          <w:highlight w:val="none"/>
        </w:rPr>
        <w:t xml:space="preserve">，并征得</w:t>
      </w:r>
      <w:r>
        <w:rPr>
          <w:rFonts w:hint="eastAsia" w:ascii="仿宋" w:hAnsi="仿宋" w:eastAsia="仿宋" w:cs="宋体"/>
          <w:b/>
          <w:color w:val="auto"/>
          <w:sz w:val="28"/>
          <w:szCs w:val="28"/>
          <w:highlight w:val="none"/>
          <w:lang w:val="en-US" w:eastAsia="zh-CN"/>
        </w:rPr>
        <w:t xml:space="preserve">甲方</w:t>
      </w:r>
      <w:r>
        <w:rPr>
          <w:rFonts w:ascii="仿宋" w:hAnsi="仿宋" w:eastAsia="仿宋" w:cs="宋体"/>
          <w:b/>
          <w:color w:val="auto"/>
          <w:sz w:val="28"/>
          <w:szCs w:val="28"/>
          <w:highlight w:val="none"/>
        </w:rPr>
        <w:t xml:space="preserve">同意后施工。</w:t>
      </w:r>
      <w:r/>
    </w:p>
    <w:p>
      <w:pPr>
        <w:contextualSpacing/>
        <w:ind w:firstLine="562"/>
        <w:spacing w:line="460" w:lineRule="exact"/>
        <w:tabs>
          <w:tab w:val="left" w:pos="360" w:leader="none"/>
        </w:tabs>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三、法律法规</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1.《中华人民共和国行政强制法》</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2.《中华人民共和国道路交通安全法》</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3.其他国家现行相关法律法规</w:t>
      </w:r>
      <w:r/>
    </w:p>
    <w:p>
      <w:pPr>
        <w:ind w:firstLine="560"/>
        <w:jc w:val="left"/>
        <w:spacing w:line="440" w:lineRule="exact"/>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四、其他要求</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1.停车场在车辆被执法机关扣留期间，不得向当事人收取停车费（执法机关已发还的车辆，自《放车单》发放之日起超过48小时未取的，自48小时期满后</w:t>
      </w:r>
      <w:r>
        <w:rPr>
          <w:rFonts w:hint="eastAsia" w:ascii="仿宋" w:hAnsi="仿宋" w:eastAsia="仿宋" w:cs="宋体"/>
          <w:color w:val="auto"/>
          <w:sz w:val="28"/>
          <w:szCs w:val="28"/>
          <w:highlight w:val="none"/>
          <w:lang w:val="en-US" w:eastAsia="zh-CN"/>
        </w:rPr>
        <w:t xml:space="preserve">可</w:t>
      </w:r>
      <w:r>
        <w:rPr>
          <w:rFonts w:hint="eastAsia" w:ascii="仿宋" w:hAnsi="仿宋" w:eastAsia="仿宋" w:cs="宋体"/>
          <w:color w:val="auto"/>
          <w:sz w:val="28"/>
          <w:szCs w:val="28"/>
          <w:highlight w:val="none"/>
        </w:rPr>
        <w:t xml:space="preserve">按当地物价部门的规定计价收取停车费。未取得收费标准备案等相关手续的，当事人凭执法放行单即时免费放行；执法机关按规定需要报废的车辆，不产生停车费用）。</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如需收费的，必须经当地物价主管部门价格备案后，执行政府指导价，使用正规收费票据，并在停车场醒目位置张贴告示。</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2.接</w:t>
      </w:r>
      <w:r>
        <w:rPr>
          <w:rFonts w:hint="eastAsia" w:ascii="仿宋" w:hAnsi="仿宋" w:eastAsia="仿宋" w:cs="宋体"/>
          <w:color w:val="auto"/>
          <w:sz w:val="28"/>
          <w:szCs w:val="28"/>
          <w:highlight w:val="none"/>
          <w:lang w:eastAsia="zh-CN"/>
        </w:rPr>
        <w:t xml:space="preserve">交通管理</w:t>
      </w:r>
      <w:r>
        <w:rPr>
          <w:rFonts w:hint="eastAsia" w:ascii="仿宋" w:hAnsi="仿宋" w:eastAsia="仿宋" w:cs="宋体"/>
          <w:color w:val="auto"/>
          <w:sz w:val="28"/>
          <w:szCs w:val="28"/>
          <w:highlight w:val="none"/>
          <w:lang w:val="en-US" w:eastAsia="zh-CN"/>
        </w:rPr>
        <w:t xml:space="preserve">部门</w:t>
      </w:r>
      <w:r>
        <w:rPr>
          <w:rFonts w:hint="eastAsia" w:ascii="仿宋" w:hAnsi="仿宋" w:eastAsia="仿宋" w:cs="宋体"/>
          <w:color w:val="auto"/>
          <w:sz w:val="28"/>
          <w:szCs w:val="28"/>
          <w:highlight w:val="none"/>
        </w:rPr>
        <w:t xml:space="preserve">接车通知5分钟内</w:t>
      </w:r>
      <w:r>
        <w:rPr>
          <w:rFonts w:hint="eastAsia" w:ascii="方正仿宋_GBK" w:hAnsi="方正仿宋_GBK" w:eastAsia="方正仿宋_GBK" w:cs="方正仿宋_GBK"/>
          <w:color w:val="auto"/>
          <w:sz w:val="28"/>
          <w:szCs w:val="28"/>
          <w:highlight w:val="none"/>
        </w:rPr>
        <w:t xml:space="preserve">出动接车人员或响应接车通知</w:t>
      </w:r>
      <w:r>
        <w:rPr>
          <w:rFonts w:hint="eastAsia" w:ascii="仿宋" w:hAnsi="仿宋" w:eastAsia="仿宋" w:cs="宋体"/>
          <w:color w:val="auto"/>
          <w:sz w:val="28"/>
          <w:szCs w:val="28"/>
          <w:highlight w:val="none"/>
        </w:rPr>
        <w:t xml:space="preserve">，最晚在30分钟到场处置</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如遇特殊情况不能按时到达的，应及时向相关大队报告并采取相应措施</w:t>
      </w:r>
      <w:r>
        <w:rPr>
          <w:rFonts w:hint="eastAsia" w:ascii="仿宋" w:hAnsi="仿宋" w:eastAsia="仿宋" w:cs="宋体"/>
          <w:color w:val="auto"/>
          <w:sz w:val="28"/>
          <w:szCs w:val="28"/>
          <w:highlight w:val="none"/>
        </w:rPr>
        <w:t xml:space="preserve">。</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3.停车场工作人员要工作规范，熟练操作涉案财物管理系统，按要求做好涉案车辆出入停车场的数据核对工作，热情接待办事群众，避免发生矛盾争执等问题。服务工作人员需统一着装，佩戴工作牌。</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停车场在车辆接收时，要做好车况检查、核对工作，详细记录车辆外观、车辆燃油、车内物品情况，记录归档并全程摄录，视频保存时间不少于六个月。对发生重大交通事故车辆、车损严重，存在安全隐患的要及时排查处置，并设专门区域停放管理。</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5.停车场因</w:t>
      </w:r>
      <w:r>
        <w:rPr>
          <w:rFonts w:hint="eastAsia" w:ascii="仿宋" w:hAnsi="仿宋" w:eastAsia="仿宋" w:cs="宋体"/>
          <w:color w:val="auto"/>
          <w:sz w:val="28"/>
          <w:szCs w:val="28"/>
          <w:highlight w:val="none"/>
          <w:lang w:val="en-US" w:eastAsia="zh-CN"/>
        </w:rPr>
        <w:t xml:space="preserve">管理</w:t>
      </w:r>
      <w:r>
        <w:rPr>
          <w:rFonts w:hint="eastAsia" w:ascii="仿宋" w:hAnsi="仿宋" w:eastAsia="仿宋" w:cs="宋体"/>
          <w:color w:val="auto"/>
          <w:sz w:val="28"/>
          <w:szCs w:val="28"/>
          <w:highlight w:val="none"/>
        </w:rPr>
        <w:t xml:space="preserve">不善造成车辆损坏、物品丢失的，承担赔偿责任，发生保管纠纷的，负责解释处理工作。</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6.未经公安部门批准，不得以任何形式擅自拍摄、传播相关执法活动及与执法有关的视频。</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7.应制定相应的规章制度、应急预案、服务承诺。</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8.停车场须配合公安部门做好积压（或报废）车辆的清理工作。</w:t>
      </w:r>
      <w:r/>
    </w:p>
    <w:p>
      <w:pPr>
        <w:ind w:firstLine="560"/>
        <w:jc w:val="left"/>
        <w:spacing w:line="440" w:lineRule="exac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9.高速涉案车辆，由对应停车场到就近高速收费站接运。</w:t>
      </w:r>
      <w:r/>
    </w:p>
    <w:p>
      <w:pPr>
        <w:ind w:firstLine="560"/>
        <w:jc w:val="left"/>
        <w:spacing w:line="440" w:lineRule="exact"/>
        <w:widowControl/>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10.对进入停车场办理相关业务（取车、取物、拍照、车辆检测、鉴定等）接触到案件车辆的人员必须有停车场工作人员的陪同。</w:t>
      </w:r>
      <w:r/>
    </w:p>
    <w:p>
      <w:pPr>
        <w:contextualSpacing/>
        <w:ind w:firstLine="562"/>
        <w:spacing w:line="460" w:lineRule="exact"/>
        <w:tabs>
          <w:tab w:val="left" w:pos="360" w:leader="none"/>
        </w:tabs>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五、运行考核</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1.南通市公安局</w:t>
      </w:r>
      <w:r>
        <w:rPr>
          <w:rFonts w:hint="eastAsia" w:ascii="仿宋" w:hAnsi="仿宋" w:eastAsia="仿宋" w:cs="宋体"/>
          <w:color w:val="auto"/>
          <w:sz w:val="28"/>
          <w:szCs w:val="28"/>
          <w:highlight w:val="none"/>
          <w:lang w:val="en-US" w:eastAsia="zh-CN"/>
        </w:rPr>
        <w:t xml:space="preserve">交通管理</w:t>
      </w:r>
      <w:r>
        <w:rPr>
          <w:rFonts w:hint="eastAsia" w:ascii="仿宋" w:hAnsi="仿宋" w:eastAsia="仿宋" w:cs="宋体"/>
          <w:color w:val="auto"/>
          <w:sz w:val="28"/>
          <w:szCs w:val="28"/>
          <w:highlight w:val="none"/>
        </w:rPr>
        <w:t xml:space="preserve">支队各服务大队是本项目管理职能部门，负责本项目的日常管理考核，核实处理群众投诉，各大队的考核成绩占总成绩的90℅、支队专项考核占总成绩的10℅。</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2.考核结果运用：根据考核结果支付相应服务费用，支付金额=合同金额-所扣分数×500元。</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3.每月为一考核周期，不定期抽查。基础分100分，出现下列情况的扣除相应分值。如一个考核周期内扣分超过10分（含）的，责令整改。连续两个月考核低于90分的，</w:t>
      </w:r>
      <w:r>
        <w:rPr>
          <w:rFonts w:hint="eastAsia" w:ascii="仿宋" w:hAnsi="仿宋" w:eastAsia="仿宋" w:cs="宋体"/>
          <w:color w:val="auto"/>
          <w:sz w:val="28"/>
          <w:szCs w:val="28"/>
          <w:highlight w:val="none"/>
          <w:lang w:val="en-US" w:eastAsia="zh-CN"/>
        </w:rPr>
        <w:t xml:space="preserve">甲方</w:t>
      </w:r>
      <w:r>
        <w:rPr>
          <w:rFonts w:hint="eastAsia" w:ascii="仿宋" w:hAnsi="仿宋" w:eastAsia="仿宋" w:cs="宋体"/>
          <w:color w:val="auto"/>
          <w:sz w:val="28"/>
          <w:szCs w:val="28"/>
          <w:highlight w:val="none"/>
        </w:rPr>
        <w:t xml:space="preserve">有权终止服务合同。</w:t>
      </w:r>
      <w:r/>
    </w:p>
    <w:tbl>
      <w:tblPr>
        <w:tblStyle w:val="923"/>
        <w:tblW w:w="8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9"/>
        <w:gridCol w:w="8037"/>
      </w:tblGrid>
      <w:tr>
        <w:trPr>
          <w:trHeight w:val="726"/>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3.1</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lang w:val="en-US" w:eastAsia="zh-CN"/>
              </w:rPr>
              <w:t xml:space="preserve">停车场工作</w:t>
            </w:r>
            <w:r>
              <w:rPr>
                <w:rFonts w:hint="eastAsia"/>
                <w:color w:val="auto"/>
                <w:szCs w:val="21"/>
                <w:highlight w:val="none"/>
              </w:rPr>
              <w:t xml:space="preserve">电话保持24小时通畅，保持</w:t>
            </w:r>
            <w:r>
              <w:rPr>
                <w:rFonts w:hint="eastAsia"/>
                <w:color w:val="auto"/>
                <w:szCs w:val="21"/>
                <w:highlight w:val="none"/>
                <w:lang w:val="en-US" w:eastAsia="zh-CN"/>
              </w:rPr>
              <w:t xml:space="preserve">工作人员</w:t>
            </w:r>
            <w:r>
              <w:rPr>
                <w:rFonts w:hint="eastAsia"/>
                <w:color w:val="auto"/>
                <w:szCs w:val="21"/>
                <w:highlight w:val="none"/>
              </w:rPr>
              <w:t xml:space="preserve">在岗，接</w:t>
            </w:r>
            <w:r>
              <w:rPr>
                <w:rFonts w:hint="eastAsia"/>
                <w:color w:val="auto"/>
                <w:szCs w:val="21"/>
                <w:highlight w:val="none"/>
                <w:lang w:val="en-US" w:eastAsia="zh-CN"/>
              </w:rPr>
              <w:t xml:space="preserve">大队指令</w:t>
            </w:r>
            <w:r>
              <w:rPr>
                <w:rFonts w:hint="eastAsia"/>
                <w:color w:val="auto"/>
                <w:szCs w:val="21"/>
                <w:highlight w:val="none"/>
              </w:rPr>
              <w:t xml:space="preserve">后5分钟内发车，30分钟必须达到现场，违反上述要求规定的，发现一次扣1分。</w:t>
            </w:r>
            <w:r/>
          </w:p>
        </w:tc>
      </w:tr>
      <w:tr>
        <w:trPr>
          <w:trHeight w:val="1263"/>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3.2</w:t>
            </w:r>
            <w:r/>
          </w:p>
        </w:tc>
        <w:tc>
          <w:tcPr>
            <w:tcMar>
              <w:left w:w="108" w:type="dxa"/>
              <w:top w:w="0" w:type="dxa"/>
              <w:right w:w="108" w:type="dxa"/>
              <w:bottom w:w="0" w:type="dxa"/>
            </w:tcMar>
            <w:tcW w:w="8037" w:type="dxa"/>
            <w:vAlign w:val="center"/>
            <w:textDirection w:val="lrTb"/>
            <w:noWrap w:val="false"/>
          </w:tcPr>
          <w:p>
            <w:pPr>
              <w:pStyle w:val="928"/>
              <w:rPr>
                <w:color w:val="auto"/>
                <w:highlight w:val="none"/>
              </w:rPr>
            </w:pPr>
            <w:r>
              <w:rPr>
                <w:rFonts w:hint="eastAsia"/>
                <w:color w:val="auto"/>
                <w:highlight w:val="none"/>
              </w:rPr>
              <w:t xml:space="preserve">安排专人负责操作管理公安部门提供的涉案财物信息管理系统。接</w:t>
            </w:r>
            <w:r>
              <w:rPr>
                <w:rFonts w:hint="eastAsia"/>
                <w:color w:val="auto"/>
                <w:highlight w:val="none"/>
                <w:lang w:val="en-US" w:eastAsia="zh-CN"/>
              </w:rPr>
              <w:t xml:space="preserve">大队指令</w:t>
            </w:r>
            <w:r>
              <w:rPr>
                <w:rFonts w:hint="eastAsia"/>
                <w:color w:val="auto"/>
                <w:highlight w:val="none"/>
              </w:rPr>
              <w:t xml:space="preserve">登记，及时祥细、真实填写相关内容（</w:t>
            </w:r>
            <w:r>
              <w:rPr>
                <w:rFonts w:hint="eastAsia"/>
                <w:color w:val="auto"/>
                <w:highlight w:val="none"/>
                <w:lang w:val="en-US" w:eastAsia="zh-CN"/>
              </w:rPr>
              <w:t xml:space="preserve">接大队指令</w:t>
            </w:r>
            <w:r>
              <w:rPr>
                <w:rFonts w:hint="eastAsia"/>
                <w:color w:val="auto"/>
                <w:highlight w:val="none"/>
              </w:rPr>
              <w:t xml:space="preserve">时间、</w:t>
            </w:r>
            <w:r>
              <w:rPr>
                <w:rFonts w:hint="eastAsia"/>
                <w:color w:val="auto"/>
                <w:highlight w:val="none"/>
                <w:lang w:val="en-US" w:eastAsia="zh-CN"/>
              </w:rPr>
              <w:t xml:space="preserve">事故现场</w:t>
            </w:r>
            <w:r>
              <w:rPr>
                <w:rFonts w:hint="eastAsia"/>
                <w:color w:val="auto"/>
                <w:highlight w:val="none"/>
              </w:rPr>
              <w:t xml:space="preserve">地点、</w:t>
            </w:r>
            <w:r>
              <w:rPr>
                <w:rFonts w:hint="eastAsia"/>
                <w:color w:val="auto"/>
                <w:highlight w:val="none"/>
                <w:lang w:val="en-US" w:eastAsia="zh-CN"/>
              </w:rPr>
              <w:t xml:space="preserve">派发指令</w:t>
            </w:r>
            <w:r>
              <w:rPr>
                <w:rFonts w:hint="eastAsia"/>
                <w:color w:val="auto"/>
                <w:highlight w:val="none"/>
              </w:rPr>
              <w:t xml:space="preserve">单位及</w:t>
            </w:r>
            <w:r>
              <w:rPr>
                <w:rFonts w:hint="eastAsia"/>
                <w:color w:val="auto"/>
                <w:highlight w:val="none"/>
                <w:lang w:val="en-US" w:eastAsia="zh-CN"/>
              </w:rPr>
              <w:t xml:space="preserve">现场处理</w:t>
            </w:r>
            <w:r>
              <w:rPr>
                <w:rFonts w:hint="eastAsia"/>
                <w:color w:val="auto"/>
                <w:highlight w:val="none"/>
              </w:rPr>
              <w:t xml:space="preserve">民警、拖车时间、拖车人员、拖车号等工作），进场登记，进场时间、车型车号、电动车辆电瓶情况、事故车辆的破损细节登记、其它随车物品登记、车辆钥匙登记。接车员在</w:t>
            </w:r>
            <w:r>
              <w:rPr>
                <w:rFonts w:hint="eastAsia"/>
                <w:color w:val="auto"/>
                <w:highlight w:val="none"/>
                <w:lang w:val="en-US" w:eastAsia="zh-CN"/>
              </w:rPr>
              <w:t xml:space="preserve">事故</w:t>
            </w:r>
            <w:r>
              <w:rPr>
                <w:rFonts w:hint="eastAsia"/>
                <w:color w:val="auto"/>
                <w:highlight w:val="none"/>
              </w:rPr>
              <w:t xml:space="preserve">现场与民警做好车辆物品交接手续并签字确认，不按规定的每次扣1分。</w:t>
            </w:r>
            <w:r/>
          </w:p>
        </w:tc>
      </w:tr>
      <w:tr>
        <w:trPr>
          <w:trHeight w:val="945"/>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3.3</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当事人及委托取车人进停车场必须持有办案单位车辆放行单（办案单位盖章、发放单存档备查），无关人员一律不得进入场地。事故勘察、保险勘察人员进入场地须持有效证件，并登记方可入内，不按规定的，每次扣1分。</w:t>
            </w:r>
            <w:r/>
          </w:p>
        </w:tc>
      </w:tr>
      <w:tr>
        <w:trPr>
          <w:trHeight w:val="428"/>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3.4</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不按要求使用行车记录仪、</w:t>
            </w:r>
            <w:r>
              <w:rPr>
                <w:rFonts w:hint="eastAsia"/>
                <w:color w:val="auto"/>
                <w:szCs w:val="21"/>
                <w:highlight w:val="none"/>
                <w:lang w:val="en-US" w:eastAsia="zh-CN"/>
              </w:rPr>
              <w:t xml:space="preserve">工作</w:t>
            </w:r>
            <w:r>
              <w:rPr>
                <w:rFonts w:hint="eastAsia"/>
                <w:color w:val="auto"/>
                <w:szCs w:val="21"/>
                <w:highlight w:val="none"/>
              </w:rPr>
              <w:t xml:space="preserve">记录仪的，或不按要求保存相关数据的，每次扣1分。</w:t>
            </w:r>
            <w:r/>
          </w:p>
        </w:tc>
      </w:tr>
      <w:tr>
        <w:trPr>
          <w:trHeight w:val="595"/>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3.5</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停车场对涉案车辆管理台账应妥善保存（服务期满后，统一移交辖区大队），以备查阅，未按要求落实的，每次扣1分；监控数据未按要求保存的，每次扣2分。</w:t>
            </w:r>
            <w:r/>
          </w:p>
        </w:tc>
      </w:tr>
      <w:tr>
        <w:trPr>
          <w:trHeight w:val="726"/>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3.6</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针对服务功能需求、停车车辆类型、进场涉案车辆涉案性质等，对停车场进行分区、分等级管理，并采取展板等形式上墙公示。因停车场管理措施不到位或硬件设施不齐全，造成清障、保管的车辆损坏或车物品遗失的，除负责处理赔偿外，发现一起扣2分。</w:t>
            </w:r>
            <w:r/>
          </w:p>
        </w:tc>
      </w:tr>
      <w:tr>
        <w:trPr>
          <w:trHeight w:val="646"/>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3.7</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工作中发生重大失误</w:t>
            </w:r>
            <w:r>
              <w:rPr>
                <w:rFonts w:hint="eastAsia"/>
                <w:color w:val="auto"/>
                <w:szCs w:val="21"/>
                <w:highlight w:val="none"/>
                <w:lang w:eastAsia="zh-CN"/>
              </w:rPr>
              <w:t xml:space="preserve">、</w:t>
            </w:r>
            <w:r>
              <w:rPr>
                <w:rFonts w:hint="eastAsia"/>
                <w:color w:val="auto"/>
                <w:szCs w:val="21"/>
                <w:highlight w:val="none"/>
              </w:rPr>
              <w:t xml:space="preserve">违规</w:t>
            </w:r>
            <w:r>
              <w:rPr>
                <w:rFonts w:hint="eastAsia"/>
                <w:color w:val="auto"/>
                <w:szCs w:val="21"/>
                <w:highlight w:val="none"/>
                <w:lang w:val="en-US" w:eastAsia="zh-CN"/>
              </w:rPr>
              <w:t xml:space="preserve">操作或管理不善</w:t>
            </w:r>
            <w:r>
              <w:rPr>
                <w:rFonts w:hint="eastAsia"/>
                <w:color w:val="auto"/>
                <w:szCs w:val="21"/>
                <w:highlight w:val="none"/>
              </w:rPr>
              <w:t xml:space="preserve">被当事人投诉至相关部门的，除负责赔偿处理外，每次扣3分。</w:t>
            </w:r>
            <w:r/>
          </w:p>
        </w:tc>
      </w:tr>
      <w:tr>
        <w:trPr>
          <w:trHeight w:val="388"/>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3.8</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擅自拍摄、传播</w:t>
            </w:r>
            <w:r>
              <w:rPr>
                <w:rFonts w:hint="eastAsia"/>
                <w:color w:val="auto"/>
                <w:szCs w:val="21"/>
                <w:highlight w:val="none"/>
                <w:lang w:val="en-US" w:eastAsia="zh-CN"/>
              </w:rPr>
              <w:t xml:space="preserve">与</w:t>
            </w:r>
            <w:r>
              <w:rPr>
                <w:rFonts w:hint="eastAsia"/>
                <w:color w:val="auto"/>
                <w:szCs w:val="21"/>
                <w:highlight w:val="none"/>
              </w:rPr>
              <w:t xml:space="preserve">执法</w:t>
            </w:r>
            <w:r>
              <w:rPr>
                <w:rFonts w:hint="eastAsia"/>
                <w:color w:val="auto"/>
                <w:szCs w:val="21"/>
                <w:highlight w:val="none"/>
                <w:lang w:val="en-US" w:eastAsia="zh-CN"/>
              </w:rPr>
              <w:t xml:space="preserve">相关</w:t>
            </w:r>
            <w:r>
              <w:rPr>
                <w:rFonts w:hint="eastAsia"/>
                <w:color w:val="auto"/>
                <w:szCs w:val="21"/>
                <w:highlight w:val="none"/>
              </w:rPr>
              <w:t xml:space="preserve">视频的，每次扣5分，造成恶劣影响的，每次扣10分。</w:t>
            </w:r>
            <w:r/>
          </w:p>
        </w:tc>
      </w:tr>
      <w:tr>
        <w:trPr>
          <w:trHeight w:val="388"/>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3.9</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违规收费，经查证属实的，除退还相应费用外，发现一起扣5分。</w:t>
            </w:r>
            <w:r/>
          </w:p>
        </w:tc>
      </w:tr>
      <w:tr>
        <w:trPr>
          <w:trHeight w:val="726"/>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3.10 </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私自使用被拖车辆或车上物品的，每次扣5分；造成车辆损坏或遗失的，除负责赔偿处理外，每次扣5分。</w:t>
            </w:r>
            <w:r/>
          </w:p>
        </w:tc>
      </w:tr>
      <w:tr>
        <w:trPr>
          <w:trHeight w:val="696"/>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3.11</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停车场未在显著位置公示监督举报电话、服务承诺、收费标准（未取得收费标准备案等相关手续的凭执法放行单即时免费放行）、管理规定或者以上内容污损后不完善的，扣5分。</w:t>
            </w:r>
            <w:r/>
          </w:p>
        </w:tc>
      </w:tr>
      <w:tr>
        <w:trPr>
          <w:trHeight w:val="428"/>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3.12</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停车场停放与执法涉案无关的其他单位车辆、设备的，发现一起扣5分。</w:t>
            </w:r>
            <w:r/>
          </w:p>
        </w:tc>
      </w:tr>
      <w:tr>
        <w:trPr>
          <w:trHeight w:val="428"/>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3.13</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停车场私拆车辆配件的，发现一起扣10分，并进行赔偿。</w:t>
            </w:r>
            <w:r/>
          </w:p>
        </w:tc>
      </w:tr>
      <w:tr>
        <w:trPr>
          <w:trHeight w:val="527"/>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3.14</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因保管不善造成起火、水淹致车辆损毁、灭失的，除赔偿相应损失外，发现一起扣10分。</w:t>
            </w:r>
            <w:r/>
          </w:p>
        </w:tc>
      </w:tr>
      <w:tr>
        <w:trPr>
          <w:trHeight w:val="766"/>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3.15</w:t>
            </w:r>
            <w:r/>
          </w:p>
        </w:tc>
        <w:tc>
          <w:tcPr>
            <w:tcMar>
              <w:left w:w="108" w:type="dxa"/>
              <w:top w:w="0" w:type="dxa"/>
              <w:right w:w="108" w:type="dxa"/>
              <w:bottom w:w="0" w:type="dxa"/>
            </w:tcMar>
            <w:tcW w:w="8037" w:type="dxa"/>
            <w:vAlign w:val="center"/>
            <w:textDirection w:val="lrTb"/>
            <w:noWrap w:val="false"/>
          </w:tcPr>
          <w:p>
            <w:pPr>
              <w:pStyle w:val="928"/>
              <w:rPr>
                <w:color w:val="auto"/>
                <w:highlight w:val="none"/>
              </w:rPr>
            </w:pPr>
            <w:r>
              <w:rPr>
                <w:rFonts w:hint="eastAsia"/>
                <w:color w:val="auto"/>
                <w:highlight w:val="none"/>
              </w:rPr>
              <w:t xml:space="preserve">侵占、拆卸被执法车辆零配件的，每次扣5分；有侵占、盗窃被执法车内物品的，每次扣10分，同时追究法律责任。</w:t>
            </w:r>
            <w:r/>
          </w:p>
        </w:tc>
      </w:tr>
      <w:tr>
        <w:trPr>
          <w:trHeight w:val="766"/>
        </w:trPr>
        <w:tc>
          <w:tcPr>
            <w:tcMar>
              <w:left w:w="108" w:type="dxa"/>
              <w:top w:w="0" w:type="dxa"/>
              <w:right w:w="108" w:type="dxa"/>
              <w:bottom w:w="0" w:type="dxa"/>
            </w:tcMar>
            <w:tcW w:w="709" w:type="dxa"/>
            <w:vAlign w:val="center"/>
            <w:textDirection w:val="lrTb"/>
            <w:noWrap w:val="false"/>
          </w:tcPr>
          <w:p>
            <w:pPr>
              <w:widowControl/>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3.16</w:t>
            </w:r>
            <w:r/>
          </w:p>
        </w:tc>
        <w:tc>
          <w:tcPr>
            <w:tcMar>
              <w:left w:w="108" w:type="dxa"/>
              <w:top w:w="0" w:type="dxa"/>
              <w:right w:w="108" w:type="dxa"/>
              <w:bottom w:w="0" w:type="dxa"/>
            </w:tcMar>
            <w:tcW w:w="8037" w:type="dxa"/>
            <w:vAlign w:val="center"/>
            <w:textDirection w:val="lrTb"/>
            <w:noWrap w:val="false"/>
          </w:tcPr>
          <w:p>
            <w:pPr>
              <w:pStyle w:val="928"/>
              <w:rPr>
                <w:rFonts w:hint="default" w:eastAsia="宋体"/>
                <w:color w:val="auto"/>
                <w:highlight w:val="none"/>
                <w:lang w:val="en-US" w:eastAsia="zh-CN"/>
              </w:rPr>
            </w:pPr>
            <w:r>
              <w:rPr>
                <w:rFonts w:hint="eastAsia"/>
                <w:color w:val="auto"/>
                <w:highlight w:val="none"/>
                <w:lang w:val="en-US" w:eastAsia="zh-CN"/>
              </w:rPr>
              <w:t xml:space="preserve">停车场发生被盗抢案件应及时报警，造成的损失由停车场承担，同时及时向支队报告，故意拖延或者隐瞒不报的，扣10分；停车场发生被盗抢案件，经查停车场管理存在问题的，扣10分。</w:t>
            </w:r>
            <w:r/>
          </w:p>
        </w:tc>
      </w:tr>
      <w:tr>
        <w:trPr>
          <w:trHeight w:val="726"/>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仿宋" w:cs="宋体"/>
                <w:color w:val="auto"/>
                <w:szCs w:val="21"/>
                <w:highlight w:val="none"/>
                <w:lang w:val="en-US" w:eastAsia="zh-CN"/>
              </w:rPr>
            </w:pPr>
            <w:r>
              <w:rPr>
                <w:rFonts w:hint="eastAsia" w:ascii="仿宋" w:hAnsi="仿宋" w:eastAsia="仿宋" w:cs="宋体"/>
                <w:color w:val="auto"/>
                <w:sz w:val="24"/>
                <w:highlight w:val="none"/>
              </w:rPr>
              <w:t xml:space="preserve">3.1</w:t>
            </w:r>
            <w:r>
              <w:rPr>
                <w:rFonts w:hint="eastAsia" w:ascii="仿宋" w:hAnsi="仿宋" w:eastAsia="仿宋" w:cs="宋体"/>
                <w:color w:val="auto"/>
                <w:sz w:val="24"/>
                <w:highlight w:val="none"/>
                <w:lang w:val="en-US" w:eastAsia="zh-CN"/>
              </w:rPr>
              <w:t xml:space="preserve">7</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严禁私放车辆，出场车辆必须由办案单位开具放行单（办案单位盖章），方能出场。违反规定的，发现一起扣10分。</w:t>
            </w:r>
            <w:r/>
          </w:p>
        </w:tc>
      </w:tr>
      <w:tr>
        <w:trPr>
          <w:trHeight w:val="705"/>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仿宋" w:cs="宋体"/>
                <w:color w:val="auto"/>
                <w:szCs w:val="21"/>
                <w:highlight w:val="none"/>
                <w:lang w:val="en-US" w:eastAsia="zh-CN"/>
              </w:rPr>
            </w:pPr>
            <w:r>
              <w:rPr>
                <w:rFonts w:hint="eastAsia" w:ascii="仿宋" w:hAnsi="仿宋" w:eastAsia="仿宋" w:cs="宋体"/>
                <w:color w:val="auto"/>
                <w:sz w:val="24"/>
                <w:highlight w:val="none"/>
              </w:rPr>
              <w:t xml:space="preserve">3.1</w:t>
            </w:r>
            <w:r>
              <w:rPr>
                <w:rFonts w:hint="eastAsia" w:ascii="仿宋" w:hAnsi="仿宋" w:eastAsia="仿宋" w:cs="宋体"/>
                <w:color w:val="auto"/>
                <w:sz w:val="24"/>
                <w:highlight w:val="none"/>
                <w:lang w:val="en-US" w:eastAsia="zh-CN"/>
              </w:rPr>
              <w:t xml:space="preserve">8</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停车场对</w:t>
            </w:r>
            <w:r>
              <w:rPr>
                <w:rFonts w:hint="eastAsia"/>
                <w:color w:val="auto"/>
                <w:szCs w:val="21"/>
                <w:highlight w:val="none"/>
                <w:lang w:eastAsia="zh-CN"/>
              </w:rPr>
              <w:t xml:space="preserve">交通管理</w:t>
            </w:r>
            <w:r>
              <w:rPr>
                <w:rFonts w:hint="eastAsia"/>
                <w:color w:val="auto"/>
                <w:szCs w:val="21"/>
                <w:highlight w:val="none"/>
              </w:rPr>
              <w:t xml:space="preserve">和相关职能部门布置的工作任务、检查要求、整改要求、其他管理要求不落实的，发现一起扣5分，故意推诿、拖延的扣10分。</w:t>
            </w:r>
            <w:r/>
          </w:p>
        </w:tc>
      </w:tr>
      <w:tr>
        <w:trPr>
          <w:trHeight w:val="382"/>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仿宋" w:cs="宋体"/>
                <w:color w:val="auto"/>
                <w:szCs w:val="21"/>
                <w:highlight w:val="none"/>
                <w:lang w:val="en-US" w:eastAsia="zh-CN"/>
              </w:rPr>
            </w:pPr>
            <w:r>
              <w:rPr>
                <w:rFonts w:hint="eastAsia" w:ascii="仿宋" w:hAnsi="仿宋" w:eastAsia="仿宋" w:cs="宋体"/>
                <w:color w:val="auto"/>
                <w:sz w:val="24"/>
                <w:highlight w:val="none"/>
              </w:rPr>
              <w:t xml:space="preserve">3.1</w:t>
            </w:r>
            <w:r>
              <w:rPr>
                <w:rFonts w:hint="eastAsia" w:ascii="仿宋" w:hAnsi="仿宋" w:eastAsia="仿宋" w:cs="宋体"/>
                <w:color w:val="auto"/>
                <w:sz w:val="24"/>
                <w:highlight w:val="none"/>
                <w:lang w:val="en-US" w:eastAsia="zh-CN"/>
              </w:rPr>
              <w:t xml:space="preserve">9</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存在弄虚作假行为的，每次扣10分。</w:t>
            </w:r>
            <w:r/>
          </w:p>
        </w:tc>
      </w:tr>
      <w:tr>
        <w:trPr>
          <w:trHeight w:val="746"/>
        </w:trPr>
        <w:tc>
          <w:tcPr>
            <w:tcMar>
              <w:left w:w="108" w:type="dxa"/>
              <w:top w:w="0" w:type="dxa"/>
              <w:right w:w="108" w:type="dxa"/>
              <w:bottom w:w="0" w:type="dxa"/>
            </w:tcMar>
            <w:tcW w:w="709" w:type="dxa"/>
            <w:vAlign w:val="center"/>
            <w:textDirection w:val="lrTb"/>
            <w:noWrap w:val="false"/>
          </w:tcPr>
          <w:p>
            <w:pPr>
              <w:widowControl/>
              <w:rPr>
                <w:rFonts w:hint="default" w:ascii="宋体" w:hAnsi="宋体" w:eastAsia="仿宋" w:cs="宋体"/>
                <w:color w:val="auto"/>
                <w:szCs w:val="21"/>
                <w:highlight w:val="none"/>
                <w:lang w:val="en-US" w:eastAsia="zh-CN"/>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20</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停车场有故意阻碍</w:t>
            </w:r>
            <w:r>
              <w:rPr>
                <w:rFonts w:hint="eastAsia"/>
                <w:color w:val="auto"/>
                <w:szCs w:val="21"/>
                <w:highlight w:val="none"/>
                <w:lang w:eastAsia="zh-CN"/>
              </w:rPr>
              <w:t xml:space="preserve">交通管理</w:t>
            </w:r>
            <w:r>
              <w:rPr>
                <w:rFonts w:hint="eastAsia"/>
                <w:color w:val="auto"/>
                <w:szCs w:val="21"/>
                <w:highlight w:val="none"/>
              </w:rPr>
              <w:t xml:space="preserve">部门管理人员开展工作、与违法事故车辆当事人或其他人员里外勾结影响办案处理的，发现一起扣50分，涉及违法犯罪的依法追究。</w:t>
            </w:r>
            <w:r/>
          </w:p>
        </w:tc>
      </w:tr>
      <w:tr>
        <w:trPr>
          <w:trHeight w:val="341"/>
        </w:trPr>
        <w:tc>
          <w:tcPr>
            <w:tcMar>
              <w:left w:w="108" w:type="dxa"/>
              <w:top w:w="0" w:type="dxa"/>
              <w:right w:w="108" w:type="dxa"/>
              <w:bottom w:w="0" w:type="dxa"/>
            </w:tcMar>
            <w:tcW w:w="709" w:type="dxa"/>
            <w:vAlign w:val="center"/>
            <w:textDirection w:val="lrTb"/>
            <w:noWrap w:val="false"/>
          </w:tcPr>
          <w:p>
            <w:pPr>
              <w:widowControl/>
              <w:rPr>
                <w:rFonts w:ascii="宋体" w:hAnsi="宋体" w:cs="宋体"/>
                <w:color w:val="auto"/>
                <w:szCs w:val="21"/>
                <w:highlight w:val="none"/>
              </w:rPr>
            </w:pPr>
            <w:r>
              <w:rPr>
                <w:rFonts w:hint="eastAsia" w:ascii="仿宋" w:hAnsi="仿宋" w:eastAsia="仿宋" w:cs="宋体"/>
                <w:color w:val="auto"/>
                <w:sz w:val="24"/>
                <w:highlight w:val="none"/>
              </w:rPr>
              <w:t xml:space="preserve">3.2</w:t>
            </w:r>
            <w:r>
              <w:rPr>
                <w:rFonts w:hint="eastAsia" w:ascii="仿宋" w:hAnsi="仿宋" w:eastAsia="仿宋" w:cs="宋体"/>
                <w:color w:val="auto"/>
                <w:sz w:val="24"/>
                <w:highlight w:val="none"/>
                <w:lang w:val="en-US" w:eastAsia="zh-CN"/>
              </w:rPr>
              <w:t xml:space="preserve">1</w:t>
            </w:r>
            <w:r>
              <w:rPr>
                <w:rFonts w:hint="eastAsia" w:ascii="仿宋" w:hAnsi="仿宋" w:eastAsia="仿宋" w:cs="宋体"/>
                <w:color w:val="auto"/>
                <w:sz w:val="24"/>
                <w:highlight w:val="none"/>
              </w:rPr>
              <w:t xml:space="preserve"> </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停车场及车辆、工作人员满足正常运转需求，如有其他违反招标文件、投标文件、合同、相关承诺、声明等违规行为的，发现一起视情扣1至3分，造成损害的承担赔偿责任。</w:t>
            </w:r>
            <w:r/>
          </w:p>
        </w:tc>
      </w:tr>
      <w:tr>
        <w:trPr>
          <w:trHeight w:val="478"/>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仿宋" w:cs="宋体"/>
                <w:color w:val="auto"/>
                <w:szCs w:val="21"/>
                <w:highlight w:val="none"/>
                <w:lang w:val="en-US" w:eastAsia="zh-CN"/>
              </w:rPr>
            </w:pPr>
            <w:r>
              <w:rPr>
                <w:rFonts w:hint="eastAsia" w:ascii="仿宋" w:hAnsi="仿宋" w:eastAsia="仿宋" w:cs="宋体"/>
                <w:color w:val="auto"/>
                <w:sz w:val="24"/>
                <w:highlight w:val="none"/>
              </w:rPr>
              <w:t xml:space="preserve">3.2</w:t>
            </w:r>
            <w:r>
              <w:rPr>
                <w:rFonts w:hint="eastAsia" w:ascii="仿宋" w:hAnsi="仿宋" w:eastAsia="仿宋" w:cs="宋体"/>
                <w:color w:val="auto"/>
                <w:sz w:val="24"/>
                <w:highlight w:val="none"/>
                <w:lang w:val="en-US" w:eastAsia="zh-CN"/>
              </w:rPr>
              <w:t xml:space="preserve">2</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应建立设备设施管理台账，做好各项设施的日常维护，保持设备实施完好和正常使用状态。如未建立管理台账，或台账混乱，或者设备设施有损坏、应维护不维护、应更换不更换的将视情扣1至3分。因中标人维护管理不善影响招标人执法工作的，每起扣5-10分，造成严重后果的，招标人停止中标人服务资格并解除合同。</w:t>
            </w:r>
            <w:r/>
          </w:p>
        </w:tc>
      </w:tr>
      <w:tr>
        <w:trPr>
          <w:trHeight w:val="478"/>
        </w:trPr>
        <w:tc>
          <w:tcPr>
            <w:tcMar>
              <w:left w:w="108" w:type="dxa"/>
              <w:top w:w="0" w:type="dxa"/>
              <w:right w:w="108" w:type="dxa"/>
              <w:bottom w:w="0" w:type="dxa"/>
            </w:tcMar>
            <w:tcW w:w="709" w:type="dxa"/>
            <w:vAlign w:val="center"/>
            <w:textDirection w:val="lrTb"/>
            <w:noWrap w:val="false"/>
          </w:tcPr>
          <w:p>
            <w:pPr>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3.2</w:t>
            </w:r>
            <w:r>
              <w:rPr>
                <w:rFonts w:hint="eastAsia" w:ascii="仿宋" w:hAnsi="仿宋" w:eastAsia="仿宋" w:cs="宋体"/>
                <w:color w:val="auto"/>
                <w:sz w:val="24"/>
                <w:highlight w:val="none"/>
                <w:lang w:val="en-US" w:eastAsia="zh-CN"/>
              </w:rPr>
              <w:t xml:space="preserve">3</w:t>
            </w:r>
            <w:r/>
          </w:p>
        </w:tc>
        <w:tc>
          <w:tcPr>
            <w:tcMar>
              <w:left w:w="108" w:type="dxa"/>
              <w:top w:w="0" w:type="dxa"/>
              <w:right w:w="108" w:type="dxa"/>
              <w:bottom w:w="0" w:type="dxa"/>
            </w:tcMar>
            <w:tcW w:w="8037" w:type="dxa"/>
            <w:vAlign w:val="center"/>
            <w:textDirection w:val="lrTb"/>
            <w:noWrap w:val="false"/>
          </w:tcPr>
          <w:p>
            <w:pPr>
              <w:pStyle w:val="928"/>
              <w:rPr>
                <w:color w:val="auto"/>
                <w:highlight w:val="none"/>
              </w:rPr>
            </w:pPr>
            <w:r>
              <w:rPr>
                <w:rFonts w:hint="eastAsia"/>
                <w:color w:val="auto"/>
                <w:highlight w:val="none"/>
              </w:rPr>
              <w:t xml:space="preserve">配合</w:t>
            </w:r>
            <w:r>
              <w:rPr>
                <w:rFonts w:hint="eastAsia"/>
                <w:color w:val="auto"/>
                <w:highlight w:val="none"/>
                <w:lang w:val="en-US" w:eastAsia="zh-CN"/>
              </w:rPr>
              <w:t xml:space="preserve">事故处理和案件办理大队</w:t>
            </w:r>
            <w:r>
              <w:rPr>
                <w:rFonts w:hint="eastAsia"/>
                <w:color w:val="auto"/>
                <w:highlight w:val="none"/>
              </w:rPr>
              <w:t xml:space="preserve">等做好车辆痕检检测。因中标人原因破坏痕检或因中标人管理不到位，造成痕检工作受阻，不配合车辆检测的，或未按要求和指令将车辆停放到指定停车场停放区域，每起扣3-6分，造成严重后果的，招标人停止中标人服务资格并解除合同。</w:t>
            </w:r>
            <w:r/>
          </w:p>
        </w:tc>
      </w:tr>
      <w:tr>
        <w:trPr>
          <w:trHeight w:val="478"/>
        </w:trPr>
        <w:tc>
          <w:tcPr>
            <w:tcMar>
              <w:left w:w="108" w:type="dxa"/>
              <w:top w:w="0" w:type="dxa"/>
              <w:right w:w="108" w:type="dxa"/>
              <w:bottom w:w="0" w:type="dxa"/>
            </w:tcMar>
            <w:tcW w:w="709" w:type="dxa"/>
            <w:vAlign w:val="center"/>
            <w:textDirection w:val="lrTb"/>
            <w:noWrap w:val="false"/>
          </w:tcPr>
          <w:p>
            <w:pPr>
              <w:widowControl/>
              <w:rPr>
                <w:rFonts w:hint="eastAsia" w:eastAsia="仿宋"/>
                <w:color w:val="auto"/>
                <w:szCs w:val="21"/>
                <w:highlight w:val="none"/>
                <w:lang w:val="en-US" w:eastAsia="zh-CN"/>
              </w:rPr>
            </w:pPr>
            <w:r>
              <w:rPr>
                <w:rFonts w:hint="eastAsia" w:ascii="仿宋" w:hAnsi="仿宋" w:eastAsia="仿宋" w:cs="宋体"/>
                <w:color w:val="auto"/>
                <w:sz w:val="24"/>
                <w:highlight w:val="none"/>
              </w:rPr>
              <w:t xml:space="preserve">3.2</w:t>
            </w:r>
            <w:r>
              <w:rPr>
                <w:rFonts w:hint="eastAsia" w:ascii="仿宋" w:hAnsi="仿宋" w:eastAsia="仿宋" w:cs="宋体"/>
                <w:color w:val="auto"/>
                <w:sz w:val="24"/>
                <w:highlight w:val="none"/>
                <w:lang w:val="en-US" w:eastAsia="zh-CN"/>
              </w:rPr>
              <w:t xml:space="preserve">4</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合理安排工作人员、视频巡查，消防等安全防范设施到位，措施得力有效，做到每半年至少一次全员有针对性的消防演练和每月的安全学习。做好应急预案并落实相应措施，确保停车场工作人员在岗，正常供电、供水等，保障停车场正常工作运转。因中标人原因影响招标人正常执法办案的，未有效执行上述规定的每起扣3-6分，造成严重后果的，招标人停止中标人服务资格并解除合同。</w:t>
            </w:r>
            <w:r/>
          </w:p>
        </w:tc>
      </w:tr>
      <w:tr>
        <w:trPr>
          <w:trHeight w:val="90"/>
        </w:trPr>
        <w:tc>
          <w:tcPr>
            <w:tcMar>
              <w:left w:w="108" w:type="dxa"/>
              <w:top w:w="0" w:type="dxa"/>
              <w:right w:w="108" w:type="dxa"/>
              <w:bottom w:w="0" w:type="dxa"/>
            </w:tcMar>
            <w:tcW w:w="709" w:type="dxa"/>
            <w:vAlign w:val="center"/>
            <w:textDirection w:val="lrTb"/>
            <w:noWrap w:val="false"/>
          </w:tcPr>
          <w:p>
            <w:pPr>
              <w:widowControl/>
              <w:rPr>
                <w:rFonts w:hint="eastAsia" w:eastAsia="仿宋"/>
                <w:color w:val="auto"/>
                <w:szCs w:val="21"/>
                <w:highlight w:val="none"/>
                <w:lang w:val="en-US" w:eastAsia="zh-CN"/>
              </w:rPr>
            </w:pPr>
            <w:r>
              <w:rPr>
                <w:rFonts w:hint="eastAsia" w:ascii="仿宋" w:hAnsi="仿宋" w:eastAsia="仿宋" w:cs="宋体"/>
                <w:color w:val="auto"/>
                <w:sz w:val="24"/>
                <w:highlight w:val="none"/>
              </w:rPr>
              <w:t xml:space="preserve">3.2</w:t>
            </w:r>
            <w:r>
              <w:rPr>
                <w:rFonts w:hint="eastAsia" w:ascii="仿宋" w:hAnsi="仿宋" w:eastAsia="仿宋" w:cs="宋体"/>
                <w:color w:val="auto"/>
                <w:sz w:val="24"/>
                <w:highlight w:val="none"/>
                <w:lang w:val="en-US" w:eastAsia="zh-CN"/>
              </w:rPr>
              <w:t xml:space="preserve">5</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做好招标人暂存物资（执法仪装备）设备登记、保管、维护、交还台账。对招标人暂存在停车场的设备进行维护检修，发现问题及时汇报处理，确保设备完好、可随时使用。因投标人原因影响招标人设备正常使用的，每起扣3分。</w:t>
            </w:r>
            <w:r/>
          </w:p>
        </w:tc>
      </w:tr>
      <w:tr>
        <w:trPr>
          <w:trHeight w:val="90"/>
        </w:trPr>
        <w:tc>
          <w:tcPr>
            <w:tcMar>
              <w:left w:w="108" w:type="dxa"/>
              <w:top w:w="0" w:type="dxa"/>
              <w:right w:w="108" w:type="dxa"/>
              <w:bottom w:w="0" w:type="dxa"/>
            </w:tcMar>
            <w:tcW w:w="709" w:type="dxa"/>
            <w:vAlign w:val="center"/>
            <w:textDirection w:val="lrTb"/>
            <w:noWrap w:val="false"/>
          </w:tcPr>
          <w:p>
            <w:pPr>
              <w:widowControl/>
              <w:rPr>
                <w:rFonts w:hint="eastAsia" w:eastAsia="仿宋"/>
                <w:color w:val="auto"/>
                <w:szCs w:val="21"/>
                <w:highlight w:val="none"/>
                <w:lang w:val="en-US" w:eastAsia="zh-CN"/>
              </w:rPr>
            </w:pPr>
            <w:r>
              <w:rPr>
                <w:rFonts w:hint="eastAsia" w:ascii="仿宋" w:hAnsi="仿宋" w:eastAsia="仿宋" w:cs="宋体"/>
                <w:color w:val="auto"/>
                <w:sz w:val="24"/>
                <w:highlight w:val="none"/>
              </w:rPr>
              <w:t xml:space="preserve">3.2</w:t>
            </w:r>
            <w:r>
              <w:rPr>
                <w:rFonts w:hint="eastAsia" w:ascii="仿宋" w:hAnsi="仿宋" w:eastAsia="仿宋" w:cs="宋体"/>
                <w:color w:val="auto"/>
                <w:sz w:val="24"/>
                <w:highlight w:val="none"/>
                <w:lang w:val="en-US" w:eastAsia="zh-CN"/>
              </w:rPr>
              <w:t xml:space="preserve">6</w:t>
            </w:r>
            <w:r/>
          </w:p>
        </w:tc>
        <w:tc>
          <w:tcPr>
            <w:tcMar>
              <w:left w:w="108" w:type="dxa"/>
              <w:top w:w="0" w:type="dxa"/>
              <w:right w:w="108" w:type="dxa"/>
              <w:bottom w:w="0" w:type="dxa"/>
            </w:tcMar>
            <w:tcW w:w="8037" w:type="dxa"/>
            <w:vAlign w:val="center"/>
            <w:textDirection w:val="lrTb"/>
            <w:noWrap w:val="false"/>
          </w:tcPr>
          <w:p>
            <w:pPr>
              <w:widowControl/>
              <w:rPr>
                <w:color w:val="auto"/>
                <w:szCs w:val="21"/>
                <w:highlight w:val="none"/>
              </w:rPr>
            </w:pPr>
            <w:r>
              <w:rPr>
                <w:rFonts w:hint="eastAsia"/>
                <w:color w:val="auto"/>
                <w:szCs w:val="21"/>
                <w:highlight w:val="none"/>
              </w:rPr>
              <w:t xml:space="preserve">停车场内不得眷养猫、狗、鸽子、鸡鸭等动物。发现一起扣5分。</w:t>
            </w:r>
            <w:r/>
          </w:p>
        </w:tc>
      </w:tr>
      <w:tr>
        <w:trPr>
          <w:trHeight w:val="90"/>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3.2</w:t>
            </w:r>
            <w:r>
              <w:rPr>
                <w:rFonts w:hint="eastAsia" w:ascii="宋体" w:hAnsi="宋体" w:eastAsia="宋体" w:cs="宋体"/>
                <w:color w:val="auto"/>
                <w:sz w:val="24"/>
                <w:highlight w:val="none"/>
                <w:lang w:val="en-US" w:eastAsia="zh-CN"/>
              </w:rPr>
              <w:t xml:space="preserve">7</w:t>
            </w:r>
            <w:r/>
          </w:p>
        </w:tc>
        <w:tc>
          <w:tcPr>
            <w:tcMar>
              <w:left w:w="108" w:type="dxa"/>
              <w:top w:w="0" w:type="dxa"/>
              <w:right w:w="108" w:type="dxa"/>
              <w:bottom w:w="0" w:type="dxa"/>
            </w:tcMar>
            <w:tcW w:w="8037"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 w:val="24"/>
                <w:highlight w:val="none"/>
                <w:lang w:val="en-US" w:eastAsia="zh-CN"/>
              </w:rPr>
              <w:t xml:space="preserve">清障救援装备不仅限于拖车辅助轮、卧式千斤顶、立式千斤顶、行程记录仪、反光背心、警示带、枕木警示桶、捆绑带紧固器、电瓶搭线、爆闪警示灯、十字轮胎扳手、三角折叠停车牌、灭火器、专业拖车钩、手电、应急灯等，上述装备少一件扣1分。</w:t>
            </w:r>
            <w:r/>
          </w:p>
        </w:tc>
      </w:tr>
      <w:tr>
        <w:trPr>
          <w:trHeight w:val="90"/>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3.2</w:t>
            </w:r>
            <w:r>
              <w:rPr>
                <w:rFonts w:hint="eastAsia" w:ascii="宋体" w:hAnsi="宋体" w:eastAsia="宋体" w:cs="宋体"/>
                <w:color w:val="auto"/>
                <w:sz w:val="24"/>
                <w:highlight w:val="none"/>
                <w:lang w:val="en-US" w:eastAsia="zh-CN"/>
              </w:rPr>
              <w:t xml:space="preserve">8</w:t>
            </w:r>
            <w:r/>
          </w:p>
        </w:tc>
        <w:tc>
          <w:tcPr>
            <w:tcMar>
              <w:left w:w="108" w:type="dxa"/>
              <w:top w:w="0" w:type="dxa"/>
              <w:right w:w="108" w:type="dxa"/>
              <w:bottom w:w="0" w:type="dxa"/>
            </w:tcMar>
            <w:tcW w:w="8037"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 w:val="24"/>
                <w:highlight w:val="none"/>
                <w:lang w:eastAsia="zh-CN"/>
              </w:rPr>
              <w:t xml:space="preserve">提供必要的便民服务措施（免费）。提供车辆电瓶搭接电设施，为长期停放车辆亏电发动提供借用服务，未提供的或者收费的，发现一起扣</w:t>
            </w:r>
            <w:r>
              <w:rPr>
                <w:rFonts w:hint="eastAsia" w:ascii="宋体" w:hAnsi="宋体" w:eastAsia="宋体" w:cs="宋体"/>
                <w:color w:val="auto"/>
                <w:sz w:val="24"/>
                <w:highlight w:val="none"/>
                <w:lang w:val="en-US" w:eastAsia="zh-CN"/>
              </w:rPr>
              <w:t xml:space="preserve">5分</w:t>
            </w:r>
            <w:r>
              <w:rPr>
                <w:rFonts w:hint="eastAsia" w:ascii="宋体" w:hAnsi="宋体" w:eastAsia="宋体" w:cs="宋体"/>
                <w:color w:val="auto"/>
                <w:sz w:val="24"/>
                <w:highlight w:val="none"/>
                <w:lang w:eastAsia="zh-CN"/>
              </w:rPr>
              <w:t xml:space="preserve">。</w:t>
            </w:r>
            <w:r/>
          </w:p>
        </w:tc>
      </w:tr>
      <w:tr>
        <w:trPr>
          <w:trHeight w:val="90"/>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3.2</w:t>
            </w:r>
            <w:r>
              <w:rPr>
                <w:rFonts w:hint="eastAsia" w:ascii="宋体" w:hAnsi="宋体" w:eastAsia="宋体" w:cs="宋体"/>
                <w:color w:val="auto"/>
                <w:sz w:val="24"/>
                <w:highlight w:val="none"/>
                <w:lang w:val="en-US" w:eastAsia="zh-CN"/>
              </w:rPr>
              <w:t xml:space="preserve">9</w:t>
            </w:r>
            <w:r/>
          </w:p>
        </w:tc>
        <w:tc>
          <w:tcPr>
            <w:tcMar>
              <w:left w:w="108" w:type="dxa"/>
              <w:top w:w="0" w:type="dxa"/>
              <w:right w:w="108" w:type="dxa"/>
              <w:bottom w:w="0" w:type="dxa"/>
            </w:tcMar>
            <w:tcW w:w="8037"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 w:val="24"/>
                <w:highlight w:val="none"/>
                <w:lang w:eastAsia="zh-CN"/>
              </w:rPr>
              <w:t xml:space="preserve">每个区域停车场内，必须配置</w:t>
            </w:r>
            <w:r>
              <w:rPr>
                <w:rFonts w:hint="eastAsia" w:ascii="宋体" w:hAnsi="宋体" w:eastAsia="宋体" w:cs="宋体"/>
                <w:color w:val="auto"/>
                <w:sz w:val="24"/>
                <w:highlight w:val="none"/>
                <w:lang w:val="en-US" w:eastAsia="zh-CN"/>
              </w:rPr>
              <w:t xml:space="preserve">1台要求具备符合实际业务需求的称重设备，且通过当地计量部门检定，地磅经法定计量检定机构检定合格后方可使用，并按规定出具称重记录或凭证</w:t>
            </w:r>
            <w:r>
              <w:rPr>
                <w:rFonts w:hint="eastAsia" w:ascii="宋体" w:hAnsi="宋体" w:eastAsia="宋体" w:cs="宋体"/>
                <w:color w:val="auto"/>
                <w:sz w:val="24"/>
                <w:highlight w:val="none"/>
                <w:lang w:eastAsia="zh-CN"/>
              </w:rPr>
              <w:t xml:space="preserve">，未按规定落实的，发现一处扣</w:t>
            </w:r>
            <w:r>
              <w:rPr>
                <w:rFonts w:hint="eastAsia" w:ascii="宋体" w:hAnsi="宋体" w:eastAsia="宋体" w:cs="宋体"/>
                <w:color w:val="auto"/>
                <w:sz w:val="24"/>
                <w:highlight w:val="none"/>
                <w:lang w:val="en-US" w:eastAsia="zh-CN"/>
              </w:rPr>
              <w:t xml:space="preserve">5分。</w:t>
            </w:r>
            <w:r/>
          </w:p>
        </w:tc>
      </w:tr>
      <w:tr>
        <w:trPr>
          <w:trHeight w:val="90"/>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30</w:t>
            </w:r>
            <w:r/>
          </w:p>
        </w:tc>
        <w:tc>
          <w:tcPr>
            <w:tcMar>
              <w:left w:w="108" w:type="dxa"/>
              <w:top w:w="0" w:type="dxa"/>
              <w:right w:w="108" w:type="dxa"/>
              <w:bottom w:w="0" w:type="dxa"/>
            </w:tcMar>
            <w:tcW w:w="8037"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eastAsia="zh-CN"/>
              </w:rPr>
              <w:t xml:space="preserve">提供的场地需购置有效期内场地责任险（公众责任险），每块场地所投的场地责任险（公众责任险）累计赔偿限额不低于</w:t>
            </w:r>
            <w:r>
              <w:rPr>
                <w:rFonts w:hint="eastAsia" w:ascii="宋体" w:hAnsi="宋体" w:eastAsia="宋体" w:cs="宋体"/>
                <w:color w:val="auto"/>
                <w:sz w:val="24"/>
                <w:highlight w:val="none"/>
                <w:lang w:val="en-US" w:eastAsia="zh-CN"/>
              </w:rPr>
              <w:t xml:space="preserve">300万元，每次赔偿限额不低于20万元，未按规定购买的，发现一处扣5分。</w:t>
            </w:r>
            <w:r/>
          </w:p>
        </w:tc>
      </w:tr>
      <w:tr>
        <w:trPr>
          <w:trHeight w:val="90"/>
        </w:trPr>
        <w:tc>
          <w:tcPr>
            <w:tcMar>
              <w:left w:w="108" w:type="dxa"/>
              <w:top w:w="0" w:type="dxa"/>
              <w:right w:w="108" w:type="dxa"/>
              <w:bottom w:w="0" w:type="dxa"/>
            </w:tcMar>
            <w:tcW w:w="709"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31</w:t>
            </w:r>
            <w:r/>
          </w:p>
        </w:tc>
        <w:tc>
          <w:tcPr>
            <w:tcMar>
              <w:left w:w="108" w:type="dxa"/>
              <w:top w:w="0" w:type="dxa"/>
              <w:right w:w="108" w:type="dxa"/>
              <w:bottom w:w="0" w:type="dxa"/>
            </w:tcMar>
            <w:tcW w:w="8037" w:type="dxa"/>
            <w:vAlign w:val="center"/>
            <w:textDirection w:val="lrTb"/>
            <w:noWrap w:val="false"/>
          </w:tcPr>
          <w:p>
            <w:pPr>
              <w:widowControl/>
              <w:rPr>
                <w:rFonts w:hint="eastAsia" w:ascii="宋体" w:hAnsi="宋体" w:eastAsia="宋体" w:cs="宋体"/>
                <w:color w:val="auto"/>
                <w:szCs w:val="21"/>
                <w:highlight w:val="none"/>
                <w:lang w:eastAsia="zh-CN"/>
              </w:rPr>
            </w:pPr>
            <w:r>
              <w:rPr>
                <w:rFonts w:hint="eastAsia" w:ascii="宋体" w:hAnsi="宋体" w:eastAsia="宋体" w:cs="宋体"/>
                <w:color w:val="auto"/>
                <w:sz w:val="24"/>
                <w:highlight w:val="none"/>
              </w:rPr>
              <w:t xml:space="preserve">其他需要停车场提高完善的方面</w:t>
            </w:r>
            <w:r>
              <w:rPr>
                <w:rFonts w:hint="eastAsia" w:ascii="宋体" w:hAnsi="宋体" w:eastAsia="宋体" w:cs="宋体"/>
                <w:color w:val="auto"/>
                <w:sz w:val="24"/>
                <w:highlight w:val="none"/>
                <w:lang w:eastAsia="zh-CN"/>
              </w:rPr>
              <w:t xml:space="preserve">。</w:t>
            </w:r>
            <w:r/>
          </w:p>
        </w:tc>
      </w:tr>
    </w:tbl>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4.专项考核：每半年进行一次，由支队综合</w:t>
      </w:r>
      <w:r>
        <w:rPr>
          <w:rFonts w:hint="eastAsia" w:ascii="仿宋" w:hAnsi="仿宋" w:eastAsia="仿宋" w:cs="宋体"/>
          <w:color w:val="auto"/>
          <w:sz w:val="28"/>
          <w:szCs w:val="28"/>
          <w:highlight w:val="none"/>
          <w:lang w:val="en-US" w:eastAsia="zh-CN"/>
        </w:rPr>
        <w:t xml:space="preserve">大队</w:t>
      </w:r>
      <w:r>
        <w:rPr>
          <w:rFonts w:hint="eastAsia" w:ascii="仿宋" w:hAnsi="仿宋" w:eastAsia="仿宋" w:cs="宋体"/>
          <w:color w:val="auto"/>
          <w:sz w:val="28"/>
          <w:szCs w:val="28"/>
          <w:highlight w:val="none"/>
        </w:rPr>
        <w:t xml:space="preserve">会同督察大队进行，考核分有效投诉量和规范化两个方面，总计100分，存在下列情况的扣除相应分值，且扣除1分均为扣500元：</w:t>
      </w:r>
      <w:r/>
    </w:p>
    <w:p>
      <w:pPr>
        <w:ind w:firstLine="560"/>
        <w:jc w:val="left"/>
        <w:spacing w:line="440" w:lineRule="exact"/>
        <w:widowControl/>
        <w:rPr>
          <w:rFonts w:ascii="宋体" w:hAnsi="宋体" w:cs="宋体"/>
          <w:color w:val="auto"/>
          <w:sz w:val="28"/>
          <w:szCs w:val="28"/>
          <w:highlight w:val="none"/>
        </w:rPr>
      </w:pPr>
      <w:r>
        <w:rPr>
          <w:rFonts w:hint="eastAsia" w:ascii="仿宋" w:hAnsi="仿宋" w:eastAsia="仿宋" w:cs="宋体"/>
          <w:color w:val="auto"/>
          <w:sz w:val="28"/>
          <w:szCs w:val="28"/>
          <w:highlight w:val="none"/>
        </w:rPr>
        <w:t xml:space="preserve">对各停车场工作情况进行抽查，发现存在违反招标文件、投标文件、合同、相关承诺、声明等情况的，每起扣5分。根据督察部门受理的关于停车场投诉，经查证属实的，每起扣</w:t>
      </w:r>
      <w:r>
        <w:rPr>
          <w:rFonts w:hint="eastAsia" w:ascii="宋体" w:hAnsi="宋体" w:cs="宋体"/>
          <w:color w:val="auto"/>
          <w:sz w:val="28"/>
          <w:szCs w:val="28"/>
          <w:highlight w:val="none"/>
        </w:rPr>
        <w:t xml:space="preserve">5</w:t>
      </w:r>
      <w:r>
        <w:rPr>
          <w:rFonts w:hint="eastAsia" w:ascii="仿宋" w:hAnsi="仿宋" w:eastAsia="仿宋" w:cs="宋体"/>
          <w:color w:val="auto"/>
          <w:sz w:val="28"/>
          <w:szCs w:val="28"/>
          <w:highlight w:val="none"/>
        </w:rPr>
        <w:t xml:space="preserve">分。</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费用结算</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合同签订后支付合同价的</w:t>
      </w:r>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rPr>
        <w:t xml:space="preserve">0%，合同余额（合同金额的</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rPr>
        <w:t xml:space="preserve">0%）按季度考核支付。</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第一个季度结算费用=合同金额*</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rPr>
        <w:t xml:space="preserve">0%*25%-该季度3个月各大队考核总扣分*500元/分。</w:t>
      </w:r>
      <w:r/>
    </w:p>
    <w:p>
      <w:pPr>
        <w:ind w:left="141" w:firstLine="42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第二个季度结算费用=合同金额*</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rPr>
        <w:t xml:space="preserve">0%*25%-（该季度3个月各大队考核总扣分*90%+甲方专项考核扣分*10%）*500元/分；</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第三个季度结算费用方式同第一个季度；</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第四个季度结算费用方式同第二个季度；</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甲方凭乙方完税发票付款。款项由甲方按相关财务支付规定办理支付手续。不得故意拖延支付时间。</w:t>
      </w:r>
      <w:r/>
    </w:p>
    <w:p>
      <w:pPr>
        <w:ind w:firstLine="562"/>
        <w:spacing w:line="440" w:lineRule="exact"/>
        <w:tabs>
          <w:tab w:val="left" w:pos="0" w:leader="none"/>
        </w:tabs>
        <w:rPr>
          <w:rFonts w:ascii="宋体" w:hAnsi="宋体" w:cs="Courier New"/>
          <w:b/>
          <w:bCs/>
          <w:color w:val="auto"/>
          <w:sz w:val="28"/>
          <w:szCs w:val="28"/>
          <w:highlight w:val="none"/>
        </w:rPr>
      </w:pPr>
      <w:r>
        <w:rPr>
          <w:rFonts w:hint="eastAsia" w:ascii="宋体" w:hAnsi="宋体" w:cs="Courier New"/>
          <w:b/>
          <w:bCs/>
          <w:color w:val="auto"/>
          <w:sz w:val="28"/>
          <w:szCs w:val="28"/>
          <w:highlight w:val="none"/>
          <w:lang w:val="en-US" w:eastAsia="zh-CN"/>
        </w:rPr>
        <w:t xml:space="preserve">六</w:t>
      </w:r>
      <w:r>
        <w:rPr>
          <w:rFonts w:hint="eastAsia" w:ascii="宋体" w:hAnsi="宋体" w:cs="Courier New"/>
          <w:b/>
          <w:bCs/>
          <w:color w:val="auto"/>
          <w:sz w:val="28"/>
          <w:szCs w:val="28"/>
          <w:highlight w:val="none"/>
        </w:rPr>
        <w:t xml:space="preserve">、采购标的其他技术、服务等要求</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1.本次</w:t>
      </w:r>
      <w:r>
        <w:rPr>
          <w:rFonts w:hint="eastAsia" w:ascii="仿宋" w:hAnsi="仿宋" w:eastAsia="仿宋" w:cs="宋体"/>
          <w:color w:val="auto"/>
          <w:sz w:val="28"/>
          <w:szCs w:val="28"/>
          <w:highlight w:val="none"/>
          <w:lang w:val="en-US" w:eastAsia="zh-CN"/>
        </w:rPr>
        <w:t xml:space="preserve">项目</w:t>
      </w:r>
      <w:r>
        <w:rPr>
          <w:rFonts w:hint="eastAsia" w:ascii="仿宋" w:hAnsi="仿宋" w:eastAsia="仿宋" w:cs="宋体"/>
          <w:color w:val="auto"/>
          <w:sz w:val="28"/>
          <w:szCs w:val="28"/>
          <w:highlight w:val="none"/>
        </w:rPr>
        <w:t xml:space="preserve">的涉案车辆停车场共分</w:t>
      </w:r>
      <w:r>
        <w:rPr>
          <w:rFonts w:hint="eastAsia" w:ascii="仿宋" w:hAnsi="仿宋" w:eastAsia="仿宋" w:cs="宋体"/>
          <w:color w:val="auto"/>
          <w:sz w:val="28"/>
          <w:szCs w:val="28"/>
          <w:highlight w:val="none"/>
          <w:lang w:val="en-US" w:eastAsia="zh-CN"/>
        </w:rPr>
        <w:t xml:space="preserve">2</w:t>
      </w:r>
      <w:r>
        <w:rPr>
          <w:rFonts w:hint="eastAsia" w:ascii="仿宋" w:hAnsi="仿宋" w:eastAsia="仿宋" w:cs="宋体"/>
          <w:color w:val="auto"/>
          <w:sz w:val="28"/>
          <w:szCs w:val="28"/>
          <w:highlight w:val="none"/>
        </w:rPr>
        <w:t xml:space="preserve">个区域（点位），最多可配备</w:t>
      </w:r>
      <w:r>
        <w:rPr>
          <w:rFonts w:hint="eastAsia" w:ascii="仿宋" w:hAnsi="仿宋" w:eastAsia="仿宋" w:cs="宋体"/>
          <w:color w:val="auto"/>
          <w:sz w:val="28"/>
          <w:szCs w:val="28"/>
          <w:highlight w:val="none"/>
          <w:lang w:val="en-US" w:eastAsia="zh-CN"/>
        </w:rPr>
        <w:t xml:space="preserve">4</w:t>
      </w:r>
      <w:r>
        <w:rPr>
          <w:rFonts w:hint="eastAsia" w:ascii="仿宋" w:hAnsi="仿宋" w:eastAsia="仿宋" w:cs="宋体"/>
          <w:color w:val="auto"/>
          <w:sz w:val="28"/>
          <w:szCs w:val="28"/>
          <w:highlight w:val="none"/>
        </w:rPr>
        <w:t xml:space="preserve">个停车场（每个区域可设置1-2个），停车场总面积不得低于招标文件约定的最低面积要求。</w:t>
      </w:r>
      <w:r/>
    </w:p>
    <w:p>
      <w:pPr>
        <w:ind w:firstLine="560"/>
        <w:jc w:val="left"/>
        <w:spacing w:line="440" w:lineRule="exact"/>
        <w:widowControl/>
        <w:rPr>
          <w:rFonts w:hint="default" w:ascii="宋体" w:hAnsi="宋体" w:eastAsia="仿宋" w:cs="宋体"/>
          <w:color w:val="auto"/>
          <w:sz w:val="28"/>
          <w:szCs w:val="28"/>
          <w:highlight w:val="none"/>
          <w:lang w:val="en-US" w:eastAsia="zh-CN"/>
        </w:rPr>
      </w:pPr>
      <w:r>
        <w:rPr>
          <w:rFonts w:hint="eastAsia" w:ascii="仿宋" w:hAnsi="仿宋" w:eastAsia="仿宋" w:cs="宋体"/>
          <w:color w:val="auto"/>
          <w:sz w:val="28"/>
          <w:szCs w:val="28"/>
          <w:highlight w:val="none"/>
        </w:rPr>
        <w:t xml:space="preserve">2.中标停车场需投保停车场责任险，每个停车场最低保险赔偿金额不低于</w:t>
      </w:r>
      <w:r>
        <w:rPr>
          <w:rFonts w:hint="eastAsia" w:ascii="宋体" w:hAnsi="宋体" w:cs="宋体"/>
          <w:color w:val="auto"/>
          <w:sz w:val="28"/>
          <w:szCs w:val="28"/>
          <w:highlight w:val="none"/>
        </w:rPr>
        <w:t xml:space="preserve">300</w:t>
      </w:r>
      <w:r>
        <w:rPr>
          <w:rFonts w:hint="eastAsia" w:ascii="仿宋" w:hAnsi="仿宋" w:eastAsia="仿宋" w:cs="宋体"/>
          <w:color w:val="auto"/>
          <w:sz w:val="28"/>
          <w:szCs w:val="28"/>
          <w:highlight w:val="none"/>
        </w:rPr>
        <w:t xml:space="preserve">万元</w:t>
      </w:r>
      <w:r>
        <w:rPr>
          <w:rFonts w:hint="eastAsia" w:ascii="仿宋" w:hAnsi="仿宋" w:eastAsia="仿宋" w:cs="宋体"/>
          <w:color w:val="auto"/>
          <w:sz w:val="28"/>
          <w:szCs w:val="28"/>
          <w:highlight w:val="none"/>
          <w:lang w:eastAsia="zh-CN"/>
        </w:rPr>
        <w:t xml:space="preserve">；中标单位提供的服务车辆商业险赔付金额不低于</w:t>
      </w:r>
      <w:r>
        <w:rPr>
          <w:rFonts w:hint="eastAsia" w:ascii="仿宋" w:hAnsi="仿宋" w:eastAsia="仿宋" w:cs="宋体"/>
          <w:color w:val="auto"/>
          <w:sz w:val="28"/>
          <w:szCs w:val="28"/>
          <w:highlight w:val="none"/>
          <w:lang w:val="en-US" w:eastAsia="zh-CN"/>
        </w:rPr>
        <w:t xml:space="preserve">100万元。</w:t>
      </w:r>
      <w:r/>
    </w:p>
    <w:p>
      <w:pPr>
        <w:ind w:firstLine="560"/>
        <w:jc w:val="left"/>
        <w:spacing w:line="44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rPr>
        <w:t xml:space="preserve">.中标后10日内提供有资质的第三方出具的场地面积测绘图</w:t>
      </w:r>
      <w:r>
        <w:rPr>
          <w:rFonts w:hint="eastAsia" w:ascii="方正仿宋_GBK" w:hAnsi="方正仿宋_GBK" w:eastAsia="方正仿宋_GBK" w:cs="方正仿宋_GBK"/>
          <w:color w:val="auto"/>
          <w:sz w:val="28"/>
          <w:szCs w:val="28"/>
          <w:highlight w:val="none"/>
          <w:lang w:eastAsia="zh-CN"/>
        </w:rPr>
        <w:t xml:space="preserve">（例如具备自然资源主管部门颁发的相应测绘资质）。</w:t>
      </w:r>
      <w:r>
        <w:rPr>
          <w:rFonts w:hint="eastAsia" w:ascii="仿宋" w:hAnsi="仿宋" w:eastAsia="仿宋" w:cs="宋体"/>
          <w:color w:val="auto"/>
          <w:sz w:val="28"/>
          <w:szCs w:val="28"/>
          <w:highlight w:val="none"/>
        </w:rPr>
        <w:t xml:space="preserve">签订合同前，招标人对停车场场地面积进行核查。经核查停车场面积不符合区域点位面积要求的，招标人可拒绝签订合同，并提请政府采购监管部门对该中标停车场虚假投标进行处罚。停车场测绘图纸作为合同不可分割附件（测绘费用由中标单位承担）。</w:t>
      </w:r>
      <w:r/>
    </w:p>
    <w:p>
      <w:pPr>
        <w:ind w:firstLine="560"/>
        <w:jc w:val="left"/>
        <w:spacing w:line="440" w:lineRule="exact"/>
        <w:widowControl/>
        <w:rPr>
          <w:rFonts w:ascii="宋体" w:hAnsi="宋体" w:cs="宋体"/>
          <w:color w:val="auto"/>
          <w:sz w:val="28"/>
          <w:szCs w:val="28"/>
          <w:highlight w:val="none"/>
        </w:rPr>
      </w:pPr>
      <w:r>
        <w:rPr>
          <w:rFonts w:hint="eastAsia" w:ascii="仿宋" w:hAnsi="仿宋" w:eastAsia="仿宋" w:cs="宋体"/>
          <w:color w:val="auto"/>
          <w:sz w:val="28"/>
          <w:szCs w:val="28"/>
          <w:highlight w:val="none"/>
          <w:lang w:val="en-US" w:eastAsia="zh-CN"/>
        </w:rPr>
        <w:t xml:space="preserve">4</w:t>
      </w:r>
      <w:r>
        <w:rPr>
          <w:rFonts w:hint="eastAsia" w:ascii="仿宋" w:hAnsi="仿宋" w:eastAsia="仿宋" w:cs="宋体"/>
          <w:color w:val="auto"/>
          <w:sz w:val="28"/>
          <w:szCs w:val="28"/>
          <w:highlight w:val="none"/>
        </w:rPr>
        <w:t xml:space="preserve">.中标停车场应按照招标人的要求在中标停车场门口醒目位置安装</w:t>
      </w:r>
      <w:r>
        <w:rPr>
          <w:rFonts w:hint="eastAsia" w:ascii="宋体" w:hAnsi="宋体" w:cs="宋体"/>
          <w:color w:val="auto"/>
          <w:sz w:val="28"/>
          <w:szCs w:val="28"/>
          <w:highlight w:val="none"/>
        </w:rPr>
        <w:t xml:space="preserve">“</w:t>
      </w:r>
      <w:r>
        <w:rPr>
          <w:rFonts w:hint="eastAsia" w:ascii="仿宋" w:hAnsi="仿宋" w:eastAsia="仿宋" w:cs="宋体"/>
          <w:color w:val="auto"/>
          <w:sz w:val="28"/>
          <w:szCs w:val="28"/>
          <w:highlight w:val="none"/>
        </w:rPr>
        <w:t xml:space="preserve">政府采购涉案车辆停车场标牌</w:t>
      </w:r>
      <w:r>
        <w:rPr>
          <w:rFonts w:hint="eastAsia" w:ascii="宋体" w:hAnsi="宋体" w:cs="宋体"/>
          <w:color w:val="auto"/>
          <w:sz w:val="28"/>
          <w:szCs w:val="28"/>
          <w:highlight w:val="none"/>
        </w:rPr>
        <w:t xml:space="preserve">”</w:t>
      </w:r>
      <w:r>
        <w:rPr>
          <w:rFonts w:hint="eastAsia" w:ascii="仿宋" w:hAnsi="仿宋" w:eastAsia="仿宋" w:cs="宋体"/>
          <w:color w:val="auto"/>
          <w:sz w:val="28"/>
          <w:szCs w:val="28"/>
          <w:highlight w:val="none"/>
        </w:rPr>
        <w:t xml:space="preserve">式样和规格要求附后（安装费用由中标单位承担），并作为</w:t>
      </w:r>
      <w:r>
        <w:rPr>
          <w:rFonts w:hint="eastAsia" w:ascii="仿宋" w:hAnsi="仿宋" w:eastAsia="仿宋" w:cs="宋体"/>
          <w:color w:val="auto"/>
          <w:sz w:val="28"/>
          <w:szCs w:val="28"/>
          <w:highlight w:val="none"/>
          <w:lang w:eastAsia="zh-CN"/>
        </w:rPr>
        <w:t xml:space="preserve">招标人</w:t>
      </w:r>
      <w:r>
        <w:rPr>
          <w:rFonts w:hint="eastAsia" w:ascii="仿宋" w:hAnsi="仿宋" w:eastAsia="仿宋" w:cs="宋体"/>
          <w:color w:val="auto"/>
          <w:sz w:val="28"/>
          <w:szCs w:val="28"/>
          <w:highlight w:val="none"/>
        </w:rPr>
        <w:t xml:space="preserve">支付第一季度服务费用的条件。</w:t>
      </w:r>
      <w:r/>
    </w:p>
    <w:p>
      <w:pPr>
        <w:ind w:firstLine="560"/>
        <w:jc w:val="left"/>
        <w:spacing w:line="440" w:lineRule="exact"/>
        <w:widowControl/>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r>
        <w:rPr>
          <w:rFonts w:hint="eastAsia" w:ascii="仿宋" w:hAnsi="仿宋" w:eastAsia="仿宋" w:cs="宋体"/>
          <w:color w:val="auto"/>
          <w:sz w:val="28"/>
          <w:szCs w:val="28"/>
          <w:highlight w:val="none"/>
        </w:rPr>
        <w:t xml:space="preserve">合同签订生效后，中标停车场具备收费许可的，由停车场提供收费的政府备案材料。</w:t>
      </w:r>
      <w:r/>
    </w:p>
    <w:p>
      <w:pPr>
        <w:ind w:firstLine="560"/>
        <w:jc w:val="left"/>
        <w:spacing w:line="440" w:lineRule="exact"/>
        <w:widowControl/>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w:t>
      </w:r>
      <w:r>
        <w:rPr>
          <w:rFonts w:hint="eastAsia" w:ascii="仿宋" w:hAnsi="仿宋" w:eastAsia="仿宋" w:cs="宋体"/>
          <w:color w:val="auto"/>
          <w:sz w:val="28"/>
          <w:szCs w:val="28"/>
          <w:highlight w:val="none"/>
          <w:lang w:val="en-US" w:eastAsia="zh-CN"/>
        </w:rPr>
        <w:t xml:space="preserve">甲方</w:t>
      </w:r>
      <w:r>
        <w:rPr>
          <w:rFonts w:hint="eastAsia" w:ascii="仿宋" w:hAnsi="仿宋" w:eastAsia="仿宋" w:cs="宋体"/>
          <w:color w:val="auto"/>
          <w:sz w:val="28"/>
          <w:szCs w:val="28"/>
          <w:highlight w:val="none"/>
        </w:rPr>
        <w:t xml:space="preserve">可根据实际需要统筹调配停车场对应服务的大队，停车场自接到通知起必须服从执行。停车场不服从调配影响涉案车辆停放工作的，</w:t>
      </w:r>
      <w:r>
        <w:rPr>
          <w:rFonts w:hint="eastAsia" w:ascii="仿宋" w:hAnsi="仿宋" w:eastAsia="仿宋" w:cs="宋体"/>
          <w:color w:val="auto"/>
          <w:sz w:val="28"/>
          <w:szCs w:val="28"/>
          <w:highlight w:val="none"/>
          <w:lang w:val="en-US" w:eastAsia="zh-CN"/>
        </w:rPr>
        <w:t xml:space="preserve">甲方</w:t>
      </w:r>
      <w:r>
        <w:rPr>
          <w:rFonts w:hint="eastAsia" w:ascii="仿宋" w:hAnsi="仿宋" w:eastAsia="仿宋" w:cs="宋体"/>
          <w:color w:val="auto"/>
          <w:sz w:val="28"/>
          <w:szCs w:val="28"/>
          <w:highlight w:val="none"/>
        </w:rPr>
        <w:t xml:space="preserve">有权发出整改通知书要求限期整改，停车场拒绝整改、整改达不到要求的，</w:t>
      </w:r>
      <w:r>
        <w:rPr>
          <w:rFonts w:hint="eastAsia" w:ascii="仿宋" w:hAnsi="仿宋" w:eastAsia="仿宋" w:cs="宋体"/>
          <w:color w:val="auto"/>
          <w:sz w:val="28"/>
          <w:szCs w:val="28"/>
          <w:highlight w:val="none"/>
          <w:lang w:val="en-US" w:eastAsia="zh-CN"/>
        </w:rPr>
        <w:t xml:space="preserve">甲方</w:t>
      </w:r>
      <w:r>
        <w:rPr>
          <w:rFonts w:hint="eastAsia" w:ascii="仿宋" w:hAnsi="仿宋" w:eastAsia="仿宋" w:cs="宋体"/>
          <w:color w:val="auto"/>
          <w:sz w:val="28"/>
          <w:szCs w:val="28"/>
          <w:highlight w:val="none"/>
        </w:rPr>
        <w:t xml:space="preserve">可以中止履行合同或解除合同。在合同履行中，</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提前解除合同的，则需向</w:t>
      </w:r>
      <w:r>
        <w:rPr>
          <w:rFonts w:hint="eastAsia" w:ascii="仿宋" w:hAnsi="仿宋" w:eastAsia="仿宋" w:cs="宋体"/>
          <w:color w:val="auto"/>
          <w:sz w:val="28"/>
          <w:szCs w:val="28"/>
          <w:highlight w:val="none"/>
          <w:lang w:val="en-US" w:eastAsia="zh-CN"/>
        </w:rPr>
        <w:t xml:space="preserve">甲方</w:t>
      </w:r>
      <w:r>
        <w:rPr>
          <w:rFonts w:hint="eastAsia" w:ascii="仿宋" w:hAnsi="仿宋" w:eastAsia="仿宋" w:cs="宋体"/>
          <w:color w:val="auto"/>
          <w:sz w:val="28"/>
          <w:szCs w:val="28"/>
          <w:highlight w:val="none"/>
        </w:rPr>
        <w:t xml:space="preserve">支付合同金额</w:t>
      </w:r>
      <w:r>
        <w:rPr>
          <w:rFonts w:hint="eastAsia" w:ascii="宋体" w:hAnsi="宋体" w:cs="宋体"/>
          <w:color w:val="auto"/>
          <w:sz w:val="28"/>
          <w:szCs w:val="28"/>
          <w:highlight w:val="none"/>
        </w:rPr>
        <w:t xml:space="preserve">20%</w:t>
      </w:r>
      <w:r>
        <w:rPr>
          <w:rFonts w:hint="eastAsia" w:ascii="仿宋" w:hAnsi="仿宋" w:eastAsia="仿宋" w:cs="宋体"/>
          <w:color w:val="auto"/>
          <w:sz w:val="28"/>
          <w:szCs w:val="28"/>
          <w:highlight w:val="none"/>
        </w:rPr>
        <w:t xml:space="preserve">的违约金。</w:t>
      </w:r>
      <w:r/>
    </w:p>
    <w:p>
      <w:pPr>
        <w:ind w:firstLine="562"/>
        <w:spacing w:line="440" w:lineRule="exact"/>
        <w:tabs>
          <w:tab w:val="left" w:pos="0" w:leader="none"/>
        </w:tabs>
        <w:rPr>
          <w:rFonts w:ascii="宋体" w:hAnsi="宋体" w:cs="Courier New"/>
          <w:b/>
          <w:bCs/>
          <w:color w:val="auto"/>
          <w:sz w:val="28"/>
          <w:szCs w:val="28"/>
          <w:highlight w:val="none"/>
        </w:rPr>
      </w:pPr>
      <w:r>
        <w:rPr>
          <w:rFonts w:hint="eastAsia" w:ascii="宋体" w:hAnsi="宋体" w:cs="Courier New"/>
          <w:b/>
          <w:bCs/>
          <w:color w:val="auto"/>
          <w:sz w:val="28"/>
          <w:szCs w:val="28"/>
          <w:highlight w:val="none"/>
          <w:lang w:val="en-US" w:eastAsia="zh-CN"/>
        </w:rPr>
        <w:t xml:space="preserve">七、</w:t>
      </w:r>
      <w:r>
        <w:rPr>
          <w:rFonts w:hint="eastAsia" w:ascii="宋体" w:hAnsi="宋体" w:cs="Courier New"/>
          <w:b/>
          <w:bCs/>
          <w:color w:val="auto"/>
          <w:sz w:val="28"/>
          <w:szCs w:val="28"/>
          <w:highlight w:val="none"/>
        </w:rPr>
        <w:t xml:space="preserve">付款条件</w:t>
      </w:r>
      <w:r/>
    </w:p>
    <w:p>
      <w:pPr>
        <w:ind w:firstLine="560"/>
        <w:jc w:val="left"/>
        <w:spacing w:line="440" w:lineRule="exact"/>
        <w:widowControl/>
        <w:rPr>
          <w:rFonts w:ascii="宋体" w:hAnsi="宋体" w:cs="宋体"/>
          <w:color w:val="auto"/>
          <w:sz w:val="28"/>
          <w:szCs w:val="28"/>
          <w:highlight w:val="none"/>
        </w:rPr>
      </w:pPr>
      <w:r>
        <w:rPr>
          <w:rFonts w:hint="eastAsia" w:ascii="仿宋" w:hAnsi="仿宋" w:eastAsia="仿宋" w:cs="宋体"/>
          <w:color w:val="auto"/>
          <w:sz w:val="28"/>
          <w:szCs w:val="28"/>
          <w:highlight w:val="none"/>
        </w:rPr>
        <w:t xml:space="preserve">付款方式：合同签订后支付合同价的</w:t>
      </w:r>
      <w:r>
        <w:rPr>
          <w:rFonts w:hint="eastAsia" w:ascii="宋体" w:hAnsi="宋体" w:eastAsia="仿宋"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0%</w:t>
      </w:r>
      <w:r>
        <w:rPr>
          <w:rFonts w:hint="eastAsia" w:ascii="仿宋" w:hAnsi="仿宋" w:eastAsia="仿宋" w:cs="宋体"/>
          <w:color w:val="auto"/>
          <w:sz w:val="28"/>
          <w:szCs w:val="28"/>
          <w:highlight w:val="none"/>
        </w:rPr>
        <w:t xml:space="preserve">，合同余额按季度考核支付。</w:t>
      </w:r>
      <w:r>
        <w:rPr>
          <w:rFonts w:hint="eastAsia" w:ascii="仿宋" w:hAnsi="仿宋" w:eastAsia="仿宋" w:cs="宋体"/>
          <w:color w:val="auto"/>
          <w:sz w:val="28"/>
          <w:szCs w:val="28"/>
          <w:highlight w:val="none"/>
          <w:lang w:val="en-US" w:eastAsia="zh-CN"/>
        </w:rPr>
        <w:t xml:space="preserve">甲方</w:t>
      </w:r>
      <w:r>
        <w:rPr>
          <w:rFonts w:hint="eastAsia" w:ascii="仿宋" w:hAnsi="仿宋" w:eastAsia="仿宋" w:cs="宋体"/>
          <w:color w:val="auto"/>
          <w:sz w:val="28"/>
          <w:szCs w:val="28"/>
          <w:highlight w:val="none"/>
        </w:rPr>
        <w:t xml:space="preserve">凭</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完税发票付款。款项由</w:t>
      </w:r>
      <w:r>
        <w:rPr>
          <w:rFonts w:hint="eastAsia" w:ascii="仿宋" w:hAnsi="仿宋" w:eastAsia="仿宋" w:cs="宋体"/>
          <w:color w:val="auto"/>
          <w:sz w:val="28"/>
          <w:szCs w:val="28"/>
          <w:highlight w:val="none"/>
          <w:lang w:val="en-US" w:eastAsia="zh-CN"/>
        </w:rPr>
        <w:t xml:space="preserve">甲方</w:t>
      </w:r>
      <w:r>
        <w:rPr>
          <w:rFonts w:hint="eastAsia" w:ascii="仿宋" w:hAnsi="仿宋" w:eastAsia="仿宋" w:cs="宋体"/>
          <w:color w:val="auto"/>
          <w:sz w:val="28"/>
          <w:szCs w:val="28"/>
          <w:highlight w:val="none"/>
        </w:rPr>
        <w:t xml:space="preserve">按相关财务支付规定办理支付手续</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甲方通过银行转账/财政直接支付/财政授权支付方式将款项支付至乙方指定账户</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。不得故意拖延支付时间。</w:t>
      </w:r>
      <w:r/>
    </w:p>
    <w:p>
      <w:pPr>
        <w:ind w:firstLine="560"/>
        <w:jc w:val="left"/>
        <w:spacing w:line="440" w:lineRule="exact"/>
        <w:widowControl/>
        <w:rPr>
          <w:rFonts w:ascii="宋体" w:hAnsi="宋体" w:cs="宋体"/>
          <w:color w:val="auto"/>
          <w:sz w:val="28"/>
          <w:szCs w:val="28"/>
          <w:highlight w:val="none"/>
        </w:rPr>
      </w:pPr>
      <w:r>
        <w:rPr>
          <w:rFonts w:hint="eastAsia" w:ascii="仿宋" w:hAnsi="仿宋" w:eastAsia="仿宋" w:cs="宋体"/>
          <w:color w:val="auto"/>
          <w:sz w:val="28"/>
          <w:szCs w:val="28"/>
          <w:highlight w:val="none"/>
        </w:rPr>
        <w:t xml:space="preserve">中标通知书发出后，合同签订前，</w:t>
      </w:r>
      <w:r>
        <w:rPr>
          <w:rFonts w:hint="eastAsia" w:ascii="仿宋" w:hAnsi="仿宋" w:eastAsia="仿宋" w:cs="宋体"/>
          <w:color w:val="auto"/>
          <w:sz w:val="28"/>
          <w:szCs w:val="28"/>
          <w:highlight w:val="none"/>
          <w:lang w:val="en-US" w:eastAsia="zh-CN"/>
        </w:rPr>
        <w:t xml:space="preserve">乙方</w:t>
      </w:r>
      <w:r>
        <w:rPr>
          <w:rFonts w:hint="eastAsia" w:ascii="仿宋" w:hAnsi="仿宋" w:eastAsia="仿宋" w:cs="宋体"/>
          <w:color w:val="auto"/>
          <w:sz w:val="28"/>
          <w:szCs w:val="28"/>
          <w:highlight w:val="none"/>
        </w:rPr>
        <w:t xml:space="preserve">须支付合同价</w:t>
      </w:r>
      <w:r>
        <w:rPr>
          <w:rFonts w:hint="eastAsia" w:ascii="宋体" w:hAnsi="宋体" w:eastAsia="仿宋"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r>
        <w:rPr>
          <w:rFonts w:hint="eastAsia" w:ascii="仿宋" w:hAnsi="仿宋" w:eastAsia="仿宋" w:cs="宋体"/>
          <w:color w:val="auto"/>
          <w:sz w:val="28"/>
          <w:szCs w:val="28"/>
          <w:highlight w:val="none"/>
        </w:rPr>
        <w:t xml:space="preserve">的履约保证金至</w:t>
      </w:r>
      <w:r>
        <w:rPr>
          <w:rFonts w:hint="eastAsia" w:ascii="仿宋" w:hAnsi="仿宋" w:eastAsia="仿宋" w:cs="宋体"/>
          <w:color w:val="auto"/>
          <w:sz w:val="28"/>
          <w:szCs w:val="28"/>
          <w:highlight w:val="none"/>
          <w:lang w:val="en-US" w:eastAsia="zh-CN"/>
        </w:rPr>
        <w:t xml:space="preserve">甲方</w:t>
      </w:r>
      <w:r>
        <w:rPr>
          <w:rFonts w:hint="eastAsia" w:ascii="仿宋" w:hAnsi="仿宋" w:eastAsia="仿宋" w:cs="宋体"/>
          <w:color w:val="auto"/>
          <w:sz w:val="28"/>
          <w:szCs w:val="28"/>
          <w:highlight w:val="none"/>
        </w:rPr>
        <w:t xml:space="preserve">账户，如在中标后</w:t>
      </w:r>
      <w:r>
        <w:rPr>
          <w:rFonts w:hint="eastAsia" w:ascii="宋体" w:hAnsi="宋体" w:cs="宋体"/>
          <w:color w:val="auto"/>
          <w:sz w:val="28"/>
          <w:szCs w:val="28"/>
          <w:highlight w:val="none"/>
        </w:rPr>
        <w:t xml:space="preserve">30</w:t>
      </w:r>
      <w:r>
        <w:rPr>
          <w:rFonts w:hint="eastAsia" w:ascii="仿宋" w:hAnsi="仿宋" w:eastAsia="仿宋" w:cs="宋体"/>
          <w:color w:val="auto"/>
          <w:sz w:val="28"/>
          <w:szCs w:val="28"/>
          <w:highlight w:val="none"/>
        </w:rPr>
        <w:t xml:space="preserve">日内、签订合同前中标人停车场设备及相关设施等未能满足本招标文件规定的相关条件，招标人有权扣除全额履约保证金并报相关部门列入采购黑名单。</w:t>
      </w:r>
      <w:r/>
    </w:p>
    <w:p>
      <w:pPr>
        <w:contextualSpacing/>
        <w:ind w:firstLine="562"/>
        <w:spacing w:line="460" w:lineRule="exact"/>
        <w:tabs>
          <w:tab w:val="left" w:pos="36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八</w:t>
      </w:r>
      <w:r>
        <w:rPr>
          <w:rFonts w:hint="eastAsia" w:ascii="仿宋" w:hAnsi="仿宋" w:eastAsia="仿宋" w:cs="仿宋"/>
          <w:b/>
          <w:bCs/>
          <w:color w:val="auto"/>
          <w:sz w:val="28"/>
          <w:szCs w:val="28"/>
          <w:highlight w:val="none"/>
        </w:rPr>
        <w:t xml:space="preserve">、不可抗力</w:t>
      </w:r>
      <w:bookmarkEnd w:id="56"/>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1.由于不可抗力因素（指火灾、地震、洪水、战争等）使乙方不能在合同规定的期限内履约时，乙方必须立即以书面形式通知甲方，并以书面形式向甲方提供有关政府机关所出具的不可抗力因素证明。</w:t>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bookmarkStart w:id="57" w:name="_Toc81879420"/>
      <w:r/>
      <w:r/>
    </w:p>
    <w:p>
      <w:pPr>
        <w:contextualSpacing/>
        <w:ind w:firstLine="562"/>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 xml:space="preserve">九</w:t>
      </w:r>
      <w:r>
        <w:rPr>
          <w:rFonts w:hint="eastAsia" w:ascii="仿宋" w:hAnsi="仿宋" w:eastAsia="仿宋" w:cs="仿宋"/>
          <w:b/>
          <w:bCs/>
          <w:color w:val="auto"/>
          <w:sz w:val="28"/>
          <w:szCs w:val="28"/>
          <w:highlight w:val="none"/>
        </w:rPr>
        <w:t xml:space="preserve">、</w:t>
      </w:r>
      <w:bookmarkEnd w:id="57"/>
      <w:r/>
      <w:bookmarkStart w:id="58" w:name="_Toc81879421"/>
      <w:r>
        <w:rPr>
          <w:rFonts w:hint="eastAsia" w:ascii="仿宋" w:hAnsi="仿宋" w:eastAsia="仿宋" w:cs="仿宋"/>
          <w:b/>
          <w:bCs/>
          <w:color w:val="auto"/>
          <w:sz w:val="28"/>
          <w:szCs w:val="28"/>
          <w:highlight w:val="none"/>
        </w:rPr>
        <w:t xml:space="preserve">争议解决</w:t>
      </w:r>
      <w:r>
        <w:rPr>
          <w:rFonts w:hint="eastAsia" w:ascii="仿宋" w:hAnsi="仿宋" w:eastAsia="仿宋" w:cs="仿宋"/>
          <w:color w:val="auto"/>
          <w:sz w:val="28"/>
          <w:szCs w:val="28"/>
          <w:highlight w:val="none"/>
        </w:rPr>
        <w:t xml:space="preserve">：</w:t>
      </w:r>
      <w:bookmarkEnd w:id="58"/>
      <w:r>
        <w:rPr>
          <w:rFonts w:hint="eastAsia" w:ascii="仿宋" w:hAnsi="仿宋" w:eastAsia="仿宋" w:cs="仿宋"/>
          <w:color w:val="auto"/>
          <w:sz w:val="28"/>
          <w:szCs w:val="28"/>
          <w:highlight w:val="none"/>
        </w:rPr>
        <w:t xml:space="preserve">本合同发生争议，由双方协商或调解解决，协商或调解不成时可以向合同签订所在地人民法院起诉。</w:t>
      </w:r>
      <w:bookmarkStart w:id="59" w:name="_Toc81879422"/>
      <w:r/>
      <w:r/>
    </w:p>
    <w:p>
      <w:pPr>
        <w:contextualSpacing/>
        <w:ind w:firstLine="562"/>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十、合同构成</w:t>
      </w:r>
      <w:r>
        <w:rPr>
          <w:rFonts w:hint="eastAsia" w:ascii="仿宋" w:hAnsi="仿宋" w:eastAsia="仿宋" w:cs="仿宋"/>
          <w:color w:val="auto"/>
          <w:sz w:val="28"/>
          <w:szCs w:val="28"/>
          <w:highlight w:val="none"/>
        </w:rPr>
        <w:t xml:space="preserve">：</w:t>
      </w:r>
      <w:bookmarkEnd w:id="59"/>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1.下述文件是构成合同不可分割的部分，具有同等的法律效力，应一并阅读和理解。</w:t>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本合同协议书；</w:t>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中标通知书；</w:t>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采购文件及附件；</w:t>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投标文件及附件；</w:t>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经双方协商一致达成的补充协议。</w:t>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2.上述文件应认为是互为补充和解释的，若有不明确及不一致之处，以上面所列顺序在前及时间在后者为准。</w:t>
      </w:r>
      <w:bookmarkStart w:id="60" w:name="_Toc81879423"/>
      <w:r/>
      <w:bookmarkEnd w:id="60"/>
      <w:r/>
      <w:r/>
    </w:p>
    <w:p>
      <w:pPr>
        <w:contextualSpacing/>
        <w:ind w:firstLine="562"/>
        <w:spacing w:line="460" w:lineRule="exact"/>
        <w:tabs>
          <w:tab w:val="left" w:pos="36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一</w:t>
      </w:r>
      <w:r>
        <w:rPr>
          <w:rFonts w:hint="eastAsia" w:ascii="仿宋" w:hAnsi="仿宋" w:eastAsia="仿宋" w:cs="仿宋"/>
          <w:b/>
          <w:bCs/>
          <w:color w:val="auto"/>
          <w:sz w:val="28"/>
          <w:szCs w:val="28"/>
          <w:highlight w:val="none"/>
        </w:rPr>
        <w:t xml:space="preserve">、其他</w:t>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1.本合同期限为</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合同一年一签</w:t>
      </w:r>
      <w:r>
        <w:rPr>
          <w:rFonts w:hint="eastAsia" w:ascii="仿宋" w:hAnsi="仿宋" w:eastAsia="仿宋" w:cs="仿宋"/>
          <w:color w:val="auto"/>
          <w:sz w:val="28"/>
          <w:szCs w:val="28"/>
          <w:highlight w:val="none"/>
        </w:rPr>
        <w:t xml:space="preserve">，自</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年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月</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日开始至</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月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日止</w:t>
      </w:r>
      <w:r>
        <w:rPr>
          <w:rFonts w:hint="eastAsia" w:ascii="仿宋" w:hAnsi="仿宋" w:eastAsia="仿宋" w:cs="仿宋"/>
          <w:color w:val="auto"/>
          <w:sz w:val="28"/>
          <w:szCs w:val="28"/>
          <w:highlight w:val="none"/>
        </w:rPr>
        <w:t xml:space="preserve">。</w:t>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2.本合同一式四份，具有同等法律效力，甲方、乙方各执</w:t>
      </w:r>
      <w:r>
        <w:rPr>
          <w:rFonts w:hint="eastAsia" w:ascii="仿宋" w:hAnsi="仿宋" w:eastAsia="仿宋" w:cs="仿宋"/>
          <w:color w:val="auto"/>
          <w:sz w:val="28"/>
          <w:szCs w:val="28"/>
          <w:highlight w:val="none"/>
          <w:lang w:val="en-US" w:eastAsia="zh-CN"/>
        </w:rPr>
        <w:t xml:space="preserve">两</w:t>
      </w:r>
      <w:r>
        <w:rPr>
          <w:rFonts w:hint="eastAsia" w:ascii="仿宋" w:hAnsi="仿宋" w:eastAsia="仿宋" w:cs="仿宋"/>
          <w:color w:val="auto"/>
          <w:sz w:val="28"/>
          <w:szCs w:val="28"/>
          <w:highlight w:val="none"/>
        </w:rPr>
        <w:t xml:space="preserve">份。</w:t>
      </w:r>
      <w:bookmarkStart w:id="61" w:name="_Toc81879424"/>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3.合同未尽事宜：</w:t>
      </w:r>
      <w:bookmarkEnd w:id="61"/>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合同中未尽事宜，甲乙双方应友好协商，按国家有关法律、法规执行。</w:t>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乙方： </w:t>
      </w:r>
      <w:r/>
    </w:p>
    <w:p>
      <w:pPr>
        <w:contextualSpacing/>
        <w:ind w:firstLine="560"/>
        <w:spacing w:line="460" w:lineRule="exact"/>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法定代表人或委托代理人：     法定代表人或 委托代理人：                                 </w:t>
      </w:r>
      <w:r/>
    </w:p>
    <w:p>
      <w:pPr>
        <w:contextualSpacing/>
        <w:ind w:firstLine="560"/>
        <w:spacing w:line="460" w:lineRule="exact"/>
        <w:tabs>
          <w:tab w:val="left" w:pos="36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               合同签订时间：</w:t>
      </w:r>
      <w:r/>
    </w:p>
    <w:p>
      <w:pPr>
        <w:ind w:firstLine="420"/>
        <w:jc w:val="left"/>
        <w:spacing w:line="440" w:lineRule="exact"/>
        <w:widowControl/>
        <w:rPr>
          <w:rFonts w:hint="default" w:ascii="方正仿宋_GBK" w:hAnsi="方正仿宋_GBK" w:eastAsia="方正仿宋_GBK" w:cs="方正仿宋_GBK"/>
          <w:color w:val="auto"/>
          <w:sz w:val="28"/>
          <w:szCs w:val="28"/>
          <w:highlight w:val="none"/>
          <w:lang w:val="en-US" w:eastAsia="zh-CN"/>
        </w:rPr>
      </w:pPr>
      <w:r>
        <w:rPr>
          <w:rFonts w:hint="default" w:ascii="方正仿宋_GBK" w:hAnsi="方正仿宋_GBK" w:eastAsia="方正仿宋_GBK" w:cs="方正仿宋_GBK"/>
          <w:color w:val="auto"/>
          <w:sz w:val="28"/>
          <w:szCs w:val="28"/>
          <w:highlight w:val="none"/>
          <w:lang w:val="en-US" w:eastAsia="zh-CN"/>
        </w:rPr>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460" w:lineRule="exact"/>
        <w:rPr>
          <w:rFonts w:ascii="宋体" w:hAnsi="宋体" w:cs="宋体"/>
          <w:b/>
          <w:bCs w:val="0"/>
          <w:color w:val="auto"/>
          <w:sz w:val="28"/>
          <w:szCs w:val="28"/>
          <w:highlight w:val="none"/>
        </w:rPr>
        <w:outlineLvl w:val="0"/>
      </w:pPr>
      <w:r>
        <w:rPr>
          <w:rFonts w:hint="eastAsia" w:ascii="宋体" w:hAnsi="宋体" w:cs="宋体"/>
          <w:b/>
          <w:bCs w:val="0"/>
          <w:color w:val="auto"/>
          <w:sz w:val="36"/>
          <w:szCs w:val="36"/>
          <w:highlight w:val="none"/>
        </w:rPr>
        <w:t xml:space="preserve">第四部分  开标和评标</w:t>
      </w:r>
      <w:r/>
    </w:p>
    <w:p>
      <w:pPr>
        <w:pStyle w:val="1217"/>
        <w:ind w:left="0" w:right="0" w:firstLine="562"/>
        <w:jc w:val="left"/>
        <w:spacing w:before="0" w:after="0" w:line="460" w:lineRule="exact"/>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r>
      <w:r/>
    </w:p>
    <w:p>
      <w:pPr>
        <w:pStyle w:val="1217"/>
        <w:ind w:left="0" w:right="0" w:firstLine="562"/>
        <w:jc w:val="left"/>
        <w:keepLines w:val="0"/>
        <w:keepNext w:val="0"/>
        <w:pageBreakBefore w:val="0"/>
        <w:spacing w:before="0" w:after="0" w:line="500" w:lineRule="exact"/>
        <w:widowControl w:val="off"/>
        <w:rPr>
          <w:rFonts w:hint="eastAsia" w:ascii="方正仿宋_GBK" w:hAnsi="方正仿宋_GBK" w:eastAsia="方正仿宋_GBK" w:cs="方正仿宋_GBK"/>
          <w:b/>
          <w:color w:val="auto"/>
          <w:sz w:val="28"/>
          <w:szCs w:val="28"/>
          <w:highlight w:val="none"/>
        </w:rPr>
        <w:outlineLvl w:val="1"/>
      </w:pPr>
      <w:r>
        <w:rPr>
          <w:rFonts w:hint="eastAsia" w:ascii="方正仿宋_GBK" w:hAnsi="方正仿宋_GBK" w:eastAsia="方正仿宋_GBK" w:cs="方正仿宋_GBK"/>
          <w:b/>
          <w:color w:val="auto"/>
          <w:sz w:val="28"/>
          <w:szCs w:val="28"/>
          <w:highlight w:val="none"/>
        </w:rPr>
        <w:t xml:space="preserve">一、开标</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不见面远程开标模式：开标当天各投标人在各自地点通过苏采云系统及时登录不见面开标大厅，参加投标活动。</w:t>
      </w:r>
      <w:r/>
    </w:p>
    <w:p>
      <w:pPr>
        <w:pStyle w:val="1217"/>
        <w:ind w:left="0" w:right="0" w:firstLine="562"/>
        <w:jc w:val="left"/>
        <w:keepLines w:val="0"/>
        <w:keepNext w:val="0"/>
        <w:pageBreakBefore w:val="0"/>
        <w:spacing w:before="0" w:after="0" w:line="500" w:lineRule="exact"/>
        <w:widowControl w:val="off"/>
        <w:rPr>
          <w:rFonts w:hint="eastAsia" w:ascii="方正仿宋_GBK" w:hAnsi="方正仿宋_GBK" w:eastAsia="方正仿宋_GBK" w:cs="方正仿宋_GBK"/>
          <w:b/>
          <w:color w:val="auto"/>
          <w:sz w:val="28"/>
          <w:szCs w:val="28"/>
          <w:highlight w:val="none"/>
        </w:rPr>
        <w:outlineLvl w:val="1"/>
      </w:pPr>
      <w:r>
        <w:rPr>
          <w:rFonts w:hint="eastAsia" w:ascii="方正仿宋_GBK" w:hAnsi="方正仿宋_GBK" w:eastAsia="方正仿宋_GBK" w:cs="方正仿宋_GBK"/>
          <w:b/>
          <w:color w:val="auto"/>
          <w:sz w:val="28"/>
          <w:szCs w:val="28"/>
          <w:highlight w:val="none"/>
        </w:rPr>
        <w:t xml:space="preserve">二、评标流程和评标标准</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采用综合评分法。分资格审查、商务技术标、价格标三部分评审，总分值为100分，加分和减分因素除外。</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评委在认真审阅投标文件的基础上，根据各投标文件的响应程度独立评判，不得统一打分。</w:t>
      </w:r>
      <w:r/>
    </w:p>
    <w:p>
      <w:pPr>
        <w:ind w:firstLine="562"/>
        <w:keepLines w:val="0"/>
        <w:keepNext w:val="0"/>
        <w:pageBreakBefore w:val="0"/>
        <w:spacing w:line="500" w:lineRule="exact"/>
        <w:widowControl w:val="off"/>
        <w:rPr>
          <w:rFonts w:hint="eastAsia" w:ascii="方正仿宋_GBK" w:hAnsi="方正仿宋_GBK" w:eastAsia="方正仿宋_GBK" w:cs="方正仿宋_GBK"/>
          <w:b/>
          <w:color w:val="auto"/>
          <w:sz w:val="28"/>
          <w:szCs w:val="28"/>
          <w:highlight w:val="none"/>
        </w:rPr>
        <w:outlineLvl w:val="2"/>
      </w:pPr>
      <w:r>
        <w:rPr>
          <w:rFonts w:hint="eastAsia" w:ascii="方正仿宋_GBK" w:hAnsi="方正仿宋_GBK" w:eastAsia="方正仿宋_GBK" w:cs="方正仿宋_GBK"/>
          <w:b/>
          <w:color w:val="auto"/>
          <w:sz w:val="28"/>
          <w:szCs w:val="28"/>
          <w:highlight w:val="none"/>
        </w:rPr>
        <w:t xml:space="preserve">（一）招标人（代表）对投标人资格进行审查。</w:t>
      </w:r>
      <w:r/>
    </w:p>
    <w:p>
      <w:pPr>
        <w:pStyle w:val="1221"/>
        <w:ind w:firstLine="560"/>
        <w:keepLines w:val="0"/>
        <w:keepNext w:val="0"/>
        <w:pageBreakBefore w:val="0"/>
        <w:spacing w:line="500" w:lineRule="exact"/>
        <w:widowControl w:val="off"/>
        <w:rPr>
          <w:rFonts w:hint="eastAsia" w:ascii="方正仿宋_GBK" w:hAnsi="方正仿宋_GBK" w:eastAsia="方正仿宋_GBK" w:cs="方正仿宋_GBK"/>
          <w:color w:val="auto"/>
          <w:sz w:val="28"/>
          <w:highlight w:val="none"/>
        </w:rPr>
      </w:pPr>
      <w:r>
        <w:rPr>
          <w:rFonts w:hint="eastAsia" w:ascii="方正仿宋_GBK" w:hAnsi="方正仿宋_GBK" w:eastAsia="方正仿宋_GBK" w:cs="方正仿宋_GBK"/>
          <w:color w:val="auto"/>
          <w:sz w:val="28"/>
          <w:highlight w:val="none"/>
        </w:rPr>
        <w:t xml:space="preserve">投标人资格不合格的，其投标文件判定为无效投标文件。</w:t>
      </w:r>
      <w:r/>
    </w:p>
    <w:p>
      <w:pPr>
        <w:ind w:firstLine="562"/>
        <w:jc w:val="left"/>
        <w:keepLines w:val="0"/>
        <w:keepNext w:val="0"/>
        <w:pageBreakBefore w:val="0"/>
        <w:spacing w:line="500" w:lineRule="exact"/>
        <w:widowControl w:val="off"/>
        <w:rPr>
          <w:rFonts w:hint="eastAsia" w:ascii="方正仿宋_GBK" w:hAnsi="方正仿宋_GBK" w:eastAsia="方正仿宋_GBK" w:cs="方正仿宋_GBK"/>
          <w:b/>
          <w:color w:val="auto"/>
          <w:sz w:val="28"/>
          <w:szCs w:val="28"/>
          <w:highlight w:val="none"/>
        </w:rPr>
        <w:outlineLvl w:val="2"/>
      </w:pPr>
      <w:r>
        <w:rPr>
          <w:rFonts w:hint="eastAsia" w:ascii="方正仿宋_GBK" w:hAnsi="方正仿宋_GBK" w:eastAsia="方正仿宋_GBK" w:cs="方正仿宋_GBK"/>
          <w:b/>
          <w:color w:val="auto"/>
          <w:sz w:val="28"/>
          <w:szCs w:val="28"/>
          <w:highlight w:val="none"/>
        </w:rPr>
        <w:t xml:space="preserve">（二）评标委员会对符合资格投标人的投标文件进行符合性审查。</w:t>
      </w:r>
      <w:r/>
    </w:p>
    <w:p>
      <w:pPr>
        <w:pStyle w:val="1221"/>
        <w:ind w:firstLine="560"/>
        <w:keepLines w:val="0"/>
        <w:keepNext w:val="0"/>
        <w:pageBreakBefore w:val="0"/>
        <w:spacing w:line="500" w:lineRule="exact"/>
        <w:widowControl w:val="off"/>
        <w:rPr>
          <w:rFonts w:hint="eastAsia" w:ascii="方正仿宋_GBK" w:hAnsi="方正仿宋_GBK" w:eastAsia="方正仿宋_GBK" w:cs="方正仿宋_GBK"/>
          <w:color w:val="auto"/>
          <w:sz w:val="28"/>
          <w:highlight w:val="none"/>
        </w:rPr>
      </w:pPr>
      <w:r>
        <w:rPr>
          <w:rFonts w:hint="eastAsia" w:ascii="方正仿宋_GBK" w:hAnsi="方正仿宋_GBK" w:eastAsia="方正仿宋_GBK" w:cs="方正仿宋_GBK"/>
          <w:color w:val="auto"/>
          <w:sz w:val="28"/>
          <w:highlight w:val="none"/>
        </w:rPr>
        <w:t xml:space="preserve">未通过符合性审查的投标文件，将被判为不满足招标文件实质性要求。 </w:t>
      </w:r>
      <w:r/>
    </w:p>
    <w:p>
      <w:pPr>
        <w:ind w:firstLine="562"/>
        <w:jc w:val="left"/>
        <w:keepLines w:val="0"/>
        <w:keepNext w:val="0"/>
        <w:pageBreakBefore w:val="0"/>
        <w:spacing w:line="500" w:lineRule="exact"/>
        <w:widowControl w:val="off"/>
        <w:rPr>
          <w:rFonts w:hint="eastAsia" w:ascii="方正仿宋_GBK" w:hAnsi="方正仿宋_GBK" w:eastAsia="方正仿宋_GBK" w:cs="方正仿宋_GBK"/>
          <w:b/>
          <w:color w:val="auto"/>
          <w:sz w:val="28"/>
          <w:szCs w:val="28"/>
          <w:highlight w:val="none"/>
        </w:rPr>
        <w:outlineLvl w:val="2"/>
      </w:pPr>
      <w:r>
        <w:rPr>
          <w:rFonts w:hint="eastAsia" w:ascii="方正仿宋_GBK" w:hAnsi="方正仿宋_GBK" w:eastAsia="方正仿宋_GBK" w:cs="方正仿宋_GBK"/>
          <w:b/>
          <w:color w:val="auto"/>
          <w:sz w:val="28"/>
          <w:szCs w:val="28"/>
          <w:highlight w:val="none"/>
        </w:rPr>
        <w:t xml:space="preserve">（</w:t>
      </w:r>
      <w:r>
        <w:rPr>
          <w:rFonts w:hint="eastAsia" w:ascii="方正仿宋_GBK" w:hAnsi="方正仿宋_GBK" w:eastAsia="方正仿宋_GBK" w:cs="方正仿宋_GBK"/>
          <w:b/>
          <w:color w:val="auto"/>
          <w:sz w:val="28"/>
          <w:szCs w:val="28"/>
          <w:highlight w:val="none"/>
          <w:lang w:val="zh-CN"/>
        </w:rPr>
        <w:t xml:space="preserve">三</w:t>
      </w:r>
      <w:r>
        <w:rPr>
          <w:rFonts w:hint="eastAsia" w:ascii="方正仿宋_GBK" w:hAnsi="方正仿宋_GBK" w:eastAsia="方正仿宋_GBK" w:cs="方正仿宋_GBK"/>
          <w:b/>
          <w:color w:val="auto"/>
          <w:sz w:val="28"/>
          <w:szCs w:val="28"/>
          <w:highlight w:val="none"/>
        </w:rPr>
        <w:t xml:space="preserve">）</w:t>
      </w:r>
      <w:r>
        <w:rPr>
          <w:rFonts w:hint="eastAsia" w:ascii="方正仿宋_GBK" w:hAnsi="方正仿宋_GBK" w:eastAsia="方正仿宋_GBK" w:cs="方正仿宋_GBK"/>
          <w:b/>
          <w:color w:val="auto"/>
          <w:sz w:val="28"/>
          <w:szCs w:val="28"/>
          <w:highlight w:val="none"/>
          <w:lang w:val="zh-CN"/>
        </w:rPr>
        <w:t xml:space="preserve">商务技术分</w:t>
      </w:r>
      <w:r>
        <w:rPr>
          <w:rFonts w:hint="eastAsia" w:ascii="方正仿宋_GBK" w:hAnsi="方正仿宋_GBK" w:eastAsia="方正仿宋_GBK" w:cs="方正仿宋_GBK"/>
          <w:color w:val="auto"/>
          <w:sz w:val="28"/>
          <w:szCs w:val="28"/>
          <w:highlight w:val="none"/>
          <w:lang w:val="zh-CN"/>
        </w:rPr>
        <w:t xml:space="preserve">：</w:t>
      </w:r>
      <w:r>
        <w:rPr>
          <w:rFonts w:hint="eastAsia" w:ascii="方正仿宋_GBK" w:hAnsi="方正仿宋_GBK" w:eastAsia="方正仿宋_GBK" w:cs="方正仿宋_GBK"/>
          <w:color w:val="auto"/>
          <w:sz w:val="28"/>
          <w:szCs w:val="28"/>
          <w:highlight w:val="none"/>
          <w:lang w:val="en-US" w:eastAsia="zh-CN"/>
        </w:rPr>
        <w:t xml:space="preserve">80</w:t>
      </w:r>
      <w:r>
        <w:rPr>
          <w:rFonts w:hint="eastAsia" w:ascii="方正仿宋_GBK" w:hAnsi="方正仿宋_GBK" w:eastAsia="方正仿宋_GBK" w:cs="方正仿宋_GBK"/>
          <w:color w:val="auto"/>
          <w:sz w:val="28"/>
          <w:szCs w:val="28"/>
          <w:highlight w:val="none"/>
          <w:lang w:val="zh-CN"/>
        </w:rPr>
        <w:t xml:space="preserve">分</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各投标人得分为评委会成员评分的算术平均分，分值保留小数点后两位。</w:t>
      </w:r>
      <w:r/>
    </w:p>
    <w:tbl>
      <w:tblPr>
        <w:tblStyle w:val="923"/>
        <w:tblW w:w="8536" w:type="dxa"/>
        <w:tblInd w:w="-15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3"/>
        <w:gridCol w:w="1500"/>
        <w:gridCol w:w="915"/>
        <w:gridCol w:w="2446"/>
        <w:gridCol w:w="974"/>
        <w:gridCol w:w="974"/>
        <w:gridCol w:w="974"/>
      </w:tblGrid>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评分点名称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最高分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最低分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主/客观分</w:t>
            </w:r>
            <w:r/>
          </w:p>
        </w:tc>
      </w:tr>
      <w:tr>
        <w:trPr>
          <w:trHeight w:val="1784"/>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清障车辆及清障人员配备</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投标人提供的清障车辆必须具有合法、完备的证照，不得提供报废、非法车辆参与清障作业。投标时需提供车辆清单明细、行驶证及为车辆投保的保险公司保单、机动车登记证书等，如为自有车辆，车辆行驶证上的单位名称必须与投标单位名称一致方可得分。投标人上传系统的相关证明材料均应为原件的扫描件且清晰可见，否则，投标人自行承担因扫描件模糊等问题导致评委无法辨识的一切后果。</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客观分</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清障车辆的种类、型号、数量</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本项目需配备符合要求的驾驶员。清障车辆可以为自有的，也可以是与具有清障施救经营范围企业合作租赁的。1.自有车辆提供自有清障车辆行驶证，2.租赁车辆提供①与具有清障施救经营范围企业签订的合作协议（协议期限应覆盖整个中标服务期）、②租赁车辆的行驶证；③合作企业的营业执照。评委根据投标人提供车辆的种类、型号、数量等评审打分：在满足上述最低要求的基础上，每增加1辆得1分，最多得4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Style w:val="1288"/>
                <w:rFonts w:hint="eastAsia" w:ascii="仿宋" w:hAnsi="仿宋" w:eastAsia="仿宋" w:cs="仿宋"/>
                <w:color w:val="auto"/>
                <w:sz w:val="24"/>
                <w:szCs w:val="24"/>
                <w:highlight w:val="none"/>
                <w:lang w:val="en-US" w:eastAsia="zh-CN" w:bidi="ar"/>
              </w:rPr>
              <w:suppressLineNumbers w:val="0"/>
            </w:pPr>
            <w:r>
              <w:rPr>
                <w:rStyle w:val="1288"/>
                <w:rFonts w:hint="eastAsia" w:ascii="仿宋" w:hAnsi="仿宋" w:eastAsia="仿宋" w:cs="仿宋"/>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Style w:val="1288"/>
                <w:rFonts w:hint="eastAsia" w:ascii="仿宋" w:hAnsi="仿宋" w:eastAsia="仿宋" w:cs="仿宋"/>
                <w:color w:val="auto"/>
                <w:sz w:val="24"/>
                <w:szCs w:val="24"/>
                <w:highlight w:val="none"/>
                <w:lang w:val="en-US" w:eastAsia="zh-CN" w:bidi="ar"/>
              </w:rPr>
              <w:suppressLineNumbers w:val="0"/>
            </w:pPr>
            <w:r>
              <w:rPr>
                <w:rStyle w:val="1288"/>
                <w:rFonts w:hint="eastAsia" w:ascii="仿宋" w:hAnsi="仿宋" w:eastAsia="仿宋" w:cs="仿宋"/>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Style w:val="1288"/>
                <w:rFonts w:hint="eastAsia" w:ascii="仿宋" w:hAnsi="仿宋" w:eastAsia="仿宋" w:cs="仿宋"/>
                <w:color w:val="auto"/>
                <w:sz w:val="24"/>
                <w:szCs w:val="24"/>
                <w:highlight w:val="none"/>
                <w:lang w:val="en-US" w:eastAsia="zh-CN" w:bidi="ar"/>
              </w:rPr>
              <w:suppressLineNumbers w:val="0"/>
            </w:pPr>
            <w:r>
              <w:rPr>
                <w:rStyle w:val="1288"/>
                <w:rFonts w:hint="eastAsia" w:ascii="仿宋" w:hAnsi="仿宋" w:eastAsia="仿宋" w:cs="仿宋"/>
                <w:color w:val="auto"/>
                <w:sz w:val="24"/>
                <w:szCs w:val="24"/>
                <w:highlight w:val="none"/>
                <w:lang w:val="en-US" w:eastAsia="zh-CN" w:bidi="ar"/>
              </w:rPr>
              <w:t xml:space="preserve">客观分</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清障车辆第三者责任险</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提供的车辆购买除交强险外，购买保险理赔金额不少于100万元的第三者责任险的提供一辆车的保单得1分，最多得6分。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客观分</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清障车辆排放标准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提供的车辆</w:t>
            </w:r>
            <w:r>
              <w:rPr>
                <w:rStyle w:val="1288"/>
                <w:rFonts w:hint="eastAsia" w:ascii="仿宋" w:hAnsi="仿宋" w:eastAsia="仿宋" w:cs="仿宋"/>
                <w:color w:val="auto"/>
                <w:sz w:val="24"/>
                <w:szCs w:val="24"/>
                <w:highlight w:val="none"/>
                <w:lang w:val="en-US" w:eastAsia="zh-CN" w:bidi="ar"/>
              </w:rPr>
              <w:t xml:space="preserve">排放标准为国六标准的每一辆0.5分，本项最高得3分</w:t>
            </w:r>
            <w:r>
              <w:rPr>
                <w:rFonts w:hint="eastAsia" w:ascii="仿宋" w:hAnsi="仿宋" w:eastAsia="仿宋" w:cs="仿宋"/>
                <w:i w:val="0"/>
                <w:iCs w:val="0"/>
                <w:color w:val="auto"/>
                <w:sz w:val="24"/>
                <w:szCs w:val="24"/>
                <w:highlight w:val="none"/>
                <w:u w:val="none"/>
                <w:lang w:val="en-US" w:eastAsia="zh-CN" w:bidi="ar"/>
              </w:rPr>
              <w:t xml:space="preserve">（附车辆信息明细表）。</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客观分</w:t>
            </w:r>
            <w:r/>
          </w:p>
        </w:tc>
      </w:tr>
      <w:tr>
        <w:trPr>
          <w:trHeight w:val="996"/>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清障车辆随车装备</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提供的清障车应配备足够、完好的交通清障辅助设备：包括枕木警示筒、警示带等反光标志、拖车辅助轮、千斤顶、1000万像素以上具有夜间拍摄和摄录功能的行车记录仪、接车员随身佩戴的记录仪等。投标单位提供清障车随车装备清单，以往购买装备的发票）及清障车上随车装备的照片。评委对比打分。</w:t>
            </w:r>
            <w:r/>
          </w:p>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①完整提供全部清单、发票、照片，全部装备齐全，得2分；②提供清单，但缺少1‑2类装备或部分无发票/照片佐证，得1分；③不提供清单，或缺少3类及以上装备，本项0 分。注：仅提供文字清单，无发票、照片佐证不予得分。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主观分</w:t>
            </w:r>
            <w:r/>
          </w:p>
        </w:tc>
      </w:tr>
      <w:tr>
        <w:trPr>
          <w:trHeight w:val="1647"/>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清障人员配备</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投标人提供在职清障人员相关证明材料：①与所投清障车准驾车型相符的驾驶证②清障人员与投标企业签订的劳动合同③提供社保机构出具的最近6个月内任意1个月的缴费明细。每个驾驶员得0.5分，满分2分。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提供服务的驾驶员中，有A1驾驶证（至少5年驾龄）的（提供社保机构出具的最近6个月内任意1个月的缴费明细），得2分。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客观分</w:t>
            </w:r>
            <w:r/>
          </w:p>
        </w:tc>
      </w:tr>
      <w:tr>
        <w:trPr>
          <w:trHeight w:val="1151"/>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停车场场地</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lang w:val="en-US"/>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投标人拥有停车场，可以是自有或租赁（含意向性协议）。提供①场地位置定位（高德或百度地图）截图，并标明所属</w:t>
            </w:r>
            <w:r>
              <w:rPr>
                <w:rFonts w:hint="eastAsia" w:ascii="仿宋" w:hAnsi="仿宋" w:eastAsia="仿宋" w:cs="仿宋"/>
                <w:i w:val="0"/>
                <w:iCs w:val="0"/>
                <w:color w:val="auto"/>
                <w:sz w:val="24"/>
                <w:szCs w:val="24"/>
                <w:highlight w:val="none"/>
                <w:u w:val="none"/>
                <w:lang w:val="en-US" w:eastAsia="zh-CN" w:bidi="ar"/>
              </w:rPr>
              <w:t xml:space="preserve">区、街道或镇；②停车场地权属属于投标人自有的，提供停车场地的有效所有权证明复印件如房产证、土地证；③停车场地权属属于投标人租赁的，提供停车场地的使用权证明如租赁合同（含意向性协议）（租赁期限应覆盖整个中标服务期），且以上租赁合同（含意向性协议）材料必须经住建局或街道、镇级相关政府部门登记备案（样本格式见附件6），提供登记备案复印件加盖公章。投标人提供现有停车场场地尺寸平面图、照片等证明材料，中标后合同签订签前招标人将赴成交供应商停车场现场核验，如投标人提供的证明材料与现场不符（负偏离），招标人有权拒签合同。</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主/客观分</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场地面积</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投标供应商投标响应停车场地面积在满足项目需求的基础上(如不满足按无效标处理），每增加2000平方米的，加1分，最多加3分。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客观分</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场地硬化</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承诺停车场场地硬化材质为水泥或沥青（含基础厚度必须达到20cm）、石子或其他硬化材质（列表说明），需提供承诺函（格式自拟）且根据各投标人提供的方案评委对比打分。</w:t>
            </w:r>
            <w:r/>
          </w:p>
          <w:p>
            <w:pPr>
              <w:jc w:val="left"/>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①明确各功能区硬化材质（水泥/沥青），写明硬化厚度不低于20cm，包含场地排水、防积水处理措施，图纸或说明覆盖两个全部停车场，无缺陷，得3分；②明确硬化材质、厚度≥20cm，但缺少排水处理措施，或仅对部分停车场说明，得2分；③硬化厚度不足20cm，或未明确材质厚度，或方案存在缺陷，得1分；④未提供硬化实施方案、未提供承诺函，本项0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主观分</w:t>
            </w:r>
            <w:r/>
          </w:p>
        </w:tc>
      </w:tr>
      <w:tr>
        <w:trPr>
          <w:trHeight w:val="1236"/>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场地设施</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场地设施需提供场地已有业务用房现场照片或拟建业务用房设计图纸及预算，评委根据投标人提供业务用房的建筑材料、大小、功能等资料进行对比打分：</w:t>
            </w:r>
            <w:r>
              <w:rPr>
                <w:rFonts w:hint="eastAsia" w:ascii="仿宋" w:hAnsi="仿宋" w:eastAsia="仿宋" w:cs="仿宋"/>
                <w:color w:val="auto"/>
                <w:sz w:val="24"/>
                <w:szCs w:val="24"/>
                <w:highlight w:val="none"/>
              </w:rPr>
              <w:t xml:space="preserve">1）每个停车场业务用房面积≥50㎡；2）接待区配置电脑、打印机、休息座椅、便民箱；3）涉案物品保管区储物架、≥10个储物柜配置方案；4）办公区可容纳3张办公桌；5）业务用房周边及场内通道硬化方案。全部5个模块完整响应，材料齐全，无缺陷得5分；每缺 1个模块扣1分；本项最低0分。仅写文字承诺、无图纸/照片佐证，每个模块扣 0.5分。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主观分</w:t>
            </w:r>
            <w:r/>
          </w:p>
        </w:tc>
      </w:tr>
      <w:tr>
        <w:trPr>
          <w:trHeight w:val="2058"/>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停车场分区分级管理方案</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Style w:val="954"/>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针对服务功能需求、停车车辆类型、进场涉案车辆涉案性质等，对停车场进行分区、分等级管理，并采取展板等方式上墙公示。</w:t>
            </w:r>
            <w:r>
              <w:rPr>
                <w:rFonts w:hint="eastAsia" w:ascii="仿宋" w:hAnsi="仿宋" w:eastAsia="仿宋" w:cs="仿宋"/>
                <w:i w:val="0"/>
                <w:iCs w:val="0"/>
                <w:color w:val="auto"/>
                <w:sz w:val="24"/>
                <w:szCs w:val="24"/>
                <w:highlight w:val="none"/>
                <w:u w:val="none"/>
                <w:lang w:val="en-US" w:eastAsia="zh-CN" w:bidi="ar"/>
              </w:rPr>
              <w:br/>
            </w:r>
            <w:r>
              <w:rPr>
                <w:rStyle w:val="954"/>
                <w:rFonts w:hint="eastAsia" w:ascii="仿宋" w:hAnsi="仿宋" w:eastAsia="仿宋" w:cs="仿宋"/>
                <w:color w:val="auto"/>
                <w:sz w:val="24"/>
                <w:szCs w:val="24"/>
                <w:highlight w:val="none"/>
              </w:rPr>
              <w:t xml:space="preserve">平面分区布置图，方案需包含：①六大功能分区（一般事故停放区、重大车损事故停放区、痕检停放区、违法货车区、违法小车区、非机动车停放区）；②物理隔离措施；③分区标识标牌上墙方案；④两个区域（通吕运河南/北）分别分区规划；⑤车辆入场分区流转流程。共 5 个模块。</w:t>
            </w:r>
            <w:r>
              <w:rPr>
                <w:rStyle w:val="954"/>
                <w:rFonts w:hint="eastAsia" w:ascii="仿宋" w:hAnsi="仿宋" w:eastAsia="仿宋" w:cs="仿宋"/>
                <w:color w:val="auto"/>
                <w:sz w:val="24"/>
                <w:szCs w:val="24"/>
                <w:highlight w:val="none"/>
                <w:lang w:val="en-US" w:eastAsia="zh-CN"/>
              </w:rPr>
              <w:t xml:space="preserve">评委根据提供的资料进行打分。</w:t>
            </w:r>
            <w:r/>
          </w:p>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rPr>
              <w:t xml:space="preserve">全部5个模块完整，提供平面布置图，内容贴合本项目，无缺陷得8分；5个模块齐全，但平面图纸简单粗略，部分细节缺失得5分；缺少1个模块得3分；缺少2个及以上模块得2分；未提供平面分区布置图直接本项0分。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主观分</w:t>
            </w:r>
            <w:r/>
          </w:p>
        </w:tc>
      </w:tr>
      <w:tr>
        <w:trPr>
          <w:trHeight w:val="682"/>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停车场人员配备</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投标时提供人员配置组织架构图、相关人员学历证书、身份证及提供社保机构出具的最近6个月内任意1个月的缴费明细，提供不全或不提供均不得分。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主/客观分</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组织架构</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投标人提供人员配置组织架构图。评委根据投标人提供人员配备、组织架构科学性、合理性评审。</w:t>
            </w:r>
            <w:r>
              <w:rPr>
                <w:rFonts w:hint="eastAsia" w:ascii="仿宋" w:hAnsi="仿宋" w:eastAsia="仿宋" w:cs="仿宋"/>
                <w:color w:val="auto"/>
                <w:sz w:val="24"/>
                <w:szCs w:val="24"/>
                <w:highlight w:val="none"/>
              </w:rPr>
              <w:t xml:space="preserve">①架构图完整，全部岗位均列明，每个岗位写明岗位职责，贴合涉案车辆停车场业务，无缺陷，得3分；②架构图岗位齐全，但岗位职责描述简略，得2分；③架构图缺少1个关键岗位（总负责人/分区负责人）得1分；④未提供组织架构图，0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主观分</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项目经理（总负责人）年龄在55周岁以下且具有考察项目团队人员的岗位培训经历、实操经验或相关职业资格证书得2分。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客观分</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停车管理员</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停车管理员年龄在55周岁以下且具有考察项目团队人员的岗位培训经历、实操经验或相关职业资格证书等，每满足条件1人得1.5分，最多得3分；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客观分</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门卫</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门卫年龄在60周岁以下，必须持有保安上岗证，每满足条件1人得0.5分，最多得3分。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客观分</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停车场地保险</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投标时提供场地责任险且保险责任不得低于300万</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客观分</w:t>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场地责任险</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pStyle w:val="928"/>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bidi="ar"/>
              </w:rPr>
              <w:t xml:space="preserve">投标人停车场场地已投保场地责任险或承诺在签订合同前完成保险手续，评标委员会根据投保金额对比排名打分：每增加50万加0.5分，最多得3分，未投保或未提供承诺的不得分。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928"/>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928"/>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928"/>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客观分</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投标时提供合同原件扫描件（同一业绩包含停车和拖车救援服务的，可分别计分）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客观分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停车服务业绩</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提供近2022年以来（以合同签订日期为准）与本项目类似的停车服务合同，提供完整合同扫描件（含服务范围、服务周期页），有一个得1分，最高不超过1分。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客观分</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拖车救援服务业绩</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提供近2022年以来（以合同签订日期为准）与本项目类似的拖车救援服务合同，提供完整合同扫描件（含服务范围、服务周期页）有一个得1分，最高不超过1分。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客观分</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服务方案</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评标委员会按服务方案优劣程度评审打分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主观分</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人员安排</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评标委员会根据投标人的人员服务方案打分，</w:t>
            </w:r>
            <w:r>
              <w:rPr>
                <w:rFonts w:hint="eastAsia" w:ascii="仿宋" w:hAnsi="仿宋" w:eastAsia="仿宋" w:cs="仿宋"/>
                <w:color w:val="auto"/>
                <w:sz w:val="24"/>
                <w:szCs w:val="24"/>
                <w:highlight w:val="none"/>
              </w:rPr>
              <w:t xml:space="preserve">①总负责人、两个分区负责人岗位职责；②门卫岗位排班制度（24小时在岗）；③接车人员排班、出警响应机制（5分钟响应，30分钟到场）；④高峰高架值守人员安排；⑤人员培训制度。全部模块齐全，措施完整，贴合本项目2个区域管理需求，无缺陷得2分；缺少任意1个模块，得1分；缺少2个及以上模块或未提供方案0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主观分</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车辆保管</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评标委员会根据投标人的车辆保管服务方案对比打分。</w:t>
            </w:r>
            <w:r>
              <w:rPr>
                <w:rStyle w:val="954"/>
                <w:rFonts w:hint="eastAsia" w:ascii="仿宋" w:hAnsi="仿宋" w:eastAsia="仿宋" w:cs="仿宋"/>
                <w:color w:val="auto"/>
                <w:sz w:val="24"/>
                <w:szCs w:val="24"/>
                <w:highlight w:val="none"/>
              </w:rPr>
              <w:t xml:space="preserve">①接运响应流程；②车辆到场车况勘验、拍照登记流程；③分区分区停放管理；④痕检车辆专项保管措施；⑤车辆发还出库流程；⑥车辆损坏、物品丢失处置及赔偿机制。共6个模块。</w:t>
            </w:r>
            <w:r>
              <w:rPr>
                <w:rFonts w:hint="eastAsia" w:ascii="仿宋" w:hAnsi="仿宋" w:eastAsia="仿宋" w:cs="仿宋"/>
                <w:color w:val="auto"/>
                <w:sz w:val="24"/>
                <w:szCs w:val="24"/>
                <w:highlight w:val="none"/>
              </w:rPr>
              <w:t xml:space="preserve">全部6个模块完整，流程闭环，贴合本项目涉案车辆保管要求，无缺陷得5分；6个模块齐全，但部分流程描述简略，得3分；缺少1</w:t>
            </w:r>
            <w:r>
              <w:rPr>
                <w:rFonts w:hint="eastAsia" w:ascii="仿宋" w:hAnsi="仿宋" w:eastAsia="仿宋" w:cs="仿宋"/>
                <w:color w:val="auto"/>
                <w:sz w:val="24"/>
                <w:szCs w:val="24"/>
                <w:highlight w:val="none"/>
              </w:rPr>
              <w:noBreakHyphen/>
            </w:r>
            <w:r>
              <w:rPr>
                <w:rFonts w:hint="eastAsia" w:ascii="仿宋" w:hAnsi="仿宋" w:eastAsia="仿宋" w:cs="仿宋"/>
                <w:color w:val="auto"/>
                <w:sz w:val="24"/>
                <w:szCs w:val="24"/>
                <w:highlight w:val="none"/>
              </w:rPr>
              <w:t xml:space="preserve">2个模块得2分；缺少3个及以上模块得1分；未提供方案0分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主观分</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管理系统</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评标委员会根据投标人提供的涉案车辆管理系统功能、技术方案进行对比打分。</w:t>
            </w:r>
            <w:r>
              <w:rPr>
                <w:rStyle w:val="954"/>
                <w:rFonts w:hint="eastAsia" w:ascii="仿宋" w:hAnsi="仿宋" w:eastAsia="仿宋" w:cs="仿宋"/>
                <w:color w:val="auto"/>
                <w:sz w:val="24"/>
                <w:szCs w:val="24"/>
                <w:highlight w:val="none"/>
              </w:rPr>
              <w:t xml:space="preserve">①涉案车辆管理系统功能实现方案；②与甲方监管系统对接方案；③内外网交汇服务器配置；④车辆入场四面拍照存档方案；⑤6个月以上视频存储保障方案。</w:t>
            </w:r>
            <w:r>
              <w:rPr>
                <w:rFonts w:hint="eastAsia" w:ascii="仿宋" w:hAnsi="仿宋" w:eastAsia="仿宋" w:cs="仿宋"/>
                <w:color w:val="auto"/>
                <w:sz w:val="24"/>
                <w:szCs w:val="24"/>
                <w:highlight w:val="none"/>
              </w:rPr>
              <w:t xml:space="preserve">全部模块齐全，技术路径清晰，对接方案明确，无缺陷得4分；模块齐全，但部分技术细节描述简略得3分；缺少任意1个模块得2分；缺少2个及以上模块得1分；未提供方案0分。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主观分</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规章制度</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评标委员会根据投标人的停车场管理规章制度对比打分。必备制度清单：</w:t>
            </w:r>
            <w:r>
              <w:rPr>
                <w:rStyle w:val="954"/>
                <w:rFonts w:hint="eastAsia" w:ascii="仿宋" w:hAnsi="仿宋" w:eastAsia="仿宋" w:cs="仿宋"/>
                <w:color w:val="auto"/>
                <w:sz w:val="24"/>
                <w:szCs w:val="24"/>
                <w:highlight w:val="none"/>
              </w:rPr>
              <w:t xml:space="preserve">24小时值班制度、车辆接运登记制度、涉案物品保管制度、监控运维制度、消防安全制度、投诉处置制度。</w:t>
            </w:r>
            <w:r>
              <w:rPr>
                <w:rFonts w:hint="eastAsia" w:ascii="仿宋" w:hAnsi="仿宋" w:eastAsia="仿宋" w:cs="仿宋"/>
                <w:color w:val="auto"/>
                <w:sz w:val="24"/>
                <w:szCs w:val="24"/>
                <w:highlight w:val="none"/>
              </w:rPr>
              <w:t xml:space="preserve">6项制度全部完整提供，贴合涉案车辆停车场管理，得3分；齐全但部分制度内容简略得2分；缺少1</w:t>
            </w:r>
            <w:r>
              <w:rPr>
                <w:rFonts w:hint="eastAsia" w:ascii="仿宋" w:hAnsi="仿宋" w:eastAsia="仿宋" w:cs="仿宋"/>
                <w:color w:val="auto"/>
                <w:sz w:val="24"/>
                <w:szCs w:val="24"/>
                <w:highlight w:val="none"/>
              </w:rPr>
              <w:noBreakHyphen/>
            </w:r>
            <w:r>
              <w:rPr>
                <w:rFonts w:hint="eastAsia" w:ascii="仿宋" w:hAnsi="仿宋" w:eastAsia="仿宋" w:cs="仿宋"/>
                <w:color w:val="auto"/>
                <w:sz w:val="24"/>
                <w:szCs w:val="24"/>
                <w:highlight w:val="none"/>
              </w:rPr>
              <w:t xml:space="preserve">项制度得1分；缺少3项及以上制度0分。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主观分</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应急方案</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评标委员会根据投标人的应急方案对比打分。</w:t>
            </w:r>
            <w:r>
              <w:rPr>
                <w:rStyle w:val="954"/>
                <w:rFonts w:hint="eastAsia" w:ascii="仿宋" w:hAnsi="仿宋" w:eastAsia="仿宋" w:cs="仿宋"/>
                <w:color w:val="auto"/>
                <w:sz w:val="24"/>
                <w:szCs w:val="24"/>
                <w:highlight w:val="none"/>
              </w:rPr>
              <w:t xml:space="preserve">必备应急场景模块：①事故高峰期多车同时拖车调度应急；②停车场火情、水淹应急处置；③车辆被盗、物品遗失应急处置；④人员突发状况应急；⑤亡人事故尸体转运应急处置；⑥群众投诉、纠纷现场处置。</w:t>
            </w:r>
            <w:r>
              <w:rPr>
                <w:rFonts w:hint="eastAsia" w:ascii="仿宋" w:hAnsi="仿宋" w:eastAsia="仿宋" w:cs="仿宋"/>
                <w:color w:val="auto"/>
                <w:sz w:val="24"/>
                <w:szCs w:val="24"/>
                <w:highlight w:val="none"/>
              </w:rPr>
              <w:t xml:space="preserve">6个场景全部具备，处置流程、处置责任明确，贴合南通本地涉案车辆业务，无缺陷得4分；场景齐全，但部分处置流程简略，得 3分；缺少1</w:t>
            </w:r>
            <w:r>
              <w:rPr>
                <w:rFonts w:hint="eastAsia" w:ascii="仿宋" w:hAnsi="仿宋" w:eastAsia="仿宋" w:cs="仿宋"/>
                <w:color w:val="auto"/>
                <w:sz w:val="24"/>
                <w:szCs w:val="24"/>
                <w:highlight w:val="none"/>
              </w:rPr>
              <w:noBreakHyphen/>
            </w:r>
            <w:r>
              <w:rPr>
                <w:rFonts w:hint="eastAsia" w:ascii="仿宋" w:hAnsi="仿宋" w:eastAsia="仿宋" w:cs="仿宋"/>
                <w:color w:val="auto"/>
                <w:sz w:val="24"/>
                <w:szCs w:val="24"/>
                <w:highlight w:val="none"/>
              </w:rPr>
              <w:t xml:space="preserve">2个场景得2分；缺少3个及以上场景得1分；未提供方案0分。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主观分</w:t>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服务承诺</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评标委员会根据投标人针对本项目的服务承诺对比打分。</w:t>
            </w:r>
            <w:r>
              <w:rPr>
                <w:rStyle w:val="954"/>
                <w:rFonts w:hint="eastAsia" w:ascii="仿宋" w:hAnsi="仿宋" w:eastAsia="仿宋" w:cs="仿宋"/>
                <w:color w:val="auto"/>
                <w:sz w:val="24"/>
                <w:szCs w:val="24"/>
                <w:highlight w:val="none"/>
              </w:rPr>
              <w:t xml:space="preserve">必备承诺内容：①接警 5 分钟响应，30 分钟到场；②监控录像不少于 6 个月；③不得违规收费；④不得私拆挪用涉案车辆及车内物品；⑤服从甲方统筹调度停车场；⑥考核扣分整改承诺。</w:t>
            </w:r>
            <w:r>
              <w:rPr>
                <w:rFonts w:hint="eastAsia" w:ascii="仿宋" w:hAnsi="仿宋" w:eastAsia="仿宋" w:cs="仿宋"/>
                <w:color w:val="auto"/>
                <w:sz w:val="24"/>
                <w:szCs w:val="24"/>
                <w:highlight w:val="none"/>
              </w:rPr>
              <w:t xml:space="preserve">全部6项承诺完整，明确违约处置，得3分；承诺齐全，但缺少违约处置说明，得2分；缺少1</w:t>
            </w:r>
            <w:r>
              <w:rPr>
                <w:rFonts w:hint="eastAsia" w:ascii="仿宋" w:hAnsi="仿宋" w:eastAsia="仿宋" w:cs="仿宋"/>
                <w:color w:val="auto"/>
                <w:sz w:val="24"/>
                <w:szCs w:val="24"/>
                <w:highlight w:val="none"/>
              </w:rPr>
              <w:noBreakHyphen/>
            </w:r>
            <w:r>
              <w:rPr>
                <w:rFonts w:hint="eastAsia" w:ascii="仿宋" w:hAnsi="仿宋" w:eastAsia="仿宋" w:cs="仿宋"/>
                <w:color w:val="auto"/>
                <w:sz w:val="24"/>
                <w:szCs w:val="24"/>
                <w:highlight w:val="none"/>
              </w:rPr>
              <w:t xml:space="preserve">2项承诺得1分；缺少3项及以上承诺0分。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主观分</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创新发展</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46"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评标委员会根据投标人针对本项目中标后在以后的服务方案上能够提出创新思路，比如未来发展的策略、未来管理手段的创新、停车场未来改造计划等；</w:t>
            </w:r>
            <w:r>
              <w:rPr>
                <w:rFonts w:hint="eastAsia" w:ascii="仿宋" w:hAnsi="仿宋" w:eastAsia="仿宋" w:cs="仿宋"/>
                <w:color w:val="auto"/>
                <w:sz w:val="24"/>
                <w:szCs w:val="24"/>
                <w:highlight w:val="none"/>
              </w:rPr>
              <w:t xml:space="preserve">①创新措施与本项目涉案车辆保管、清障施救业务直接相关；②写明具体落地手段；③明确实施时间节点；④写明预期改进效果。4项全部满足，创新措施针对性强，可落地，得5分；4项齐全，但措施创新性一般，得3分；仅笼统写概念，没有落地手段，仅1</w:t>
            </w:r>
            <w:r>
              <w:rPr>
                <w:rFonts w:hint="eastAsia" w:ascii="仿宋" w:hAnsi="仿宋" w:eastAsia="仿宋" w:cs="仿宋"/>
                <w:color w:val="auto"/>
                <w:sz w:val="24"/>
                <w:szCs w:val="24"/>
                <w:highlight w:val="none"/>
              </w:rPr>
              <w:noBreakHyphen/>
            </w:r>
            <w:r>
              <w:rPr>
                <w:rFonts w:hint="eastAsia" w:ascii="仿宋" w:hAnsi="仿宋" w:eastAsia="仿宋" w:cs="仿宋"/>
                <w:color w:val="auto"/>
                <w:sz w:val="24"/>
                <w:szCs w:val="24"/>
                <w:highlight w:val="none"/>
              </w:rPr>
              <w:t xml:space="preserve">2项满足得1分；无针对本项目的创新方案，0分。注：通用模板空话套话，与本项目无关的创新不得高分。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主观分</w:t>
            </w:r>
            <w:r/>
          </w:p>
        </w:tc>
      </w:tr>
    </w:tbl>
    <w:p>
      <w:pPr>
        <w:ind w:firstLine="562"/>
        <w:keepLines w:val="0"/>
        <w:keepNext w:val="0"/>
        <w:pageBreakBefore w:val="0"/>
        <w:spacing w:line="500" w:lineRule="exact"/>
        <w:rPr>
          <w:rFonts w:hint="eastAsia" w:ascii="方正仿宋_GBK" w:hAnsi="方正仿宋_GBK" w:eastAsia="方正仿宋_GBK" w:cs="方正仿宋_GBK"/>
          <w:b/>
          <w:color w:val="auto"/>
          <w:sz w:val="28"/>
          <w:szCs w:val="28"/>
          <w:highlight w:val="none"/>
        </w:rPr>
        <w:outlineLvl w:val="2"/>
      </w:pPr>
      <w:r>
        <w:rPr>
          <w:rFonts w:hint="eastAsia" w:ascii="方正仿宋_GBK" w:hAnsi="方正仿宋_GBK" w:eastAsia="方正仿宋_GBK" w:cs="方正仿宋_GBK"/>
          <w:b/>
          <w:color w:val="auto"/>
          <w:sz w:val="28"/>
          <w:szCs w:val="28"/>
          <w:highlight w:val="none"/>
        </w:rPr>
        <w:t xml:space="preserve">（四）</w:t>
      </w:r>
      <w:r>
        <w:rPr>
          <w:rFonts w:hint="eastAsia" w:ascii="方正仿宋_GBK" w:hAnsi="方正仿宋_GBK" w:eastAsia="方正仿宋_GBK" w:cs="方正仿宋_GBK"/>
          <w:b/>
          <w:color w:val="auto"/>
          <w:sz w:val="28"/>
          <w:szCs w:val="28"/>
          <w:highlight w:val="none"/>
          <w:lang w:val="zh-CN"/>
        </w:rPr>
        <w:t xml:space="preserve">价格分</w:t>
      </w:r>
      <w:r>
        <w:rPr>
          <w:rFonts w:hint="eastAsia" w:ascii="方正仿宋_GBK" w:hAnsi="方正仿宋_GBK" w:eastAsia="方正仿宋_GBK" w:cs="方正仿宋_GBK"/>
          <w:b/>
          <w:color w:val="auto"/>
          <w:sz w:val="28"/>
          <w:szCs w:val="28"/>
          <w:highlight w:val="none"/>
        </w:rPr>
        <w:t xml:space="preserve">：</w:t>
      </w:r>
      <w:r>
        <w:rPr>
          <w:rFonts w:hint="eastAsia" w:ascii="方正仿宋_GBK" w:hAnsi="方正仿宋_GBK" w:eastAsia="方正仿宋_GBK" w:cs="方正仿宋_GBK"/>
          <w:b/>
          <w:color w:val="auto"/>
          <w:sz w:val="28"/>
          <w:szCs w:val="28"/>
          <w:highlight w:val="none"/>
          <w:lang w:val="en-US" w:eastAsia="zh-CN"/>
        </w:rPr>
        <w:t xml:space="preserve">20</w:t>
      </w:r>
      <w:r>
        <w:rPr>
          <w:rFonts w:hint="eastAsia" w:ascii="方正仿宋_GBK" w:hAnsi="方正仿宋_GBK" w:eastAsia="方正仿宋_GBK" w:cs="方正仿宋_GBK"/>
          <w:color w:val="auto"/>
          <w:sz w:val="28"/>
          <w:szCs w:val="28"/>
          <w:highlight w:val="none"/>
          <w:lang w:val="zh-CN"/>
        </w:rPr>
        <w:t xml:space="preserve">分</w:t>
      </w:r>
      <w:r/>
    </w:p>
    <w:p>
      <w:pPr>
        <w:ind w:firstLine="560"/>
        <w:spacing w:line="30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30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投标报价得分=（评标基准价/投标报价）×价格权值×100</w:t>
      </w:r>
      <w:r/>
    </w:p>
    <w:p>
      <w:pPr>
        <w:ind w:firstLine="562"/>
        <w:keepLines w:val="0"/>
        <w:keepNext w:val="0"/>
        <w:pageBreakBefore w:val="0"/>
        <w:spacing w:line="500" w:lineRule="exact"/>
        <w:rPr>
          <w:rFonts w:hint="eastAsia" w:ascii="方正仿宋_GBK" w:hAnsi="方正仿宋_GBK" w:eastAsia="方正仿宋_GBK" w:cs="方正仿宋_GBK"/>
          <w:b/>
          <w:color w:val="auto"/>
          <w:sz w:val="28"/>
          <w:szCs w:val="28"/>
          <w:highlight w:val="none"/>
        </w:rPr>
        <w:outlineLvl w:val="2"/>
      </w:pPr>
      <w:r>
        <w:rPr>
          <w:rFonts w:hint="eastAsia" w:ascii="方正仿宋_GBK" w:hAnsi="方正仿宋_GBK" w:eastAsia="方正仿宋_GBK" w:cs="方正仿宋_GBK"/>
          <w:b/>
          <w:color w:val="auto"/>
          <w:sz w:val="28"/>
          <w:szCs w:val="28"/>
          <w:highlight w:val="none"/>
        </w:rPr>
        <w:t xml:space="preserve">（</w:t>
      </w:r>
      <w:r>
        <w:rPr>
          <w:rFonts w:hint="eastAsia" w:ascii="方正仿宋_GBK" w:hAnsi="方正仿宋_GBK" w:eastAsia="方正仿宋_GBK" w:cs="方正仿宋_GBK"/>
          <w:b/>
          <w:color w:val="auto"/>
          <w:sz w:val="28"/>
          <w:szCs w:val="28"/>
          <w:highlight w:val="none"/>
          <w:lang w:eastAsia="zh-CN"/>
        </w:rPr>
        <w:t xml:space="preserve">五</w:t>
      </w:r>
      <w:r>
        <w:rPr>
          <w:rFonts w:hint="eastAsia" w:ascii="方正仿宋_GBK" w:hAnsi="方正仿宋_GBK" w:eastAsia="方正仿宋_GBK" w:cs="方正仿宋_GBK"/>
          <w:b/>
          <w:color w:val="auto"/>
          <w:sz w:val="28"/>
          <w:szCs w:val="28"/>
          <w:highlight w:val="none"/>
        </w:rPr>
        <w:t xml:space="preserve">）政府采购政策功能落实</w:t>
      </w:r>
      <w:r/>
    </w:p>
    <w:p>
      <w:pPr>
        <w:ind w:firstLine="560"/>
        <w:spacing w:line="30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rPr>
        <w:t xml:space="preserve">专门面向中小企业采购的项目或者采购包，不再执行价格评审优惠的扶持政策。</w:t>
      </w:r>
      <w:r/>
    </w:p>
    <w:p>
      <w:pPr>
        <w:ind w:firstLine="560"/>
        <w:spacing w:line="300" w:lineRule="auto"/>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2.根据《国务院办公厅关于在政府采购中实施本国产品标准及相关政策的通知》(国办发〔2025〕34号)的规定，对本国产品给予20%价格扣除的评审优惠政策适用于货物类采购项目。本项目为服务类采购项目，不属于货物采购范畴，因此不执行该项价格优惠政策。</w:t>
      </w:r>
      <w:r/>
    </w:p>
    <w:p>
      <w:pPr>
        <w:ind w:firstLine="562"/>
        <w:keepLines w:val="0"/>
        <w:keepNext w:val="0"/>
        <w:pageBreakBefore w:val="0"/>
        <w:spacing w:line="500" w:lineRule="exact"/>
        <w:rPr>
          <w:rFonts w:hint="eastAsia" w:ascii="方正仿宋_GBK" w:hAnsi="方正仿宋_GBK" w:eastAsia="方正仿宋_GBK" w:cs="方正仿宋_GBK"/>
          <w:b/>
          <w:color w:val="auto"/>
          <w:sz w:val="28"/>
          <w:szCs w:val="28"/>
          <w:highlight w:val="none"/>
        </w:rPr>
        <w:outlineLvl w:val="2"/>
      </w:pPr>
      <w:r>
        <w:rPr>
          <w:rFonts w:hint="eastAsia" w:ascii="方正仿宋_GBK" w:hAnsi="方正仿宋_GBK" w:eastAsia="方正仿宋_GBK" w:cs="方正仿宋_GBK"/>
          <w:b/>
          <w:bCs/>
          <w:color w:val="auto"/>
          <w:sz w:val="28"/>
          <w:szCs w:val="28"/>
          <w:highlight w:val="none"/>
        </w:rPr>
        <w:t xml:space="preserve">(</w:t>
      </w:r>
      <w:r>
        <w:rPr>
          <w:rFonts w:hint="eastAsia" w:ascii="方正仿宋_GBK" w:hAnsi="方正仿宋_GBK" w:eastAsia="方正仿宋_GBK" w:cs="方正仿宋_GBK"/>
          <w:b/>
          <w:bCs/>
          <w:color w:val="auto"/>
          <w:sz w:val="28"/>
          <w:szCs w:val="28"/>
          <w:highlight w:val="none"/>
          <w:lang w:val="en-US" w:eastAsia="zh-CN"/>
        </w:rPr>
        <w:t xml:space="preserve">六</w:t>
      </w:r>
      <w:r>
        <w:rPr>
          <w:rFonts w:hint="eastAsia" w:ascii="方正仿宋_GBK" w:hAnsi="方正仿宋_GBK" w:eastAsia="方正仿宋_GBK" w:cs="方正仿宋_GBK"/>
          <w:b/>
          <w:bCs/>
          <w:color w:val="auto"/>
          <w:sz w:val="28"/>
          <w:szCs w:val="28"/>
          <w:highlight w:val="none"/>
        </w:rPr>
        <w:t xml:space="preserve">）</w:t>
      </w:r>
      <w:r>
        <w:rPr>
          <w:rFonts w:hint="eastAsia" w:ascii="方正仿宋_GBK" w:hAnsi="方正仿宋_GBK" w:eastAsia="方正仿宋_GBK" w:cs="方正仿宋_GBK"/>
          <w:b/>
          <w:color w:val="auto"/>
          <w:sz w:val="28"/>
          <w:szCs w:val="28"/>
          <w:highlight w:val="none"/>
        </w:rPr>
        <w:t xml:space="preserve">中标人</w:t>
      </w:r>
      <w:r>
        <w:rPr>
          <w:rFonts w:hint="eastAsia" w:ascii="方正仿宋_GBK" w:hAnsi="方正仿宋_GBK" w:eastAsia="方正仿宋_GBK" w:cs="方正仿宋_GBK"/>
          <w:b/>
          <w:color w:val="auto"/>
          <w:sz w:val="28"/>
          <w:szCs w:val="28"/>
          <w:highlight w:val="none"/>
          <w:lang w:eastAsia="zh-CN"/>
        </w:rPr>
        <w:t xml:space="preserve">（</w:t>
      </w:r>
      <w:r>
        <w:rPr>
          <w:rFonts w:hint="eastAsia" w:ascii="方正仿宋_GBK" w:hAnsi="方正仿宋_GBK" w:eastAsia="方正仿宋_GBK" w:cs="方正仿宋_GBK"/>
          <w:b/>
          <w:color w:val="auto"/>
          <w:sz w:val="28"/>
          <w:szCs w:val="28"/>
          <w:highlight w:val="none"/>
        </w:rPr>
        <w:t xml:space="preserve">评审结果)的确定</w:t>
      </w:r>
      <w:r/>
    </w:p>
    <w:p>
      <w:pPr>
        <w:ind w:firstLine="570"/>
        <w:keepLines w:val="0"/>
        <w:keepNext w:val="0"/>
        <w:pageBreakBefore w:val="0"/>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70"/>
        <w:keepLines w:val="0"/>
        <w:keepNext w:val="0"/>
        <w:pageBreakBefore w:val="0"/>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lang w:val="en-US" w:eastAsia="zh-CN"/>
        </w:rPr>
        <w:t xml:space="preserve">招标</w:t>
      </w:r>
      <w:r>
        <w:rPr>
          <w:rFonts w:hint="eastAsia" w:ascii="方正仿宋_GBK" w:hAnsi="方正仿宋_GBK" w:eastAsia="方正仿宋_GBK" w:cs="方正仿宋_GBK"/>
          <w:bCs/>
          <w:color w:val="auto"/>
          <w:sz w:val="28"/>
          <w:szCs w:val="28"/>
          <w:highlight w:val="none"/>
          <w:lang w:eastAsia="zh-CN"/>
        </w:rPr>
        <w:t xml:space="preserve">人</w:t>
      </w:r>
      <w:r>
        <w:rPr>
          <w:rFonts w:hint="eastAsia" w:ascii="方正仿宋_GBK" w:hAnsi="方正仿宋_GBK" w:eastAsia="方正仿宋_GBK" w:cs="方正仿宋_GBK"/>
          <w:bCs/>
          <w:color w:val="auto"/>
          <w:sz w:val="28"/>
          <w:szCs w:val="28"/>
          <w:highlight w:val="none"/>
        </w:rPr>
        <w:t xml:space="preserve">委托评标委员会直接确定排名第一的中标候选人为中标人。</w:t>
      </w:r>
      <w:r/>
    </w:p>
    <w:p>
      <w:pPr>
        <w:ind w:firstLine="562"/>
        <w:keepLines w:val="0"/>
        <w:keepNext w:val="0"/>
        <w:pageBreakBefore w:val="0"/>
        <w:spacing w:line="500" w:lineRule="exact"/>
        <w:rPr>
          <w:rFonts w:hint="eastAsia" w:ascii="方正仿宋_GBK" w:hAnsi="方正仿宋_GBK" w:eastAsia="方正仿宋_GBK" w:cs="方正仿宋_GBK"/>
          <w:b/>
          <w:color w:val="auto"/>
          <w:sz w:val="28"/>
          <w:szCs w:val="28"/>
          <w:highlight w:val="none"/>
        </w:rPr>
        <w:outlineLvl w:val="2"/>
      </w:pPr>
      <w:r>
        <w:rPr>
          <w:rFonts w:hint="eastAsia" w:ascii="方正仿宋_GBK" w:hAnsi="方正仿宋_GBK" w:eastAsia="方正仿宋_GBK" w:cs="方正仿宋_GBK"/>
          <w:b/>
          <w:color w:val="auto"/>
          <w:sz w:val="28"/>
          <w:szCs w:val="28"/>
          <w:highlight w:val="none"/>
        </w:rPr>
        <w:t xml:space="preserve">（</w:t>
      </w:r>
      <w:r>
        <w:rPr>
          <w:rFonts w:hint="eastAsia" w:ascii="方正仿宋_GBK" w:hAnsi="方正仿宋_GBK" w:eastAsia="方正仿宋_GBK" w:cs="方正仿宋_GBK"/>
          <w:b/>
          <w:color w:val="auto"/>
          <w:sz w:val="28"/>
          <w:szCs w:val="28"/>
          <w:highlight w:val="none"/>
          <w:lang w:val="en-US" w:eastAsia="zh-CN"/>
        </w:rPr>
        <w:t xml:space="preserve">七</w:t>
      </w:r>
      <w:r>
        <w:rPr>
          <w:rFonts w:hint="eastAsia" w:ascii="方正仿宋_GBK" w:hAnsi="方正仿宋_GBK" w:eastAsia="方正仿宋_GBK" w:cs="方正仿宋_GBK"/>
          <w:b/>
          <w:color w:val="auto"/>
          <w:sz w:val="28"/>
          <w:szCs w:val="28"/>
          <w:highlight w:val="none"/>
        </w:rPr>
        <w:t xml:space="preserve">）公告中标结果</w:t>
      </w:r>
      <w:r/>
    </w:p>
    <w:p>
      <w:pPr>
        <w:ind w:firstLine="560"/>
        <w:keepLines w:val="0"/>
        <w:keepNext w:val="0"/>
        <w:pageBreakBefore w:val="0"/>
        <w:spacing w:line="5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自确定中标人之日起2个工作日内，在江苏省政府采购网公告中标结果，公告期限为1个工作日。</w:t>
      </w:r>
      <w:r/>
    </w:p>
    <w:p>
      <w:pPr>
        <w:ind w:firstLine="562"/>
        <w:keepLines w:val="0"/>
        <w:keepNext w:val="0"/>
        <w:pageBreakBefore w:val="0"/>
        <w:spacing w:line="500" w:lineRule="exact"/>
        <w:rPr>
          <w:rFonts w:hint="eastAsia" w:ascii="方正仿宋_GBK" w:hAnsi="方正仿宋_GBK" w:eastAsia="方正仿宋_GBK" w:cs="方正仿宋_GBK"/>
          <w:b/>
          <w:color w:val="auto"/>
          <w:sz w:val="28"/>
          <w:szCs w:val="28"/>
          <w:highlight w:val="none"/>
        </w:rPr>
        <w:outlineLvl w:val="2"/>
      </w:pPr>
      <w:r>
        <w:rPr>
          <w:rFonts w:hint="eastAsia" w:ascii="方正仿宋_GBK" w:hAnsi="方正仿宋_GBK" w:eastAsia="方正仿宋_GBK" w:cs="方正仿宋_GBK"/>
          <w:b/>
          <w:color w:val="auto"/>
          <w:sz w:val="28"/>
          <w:szCs w:val="28"/>
          <w:highlight w:val="none"/>
        </w:rPr>
        <w:t xml:space="preserve">（</w:t>
      </w:r>
      <w:r>
        <w:rPr>
          <w:rFonts w:hint="eastAsia" w:ascii="方正仿宋_GBK" w:hAnsi="方正仿宋_GBK" w:eastAsia="方正仿宋_GBK" w:cs="方正仿宋_GBK"/>
          <w:b/>
          <w:color w:val="auto"/>
          <w:sz w:val="28"/>
          <w:szCs w:val="28"/>
          <w:highlight w:val="none"/>
          <w:lang w:val="en-US" w:eastAsia="zh-CN"/>
        </w:rPr>
        <w:t xml:space="preserve">八</w:t>
      </w:r>
      <w:r>
        <w:rPr>
          <w:rFonts w:hint="eastAsia" w:ascii="方正仿宋_GBK" w:hAnsi="方正仿宋_GBK" w:eastAsia="方正仿宋_GBK" w:cs="方正仿宋_GBK"/>
          <w:b/>
          <w:color w:val="auto"/>
          <w:sz w:val="28"/>
          <w:szCs w:val="28"/>
          <w:highlight w:val="none"/>
        </w:rPr>
        <w:t xml:space="preserve">）</w:t>
      </w:r>
      <w:r>
        <w:rPr>
          <w:rFonts w:hint="eastAsia" w:ascii="方正仿宋_GBK" w:hAnsi="方正仿宋_GBK" w:eastAsia="方正仿宋_GBK" w:cs="方正仿宋_GBK"/>
          <w:b/>
          <w:bCs/>
          <w:color w:val="auto"/>
          <w:sz w:val="28"/>
          <w:szCs w:val="28"/>
          <w:highlight w:val="none"/>
        </w:rPr>
        <w:t xml:space="preserve">发放中标通知书</w:t>
      </w:r>
      <w:r/>
    </w:p>
    <w:p>
      <w:pPr>
        <w:ind w:firstLine="560"/>
        <w:keepLines w:val="0"/>
        <w:keepNext w:val="0"/>
        <w:pageBreakBefore w:val="0"/>
        <w:spacing w:line="5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公告中标结果的同时，招标人</w:t>
      </w:r>
      <w:r>
        <w:rPr>
          <w:rFonts w:hint="eastAsia" w:ascii="方正仿宋_GBK" w:hAnsi="方正仿宋_GBK" w:eastAsia="方正仿宋_GBK" w:cs="方正仿宋_GBK"/>
          <w:bCs/>
          <w:color w:val="auto"/>
          <w:sz w:val="28"/>
          <w:szCs w:val="28"/>
          <w:highlight w:val="none"/>
        </w:rPr>
        <w:t xml:space="preserve">向中标供应商发放中标通知书。</w:t>
      </w:r>
      <w:r/>
    </w:p>
    <w:p>
      <w:pPr>
        <w:ind w:firstLine="560"/>
        <w:keepLines w:val="0"/>
        <w:keepNext w:val="0"/>
        <w:pageBreakBefore w:val="0"/>
        <w:spacing w:line="5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中标通知书发出后，招标人不得违法改变中标结果，中标供应商无正当理由不得放弃中标。</w:t>
      </w:r>
      <w:r/>
    </w:p>
    <w:p>
      <w:pPr>
        <w:ind w:firstLine="562"/>
        <w:keepLines w:val="0"/>
        <w:keepNext w:val="0"/>
        <w:pageBreakBefore w:val="0"/>
        <w:spacing w:line="5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w:t>
      </w:r>
      <w:r>
        <w:rPr>
          <w:rFonts w:hint="eastAsia" w:ascii="方正仿宋_GBK" w:hAnsi="方正仿宋_GBK" w:eastAsia="方正仿宋_GBK" w:cs="方正仿宋_GBK"/>
          <w:b/>
          <w:color w:val="auto"/>
          <w:sz w:val="28"/>
          <w:szCs w:val="28"/>
          <w:highlight w:val="none"/>
          <w:lang w:val="en-US" w:eastAsia="zh-CN"/>
        </w:rPr>
        <w:t xml:space="preserve">九</w:t>
      </w:r>
      <w:r>
        <w:rPr>
          <w:rFonts w:hint="eastAsia" w:ascii="方正仿宋_GBK" w:hAnsi="方正仿宋_GBK" w:eastAsia="方正仿宋_GBK" w:cs="方正仿宋_GBK"/>
          <w:b/>
          <w:color w:val="auto"/>
          <w:sz w:val="28"/>
          <w:szCs w:val="28"/>
          <w:highlight w:val="none"/>
        </w:rPr>
        <w:t xml:space="preserve">）其他</w:t>
      </w:r>
      <w:r/>
    </w:p>
    <w:p>
      <w:pPr>
        <w:ind w:firstLine="560"/>
        <w:keepLines w:val="0"/>
        <w:keepNext w:val="0"/>
        <w:pageBreakBefore w:val="0"/>
        <w:spacing w:line="5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当中标人无正当理由放弃中标，被查实存在影响成交结果的违法行为等情形，招标人有权按照政府采购相关法律法规的规定对其采取惩戒措施，包含但不限于列入采购失信人黑名单等措施。</w:t>
      </w:r>
      <w:r/>
    </w:p>
    <w:p>
      <w:pPr>
        <w:ind w:firstLine="560"/>
        <w:keepLines w:val="0"/>
        <w:keepNext w:val="0"/>
        <w:pageBreakBefore w:val="0"/>
        <w:spacing w:line="5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当中标人放弃成交、因不可抗力不能履行合同，或者被查实存在影响成交结果的违法行为等情形，不符合成交条件的，招标人可以按照评标委员会提出的成交候选人名单排序依次确定其他成交候选人为成交人，也可以重新采购。</w:t>
      </w:r>
      <w:r/>
    </w:p>
    <w:p>
      <w:pPr>
        <w:jc w:val="center"/>
        <w:rPr>
          <w:rFonts w:ascii="宋体" w:hAnsi="宋体" w:cs="宋体"/>
          <w:bCs/>
          <w:color w:val="auto"/>
          <w:sz w:val="36"/>
          <w:szCs w:val="36"/>
          <w:highlight w:val="none"/>
        </w:rPr>
      </w:pPr>
      <w:r>
        <w:rPr>
          <w:rFonts w:hint="eastAsia" w:ascii="宋体" w:hAnsi="宋体" w:cs="宋体"/>
          <w:bCs/>
          <w:color w:val="auto"/>
          <w:sz w:val="36"/>
          <w:szCs w:val="36"/>
          <w:highlight w:val="none"/>
        </w:rPr>
        <w:br w:type="page" w:clear="all"/>
      </w:r>
      <w:r>
        <w:rPr>
          <w:rFonts w:hint="eastAsia" w:ascii="宋体" w:hAnsi="宋体" w:cs="宋体"/>
          <w:b/>
          <w:bCs w:val="0"/>
          <w:color w:val="auto"/>
          <w:sz w:val="36"/>
          <w:szCs w:val="36"/>
          <w:highlight w:val="none"/>
        </w:rPr>
        <w:t xml:space="preserve">第五部分  投标文件组成</w:t>
      </w:r>
      <w:r/>
    </w:p>
    <w:p>
      <w:pPr>
        <w:ind w:left="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left="480"/>
        <w:keepLines w:val="0"/>
        <w:keepNext w:val="0"/>
        <w:pageBreakBefore w:val="0"/>
        <w:spacing w:line="500" w:lineRule="exact"/>
        <w:widowControl w:val="off"/>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一、基本目录</w:t>
      </w:r>
      <w:r/>
    </w:p>
    <w:p>
      <w:pPr>
        <w:ind w:firstLine="560"/>
        <w:keepLines w:val="0"/>
        <w:keepNext w:val="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w:t>
      </w:r>
      <w:r>
        <w:rPr>
          <w:rFonts w:hint="eastAsia" w:ascii="方正仿宋_GBK" w:hAnsi="方正仿宋_GBK" w:eastAsia="方正仿宋_GBK" w:cs="方正仿宋_GBK"/>
          <w:bCs/>
          <w:color w:val="auto"/>
          <w:sz w:val="28"/>
          <w:szCs w:val="28"/>
          <w:highlight w:val="none"/>
          <w:lang w:val="en-US" w:eastAsia="zh-CN"/>
        </w:rPr>
        <w:t xml:space="preserve">报价</w:t>
      </w:r>
      <w:r>
        <w:rPr>
          <w:rFonts w:hint="eastAsia" w:ascii="方正仿宋_GBK" w:hAnsi="方正仿宋_GBK" w:eastAsia="方正仿宋_GBK" w:cs="方正仿宋_GBK"/>
          <w:bCs/>
          <w:color w:val="auto"/>
          <w:sz w:val="28"/>
          <w:szCs w:val="28"/>
          <w:highlight w:val="none"/>
        </w:rPr>
        <w:t xml:space="preserve">一览表（苏彩云系统固定格式）；</w:t>
      </w:r>
      <w:r/>
    </w:p>
    <w:p>
      <w:pPr>
        <w:ind w:firstLine="560"/>
        <w:keepLines w:val="0"/>
        <w:keepNext w:val="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2</w:t>
      </w:r>
      <w:r>
        <w:rPr>
          <w:rFonts w:hint="eastAsia" w:ascii="方正仿宋_GBK" w:hAnsi="方正仿宋_GBK" w:eastAsia="方正仿宋_GBK" w:cs="方正仿宋_GBK"/>
          <w:bCs/>
          <w:color w:val="auto"/>
          <w:sz w:val="28"/>
          <w:szCs w:val="28"/>
          <w:highlight w:val="none"/>
          <w:lang w:val="zh-CN"/>
        </w:rPr>
        <w:t xml:space="preserve">.</w:t>
      </w:r>
      <w:r>
        <w:rPr>
          <w:rFonts w:hint="eastAsia" w:ascii="方正仿宋_GBK" w:hAnsi="方正仿宋_GBK" w:eastAsia="方正仿宋_GBK" w:cs="方正仿宋_GBK"/>
          <w:color w:val="auto"/>
          <w:sz w:val="28"/>
          <w:szCs w:val="28"/>
          <w:highlight w:val="none"/>
        </w:rPr>
        <w:t xml:space="preserve">投标分项报价表</w:t>
      </w:r>
      <w:r>
        <w:rPr>
          <w:rFonts w:hint="eastAsia" w:ascii="方正仿宋_GBK" w:hAnsi="方正仿宋_GBK" w:eastAsia="方正仿宋_GBK" w:cs="方正仿宋_GBK"/>
          <w:bCs/>
          <w:color w:val="auto"/>
          <w:sz w:val="28"/>
          <w:szCs w:val="28"/>
          <w:highlight w:val="none"/>
          <w:lang w:val="zh-CN"/>
        </w:rPr>
        <w:t xml:space="preserve">（格式见附件</w:t>
      </w:r>
      <w:r>
        <w:rPr>
          <w:rFonts w:hint="eastAsia" w:ascii="方正仿宋_GBK" w:hAnsi="方正仿宋_GBK" w:eastAsia="方正仿宋_GBK" w:cs="方正仿宋_GBK"/>
          <w:bCs/>
          <w:color w:val="auto"/>
          <w:sz w:val="28"/>
          <w:szCs w:val="28"/>
          <w:highlight w:val="none"/>
        </w:rPr>
        <w:t xml:space="preserve">1</w:t>
      </w:r>
      <w:r>
        <w:rPr>
          <w:rFonts w:hint="eastAsia" w:ascii="方正仿宋_GBK" w:hAnsi="方正仿宋_GBK" w:eastAsia="方正仿宋_GBK" w:cs="方正仿宋_GBK"/>
          <w:bCs/>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w:t>
      </w:r>
      <w:r>
        <w:rPr>
          <w:rFonts w:hint="eastAsia" w:ascii="方正仿宋_GBK" w:hAnsi="方正仿宋_GBK" w:eastAsia="方正仿宋_GBK" w:cs="方正仿宋_GBK"/>
          <w:bCs/>
          <w:color w:val="auto"/>
          <w:sz w:val="28"/>
          <w:szCs w:val="28"/>
          <w:highlight w:val="none"/>
          <w:lang w:val="zh-CN"/>
        </w:rPr>
        <w:t xml:space="preserve">投标人情况一览表</w:t>
      </w:r>
      <w:r>
        <w:rPr>
          <w:rFonts w:hint="eastAsia" w:ascii="方正仿宋_GBK" w:hAnsi="方正仿宋_GBK" w:eastAsia="方正仿宋_GBK" w:cs="方正仿宋_GBK"/>
          <w:color w:val="auto"/>
          <w:sz w:val="28"/>
          <w:szCs w:val="28"/>
          <w:highlight w:val="none"/>
        </w:rPr>
        <w:t xml:space="preserve">（格式见附件2）；</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rPr>
        <w:t xml:space="preserve">4.供应商信用承诺书（格式见附件3）</w:t>
      </w:r>
      <w:r>
        <w:rPr>
          <w:rFonts w:hint="eastAsia" w:ascii="方正仿宋_GBK" w:hAnsi="方正仿宋_GBK" w:eastAsia="方正仿宋_GBK" w:cs="方正仿宋_GBK"/>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5.商务部分正负偏离表</w:t>
      </w:r>
      <w:r>
        <w:rPr>
          <w:rFonts w:hint="eastAsia" w:ascii="方正仿宋_GBK" w:hAnsi="方正仿宋_GBK" w:eastAsia="方正仿宋_GBK" w:cs="方正仿宋_GBK"/>
          <w:color w:val="auto"/>
          <w:sz w:val="28"/>
          <w:szCs w:val="28"/>
          <w:highlight w:val="none"/>
        </w:rPr>
        <w:t xml:space="preserve">（格式见附件</w:t>
      </w:r>
      <w:r>
        <w:rPr>
          <w:rFonts w:hint="eastAsia" w:ascii="方正仿宋_GBK" w:hAnsi="方正仿宋_GBK" w:eastAsia="方正仿宋_GBK" w:cs="方正仿宋_GBK"/>
          <w:color w:val="auto"/>
          <w:sz w:val="28"/>
          <w:szCs w:val="28"/>
          <w:highlight w:val="none"/>
          <w:lang w:val="en-US" w:eastAsia="zh-CN"/>
        </w:rPr>
        <w:t xml:space="preserve">4</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6.技术部分正负偏离表</w:t>
      </w:r>
      <w:r>
        <w:rPr>
          <w:rFonts w:hint="eastAsia" w:ascii="方正仿宋_GBK" w:hAnsi="方正仿宋_GBK" w:eastAsia="方正仿宋_GBK" w:cs="方正仿宋_GBK"/>
          <w:color w:val="auto"/>
          <w:sz w:val="28"/>
          <w:szCs w:val="28"/>
          <w:highlight w:val="none"/>
        </w:rPr>
        <w:t xml:space="preserve">（格式见附件</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val="en-US" w:eastAsia="zh-CN"/>
        </w:rPr>
        <w:t xml:space="preserve">7.场地租赁备案证明</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如需，</w:t>
      </w:r>
      <w:r>
        <w:rPr>
          <w:rFonts w:hint="eastAsia" w:ascii="方正仿宋_GBK" w:hAnsi="方正仿宋_GBK" w:eastAsia="方正仿宋_GBK" w:cs="方正仿宋_GBK"/>
          <w:color w:val="auto"/>
          <w:sz w:val="28"/>
          <w:szCs w:val="28"/>
          <w:highlight w:val="none"/>
        </w:rPr>
        <w:t xml:space="preserve">格式见附件</w:t>
      </w:r>
      <w:r>
        <w:rPr>
          <w:rFonts w:hint="eastAsia" w:ascii="方正仿宋_GBK" w:hAnsi="方正仿宋_GBK" w:eastAsia="方正仿宋_GBK" w:cs="方正仿宋_GBK"/>
          <w:color w:val="auto"/>
          <w:sz w:val="28"/>
          <w:szCs w:val="28"/>
          <w:highlight w:val="none"/>
          <w:lang w:val="en-US" w:eastAsia="zh-CN"/>
        </w:rPr>
        <w:t xml:space="preserve">6</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方正仿宋_GBK" w:hAnsi="方正仿宋_GBK" w:eastAsia="方正仿宋_GBK" w:cs="方正仿宋_GBK"/>
          <w:b/>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8.承诺函</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如需，</w:t>
      </w:r>
      <w:r>
        <w:rPr>
          <w:rFonts w:hint="eastAsia" w:ascii="方正仿宋_GBK" w:hAnsi="方正仿宋_GBK" w:eastAsia="方正仿宋_GBK" w:cs="方正仿宋_GBK"/>
          <w:color w:val="auto"/>
          <w:sz w:val="28"/>
          <w:szCs w:val="28"/>
          <w:highlight w:val="none"/>
        </w:rPr>
        <w:t xml:space="preserve">格式见附件</w:t>
      </w:r>
      <w:r>
        <w:rPr>
          <w:rFonts w:hint="eastAsia" w:ascii="方正仿宋_GBK" w:hAnsi="方正仿宋_GBK" w:eastAsia="方正仿宋_GBK" w:cs="方正仿宋_GBK"/>
          <w:color w:val="auto"/>
          <w:sz w:val="28"/>
          <w:szCs w:val="28"/>
          <w:highlight w:val="none"/>
          <w:lang w:val="en-US" w:eastAsia="zh-CN"/>
        </w:rPr>
        <w:t xml:space="preserve">7</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w:t>
      </w:r>
      <w:r/>
    </w:p>
    <w:p>
      <w:pPr>
        <w:ind w:left="480"/>
        <w:keepLines w:val="0"/>
        <w:keepNext w:val="0"/>
        <w:pageBreakBefore w:val="0"/>
        <w:spacing w:line="500" w:lineRule="exact"/>
        <w:widowControl w:val="off"/>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二、资格审查内容</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color w:val="auto"/>
          <w:sz w:val="28"/>
          <w:szCs w:val="28"/>
          <w:highlight w:val="none"/>
          <w:lang w:val="zh-CN"/>
        </w:rPr>
        <w:t xml:space="preserve">1.</w:t>
      </w:r>
      <w:r>
        <w:rPr>
          <w:rFonts w:hint="eastAsia" w:ascii="方正仿宋_GBK" w:hAnsi="方正仿宋_GBK" w:eastAsia="方正仿宋_GBK" w:cs="方正仿宋_GBK"/>
          <w:color w:val="auto"/>
          <w:sz w:val="28"/>
          <w:szCs w:val="28"/>
          <w:highlight w:val="none"/>
        </w:rPr>
        <w:t xml:space="preserve">供应商符合《</w:t>
      </w:r>
      <w:r>
        <w:rPr>
          <w:rFonts w:hint="eastAsia" w:ascii="方正仿宋_GBK" w:hAnsi="方正仿宋_GBK" w:eastAsia="方正仿宋_GBK" w:cs="方正仿宋_GBK"/>
          <w:bCs/>
          <w:color w:val="auto"/>
          <w:sz w:val="28"/>
          <w:szCs w:val="28"/>
          <w:highlight w:val="none"/>
        </w:rPr>
        <w:t xml:space="preserve">中华人民共和国政府采购法</w:t>
      </w:r>
      <w:r>
        <w:rPr>
          <w:rFonts w:hint="eastAsia" w:ascii="方正仿宋_GBK" w:hAnsi="方正仿宋_GBK" w:eastAsia="方正仿宋_GBK" w:cs="方正仿宋_GBK"/>
          <w:color w:val="auto"/>
          <w:sz w:val="28"/>
          <w:szCs w:val="28"/>
          <w:highlight w:val="none"/>
        </w:rPr>
        <w:t xml:space="preserve">》第二十二条规定条件的承诺函</w:t>
      </w:r>
      <w:r>
        <w:rPr>
          <w:rFonts w:hint="eastAsia" w:ascii="方正仿宋_GBK" w:hAnsi="方正仿宋_GBK" w:eastAsia="方正仿宋_GBK" w:cs="方正仿宋_GBK"/>
          <w:color w:val="auto"/>
          <w:sz w:val="28"/>
          <w:szCs w:val="28"/>
          <w:highlight w:val="none"/>
          <w:lang w:val="zh-CN"/>
        </w:rPr>
        <w:t xml:space="preserve">（格式见附件</w:t>
      </w:r>
      <w:r>
        <w:rPr>
          <w:rFonts w:hint="eastAsia" w:ascii="方正仿宋_GBK" w:hAnsi="方正仿宋_GBK" w:eastAsia="方正仿宋_GBK" w:cs="方正仿宋_GBK"/>
          <w:color w:val="auto"/>
          <w:sz w:val="28"/>
          <w:szCs w:val="28"/>
          <w:highlight w:val="none"/>
          <w:lang w:val="en-US" w:eastAsia="zh-CN"/>
        </w:rPr>
        <w:t xml:space="preserve">8</w:t>
      </w:r>
      <w:r>
        <w:rPr>
          <w:rFonts w:hint="eastAsia" w:ascii="方正仿宋_GBK" w:hAnsi="方正仿宋_GBK" w:eastAsia="方正仿宋_GBK" w:cs="方正仿宋_GBK"/>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w:t>
      </w:r>
      <w:r>
        <w:rPr>
          <w:rFonts w:hint="eastAsia" w:ascii="方正仿宋_GBK" w:hAnsi="方正仿宋_GBK" w:eastAsia="方正仿宋_GBK" w:cs="方正仿宋_GBK"/>
          <w:color w:val="auto"/>
          <w:sz w:val="28"/>
          <w:szCs w:val="28"/>
          <w:highlight w:val="none"/>
          <w:lang w:val="zh-CN"/>
        </w:rPr>
        <w:t xml:space="preserve">.法定代表人身份证明书（格式见附件</w:t>
      </w:r>
      <w:r>
        <w:rPr>
          <w:rFonts w:hint="eastAsia" w:ascii="方正仿宋_GBK" w:hAnsi="方正仿宋_GBK" w:eastAsia="方正仿宋_GBK" w:cs="方正仿宋_GBK"/>
          <w:color w:val="auto"/>
          <w:sz w:val="28"/>
          <w:szCs w:val="28"/>
          <w:highlight w:val="none"/>
          <w:lang w:val="en-US" w:eastAsia="zh-CN"/>
        </w:rPr>
        <w:t xml:space="preserve">9</w:t>
      </w:r>
      <w:r>
        <w:rPr>
          <w:rFonts w:hint="eastAsia" w:ascii="方正仿宋_GBK" w:hAnsi="方正仿宋_GBK" w:eastAsia="方正仿宋_GBK" w:cs="方正仿宋_GBK"/>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w:t>
      </w:r>
      <w:r>
        <w:rPr>
          <w:rFonts w:hint="eastAsia" w:ascii="方正仿宋_GBK" w:hAnsi="方正仿宋_GBK" w:eastAsia="方正仿宋_GBK" w:cs="方正仿宋_GBK"/>
          <w:color w:val="auto"/>
          <w:sz w:val="28"/>
          <w:szCs w:val="28"/>
          <w:highlight w:val="none"/>
          <w:lang w:val="zh-CN"/>
        </w:rPr>
        <w:t xml:space="preserve">.法定代表人授权委托书原件，投标代表本人身份证扫描件（格式见附件</w:t>
      </w:r>
      <w:r>
        <w:rPr>
          <w:rFonts w:hint="eastAsia" w:ascii="方正仿宋_GBK" w:hAnsi="方正仿宋_GBK" w:eastAsia="方正仿宋_GBK" w:cs="方正仿宋_GBK"/>
          <w:color w:val="auto"/>
          <w:sz w:val="28"/>
          <w:szCs w:val="28"/>
          <w:highlight w:val="none"/>
          <w:lang w:val="en-US" w:eastAsia="zh-CN"/>
        </w:rPr>
        <w:t xml:space="preserve">10</w:t>
      </w:r>
      <w:r>
        <w:rPr>
          <w:rFonts w:hint="eastAsia" w:ascii="方正仿宋_GBK" w:hAnsi="方正仿宋_GBK" w:eastAsia="方正仿宋_GBK" w:cs="方正仿宋_GBK"/>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color w:val="auto"/>
          <w:sz w:val="28"/>
          <w:szCs w:val="28"/>
          <w:highlight w:val="none"/>
          <w:lang w:val="zh-CN"/>
        </w:rPr>
        <w:t xml:space="preserve">4.提供有效的营业执照</w:t>
      </w:r>
      <w:r>
        <w:rPr>
          <w:rFonts w:hint="eastAsia" w:ascii="方正仿宋_GBK" w:hAnsi="方正仿宋_GBK" w:eastAsia="方正仿宋_GBK" w:cs="方正仿宋_GBK"/>
          <w:color w:val="auto"/>
          <w:sz w:val="28"/>
          <w:szCs w:val="28"/>
          <w:highlight w:val="none"/>
          <w:lang w:val="en-US" w:eastAsia="zh-CN"/>
        </w:rPr>
        <w:t xml:space="preserve">副本</w:t>
      </w:r>
      <w:r>
        <w:rPr>
          <w:rFonts w:hint="eastAsia" w:ascii="方正仿宋_GBK" w:hAnsi="方正仿宋_GBK" w:eastAsia="方正仿宋_GBK" w:cs="方正仿宋_GBK"/>
          <w:color w:val="auto"/>
          <w:sz w:val="28"/>
          <w:szCs w:val="28"/>
          <w:highlight w:val="none"/>
          <w:lang w:val="zh-CN"/>
        </w:rPr>
        <w:t xml:space="preserve">扫描件加盖公章；</w:t>
      </w:r>
      <w:r/>
    </w:p>
    <w:p>
      <w:pPr>
        <w:pStyle w:val="951"/>
        <w:ind w:firstLine="560"/>
        <w:keepLines w:val="0"/>
        <w:keepNext w:val="0"/>
        <w:pageBreakBefore w:val="0"/>
        <w:spacing w:after="0" w:line="500" w:lineRule="exact"/>
        <w:widowControl w:val="off"/>
        <w:rPr>
          <w:rFonts w:hint="default"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5.投标人具有履行合同所必需的场所、设备和专业人员，并承诺：①在中标后、签订合同前按招标人要求进行标准化改造、直至符合招标人管理使用要求；②投标人施救车辆设备如为租赁，需确保所租赁车辆设备为中标项目所用（不得挪作他用或同时租赁给其他单位或其他项目使用）。投标时提供承诺函（格式自拟）。</w:t>
      </w:r>
      <w:r/>
    </w:p>
    <w:p>
      <w:pPr>
        <w:ind w:firstLine="560"/>
        <w:spacing w:line="460" w:lineRule="exact"/>
        <w:rPr>
          <w:rFonts w:hint="eastAsia" w:ascii="仿宋" w:hAnsi="仿宋" w:eastAsia="仿宋" w:cs="仿宋"/>
          <w:color w:val="auto"/>
          <w:sz w:val="28"/>
          <w:szCs w:val="28"/>
          <w:highlight w:val="none"/>
          <w:lang w:val="zh-CN"/>
        </w:rPr>
      </w:pPr>
      <w:r>
        <w:rPr>
          <w:rFonts w:hint="eastAsia" w:ascii="仿宋" w:hAnsi="仿宋" w:eastAsia="仿宋" w:cs="仿宋"/>
          <w:b/>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其它需要提交的资格审查证明材料（以下满足其一即可）：</w:t>
      </w:r>
      <w:r/>
    </w:p>
    <w:p>
      <w:pPr>
        <w:ind w:firstLine="560"/>
        <w:spacing w:line="46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zh-CN"/>
        </w:rPr>
        <w:t xml:space="preserve">中小企业声明函（格式见附件</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rPr>
        <w:t xml:space="preserve">）</w:t>
      </w:r>
      <w:r/>
    </w:p>
    <w:p>
      <w:pPr>
        <w:ind w:firstLine="560"/>
        <w:spacing w:line="46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残疾人福利性单位声明函（格式见附件</w:t>
      </w: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lang w:val="zh-CN"/>
        </w:rPr>
        <w:t xml:space="preserve">）</w:t>
      </w:r>
      <w:r/>
    </w:p>
    <w:p>
      <w:pPr>
        <w:ind w:firstLine="560"/>
        <w:spacing w:line="4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监狱和戒毒企业证</w:t>
      </w:r>
      <w:r>
        <w:rPr>
          <w:rFonts w:hint="eastAsia" w:ascii="仿宋" w:hAnsi="仿宋" w:eastAsia="仿宋" w:cs="仿宋"/>
          <w:bCs/>
          <w:color w:val="auto"/>
          <w:sz w:val="28"/>
          <w:szCs w:val="28"/>
          <w:highlight w:val="none"/>
        </w:rPr>
        <w:t xml:space="preserve">明材料（格式见附</w:t>
      </w:r>
      <w:r>
        <w:rPr>
          <w:rFonts w:hint="eastAsia" w:ascii="仿宋" w:hAnsi="仿宋" w:eastAsia="仿宋" w:cs="仿宋"/>
          <w:color w:val="auto"/>
          <w:sz w:val="28"/>
          <w:szCs w:val="28"/>
          <w:highlight w:val="none"/>
          <w:lang w:val="zh-CN"/>
        </w:rPr>
        <w:t xml:space="preserve">件</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rPr>
        <w:t xml:space="preserve">）</w:t>
      </w:r>
      <w:r/>
    </w:p>
    <w:p>
      <w:pPr>
        <w:ind w:firstLine="562"/>
        <w:spacing w:line="460" w:lineRule="exact"/>
        <w:rPr>
          <w:rFonts w:hint="eastAsia" w:ascii="方正仿宋_GBK" w:hAnsi="方正仿宋_GBK" w:eastAsia="方正仿宋_GBK" w:cs="方正仿宋_GBK"/>
          <w:b/>
          <w:color w:val="auto"/>
          <w:sz w:val="28"/>
          <w:szCs w:val="28"/>
          <w:highlight w:val="none"/>
          <w:lang w:val="en-US" w:eastAsia="zh-CN"/>
        </w:rPr>
      </w:pPr>
      <w:r>
        <w:rPr>
          <w:rFonts w:hint="eastAsia" w:ascii="仿宋" w:hAnsi="仿宋" w:eastAsia="仿宋" w:cs="仿宋"/>
          <w:b/>
          <w:color w:val="auto"/>
          <w:sz w:val="28"/>
          <w:szCs w:val="28"/>
          <w:highlight w:val="none"/>
        </w:rPr>
        <w:t xml:space="preserve">注：上述“资格审查内容”中1-</w:t>
      </w:r>
      <w:r>
        <w:rPr>
          <w:rFonts w:hint="eastAsia" w:ascii="仿宋" w:hAnsi="仿宋" w:eastAsia="仿宋" w:cs="仿宋"/>
          <w:b/>
          <w:color w:val="auto"/>
          <w:sz w:val="28"/>
          <w:szCs w:val="28"/>
          <w:highlight w:val="none"/>
          <w:lang w:val="en-US" w:eastAsia="zh-CN"/>
        </w:rPr>
        <w:t xml:space="preserve">6</w:t>
      </w:r>
      <w:r>
        <w:rPr>
          <w:rFonts w:hint="eastAsia" w:ascii="仿宋" w:hAnsi="仿宋" w:eastAsia="仿宋" w:cs="仿宋"/>
          <w:b/>
          <w:color w:val="auto"/>
          <w:sz w:val="28"/>
          <w:szCs w:val="28"/>
          <w:highlight w:val="none"/>
        </w:rPr>
        <w:t xml:space="preserve">条供应商必须逐条响应，否则作无效响应处理。</w:t>
      </w:r>
      <w:r/>
    </w:p>
    <w:p>
      <w:pPr>
        <w:ind w:left="480"/>
        <w:keepLines w:val="0"/>
        <w:keepNext w:val="0"/>
        <w:pageBreakBefore w:val="0"/>
        <w:spacing w:line="500" w:lineRule="exact"/>
        <w:widowControl w:val="off"/>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三、符合性审查内容</w:t>
      </w:r>
      <w:r/>
    </w:p>
    <w:p>
      <w:pPr>
        <w:ind w:firstLine="562"/>
        <w:spacing w:line="500" w:lineRule="exact"/>
        <w:rPr>
          <w:rFonts w:hint="eastAsia" w:ascii="仿宋" w:hAnsi="仿宋" w:eastAsia="仿宋" w:cs="仿宋"/>
          <w:b/>
          <w:bCs/>
          <w:i/>
          <w:iCs/>
          <w:color w:val="auto"/>
          <w:sz w:val="28"/>
          <w:szCs w:val="28"/>
          <w:highlight w:val="none"/>
          <w:u w:val="single"/>
        </w:rPr>
      </w:pPr>
      <w:r>
        <w:rPr>
          <w:rFonts w:hint="eastAsia" w:ascii="仿宋" w:hAnsi="仿宋" w:eastAsia="仿宋" w:cs="仿宋"/>
          <w:b/>
          <w:bCs/>
          <w:i/>
          <w:iCs/>
          <w:color w:val="auto"/>
          <w:sz w:val="28"/>
          <w:szCs w:val="28"/>
          <w:highlight w:val="none"/>
          <w:u w:val="single"/>
          <w:lang w:val="en-US" w:eastAsia="zh-CN"/>
        </w:rPr>
        <w:t xml:space="preserve">1.</w:t>
      </w:r>
      <w:r>
        <w:rPr>
          <w:rFonts w:hint="eastAsia" w:ascii="仿宋" w:hAnsi="仿宋" w:eastAsia="仿宋" w:cs="仿宋"/>
          <w:b/>
          <w:bCs/>
          <w:i/>
          <w:iCs/>
          <w:color w:val="auto"/>
          <w:sz w:val="28"/>
          <w:szCs w:val="28"/>
          <w:highlight w:val="none"/>
          <w:u w:val="single"/>
        </w:rPr>
        <w:t xml:space="preserve">按招标文件第三部分 项目需求“九、采购需求中必须满足的实质性要求”要求提供。</w:t>
      </w:r>
      <w:r/>
    </w:p>
    <w:p>
      <w:pPr>
        <w:ind w:firstLine="562"/>
        <w:jc w:val="left"/>
        <w:keepLines w:val="0"/>
        <w:keepNext w:val="0"/>
        <w:pageBreakBefore w:val="0"/>
        <w:spacing w:line="500" w:lineRule="exact"/>
        <w:widowControl w:val="off"/>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四、商务技术文件</w:t>
      </w:r>
      <w:r/>
    </w:p>
    <w:p>
      <w:pPr>
        <w:ind w:firstLine="560"/>
        <w:keepLines w:val="0"/>
        <w:keepNext w:val="0"/>
        <w:pageBreakBefore w:val="0"/>
        <w:spacing w:line="50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w:t>
      </w:r>
      <w:r>
        <w:rPr>
          <w:rFonts w:hint="eastAsia" w:ascii="方正仿宋_GBK" w:hAnsi="方正仿宋_GBK" w:eastAsia="方正仿宋_GBK" w:cs="方正仿宋_GBK"/>
          <w:bCs/>
          <w:color w:val="auto"/>
          <w:sz w:val="28"/>
          <w:szCs w:val="28"/>
          <w:highlight w:val="none"/>
          <w:lang w:val="zh-CN"/>
        </w:rPr>
        <w:t xml:space="preserve">商务技术评分标准中须提供的相关得分佐证材料；</w:t>
      </w:r>
      <w:r/>
    </w:p>
    <w:p>
      <w:pPr>
        <w:contextualSpacing/>
        <w:ind w:firstLine="560"/>
        <w:keepLines w:val="0"/>
        <w:keepNext w:val="0"/>
        <w:pageBreakBefore w:val="0"/>
        <w:spacing w:line="500" w:lineRule="exact"/>
        <w:widowControl w:val="off"/>
        <w:rPr>
          <w:rFonts w:hint="eastAsia" w:ascii="宋体" w:hAnsi="宋体" w:cs="宋体"/>
          <w:color w:val="auto"/>
          <w:sz w:val="32"/>
          <w:szCs w:val="32"/>
          <w:highlight w:val="none"/>
          <w:lang w:val="zh-CN"/>
        </w:rPr>
        <w:sectPr>
          <w:headerReference w:type="default" r:id="rId9"/>
          <w:footerReference w:type="default" r:id="rId15"/>
          <w:footnotePr/>
          <w:endnotePr/>
          <w:type w:val="nextPage"/>
          <w:pgSz w:w="11907" w:h="16839" w:orient="portrait"/>
          <w:pgMar w:top="1440" w:right="1800" w:bottom="1440" w:left="1800" w:header="720" w:footer="720" w:gutter="0"/>
          <w:cols w:num="1" w:sep="0" w:space="720" w:equalWidth="1"/>
          <w:docGrid w:linePitch="360"/>
        </w:sectPr>
      </w:pPr>
      <w:r>
        <w:rPr>
          <w:rFonts w:hint="eastAsia" w:ascii="方正仿宋_GBK" w:hAnsi="方正仿宋_GBK" w:eastAsia="方正仿宋_GBK" w:cs="方正仿宋_GBK"/>
          <w:bCs/>
          <w:color w:val="auto"/>
          <w:sz w:val="28"/>
          <w:szCs w:val="28"/>
          <w:highlight w:val="none"/>
        </w:rPr>
        <w:t xml:space="preserve">2.</w:t>
      </w:r>
      <w:r>
        <w:rPr>
          <w:rFonts w:hint="eastAsia" w:ascii="方正仿宋_GBK" w:hAnsi="方正仿宋_GBK" w:eastAsia="方正仿宋_GBK" w:cs="方正仿宋_GBK"/>
          <w:bCs/>
          <w:color w:val="auto"/>
          <w:sz w:val="28"/>
          <w:szCs w:val="28"/>
          <w:highlight w:val="none"/>
          <w:lang w:val="zh-CN"/>
        </w:rPr>
        <w:t xml:space="preserve">投标人认为需要提交的其他商务技术材料。</w:t>
      </w:r>
      <w:r>
        <w:rPr>
          <w:rFonts w:hint="eastAsia" w:ascii="宋体" w:hAnsi="宋体" w:cs="宋体"/>
          <w:color w:val="auto"/>
          <w:sz w:val="32"/>
          <w:szCs w:val="32"/>
          <w:highlight w:val="none"/>
          <w:lang w:val="zh-CN"/>
        </w:rPr>
        <w:br w:type="page" w:clear="all"/>
      </w:r>
      <w:r/>
    </w:p>
    <w:p>
      <w:pPr>
        <w:rPr>
          <w:rFonts w:hint="eastAsia" w:ascii="方正仿宋_GBK" w:hAnsi="方正仿宋_GBK" w:eastAsia="方正仿宋_GBK" w:cs="方正仿宋_GBK"/>
          <w:color w:val="auto"/>
          <w:sz w:val="32"/>
          <w:szCs w:val="32"/>
          <w:highlight w:val="none"/>
          <w:lang w:eastAsia="zh-CN"/>
        </w:rPr>
        <w:outlineLvl w:val="1"/>
      </w:pPr>
      <w:r>
        <w:rPr>
          <w:rFonts w:hint="eastAsia" w:ascii="方正仿宋_GBK" w:hAnsi="方正仿宋_GBK" w:eastAsia="方正仿宋_GBK" w:cs="方正仿宋_GBK"/>
          <w:color w:val="auto"/>
          <w:sz w:val="32"/>
          <w:szCs w:val="32"/>
          <w:highlight w:val="none"/>
          <w:lang w:val="zh-CN"/>
        </w:rPr>
        <w:t xml:space="preserve">附件</w:t>
      </w:r>
      <w:r>
        <w:rPr>
          <w:rFonts w:hint="eastAsia" w:ascii="方正仿宋_GBK" w:hAnsi="方正仿宋_GBK" w:eastAsia="方正仿宋_GBK" w:cs="方正仿宋_GBK"/>
          <w:color w:val="auto"/>
          <w:sz w:val="32"/>
          <w:szCs w:val="32"/>
          <w:highlight w:val="none"/>
          <w:lang w:val="en-US" w:eastAsia="zh-CN"/>
        </w:rPr>
        <w:t xml:space="preserve">1</w:t>
      </w:r>
      <w:r/>
    </w:p>
    <w:p>
      <w:pPr>
        <w:jc w:val="center"/>
        <w:spacing w:before="100" w:beforeAutospacing="1" w:after="100" w:afterAutospacing="1" w:line="500" w:lineRule="atLeast"/>
        <w:widowControl/>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投标分项报价表（服务类）</w:t>
      </w:r>
      <w:r/>
    </w:p>
    <w:p>
      <w:pPr>
        <w:spacing w:line="4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投标人（加盖ca电子公章）：</w:t>
      </w:r>
      <w:r/>
    </w:p>
    <w:tbl>
      <w:tblPr>
        <w:tblStyle w:val="923"/>
        <w:tblW w:w="829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7"/>
        <w:gridCol w:w="689"/>
        <w:gridCol w:w="2201"/>
        <w:gridCol w:w="1480"/>
        <w:gridCol w:w="1707"/>
        <w:gridCol w:w="1623"/>
      </w:tblGrid>
      <w:tr>
        <w:trPr>
          <w:trHeight w:val="328"/>
        </w:trPr>
        <w:tc>
          <w:tcPr>
            <w:shd w:val="clear" w:color="auto" w:fill="ffffff"/>
            <w:tcW w:w="597" w:type="dxa"/>
            <w:vAlign w:val="center"/>
            <w:textDirection w:val="lrTb"/>
            <w:noWrap/>
          </w:tcPr>
          <w:p>
            <w:pPr>
              <w:jc w:val="center"/>
              <w:keepLines w:val="0"/>
              <w:keepNext w:val="0"/>
              <w:widowControl/>
              <w:rPr>
                <w:rFonts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序号</w:t>
            </w:r>
            <w:r/>
          </w:p>
        </w:tc>
        <w:tc>
          <w:tcPr>
            <w:shd w:val="clear" w:color="auto" w:fill="ffffff"/>
            <w:tcW w:w="689"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类别</w:t>
            </w:r>
            <w:r/>
          </w:p>
        </w:tc>
        <w:tc>
          <w:tcPr>
            <w:shd w:val="clear" w:color="auto" w:fill="ffffff"/>
            <w:tcW w:w="2201"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项目</w:t>
            </w:r>
            <w:r/>
          </w:p>
        </w:tc>
        <w:tc>
          <w:tcPr>
            <w:shd w:val="clear" w:color="auto" w:fill="ffffff"/>
            <w:tcW w:w="1480"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人数</w:t>
            </w:r>
            <w:r>
              <w:rPr>
                <w:rFonts w:hint="default" w:ascii="Times" w:hAnsi="Times" w:eastAsia="Times" w:cs="Times"/>
                <w:i w:val="0"/>
                <w:iCs w:val="0"/>
                <w:color w:val="auto"/>
                <w:sz w:val="24"/>
                <w:szCs w:val="24"/>
                <w:highlight w:val="none"/>
                <w:u w:val="none"/>
                <w:lang w:val="en-US" w:eastAsia="zh-CN" w:bidi="ar"/>
              </w:rPr>
              <w:t xml:space="preserve">/</w:t>
            </w:r>
            <w:r>
              <w:rPr>
                <w:rFonts w:hint="default" w:ascii="仿宋" w:hAnsi="仿宋" w:eastAsia="仿宋" w:cs="仿宋"/>
                <w:i w:val="0"/>
                <w:iCs w:val="0"/>
                <w:color w:val="auto"/>
                <w:sz w:val="24"/>
                <w:szCs w:val="24"/>
                <w:highlight w:val="none"/>
                <w:u w:val="none"/>
                <w:lang w:val="en-US" w:eastAsia="zh-CN" w:bidi="ar"/>
              </w:rPr>
              <w:t xml:space="preserve">数量</w:t>
            </w: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ffffff"/>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投标单价</w:t>
            </w:r>
            <w:r>
              <w:rPr>
                <w:rFonts w:hint="default"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i w:val="0"/>
                <w:iCs w:val="0"/>
                <w:color w:val="auto"/>
                <w:sz w:val="24"/>
                <w:szCs w:val="24"/>
                <w:highlight w:val="none"/>
                <w:u w:val="none"/>
                <w:lang w:val="en-US" w:eastAsia="zh-CN" w:bidi="ar"/>
              </w:rPr>
              <w:t xml:space="preserve">元</w:t>
            </w:r>
            <w:r>
              <w:rPr>
                <w:rFonts w:hint="default" w:ascii="仿宋" w:hAnsi="仿宋" w:eastAsia="仿宋" w:cs="仿宋"/>
                <w:i w:val="0"/>
                <w:iCs w:val="0"/>
                <w:color w:val="auto"/>
                <w:sz w:val="24"/>
                <w:szCs w:val="24"/>
                <w:highlight w:val="none"/>
                <w:u w:val="none"/>
                <w:lang w:val="en-US" w:eastAsia="zh-CN" w:bidi="ar"/>
              </w:rPr>
              <w:t xml:space="preserve">）</w:t>
            </w:r>
            <w:r/>
          </w:p>
        </w:tc>
        <w:tc>
          <w:tcPr>
            <w:shd w:val="clear" w:color="auto" w:fill="ffffff"/>
            <w:tcW w:w="1623"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投标合价（元）</w:t>
            </w:r>
            <w:r/>
          </w:p>
        </w:tc>
      </w:tr>
      <w:tr>
        <w:trPr>
          <w:trHeight w:val="291"/>
        </w:trPr>
        <w:tc>
          <w:tcPr>
            <w:shd w:val="clear" w:color="auto" w:fill="auto"/>
            <w:tcW w:w="59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lang w:val="en-US" w:eastAsia="zh-CN" w:bidi="ar"/>
              </w:rPr>
              <w:t xml:space="preserve">1</w:t>
            </w:r>
            <w:r/>
          </w:p>
        </w:tc>
        <w:tc>
          <w:tcPr>
            <w:shd w:val="clear" w:color="auto" w:fill="auto"/>
            <w:tcW w:w="689" w:type="dxa"/>
            <w:vAlign w:val="center"/>
            <w:vMerge w:val="restart"/>
            <w:textDirection w:val="lrTb"/>
            <w:noWrap w:val="false"/>
          </w:tcPr>
          <w:p>
            <w:pPr>
              <w:jc w:val="center"/>
              <w:keepLines w:val="0"/>
              <w:keepNext w:val="0"/>
              <w:widowControl/>
              <w:rPr>
                <w:rFonts w:hint="default" w:ascii="Times" w:hAnsi="Times" w:eastAsia="Times" w:cs="Times"/>
                <w:i w:val="0"/>
                <w:iCs w:val="0"/>
                <w:color w:val="auto"/>
                <w:sz w:val="24"/>
                <w:szCs w:val="24"/>
                <w:highlight w:val="none"/>
                <w:u w:val="none"/>
                <w:lang w:val="en-US"/>
              </w:rPr>
              <w:suppressLineNumbers w:val="0"/>
            </w:pPr>
            <w:r>
              <w:rPr>
                <w:rFonts w:hint="default" w:ascii="仿宋" w:hAnsi="仿宋" w:eastAsia="仿宋" w:cs="仿宋"/>
                <w:i w:val="0"/>
                <w:iCs w:val="0"/>
                <w:color w:val="auto"/>
                <w:sz w:val="24"/>
                <w:szCs w:val="24"/>
                <w:highlight w:val="none"/>
                <w:u w:val="none"/>
                <w:lang w:val="en-US" w:eastAsia="zh-CN" w:bidi="ar"/>
              </w:rPr>
              <w:t xml:space="preserve">人员</w:t>
            </w:r>
            <w:r/>
          </w:p>
        </w:tc>
        <w:tc>
          <w:tcPr>
            <w:shd w:val="clear" w:color="auto" w:fill="auto"/>
            <w:tcW w:w="2201"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项目总负责人</w:t>
            </w:r>
            <w:r/>
          </w:p>
        </w:tc>
        <w:tc>
          <w:tcPr>
            <w:shd w:val="clear" w:color="auto" w:fill="auto"/>
            <w:tcW w:w="1480" w:type="dxa"/>
            <w:vAlign w:val="center"/>
            <w:textDirection w:val="lrTb"/>
            <w:noWrap/>
          </w:tcPr>
          <w:p>
            <w:pPr>
              <w:jc w:val="center"/>
              <w:keepLines w:val="0"/>
              <w:keepNext w:val="0"/>
              <w:widowControl/>
              <w:rPr>
                <w:rFonts w:hint="default" w:ascii="Times" w:hAnsi="Times" w:eastAsia="宋体" w:cs="Times"/>
                <w:i w:val="0"/>
                <w:iCs w:val="0"/>
                <w:color w:val="auto"/>
                <w:sz w:val="24"/>
                <w:szCs w:val="24"/>
                <w:highlight w:val="none"/>
                <w:u w:val="none"/>
                <w:lang w:val="en-US" w:eastAsia="zh-CN"/>
              </w:rPr>
              <w:suppressLineNumbers w:val="0"/>
            </w:pPr>
            <w:r>
              <w:rPr>
                <w:rFonts w:hint="default" w:ascii="Times" w:hAnsi="Times" w:eastAsia="宋体" w:cs="Times"/>
                <w:i w:val="0"/>
                <w:iCs w:val="0"/>
                <w:color w:val="auto"/>
                <w:sz w:val="24"/>
                <w:szCs w:val="24"/>
                <w:highlight w:val="none"/>
                <w:u w:val="none"/>
                <w:lang w:val="en-US" w:eastAsia="zh-CN"/>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r>
      <w:tr>
        <w:trPr>
          <w:trHeight w:val="291"/>
        </w:trPr>
        <w:tc>
          <w:tcPr>
            <w:shd w:val="clear" w:color="auto" w:fill="auto"/>
            <w:tcW w:w="597" w:type="dxa"/>
            <w:vAlign w:val="center"/>
            <w:textDirection w:val="lrTb"/>
            <w:noWrap/>
          </w:tcPr>
          <w:p>
            <w:pPr>
              <w:jc w:val="center"/>
              <w:rPr>
                <w:rFonts w:hint="eastAsia" w:ascii="Times" w:hAnsi="Times" w:eastAsia="宋体" w:cs="Times"/>
                <w:i w:val="0"/>
                <w:iCs w:val="0"/>
                <w:color w:val="auto"/>
                <w:sz w:val="24"/>
                <w:szCs w:val="24"/>
                <w:highlight w:val="none"/>
                <w:u w:val="none"/>
                <w:lang w:val="en-US" w:eastAsia="zh-CN"/>
              </w:rPr>
            </w:pPr>
            <w:r>
              <w:rPr>
                <w:rFonts w:hint="eastAsia" w:ascii="Times" w:hAnsi="Times" w:eastAsia="宋体" w:cs="Times"/>
                <w:i w:val="0"/>
                <w:iCs w:val="0"/>
                <w:color w:val="auto"/>
                <w:sz w:val="24"/>
                <w:szCs w:val="24"/>
                <w:highlight w:val="none"/>
                <w:u w:val="none"/>
                <w:lang w:val="en-US" w:eastAsia="zh-CN"/>
              </w:rPr>
              <w:t xml:space="preserve">2</w:t>
            </w:r>
            <w:r/>
          </w:p>
        </w:tc>
        <w:tc>
          <w:tcPr>
            <w:shd w:val="clear" w:color="auto" w:fill="auto"/>
            <w:tcW w:w="689" w:type="dxa"/>
            <w:vAlign w:val="center"/>
            <w:vMerge w:val="continue"/>
            <w:textDirection w:val="lrTb"/>
            <w:noWrap w:val="false"/>
          </w:tcPr>
          <w:p>
            <w:pPr>
              <w:jc w:val="center"/>
              <w:rPr>
                <w:rFonts w:hint="default" w:ascii="Times" w:hAnsi="Times" w:eastAsia="Times" w:cs="Times"/>
                <w:i w:val="0"/>
                <w:iCs w:val="0"/>
                <w:color w:val="auto"/>
                <w:sz w:val="24"/>
                <w:szCs w:val="24"/>
                <w:highlight w:val="none"/>
                <w:u w:val="none"/>
              </w:rPr>
            </w:pPr>
            <w:r>
              <w:rPr>
                <w:rFonts w:hint="default" w:ascii="Times" w:hAnsi="Times" w:eastAsia="Times" w:cs="Times"/>
                <w:i w:val="0"/>
                <w:iCs w:val="0"/>
                <w:color w:val="auto"/>
                <w:sz w:val="24"/>
                <w:szCs w:val="24"/>
                <w:highlight w:val="none"/>
                <w:u w:val="none"/>
              </w:rPr>
            </w:r>
            <w:r/>
          </w:p>
        </w:tc>
        <w:tc>
          <w:tcPr>
            <w:shd w:val="clear" w:color="auto" w:fill="auto"/>
            <w:tcW w:w="2201"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门卫</w:t>
            </w:r>
            <w:r/>
          </w:p>
        </w:tc>
        <w:tc>
          <w:tcPr>
            <w:shd w:val="clear" w:color="auto" w:fill="auto"/>
            <w:tcW w:w="1480" w:type="dxa"/>
            <w:vAlign w:val="center"/>
            <w:textDirection w:val="lrTb"/>
            <w:noWrap/>
          </w:tcPr>
          <w:p>
            <w:pPr>
              <w:jc w:val="center"/>
              <w:keepLines w:val="0"/>
              <w:keepNext w:val="0"/>
              <w:widowControl/>
              <w:rPr>
                <w:rFonts w:hint="default" w:ascii="Times" w:hAnsi="Times" w:eastAsia="宋体" w:cs="Times"/>
                <w:i w:val="0"/>
                <w:iCs w:val="0"/>
                <w:color w:val="auto"/>
                <w:sz w:val="24"/>
                <w:szCs w:val="24"/>
                <w:highlight w:val="none"/>
                <w:u w:val="none"/>
                <w:lang w:val="en-US" w:eastAsia="zh-CN"/>
              </w:rPr>
              <w:suppressLineNumbers w:val="0"/>
            </w:pPr>
            <w:r>
              <w:rPr>
                <w:rFonts w:hint="default" w:ascii="Times" w:hAnsi="Times" w:eastAsia="宋体" w:cs="Times"/>
                <w:i w:val="0"/>
                <w:iCs w:val="0"/>
                <w:color w:val="auto"/>
                <w:sz w:val="24"/>
                <w:szCs w:val="24"/>
                <w:highlight w:val="none"/>
                <w:u w:val="none"/>
                <w:lang w:val="en-US" w:eastAsia="zh-CN"/>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r>
      <w:tr>
        <w:trPr>
          <w:trHeight w:val="291"/>
        </w:trPr>
        <w:tc>
          <w:tcPr>
            <w:shd w:val="clear" w:color="auto" w:fill="auto"/>
            <w:tcW w:w="59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eastAsia" w:ascii="Times" w:hAnsi="Times" w:eastAsia="Times" w:cs="Times"/>
                <w:i w:val="0"/>
                <w:iCs w:val="0"/>
                <w:color w:val="auto"/>
                <w:sz w:val="24"/>
                <w:szCs w:val="24"/>
                <w:highlight w:val="none"/>
                <w:u w:val="none"/>
                <w:lang w:val="en-US" w:eastAsia="zh-CN" w:bidi="ar"/>
              </w:rPr>
              <w:t xml:space="preserve">3</w:t>
            </w:r>
            <w:r/>
          </w:p>
        </w:tc>
        <w:tc>
          <w:tcPr>
            <w:shd w:val="clear" w:color="auto" w:fill="auto"/>
            <w:tcW w:w="689" w:type="dxa"/>
            <w:vAlign w:val="center"/>
            <w:vMerge w:val="continue"/>
            <w:textDirection w:val="lrTb"/>
            <w:noWrap w:val="false"/>
          </w:tcPr>
          <w:p>
            <w:pPr>
              <w:jc w:val="center"/>
              <w:rPr>
                <w:rFonts w:hint="default" w:ascii="Times" w:hAnsi="Times" w:eastAsia="Times" w:cs="Times"/>
                <w:i w:val="0"/>
                <w:iCs w:val="0"/>
                <w:color w:val="auto"/>
                <w:sz w:val="24"/>
                <w:szCs w:val="24"/>
                <w:highlight w:val="none"/>
                <w:u w:val="none"/>
              </w:rPr>
            </w:pPr>
            <w:r>
              <w:rPr>
                <w:rFonts w:hint="default" w:ascii="Times" w:hAnsi="Times" w:eastAsia="Times" w:cs="Times"/>
                <w:i w:val="0"/>
                <w:iCs w:val="0"/>
                <w:color w:val="auto"/>
                <w:sz w:val="24"/>
                <w:szCs w:val="24"/>
                <w:highlight w:val="none"/>
                <w:u w:val="none"/>
              </w:rPr>
            </w:r>
            <w:r/>
          </w:p>
        </w:tc>
        <w:tc>
          <w:tcPr>
            <w:shd w:val="clear" w:color="auto" w:fill="auto"/>
            <w:tcW w:w="2201"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接车员</w:t>
            </w:r>
            <w:r/>
          </w:p>
        </w:tc>
        <w:tc>
          <w:tcPr>
            <w:shd w:val="clear" w:color="auto" w:fill="auto"/>
            <w:tcW w:w="1480" w:type="dxa"/>
            <w:vAlign w:val="center"/>
            <w:textDirection w:val="lrTb"/>
            <w:noWrap/>
          </w:tcPr>
          <w:p>
            <w:pPr>
              <w:jc w:val="center"/>
              <w:keepLines w:val="0"/>
              <w:keepNext w:val="0"/>
              <w:widowControl/>
              <w:rPr>
                <w:rFonts w:hint="default" w:ascii="Times" w:hAnsi="Times" w:eastAsia="宋体" w:cs="Times"/>
                <w:i w:val="0"/>
                <w:iCs w:val="0"/>
                <w:color w:val="auto"/>
                <w:sz w:val="24"/>
                <w:szCs w:val="24"/>
                <w:highlight w:val="none"/>
                <w:u w:val="none"/>
                <w:lang w:val="en-US" w:eastAsia="zh-CN"/>
              </w:rPr>
              <w:suppressLineNumbers w:val="0"/>
            </w:pPr>
            <w:r>
              <w:rPr>
                <w:rFonts w:hint="default" w:ascii="Times" w:hAnsi="Times" w:eastAsia="宋体" w:cs="Times"/>
                <w:i w:val="0"/>
                <w:iCs w:val="0"/>
                <w:color w:val="auto"/>
                <w:sz w:val="24"/>
                <w:szCs w:val="24"/>
                <w:highlight w:val="none"/>
                <w:u w:val="none"/>
                <w:lang w:val="en-US" w:eastAsia="zh-CN"/>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r>
      <w:tr>
        <w:trPr>
          <w:trHeight w:val="291"/>
        </w:trPr>
        <w:tc>
          <w:tcPr>
            <w:shd w:val="clear" w:color="auto" w:fill="auto"/>
            <w:tcW w:w="59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lang w:val="en-US" w:eastAsia="zh-CN" w:bidi="ar"/>
              </w:rPr>
              <w:suppressLineNumbers w:val="0"/>
            </w:pPr>
            <w:r>
              <w:rPr>
                <w:rFonts w:hint="eastAsia" w:ascii="Times" w:hAnsi="Times" w:eastAsia="Times" w:cs="Times"/>
                <w:i w:val="0"/>
                <w:iCs w:val="0"/>
                <w:color w:val="auto"/>
                <w:sz w:val="24"/>
                <w:szCs w:val="24"/>
                <w:highlight w:val="none"/>
                <w:u w:val="none"/>
                <w:lang w:val="en-US" w:eastAsia="zh-CN" w:bidi="ar"/>
              </w:rPr>
              <w:t xml:space="preserve">4</w:t>
            </w:r>
            <w:r/>
          </w:p>
        </w:tc>
        <w:tc>
          <w:tcPr>
            <w:shd w:val="clear" w:color="auto" w:fill="auto"/>
            <w:tcW w:w="689" w:type="dxa"/>
            <w:vAlign w:val="center"/>
            <w:vMerge w:val="continue"/>
            <w:textDirection w:val="lrTb"/>
            <w:noWrap w:val="false"/>
          </w:tcPr>
          <w:p>
            <w:pPr>
              <w:jc w:val="center"/>
              <w:rPr>
                <w:rFonts w:hint="default" w:ascii="Times" w:hAnsi="Times" w:eastAsia="Times" w:cs="Times"/>
                <w:i w:val="0"/>
                <w:iCs w:val="0"/>
                <w:color w:val="auto"/>
                <w:sz w:val="24"/>
                <w:szCs w:val="24"/>
                <w:highlight w:val="none"/>
                <w:u w:val="none"/>
              </w:rPr>
            </w:pPr>
            <w:r>
              <w:rPr>
                <w:rFonts w:hint="default" w:ascii="Times" w:hAnsi="Times" w:eastAsia="Times" w:cs="Times"/>
                <w:i w:val="0"/>
                <w:iCs w:val="0"/>
                <w:color w:val="auto"/>
                <w:sz w:val="24"/>
                <w:szCs w:val="24"/>
                <w:highlight w:val="none"/>
                <w:u w:val="none"/>
              </w:rPr>
            </w:r>
            <w:r/>
          </w:p>
        </w:tc>
        <w:tc>
          <w:tcPr>
            <w:shd w:val="clear" w:color="auto" w:fill="auto"/>
            <w:tcW w:w="2201"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场地管理员</w:t>
            </w:r>
            <w:r/>
          </w:p>
        </w:tc>
        <w:tc>
          <w:tcPr>
            <w:shd w:val="clear" w:color="auto" w:fill="auto"/>
            <w:tcW w:w="1480"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r>
      <w:tr>
        <w:trPr>
          <w:trHeight w:val="291"/>
        </w:trPr>
        <w:tc>
          <w:tcPr>
            <w:shd w:val="clear" w:color="auto" w:fill="auto"/>
            <w:tcW w:w="59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lang w:val="en-US" w:eastAsia="zh-CN" w:bidi="ar"/>
              </w:rPr>
              <w:suppressLineNumbers w:val="0"/>
            </w:pPr>
            <w:r>
              <w:rPr>
                <w:rFonts w:hint="eastAsia" w:ascii="Times" w:hAnsi="Times" w:eastAsia="Times" w:cs="Times"/>
                <w:i w:val="0"/>
                <w:iCs w:val="0"/>
                <w:color w:val="auto"/>
                <w:sz w:val="24"/>
                <w:szCs w:val="24"/>
                <w:highlight w:val="none"/>
                <w:u w:val="none"/>
                <w:lang w:val="en-US" w:eastAsia="zh-CN" w:bidi="ar"/>
              </w:rPr>
              <w:t xml:space="preserve">5</w:t>
            </w:r>
            <w:r/>
          </w:p>
        </w:tc>
        <w:tc>
          <w:tcPr>
            <w:shd w:val="clear" w:color="auto" w:fill="auto"/>
            <w:tcW w:w="689" w:type="dxa"/>
            <w:vAlign w:val="center"/>
            <w:vMerge w:val="continue"/>
            <w:textDirection w:val="lrTb"/>
            <w:noWrap w:val="false"/>
          </w:tcPr>
          <w:p>
            <w:pPr>
              <w:jc w:val="center"/>
              <w:rPr>
                <w:rFonts w:hint="default" w:ascii="Times" w:hAnsi="Times" w:eastAsia="Times" w:cs="Times"/>
                <w:i w:val="0"/>
                <w:iCs w:val="0"/>
                <w:color w:val="auto"/>
                <w:sz w:val="24"/>
                <w:szCs w:val="24"/>
                <w:highlight w:val="none"/>
                <w:u w:val="none"/>
              </w:rPr>
            </w:pPr>
            <w:r>
              <w:rPr>
                <w:rFonts w:hint="default" w:ascii="Times" w:hAnsi="Times" w:eastAsia="Times" w:cs="Times"/>
                <w:i w:val="0"/>
                <w:iCs w:val="0"/>
                <w:color w:val="auto"/>
                <w:sz w:val="24"/>
                <w:szCs w:val="24"/>
                <w:highlight w:val="none"/>
                <w:u w:val="none"/>
              </w:rPr>
            </w:r>
            <w:r/>
          </w:p>
        </w:tc>
        <w:tc>
          <w:tcPr>
            <w:shd w:val="clear" w:color="auto" w:fill="auto"/>
            <w:tcW w:w="2201"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文员</w:t>
            </w:r>
            <w:r/>
          </w:p>
        </w:tc>
        <w:tc>
          <w:tcPr>
            <w:shd w:val="clear" w:color="auto" w:fill="auto"/>
            <w:tcW w:w="1480"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r>
      <w:tr>
        <w:trPr>
          <w:trHeight w:val="167"/>
        </w:trPr>
        <w:tc>
          <w:tcPr>
            <w:gridSpan w:val="5"/>
            <w:shd w:val="clear" w:color="auto" w:fill="auto"/>
            <w:tcW w:w="6674"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合计</w:t>
            </w:r>
            <w:r/>
          </w:p>
        </w:tc>
        <w:tc>
          <w:tcPr>
            <w:shd w:val="clear" w:color="auto" w:fill="auto"/>
            <w:tcW w:w="1623"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default" w:ascii="仿宋" w:hAnsi="仿宋" w:eastAsia="仿宋" w:cs="仿宋"/>
                <w:i w:val="0"/>
                <w:iCs w:val="0"/>
                <w:color w:val="auto"/>
                <w:sz w:val="24"/>
                <w:szCs w:val="24"/>
                <w:highlight w:val="none"/>
                <w:u w:val="none"/>
                <w:lang w:val="en-US" w:eastAsia="zh-CN" w:bidi="ar"/>
              </w:rPr>
            </w:r>
            <w:r/>
          </w:p>
        </w:tc>
      </w:tr>
      <w:tr>
        <w:trPr>
          <w:trHeight w:val="287"/>
        </w:trPr>
        <w:tc>
          <w:tcPr>
            <w:shd w:val="clear" w:color="auto" w:fill="auto"/>
            <w:tcW w:w="59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eastAsia" w:ascii="Times" w:hAnsi="Times" w:eastAsia="Times" w:cs="Times"/>
                <w:i w:val="0"/>
                <w:iCs w:val="0"/>
                <w:color w:val="auto"/>
                <w:sz w:val="24"/>
                <w:szCs w:val="24"/>
                <w:highlight w:val="none"/>
                <w:u w:val="none"/>
                <w:lang w:val="en-US" w:eastAsia="zh-CN" w:bidi="ar"/>
              </w:rPr>
              <w:t xml:space="preserve">6</w:t>
            </w:r>
            <w:r/>
          </w:p>
        </w:tc>
        <w:tc>
          <w:tcPr>
            <w:shd w:val="clear" w:color="auto" w:fill="auto"/>
            <w:tcW w:w="689" w:type="dxa"/>
            <w:vAlign w:val="center"/>
            <w:vMerge w:val="restart"/>
            <w:textDirection w:val="lrTb"/>
            <w:noWrap/>
          </w:tcPr>
          <w:p>
            <w:pPr>
              <w:jc w:val="center"/>
              <w:rPr>
                <w:rFonts w:hint="eastAsia" w:ascii="Times" w:hAnsi="Times" w:eastAsia="宋体" w:cs="Times"/>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bidi="ar"/>
              </w:rPr>
              <w:t xml:space="preserve">车辆</w:t>
            </w:r>
            <w:r/>
          </w:p>
        </w:tc>
        <w:tc>
          <w:tcPr>
            <w:shd w:val="clear" w:color="auto" w:fill="auto"/>
            <w:tcW w:w="2201"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车辆折旧</w:t>
            </w:r>
            <w:r/>
          </w:p>
        </w:tc>
        <w:tc>
          <w:tcPr>
            <w:shd w:val="clear" w:color="auto" w:fill="auto"/>
            <w:tcW w:w="1480"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r>
      <w:tr>
        <w:trPr>
          <w:trHeight w:val="291"/>
        </w:trPr>
        <w:tc>
          <w:tcPr>
            <w:shd w:val="clear" w:color="auto" w:fill="auto"/>
            <w:tcW w:w="59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eastAsia" w:ascii="Times" w:hAnsi="Times" w:eastAsia="Times" w:cs="Times"/>
                <w:i w:val="0"/>
                <w:iCs w:val="0"/>
                <w:color w:val="auto"/>
                <w:sz w:val="24"/>
                <w:szCs w:val="24"/>
                <w:highlight w:val="none"/>
                <w:u w:val="none"/>
                <w:lang w:val="en-US" w:eastAsia="zh-CN" w:bidi="ar"/>
              </w:rPr>
              <w:t xml:space="preserve">7</w:t>
            </w:r>
            <w:r/>
          </w:p>
        </w:tc>
        <w:tc>
          <w:tcPr>
            <w:shd w:val="clear" w:color="auto" w:fill="auto"/>
            <w:tcW w:w="689" w:type="dxa"/>
            <w:vAlign w:val="center"/>
            <w:vMerge w:val="continue"/>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W w:w="2201"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油费</w:t>
            </w:r>
            <w:r/>
          </w:p>
        </w:tc>
        <w:tc>
          <w:tcPr>
            <w:shd w:val="clear" w:color="auto" w:fill="auto"/>
            <w:tcW w:w="1480"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r>
      <w:tr>
        <w:trPr>
          <w:trHeight w:val="282"/>
        </w:trPr>
        <w:tc>
          <w:tcPr>
            <w:shd w:val="clear" w:color="auto" w:fill="auto"/>
            <w:tcW w:w="59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lang w:val="en-US"/>
              </w:rPr>
              <w:suppressLineNumbers w:val="0"/>
            </w:pPr>
            <w:r>
              <w:rPr>
                <w:rFonts w:hint="eastAsia" w:ascii="Times" w:hAnsi="Times" w:eastAsia="Times" w:cs="Times"/>
                <w:i w:val="0"/>
                <w:iCs w:val="0"/>
                <w:color w:val="auto"/>
                <w:sz w:val="24"/>
                <w:szCs w:val="24"/>
                <w:highlight w:val="none"/>
                <w:u w:val="none"/>
                <w:lang w:val="en-US" w:eastAsia="zh-CN" w:bidi="ar"/>
              </w:rPr>
              <w:t xml:space="preserve">8</w:t>
            </w:r>
            <w:r/>
          </w:p>
        </w:tc>
        <w:tc>
          <w:tcPr>
            <w:shd w:val="clear" w:color="auto" w:fill="auto"/>
            <w:tcW w:w="689"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2201"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保险</w:t>
            </w:r>
            <w:r/>
          </w:p>
        </w:tc>
        <w:tc>
          <w:tcPr>
            <w:shd w:val="clear" w:color="auto" w:fill="auto"/>
            <w:tcW w:w="1480"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r>
      <w:tr>
        <w:trPr>
          <w:trHeight w:val="282"/>
        </w:trPr>
        <w:tc>
          <w:tcPr>
            <w:shd w:val="clear" w:color="auto" w:fill="auto"/>
            <w:tcW w:w="59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lang w:val="en-US"/>
              </w:rPr>
              <w:suppressLineNumbers w:val="0"/>
            </w:pPr>
            <w:r>
              <w:rPr>
                <w:rFonts w:hint="eastAsia" w:ascii="Times" w:hAnsi="Times" w:eastAsia="Times" w:cs="Times"/>
                <w:i w:val="0"/>
                <w:iCs w:val="0"/>
                <w:color w:val="auto"/>
                <w:sz w:val="24"/>
                <w:szCs w:val="24"/>
                <w:highlight w:val="none"/>
                <w:u w:val="none"/>
                <w:lang w:val="en-US" w:eastAsia="zh-CN" w:bidi="ar"/>
              </w:rPr>
              <w:t xml:space="preserve">9</w:t>
            </w:r>
            <w:r/>
          </w:p>
        </w:tc>
        <w:tc>
          <w:tcPr>
            <w:shd w:val="clear" w:color="auto" w:fill="auto"/>
            <w:tcW w:w="689"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2201"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维保、维修</w:t>
            </w:r>
            <w:r/>
          </w:p>
        </w:tc>
        <w:tc>
          <w:tcPr>
            <w:shd w:val="clear" w:color="auto" w:fill="auto"/>
            <w:tcW w:w="1480" w:type="dxa"/>
            <w:vAlign w:val="center"/>
            <w:textDirection w:val="lrTb"/>
            <w:noWrap/>
          </w:tcPr>
          <w:p>
            <w:pPr>
              <w:jc w:val="center"/>
              <w:keepLines w:val="0"/>
              <w:keepNext w:val="0"/>
              <w:widowControl/>
              <w:rPr>
                <w:rFonts w:hint="eastAsia" w:ascii="Times" w:hAnsi="Times" w:eastAsia="宋体" w:cs="Times"/>
                <w:i w:val="0"/>
                <w:iCs w:val="0"/>
                <w:color w:val="auto"/>
                <w:sz w:val="24"/>
                <w:szCs w:val="24"/>
                <w:highlight w:val="none"/>
                <w:u w:val="none"/>
                <w:lang w:val="en-US" w:eastAsia="zh-CN"/>
              </w:rPr>
              <w:suppressLineNumbers w:val="0"/>
            </w:pPr>
            <w:r>
              <w:rPr>
                <w:rFonts w:hint="eastAsia" w:ascii="Times" w:hAnsi="Times" w:eastAsia="宋体" w:cs="Times"/>
                <w:i w:val="0"/>
                <w:iCs w:val="0"/>
                <w:color w:val="auto"/>
                <w:sz w:val="24"/>
                <w:szCs w:val="24"/>
                <w:highlight w:val="none"/>
                <w:u w:val="none"/>
                <w:lang w:val="en-US" w:eastAsia="zh-CN"/>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r>
      <w:tr>
        <w:trPr>
          <w:trHeight w:val="282"/>
        </w:trPr>
        <w:tc>
          <w:tcPr>
            <w:shd w:val="clear" w:color="auto" w:fill="auto"/>
            <w:tcW w:w="59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lang w:val="en-US"/>
              </w:rPr>
              <w:suppressLineNumbers w:val="0"/>
            </w:pPr>
            <w:r>
              <w:rPr>
                <w:rFonts w:hint="eastAsia" w:ascii="Times" w:hAnsi="Times" w:eastAsia="Times" w:cs="Times"/>
                <w:i w:val="0"/>
                <w:iCs w:val="0"/>
                <w:color w:val="auto"/>
                <w:sz w:val="24"/>
                <w:szCs w:val="24"/>
                <w:highlight w:val="none"/>
                <w:u w:val="none"/>
                <w:lang w:val="en-US" w:eastAsia="zh-CN" w:bidi="ar"/>
              </w:rPr>
              <w:t xml:space="preserve">10</w:t>
            </w:r>
            <w:r/>
          </w:p>
        </w:tc>
        <w:tc>
          <w:tcPr>
            <w:shd w:val="clear" w:color="auto" w:fill="auto"/>
            <w:tcW w:w="689"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2201"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运尸车</w:t>
            </w:r>
            <w:r/>
          </w:p>
        </w:tc>
        <w:tc>
          <w:tcPr>
            <w:shd w:val="clear" w:color="auto" w:fill="auto"/>
            <w:tcW w:w="1480" w:type="dxa"/>
            <w:vAlign w:val="center"/>
            <w:textDirection w:val="lrTb"/>
            <w:noWrap/>
          </w:tcPr>
          <w:p>
            <w:pPr>
              <w:jc w:val="center"/>
              <w:keepLines w:val="0"/>
              <w:keepNext w:val="0"/>
              <w:widowControl/>
              <w:rPr>
                <w:rFonts w:hint="default" w:ascii="Times" w:hAnsi="Times" w:eastAsia="宋体" w:cs="Times"/>
                <w:i w:val="0"/>
                <w:iCs w:val="0"/>
                <w:color w:val="auto"/>
                <w:sz w:val="24"/>
                <w:szCs w:val="24"/>
                <w:highlight w:val="none"/>
                <w:u w:val="none"/>
                <w:lang w:val="en-US" w:eastAsia="zh-CN"/>
              </w:rPr>
              <w:suppressLineNumbers w:val="0"/>
            </w:pPr>
            <w:r>
              <w:rPr>
                <w:rFonts w:hint="default" w:ascii="Times" w:hAnsi="Times" w:eastAsia="宋体" w:cs="Times"/>
                <w:i w:val="0"/>
                <w:iCs w:val="0"/>
                <w:color w:val="auto"/>
                <w:sz w:val="24"/>
                <w:szCs w:val="24"/>
                <w:highlight w:val="none"/>
                <w:u w:val="none"/>
                <w:lang w:val="en-US" w:eastAsia="zh-CN"/>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r>
      <w:tr>
        <w:trPr>
          <w:trHeight w:val="167"/>
        </w:trPr>
        <w:tc>
          <w:tcPr>
            <w:gridSpan w:val="5"/>
            <w:shd w:val="clear" w:color="auto" w:fill="auto"/>
            <w:tcW w:w="6674"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合计</w:t>
            </w:r>
            <w:r/>
          </w:p>
        </w:tc>
        <w:tc>
          <w:tcPr>
            <w:shd w:val="clear" w:color="auto" w:fill="auto"/>
            <w:tcW w:w="1623"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default" w:ascii="仿宋" w:hAnsi="仿宋" w:eastAsia="仿宋" w:cs="仿宋"/>
                <w:i w:val="0"/>
                <w:iCs w:val="0"/>
                <w:color w:val="auto"/>
                <w:sz w:val="24"/>
                <w:szCs w:val="24"/>
                <w:highlight w:val="none"/>
                <w:u w:val="none"/>
                <w:lang w:val="en-US" w:eastAsia="zh-CN" w:bidi="ar"/>
              </w:rPr>
            </w:r>
            <w:r/>
          </w:p>
        </w:tc>
      </w:tr>
      <w:tr>
        <w:trPr>
          <w:trHeight w:val="333"/>
        </w:trPr>
        <w:tc>
          <w:tcPr>
            <w:shd w:val="clear" w:color="auto" w:fill="auto"/>
            <w:tcW w:w="597" w:type="dxa"/>
            <w:vAlign w:val="center"/>
            <w:textDirection w:val="lrTb"/>
            <w:noWrap/>
          </w:tcPr>
          <w:p>
            <w:pPr>
              <w:jc w:val="center"/>
              <w:keepLines w:val="0"/>
              <w:keepNext w:val="0"/>
              <w:widowControl/>
              <w:rPr>
                <w:rFonts w:hint="default" w:ascii="Times" w:hAnsi="Times" w:eastAsia="宋体" w:cs="Times"/>
                <w:i w:val="0"/>
                <w:iCs w:val="0"/>
                <w:color w:val="auto"/>
                <w:sz w:val="24"/>
                <w:szCs w:val="24"/>
                <w:highlight w:val="none"/>
                <w:u w:val="none"/>
                <w:lang w:val="en-US" w:eastAsia="zh-CN"/>
              </w:rPr>
              <w:suppressLineNumbers w:val="0"/>
            </w:pPr>
            <w:r>
              <w:rPr>
                <w:rFonts w:hint="eastAsia" w:ascii="Times" w:hAnsi="Times" w:cs="Times"/>
                <w:i w:val="0"/>
                <w:iCs w:val="0"/>
                <w:color w:val="auto"/>
                <w:sz w:val="24"/>
                <w:szCs w:val="24"/>
                <w:highlight w:val="none"/>
                <w:u w:val="none"/>
                <w:lang w:val="en-US" w:eastAsia="zh-CN"/>
              </w:rPr>
              <w:t xml:space="preserve">11</w:t>
            </w:r>
            <w:r/>
          </w:p>
        </w:tc>
        <w:tc>
          <w:tcPr>
            <w:shd w:val="clear" w:color="auto" w:fill="auto"/>
            <w:tcW w:w="689" w:type="dxa"/>
            <w:vAlign w:val="center"/>
            <w:vMerge w:val="restart"/>
            <w:textDirection w:val="lrTb"/>
            <w:noWrap w:val="false"/>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场地费用租赁费</w:t>
            </w:r>
            <w:r/>
          </w:p>
        </w:tc>
        <w:tc>
          <w:tcPr>
            <w:shd w:val="clear" w:color="auto" w:fill="auto"/>
            <w:tcW w:w="2201"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通吕运河以南</w:t>
            </w:r>
            <w:r>
              <w:rPr>
                <w:rFonts w:hint="eastAsia" w:ascii="仿宋" w:hAnsi="仿宋" w:eastAsia="仿宋" w:cs="仿宋"/>
                <w:i w:val="0"/>
                <w:iCs w:val="0"/>
                <w:color w:val="auto"/>
                <w:sz w:val="24"/>
                <w:szCs w:val="24"/>
                <w:highlight w:val="none"/>
                <w:u w:val="none"/>
                <w:lang w:val="en-US" w:eastAsia="zh-CN" w:bidi="ar"/>
              </w:rPr>
              <w:t xml:space="preserve">包括开发区和苏锡通园区范围</w:t>
            </w:r>
            <w:r/>
          </w:p>
        </w:tc>
        <w:tc>
          <w:tcPr>
            <w:shd w:val="clear" w:color="auto" w:fill="auto"/>
            <w:tcW w:w="1480" w:type="dxa"/>
            <w:vAlign w:val="center"/>
            <w:textDirection w:val="lrTb"/>
            <w:noWrap/>
          </w:tcPr>
          <w:p>
            <w:pPr>
              <w:jc w:val="center"/>
              <w:keepLines w:val="0"/>
              <w:keepNext w:val="0"/>
              <w:widowControl/>
              <w:rPr>
                <w:rFonts w:hint="eastAsia" w:ascii="Times" w:hAnsi="Times" w:eastAsia="宋体" w:cs="Times"/>
                <w:i w:val="0"/>
                <w:iCs w:val="0"/>
                <w:color w:val="auto"/>
                <w:sz w:val="24"/>
                <w:szCs w:val="24"/>
                <w:highlight w:val="none"/>
                <w:u w:val="none"/>
                <w:lang w:val="en-US" w:eastAsia="zh-CN"/>
              </w:rPr>
              <w:suppressLineNumbers w:val="0"/>
            </w:pPr>
            <w:r>
              <w:rPr>
                <w:rFonts w:hint="eastAsia" w:ascii="Times" w:hAnsi="Times" w:eastAsia="宋体" w:cs="Times"/>
                <w:i w:val="0"/>
                <w:iCs w:val="0"/>
                <w:color w:val="auto"/>
                <w:sz w:val="24"/>
                <w:szCs w:val="24"/>
                <w:highlight w:val="none"/>
                <w:u w:val="none"/>
                <w:lang w:val="en-US" w:eastAsia="zh-CN"/>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r>
      <w:tr>
        <w:trPr>
          <w:trHeight w:val="293"/>
        </w:trPr>
        <w:tc>
          <w:tcPr>
            <w:shd w:val="clear" w:color="auto" w:fill="auto"/>
            <w:tcW w:w="59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lang w:val="en-US"/>
              </w:rPr>
              <w:suppressLineNumbers w:val="0"/>
            </w:pPr>
            <w:r>
              <w:rPr>
                <w:rFonts w:hint="eastAsia" w:ascii="Times" w:hAnsi="Times" w:eastAsia="Times" w:cs="Times"/>
                <w:i w:val="0"/>
                <w:iCs w:val="0"/>
                <w:color w:val="auto"/>
                <w:sz w:val="24"/>
                <w:szCs w:val="24"/>
                <w:highlight w:val="none"/>
                <w:u w:val="none"/>
                <w:lang w:val="en-US" w:eastAsia="zh-CN" w:bidi="ar"/>
              </w:rPr>
              <w:t xml:space="preserve">12</w:t>
            </w:r>
            <w:r/>
          </w:p>
        </w:tc>
        <w:tc>
          <w:tcPr>
            <w:shd w:val="clear" w:color="auto" w:fill="auto"/>
            <w:tcW w:w="689" w:type="dxa"/>
            <w:vAlign w:val="center"/>
            <w:vMerge w:val="continue"/>
            <w:textDirection w:val="lrTb"/>
            <w:noWrap w:val="false"/>
          </w:tcPr>
          <w:p>
            <w:pPr>
              <w:jc w:val="center"/>
              <w:rPr>
                <w:rFonts w:hint="default" w:ascii="Times" w:hAnsi="Times" w:eastAsia="Times" w:cs="Times"/>
                <w:i w:val="0"/>
                <w:iCs w:val="0"/>
                <w:color w:val="auto"/>
                <w:sz w:val="24"/>
                <w:szCs w:val="24"/>
                <w:highlight w:val="none"/>
                <w:u w:val="none"/>
              </w:rPr>
            </w:pPr>
            <w:r>
              <w:rPr>
                <w:rFonts w:hint="default" w:ascii="Times" w:hAnsi="Times" w:eastAsia="Times" w:cs="Times"/>
                <w:i w:val="0"/>
                <w:iCs w:val="0"/>
                <w:color w:val="auto"/>
                <w:sz w:val="24"/>
                <w:szCs w:val="24"/>
                <w:highlight w:val="none"/>
                <w:u w:val="none"/>
              </w:rPr>
            </w:r>
            <w:r/>
          </w:p>
        </w:tc>
        <w:tc>
          <w:tcPr>
            <w:shd w:val="clear" w:color="auto" w:fill="auto"/>
            <w:tcW w:w="2201"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通吕运河以北</w:t>
            </w:r>
            <w:r/>
          </w:p>
        </w:tc>
        <w:tc>
          <w:tcPr>
            <w:shd w:val="clear" w:color="auto" w:fill="auto"/>
            <w:tcW w:w="1480" w:type="dxa"/>
            <w:vAlign w:val="center"/>
            <w:textDirection w:val="lrTb"/>
            <w:noWrap/>
          </w:tcPr>
          <w:p>
            <w:pPr>
              <w:jc w:val="center"/>
              <w:keepLines w:val="0"/>
              <w:keepNext w:val="0"/>
              <w:widowControl/>
              <w:rPr>
                <w:rFonts w:hint="eastAsia" w:ascii="Times" w:hAnsi="Times" w:eastAsia="宋体" w:cs="Times"/>
                <w:i w:val="0"/>
                <w:iCs w:val="0"/>
                <w:color w:val="auto"/>
                <w:sz w:val="24"/>
                <w:szCs w:val="24"/>
                <w:highlight w:val="none"/>
                <w:u w:val="none"/>
                <w:lang w:val="en-US" w:eastAsia="zh-CN"/>
              </w:rPr>
              <w:suppressLineNumbers w:val="0"/>
            </w:pPr>
            <w:r>
              <w:rPr>
                <w:rFonts w:hint="eastAsia" w:ascii="Times" w:hAnsi="Times" w:eastAsia="宋体" w:cs="Times"/>
                <w:i w:val="0"/>
                <w:iCs w:val="0"/>
                <w:color w:val="auto"/>
                <w:sz w:val="24"/>
                <w:szCs w:val="24"/>
                <w:highlight w:val="none"/>
                <w:u w:val="none"/>
                <w:lang w:val="en-US" w:eastAsia="zh-CN"/>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r>
      <w:tr>
        <w:trPr>
          <w:trHeight w:val="424"/>
        </w:trPr>
        <w:tc>
          <w:tcPr>
            <w:shd w:val="clear" w:color="auto" w:fill="auto"/>
            <w:tcW w:w="59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lang w:val="en-US" w:eastAsia="zh-CN" w:bidi="ar"/>
              </w:rPr>
              <w:suppressLineNumbers w:val="0"/>
            </w:pPr>
            <w:r>
              <w:rPr>
                <w:rFonts w:hint="eastAsia" w:ascii="Times" w:hAnsi="Times" w:eastAsia="Times" w:cs="Times"/>
                <w:i w:val="0"/>
                <w:iCs w:val="0"/>
                <w:color w:val="auto"/>
                <w:sz w:val="24"/>
                <w:szCs w:val="24"/>
                <w:highlight w:val="none"/>
                <w:u w:val="none"/>
                <w:lang w:val="en-US" w:eastAsia="zh-CN" w:bidi="ar"/>
              </w:rPr>
              <w:t xml:space="preserve">13</w:t>
            </w:r>
            <w:r/>
          </w:p>
        </w:tc>
        <w:tc>
          <w:tcPr>
            <w:shd w:val="clear" w:color="auto" w:fill="auto"/>
            <w:tcW w:w="689" w:type="dxa"/>
            <w:vAlign w:val="center"/>
            <w:vMerge w:val="continue"/>
            <w:textDirection w:val="lrTb"/>
            <w:noWrap w:val="false"/>
          </w:tcPr>
          <w:p>
            <w:pPr>
              <w:jc w:val="center"/>
              <w:rPr>
                <w:rFonts w:hint="default" w:ascii="Times" w:hAnsi="Times" w:eastAsia="Times" w:cs="Times"/>
                <w:i w:val="0"/>
                <w:iCs w:val="0"/>
                <w:color w:val="auto"/>
                <w:sz w:val="24"/>
                <w:szCs w:val="24"/>
                <w:highlight w:val="none"/>
                <w:u w:val="none"/>
              </w:rPr>
            </w:pPr>
            <w:r>
              <w:rPr>
                <w:rFonts w:hint="default" w:ascii="Times" w:hAnsi="Times" w:eastAsia="Times" w:cs="Times"/>
                <w:i w:val="0"/>
                <w:iCs w:val="0"/>
                <w:color w:val="auto"/>
                <w:sz w:val="24"/>
                <w:szCs w:val="24"/>
                <w:highlight w:val="none"/>
                <w:u w:val="none"/>
              </w:rPr>
            </w:r>
            <w:r/>
          </w:p>
        </w:tc>
        <w:tc>
          <w:tcPr>
            <w:shd w:val="clear" w:color="auto" w:fill="auto"/>
            <w:tcW w:w="2201"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场地保险</w:t>
            </w:r>
            <w:r/>
          </w:p>
        </w:tc>
        <w:tc>
          <w:tcPr>
            <w:shd w:val="clear" w:color="auto" w:fill="auto"/>
            <w:tcW w:w="1480" w:type="dxa"/>
            <w:vAlign w:val="center"/>
            <w:textDirection w:val="lrTb"/>
            <w:noWrap/>
          </w:tcPr>
          <w:p>
            <w:pPr>
              <w:jc w:val="center"/>
              <w:keepLines w:val="0"/>
              <w:keepNext w:val="0"/>
              <w:widowControl/>
              <w:rPr>
                <w:rFonts w:hint="eastAsia" w:ascii="Times" w:hAnsi="Times" w:eastAsia="宋体" w:cs="Times"/>
                <w:i w:val="0"/>
                <w:iCs w:val="0"/>
                <w:color w:val="auto"/>
                <w:sz w:val="24"/>
                <w:szCs w:val="24"/>
                <w:highlight w:val="none"/>
                <w:u w:val="none"/>
                <w:lang w:val="en-US" w:eastAsia="zh-CN"/>
              </w:rPr>
              <w:suppressLineNumbers w:val="0"/>
            </w:pPr>
            <w:r>
              <w:rPr>
                <w:rFonts w:hint="eastAsia" w:ascii="Times" w:hAnsi="Times" w:eastAsia="宋体" w:cs="Times"/>
                <w:i w:val="0"/>
                <w:iCs w:val="0"/>
                <w:color w:val="auto"/>
                <w:sz w:val="24"/>
                <w:szCs w:val="24"/>
                <w:highlight w:val="none"/>
                <w:u w:val="none"/>
                <w:lang w:val="en-US" w:eastAsia="zh-CN"/>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r>
      <w:tr>
        <w:trPr>
          <w:trHeight w:val="172"/>
        </w:trPr>
        <w:tc>
          <w:tcPr>
            <w:gridSpan w:val="5"/>
            <w:shd w:val="clear" w:color="auto" w:fill="auto"/>
            <w:tcW w:w="6674"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合计</w:t>
            </w:r>
            <w:r/>
          </w:p>
        </w:tc>
        <w:tc>
          <w:tcPr>
            <w:shd w:val="clear" w:color="auto" w:fill="auto"/>
            <w:tcW w:w="1623"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default" w:ascii="仿宋" w:hAnsi="仿宋" w:eastAsia="仿宋" w:cs="仿宋"/>
                <w:i w:val="0"/>
                <w:iCs w:val="0"/>
                <w:color w:val="auto"/>
                <w:sz w:val="24"/>
                <w:szCs w:val="24"/>
                <w:highlight w:val="none"/>
                <w:u w:val="none"/>
                <w:lang w:val="en-US" w:eastAsia="zh-CN" w:bidi="ar"/>
              </w:rPr>
            </w:r>
            <w:r/>
          </w:p>
        </w:tc>
      </w:tr>
      <w:tr>
        <w:trPr>
          <w:trHeight w:val="291"/>
        </w:trPr>
        <w:tc>
          <w:tcPr>
            <w:shd w:val="clear" w:color="auto" w:fill="auto"/>
            <w:tcW w:w="59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lang w:val="en-US"/>
              </w:rPr>
              <w:suppressLineNumbers w:val="0"/>
            </w:pPr>
            <w:r>
              <w:rPr>
                <w:rFonts w:hint="eastAsia" w:ascii="Times" w:hAnsi="Times" w:eastAsia="Times" w:cs="Times"/>
                <w:i w:val="0"/>
                <w:iCs w:val="0"/>
                <w:color w:val="auto"/>
                <w:sz w:val="24"/>
                <w:szCs w:val="24"/>
                <w:highlight w:val="none"/>
                <w:u w:val="none"/>
                <w:lang w:val="en-US" w:eastAsia="zh-CN" w:bidi="ar"/>
              </w:rPr>
              <w:t xml:space="preserve">14</w:t>
            </w:r>
            <w:r/>
          </w:p>
        </w:tc>
        <w:tc>
          <w:tcPr>
            <w:shd w:val="clear" w:color="auto" w:fill="auto"/>
            <w:tcW w:w="689" w:type="dxa"/>
            <w:vAlign w:val="center"/>
            <w:vMerge w:val="restart"/>
            <w:textDirection w:val="lrTb"/>
            <w:noWrap w:val="false"/>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管理费用</w:t>
            </w:r>
            <w:r/>
          </w:p>
        </w:tc>
        <w:tc>
          <w:tcPr>
            <w:shd w:val="clear" w:color="auto" w:fill="auto"/>
            <w:tcW w:w="2201"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水电费</w:t>
            </w:r>
            <w:r/>
          </w:p>
        </w:tc>
        <w:tc>
          <w:tcPr>
            <w:shd w:val="clear" w:color="auto" w:fill="auto"/>
            <w:tcW w:w="1480"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r>
      <w:tr>
        <w:trPr>
          <w:trHeight w:val="495"/>
        </w:trPr>
        <w:tc>
          <w:tcPr>
            <w:shd w:val="clear" w:color="auto" w:fill="auto"/>
            <w:tcW w:w="59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lang w:val="en-US"/>
              </w:rPr>
              <w:suppressLineNumbers w:val="0"/>
            </w:pPr>
            <w:r>
              <w:rPr>
                <w:rFonts w:hint="eastAsia" w:ascii="Times" w:hAnsi="Times" w:eastAsia="Times" w:cs="Times"/>
                <w:i w:val="0"/>
                <w:iCs w:val="0"/>
                <w:color w:val="auto"/>
                <w:sz w:val="24"/>
                <w:szCs w:val="24"/>
                <w:highlight w:val="none"/>
                <w:u w:val="none"/>
                <w:lang w:val="en-US" w:eastAsia="zh-CN" w:bidi="ar"/>
              </w:rPr>
              <w:t xml:space="preserve">15</w:t>
            </w:r>
            <w:r/>
          </w:p>
        </w:tc>
        <w:tc>
          <w:tcPr>
            <w:shd w:val="clear" w:color="auto" w:fill="auto"/>
            <w:tcW w:w="689" w:type="dxa"/>
            <w:vAlign w:val="center"/>
            <w:vMerge w:val="continue"/>
            <w:textDirection w:val="lrTb"/>
            <w:noWrap w:val="false"/>
          </w:tcPr>
          <w:p>
            <w:pPr>
              <w:jc w:val="center"/>
              <w:rPr>
                <w:rFonts w:hint="default" w:ascii="Times" w:hAnsi="Times" w:eastAsia="Times" w:cs="Times"/>
                <w:i w:val="0"/>
                <w:iCs w:val="0"/>
                <w:color w:val="auto"/>
                <w:sz w:val="24"/>
                <w:szCs w:val="24"/>
                <w:highlight w:val="none"/>
                <w:u w:val="none"/>
              </w:rPr>
            </w:pPr>
            <w:r>
              <w:rPr>
                <w:rFonts w:hint="default" w:ascii="Times" w:hAnsi="Times" w:eastAsia="Times" w:cs="Times"/>
                <w:i w:val="0"/>
                <w:iCs w:val="0"/>
                <w:color w:val="auto"/>
                <w:sz w:val="24"/>
                <w:szCs w:val="24"/>
                <w:highlight w:val="none"/>
                <w:u w:val="none"/>
              </w:rPr>
            </w:r>
            <w:r/>
          </w:p>
        </w:tc>
        <w:tc>
          <w:tcPr>
            <w:shd w:val="clear" w:color="auto" w:fill="auto"/>
            <w:tcW w:w="2201"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办公耗费</w:t>
            </w:r>
            <w:r/>
          </w:p>
        </w:tc>
        <w:tc>
          <w:tcPr>
            <w:shd w:val="clear" w:color="auto" w:fill="auto"/>
            <w:tcW w:w="1480"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r>
      <w:tr>
        <w:trPr>
          <w:trHeight w:val="167"/>
        </w:trPr>
        <w:tc>
          <w:tcPr>
            <w:gridSpan w:val="5"/>
            <w:shd w:val="clear" w:color="auto" w:fill="auto"/>
            <w:tcW w:w="6674"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仿宋" w:hAnsi="仿宋" w:eastAsia="仿宋" w:cs="仿宋"/>
                <w:i w:val="0"/>
                <w:iCs w:val="0"/>
                <w:color w:val="auto"/>
                <w:sz w:val="24"/>
                <w:szCs w:val="24"/>
                <w:highlight w:val="none"/>
                <w:u w:val="none"/>
                <w:lang w:val="en-US" w:eastAsia="zh-CN" w:bidi="ar"/>
              </w:rPr>
              <w:t xml:space="preserve">合计</w:t>
            </w:r>
            <w:r/>
          </w:p>
        </w:tc>
        <w:tc>
          <w:tcPr>
            <w:shd w:val="clear" w:color="auto" w:fill="auto"/>
            <w:tcW w:w="1623"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default" w:ascii="仿宋" w:hAnsi="仿宋" w:eastAsia="仿宋" w:cs="仿宋"/>
                <w:i w:val="0"/>
                <w:iCs w:val="0"/>
                <w:color w:val="auto"/>
                <w:sz w:val="24"/>
                <w:szCs w:val="24"/>
                <w:highlight w:val="none"/>
                <w:u w:val="none"/>
                <w:lang w:val="en-US" w:eastAsia="zh-CN" w:bidi="ar"/>
              </w:rPr>
            </w:r>
            <w:r/>
          </w:p>
        </w:tc>
      </w:tr>
      <w:tr>
        <w:trPr>
          <w:trHeight w:val="172"/>
        </w:trPr>
        <w:tc>
          <w:tcPr>
            <w:shd w:val="clear" w:color="auto" w:fill="auto"/>
            <w:tcW w:w="59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lang w:val="en-US"/>
              </w:rPr>
              <w:suppressLineNumbers w:val="0"/>
            </w:pPr>
            <w:r>
              <w:rPr>
                <w:rFonts w:hint="eastAsia" w:ascii="Times" w:hAnsi="Times" w:eastAsia="Times" w:cs="Times"/>
                <w:i w:val="0"/>
                <w:iCs w:val="0"/>
                <w:color w:val="auto"/>
                <w:sz w:val="24"/>
                <w:szCs w:val="24"/>
                <w:highlight w:val="none"/>
                <w:u w:val="none"/>
                <w:lang w:val="en-US" w:eastAsia="zh-CN" w:bidi="ar"/>
              </w:rPr>
              <w:t xml:space="preserve">16</w:t>
            </w:r>
            <w:r/>
          </w:p>
        </w:tc>
        <w:tc>
          <w:tcPr>
            <w:shd w:val="clear" w:color="auto" w:fill="auto"/>
            <w:tcW w:w="689" w:type="dxa"/>
            <w:vAlign w:val="center"/>
            <w:textDirection w:val="lrTb"/>
            <w:noWrap/>
          </w:tcPr>
          <w:p>
            <w:pPr>
              <w:jc w:val="center"/>
              <w:rPr>
                <w:rFonts w:hint="default" w:ascii="Times" w:hAnsi="Times" w:eastAsia="Times" w:cs="Times"/>
                <w:i w:val="0"/>
                <w:iCs w:val="0"/>
                <w:color w:val="auto"/>
                <w:sz w:val="24"/>
                <w:szCs w:val="24"/>
                <w:highlight w:val="none"/>
                <w:u w:val="none"/>
              </w:rPr>
            </w:pPr>
            <w:r>
              <w:rPr>
                <w:rFonts w:hint="default" w:ascii="Times" w:hAnsi="Times" w:eastAsia="Times" w:cs="Times"/>
                <w:i w:val="0"/>
                <w:iCs w:val="0"/>
                <w:color w:val="auto"/>
                <w:sz w:val="24"/>
                <w:szCs w:val="24"/>
                <w:highlight w:val="none"/>
                <w:u w:val="none"/>
              </w:rPr>
            </w:r>
            <w:r/>
          </w:p>
        </w:tc>
        <w:tc>
          <w:tcPr>
            <w:shd w:val="clear" w:color="auto" w:fill="auto"/>
            <w:tcW w:w="2201"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建设成本分摊</w:t>
            </w:r>
            <w:r/>
          </w:p>
        </w:tc>
        <w:tc>
          <w:tcPr>
            <w:shd w:val="clear" w:color="auto" w:fill="auto"/>
            <w:tcW w:w="1480"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707"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rPr>
              <w:suppressLineNumbers w:val="0"/>
            </w:pPr>
            <w:r>
              <w:rPr>
                <w:rFonts w:hint="default" w:ascii="Times" w:hAnsi="Times" w:eastAsia="Times" w:cs="Times"/>
                <w:i w:val="0"/>
                <w:iCs w:val="0"/>
                <w:color w:val="auto"/>
                <w:sz w:val="24"/>
                <w:szCs w:val="24"/>
                <w:highlight w:val="none"/>
                <w:u w:val="none"/>
              </w:rPr>
            </w:r>
            <w:r/>
          </w:p>
        </w:tc>
        <w:tc>
          <w:tcPr>
            <w:shd w:val="clear" w:color="auto" w:fill="auto"/>
            <w:tcW w:w="1623" w:type="dxa"/>
            <w:vAlign w:val="center"/>
            <w:textDirection w:val="lrTb"/>
            <w:noWrap/>
          </w:tcPr>
          <w:p>
            <w:pPr>
              <w:jc w:val="center"/>
              <w:keepLines w:val="0"/>
              <w:keepNext w:val="0"/>
              <w:widowControl/>
              <w:rPr>
                <w:rFonts w:hint="default" w:ascii="Times" w:hAnsi="Times" w:eastAsia="Times" w:cs="Times"/>
                <w:i w:val="0"/>
                <w:iCs w:val="0"/>
                <w:color w:val="auto"/>
                <w:sz w:val="24"/>
                <w:szCs w:val="24"/>
                <w:highlight w:val="none"/>
                <w:u w:val="none"/>
                <w:lang w:val="en-US" w:eastAsia="zh-CN" w:bidi="ar"/>
              </w:rPr>
              <w:suppressLineNumbers w:val="0"/>
            </w:pPr>
            <w:r>
              <w:rPr>
                <w:rFonts w:hint="default" w:ascii="Times" w:hAnsi="Times" w:eastAsia="Times" w:cs="Times"/>
                <w:i w:val="0"/>
                <w:iCs w:val="0"/>
                <w:color w:val="auto"/>
                <w:sz w:val="24"/>
                <w:szCs w:val="24"/>
                <w:highlight w:val="none"/>
                <w:u w:val="none"/>
                <w:lang w:val="en-US" w:eastAsia="zh-CN" w:bidi="ar"/>
              </w:rPr>
            </w:r>
            <w:r/>
          </w:p>
        </w:tc>
      </w:tr>
    </w:tbl>
    <w:p>
      <w:pPr>
        <w:spacing w:line="300" w:lineRule="auto"/>
        <w:rPr>
          <w:rFonts w:hint="eastAsia" w:ascii="方正仿宋_GBK" w:hAnsi="方正仿宋_GBK" w:eastAsia="方正仿宋_GBK" w:cs="方正仿宋_GBK"/>
          <w:color w:val="auto"/>
          <w:sz w:val="32"/>
          <w:szCs w:val="32"/>
          <w:highlight w:val="none"/>
        </w:rPr>
        <w:sectPr>
          <w:footnotePr/>
          <w:endnotePr/>
          <w:type w:val="nextPage"/>
          <w:pgSz w:w="11907" w:h="16839" w:orient="portrait"/>
          <w:pgMar w:top="1440" w:right="1800" w:bottom="1440" w:left="1800" w:header="720" w:footer="720" w:gutter="0"/>
          <w:cols w:num="1" w:sep="0" w:space="720" w:equalWidth="1"/>
          <w:docGrid w:linePitch="360"/>
        </w:sectPr>
        <w:outlineLvl w:val="0"/>
      </w:pPr>
      <w:r>
        <w:rPr>
          <w:rFonts w:hint="eastAsia" w:ascii="方正仿宋_GBK" w:hAnsi="方正仿宋_GBK" w:eastAsia="方正仿宋_GBK" w:cs="方正仿宋_GBK"/>
          <w:color w:val="auto"/>
          <w:sz w:val="32"/>
          <w:szCs w:val="32"/>
          <w:highlight w:val="none"/>
        </w:rPr>
      </w:r>
      <w:r/>
    </w:p>
    <w:p>
      <w:pPr>
        <w:spacing w:line="300" w:lineRule="auto"/>
        <w:rPr>
          <w:rFonts w:hint="eastAsia" w:ascii="方正仿宋_GBK" w:hAnsi="方正仿宋_GBK" w:eastAsia="方正仿宋_GBK" w:cs="方正仿宋_GBK"/>
          <w:color w:val="auto"/>
          <w:sz w:val="32"/>
          <w:szCs w:val="32"/>
          <w:highlight w:val="none"/>
          <w:lang w:val="zh-CN" w:eastAsia="zh-CN"/>
        </w:rPr>
        <w:outlineLvl w:val="0"/>
      </w:pPr>
      <w:r>
        <w:rPr>
          <w:rFonts w:hint="eastAsia" w:ascii="方正仿宋_GBK" w:hAnsi="方正仿宋_GBK" w:eastAsia="方正仿宋_GBK" w:cs="方正仿宋_GBK"/>
          <w:color w:val="auto"/>
          <w:sz w:val="32"/>
          <w:szCs w:val="32"/>
          <w:highlight w:val="none"/>
        </w:rPr>
        <w:t xml:space="preserve">附件</w:t>
      </w:r>
      <w:r>
        <w:rPr>
          <w:rFonts w:hint="eastAsia" w:ascii="方正仿宋_GBK" w:hAnsi="方正仿宋_GBK" w:eastAsia="方正仿宋_GBK" w:cs="方正仿宋_GBK"/>
          <w:color w:val="auto"/>
          <w:sz w:val="32"/>
          <w:szCs w:val="32"/>
          <w:highlight w:val="none"/>
          <w:lang w:val="en-US" w:eastAsia="zh-CN"/>
        </w:rPr>
        <w:t xml:space="preserve">2</w:t>
      </w:r>
      <w:r/>
    </w:p>
    <w:p>
      <w:pPr>
        <w:contextualSpacing/>
        <w:jc w:val="center"/>
        <w:spacing w:line="300" w:lineRule="auto"/>
        <w:tabs>
          <w:tab w:val="left" w:pos="1260" w:leader="none"/>
        </w:tabs>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供应商情况一览表</w:t>
      </w:r>
      <w:r/>
    </w:p>
    <w:tbl>
      <w:tblPr>
        <w:tblStyle w:val="923"/>
        <w:tblW w:w="91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95"/>
        <w:gridCol w:w="765"/>
        <w:gridCol w:w="283"/>
        <w:gridCol w:w="1050"/>
        <w:gridCol w:w="567"/>
        <w:gridCol w:w="946"/>
        <w:gridCol w:w="1263"/>
        <w:gridCol w:w="61"/>
        <w:gridCol w:w="1212"/>
        <w:gridCol w:w="168"/>
        <w:gridCol w:w="1438"/>
      </w:tblGrid>
      <w:tr>
        <w:trPr>
          <w:trHeight w:val="397"/>
        </w:trPr>
        <w:tc>
          <w:tcPr>
            <w:gridSpan w:val="2"/>
            <w:tcW w:w="1412" w:type="dxa"/>
            <w:vAlign w:val="center"/>
            <w:textDirection w:val="lrTb"/>
            <w:noWrap w:val="false"/>
          </w:tcPr>
          <w:p>
            <w:pPr>
              <w:jc w:val="cente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单位名称</w:t>
            </w:r>
            <w:r/>
          </w:p>
        </w:tc>
        <w:tc>
          <w:tcPr>
            <w:gridSpan w:val="10"/>
            <w:tcW w:w="7753"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trHeight w:val="397"/>
        </w:trPr>
        <w:tc>
          <w:tcPr>
            <w:gridSpan w:val="3"/>
            <w:tcW w:w="2177"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单位优势及特长</w:t>
            </w:r>
            <w:r/>
          </w:p>
        </w:tc>
        <w:tc>
          <w:tcPr>
            <w:gridSpan w:val="9"/>
            <w:tcW w:w="6988"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cantSplit/>
          <w:trHeight w:val="397"/>
        </w:trPr>
        <w:tc>
          <w:tcPr>
            <w:tcW w:w="817" w:type="dxa"/>
            <w:vAlign w:val="center"/>
            <w:vMerge w:val="restart"/>
            <w:textDirection w:val="lrTb"/>
            <w:noWrap w:val="false"/>
          </w:tcPr>
          <w:p>
            <w:pPr>
              <w:ind w:left="311" w:hanging="31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单位</w:t>
            </w:r>
            <w:r/>
          </w:p>
          <w:p>
            <w:pPr>
              <w:ind w:left="311" w:hanging="31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概况</w:t>
            </w:r>
            <w:r/>
          </w:p>
        </w:tc>
        <w:tc>
          <w:tcPr>
            <w:gridSpan w:val="2"/>
            <w:tcW w:w="1360" w:type="dxa"/>
            <w:vAlign w:val="center"/>
            <w:textDirection w:val="lrTb"/>
            <w:noWrap w:val="false"/>
          </w:tcPr>
          <w:p>
            <w:pPr>
              <w:jc w:val="cente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职工总数</w:t>
            </w:r>
            <w:r/>
          </w:p>
        </w:tc>
        <w:tc>
          <w:tcPr>
            <w:gridSpan w:val="2"/>
            <w:tcW w:w="1333" w:type="dxa"/>
            <w:vAlign w:val="center"/>
            <w:textDirection w:val="lrTb"/>
            <w:noWrap w:val="false"/>
          </w:tcPr>
          <w:p>
            <w:pPr>
              <w:jc w:val="right"/>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人</w:t>
            </w:r>
            <w:r/>
          </w:p>
        </w:tc>
        <w:tc>
          <w:tcPr>
            <w:tcW w:w="567" w:type="dxa"/>
            <w:vAlign w:val="center"/>
            <w:vMerge w:val="restart"/>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营业额</w:t>
            </w:r>
            <w:r/>
          </w:p>
        </w:tc>
        <w:tc>
          <w:tcPr>
            <w:gridSpan w:val="2"/>
            <w:tcW w:w="1324"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380" w:type="dxa"/>
            <w:vAlign w:val="center"/>
            <w:textDirection w:val="lrTb"/>
            <w:noWrap w:val="false"/>
          </w:tcPr>
          <w:p>
            <w:pPr>
              <w:jc w:val="cente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实现利润</w:t>
            </w:r>
            <w:r/>
          </w:p>
        </w:tc>
        <w:tc>
          <w:tcPr>
            <w:tcW w:w="1438"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cantSplit/>
          <w:trHeight w:val="397"/>
        </w:trPr>
        <w:tc>
          <w:tcPr>
            <w:tcW w:w="817" w:type="dxa"/>
            <w:vAlign w:val="center"/>
            <w:vMerge w:val="continue"/>
            <w:textDirection w:val="lrTb"/>
            <w:noWrap w:val="false"/>
          </w:tcPr>
          <w:p>
            <w:pPr>
              <w:ind w:left="311" w:hanging="31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360" w:type="dxa"/>
            <w:vAlign w:val="center"/>
            <w:textDirection w:val="lrTb"/>
            <w:noWrap w:val="false"/>
          </w:tcPr>
          <w:p>
            <w:pPr>
              <w:jc w:val="cente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流动资金</w:t>
            </w:r>
            <w:r/>
          </w:p>
        </w:tc>
        <w:tc>
          <w:tcPr>
            <w:gridSpan w:val="2"/>
            <w:tcW w:w="1333" w:type="dxa"/>
            <w:vAlign w:val="center"/>
            <w:textDirection w:val="lrTb"/>
            <w:noWrap w:val="false"/>
          </w:tcPr>
          <w:p>
            <w:pPr>
              <w:jc w:val="right"/>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万元</w:t>
            </w:r>
            <w:r/>
          </w:p>
        </w:tc>
        <w:tc>
          <w:tcPr>
            <w:tcW w:w="567" w:type="dxa"/>
            <w:vAlign w:val="center"/>
            <w:vMerge w:val="continue"/>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946" w:type="dxa"/>
            <w:vAlign w:val="center"/>
            <w:vMerge w:val="restart"/>
            <w:textDirection w:val="lrTb"/>
            <w:noWrap w:val="false"/>
          </w:tcPr>
          <w:p>
            <w:pPr>
              <w:jc w:val="cente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主要</w:t>
            </w:r>
            <w:r/>
          </w:p>
          <w:p>
            <w:pPr>
              <w:jc w:val="cente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产品</w:t>
            </w:r>
            <w:r/>
          </w:p>
        </w:tc>
        <w:tc>
          <w:tcPr>
            <w:gridSpan w:val="5"/>
            <w:tcW w:w="4142" w:type="dxa"/>
            <w:vAlign w:val="center"/>
            <w:textDirection w:val="lrTb"/>
            <w:noWrap w:val="false"/>
          </w:tcPr>
          <w:p>
            <w:pPr>
              <w:spacing w:before="120" w:after="12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w:t>
            </w:r>
            <w:r/>
          </w:p>
        </w:tc>
      </w:tr>
      <w:tr>
        <w:trPr>
          <w:cantSplit/>
          <w:trHeight w:val="1292"/>
        </w:trPr>
        <w:tc>
          <w:tcPr>
            <w:tcW w:w="817" w:type="dxa"/>
            <w:vAlign w:val="center"/>
            <w:vMerge w:val="continue"/>
            <w:textDirection w:val="lrTb"/>
            <w:noWrap w:val="false"/>
          </w:tcPr>
          <w:p>
            <w:pPr>
              <w:ind w:left="311" w:hanging="31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360" w:type="dxa"/>
            <w:vAlign w:val="center"/>
            <w:textDirection w:val="lrTb"/>
            <w:noWrap w:val="false"/>
          </w:tcPr>
          <w:p>
            <w:pPr>
              <w:jc w:val="cente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固定资产</w:t>
            </w:r>
            <w:r/>
          </w:p>
          <w:p>
            <w:pPr>
              <w:jc w:val="cente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（万元）</w:t>
            </w:r>
            <w:r/>
          </w:p>
        </w:tc>
        <w:tc>
          <w:tcPr>
            <w:gridSpan w:val="2"/>
            <w:tcW w:w="1333" w:type="dxa"/>
            <w:vAlign w:val="center"/>
            <w:textDirection w:val="lrTb"/>
            <w:noWrap w:val="false"/>
          </w:tcPr>
          <w:p>
            <w:pPr>
              <w:ind w:right="-133" w:hanging="48"/>
              <w:tabs>
                <w:tab w:val="left" w:pos="-48" w:leader="none"/>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原值：</w:t>
            </w:r>
            <w:r/>
          </w:p>
          <w:p>
            <w:pPr>
              <w:ind w:hanging="48"/>
              <w:jc w:val="right"/>
              <w:tabs>
                <w:tab w:val="left" w:pos="-48" w:leader="none"/>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p>
            <w:pPr>
              <w:ind w:right="-133" w:hanging="48"/>
              <w:tabs>
                <w:tab w:val="left" w:pos="-48" w:leader="none"/>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净值：</w:t>
            </w:r>
            <w:r/>
          </w:p>
          <w:p>
            <w:pPr>
              <w:ind w:hanging="48"/>
              <w:jc w:val="right"/>
              <w:tabs>
                <w:tab w:val="left" w:pos="-48" w:leader="none"/>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567" w:type="dxa"/>
            <w:vAlign w:val="center"/>
            <w:vMerge w:val="continue"/>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946" w:type="dxa"/>
            <w:vAlign w:val="center"/>
            <w:vMerge w:val="continue"/>
            <w:textDirection w:val="lrTb"/>
            <w:noWrap w:val="false"/>
          </w:tcPr>
          <w:p>
            <w:pPr>
              <w:jc w:val="cente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5"/>
            <w:tcW w:w="4142"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2.</w:t>
            </w:r>
            <w:r/>
          </w:p>
        </w:tc>
      </w:tr>
      <w:tr>
        <w:trPr>
          <w:cantSplit/>
          <w:trHeight w:val="397"/>
        </w:trPr>
        <w:tc>
          <w:tcPr>
            <w:tcW w:w="817" w:type="dxa"/>
            <w:vAlign w:val="center"/>
            <w:vMerge w:val="continue"/>
            <w:textDirection w:val="lrTb"/>
            <w:noWrap w:val="false"/>
          </w:tcPr>
          <w:p>
            <w:pPr>
              <w:ind w:left="311" w:hanging="31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360" w:type="dxa"/>
            <w:vAlign w:val="center"/>
            <w:textDirection w:val="lrTb"/>
            <w:noWrap w:val="false"/>
          </w:tcPr>
          <w:p>
            <w:pPr>
              <w:jc w:val="cente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占地面积</w:t>
            </w:r>
            <w:r/>
          </w:p>
        </w:tc>
        <w:tc>
          <w:tcPr>
            <w:gridSpan w:val="2"/>
            <w:tcW w:w="1333" w:type="dxa"/>
            <w:vAlign w:val="center"/>
            <w:textDirection w:val="lrTb"/>
            <w:noWrap w:val="false"/>
          </w:tcPr>
          <w:p>
            <w:pPr>
              <w:jc w:val="right"/>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M</w:t>
            </w:r>
            <w:r>
              <w:rPr>
                <w:rFonts w:hint="eastAsia" w:ascii="方正仿宋_GBK" w:hAnsi="方正仿宋_GBK" w:eastAsia="方正仿宋_GBK" w:cs="方正仿宋_GBK"/>
                <w:color w:val="auto"/>
                <w:sz w:val="24"/>
                <w:szCs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946" w:type="dxa"/>
            <w:vAlign w:val="center"/>
            <w:vMerge w:val="continue"/>
            <w:textDirection w:val="lrTb"/>
            <w:noWrap w:val="false"/>
          </w:tcPr>
          <w:p>
            <w:pPr>
              <w:jc w:val="cente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5"/>
            <w:tcW w:w="4142" w:type="dxa"/>
            <w:vAlign w:val="center"/>
            <w:textDirection w:val="lrTb"/>
            <w:noWrap w:val="false"/>
          </w:tcPr>
          <w:p>
            <w:pPr>
              <w:spacing w:before="120" w:after="12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3.</w:t>
            </w:r>
            <w:r/>
          </w:p>
        </w:tc>
      </w:tr>
      <w:tr>
        <w:trPr>
          <w:cantSplit/>
          <w:trHeight w:val="397"/>
        </w:trPr>
        <w:tc>
          <w:tcPr>
            <w:tcW w:w="817" w:type="dxa"/>
            <w:vAlign w:val="center"/>
            <w:vMerge w:val="restart"/>
            <w:textDirection w:val="lrTb"/>
            <w:noWrap w:val="false"/>
          </w:tcPr>
          <w:p>
            <w:pPr>
              <w:ind w:left="311" w:hanging="31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本次</w:t>
            </w:r>
            <w:r/>
          </w:p>
          <w:p>
            <w:pPr>
              <w:ind w:left="311" w:hanging="31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投标</w:t>
            </w:r>
            <w:r/>
          </w:p>
          <w:p>
            <w:pPr>
              <w:ind w:left="311" w:hanging="31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产品</w:t>
            </w:r>
            <w:r/>
          </w:p>
          <w:p>
            <w:pPr>
              <w:ind w:left="311" w:hanging="31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本次投标</w:t>
            </w:r>
            <w:r/>
          </w:p>
          <w:p>
            <w:pPr>
              <w:jc w:val="center"/>
              <w:spacing w:before="60" w:after="6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上年</w:t>
            </w:r>
            <w:r/>
          </w:p>
          <w:p>
            <w:pPr>
              <w:jc w:val="center"/>
              <w:spacing w:before="60" w:after="6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产品技术先进水平</w:t>
            </w:r>
            <w:r/>
          </w:p>
        </w:tc>
        <w:tc>
          <w:tcPr>
            <w:gridSpan w:val="2"/>
            <w:tcW w:w="1273" w:type="dxa"/>
            <w:vAlign w:val="center"/>
            <w:textDirection w:val="lrTb"/>
            <w:noWrap w:val="false"/>
          </w:tcPr>
          <w:p>
            <w:pPr>
              <w:jc w:val="center"/>
              <w:spacing w:before="60" w:after="6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曾获何级何种奖励</w:t>
            </w:r>
            <w:r/>
          </w:p>
        </w:tc>
        <w:tc>
          <w:tcPr>
            <w:gridSpan w:val="2"/>
            <w:tcW w:w="1606" w:type="dxa"/>
            <w:vAlign w:val="center"/>
            <w:textDirection w:val="lrTb"/>
            <w:noWrap w:val="false"/>
          </w:tcPr>
          <w:p>
            <w:pPr>
              <w:jc w:val="center"/>
              <w:spacing w:before="60" w:after="6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主要用户</w:t>
            </w:r>
            <w:r/>
          </w:p>
          <w:p>
            <w:pPr>
              <w:jc w:val="center"/>
              <w:spacing w:before="60" w:after="6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名称</w:t>
            </w:r>
            <w:r/>
          </w:p>
        </w:tc>
      </w:tr>
      <w:tr>
        <w:trPr>
          <w:cantSplit/>
          <w:trHeight w:val="397"/>
        </w:trPr>
        <w:tc>
          <w:tcPr>
            <w:tcW w:w="817" w:type="dxa"/>
            <w:vAlign w:val="center"/>
            <w:vMerge w:val="continue"/>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3"/>
            <w:tcW w:w="1643"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617"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946"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263"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273"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606"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cantSplit/>
          <w:trHeight w:val="397"/>
        </w:trPr>
        <w:tc>
          <w:tcPr>
            <w:tcW w:w="817" w:type="dxa"/>
            <w:vAlign w:val="center"/>
            <w:vMerge w:val="continue"/>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3"/>
            <w:tcW w:w="1643"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617"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946"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263"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273"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606"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cantSplit/>
          <w:trHeight w:val="397"/>
        </w:trPr>
        <w:tc>
          <w:tcPr>
            <w:tcW w:w="817" w:type="dxa"/>
            <w:vAlign w:val="center"/>
            <w:vMerge w:val="continue"/>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3"/>
            <w:tcW w:w="1643"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617"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946"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263"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273"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606"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cantSplit/>
          <w:trHeight w:val="397"/>
        </w:trPr>
        <w:tc>
          <w:tcPr>
            <w:tcW w:w="817" w:type="dxa"/>
            <w:vAlign w:val="center"/>
            <w:vMerge w:val="continue"/>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3"/>
            <w:tcW w:w="1643"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617"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946"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263"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273"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2"/>
            <w:tcW w:w="1606"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r>
        <w:trPr>
          <w:cantSplit/>
          <w:trHeight w:val="397"/>
        </w:trPr>
        <w:tc>
          <w:tcPr>
            <w:tcW w:w="817" w:type="dxa"/>
            <w:vAlign w:val="center"/>
            <w:vMerge w:val="restart"/>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近3年完成及正在执行的合同中发生的由于供应商违约或部分违约而引起诉讼和受到索赔的案件具体情况及结果（须如实填写，若对此进行隐瞒，尔后又被招标人或采购代理机构发现，或被它人举证成立，其投标资格将被取消）。</w:t>
            </w:r>
            <w:r/>
          </w:p>
        </w:tc>
        <w:tc>
          <w:tcPr>
            <w:gridSpan w:val="5"/>
            <w:tcW w:w="4142" w:type="dxa"/>
            <w:vAlign w:val="center"/>
            <w:textDirection w:val="lrTb"/>
            <w:noWrap w:val="false"/>
          </w:tcPr>
          <w:p>
            <w:pPr>
              <w:spacing w:before="60" w:after="60"/>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95"/>
        </w:trPr>
        <w:tc>
          <w:tcPr>
            <w:tcW w:w="817" w:type="dxa"/>
            <w:vAlign w:val="center"/>
            <w:vMerge w:val="continue"/>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6"/>
            <w:tcW w:w="4206"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gridSpan w:val="5"/>
            <w:tcW w:w="4142" w:type="dxa"/>
            <w:vAlign w:val="center"/>
            <w:textDirection w:val="lrTb"/>
            <w:noWrap w:val="false"/>
          </w:tcPr>
          <w:p>
            <w:pPr>
              <w:tabs>
                <w:tab w:val="left" w:pos="432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r>
    </w:tbl>
    <w:p>
      <w:pPr>
        <w:spacing w:line="48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rPr>
          <w:rFonts w:hint="eastAsia" w:ascii="方正仿宋_GBK" w:hAnsi="方正仿宋_GBK" w:eastAsia="方正仿宋_GBK" w:cs="方正仿宋_GBK"/>
          <w:color w:val="auto"/>
          <w:sz w:val="32"/>
          <w:szCs w:val="32"/>
          <w:highlight w:val="none"/>
          <w:lang w:val="zh-CN"/>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方正仿宋_GBK" w:hAnsi="方正仿宋_GBK" w:eastAsia="方正仿宋_GBK" w:cs="方正仿宋_GBK"/>
          <w:color w:val="auto"/>
          <w:sz w:val="32"/>
          <w:szCs w:val="32"/>
          <w:highlight w:val="none"/>
        </w:rPr>
        <w:br w:type="page" w:clear="all"/>
      </w:r>
      <w:r/>
    </w:p>
    <w:p>
      <w:pPr>
        <w:contextualSpacing/>
        <w:ind w:firstLine="560"/>
        <w:spacing w:line="460" w:lineRule="exact"/>
        <w:tabs>
          <w:tab w:val="left" w:pos="1260" w:leader="none"/>
        </w:tabs>
        <w:rPr>
          <w:rFonts w:hint="eastAsia" w:ascii="方正仿宋_GBK" w:hAnsi="方正仿宋_GBK" w:eastAsia="方正仿宋_GBK" w:cs="方正仿宋_GBK"/>
          <w:bCs/>
          <w:color w:val="auto"/>
          <w:sz w:val="28"/>
          <w:szCs w:val="28"/>
          <w:highlight w:val="none"/>
          <w:lang w:bidi="ar"/>
        </w:rPr>
      </w:pPr>
      <w:r>
        <w:rPr>
          <w:rFonts w:hint="eastAsia" w:ascii="方正仿宋_GBK" w:hAnsi="方正仿宋_GBK" w:eastAsia="方正仿宋_GBK" w:cs="方正仿宋_GBK"/>
          <w:bCs/>
          <w:color w:val="auto"/>
          <w:sz w:val="28"/>
          <w:szCs w:val="28"/>
          <w:highlight w:val="none"/>
          <w:lang w:bidi="ar"/>
        </w:rPr>
        <w:t xml:space="preserve">附件3</w:t>
      </w:r>
      <w:r/>
    </w:p>
    <w:p>
      <w:pPr>
        <w:jc w:val="center"/>
        <w:spacing w:before="240" w:line="460" w:lineRule="exact"/>
        <w:rPr>
          <w:rFonts w:hint="eastAsia" w:ascii="方正仿宋_GBK" w:hAnsi="方正仿宋_GBK" w:eastAsia="方正仿宋_GBK" w:cs="方正仿宋_GBK"/>
          <w:b/>
          <w:color w:val="auto"/>
          <w:sz w:val="28"/>
          <w:szCs w:val="28"/>
          <w:highlight w:val="none"/>
          <w:lang w:bidi="ar"/>
        </w:rPr>
      </w:pPr>
      <w:r>
        <w:rPr>
          <w:rFonts w:hint="eastAsia" w:ascii="方正仿宋_GBK" w:hAnsi="方正仿宋_GBK" w:eastAsia="方正仿宋_GBK" w:cs="方正仿宋_GBK"/>
          <w:b/>
          <w:color w:val="auto"/>
          <w:sz w:val="28"/>
          <w:szCs w:val="28"/>
          <w:highlight w:val="none"/>
          <w:lang w:bidi="ar"/>
        </w:rPr>
        <w:t xml:space="preserve">供应商信用承诺书</w:t>
      </w:r>
      <w:r/>
    </w:p>
    <w:p>
      <w:pPr>
        <w:ind w:firstLine="560"/>
        <w:spacing w:line="460" w:lineRule="exact"/>
        <w:rPr>
          <w:rFonts w:hint="eastAsia" w:ascii="方正仿宋_GBK" w:hAnsi="方正仿宋_GBK" w:eastAsia="方正仿宋_GBK" w:cs="方正仿宋_GBK"/>
          <w:color w:val="auto"/>
          <w:sz w:val="28"/>
          <w:szCs w:val="28"/>
          <w:highlight w:val="none"/>
          <w:lang w:val="zh-CN" w:bidi="ar"/>
        </w:rPr>
      </w:pPr>
      <w:r>
        <w:rPr>
          <w:rFonts w:hint="eastAsia" w:ascii="方正仿宋_GBK" w:hAnsi="方正仿宋_GBK" w:eastAsia="方正仿宋_GBK" w:cs="方正仿宋_GBK"/>
          <w:color w:val="auto"/>
          <w:sz w:val="28"/>
          <w:szCs w:val="28"/>
          <w:highlight w:val="none"/>
          <w:lang w:val="zh-CN" w:bidi="ar"/>
        </w:rPr>
        <w:t xml:space="preserve">为营造公开、公平、公正的公共资源交易环境，树立诚信守法的供应商形象，本人代表本单位作出以下承诺：</w:t>
      </w:r>
      <w:r/>
    </w:p>
    <w:p>
      <w:pPr>
        <w:ind w:firstLine="560"/>
        <w:spacing w:line="460" w:lineRule="exact"/>
        <w:rPr>
          <w:rFonts w:hint="eastAsia" w:ascii="方正仿宋_GBK" w:hAnsi="方正仿宋_GBK" w:eastAsia="方正仿宋_GBK" w:cs="方正仿宋_GBK"/>
          <w:color w:val="auto"/>
          <w:sz w:val="28"/>
          <w:szCs w:val="28"/>
          <w:highlight w:val="none"/>
          <w:lang w:val="zh-CN" w:bidi="ar"/>
        </w:rPr>
      </w:pPr>
      <w:r>
        <w:rPr>
          <w:rFonts w:hint="eastAsia" w:ascii="方正仿宋_GBK" w:hAnsi="方正仿宋_GBK" w:eastAsia="方正仿宋_GBK" w:cs="方正仿宋_GBK"/>
          <w:color w:val="auto"/>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hint="eastAsia" w:ascii="方正仿宋_GBK" w:hAnsi="方正仿宋_GBK" w:eastAsia="方正仿宋_GBK" w:cs="方正仿宋_GBK"/>
          <w:color w:val="auto"/>
          <w:sz w:val="28"/>
          <w:szCs w:val="28"/>
          <w:highlight w:val="none"/>
          <w:lang w:val="zh-CN" w:bidi="ar"/>
        </w:rPr>
      </w:pPr>
      <w:r>
        <w:rPr>
          <w:rFonts w:hint="eastAsia" w:ascii="方正仿宋_GBK" w:hAnsi="方正仿宋_GBK" w:eastAsia="方正仿宋_GBK" w:cs="方正仿宋_GBK"/>
          <w:color w:val="auto"/>
          <w:sz w:val="28"/>
          <w:szCs w:val="28"/>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hint="eastAsia" w:ascii="方正仿宋_GBK" w:hAnsi="方正仿宋_GBK" w:eastAsia="方正仿宋_GBK" w:cs="方正仿宋_GBK"/>
          <w:color w:val="auto"/>
          <w:sz w:val="28"/>
          <w:szCs w:val="28"/>
          <w:highlight w:val="none"/>
          <w:lang w:val="zh-CN" w:bidi="ar"/>
        </w:rPr>
      </w:pPr>
      <w:r>
        <w:rPr>
          <w:rFonts w:hint="eastAsia" w:ascii="方正仿宋_GBK" w:hAnsi="方正仿宋_GBK" w:eastAsia="方正仿宋_GBK" w:cs="方正仿宋_GBK"/>
          <w:color w:val="auto"/>
          <w:sz w:val="28"/>
          <w:szCs w:val="28"/>
          <w:highlight w:val="none"/>
          <w:lang w:val="zh-CN" w:bidi="ar"/>
        </w:rPr>
        <w:t xml:space="preserve">三、严格遵守即时信息公示规定，及时更新公共资源交易中心主体信息库中信息；</w:t>
      </w:r>
      <w:r/>
    </w:p>
    <w:p>
      <w:pPr>
        <w:ind w:firstLine="560"/>
        <w:spacing w:line="460" w:lineRule="exact"/>
        <w:rPr>
          <w:rFonts w:hint="eastAsia" w:ascii="方正仿宋_GBK" w:hAnsi="方正仿宋_GBK" w:eastAsia="方正仿宋_GBK" w:cs="方正仿宋_GBK"/>
          <w:color w:val="auto"/>
          <w:sz w:val="28"/>
          <w:szCs w:val="28"/>
          <w:highlight w:val="none"/>
          <w:lang w:val="zh-CN" w:bidi="ar"/>
        </w:rPr>
      </w:pPr>
      <w:r>
        <w:rPr>
          <w:rFonts w:hint="eastAsia" w:ascii="方正仿宋_GBK" w:hAnsi="方正仿宋_GBK" w:eastAsia="方正仿宋_GBK" w:cs="方正仿宋_GBK"/>
          <w:color w:val="auto"/>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hint="eastAsia" w:ascii="方正仿宋_GBK" w:hAnsi="方正仿宋_GBK" w:eastAsia="方正仿宋_GBK" w:cs="方正仿宋_GBK"/>
          <w:color w:val="auto"/>
          <w:sz w:val="28"/>
          <w:szCs w:val="28"/>
          <w:highlight w:val="none"/>
          <w:lang w:val="zh-CN" w:bidi="ar"/>
        </w:rPr>
      </w:pPr>
      <w:r>
        <w:rPr>
          <w:rFonts w:hint="eastAsia" w:ascii="方正仿宋_GBK" w:hAnsi="方正仿宋_GBK" w:eastAsia="方正仿宋_GBK" w:cs="方正仿宋_GBK"/>
          <w:color w:val="auto"/>
          <w:sz w:val="28"/>
          <w:szCs w:val="28"/>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hint="eastAsia" w:ascii="方正仿宋_GBK" w:hAnsi="方正仿宋_GBK" w:eastAsia="方正仿宋_GBK" w:cs="方正仿宋_GBK"/>
          <w:color w:val="auto"/>
          <w:sz w:val="28"/>
          <w:szCs w:val="28"/>
          <w:highlight w:val="none"/>
          <w:lang w:val="zh-CN" w:bidi="ar"/>
        </w:rPr>
      </w:pPr>
      <w:r>
        <w:rPr>
          <w:rFonts w:hint="eastAsia" w:ascii="方正仿宋_GBK" w:hAnsi="方正仿宋_GBK" w:eastAsia="方正仿宋_GBK" w:cs="方正仿宋_GBK"/>
          <w:color w:val="auto"/>
          <w:sz w:val="28"/>
          <w:szCs w:val="28"/>
          <w:highlight w:val="none"/>
          <w:lang w:val="zh-CN" w:bidi="ar"/>
        </w:rPr>
        <w:t xml:space="preserve">六、自觉接受政府部门、行业组织、社会公众、新闻舆论等监督；</w:t>
      </w:r>
      <w:r/>
    </w:p>
    <w:p>
      <w:pPr>
        <w:ind w:firstLine="560"/>
        <w:spacing w:line="460" w:lineRule="exact"/>
        <w:rPr>
          <w:rFonts w:hint="eastAsia" w:ascii="方正仿宋_GBK" w:hAnsi="方正仿宋_GBK" w:eastAsia="方正仿宋_GBK" w:cs="方正仿宋_GBK"/>
          <w:color w:val="auto"/>
          <w:sz w:val="28"/>
          <w:szCs w:val="28"/>
          <w:highlight w:val="none"/>
          <w:lang w:val="zh-CN" w:bidi="ar"/>
        </w:rPr>
      </w:pPr>
      <w:r>
        <w:rPr>
          <w:rFonts w:hint="eastAsia" w:ascii="方正仿宋_GBK" w:hAnsi="方正仿宋_GBK" w:eastAsia="方正仿宋_GBK" w:cs="方正仿宋_GBK"/>
          <w:color w:val="auto"/>
          <w:sz w:val="28"/>
          <w:szCs w:val="28"/>
          <w:highlight w:val="none"/>
          <w:lang w:val="zh-CN" w:bidi="ar"/>
        </w:rPr>
        <w:t xml:space="preserve">七、上述承诺已向本单位员工作了宣传教育；</w:t>
      </w:r>
      <w:r/>
    </w:p>
    <w:p>
      <w:pPr>
        <w:ind w:firstLine="562"/>
        <w:spacing w:line="460" w:lineRule="exact"/>
        <w:rPr>
          <w:rFonts w:hint="eastAsia" w:ascii="方正仿宋_GBK" w:hAnsi="方正仿宋_GBK" w:eastAsia="方正仿宋_GBK" w:cs="方正仿宋_GBK"/>
          <w:b/>
          <w:color w:val="auto"/>
          <w:sz w:val="28"/>
          <w:szCs w:val="28"/>
          <w:highlight w:val="none"/>
          <w:lang w:val="zh-CN" w:bidi="ar"/>
        </w:rPr>
      </w:pPr>
      <w:r>
        <w:rPr>
          <w:rFonts w:hint="eastAsia" w:ascii="方正仿宋_GBK" w:hAnsi="方正仿宋_GBK" w:eastAsia="方正仿宋_GBK" w:cs="方正仿宋_GBK"/>
          <w:b/>
          <w:color w:val="auto"/>
          <w:sz w:val="28"/>
          <w:szCs w:val="28"/>
          <w:highlight w:val="none"/>
          <w:lang w:val="zh-CN" w:bidi="ar"/>
        </w:rPr>
        <w:t xml:space="preserve">如有违反上述承诺的不良行为，本单位同意将其予以上网公示。</w:t>
      </w:r>
      <w:r/>
    </w:p>
    <w:p>
      <w:pPr>
        <w:ind w:firstLine="3080"/>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ind w:firstLine="3080"/>
        <w:spacing w:line="460" w:lineRule="exact"/>
        <w:rPr>
          <w:rFonts w:hint="eastAsia" w:ascii="方正仿宋_GBK" w:hAnsi="方正仿宋_GBK" w:eastAsia="方正仿宋_GBK" w:cs="方正仿宋_GBK"/>
          <w:color w:val="auto"/>
          <w:sz w:val="28"/>
          <w:szCs w:val="28"/>
          <w:highlight w:val="none"/>
          <w:lang w:val="zh-CN" w:bidi="ar"/>
        </w:rPr>
      </w:pPr>
      <w:r>
        <w:rPr>
          <w:rFonts w:hint="eastAsia" w:ascii="方正仿宋_GBK" w:hAnsi="方正仿宋_GBK" w:eastAsia="方正仿宋_GBK" w:cs="方正仿宋_GBK"/>
          <w:color w:val="auto"/>
          <w:sz w:val="28"/>
          <w:szCs w:val="28"/>
          <w:highlight w:val="none"/>
          <w:lang w:val="zh-CN" w:bidi="ar"/>
        </w:rPr>
        <w:t xml:space="preserve">供应商全称(</w:t>
      </w:r>
      <w:r>
        <w:rPr>
          <w:rFonts w:hint="eastAsia" w:ascii="方正仿宋_GBK" w:hAnsi="方正仿宋_GBK" w:eastAsia="方正仿宋_GBK" w:cs="方正仿宋_GBK"/>
          <w:color w:val="auto"/>
          <w:sz w:val="28"/>
          <w:szCs w:val="28"/>
          <w:highlight w:val="none"/>
        </w:rPr>
        <w:t xml:space="preserve">加盖ca电子公章</w:t>
      </w:r>
      <w:r>
        <w:rPr>
          <w:rFonts w:hint="eastAsia" w:ascii="方正仿宋_GBK" w:hAnsi="方正仿宋_GBK" w:eastAsia="方正仿宋_GBK" w:cs="方正仿宋_GBK"/>
          <w:color w:val="auto"/>
          <w:sz w:val="28"/>
          <w:szCs w:val="28"/>
          <w:highlight w:val="none"/>
          <w:lang w:val="zh-CN" w:bidi="ar"/>
        </w:rPr>
        <w:t xml:space="preserve">)：</w:t>
      </w:r>
      <w:r/>
    </w:p>
    <w:p>
      <w:pPr>
        <w:ind w:firstLine="3080"/>
        <w:spacing w:line="460" w:lineRule="exact"/>
        <w:rPr>
          <w:rFonts w:hint="eastAsia" w:ascii="方正仿宋_GBK" w:hAnsi="方正仿宋_GBK" w:eastAsia="方正仿宋_GBK" w:cs="方正仿宋_GBK"/>
          <w:color w:val="auto"/>
          <w:sz w:val="28"/>
          <w:szCs w:val="28"/>
          <w:highlight w:val="none"/>
          <w:lang w:val="zh-CN" w:bidi="ar"/>
        </w:rPr>
      </w:pPr>
      <w:r>
        <w:rPr>
          <w:rFonts w:hint="eastAsia" w:ascii="方正仿宋_GBK" w:hAnsi="方正仿宋_GBK" w:eastAsia="方正仿宋_GBK" w:cs="方正仿宋_GBK"/>
          <w:color w:val="auto"/>
          <w:sz w:val="28"/>
          <w:szCs w:val="28"/>
          <w:highlight w:val="none"/>
          <w:lang w:val="zh-CN" w:bidi="ar"/>
        </w:rPr>
        <w:t xml:space="preserve">法定代表人（签字或</w:t>
      </w:r>
      <w:r>
        <w:rPr>
          <w:rFonts w:hint="eastAsia" w:ascii="方正仿宋_GBK" w:hAnsi="方正仿宋_GBK" w:eastAsia="方正仿宋_GBK" w:cs="方正仿宋_GBK"/>
          <w:color w:val="auto"/>
          <w:sz w:val="28"/>
          <w:szCs w:val="28"/>
          <w:highlight w:val="none"/>
        </w:rPr>
        <w:t xml:space="preserve">加盖ca电子公章</w:t>
      </w:r>
      <w:r>
        <w:rPr>
          <w:rFonts w:hint="eastAsia" w:ascii="方正仿宋_GBK" w:hAnsi="方正仿宋_GBK" w:eastAsia="方正仿宋_GBK" w:cs="方正仿宋_GBK"/>
          <w:color w:val="auto"/>
          <w:sz w:val="28"/>
          <w:szCs w:val="28"/>
          <w:highlight w:val="none"/>
          <w:lang w:val="zh-CN" w:bidi="ar"/>
        </w:rPr>
        <w:t xml:space="preserve">）：</w:t>
      </w:r>
      <w:r/>
    </w:p>
    <w:p>
      <w:pPr>
        <w:ind w:firstLine="3080"/>
        <w:spacing w:line="460" w:lineRule="exact"/>
        <w:rPr>
          <w:rFonts w:hint="eastAsia" w:ascii="方正仿宋_GBK" w:hAnsi="方正仿宋_GBK" w:eastAsia="方正仿宋_GBK" w:cs="方正仿宋_GBK"/>
          <w:color w:val="auto"/>
          <w:sz w:val="28"/>
          <w:szCs w:val="28"/>
          <w:highlight w:val="none"/>
          <w:lang w:val="zh-CN" w:bidi="ar"/>
        </w:rPr>
      </w:pPr>
      <w:r>
        <w:rPr>
          <w:rFonts w:hint="eastAsia" w:ascii="方正仿宋_GBK" w:hAnsi="方正仿宋_GBK" w:eastAsia="方正仿宋_GBK" w:cs="方正仿宋_GBK"/>
          <w:color w:val="auto"/>
          <w:sz w:val="28"/>
          <w:szCs w:val="28"/>
          <w:highlight w:val="none"/>
          <w:lang w:val="zh-CN" w:bidi="ar"/>
        </w:rPr>
        <w:t xml:space="preserve">时间：  年  月   日</w:t>
      </w:r>
      <w:r/>
    </w:p>
    <w:p>
      <w:pPr>
        <w:rPr>
          <w:rFonts w:hint="eastAsia" w:ascii="方正仿宋_GBK" w:hAnsi="方正仿宋_GBK" w:eastAsia="方正仿宋_GBK" w:cs="方正仿宋_GBK"/>
          <w:color w:val="auto"/>
          <w:sz w:val="32"/>
          <w:szCs w:val="32"/>
          <w:highlight w:val="none"/>
          <w:lang w:val="zh-CN"/>
        </w:rPr>
        <w:outlineLvl w:val="1"/>
      </w:pPr>
      <w:r>
        <w:rPr>
          <w:rFonts w:hint="eastAsia" w:ascii="方正仿宋_GBK" w:hAnsi="方正仿宋_GBK" w:eastAsia="方正仿宋_GBK" w:cs="方正仿宋_GBK"/>
          <w:color w:val="auto"/>
          <w:sz w:val="32"/>
          <w:szCs w:val="32"/>
          <w:highlight w:val="none"/>
          <w:lang w:val="zh-CN"/>
        </w:rPr>
      </w:r>
      <w:r/>
    </w:p>
    <w:p>
      <w:pPr>
        <w:contextualSpacing/>
        <w:ind w:firstLine="600"/>
        <w:spacing w:line="460" w:lineRule="exact"/>
        <w:tabs>
          <w:tab w:val="left" w:pos="1260" w:leader="none"/>
        </w:tabs>
        <w:rPr>
          <w:rFonts w:hint="eastAsia" w:ascii="方正仿宋_GBK" w:hAnsi="方正仿宋_GBK" w:eastAsia="方正仿宋_GBK" w:cs="方正仿宋_GBK"/>
          <w:bCs/>
          <w:color w:val="auto"/>
          <w:sz w:val="30"/>
          <w:szCs w:val="30"/>
          <w:highlight w:val="none"/>
          <w:lang w:bidi="ar"/>
        </w:rPr>
        <w:sectPr>
          <w:headerReference w:type="default" r:id="rId10"/>
          <w:footerReference w:type="default" r:id="rId16"/>
          <w:footnotePr/>
          <w:endnotePr/>
          <w:type w:val="nextPage"/>
          <w:pgSz w:w="11907" w:h="16839" w:orient="portrait"/>
          <w:pgMar w:top="1440" w:right="1800" w:bottom="1440" w:left="1800" w:header="720" w:footer="720" w:gutter="0"/>
          <w:cols w:num="1" w:sep="0" w:space="720" w:equalWidth="1"/>
          <w:docGrid w:linePitch="360"/>
        </w:sectPr>
      </w:pPr>
      <w:r>
        <w:rPr>
          <w:rFonts w:hint="eastAsia" w:ascii="方正仿宋_GBK" w:hAnsi="方正仿宋_GBK" w:eastAsia="方正仿宋_GBK" w:cs="方正仿宋_GBK"/>
          <w:bCs/>
          <w:color w:val="auto"/>
          <w:sz w:val="30"/>
          <w:szCs w:val="30"/>
          <w:highlight w:val="none"/>
          <w:lang w:bidi="ar"/>
        </w:rPr>
        <w:br w:type="page" w:clear="all"/>
      </w:r>
      <w:r/>
    </w:p>
    <w:p>
      <w:pPr>
        <w:contextualSpacing/>
        <w:spacing w:line="400" w:lineRule="exact"/>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 xml:space="preserve">附件</w:t>
      </w:r>
      <w:r>
        <w:rPr>
          <w:rFonts w:hint="eastAsia" w:ascii="方正仿宋_GBK" w:hAnsi="方正仿宋_GBK" w:eastAsia="方正仿宋_GBK" w:cs="方正仿宋_GBK"/>
          <w:color w:val="auto"/>
          <w:sz w:val="32"/>
          <w:szCs w:val="32"/>
          <w:highlight w:val="none"/>
          <w:lang w:val="en-US" w:eastAsia="zh-CN"/>
        </w:rPr>
        <w:t xml:space="preserve">4</w:t>
      </w:r>
      <w:r/>
    </w:p>
    <w:p>
      <w:pPr>
        <w:contextualSpacing/>
        <w:jc w:val="center"/>
        <w:spacing w:line="300" w:lineRule="auto"/>
        <w:rPr>
          <w:rFonts w:hint="eastAsia"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rPr>
        <w:t xml:space="preserve">商务部分正负偏离表</w:t>
      </w:r>
      <w:r/>
    </w:p>
    <w:p>
      <w:pPr>
        <w:ind w:firstLine="56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（由投标人据实填写，表格不够自行添加）</w:t>
      </w:r>
      <w:r/>
    </w:p>
    <w:tbl>
      <w:tblPr>
        <w:tblStyle w:val="92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61"/>
        <w:gridCol w:w="2076"/>
        <w:gridCol w:w="1813"/>
        <w:gridCol w:w="2339"/>
        <w:gridCol w:w="1288"/>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bl>
    <w:p>
      <w:pPr>
        <w:contextualSpacing/>
        <w:spacing w:line="300" w:lineRule="auto"/>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注：</w:t>
      </w:r>
      <w:r/>
    </w:p>
    <w:p>
      <w:pPr>
        <w:contextualSpacing/>
        <w:ind w:firstLine="560"/>
        <w:spacing w:line="30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1.投标人提交的投标文件中与招标文件第三部分“项目需求”中的商务部分的要求，应逐条填列在偏离表中。</w:t>
      </w:r>
      <w:r/>
    </w:p>
    <w:p>
      <w:pPr>
        <w:contextualSpacing/>
        <w:ind w:firstLine="560"/>
        <w:spacing w:line="30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2.“偏离说明”一栏选择“正偏离”、“无偏离”、“负偏离”进行填写。正偏离、无偏离的确认和负偏离的是否响应招标文件，由评委认定。</w:t>
      </w:r>
      <w:r/>
    </w:p>
    <w:p>
      <w:pPr>
        <w:contextualSpacing/>
        <w:ind w:firstLine="560"/>
        <w:spacing w:line="30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3.投标人如果虚假响应，将被暂停参加</w:t>
      </w:r>
      <w:r>
        <w:rPr>
          <w:rFonts w:hint="eastAsia" w:ascii="方正仿宋_GBK" w:hAnsi="方正仿宋_GBK" w:eastAsia="方正仿宋_GBK" w:cs="方正仿宋_GBK"/>
          <w:color w:val="auto"/>
          <w:sz w:val="28"/>
          <w:szCs w:val="28"/>
          <w:highlight w:val="none"/>
          <w:lang w:val="en-US" w:eastAsia="zh-CN"/>
        </w:rPr>
        <w:t xml:space="preserve">招标人</w:t>
      </w:r>
      <w:r>
        <w:rPr>
          <w:rFonts w:hint="eastAsia" w:ascii="方正仿宋_GBK" w:hAnsi="方正仿宋_GBK" w:eastAsia="方正仿宋_GBK" w:cs="方正仿宋_GBK"/>
          <w:color w:val="auto"/>
          <w:sz w:val="28"/>
          <w:szCs w:val="28"/>
          <w:highlight w:val="none"/>
        </w:rPr>
        <w:t xml:space="preserve">采购活动。</w:t>
      </w:r>
      <w:r/>
    </w:p>
    <w:p>
      <w:pPr>
        <w:contextualSpacing/>
        <w:ind w:firstLine="560"/>
        <w:spacing w:line="300" w:lineRule="auto"/>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4.供应商若提供其他增值服务，可以在表中自行据实填写。</w:t>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pStyle w:val="951"/>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spacing w:line="400" w:lineRule="exact"/>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 xml:space="preserve">附件</w:t>
      </w:r>
      <w:r>
        <w:rPr>
          <w:rFonts w:hint="eastAsia" w:ascii="方正仿宋_GBK" w:hAnsi="方正仿宋_GBK" w:eastAsia="方正仿宋_GBK" w:cs="方正仿宋_GBK"/>
          <w:color w:val="auto"/>
          <w:sz w:val="32"/>
          <w:szCs w:val="32"/>
          <w:highlight w:val="none"/>
          <w:lang w:val="en-US" w:eastAsia="zh-CN"/>
        </w:rPr>
        <w:t xml:space="preserve">5</w:t>
      </w:r>
      <w:r/>
    </w:p>
    <w:p>
      <w:pPr>
        <w:contextualSpacing/>
        <w:jc w:val="center"/>
        <w:spacing w:line="300" w:lineRule="auto"/>
        <w:rPr>
          <w:rFonts w:hint="eastAsia"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rPr>
        <w:t xml:space="preserve">技术部分正负偏离表</w:t>
      </w:r>
      <w:r/>
    </w:p>
    <w:p>
      <w:pPr>
        <w:ind w:firstLine="56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（由投标人据实填写，表格不够自行添加）</w:t>
      </w:r>
      <w:r/>
    </w:p>
    <w:tbl>
      <w:tblPr>
        <w:tblStyle w:val="923"/>
        <w:tblW w:w="5242" w:type="pct"/>
        <w:tblInd w:w="-24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73"/>
        <w:gridCol w:w="2127"/>
        <w:gridCol w:w="1886"/>
        <w:gridCol w:w="2439"/>
        <w:gridCol w:w="1353"/>
      </w:tblGrid>
      <w:tr>
        <w:trPr>
          <w:trHeight w:val="994"/>
        </w:trPr>
        <w:tc>
          <w:tcPr>
            <w:tcBorders>
              <w:top w:val="single" w:color="auto" w:sz="12" w:space="0"/>
              <w:left w:val="single" w:color="auto" w:sz="12" w:space="0"/>
              <w:bottom w:val="single" w:color="auto" w:sz="6" w:space="0"/>
              <w:right w:val="single" w:color="auto" w:sz="6" w:space="0"/>
            </w:tcBorders>
            <w:tcW w:w="503" w:type="pct"/>
            <w:vAlign w:val="center"/>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25" w:type="pct"/>
            <w:vAlign w:val="center"/>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86" w:type="pct"/>
            <w:vAlign w:val="center"/>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05" w:type="pct"/>
            <w:vAlign w:val="center"/>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9" w:type="pct"/>
            <w:vAlign w:val="top"/>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503" w:type="pct"/>
            <w:vAlign w:val="top"/>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25"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6"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05"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9" w:type="pct"/>
            <w:vAlign w:val="top"/>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503" w:type="pct"/>
            <w:vAlign w:val="top"/>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25"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6"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05"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9" w:type="pct"/>
            <w:vAlign w:val="top"/>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503" w:type="pct"/>
            <w:vAlign w:val="top"/>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25"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6"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05"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9" w:type="pct"/>
            <w:vAlign w:val="top"/>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503" w:type="pct"/>
            <w:vAlign w:val="top"/>
            <w:textDirection w:val="lrTb"/>
            <w:noWrap w:val="false"/>
          </w:tcPr>
          <w:p>
            <w:pPr>
              <w:jc w:val="center"/>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25"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6"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05" w:type="pct"/>
            <w:vAlign w:val="center"/>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9" w:type="pct"/>
            <w:vAlign w:val="top"/>
            <w:textDirection w:val="lrTb"/>
            <w:noWrap w:val="false"/>
          </w:tcPr>
          <w:p>
            <w:pPr>
              <w:jc w:val="left"/>
              <w:spacing w:line="3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bl>
    <w:p>
      <w:pPr>
        <w:contextualSpacing/>
        <w:spacing w:line="300" w:lineRule="auto"/>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注：</w:t>
      </w:r>
      <w:r/>
    </w:p>
    <w:p>
      <w:pPr>
        <w:contextualSpacing/>
        <w:ind w:firstLine="560"/>
        <w:spacing w:line="30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1.投标人提交的投标文件中与招标文件第三部分“项目需求”中的技术部分的要求，应逐条填列在偏离表中。</w:t>
      </w:r>
      <w:r/>
    </w:p>
    <w:p>
      <w:pPr>
        <w:contextualSpacing/>
        <w:ind w:firstLine="560"/>
        <w:spacing w:line="30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 “偏离说明”一栏选择“正偏离”、“无偏离”、“负偏离”进行填写。正偏离、无偏离的确认和负偏离的是否响应招标文件，由评委认定。</w:t>
      </w:r>
      <w:r/>
    </w:p>
    <w:p>
      <w:pPr>
        <w:contextualSpacing/>
        <w:ind w:firstLine="560"/>
        <w:spacing w:line="30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3.投标人如果虚假响应，将被暂停参加</w:t>
      </w:r>
      <w:r>
        <w:rPr>
          <w:rFonts w:hint="eastAsia" w:ascii="方正仿宋_GBK" w:hAnsi="方正仿宋_GBK" w:eastAsia="方正仿宋_GBK" w:cs="方正仿宋_GBK"/>
          <w:color w:val="auto"/>
          <w:sz w:val="28"/>
          <w:szCs w:val="28"/>
          <w:highlight w:val="none"/>
          <w:lang w:val="en-US" w:eastAsia="zh-CN"/>
        </w:rPr>
        <w:t xml:space="preserve">招标人</w:t>
      </w:r>
      <w:r>
        <w:rPr>
          <w:rFonts w:hint="eastAsia" w:ascii="方正仿宋_GBK" w:hAnsi="方正仿宋_GBK" w:eastAsia="方正仿宋_GBK" w:cs="方正仿宋_GBK"/>
          <w:color w:val="auto"/>
          <w:sz w:val="28"/>
          <w:szCs w:val="28"/>
          <w:highlight w:val="none"/>
        </w:rPr>
        <w:t xml:space="preserve">采购活动。</w:t>
      </w:r>
      <w:r/>
    </w:p>
    <w:p>
      <w:pPr>
        <w:contextualSpacing/>
        <w:ind w:firstLine="560"/>
        <w:spacing w:line="300" w:lineRule="auto"/>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4.供应商若提供其他增值服务，可以在表中自行据实填写。</w:t>
      </w:r>
      <w:r/>
    </w:p>
    <w:p>
      <w:pPr>
        <w:contextualSpacing/>
        <w:ind w:firstLine="600"/>
        <w:spacing w:line="460" w:lineRule="exact"/>
        <w:tabs>
          <w:tab w:val="left" w:pos="1260" w:leader="none"/>
        </w:tabs>
        <w:rPr>
          <w:rFonts w:hint="eastAsia" w:ascii="方正仿宋_GBK" w:hAnsi="方正仿宋_GBK" w:eastAsia="方正仿宋_GBK" w:cs="方正仿宋_GBK"/>
          <w:bCs/>
          <w:color w:val="auto"/>
          <w:sz w:val="30"/>
          <w:szCs w:val="30"/>
          <w:highlight w:val="none"/>
          <w:lang w:bidi="ar"/>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方正仿宋_GBK" w:hAnsi="方正仿宋_GBK" w:eastAsia="方正仿宋_GBK" w:cs="方正仿宋_GBK"/>
          <w:bCs/>
          <w:color w:val="auto"/>
          <w:sz w:val="30"/>
          <w:szCs w:val="30"/>
          <w:highlight w:val="none"/>
          <w:lang w:bidi="ar"/>
        </w:rPr>
      </w:r>
      <w:r/>
    </w:p>
    <w:p>
      <w:pPr>
        <w:contextualSpacing/>
        <w:spacing w:line="400" w:lineRule="exact"/>
        <w:rPr>
          <w:rFonts w:hint="eastAsia" w:ascii="方正仿宋_GBK" w:hAnsi="方正仿宋_GBK" w:eastAsia="方正仿宋_GBK" w:cs="方正仿宋_GBK"/>
          <w:color w:val="auto"/>
          <w:sz w:val="36"/>
          <w:szCs w:val="36"/>
          <w:highlight w:val="none"/>
          <w:lang w:eastAsia="zh-CN"/>
        </w:rPr>
      </w:pPr>
      <w:r>
        <w:rPr>
          <w:rFonts w:hint="eastAsia" w:ascii="方正仿宋_GBK" w:hAnsi="方正仿宋_GBK" w:eastAsia="方正仿宋_GBK" w:cs="方正仿宋_GBK"/>
          <w:color w:val="auto"/>
          <w:sz w:val="32"/>
          <w:szCs w:val="32"/>
          <w:highlight w:val="none"/>
        </w:rPr>
        <w:t xml:space="preserve">附件</w:t>
      </w:r>
      <w:r>
        <w:rPr>
          <w:rFonts w:hint="eastAsia" w:ascii="方正仿宋_GBK" w:hAnsi="方正仿宋_GBK" w:eastAsia="方正仿宋_GBK" w:cs="方正仿宋_GBK"/>
          <w:color w:val="auto"/>
          <w:sz w:val="32"/>
          <w:szCs w:val="32"/>
          <w:highlight w:val="none"/>
          <w:lang w:val="en-US" w:eastAsia="zh-CN"/>
        </w:rPr>
        <w:t xml:space="preserve">6</w:t>
      </w:r>
      <w:r/>
    </w:p>
    <w:p>
      <w:pPr>
        <w:jc w:val="center"/>
        <w:spacing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场地租赁备案证明</w:t>
      </w:r>
      <w:r/>
    </w:p>
    <w:p>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ind w:firstLine="56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兹有将位于</w:t>
      </w:r>
      <w:r>
        <w:rPr>
          <w:rFonts w:hint="eastAsia" w:ascii="方正仿宋_GBK" w:hAnsi="方正仿宋_GBK" w:eastAsia="方正仿宋_GBK" w:cs="方正仿宋_GBK"/>
          <w:color w:val="auto"/>
          <w:sz w:val="28"/>
          <w:szCs w:val="28"/>
          <w:highlight w:val="none"/>
          <w:u w:val="single"/>
        </w:rPr>
        <w:t xml:space="preserve">（位置）</w:t>
      </w:r>
      <w:r>
        <w:rPr>
          <w:rFonts w:hint="eastAsia" w:ascii="方正仿宋_GBK" w:hAnsi="方正仿宋_GBK" w:eastAsia="方正仿宋_GBK" w:cs="方正仿宋_GBK"/>
          <w:color w:val="auto"/>
          <w:sz w:val="28"/>
          <w:szCs w:val="28"/>
          <w:highlight w:val="none"/>
        </w:rPr>
        <w:t xml:space="preserve">，用地性质：</w:t>
      </w:r>
      <w:r>
        <w:rPr>
          <w:rFonts w:hint="eastAsia" w:ascii="方正仿宋_GBK" w:hAnsi="方正仿宋_GBK" w:eastAsia="方正仿宋_GBK" w:cs="方正仿宋_GBK"/>
          <w:color w:val="auto"/>
          <w:sz w:val="28"/>
          <w:szCs w:val="28"/>
          <w:highlight w:val="none"/>
          <w:u w:val="single"/>
        </w:rPr>
        <w:t xml:space="preserve">，</w:t>
      </w:r>
      <w:r>
        <w:rPr>
          <w:rFonts w:hint="eastAsia" w:ascii="方正仿宋_GBK" w:hAnsi="方正仿宋_GBK" w:eastAsia="方正仿宋_GBK" w:cs="方正仿宋_GBK"/>
          <w:color w:val="auto"/>
          <w:sz w:val="28"/>
          <w:szCs w:val="28"/>
          <w:highlight w:val="none"/>
        </w:rPr>
        <w:t xml:space="preserve">符合停车场使用相关规划要求，面积：</w:t>
      </w:r>
      <w:r>
        <w:rPr>
          <w:rFonts w:hint="eastAsia" w:ascii="方正仿宋_GBK" w:hAnsi="方正仿宋_GBK" w:eastAsia="方正仿宋_GBK" w:cs="方正仿宋_GBK"/>
          <w:color w:val="auto"/>
          <w:sz w:val="28"/>
          <w:szCs w:val="28"/>
          <w:highlight w:val="none"/>
          <w:u w:val="single"/>
        </w:rPr>
        <w:t xml:space="preserve">平方米</w:t>
      </w:r>
      <w:r>
        <w:rPr>
          <w:rFonts w:hint="eastAsia" w:ascii="方正仿宋_GBK" w:hAnsi="方正仿宋_GBK" w:eastAsia="方正仿宋_GBK" w:cs="方正仿宋_GBK"/>
          <w:color w:val="auto"/>
          <w:sz w:val="28"/>
          <w:szCs w:val="28"/>
          <w:highlight w:val="none"/>
        </w:rPr>
        <w:t xml:space="preserve">，租赁给</w:t>
      </w:r>
      <w:r>
        <w:rPr>
          <w:rFonts w:hint="eastAsia" w:ascii="方正仿宋_GBK" w:hAnsi="方正仿宋_GBK" w:eastAsia="方正仿宋_GBK" w:cs="方正仿宋_GBK"/>
          <w:color w:val="auto"/>
          <w:sz w:val="28"/>
          <w:szCs w:val="28"/>
          <w:highlight w:val="none"/>
          <w:u w:val="single"/>
        </w:rPr>
        <w:t xml:space="preserve">（单位）</w:t>
      </w:r>
      <w:r>
        <w:rPr>
          <w:rFonts w:hint="eastAsia" w:ascii="方正仿宋_GBK" w:hAnsi="方正仿宋_GBK" w:eastAsia="方正仿宋_GBK" w:cs="方正仿宋_GBK"/>
          <w:color w:val="auto"/>
          <w:sz w:val="28"/>
          <w:szCs w:val="28"/>
          <w:highlight w:val="none"/>
        </w:rPr>
        <w:t xml:space="preserve">使用，租赁期限</w:t>
      </w:r>
      <w:r>
        <w:rPr>
          <w:rFonts w:hint="eastAsia" w:ascii="方正仿宋_GBK" w:hAnsi="方正仿宋_GBK" w:eastAsia="方正仿宋_GBK" w:cs="方正仿宋_GBK"/>
          <w:color w:val="auto"/>
          <w:sz w:val="28"/>
          <w:szCs w:val="28"/>
          <w:highlight w:val="none"/>
          <w:u w:val="single"/>
        </w:rPr>
        <w:t xml:space="preserve">（自年月至年月）</w:t>
      </w:r>
      <w:r>
        <w:rPr>
          <w:rFonts w:hint="eastAsia" w:ascii="方正仿宋_GBK" w:hAnsi="方正仿宋_GBK" w:eastAsia="方正仿宋_GBK" w:cs="方正仿宋_GBK"/>
          <w:color w:val="auto"/>
          <w:sz w:val="28"/>
          <w:szCs w:val="28"/>
          <w:highlight w:val="none"/>
        </w:rPr>
        <w:t xml:space="preserve">，经核对情况属实。</w:t>
      </w:r>
      <w:r/>
    </w:p>
    <w:p>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ind w:firstLine="70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特此备案！</w:t>
      </w:r>
      <w:r/>
    </w:p>
    <w:p>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（停车场地所在住建局或街道、镇等相关部门、或者土地所有权人、使用权人印章确认）</w:t>
      </w:r>
      <w:r/>
    </w:p>
    <w:p>
      <w:pPr>
        <w:jc w:val="center"/>
        <w:spacing w:line="360" w:lineRule="auto"/>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                                    </w:t>
      </w:r>
      <w:r>
        <w:rPr>
          <w:rFonts w:hint="eastAsia" w:ascii="方正仿宋_GBK" w:hAnsi="方正仿宋_GBK" w:eastAsia="方正仿宋_GBK" w:cs="方正仿宋_GBK"/>
          <w:color w:val="auto"/>
          <w:sz w:val="28"/>
          <w:szCs w:val="28"/>
          <w:highlight w:val="none"/>
          <w:lang w:val="zh-CN" w:bidi="ar"/>
        </w:rPr>
        <w:t xml:space="preserve">(</w:t>
      </w:r>
      <w:r>
        <w:rPr>
          <w:rFonts w:hint="eastAsia" w:ascii="方正仿宋_GBK" w:hAnsi="方正仿宋_GBK" w:eastAsia="方正仿宋_GBK" w:cs="方正仿宋_GBK"/>
          <w:color w:val="auto"/>
          <w:sz w:val="28"/>
          <w:szCs w:val="28"/>
          <w:highlight w:val="none"/>
        </w:rPr>
        <w:t xml:space="preserve">加盖ca电子公章</w:t>
      </w:r>
      <w:r>
        <w:rPr>
          <w:rFonts w:hint="eastAsia" w:ascii="方正仿宋_GBK" w:hAnsi="方正仿宋_GBK" w:eastAsia="方正仿宋_GBK" w:cs="方正仿宋_GBK"/>
          <w:color w:val="auto"/>
          <w:sz w:val="28"/>
          <w:szCs w:val="28"/>
          <w:highlight w:val="none"/>
          <w:lang w:val="zh-CN" w:bidi="ar"/>
        </w:rPr>
        <w:t xml:space="preserve">)</w:t>
      </w:r>
      <w:r/>
    </w:p>
    <w:p>
      <w:pPr>
        <w:jc w:val="cente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                                    </w:t>
      </w:r>
      <w:r>
        <w:rPr>
          <w:rFonts w:hint="eastAsia" w:ascii="方正仿宋_GBK" w:hAnsi="方正仿宋_GBK" w:eastAsia="方正仿宋_GBK" w:cs="方正仿宋_GBK"/>
          <w:color w:val="auto"/>
          <w:sz w:val="28"/>
          <w:szCs w:val="28"/>
          <w:highlight w:val="none"/>
        </w:rPr>
        <w:t xml:space="preserve">年月日</w:t>
      </w:r>
      <w:r/>
    </w:p>
    <w:p>
      <w:pPr>
        <w:jc w:val="center"/>
        <w:spacing w:line="360" w:lineRule="auto"/>
        <w:rPr>
          <w:rFonts w:hAnsi="宋体"/>
          <w:color w:val="auto"/>
          <w:sz w:val="24"/>
          <w:highlight w:val="none"/>
        </w:rPr>
      </w:pPr>
      <w:r>
        <w:rPr>
          <w:rFonts w:hAnsi="宋体"/>
          <w:color w:val="auto"/>
          <w:sz w:val="24"/>
          <w:highlight w:val="none"/>
        </w:rPr>
      </w:r>
      <w:r/>
    </w:p>
    <w:p>
      <w:pPr>
        <w:jc w:val="center"/>
        <w:spacing w:line="360" w:lineRule="auto"/>
        <w:rPr>
          <w:rFonts w:hint="eastAsia" w:hAnsi="黑体" w:eastAsia="黑体"/>
          <w:color w:val="auto"/>
          <w:sz w:val="28"/>
          <w:szCs w:val="28"/>
          <w:highlight w:val="none"/>
        </w:rPr>
      </w:pPr>
      <w:r>
        <w:rPr>
          <w:rFonts w:hint="eastAsia" w:hAnsi="黑体" w:eastAsia="黑体"/>
          <w:color w:val="auto"/>
          <w:sz w:val="28"/>
          <w:szCs w:val="28"/>
          <w:highlight w:val="none"/>
        </w:rPr>
      </w:r>
      <w:r/>
    </w:p>
    <w:p>
      <w:pPr>
        <w:jc w:val="center"/>
        <w:spacing w:line="360" w:lineRule="auto"/>
        <w:rPr>
          <w:rFonts w:hint="eastAsia" w:hAnsi="黑体" w:eastAsia="黑体"/>
          <w:color w:val="auto"/>
          <w:sz w:val="28"/>
          <w:szCs w:val="28"/>
          <w:highlight w:val="none"/>
        </w:rPr>
      </w:pPr>
      <w:r>
        <w:rPr>
          <w:rFonts w:hint="eastAsia" w:hAnsi="黑体" w:eastAsia="黑体"/>
          <w:color w:val="auto"/>
          <w:sz w:val="28"/>
          <w:szCs w:val="28"/>
          <w:highlight w:val="none"/>
        </w:rPr>
      </w:r>
      <w:r/>
    </w:p>
    <w:p>
      <w:pPr>
        <w:jc w:val="center"/>
        <w:spacing w:line="360" w:lineRule="auto"/>
        <w:rPr>
          <w:rFonts w:hint="eastAsia" w:hAnsi="黑体" w:eastAsia="黑体"/>
          <w:color w:val="auto"/>
          <w:sz w:val="28"/>
          <w:szCs w:val="28"/>
          <w:highlight w:val="none"/>
        </w:rPr>
      </w:pPr>
      <w:r>
        <w:rPr>
          <w:rFonts w:hint="eastAsia" w:hAnsi="黑体" w:eastAsia="黑体"/>
          <w:color w:val="auto"/>
          <w:sz w:val="28"/>
          <w:szCs w:val="28"/>
          <w:highlight w:val="none"/>
        </w:rPr>
      </w:r>
      <w:r/>
    </w:p>
    <w:p>
      <w:pPr>
        <w:jc w:val="center"/>
        <w:spacing w:line="360" w:lineRule="auto"/>
        <w:rPr>
          <w:rFonts w:hint="eastAsia" w:hAnsi="黑体" w:eastAsia="黑体"/>
          <w:color w:val="auto"/>
          <w:sz w:val="28"/>
          <w:szCs w:val="28"/>
          <w:highlight w:val="none"/>
        </w:rPr>
      </w:pPr>
      <w:r>
        <w:rPr>
          <w:rFonts w:hint="eastAsia" w:hAnsi="黑体" w:eastAsia="黑体"/>
          <w:color w:val="auto"/>
          <w:sz w:val="28"/>
          <w:szCs w:val="28"/>
          <w:highlight w:val="none"/>
        </w:rPr>
      </w:r>
      <w:r/>
    </w:p>
    <w:p>
      <w:pPr>
        <w:jc w:val="center"/>
        <w:spacing w:line="360" w:lineRule="auto"/>
        <w:rPr>
          <w:rFonts w:hint="eastAsia" w:hAnsi="黑体" w:eastAsia="黑体"/>
          <w:color w:val="auto"/>
          <w:sz w:val="28"/>
          <w:szCs w:val="28"/>
          <w:highlight w:val="none"/>
        </w:rPr>
      </w:pPr>
      <w:r>
        <w:rPr>
          <w:rFonts w:hint="eastAsia" w:hAnsi="黑体" w:eastAsia="黑体"/>
          <w:color w:val="auto"/>
          <w:sz w:val="28"/>
          <w:szCs w:val="28"/>
          <w:highlight w:val="none"/>
        </w:rPr>
      </w:r>
      <w:r/>
    </w:p>
    <w:p>
      <w:pPr>
        <w:jc w:val="center"/>
        <w:spacing w:line="360" w:lineRule="auto"/>
        <w:rPr>
          <w:rFonts w:hint="eastAsia" w:hAnsi="黑体" w:eastAsia="黑体"/>
          <w:color w:val="auto"/>
          <w:sz w:val="28"/>
          <w:szCs w:val="28"/>
          <w:highlight w:val="none"/>
        </w:rPr>
      </w:pPr>
      <w:r>
        <w:rPr>
          <w:rFonts w:hint="eastAsia" w:hAnsi="黑体" w:eastAsia="黑体"/>
          <w:color w:val="auto"/>
          <w:sz w:val="28"/>
          <w:szCs w:val="28"/>
          <w:highlight w:val="none"/>
        </w:rPr>
      </w:r>
      <w:r/>
    </w:p>
    <w:p>
      <w:pPr>
        <w:jc w:val="center"/>
        <w:spacing w:line="360" w:lineRule="auto"/>
        <w:rPr>
          <w:rFonts w:hint="eastAsia" w:hAnsi="黑体" w:eastAsia="黑体"/>
          <w:color w:val="auto"/>
          <w:sz w:val="28"/>
          <w:szCs w:val="28"/>
          <w:highlight w:val="none"/>
        </w:rPr>
      </w:pPr>
      <w:r>
        <w:rPr>
          <w:rFonts w:hint="eastAsia" w:hAnsi="黑体" w:eastAsia="黑体"/>
          <w:color w:val="auto"/>
          <w:sz w:val="28"/>
          <w:szCs w:val="28"/>
          <w:highlight w:val="none"/>
        </w:rPr>
      </w:r>
      <w:r/>
    </w:p>
    <w:p>
      <w:pPr>
        <w:jc w:val="center"/>
        <w:spacing w:line="360" w:lineRule="auto"/>
        <w:rPr>
          <w:rFonts w:hint="eastAsia" w:hAnsi="黑体" w:eastAsia="黑体"/>
          <w:color w:val="auto"/>
          <w:sz w:val="28"/>
          <w:szCs w:val="28"/>
          <w:highlight w:val="none"/>
        </w:rPr>
      </w:pPr>
      <w:r>
        <w:rPr>
          <w:rFonts w:hint="eastAsia" w:hAnsi="黑体" w:eastAsia="黑体"/>
          <w:color w:val="auto"/>
          <w:sz w:val="28"/>
          <w:szCs w:val="28"/>
          <w:highlight w:val="none"/>
        </w:rPr>
      </w:r>
      <w:r/>
    </w:p>
    <w:p>
      <w:pPr>
        <w:jc w:val="center"/>
        <w:spacing w:line="360" w:lineRule="auto"/>
        <w:rPr>
          <w:rFonts w:hint="eastAsia" w:hAnsi="黑体" w:eastAsia="黑体"/>
          <w:color w:val="auto"/>
          <w:sz w:val="28"/>
          <w:szCs w:val="28"/>
          <w:highlight w:val="none"/>
        </w:rPr>
      </w:pPr>
      <w:r>
        <w:rPr>
          <w:rFonts w:hint="eastAsia" w:hAnsi="黑体" w:eastAsia="黑体"/>
          <w:color w:val="auto"/>
          <w:sz w:val="28"/>
          <w:szCs w:val="28"/>
          <w:highlight w:val="none"/>
        </w:rPr>
      </w:r>
      <w:r/>
    </w:p>
    <w:p>
      <w:pPr>
        <w:jc w:val="center"/>
        <w:spacing w:line="360" w:lineRule="auto"/>
        <w:rPr>
          <w:rFonts w:hint="eastAsia" w:hAnsi="黑体" w:eastAsia="黑体"/>
          <w:color w:val="auto"/>
          <w:sz w:val="28"/>
          <w:szCs w:val="28"/>
          <w:highlight w:val="none"/>
        </w:rPr>
      </w:pPr>
      <w:r>
        <w:rPr>
          <w:rFonts w:hint="eastAsia" w:hAnsi="黑体" w:eastAsia="黑体"/>
          <w:color w:val="auto"/>
          <w:sz w:val="28"/>
          <w:szCs w:val="28"/>
          <w:highlight w:val="none"/>
        </w:rPr>
      </w:r>
      <w:r/>
    </w:p>
    <w:p>
      <w:pPr>
        <w:jc w:val="center"/>
        <w:spacing w:line="360" w:lineRule="auto"/>
        <w:rPr>
          <w:rFonts w:hint="eastAsia" w:hAnsi="黑体" w:eastAsia="黑体"/>
          <w:color w:val="auto"/>
          <w:sz w:val="28"/>
          <w:szCs w:val="28"/>
          <w:highlight w:val="none"/>
        </w:rPr>
      </w:pPr>
      <w:r>
        <w:rPr>
          <w:rFonts w:hint="eastAsia" w:hAnsi="黑体" w:eastAsia="黑体"/>
          <w:color w:val="auto"/>
          <w:sz w:val="28"/>
          <w:szCs w:val="28"/>
          <w:highlight w:val="none"/>
        </w:rPr>
      </w:r>
      <w:r/>
    </w:p>
    <w:p>
      <w:pPr>
        <w:jc w:val="center"/>
        <w:spacing w:line="360" w:lineRule="auto"/>
        <w:rPr>
          <w:rFonts w:hint="eastAsia" w:hAnsi="黑体" w:eastAsia="黑体"/>
          <w:color w:val="auto"/>
          <w:sz w:val="28"/>
          <w:szCs w:val="28"/>
          <w:highlight w:val="none"/>
        </w:rPr>
      </w:pPr>
      <w:r>
        <w:rPr>
          <w:rFonts w:hint="eastAsia" w:hAnsi="黑体" w:eastAsia="黑体"/>
          <w:color w:val="auto"/>
          <w:sz w:val="28"/>
          <w:szCs w:val="28"/>
          <w:highlight w:val="none"/>
        </w:rPr>
      </w:r>
      <w:r/>
    </w:p>
    <w:p>
      <w:pPr>
        <w:jc w:val="center"/>
        <w:spacing w:line="360" w:lineRule="auto"/>
        <w:rPr>
          <w:rFonts w:hint="eastAsia" w:hAnsi="黑体" w:eastAsia="黑体"/>
          <w:color w:val="auto"/>
          <w:sz w:val="28"/>
          <w:szCs w:val="28"/>
          <w:highlight w:val="none"/>
        </w:rPr>
      </w:pPr>
      <w:r>
        <w:rPr>
          <w:rFonts w:hint="eastAsia" w:hAnsi="黑体" w:eastAsia="黑体"/>
          <w:color w:val="auto"/>
          <w:sz w:val="28"/>
          <w:szCs w:val="28"/>
          <w:highlight w:val="none"/>
        </w:rPr>
      </w:r>
      <w:r/>
    </w:p>
    <w:p>
      <w:pPr>
        <w:jc w:val="both"/>
        <w:spacing w:line="360" w:lineRule="auto"/>
        <w:rPr>
          <w:rFonts w:hint="eastAsia" w:hAnsi="黑体" w:eastAsia="黑体"/>
          <w:color w:val="auto"/>
          <w:sz w:val="28"/>
          <w:szCs w:val="28"/>
          <w:highlight w:val="none"/>
        </w:rPr>
      </w:pPr>
      <w:r>
        <w:rPr>
          <w:rFonts w:hint="eastAsia" w:hAnsi="黑体" w:eastAsia="黑体"/>
          <w:color w:val="auto"/>
          <w:sz w:val="28"/>
          <w:szCs w:val="28"/>
          <w:highlight w:val="none"/>
        </w:rPr>
      </w:r>
      <w:r/>
    </w:p>
    <w:p>
      <w:pPr>
        <w:contextualSpacing/>
        <w:spacing w:line="400" w:lineRule="exact"/>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 xml:space="preserve">附件</w:t>
      </w:r>
      <w:r>
        <w:rPr>
          <w:rFonts w:hint="eastAsia" w:ascii="方正仿宋_GBK" w:hAnsi="方正仿宋_GBK" w:eastAsia="方正仿宋_GBK" w:cs="方正仿宋_GBK"/>
          <w:color w:val="auto"/>
          <w:sz w:val="32"/>
          <w:szCs w:val="32"/>
          <w:highlight w:val="none"/>
          <w:lang w:val="en-US" w:eastAsia="zh-CN"/>
        </w:rPr>
        <w:t xml:space="preserve">7</w:t>
      </w:r>
      <w:r/>
    </w:p>
    <w:p>
      <w:pPr>
        <w:jc w:val="cente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承诺函</w:t>
      </w:r>
      <w:r/>
    </w:p>
    <w:p>
      <w:pPr>
        <w:ind w:firstLine="56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兹位于</w:t>
      </w:r>
      <w:r>
        <w:rPr>
          <w:rFonts w:hint="eastAsia" w:ascii="方正仿宋_GBK" w:hAnsi="方正仿宋_GBK" w:eastAsia="方正仿宋_GBK" w:cs="方正仿宋_GBK"/>
          <w:color w:val="auto"/>
          <w:sz w:val="28"/>
          <w:szCs w:val="28"/>
          <w:highlight w:val="none"/>
          <w:u w:val="single"/>
        </w:rPr>
        <w:t xml:space="preserve">（位置1/2/3..）</w:t>
      </w:r>
      <w:r>
        <w:rPr>
          <w:rFonts w:hint="eastAsia" w:ascii="方正仿宋_GBK" w:hAnsi="方正仿宋_GBK" w:eastAsia="方正仿宋_GBK" w:cs="方正仿宋_GBK"/>
          <w:color w:val="auto"/>
          <w:sz w:val="28"/>
          <w:szCs w:val="28"/>
          <w:highlight w:val="none"/>
        </w:rPr>
        <w:t xml:space="preserve">， 用地性质：，面积：平方米，土地为我司      （自有、租赁）。</w:t>
      </w:r>
      <w:r/>
    </w:p>
    <w:p>
      <w:pPr>
        <w:ind w:firstLine="56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兹位于</w:t>
      </w:r>
      <w:r>
        <w:rPr>
          <w:rFonts w:hint="eastAsia" w:ascii="方正仿宋_GBK" w:hAnsi="方正仿宋_GBK" w:eastAsia="方正仿宋_GBK" w:cs="方正仿宋_GBK"/>
          <w:color w:val="auto"/>
          <w:sz w:val="28"/>
          <w:szCs w:val="28"/>
          <w:highlight w:val="none"/>
          <w:u w:val="single"/>
        </w:rPr>
        <w:t xml:space="preserve">（位置1/2/3..）</w:t>
      </w:r>
      <w:r>
        <w:rPr>
          <w:rFonts w:hint="eastAsia" w:ascii="方正仿宋_GBK" w:hAnsi="方正仿宋_GBK" w:eastAsia="方正仿宋_GBK" w:cs="方正仿宋_GBK"/>
          <w:color w:val="auto"/>
          <w:sz w:val="28"/>
          <w:szCs w:val="28"/>
          <w:highlight w:val="none"/>
        </w:rPr>
        <w:t xml:space="preserve">， 用地性质：，面积：平方米，土地为我司      （自有、租赁）。</w:t>
      </w:r>
      <w:r/>
    </w:p>
    <w:p>
      <w:pPr>
        <w:ind w:firstLine="56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w:t>
      </w:r>
      <w:r/>
    </w:p>
    <w:p>
      <w:pPr>
        <w:ind w:firstLine="56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我司承诺，如若中标，我司将按照招标要求和投标响应，确保上述土地（停车场）能力实际投入本项目使用。否则，由此产生的一切后果和责任，由我司全部承担。</w:t>
      </w:r>
      <w:r/>
    </w:p>
    <w:p>
      <w:pPr>
        <w:jc w:val="cente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center"/>
        <w:spacing w:line="360" w:lineRule="auto"/>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bidi="ar"/>
        </w:rPr>
        <w:t xml:space="preserve">           </w:t>
      </w:r>
      <w:r>
        <w:rPr>
          <w:rFonts w:hint="eastAsia" w:ascii="方正仿宋_GBK" w:hAnsi="方正仿宋_GBK" w:eastAsia="方正仿宋_GBK" w:cs="方正仿宋_GBK"/>
          <w:color w:val="auto"/>
          <w:sz w:val="28"/>
          <w:szCs w:val="28"/>
          <w:highlight w:val="none"/>
          <w:lang w:val="zh-CN" w:bidi="ar"/>
        </w:rPr>
        <w:t xml:space="preserve">(</w:t>
      </w:r>
      <w:r>
        <w:rPr>
          <w:rFonts w:hint="eastAsia" w:ascii="方正仿宋_GBK" w:hAnsi="方正仿宋_GBK" w:eastAsia="方正仿宋_GBK" w:cs="方正仿宋_GBK"/>
          <w:color w:val="auto"/>
          <w:sz w:val="28"/>
          <w:szCs w:val="28"/>
          <w:highlight w:val="none"/>
        </w:rPr>
        <w:t xml:space="preserve">加盖ca电子公章</w:t>
      </w:r>
      <w:r>
        <w:rPr>
          <w:rFonts w:hint="eastAsia" w:ascii="方正仿宋_GBK" w:hAnsi="方正仿宋_GBK" w:eastAsia="方正仿宋_GBK" w:cs="方正仿宋_GBK"/>
          <w:color w:val="auto"/>
          <w:sz w:val="28"/>
          <w:szCs w:val="28"/>
          <w:highlight w:val="none"/>
          <w:lang w:val="zh-CN" w:bidi="ar"/>
        </w:rPr>
        <w:t xml:space="preserve">)</w:t>
      </w:r>
      <w:r>
        <w:rPr>
          <w:rFonts w:hint="eastAsia" w:ascii="方正仿宋_GBK" w:hAnsi="方正仿宋_GBK" w:eastAsia="方正仿宋_GBK" w:cs="方正仿宋_GBK"/>
          <w:color w:val="auto"/>
          <w:sz w:val="28"/>
          <w:szCs w:val="28"/>
          <w:highlight w:val="none"/>
          <w:lang w:val="en-US" w:eastAsia="zh-CN"/>
        </w:rPr>
        <w:t xml:space="preserve">       </w:t>
      </w:r>
      <w:r/>
    </w:p>
    <w:p>
      <w:pPr>
        <w:jc w:val="cente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             </w:t>
      </w:r>
      <w:r>
        <w:rPr>
          <w:rFonts w:hint="eastAsia" w:ascii="方正仿宋_GBK" w:hAnsi="方正仿宋_GBK" w:eastAsia="方正仿宋_GBK" w:cs="方正仿宋_GBK"/>
          <w:color w:val="auto"/>
          <w:sz w:val="28"/>
          <w:szCs w:val="28"/>
          <w:highlight w:val="none"/>
        </w:rPr>
        <w:t xml:space="preserve">年</w:t>
      </w:r>
      <w:r>
        <w:rPr>
          <w:rFonts w:hint="eastAsia" w:ascii="方正仿宋_GBK" w:hAnsi="方正仿宋_GBK" w:eastAsia="方正仿宋_GBK" w:cs="方正仿宋_GBK"/>
          <w:color w:val="auto"/>
          <w:sz w:val="28"/>
          <w:szCs w:val="28"/>
          <w:highlight w:val="none"/>
          <w:lang w:val="en-US" w:eastAsia="zh-CN"/>
        </w:rPr>
        <w:t xml:space="preserve">  </w:t>
      </w:r>
      <w:r>
        <w:rPr>
          <w:rFonts w:hint="eastAsia" w:ascii="方正仿宋_GBK" w:hAnsi="方正仿宋_GBK" w:eastAsia="方正仿宋_GBK" w:cs="方正仿宋_GBK"/>
          <w:color w:val="auto"/>
          <w:sz w:val="28"/>
          <w:szCs w:val="28"/>
          <w:highlight w:val="none"/>
        </w:rPr>
        <w:t xml:space="preserve">月</w:t>
      </w:r>
      <w:r>
        <w:rPr>
          <w:rFonts w:hint="eastAsia" w:ascii="方正仿宋_GBK" w:hAnsi="方正仿宋_GBK" w:eastAsia="方正仿宋_GBK" w:cs="方正仿宋_GBK"/>
          <w:color w:val="auto"/>
          <w:sz w:val="28"/>
          <w:szCs w:val="28"/>
          <w:highlight w:val="none"/>
          <w:lang w:val="en-US" w:eastAsia="zh-CN"/>
        </w:rPr>
        <w:t xml:space="preserve">   </w:t>
      </w:r>
      <w:r>
        <w:rPr>
          <w:rFonts w:hint="eastAsia" w:ascii="方正仿宋_GBK" w:hAnsi="方正仿宋_GBK" w:eastAsia="方正仿宋_GBK" w:cs="方正仿宋_GBK"/>
          <w:color w:val="auto"/>
          <w:sz w:val="28"/>
          <w:szCs w:val="28"/>
          <w:highlight w:val="none"/>
        </w:rPr>
        <w:t xml:space="preserve">日</w:t>
      </w:r>
      <w:r/>
    </w:p>
    <w:p>
      <w:pPr>
        <w:jc w:val="lef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r>
      <w:r/>
    </w:p>
    <w:p>
      <w:pPr>
        <w:contextualSpacing/>
        <w:ind w:firstLine="600"/>
        <w:spacing w:line="460" w:lineRule="exact"/>
        <w:tabs>
          <w:tab w:val="left" w:pos="1260" w:leader="none"/>
        </w:tabs>
        <w:rPr>
          <w:rFonts w:hint="eastAsia" w:ascii="方正仿宋_GBK" w:hAnsi="方正仿宋_GBK" w:eastAsia="方正仿宋_GBK" w:cs="方正仿宋_GBK"/>
          <w:bCs/>
          <w:color w:val="auto"/>
          <w:sz w:val="30"/>
          <w:szCs w:val="30"/>
          <w:highlight w:val="none"/>
          <w:lang w:bidi="ar"/>
        </w:rPr>
      </w:pPr>
      <w:r>
        <w:rPr>
          <w:rFonts w:hint="eastAsia" w:ascii="方正仿宋_GBK" w:hAnsi="方正仿宋_GBK" w:eastAsia="方正仿宋_GBK" w:cs="方正仿宋_GBK"/>
          <w:bCs/>
          <w:color w:val="auto"/>
          <w:sz w:val="30"/>
          <w:szCs w:val="30"/>
          <w:highlight w:val="none"/>
          <w:lang w:bidi="ar"/>
        </w:rPr>
      </w:r>
      <w:r/>
    </w:p>
    <w:p>
      <w:pPr>
        <w:contextualSpacing/>
        <w:ind w:firstLine="600"/>
        <w:spacing w:line="460" w:lineRule="exact"/>
        <w:tabs>
          <w:tab w:val="left" w:pos="1260" w:leader="none"/>
        </w:tabs>
        <w:rPr>
          <w:rFonts w:hint="eastAsia" w:ascii="方正仿宋_GBK" w:hAnsi="方正仿宋_GBK" w:eastAsia="方正仿宋_GBK" w:cs="方正仿宋_GBK"/>
          <w:bCs/>
          <w:color w:val="auto"/>
          <w:sz w:val="30"/>
          <w:szCs w:val="30"/>
          <w:highlight w:val="none"/>
          <w:lang w:bidi="ar"/>
        </w:rPr>
      </w:pPr>
      <w:r>
        <w:rPr>
          <w:rFonts w:hint="eastAsia" w:ascii="方正仿宋_GBK" w:hAnsi="方正仿宋_GBK" w:eastAsia="方正仿宋_GBK" w:cs="方正仿宋_GBK"/>
          <w:bCs/>
          <w:color w:val="auto"/>
          <w:sz w:val="30"/>
          <w:szCs w:val="30"/>
          <w:highlight w:val="none"/>
          <w:lang w:bidi="ar"/>
        </w:rPr>
      </w:r>
      <w:r/>
    </w:p>
    <w:p>
      <w:pPr>
        <w:contextualSpacing/>
        <w:ind w:firstLine="600"/>
        <w:spacing w:line="460" w:lineRule="exact"/>
        <w:tabs>
          <w:tab w:val="left" w:pos="1260" w:leader="none"/>
        </w:tabs>
        <w:rPr>
          <w:rFonts w:hint="eastAsia" w:ascii="方正仿宋_GBK" w:hAnsi="方正仿宋_GBK" w:eastAsia="方正仿宋_GBK" w:cs="方正仿宋_GBK"/>
          <w:bCs/>
          <w:color w:val="auto"/>
          <w:sz w:val="30"/>
          <w:szCs w:val="30"/>
          <w:highlight w:val="none"/>
          <w:lang w:bidi="ar"/>
        </w:rPr>
      </w:pPr>
      <w:r>
        <w:rPr>
          <w:rFonts w:hint="eastAsia" w:ascii="方正仿宋_GBK" w:hAnsi="方正仿宋_GBK" w:eastAsia="方正仿宋_GBK" w:cs="方正仿宋_GBK"/>
          <w:bCs/>
          <w:color w:val="auto"/>
          <w:sz w:val="30"/>
          <w:szCs w:val="30"/>
          <w:highlight w:val="none"/>
          <w:lang w:bidi="ar"/>
        </w:rPr>
      </w:r>
      <w:r/>
    </w:p>
    <w:p>
      <w:pPr>
        <w:contextualSpacing/>
        <w:ind w:firstLine="600"/>
        <w:spacing w:line="460" w:lineRule="exact"/>
        <w:tabs>
          <w:tab w:val="left" w:pos="1260" w:leader="none"/>
        </w:tabs>
        <w:rPr>
          <w:rFonts w:hint="eastAsia" w:ascii="方正仿宋_GBK" w:hAnsi="方正仿宋_GBK" w:eastAsia="方正仿宋_GBK" w:cs="方正仿宋_GBK"/>
          <w:bCs/>
          <w:color w:val="auto"/>
          <w:sz w:val="30"/>
          <w:szCs w:val="30"/>
          <w:highlight w:val="none"/>
          <w:lang w:bidi="ar"/>
        </w:rPr>
      </w:pPr>
      <w:r>
        <w:rPr>
          <w:rFonts w:hint="eastAsia" w:ascii="方正仿宋_GBK" w:hAnsi="方正仿宋_GBK" w:eastAsia="方正仿宋_GBK" w:cs="方正仿宋_GBK"/>
          <w:bCs/>
          <w:color w:val="auto"/>
          <w:sz w:val="30"/>
          <w:szCs w:val="30"/>
          <w:highlight w:val="none"/>
          <w:lang w:bidi="ar"/>
        </w:rPr>
      </w:r>
      <w:r/>
    </w:p>
    <w:p>
      <w:pPr>
        <w:contextualSpacing/>
        <w:ind w:firstLine="600"/>
        <w:spacing w:line="460" w:lineRule="exact"/>
        <w:tabs>
          <w:tab w:val="left" w:pos="1260" w:leader="none"/>
        </w:tabs>
        <w:rPr>
          <w:rFonts w:hint="eastAsia" w:ascii="方正仿宋_GBK" w:hAnsi="方正仿宋_GBK" w:eastAsia="方正仿宋_GBK" w:cs="方正仿宋_GBK"/>
          <w:bCs/>
          <w:color w:val="auto"/>
          <w:sz w:val="30"/>
          <w:szCs w:val="30"/>
          <w:highlight w:val="none"/>
          <w:lang w:bidi="ar"/>
        </w:rPr>
      </w:pPr>
      <w:r>
        <w:rPr>
          <w:rFonts w:hint="eastAsia" w:ascii="方正仿宋_GBK" w:hAnsi="方正仿宋_GBK" w:eastAsia="方正仿宋_GBK" w:cs="方正仿宋_GBK"/>
          <w:bCs/>
          <w:color w:val="auto"/>
          <w:sz w:val="30"/>
          <w:szCs w:val="30"/>
          <w:highlight w:val="none"/>
          <w:lang w:bidi="ar"/>
        </w:rPr>
      </w:r>
      <w:r/>
    </w:p>
    <w:p>
      <w:pPr>
        <w:contextualSpacing/>
        <w:ind w:firstLine="600"/>
        <w:spacing w:line="460" w:lineRule="exact"/>
        <w:tabs>
          <w:tab w:val="left" w:pos="1260" w:leader="none"/>
        </w:tabs>
        <w:rPr>
          <w:rFonts w:hint="eastAsia" w:ascii="方正仿宋_GBK" w:hAnsi="方正仿宋_GBK" w:eastAsia="方正仿宋_GBK" w:cs="方正仿宋_GBK"/>
          <w:bCs/>
          <w:color w:val="auto"/>
          <w:sz w:val="30"/>
          <w:szCs w:val="30"/>
          <w:highlight w:val="none"/>
          <w:lang w:bidi="ar"/>
        </w:rPr>
      </w:pPr>
      <w:r>
        <w:rPr>
          <w:rFonts w:hint="eastAsia" w:ascii="方正仿宋_GBK" w:hAnsi="方正仿宋_GBK" w:eastAsia="方正仿宋_GBK" w:cs="方正仿宋_GBK"/>
          <w:bCs/>
          <w:color w:val="auto"/>
          <w:sz w:val="30"/>
          <w:szCs w:val="30"/>
          <w:highlight w:val="none"/>
          <w:lang w:bidi="ar"/>
        </w:rPr>
      </w:r>
      <w:r/>
    </w:p>
    <w:p>
      <w:pPr>
        <w:contextualSpacing/>
        <w:ind w:firstLine="600"/>
        <w:spacing w:line="460" w:lineRule="exact"/>
        <w:tabs>
          <w:tab w:val="left" w:pos="1260" w:leader="none"/>
        </w:tabs>
        <w:rPr>
          <w:rFonts w:hint="eastAsia" w:ascii="方正仿宋_GBK" w:hAnsi="方正仿宋_GBK" w:eastAsia="方正仿宋_GBK" w:cs="方正仿宋_GBK"/>
          <w:bCs/>
          <w:color w:val="auto"/>
          <w:sz w:val="30"/>
          <w:szCs w:val="30"/>
          <w:highlight w:val="none"/>
          <w:lang w:bidi="ar"/>
        </w:rPr>
      </w:pPr>
      <w:r>
        <w:rPr>
          <w:rFonts w:hint="eastAsia" w:ascii="方正仿宋_GBK" w:hAnsi="方正仿宋_GBK" w:eastAsia="方正仿宋_GBK" w:cs="方正仿宋_GBK"/>
          <w:bCs/>
          <w:color w:val="auto"/>
          <w:sz w:val="30"/>
          <w:szCs w:val="30"/>
          <w:highlight w:val="none"/>
          <w:lang w:bidi="ar"/>
        </w:rPr>
      </w:r>
      <w:r/>
    </w:p>
    <w:p>
      <w:pPr>
        <w:contextualSpacing/>
        <w:ind w:firstLine="600"/>
        <w:spacing w:line="460" w:lineRule="exact"/>
        <w:tabs>
          <w:tab w:val="left" w:pos="1260" w:leader="none"/>
        </w:tabs>
        <w:rPr>
          <w:rFonts w:hint="eastAsia" w:ascii="方正仿宋_GBK" w:hAnsi="方正仿宋_GBK" w:eastAsia="方正仿宋_GBK" w:cs="方正仿宋_GBK"/>
          <w:bCs/>
          <w:color w:val="auto"/>
          <w:sz w:val="30"/>
          <w:szCs w:val="30"/>
          <w:highlight w:val="none"/>
          <w:lang w:bidi="ar"/>
        </w:rPr>
      </w:pPr>
      <w:r>
        <w:rPr>
          <w:rFonts w:hint="eastAsia" w:ascii="方正仿宋_GBK" w:hAnsi="方正仿宋_GBK" w:eastAsia="方正仿宋_GBK" w:cs="方正仿宋_GBK"/>
          <w:bCs/>
          <w:color w:val="auto"/>
          <w:sz w:val="30"/>
          <w:szCs w:val="30"/>
          <w:highlight w:val="none"/>
          <w:lang w:bidi="ar"/>
        </w:rPr>
      </w:r>
      <w:r/>
    </w:p>
    <w:p>
      <w:pPr>
        <w:contextualSpacing/>
        <w:ind w:firstLine="600"/>
        <w:spacing w:line="460" w:lineRule="exact"/>
        <w:tabs>
          <w:tab w:val="left" w:pos="1260" w:leader="none"/>
        </w:tabs>
        <w:rPr>
          <w:rFonts w:hint="eastAsia" w:ascii="方正仿宋_GBK" w:hAnsi="方正仿宋_GBK" w:eastAsia="方正仿宋_GBK" w:cs="方正仿宋_GBK"/>
          <w:bCs/>
          <w:color w:val="auto"/>
          <w:sz w:val="30"/>
          <w:szCs w:val="30"/>
          <w:highlight w:val="none"/>
          <w:lang w:bidi="ar"/>
        </w:rPr>
      </w:pPr>
      <w:r>
        <w:rPr>
          <w:rFonts w:hint="eastAsia" w:ascii="方正仿宋_GBK" w:hAnsi="方正仿宋_GBK" w:eastAsia="方正仿宋_GBK" w:cs="方正仿宋_GBK"/>
          <w:bCs/>
          <w:color w:val="auto"/>
          <w:sz w:val="30"/>
          <w:szCs w:val="30"/>
          <w:highlight w:val="none"/>
          <w:lang w:bidi="ar"/>
        </w:rPr>
      </w:r>
      <w:r/>
    </w:p>
    <w:p>
      <w:pPr>
        <w:contextualSpacing/>
        <w:ind w:firstLine="600"/>
        <w:spacing w:line="460" w:lineRule="exact"/>
        <w:tabs>
          <w:tab w:val="left" w:pos="1260" w:leader="none"/>
        </w:tabs>
        <w:rPr>
          <w:rFonts w:hint="eastAsia" w:ascii="方正仿宋_GBK" w:hAnsi="方正仿宋_GBK" w:eastAsia="方正仿宋_GBK" w:cs="方正仿宋_GBK"/>
          <w:bCs/>
          <w:color w:val="auto"/>
          <w:sz w:val="30"/>
          <w:szCs w:val="30"/>
          <w:highlight w:val="none"/>
          <w:lang w:bidi="ar"/>
        </w:rPr>
      </w:pPr>
      <w:r>
        <w:rPr>
          <w:rFonts w:hint="eastAsia" w:ascii="方正仿宋_GBK" w:hAnsi="方正仿宋_GBK" w:eastAsia="方正仿宋_GBK" w:cs="方正仿宋_GBK"/>
          <w:bCs/>
          <w:color w:val="auto"/>
          <w:sz w:val="30"/>
          <w:szCs w:val="30"/>
          <w:highlight w:val="none"/>
          <w:lang w:bidi="ar"/>
        </w:rPr>
      </w:r>
      <w:r/>
    </w:p>
    <w:p>
      <w:pPr>
        <w:contextualSpacing/>
        <w:spacing w:line="460" w:lineRule="exact"/>
        <w:tabs>
          <w:tab w:val="left" w:pos="1260" w:leader="none"/>
        </w:tabs>
        <w:rPr>
          <w:rFonts w:hint="eastAsia" w:ascii="方正仿宋_GBK" w:hAnsi="方正仿宋_GBK" w:eastAsia="方正仿宋_GBK" w:cs="方正仿宋_GBK"/>
          <w:bCs/>
          <w:color w:val="auto"/>
          <w:sz w:val="30"/>
          <w:szCs w:val="30"/>
          <w:highlight w:val="none"/>
          <w:lang w:bidi="ar"/>
        </w:rPr>
      </w:pPr>
      <w:r>
        <w:rPr>
          <w:rFonts w:hint="eastAsia" w:ascii="方正仿宋_GBK" w:hAnsi="方正仿宋_GBK" w:eastAsia="方正仿宋_GBK" w:cs="方正仿宋_GBK"/>
          <w:bCs/>
          <w:color w:val="auto"/>
          <w:sz w:val="30"/>
          <w:szCs w:val="30"/>
          <w:highlight w:val="none"/>
          <w:lang w:bidi="ar"/>
        </w:rPr>
      </w:r>
      <w:r/>
    </w:p>
    <w:p>
      <w:pPr>
        <w:contextualSpacing/>
        <w:ind w:firstLine="600"/>
        <w:spacing w:line="460" w:lineRule="exact"/>
        <w:tabs>
          <w:tab w:val="left" w:pos="1260" w:leader="none"/>
        </w:tabs>
        <w:rPr>
          <w:rFonts w:hint="eastAsia" w:ascii="方正仿宋_GBK" w:hAnsi="方正仿宋_GBK" w:eastAsia="方正仿宋_GBK" w:cs="方正仿宋_GBK"/>
          <w:bCs/>
          <w:color w:val="auto"/>
          <w:sz w:val="30"/>
          <w:szCs w:val="30"/>
          <w:highlight w:val="none"/>
          <w:lang w:eastAsia="zh-CN" w:bidi="ar"/>
        </w:rPr>
      </w:pPr>
      <w:r>
        <w:rPr>
          <w:rFonts w:hint="eastAsia" w:ascii="方正仿宋_GBK" w:hAnsi="方正仿宋_GBK" w:eastAsia="方正仿宋_GBK" w:cs="方正仿宋_GBK"/>
          <w:bCs/>
          <w:color w:val="auto"/>
          <w:sz w:val="30"/>
          <w:szCs w:val="30"/>
          <w:highlight w:val="none"/>
          <w:lang w:bidi="ar"/>
        </w:rPr>
        <w:t xml:space="preserve">附件</w:t>
      </w:r>
      <w:r>
        <w:rPr>
          <w:rFonts w:hint="eastAsia" w:ascii="方正仿宋_GBK" w:hAnsi="方正仿宋_GBK" w:eastAsia="方正仿宋_GBK" w:cs="方正仿宋_GBK"/>
          <w:bCs/>
          <w:color w:val="auto"/>
          <w:sz w:val="30"/>
          <w:szCs w:val="30"/>
          <w:highlight w:val="none"/>
          <w:lang w:val="en-US" w:eastAsia="zh-CN" w:bidi="ar"/>
        </w:rPr>
        <w:t xml:space="preserve">8</w:t>
      </w:r>
      <w:r/>
    </w:p>
    <w:p>
      <w:pPr>
        <w:jc w:val="center"/>
        <w:rPr>
          <w:rFonts w:hint="eastAsia" w:ascii="方正仿宋_GBK" w:hAnsi="方正仿宋_GBK" w:eastAsia="方正仿宋_GBK" w:cs="方正仿宋_GBK"/>
          <w:b/>
          <w:color w:val="auto"/>
          <w:sz w:val="30"/>
          <w:szCs w:val="30"/>
          <w:highlight w:val="none"/>
        </w:rPr>
        <w:outlineLvl w:val="1"/>
      </w:pPr>
      <w:r>
        <w:rPr>
          <w:rFonts w:hint="eastAsia" w:ascii="方正仿宋_GBK" w:hAnsi="方正仿宋_GBK" w:eastAsia="方正仿宋_GBK" w:cs="方正仿宋_GBK"/>
          <w:b/>
          <w:color w:val="auto"/>
          <w:sz w:val="30"/>
          <w:szCs w:val="30"/>
          <w:highlight w:val="none"/>
        </w:rPr>
      </w:r>
      <w:r/>
    </w:p>
    <w:p>
      <w:pPr>
        <w:jc w:val="center"/>
        <w:rPr>
          <w:rFonts w:hint="eastAsia" w:ascii="方正仿宋_GBK" w:hAnsi="方正仿宋_GBK" w:eastAsia="方正仿宋_GBK" w:cs="方正仿宋_GBK"/>
          <w:b/>
          <w:color w:val="auto"/>
          <w:sz w:val="28"/>
          <w:szCs w:val="28"/>
          <w:highlight w:val="none"/>
        </w:rPr>
        <w:outlineLvl w:val="1"/>
      </w:pPr>
      <w:r>
        <w:rPr>
          <w:rFonts w:hint="eastAsia" w:ascii="方正仿宋_GBK" w:hAnsi="方正仿宋_GBK" w:eastAsia="方正仿宋_GBK" w:cs="方正仿宋_GBK"/>
          <w:b/>
          <w:color w:val="auto"/>
          <w:sz w:val="28"/>
          <w:szCs w:val="28"/>
          <w:highlight w:val="none"/>
        </w:rPr>
        <w:t xml:space="preserve">供应商符合《中华人民共和国政府采购法》第二十二条规定条件的声明函</w:t>
      </w:r>
      <w:r/>
    </w:p>
    <w:p>
      <w:pPr>
        <w:spacing w:line="46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r>
      <w:r/>
    </w:p>
    <w:p>
      <w:pPr>
        <w:ind w:firstLine="480"/>
        <w:spacing w:line="52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我单位参加</w:t>
      </w:r>
      <w:r>
        <w:rPr>
          <w:rFonts w:hint="eastAsia" w:ascii="方正仿宋_GBK" w:hAnsi="方正仿宋_GBK" w:eastAsia="方正仿宋_GBK" w:cs="方正仿宋_GBK"/>
          <w:bCs/>
          <w:color w:val="auto"/>
          <w:sz w:val="28"/>
          <w:szCs w:val="28"/>
          <w:highlight w:val="none"/>
          <w:u w:val="single"/>
        </w:rPr>
        <w:t xml:space="preserve">________________ _</w:t>
      </w:r>
      <w:r>
        <w:rPr>
          <w:rFonts w:hint="eastAsia" w:ascii="方正仿宋_GBK" w:hAnsi="方正仿宋_GBK" w:eastAsia="方正仿宋_GBK" w:cs="方正仿宋_GBK"/>
          <w:bCs/>
          <w:color w:val="auto"/>
          <w:sz w:val="28"/>
          <w:szCs w:val="28"/>
          <w:highlight w:val="none"/>
        </w:rPr>
        <w:t xml:space="preserve">（项目名称），</w:t>
      </w:r>
      <w:r>
        <w:rPr>
          <w:rFonts w:hint="eastAsia" w:ascii="方正仿宋_GBK" w:hAnsi="方正仿宋_GBK" w:eastAsia="方正仿宋_GBK" w:cs="方正仿宋_GBK"/>
          <w:bCs/>
          <w:color w:val="auto"/>
          <w:sz w:val="28"/>
          <w:szCs w:val="28"/>
          <w:highlight w:val="none"/>
          <w:u w:val="single"/>
        </w:rPr>
        <w:t xml:space="preserve">_______ __________</w:t>
      </w:r>
      <w:r>
        <w:rPr>
          <w:rFonts w:hint="eastAsia" w:ascii="方正仿宋_GBK" w:hAnsi="方正仿宋_GBK" w:eastAsia="方正仿宋_GBK" w:cs="方正仿宋_GBK"/>
          <w:bCs/>
          <w:color w:val="auto"/>
          <w:sz w:val="28"/>
          <w:szCs w:val="28"/>
          <w:highlight w:val="none"/>
        </w:rPr>
        <w:t xml:space="preserve">（项目编号）投标活动。针对《中华人民共和国政府采购法》第二十二条规定做出如下声明：</w:t>
      </w:r>
      <w:r/>
    </w:p>
    <w:p>
      <w:pPr>
        <w:ind w:firstLine="482"/>
        <w:spacing w:line="52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1.我单位具有独立承担民事责任的能力；</w:t>
      </w:r>
      <w:r/>
    </w:p>
    <w:p>
      <w:pPr>
        <w:ind w:firstLine="482"/>
        <w:spacing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2.我单位具有良好的商业信誉和健全的财务会计制度；</w:t>
      </w:r>
      <w:r/>
    </w:p>
    <w:p>
      <w:pPr>
        <w:ind w:firstLine="482"/>
        <w:spacing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3.我单位具有履行合同所必需的设备和专业技术能力；</w:t>
      </w:r>
      <w:r/>
    </w:p>
    <w:p>
      <w:pPr>
        <w:ind w:firstLine="482"/>
        <w:spacing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4.我单位有依法缴纳税收和社会保障资金的良好记录；</w:t>
      </w:r>
      <w:r/>
    </w:p>
    <w:p>
      <w:pPr>
        <w:ind w:firstLine="482"/>
        <w:spacing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6.我单位满足法律、行政法规规定的其他条件。</w:t>
      </w:r>
      <w:r/>
    </w:p>
    <w:p>
      <w:pPr>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r>
      <w:r/>
    </w:p>
    <w:p>
      <w:pPr>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r>
      <w:r/>
    </w:p>
    <w:p>
      <w:pPr>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r>
      <w:r/>
    </w:p>
    <w:p>
      <w:pPr>
        <w:jc w:val="center"/>
        <w:spacing w:line="46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                             承诺人名称（</w:t>
      </w:r>
      <w:r>
        <w:rPr>
          <w:rFonts w:hint="eastAsia" w:ascii="方正仿宋_GBK" w:hAnsi="方正仿宋_GBK" w:eastAsia="方正仿宋_GBK" w:cs="方正仿宋_GBK"/>
          <w:color w:val="auto"/>
          <w:sz w:val="28"/>
          <w:szCs w:val="28"/>
          <w:highlight w:val="none"/>
        </w:rPr>
        <w:t xml:space="preserve">加盖ca电子公章</w:t>
      </w:r>
      <w:r>
        <w:rPr>
          <w:rFonts w:hint="eastAsia" w:ascii="方正仿宋_GBK" w:hAnsi="方正仿宋_GBK" w:eastAsia="方正仿宋_GBK" w:cs="方正仿宋_GBK"/>
          <w:bCs/>
          <w:color w:val="auto"/>
          <w:sz w:val="28"/>
          <w:szCs w:val="28"/>
          <w:highlight w:val="none"/>
        </w:rPr>
        <w:t xml:space="preserve">）：</w:t>
      </w:r>
      <w:r/>
    </w:p>
    <w:p>
      <w:pPr>
        <w:jc w:val="right"/>
        <w:spacing w:line="46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r>
      <w:r/>
    </w:p>
    <w:p>
      <w:pPr>
        <w:jc w:val="right"/>
        <w:spacing w:line="46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                                 日期：</w:t>
      </w:r>
      <w:r>
        <w:rPr>
          <w:rFonts w:hint="eastAsia" w:ascii="方正仿宋_GBK" w:hAnsi="方正仿宋_GBK" w:eastAsia="方正仿宋_GBK" w:cs="方正仿宋_GBK"/>
          <w:bCs/>
          <w:color w:val="auto"/>
          <w:sz w:val="28"/>
          <w:szCs w:val="28"/>
          <w:highlight w:val="none"/>
          <w:u w:val="single"/>
        </w:rPr>
        <w:t xml:space="preserve">______</w:t>
      </w:r>
      <w:r>
        <w:rPr>
          <w:rFonts w:hint="eastAsia" w:ascii="方正仿宋_GBK" w:hAnsi="方正仿宋_GBK" w:eastAsia="方正仿宋_GBK" w:cs="方正仿宋_GBK"/>
          <w:bCs/>
          <w:color w:val="auto"/>
          <w:sz w:val="28"/>
          <w:szCs w:val="28"/>
          <w:highlight w:val="none"/>
        </w:rPr>
        <w:t xml:space="preserve">年月日</w:t>
      </w:r>
      <w:r/>
    </w:p>
    <w:p>
      <w:pPr>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br w:type="page" w:clear="all"/>
      </w:r>
      <w:r/>
    </w:p>
    <w:p>
      <w:pPr>
        <w:contextualSpacing/>
        <w:spacing w:line="400" w:lineRule="exact"/>
        <w:rPr>
          <w:rFonts w:hint="default"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zh-CN"/>
        </w:rPr>
        <w:t xml:space="preserve">附件</w:t>
      </w:r>
      <w:r>
        <w:rPr>
          <w:rFonts w:hint="eastAsia" w:ascii="方正仿宋_GBK" w:hAnsi="方正仿宋_GBK" w:eastAsia="方正仿宋_GBK" w:cs="方正仿宋_GBK"/>
          <w:color w:val="auto"/>
          <w:sz w:val="32"/>
          <w:szCs w:val="32"/>
          <w:highlight w:val="none"/>
          <w:lang w:val="en-US" w:eastAsia="zh-CN"/>
        </w:rPr>
        <w:t xml:space="preserve">9</w:t>
      </w:r>
      <w:r/>
    </w:p>
    <w:p>
      <w:pPr>
        <w:pStyle w:val="1262"/>
        <w:jc w:val="center"/>
        <w:spacing w:line="560" w:lineRule="exact"/>
        <w:rPr>
          <w:rFonts w:hint="eastAsia" w:ascii="方正仿宋_GBK" w:hAnsi="方正仿宋_GBK" w:eastAsia="方正仿宋_GBK" w:cs="方正仿宋_GBK"/>
          <w:b/>
          <w:bCs/>
          <w:color w:val="auto"/>
          <w:sz w:val="32"/>
          <w:szCs w:val="32"/>
          <w:highlight w:val="none"/>
          <w:lang w:eastAsia="zh-CN"/>
        </w:rPr>
        <w:outlineLvl w:val="1"/>
      </w:pPr>
      <w:r>
        <w:rPr>
          <w:rFonts w:hint="eastAsia" w:ascii="方正仿宋_GBK" w:hAnsi="方正仿宋_GBK" w:eastAsia="方正仿宋_GBK" w:cs="方正仿宋_GBK"/>
          <w:b/>
          <w:bCs/>
          <w:color w:val="auto"/>
          <w:sz w:val="32"/>
          <w:szCs w:val="32"/>
          <w:highlight w:val="none"/>
        </w:rPr>
        <w:t xml:space="preserve">法定代表人身份证明</w:t>
      </w:r>
      <w:r/>
    </w:p>
    <w:p>
      <w:pPr>
        <w:spacing w:line="48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ind w:firstLine="480"/>
        <w:spacing w:line="480" w:lineRule="exact"/>
        <w:rPr>
          <w:rFonts w:hint="eastAsia" w:ascii="方正仿宋_GBK" w:hAnsi="方正仿宋_GBK" w:eastAsia="方正仿宋_GBK" w:cs="方正仿宋_GBK"/>
          <w:color w:val="auto"/>
          <w:sz w:val="28"/>
          <w:szCs w:val="28"/>
          <w:highlight w:val="none"/>
          <w:u w:val="single"/>
        </w:rPr>
      </w:pP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先生/女士现任我单位</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职务，为法定代表人，特此证明。</w:t>
      </w:r>
      <w:r/>
    </w:p>
    <w:p>
      <w:pPr>
        <w:ind w:firstLine="480"/>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身份证号码：</w:t>
      </w:r>
      <w:r>
        <w:rPr>
          <w:rFonts w:hint="eastAsia" w:ascii="方正仿宋_GBK" w:hAnsi="方正仿宋_GBK" w:eastAsia="方正仿宋_GBK" w:cs="方正仿宋_GBK"/>
          <w:color w:val="auto"/>
          <w:sz w:val="28"/>
          <w:szCs w:val="28"/>
          <w:highlight w:val="none"/>
          <w:u w:val="single"/>
        </w:rPr>
        <w:t xml:space="preserve">                                               </w:t>
      </w:r>
      <w:r/>
    </w:p>
    <w:p>
      <w:pPr>
        <w:ind w:firstLine="480"/>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1261"/>
        <w:spacing w:line="6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注：提供法定代表人的身份证扫描件</w:t>
      </w:r>
      <w:r/>
    </w:p>
    <w:p>
      <w:pPr>
        <w:ind w:firstLine="480"/>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lang w:val="zh-CN"/>
        </w:rPr>
      </w:pPr>
      <w:r>
        <w:rPr>
          <w:rFonts w:hint="eastAsia" w:ascii="方正仿宋_GBK" w:hAnsi="方正仿宋_GBK" w:eastAsia="方正仿宋_GBK" w:cs="方正仿宋_GBK"/>
          <w:b/>
          <w:color w:val="auto"/>
          <w:sz w:val="28"/>
          <w:szCs w:val="28"/>
          <w:highlight w:val="none"/>
          <w:lang w:val="zh-CN"/>
        </w:rPr>
      </w:r>
      <w:r/>
    </w:p>
    <w:p>
      <w:pPr>
        <w:contextualSpacing/>
        <w:ind w:firstLine="540"/>
        <w:spacing w:line="400" w:lineRule="exact"/>
        <w:rPr>
          <w:rFonts w:hint="eastAsia" w:ascii="方正仿宋_GBK" w:hAnsi="方正仿宋_GBK" w:eastAsia="方正仿宋_GBK" w:cs="方正仿宋_GBK"/>
          <w:b/>
          <w:color w:val="auto"/>
          <w:sz w:val="28"/>
          <w:szCs w:val="28"/>
          <w:highlight w:val="none"/>
          <w:lang w:val="zh-CN"/>
        </w:rPr>
      </w:pPr>
      <w:r>
        <w:rPr>
          <w:rFonts w:hint="eastAsia" w:ascii="方正仿宋_GBK" w:hAnsi="方正仿宋_GBK" w:eastAsia="方正仿宋_GBK" w:cs="方正仿宋_GBK"/>
          <w:b/>
          <w:color w:val="auto"/>
          <w:sz w:val="28"/>
          <w:szCs w:val="28"/>
          <w:highlight w:val="none"/>
          <w:lang w:val="zh-CN"/>
        </w:rPr>
      </w:r>
      <w:r/>
    </w:p>
    <w:p>
      <w:pPr>
        <w:contextualSpacing/>
        <w:ind w:firstLine="540"/>
        <w:spacing w:line="400" w:lineRule="exact"/>
        <w:rPr>
          <w:rFonts w:hint="eastAsia" w:ascii="方正仿宋_GBK" w:hAnsi="方正仿宋_GBK" w:eastAsia="方正仿宋_GBK" w:cs="方正仿宋_GBK"/>
          <w:b/>
          <w:color w:val="auto"/>
          <w:sz w:val="28"/>
          <w:szCs w:val="28"/>
          <w:highlight w:val="none"/>
          <w:lang w:val="zh-CN"/>
        </w:rPr>
      </w:pPr>
      <w:r>
        <w:rPr>
          <w:rFonts w:hint="eastAsia" w:ascii="方正仿宋_GBK" w:hAnsi="方正仿宋_GBK" w:eastAsia="方正仿宋_GBK" w:cs="方正仿宋_GBK"/>
          <w:b/>
          <w:color w:val="auto"/>
          <w:sz w:val="28"/>
          <w:szCs w:val="28"/>
          <w:highlight w:val="none"/>
          <w:lang w:val="zh-CN"/>
        </w:rPr>
      </w:r>
      <w:r/>
    </w:p>
    <w:p>
      <w:pPr>
        <w:contextualSpacing/>
        <w:ind w:firstLine="540"/>
        <w:spacing w:line="400" w:lineRule="exact"/>
        <w:rPr>
          <w:rFonts w:hint="eastAsia" w:ascii="方正仿宋_GBK" w:hAnsi="方正仿宋_GBK" w:eastAsia="方正仿宋_GBK" w:cs="方正仿宋_GBK"/>
          <w:b/>
          <w:color w:val="auto"/>
          <w:sz w:val="28"/>
          <w:szCs w:val="28"/>
          <w:highlight w:val="none"/>
          <w:lang w:val="zh-CN"/>
        </w:rPr>
      </w:pPr>
      <w:r>
        <w:rPr>
          <w:rFonts w:hint="eastAsia" w:ascii="方正仿宋_GBK" w:hAnsi="方正仿宋_GBK" w:eastAsia="方正仿宋_GBK" w:cs="方正仿宋_GBK"/>
          <w:b/>
          <w:color w:val="auto"/>
          <w:sz w:val="28"/>
          <w:szCs w:val="28"/>
          <w:highlight w:val="none"/>
          <w:lang w:val="zh-CN"/>
        </w:rPr>
      </w:r>
      <w:r/>
    </w:p>
    <w:p>
      <w:pPr>
        <w:contextualSpacing/>
        <w:ind w:firstLine="540"/>
        <w:spacing w:line="400" w:lineRule="exact"/>
        <w:rPr>
          <w:rFonts w:hint="eastAsia" w:ascii="方正仿宋_GBK" w:hAnsi="方正仿宋_GBK" w:eastAsia="方正仿宋_GBK" w:cs="方正仿宋_GBK"/>
          <w:b/>
          <w:color w:val="auto"/>
          <w:sz w:val="28"/>
          <w:szCs w:val="28"/>
          <w:highlight w:val="none"/>
          <w:lang w:val="zh-CN"/>
        </w:rPr>
      </w:pPr>
      <w:r>
        <w:rPr>
          <w:rFonts w:hint="eastAsia" w:ascii="方正仿宋_GBK" w:hAnsi="方正仿宋_GBK" w:eastAsia="方正仿宋_GBK" w:cs="方正仿宋_GBK"/>
          <w:b/>
          <w:color w:val="auto"/>
          <w:sz w:val="28"/>
          <w:szCs w:val="28"/>
          <w:highlight w:val="none"/>
          <w:lang w:val="zh-CN"/>
        </w:rPr>
      </w:r>
      <w:r/>
    </w:p>
    <w:p>
      <w:pPr>
        <w:contextualSpacing/>
        <w:ind w:firstLine="540"/>
        <w:spacing w:line="400" w:lineRule="exact"/>
        <w:rPr>
          <w:rFonts w:hint="eastAsia" w:ascii="方正仿宋_GBK" w:hAnsi="方正仿宋_GBK" w:eastAsia="方正仿宋_GBK" w:cs="方正仿宋_GBK"/>
          <w:b/>
          <w:color w:val="auto"/>
          <w:sz w:val="28"/>
          <w:szCs w:val="28"/>
          <w:highlight w:val="none"/>
          <w:lang w:val="zh-CN"/>
        </w:rPr>
      </w:pPr>
      <w:r>
        <w:rPr>
          <w:rFonts w:hint="eastAsia" w:ascii="方正仿宋_GBK" w:hAnsi="方正仿宋_GBK" w:eastAsia="方正仿宋_GBK" w:cs="方正仿宋_GBK"/>
          <w:b/>
          <w:color w:val="auto"/>
          <w:sz w:val="28"/>
          <w:szCs w:val="28"/>
          <w:highlight w:val="none"/>
          <w:lang w:val="zh-CN"/>
        </w:rPr>
      </w:r>
      <w:r/>
    </w:p>
    <w:p>
      <w:pPr>
        <w:contextualSpacing/>
        <w:ind w:firstLine="540"/>
        <w:spacing w:line="400" w:lineRule="exact"/>
        <w:rPr>
          <w:rFonts w:hint="eastAsia" w:ascii="方正仿宋_GBK" w:hAnsi="方正仿宋_GBK" w:eastAsia="方正仿宋_GBK" w:cs="方正仿宋_GBK"/>
          <w:b/>
          <w:color w:val="auto"/>
          <w:sz w:val="28"/>
          <w:szCs w:val="28"/>
          <w:highlight w:val="none"/>
          <w:lang w:val="zh-CN"/>
        </w:rPr>
      </w:pPr>
      <w:r>
        <w:rPr>
          <w:rFonts w:hint="eastAsia" w:ascii="方正仿宋_GBK" w:hAnsi="方正仿宋_GBK" w:eastAsia="方正仿宋_GBK" w:cs="方正仿宋_GBK"/>
          <w:b/>
          <w:color w:val="auto"/>
          <w:sz w:val="28"/>
          <w:szCs w:val="28"/>
          <w:highlight w:val="none"/>
          <w:lang w:val="zh-CN"/>
        </w:rPr>
      </w:r>
      <w:r/>
    </w:p>
    <w:p>
      <w:pPr>
        <w:contextualSpacing/>
        <w:spacing w:line="400" w:lineRule="exact"/>
        <w:rPr>
          <w:rFonts w:hint="eastAsia" w:ascii="方正仿宋_GBK" w:hAnsi="方正仿宋_GBK" w:eastAsia="方正仿宋_GBK" w:cs="方正仿宋_GBK"/>
          <w:b/>
          <w:color w:val="auto"/>
          <w:sz w:val="28"/>
          <w:szCs w:val="28"/>
          <w:highlight w:val="none"/>
          <w:lang w:val="zh-CN"/>
        </w:rPr>
      </w:pPr>
      <w:r>
        <w:rPr>
          <w:rFonts w:hint="eastAsia" w:ascii="方正仿宋_GBK" w:hAnsi="方正仿宋_GBK" w:eastAsia="方正仿宋_GBK" w:cs="方正仿宋_GBK"/>
          <w:b/>
          <w:color w:val="auto"/>
          <w:sz w:val="28"/>
          <w:szCs w:val="28"/>
          <w:highlight w:val="none"/>
          <w:lang w:val="zh-CN"/>
        </w:rPr>
      </w:r>
      <w:r/>
    </w:p>
    <w:p>
      <w:pPr>
        <w:rPr>
          <w:rFonts w:hint="default"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zh-CN"/>
        </w:rPr>
        <w:br w:type="page" w:clear="all"/>
      </w:r>
      <w:r>
        <w:rPr>
          <w:rFonts w:hint="eastAsia" w:ascii="方正仿宋_GBK" w:hAnsi="方正仿宋_GBK" w:eastAsia="方正仿宋_GBK" w:cs="方正仿宋_GBK"/>
          <w:color w:val="auto"/>
          <w:sz w:val="32"/>
          <w:szCs w:val="32"/>
          <w:highlight w:val="none"/>
          <w:lang w:val="zh-CN"/>
        </w:rPr>
        <w:t xml:space="preserve">附件</w:t>
      </w:r>
      <w:r>
        <w:rPr>
          <w:rFonts w:hint="eastAsia" w:ascii="方正仿宋_GBK" w:hAnsi="方正仿宋_GBK" w:eastAsia="方正仿宋_GBK" w:cs="方正仿宋_GBK"/>
          <w:color w:val="auto"/>
          <w:sz w:val="32"/>
          <w:szCs w:val="32"/>
          <w:highlight w:val="none"/>
          <w:lang w:val="en-US" w:eastAsia="zh-CN"/>
        </w:rPr>
        <w:t xml:space="preserve">10</w:t>
      </w:r>
      <w:r/>
    </w:p>
    <w:p>
      <w:pPr>
        <w:jc w:val="center"/>
        <w:rPr>
          <w:rFonts w:hint="eastAsia" w:ascii="方正仿宋_GBK" w:hAnsi="方正仿宋_GBK" w:eastAsia="方正仿宋_GBK" w:cs="方正仿宋_GBK"/>
          <w:color w:val="auto"/>
          <w:sz w:val="32"/>
          <w:szCs w:val="32"/>
          <w:highlight w:val="none"/>
        </w:rPr>
        <w:outlineLvl w:val="1"/>
      </w:pPr>
      <w:r>
        <w:rPr>
          <w:rFonts w:hint="eastAsia" w:ascii="方正仿宋_GBK" w:hAnsi="方正仿宋_GBK" w:eastAsia="方正仿宋_GBK" w:cs="方正仿宋_GBK"/>
          <w:color w:val="auto"/>
          <w:sz w:val="32"/>
          <w:szCs w:val="32"/>
          <w:highlight w:val="none"/>
        </w:rPr>
        <w:t xml:space="preserve">法定代表人授权委托书</w:t>
      </w:r>
      <w:r/>
    </w:p>
    <w:p>
      <w:pPr>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ind w:firstLine="560"/>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本授权书于---年---月---日起生效。代理人无转委托权。</w:t>
      </w:r>
      <w:r/>
    </w:p>
    <w:p>
      <w:pPr>
        <w:ind w:firstLine="420"/>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代理人(被授权人姓名)):------</w:t>
      </w:r>
      <w:r/>
    </w:p>
    <w:p>
      <w:pPr>
        <w:ind w:firstLine="420"/>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授权单位名称（加盖ca电子公章）：-----</w:t>
      </w:r>
      <w:r/>
    </w:p>
    <w:p>
      <w:pPr>
        <w:ind w:firstLine="420"/>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授权单位法定代表人（签字或加盖ca电子公章）：-----</w:t>
      </w:r>
      <w:r/>
    </w:p>
    <w:p>
      <w:pPr>
        <w:jc w:val="right"/>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right"/>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XXXX年XX月XX日</w:t>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contextualSpacing/>
        <w:ind w:firstLine="540"/>
        <w:spacing w:line="4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注：提供投标代表本人身份证扫描件</w:t>
      </w:r>
      <w:r/>
    </w:p>
    <w:p>
      <w:pPr>
        <w:contextualSpacing/>
        <w:ind w:firstLine="540"/>
        <w:spacing w:line="400" w:lineRule="exact"/>
        <w:rPr>
          <w:rFonts w:hint="eastAsia" w:ascii="方正仿宋_GBK" w:hAnsi="方正仿宋_GBK" w:eastAsia="方正仿宋_GBK" w:cs="方正仿宋_GBK"/>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方正仿宋_GBK" w:hAnsi="方正仿宋_GBK" w:eastAsia="方正仿宋_GBK" w:cs="方正仿宋_GBK"/>
          <w:b/>
          <w:color w:val="auto"/>
          <w:sz w:val="28"/>
          <w:szCs w:val="28"/>
          <w:highlight w:val="none"/>
        </w:rPr>
      </w:r>
      <w:r/>
    </w:p>
    <w:p>
      <w:pPr>
        <w:rPr>
          <w:rFonts w:hint="eastAsia" w:ascii="方正仿宋_GBK" w:hAnsi="方正仿宋_GBK" w:eastAsia="方正仿宋_GBK" w:cs="方正仿宋_GBK"/>
          <w:color w:val="auto"/>
          <w:sz w:val="32"/>
          <w:szCs w:val="32"/>
          <w:highlight w:val="none"/>
          <w:lang w:val="zh-CN"/>
        </w:rPr>
        <w:outlineLvl w:val="1"/>
      </w:pPr>
      <w:r>
        <w:rPr>
          <w:rFonts w:hint="eastAsia" w:ascii="方正仿宋_GBK" w:hAnsi="方正仿宋_GBK" w:eastAsia="方正仿宋_GBK" w:cs="方正仿宋_GBK"/>
          <w:color w:val="auto"/>
          <w:sz w:val="32"/>
          <w:szCs w:val="32"/>
          <w:highlight w:val="none"/>
          <w:lang w:val="zh-CN"/>
        </w:rPr>
      </w:r>
      <w:r/>
    </w:p>
    <w:p>
      <w:pPr>
        <w:rPr>
          <w:rFonts w:hint="default" w:ascii="方正仿宋_GBK" w:hAnsi="方正仿宋_GBK" w:eastAsia="方正仿宋_GBK" w:cs="方正仿宋_GBK"/>
          <w:color w:val="auto"/>
          <w:sz w:val="32"/>
          <w:szCs w:val="32"/>
          <w:highlight w:val="none"/>
          <w:lang w:val="en-US" w:eastAsia="zh-CN"/>
        </w:rPr>
        <w:outlineLvl w:val="1"/>
      </w:pPr>
      <w:r>
        <w:rPr>
          <w:rFonts w:hint="eastAsia" w:ascii="方正仿宋_GBK" w:hAnsi="方正仿宋_GBK" w:eastAsia="方正仿宋_GBK" w:cs="方正仿宋_GBK"/>
          <w:color w:val="auto"/>
          <w:sz w:val="32"/>
          <w:szCs w:val="32"/>
          <w:highlight w:val="none"/>
          <w:lang w:val="zh-CN"/>
        </w:rPr>
        <w:t xml:space="preserve">附件</w:t>
      </w:r>
      <w:r>
        <w:rPr>
          <w:rFonts w:hint="eastAsia" w:ascii="方正仿宋_GBK" w:hAnsi="方正仿宋_GBK" w:eastAsia="方正仿宋_GBK" w:cs="方正仿宋_GBK"/>
          <w:color w:val="auto"/>
          <w:sz w:val="32"/>
          <w:szCs w:val="32"/>
          <w:highlight w:val="none"/>
          <w:lang w:val="en-US" w:eastAsia="zh-CN"/>
        </w:rPr>
        <w:t xml:space="preserve">11</w:t>
      </w:r>
      <w:r/>
    </w:p>
    <w:p>
      <w:pPr>
        <w:ind w:firstLine="281"/>
        <w:jc w:val="center"/>
        <w:spacing w:line="48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中小微企业声明函（服务类项目）</w:t>
      </w:r>
      <w:r/>
    </w:p>
    <w:p>
      <w:pPr>
        <w:pStyle w:val="929"/>
        <w:ind w:right="414" w:firstLine="641"/>
        <w:spacing w:before="55"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eastAsia="宋体" w:cs="宋体"/>
          <w:i/>
          <w:color w:val="auto"/>
          <w:sz w:val="28"/>
          <w:szCs w:val="28"/>
          <w:highlight w:val="none"/>
          <w:u w:val="single"/>
        </w:rPr>
        <w:t xml:space="preserve">（单位名称）</w:t>
      </w:r>
      <w:r>
        <w:rPr>
          <w:rFonts w:hint="eastAsia" w:ascii="宋体" w:hAnsi="宋体" w:eastAsia="宋体" w:cs="宋体"/>
          <w:color w:val="auto"/>
          <w:sz w:val="28"/>
          <w:szCs w:val="28"/>
          <w:highlight w:val="none"/>
        </w:rPr>
        <w:t xml:space="preserve">的</w:t>
      </w:r>
      <w:r>
        <w:rPr>
          <w:rFonts w:hint="eastAsia" w:ascii="宋体" w:hAnsi="宋体" w:eastAsia="宋体" w:cs="宋体"/>
          <w:i/>
          <w:color w:val="auto"/>
          <w:sz w:val="28"/>
          <w:szCs w:val="28"/>
          <w:highlight w:val="none"/>
          <w:u w:val="single"/>
        </w:rPr>
        <w:t xml:space="preserve">（项目名称）</w:t>
      </w:r>
      <w:r>
        <w:rPr>
          <w:rFonts w:hint="eastAsia" w:ascii="宋体" w:hAnsi="宋体" w:eastAsia="宋体" w:cs="宋体"/>
          <w:color w:val="auto"/>
          <w:sz w:val="28"/>
          <w:szCs w:val="28"/>
          <w:highlight w:val="none"/>
        </w:rPr>
        <w:t xml:space="preserve">采购活动，服务全部由符合政策要求的中小企业承接。相关企业的具体情况如下：</w:t>
      </w:r>
      <w:r/>
    </w:p>
    <w:p>
      <w:pPr>
        <w:pStyle w:val="1005"/>
        <w:ind w:left="205" w:firstLine="376"/>
        <w:spacing w:line="400" w:lineRule="exact"/>
        <w:tabs>
          <w:tab w:val="left" w:pos="1183" w:leader="none"/>
          <w:tab w:val="left" w:pos="1484" w:leader="none"/>
          <w:tab w:val="left" w:pos="4662" w:leader="none"/>
          <w:tab w:val="left" w:pos="6903" w:leader="none"/>
        </w:tabs>
        <w:rPr>
          <w:rFonts w:hint="eastAsia" w:ascii="宋体" w:hAnsi="宋体" w:cs="宋体"/>
          <w:iCs/>
          <w:color w:val="auto"/>
          <w:sz w:val="24"/>
          <w:szCs w:val="24"/>
          <w:highlight w:val="none"/>
        </w:rPr>
      </w:pPr>
      <w:r>
        <w:rPr>
          <w:rFonts w:ascii="仿宋" w:hAnsi="仿宋" w:eastAsia="仿宋" w:cs="仿宋"/>
          <w:iCs/>
          <w:color w:val="auto"/>
          <w:spacing w:val="-46"/>
          <w:sz w:val="28"/>
          <w:szCs w:val="28"/>
          <w:highlight w:val="none"/>
        </w:rPr>
        <w:t xml:space="preserve">1.</w:t>
      </w:r>
      <w:r>
        <w:rPr>
          <w:rFonts w:hint="eastAsia" w:ascii="仿宋" w:hAnsi="仿宋" w:eastAsia="仿宋" w:cs="仿宋"/>
          <w:iCs/>
          <w:color w:val="auto"/>
          <w:spacing w:val="-46"/>
          <w:sz w:val="28"/>
          <w:szCs w:val="28"/>
          <w:highlight w:val="none"/>
          <w:u w:val="single"/>
        </w:rPr>
        <w:t xml:space="preserve">南通市公安局交通管理支队涉案财物（车辆）管理中心委托社会化管理服务采购项目（2027年-2029年）</w:t>
      </w:r>
      <w:r>
        <w:rPr>
          <w:rFonts w:hint="eastAsia" w:ascii="宋体" w:hAnsi="宋体" w:cs="宋体"/>
          <w:iCs/>
          <w:color w:val="auto"/>
          <w:sz w:val="24"/>
          <w:szCs w:val="24"/>
          <w:highlight w:val="none"/>
        </w:rPr>
        <w:t xml:space="preserve">，属于</w:t>
      </w:r>
      <w:r>
        <w:rPr>
          <w:rFonts w:hint="eastAsia" w:ascii="宋体" w:hAnsi="宋体" w:cs="宋体"/>
          <w:iCs/>
          <w:color w:val="auto"/>
          <w:spacing w:val="-20"/>
          <w:sz w:val="24"/>
          <w:szCs w:val="24"/>
          <w:highlight w:val="none"/>
          <w:u w:val="single"/>
          <w:lang w:val="en-US" w:eastAsia="zh-CN"/>
        </w:rPr>
        <w:t xml:space="preserve">租赁和商务服务业</w:t>
      </w:r>
      <w:r>
        <w:rPr>
          <w:rFonts w:hint="eastAsia" w:ascii="宋体" w:hAnsi="宋体" w:cs="宋体"/>
          <w:iCs/>
          <w:color w:val="auto"/>
          <w:sz w:val="24"/>
          <w:szCs w:val="24"/>
          <w:highlight w:val="none"/>
        </w:rPr>
        <w:t xml:space="preserve">；</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cs="宋体"/>
          <w:iCs/>
          <w:color w:val="auto"/>
          <w:sz w:val="24"/>
          <w:szCs w:val="24"/>
          <w:highlight w:val="none"/>
        </w:rPr>
        <w:t xml:space="preserve">，从业人员人，营业收入为万元，资产总额为万元，属于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iCs/>
          <w:color w:val="auto"/>
          <w:sz w:val="24"/>
          <w:szCs w:val="24"/>
          <w:highlight w:val="none"/>
        </w:rPr>
        <w:t xml:space="preserve">；</w:t>
      </w:r>
      <w:r/>
    </w:p>
    <w:p>
      <w:pPr>
        <w:pStyle w:val="1005"/>
        <w:ind w:left="205" w:firstLine="376"/>
        <w:spacing w:line="400" w:lineRule="exact"/>
        <w:tabs>
          <w:tab w:val="left" w:pos="1165" w:leader="none"/>
          <w:tab w:val="left" w:pos="1183" w:leader="none"/>
          <w:tab w:val="left" w:pos="4362" w:leader="none"/>
          <w:tab w:val="left" w:pos="6577" w:leader="none"/>
        </w:tabs>
        <w:rPr>
          <w:rFonts w:hint="default" w:ascii="宋体" w:hAnsi="宋体" w:eastAsia="宋体" w:cs="宋体"/>
          <w:iCs/>
          <w:color w:val="auto"/>
          <w:sz w:val="24"/>
          <w:szCs w:val="24"/>
          <w:highlight w:val="none"/>
          <w:lang w:val="en-US" w:eastAsia="zh-CN"/>
        </w:rPr>
      </w:pPr>
      <w:r>
        <w:rPr>
          <w:rFonts w:hint="eastAsia" w:ascii="宋体" w:hAnsi="宋体" w:cs="宋体"/>
          <w:iCs/>
          <w:color w:val="auto"/>
          <w:sz w:val="24"/>
          <w:szCs w:val="24"/>
          <w:highlight w:val="none"/>
          <w:lang w:val="en-US" w:eastAsia="zh-CN"/>
        </w:rPr>
        <w:t xml:space="preserve">...</w:t>
      </w:r>
      <w:r/>
    </w:p>
    <w:p>
      <w:pPr>
        <w:ind w:firstLine="42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2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right="180" w:firstLine="420"/>
        <w:jc w:val="righ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right="480" w:firstLine="630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ind w:firstLine="56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p>
      <w:pPr>
        <w:ind w:firstLine="562"/>
        <w:spacing w:line="3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1.从业人员、营业收入、资产总额填报上一年度数据，无上一年度数据的新成立企业可不填报。</w:t>
      </w:r>
      <w:r/>
    </w:p>
    <w:p>
      <w:pPr>
        <w:ind w:firstLine="562"/>
        <w:spacing w:line="32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.专门面向中小微型企业采购的项目，投标人如不提供此声明函，则不能通过资格审查；非专门面向中小微型企业采购的项目，投标人如不提供此声明函</w:t>
      </w:r>
      <w:r>
        <w:rPr>
          <w:rFonts w:hint="eastAsia" w:ascii="宋体" w:hAnsi="宋体" w:eastAsia="宋体" w:cs="宋体"/>
          <w:b/>
          <w:bCs/>
          <w:color w:val="auto"/>
          <w:sz w:val="24"/>
          <w:highlight w:val="none"/>
        </w:rPr>
        <w:t xml:space="preserve">，价格将不做相应扣除。</w:t>
      </w:r>
      <w:r/>
    </w:p>
    <w:p>
      <w:pPr>
        <w:ind w:firstLine="562"/>
        <w:spacing w:line="320" w:lineRule="exact"/>
        <w:rPr>
          <w:rFonts w:hint="eastAsia" w:ascii="宋体" w:hAnsi="宋体" w:eastAsia="宋体" w:cs="宋体"/>
          <w:b/>
          <w:bCs/>
          <w:color w:val="auto"/>
          <w:sz w:val="24"/>
          <w:highlight w:val="none"/>
        </w:rPr>
      </w:pPr>
      <w:r/>
      <w:bookmarkStart w:id="62" w:name="_Toc28642"/>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.投标人自行勾选</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的企业规模类型。</w:t>
      </w:r>
      <w:bookmarkEnd w:id="62"/>
      <w:r/>
      <w:r/>
    </w:p>
    <w:p>
      <w:pPr>
        <w:ind w:firstLine="562"/>
        <w:spacing w:line="320" w:lineRule="exact"/>
        <w:rPr>
          <w:rFonts w:hint="eastAsia" w:ascii="仿宋" w:hAnsi="仿宋" w:eastAsia="仿宋" w:cs="仿宋"/>
          <w:b/>
          <w:bCs/>
          <w:i w:val="0"/>
          <w:iCs w:val="0"/>
          <w:caps w:val="0"/>
          <w:color w:val="auto"/>
          <w:spacing w:val="0"/>
          <w:sz w:val="32"/>
          <w:szCs w:val="32"/>
          <w:highlight w:val="none"/>
        </w:rPr>
      </w:pPr>
      <w:r>
        <w:rPr>
          <w:rFonts w:hint="eastAsia" w:ascii="宋体" w:hAnsi="宋体" w:eastAsia="宋体" w:cs="宋体"/>
          <w:b/>
          <w:bCs/>
          <w:color w:val="auto"/>
          <w:sz w:val="24"/>
          <w:highlight w:val="none"/>
          <w:lang w:val="en-US" w:eastAsia="zh-CN"/>
        </w:rPr>
        <w:t xml:space="preserve">4.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b/>
          <w:bCs/>
          <w:i w:val="0"/>
          <w:iCs w:val="0"/>
          <w:caps w:val="0"/>
          <w:color w:val="auto"/>
          <w:spacing w:val="0"/>
          <w:sz w:val="32"/>
          <w:szCs w:val="32"/>
          <w:highlight w:val="none"/>
        </w:rPr>
        <w:br/>
      </w:r>
      <w:r/>
    </w:p>
    <w:p>
      <w:pPr>
        <w:spacing w:line="300" w:lineRule="auto"/>
        <w:rPr>
          <w:rFonts w:hint="eastAsia" w:ascii="仿宋" w:hAnsi="仿宋" w:eastAsia="仿宋" w:cs="仿宋"/>
          <w:b/>
          <w:bCs/>
          <w:i w:val="0"/>
          <w:iCs w:val="0"/>
          <w:caps w:val="0"/>
          <w:color w:val="auto"/>
          <w:spacing w:val="0"/>
          <w:sz w:val="32"/>
          <w:szCs w:val="32"/>
          <w:highlight w:val="none"/>
        </w:rPr>
        <w:outlineLvl w:val="0"/>
      </w:pPr>
      <w:r>
        <w:rPr>
          <w:rFonts w:hint="eastAsia" w:ascii="仿宋" w:hAnsi="仿宋" w:eastAsia="仿宋" w:cs="仿宋"/>
          <w:b/>
          <w:bCs/>
          <w:i w:val="0"/>
          <w:iCs w:val="0"/>
          <w:caps w:val="0"/>
          <w:color w:val="auto"/>
          <w:spacing w:val="0"/>
          <w:sz w:val="32"/>
          <w:szCs w:val="32"/>
          <w:highlight w:val="none"/>
        </w:rPr>
      </w:r>
      <w:r/>
    </w:p>
    <w:p>
      <w:pPr>
        <w:spacing w:line="300" w:lineRule="auto"/>
        <w:rPr>
          <w:rFonts w:hint="eastAsia" w:ascii="仿宋" w:hAnsi="仿宋" w:eastAsia="仿宋" w:cs="仿宋"/>
          <w:b/>
          <w:bCs/>
          <w:i w:val="0"/>
          <w:iCs w:val="0"/>
          <w:caps w:val="0"/>
          <w:color w:val="auto"/>
          <w:spacing w:val="0"/>
          <w:sz w:val="32"/>
          <w:szCs w:val="32"/>
          <w:highlight w:val="none"/>
        </w:rPr>
        <w:outlineLvl w:val="0"/>
      </w:pPr>
      <w:r>
        <w:rPr>
          <w:rFonts w:hint="eastAsia" w:ascii="仿宋" w:hAnsi="仿宋" w:eastAsia="仿宋" w:cs="仿宋"/>
          <w:b/>
          <w:bCs/>
          <w:i w:val="0"/>
          <w:iCs w:val="0"/>
          <w:caps w:val="0"/>
          <w:color w:val="auto"/>
          <w:spacing w:val="0"/>
          <w:sz w:val="32"/>
          <w:szCs w:val="32"/>
          <w:highlight w:val="none"/>
        </w:rPr>
      </w:r>
      <w:r/>
    </w:p>
    <w:p>
      <w:pPr>
        <w:spacing w:line="300" w:lineRule="auto"/>
        <w:rPr>
          <w:rFonts w:hint="eastAsia" w:ascii="仿宋" w:hAnsi="仿宋" w:eastAsia="仿宋" w:cs="仿宋"/>
          <w:b/>
          <w:bCs/>
          <w:i w:val="0"/>
          <w:iCs w:val="0"/>
          <w:caps w:val="0"/>
          <w:color w:val="auto"/>
          <w:spacing w:val="0"/>
          <w:sz w:val="32"/>
          <w:szCs w:val="32"/>
          <w:highlight w:val="none"/>
        </w:rPr>
        <w:outlineLvl w:val="0"/>
      </w:pPr>
      <w:r>
        <w:rPr>
          <w:rFonts w:hint="eastAsia" w:ascii="仿宋" w:hAnsi="仿宋" w:eastAsia="仿宋" w:cs="仿宋"/>
          <w:b/>
          <w:bCs/>
          <w:i w:val="0"/>
          <w:iCs w:val="0"/>
          <w:caps w:val="0"/>
          <w:color w:val="auto"/>
          <w:spacing w:val="0"/>
          <w:sz w:val="32"/>
          <w:szCs w:val="32"/>
          <w:highlight w:val="none"/>
        </w:rPr>
      </w:r>
      <w:r/>
    </w:p>
    <w:p>
      <w:pPr>
        <w:spacing w:line="300" w:lineRule="auto"/>
        <w:rPr>
          <w:rFonts w:hint="eastAsia" w:ascii="仿宋" w:hAnsi="仿宋" w:eastAsia="仿宋" w:cs="仿宋"/>
          <w:b/>
          <w:bCs/>
          <w:i w:val="0"/>
          <w:iCs w:val="0"/>
          <w:caps w:val="0"/>
          <w:color w:val="auto"/>
          <w:spacing w:val="0"/>
          <w:sz w:val="32"/>
          <w:szCs w:val="32"/>
          <w:highlight w:val="none"/>
        </w:rPr>
        <w:outlineLvl w:val="0"/>
      </w:pPr>
      <w:r>
        <w:rPr>
          <w:rFonts w:hint="eastAsia" w:ascii="仿宋" w:hAnsi="仿宋" w:eastAsia="仿宋" w:cs="仿宋"/>
          <w:b/>
          <w:bCs/>
          <w:i w:val="0"/>
          <w:iCs w:val="0"/>
          <w:caps w:val="0"/>
          <w:color w:val="auto"/>
          <w:spacing w:val="0"/>
          <w:sz w:val="32"/>
          <w:szCs w:val="32"/>
          <w:highlight w:val="none"/>
        </w:rPr>
      </w:r>
      <w:r/>
    </w:p>
    <w:p>
      <w:pPr>
        <w:spacing w:line="300" w:lineRule="auto"/>
        <w:rPr>
          <w:rFonts w:hint="eastAsia" w:ascii="仿宋" w:hAnsi="仿宋" w:eastAsia="仿宋" w:cs="仿宋"/>
          <w:b/>
          <w:bCs/>
          <w:i w:val="0"/>
          <w:iCs w:val="0"/>
          <w:caps w:val="0"/>
          <w:color w:val="auto"/>
          <w:spacing w:val="0"/>
          <w:sz w:val="32"/>
          <w:szCs w:val="32"/>
          <w:highlight w:val="none"/>
        </w:rPr>
        <w:outlineLvl w:val="0"/>
      </w:pPr>
      <w:r>
        <w:rPr>
          <w:rFonts w:hint="eastAsia" w:ascii="仿宋" w:hAnsi="仿宋" w:eastAsia="仿宋" w:cs="仿宋"/>
          <w:b/>
          <w:bCs/>
          <w:i w:val="0"/>
          <w:iCs w:val="0"/>
          <w:caps w:val="0"/>
          <w:color w:val="auto"/>
          <w:spacing w:val="0"/>
          <w:sz w:val="32"/>
          <w:szCs w:val="32"/>
          <w:highlight w:val="none"/>
        </w:rPr>
      </w:r>
      <w:r/>
    </w:p>
    <w:p>
      <w:pPr>
        <w:spacing w:line="300" w:lineRule="auto"/>
        <w:rPr>
          <w:rFonts w:hint="eastAsia" w:ascii="仿宋" w:hAnsi="仿宋" w:eastAsia="仿宋" w:cs="仿宋"/>
          <w:b/>
          <w:bCs/>
          <w:i w:val="0"/>
          <w:iCs w:val="0"/>
          <w:caps w:val="0"/>
          <w:color w:val="auto"/>
          <w:spacing w:val="0"/>
          <w:sz w:val="32"/>
          <w:szCs w:val="32"/>
          <w:highlight w:val="none"/>
        </w:rPr>
        <w:outlineLvl w:val="0"/>
      </w:pPr>
      <w:r>
        <w:rPr>
          <w:rFonts w:hint="eastAsia" w:ascii="仿宋" w:hAnsi="仿宋" w:eastAsia="仿宋" w:cs="仿宋"/>
          <w:b/>
          <w:bCs/>
          <w:i w:val="0"/>
          <w:iCs w:val="0"/>
          <w:caps w:val="0"/>
          <w:color w:val="auto"/>
          <w:spacing w:val="0"/>
          <w:sz w:val="32"/>
          <w:szCs w:val="32"/>
          <w:highlight w:val="none"/>
        </w:rPr>
      </w:r>
      <w:r/>
    </w:p>
    <w:p>
      <w:pPr>
        <w:spacing w:line="300" w:lineRule="auto"/>
        <w:rPr>
          <w:rFonts w:hint="eastAsia" w:ascii="仿宋" w:hAnsi="仿宋" w:eastAsia="仿宋" w:cs="仿宋"/>
          <w:b/>
          <w:bCs/>
          <w:i w:val="0"/>
          <w:iCs w:val="0"/>
          <w:caps w:val="0"/>
          <w:color w:val="auto"/>
          <w:spacing w:val="0"/>
          <w:sz w:val="32"/>
          <w:szCs w:val="32"/>
          <w:highlight w:val="none"/>
        </w:rPr>
        <w:outlineLvl w:val="0"/>
      </w:pPr>
      <w:r>
        <w:rPr>
          <w:rFonts w:hint="eastAsia" w:ascii="仿宋" w:hAnsi="仿宋" w:eastAsia="仿宋" w:cs="仿宋"/>
          <w:b/>
          <w:bCs/>
          <w:i w:val="0"/>
          <w:iCs w:val="0"/>
          <w:caps w:val="0"/>
          <w:color w:val="auto"/>
          <w:spacing w:val="0"/>
          <w:sz w:val="32"/>
          <w:szCs w:val="32"/>
          <w:highlight w:val="none"/>
        </w:rPr>
      </w:r>
      <w:r/>
    </w:p>
    <w:p>
      <w:pPr>
        <w:spacing w:line="300" w:lineRule="auto"/>
        <w:rPr>
          <w:rFonts w:hint="eastAsia" w:ascii="方正仿宋_GBK" w:hAnsi="方正仿宋_GBK" w:eastAsia="方正仿宋_GBK" w:cs="方正仿宋_GBK"/>
          <w:color w:val="auto"/>
          <w:sz w:val="32"/>
          <w:szCs w:val="32"/>
          <w:highlight w:val="none"/>
          <w:lang w:val="en-US" w:eastAsia="zh-CN"/>
        </w:rPr>
        <w:outlineLvl w:val="0"/>
      </w:pPr>
      <w:r>
        <w:rPr>
          <w:rFonts w:hint="eastAsia" w:ascii="方正仿宋_GBK" w:hAnsi="方正仿宋_GBK" w:eastAsia="方正仿宋_GBK" w:cs="方正仿宋_GBK"/>
          <w:color w:val="auto"/>
          <w:sz w:val="32"/>
          <w:szCs w:val="32"/>
          <w:highlight w:val="none"/>
        </w:rPr>
        <w:t xml:space="preserve">附件</w:t>
      </w:r>
      <w:r>
        <w:rPr>
          <w:rFonts w:hint="eastAsia" w:ascii="方正仿宋_GBK" w:hAnsi="方正仿宋_GBK" w:eastAsia="方正仿宋_GBK" w:cs="方正仿宋_GBK"/>
          <w:color w:val="auto"/>
          <w:sz w:val="32"/>
          <w:szCs w:val="32"/>
          <w:highlight w:val="none"/>
          <w:lang w:val="en-US" w:eastAsia="zh-CN"/>
        </w:rPr>
        <w:t xml:space="preserve">12</w:t>
      </w:r>
      <w:r/>
    </w:p>
    <w:p>
      <w:pPr>
        <w:jc w:val="center"/>
        <w:spacing w:line="460" w:lineRule="exact"/>
        <w:rPr>
          <w:rFonts w:hint="eastAsia"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rPr>
        <w:t xml:space="preserve">残疾人福利性单位声明函</w:t>
      </w:r>
      <w:r/>
    </w:p>
    <w:p>
      <w:pPr>
        <w:ind w:firstLine="560"/>
        <w:spacing w:line="588"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本单位对上述声明的真实性负责。如有虚假，将依法承担相应责任。</w:t>
      </w:r>
      <w:r/>
    </w:p>
    <w:p>
      <w:pPr>
        <w:ind w:firstLine="560"/>
        <w:spacing w:line="588"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hint="eastAsia" w:ascii="方正仿宋_GBK" w:hAnsi="方正仿宋_GBK" w:eastAsia="方正仿宋_GBK" w:cs="方正仿宋_GBK"/>
          <w:color w:val="auto"/>
          <w:spacing w:val="6"/>
          <w:sz w:val="28"/>
          <w:szCs w:val="28"/>
          <w:highlight w:val="none"/>
        </w:rPr>
      </w:pPr>
      <w:r>
        <w:rPr>
          <w:rFonts w:hint="eastAsia" w:ascii="方正仿宋_GBK" w:hAnsi="方正仿宋_GBK" w:eastAsia="方正仿宋_GBK" w:cs="方正仿宋_GBK"/>
          <w:color w:val="auto"/>
          <w:spacing w:val="6"/>
          <w:sz w:val="28"/>
          <w:szCs w:val="28"/>
          <w:highlight w:val="none"/>
        </w:rPr>
      </w:r>
      <w:r/>
    </w:p>
    <w:p>
      <w:pPr>
        <w:ind w:firstLine="584"/>
        <w:spacing w:line="588" w:lineRule="exact"/>
        <w:rPr>
          <w:rFonts w:hint="eastAsia" w:ascii="方正仿宋_GBK" w:hAnsi="方正仿宋_GBK" w:eastAsia="方正仿宋_GBK" w:cs="方正仿宋_GBK"/>
          <w:color w:val="auto"/>
          <w:spacing w:val="6"/>
          <w:sz w:val="28"/>
          <w:szCs w:val="28"/>
          <w:highlight w:val="none"/>
        </w:rPr>
      </w:pPr>
      <w:r>
        <w:rPr>
          <w:rFonts w:hint="eastAsia" w:ascii="方正仿宋_GBK" w:hAnsi="方正仿宋_GBK" w:eastAsia="方正仿宋_GBK" w:cs="方正仿宋_GBK"/>
          <w:color w:val="auto"/>
          <w:spacing w:val="6"/>
          <w:sz w:val="28"/>
          <w:szCs w:val="28"/>
          <w:highlight w:val="none"/>
        </w:rPr>
      </w:r>
      <w:r/>
    </w:p>
    <w:p>
      <w:pPr>
        <w:ind w:firstLine="584"/>
        <w:spacing w:line="588" w:lineRule="exact"/>
        <w:rPr>
          <w:rFonts w:hint="eastAsia" w:ascii="方正仿宋_GBK" w:hAnsi="方正仿宋_GBK" w:eastAsia="方正仿宋_GBK" w:cs="方正仿宋_GBK"/>
          <w:color w:val="auto"/>
          <w:spacing w:val="6"/>
          <w:sz w:val="28"/>
          <w:szCs w:val="28"/>
          <w:highlight w:val="none"/>
        </w:rPr>
      </w:pPr>
      <w:r>
        <w:rPr>
          <w:rFonts w:hint="eastAsia" w:ascii="方正仿宋_GBK" w:hAnsi="方正仿宋_GBK" w:eastAsia="方正仿宋_GBK" w:cs="方正仿宋_GBK"/>
          <w:color w:val="auto"/>
          <w:spacing w:val="6"/>
          <w:sz w:val="28"/>
          <w:szCs w:val="28"/>
          <w:highlight w:val="none"/>
        </w:rPr>
      </w:r>
      <w:r/>
    </w:p>
    <w:p>
      <w:pPr>
        <w:ind w:firstLine="584"/>
        <w:spacing w:line="588" w:lineRule="exact"/>
        <w:rPr>
          <w:rFonts w:hint="eastAsia" w:ascii="方正仿宋_GBK" w:hAnsi="方正仿宋_GBK" w:eastAsia="方正仿宋_GBK" w:cs="方正仿宋_GBK"/>
          <w:color w:val="auto"/>
          <w:spacing w:val="6"/>
          <w:sz w:val="28"/>
          <w:szCs w:val="28"/>
          <w:highlight w:val="none"/>
        </w:rPr>
      </w:pPr>
      <w:r>
        <w:rPr>
          <w:rFonts w:hint="eastAsia" w:ascii="方正仿宋_GBK" w:hAnsi="方正仿宋_GBK" w:eastAsia="方正仿宋_GBK" w:cs="方正仿宋_GBK"/>
          <w:color w:val="auto"/>
          <w:spacing w:val="6"/>
          <w:sz w:val="28"/>
          <w:szCs w:val="28"/>
          <w:highlight w:val="none"/>
        </w:rPr>
      </w:r>
      <w:r/>
    </w:p>
    <w:p>
      <w:pPr>
        <w:ind w:right="1560" w:firstLine="584"/>
        <w:jc w:val="center"/>
        <w:spacing w:line="588" w:lineRule="exact"/>
        <w:tabs>
          <w:tab w:val="left" w:pos="4860" w:leader="none"/>
        </w:tabs>
        <w:rPr>
          <w:rFonts w:hint="eastAsia" w:ascii="方正仿宋_GBK" w:hAnsi="方正仿宋_GBK" w:eastAsia="方正仿宋_GBK" w:cs="方正仿宋_GBK"/>
          <w:color w:val="auto"/>
          <w:spacing w:val="6"/>
          <w:sz w:val="28"/>
          <w:szCs w:val="28"/>
          <w:highlight w:val="none"/>
        </w:rPr>
      </w:pPr>
      <w:r>
        <w:rPr>
          <w:rFonts w:hint="eastAsia" w:ascii="方正仿宋_GBK" w:hAnsi="方正仿宋_GBK" w:eastAsia="方正仿宋_GBK" w:cs="方正仿宋_GBK"/>
          <w:color w:val="auto"/>
          <w:spacing w:val="6"/>
          <w:sz w:val="28"/>
          <w:szCs w:val="28"/>
          <w:highlight w:val="none"/>
        </w:rPr>
        <w:t xml:space="preserve">            </w:t>
      </w:r>
      <w:r>
        <w:rPr>
          <w:rFonts w:hint="eastAsia" w:ascii="方正仿宋_GBK" w:hAnsi="方正仿宋_GBK" w:eastAsia="方正仿宋_GBK" w:cs="方正仿宋_GBK"/>
          <w:color w:val="auto"/>
          <w:sz w:val="28"/>
          <w:szCs w:val="28"/>
          <w:highlight w:val="none"/>
        </w:rPr>
        <w:t xml:space="preserve"> 供应商全称（加盖ca电子公章）：</w:t>
      </w:r>
      <w:r/>
    </w:p>
    <w:p>
      <w:pPr>
        <w:ind w:right="1560" w:firstLine="560"/>
        <w:jc w:val="center"/>
        <w:spacing w:line="588" w:lineRule="exact"/>
        <w:tabs>
          <w:tab w:val="left" w:pos="4860" w:leader="none"/>
        </w:tabs>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日  期：</w:t>
      </w:r>
      <w:r/>
    </w:p>
    <w:p>
      <w:pPr>
        <w:ind w:firstLine="42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32"/>
          <w:szCs w:val="32"/>
          <w:highlight w:val="none"/>
        </w:rPr>
        <w:outlineLvl w:val="0"/>
      </w:pPr>
      <w:r>
        <w:rPr>
          <w:rFonts w:hint="eastAsia" w:ascii="方正仿宋_GBK" w:hAnsi="方正仿宋_GBK" w:eastAsia="方正仿宋_GBK" w:cs="方正仿宋_GBK"/>
          <w:color w:val="auto"/>
          <w:sz w:val="32"/>
          <w:szCs w:val="32"/>
          <w:highlight w:val="none"/>
        </w:rPr>
      </w:r>
      <w:r/>
    </w:p>
    <w:p>
      <w:pPr>
        <w:spacing w:line="300" w:lineRule="auto"/>
        <w:rPr>
          <w:rFonts w:hint="eastAsia" w:ascii="方正仿宋_GBK" w:hAnsi="方正仿宋_GBK" w:eastAsia="方正仿宋_GBK" w:cs="方正仿宋_GBK"/>
          <w:color w:val="auto"/>
          <w:sz w:val="32"/>
          <w:szCs w:val="32"/>
          <w:highlight w:val="none"/>
          <w:lang w:eastAsia="zh-CN"/>
        </w:rPr>
        <w:outlineLvl w:val="0"/>
      </w:pPr>
      <w:r>
        <w:rPr>
          <w:rFonts w:hint="eastAsia" w:ascii="方正仿宋_GBK" w:hAnsi="方正仿宋_GBK" w:eastAsia="方正仿宋_GBK" w:cs="方正仿宋_GBK"/>
          <w:color w:val="auto"/>
          <w:sz w:val="32"/>
          <w:szCs w:val="32"/>
          <w:highlight w:val="none"/>
        </w:rPr>
        <w:t xml:space="preserve">附件1</w:t>
      </w:r>
      <w:r>
        <w:rPr>
          <w:rFonts w:hint="eastAsia" w:ascii="方正仿宋_GBK" w:hAnsi="方正仿宋_GBK" w:eastAsia="方正仿宋_GBK" w:cs="方正仿宋_GBK"/>
          <w:color w:val="auto"/>
          <w:sz w:val="32"/>
          <w:szCs w:val="32"/>
          <w:highlight w:val="none"/>
          <w:lang w:val="en-US" w:eastAsia="zh-CN"/>
        </w:rPr>
        <w:t xml:space="preserve">3</w:t>
      </w:r>
      <w:r/>
    </w:p>
    <w:p>
      <w:pPr>
        <w:jc w:val="center"/>
        <w:spacing w:line="420" w:lineRule="exact"/>
        <w:rPr>
          <w:rFonts w:hint="eastAsia" w:ascii="方正仿宋_GBK" w:hAnsi="方正仿宋_GBK" w:eastAsia="方正仿宋_GBK" w:cs="方正仿宋_GBK"/>
          <w:b/>
          <w:bCs/>
          <w:color w:val="auto"/>
          <w:sz w:val="32"/>
          <w:szCs w:val="32"/>
          <w:highlight w:val="none"/>
        </w:rPr>
        <w:outlineLvl w:val="3"/>
      </w:pPr>
      <w:r>
        <w:rPr>
          <w:rFonts w:hint="eastAsia" w:ascii="方正仿宋_GBK" w:hAnsi="方正仿宋_GBK" w:eastAsia="方正仿宋_GBK" w:cs="方正仿宋_GBK"/>
          <w:b/>
          <w:bCs/>
          <w:color w:val="auto"/>
          <w:sz w:val="32"/>
          <w:szCs w:val="32"/>
          <w:highlight w:val="none"/>
        </w:rPr>
        <w:t xml:space="preserve">监狱和戒毒企业证明材料</w:t>
      </w:r>
      <w:r/>
    </w:p>
    <w:p>
      <w:pPr>
        <w:ind w:firstLine="495"/>
        <w:spacing w:line="4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ind w:firstLine="498"/>
        <w:jc w:val="center"/>
        <w:spacing w:line="42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（格式自拟）</w:t>
      </w:r>
      <w:r/>
    </w:p>
    <w:p>
      <w:pPr>
        <w:contextualSpacing/>
        <w:spacing w:line="300" w:lineRule="auto"/>
        <w:tabs>
          <w:tab w:val="left" w:pos="1260" w:leader="none"/>
        </w:tabs>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sectPr>
          <w:headerReference w:type="default" r:id="rId11"/>
          <w:footerReference w:type="default" r:id="rId17"/>
          <w:footnotePr/>
          <w:endnotePr/>
          <w:type w:val="nextPage"/>
          <w:pgSz w:w="11907" w:h="16839" w:orient="portrait"/>
          <w:pgMar w:top="1440" w:right="1800" w:bottom="1440" w:left="1800" w:header="720" w:footer="720" w:gutter="0"/>
          <w:cols w:num="1" w:sep="0" w:space="720" w:equalWidth="1"/>
          <w:docGrid w:linePitch="360"/>
        </w:sectPr>
        <w:outlineLvl w:val="0"/>
      </w:pPr>
      <w:r>
        <w:rPr>
          <w:rFonts w:hint="eastAsia" w:ascii="方正仿宋_GBK" w:hAnsi="方正仿宋_GBK" w:eastAsia="方正仿宋_GBK" w:cs="方正仿宋_GBK"/>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方正仿宋_GBK" w:hAnsi="方正仿宋_GBK" w:eastAsia="方正仿宋_GBK" w:cs="方正仿宋_GBK"/>
          <w:color w:val="auto"/>
          <w:sz w:val="32"/>
          <w:szCs w:val="32"/>
          <w:highlight w:val="none"/>
          <w:lang w:eastAsia="zh-CN"/>
        </w:rPr>
        <w:outlineLvl w:val="0"/>
      </w:pPr>
      <w:r>
        <w:rPr>
          <w:rFonts w:hint="eastAsia" w:ascii="方正仿宋_GBK" w:hAnsi="方正仿宋_GBK" w:eastAsia="方正仿宋_GBK" w:cs="方正仿宋_GBK"/>
          <w:color w:val="auto"/>
          <w:sz w:val="32"/>
          <w:szCs w:val="32"/>
          <w:highlight w:val="none"/>
        </w:rPr>
        <w:t xml:space="preserve">附件1</w:t>
      </w:r>
      <w:r>
        <w:rPr>
          <w:rFonts w:hint="eastAsia" w:ascii="方正仿宋_GBK" w:hAnsi="方正仿宋_GBK" w:eastAsia="方正仿宋_GBK" w:cs="方正仿宋_GBK"/>
          <w:color w:val="auto"/>
          <w:sz w:val="32"/>
          <w:szCs w:val="32"/>
          <w:highlight w:val="none"/>
          <w:lang w:val="en-US" w:eastAsia="zh-CN"/>
        </w:rPr>
        <w:t xml:space="preserve">4</w:t>
      </w:r>
      <w:r/>
    </w:p>
    <w:p>
      <w:pPr>
        <w:jc w:val="center"/>
        <w:spacing w:line="460" w:lineRule="exact"/>
        <w:rPr>
          <w:rFonts w:hint="eastAsia" w:ascii="方正仿宋_GBK" w:hAnsi="方正仿宋_GBK" w:eastAsia="方正仿宋_GBK" w:cs="方正仿宋_GBK"/>
          <w:bCs/>
          <w:color w:val="auto"/>
          <w:sz w:val="40"/>
          <w:szCs w:val="40"/>
          <w:highlight w:val="none"/>
        </w:rPr>
      </w:pPr>
      <w:r>
        <w:rPr>
          <w:rFonts w:hint="eastAsia" w:ascii="方正仿宋_GBK" w:hAnsi="方正仿宋_GBK" w:eastAsia="方正仿宋_GBK" w:cs="方正仿宋_GBK"/>
          <w:bCs/>
          <w:color w:val="auto"/>
          <w:sz w:val="40"/>
          <w:szCs w:val="40"/>
          <w:highlight w:val="none"/>
        </w:rPr>
        <w:t xml:space="preserve">质疑函范本</w:t>
      </w:r>
      <w:r/>
    </w:p>
    <w:p>
      <w:pPr>
        <w:spacing w:before="312" w:line="46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一、质疑供应商基本信息</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质疑供应商：</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地址：邮编：</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联系人：联系电话：</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授权代表：</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联系电话：</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地址：邮编：</w:t>
      </w:r>
      <w:r/>
    </w:p>
    <w:p>
      <w:pPr>
        <w:spacing w:line="46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二、质疑项目基本情况</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质疑项目的名称：</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质疑项目的编号：包号：</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招标人名称：</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招标文件获取日期：</w:t>
      </w:r>
      <w:r/>
    </w:p>
    <w:p>
      <w:pPr>
        <w:spacing w:line="46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三、质疑事项具体内容</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质疑事项1：</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事实依据：</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法律依据：</w:t>
      </w:r>
      <w:r/>
    </w:p>
    <w:p>
      <w:pPr>
        <w:spacing w:line="460" w:lineRule="exact"/>
        <w:rPr>
          <w:rFonts w:hint="eastAsia" w:ascii="方正仿宋_GBK" w:hAnsi="方正仿宋_GBK" w:eastAsia="方正仿宋_GBK" w:cs="方正仿宋_GBK"/>
          <w:color w:val="auto"/>
          <w:sz w:val="28"/>
          <w:szCs w:val="28"/>
          <w:highlight w:val="none"/>
          <w:u w:val="single"/>
        </w:rPr>
      </w:pPr>
      <w:r>
        <w:rPr>
          <w:rFonts w:hint="eastAsia" w:ascii="方正仿宋_GBK" w:hAnsi="方正仿宋_GBK" w:eastAsia="方正仿宋_GBK" w:cs="方正仿宋_GBK"/>
          <w:color w:val="auto"/>
          <w:sz w:val="28"/>
          <w:szCs w:val="28"/>
          <w:highlight w:val="none"/>
          <w:u w:val="single"/>
        </w:rPr>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质疑事项2</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w:t>
      </w:r>
      <w:r/>
    </w:p>
    <w:p>
      <w:pPr>
        <w:spacing w:line="46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四、与质疑事项相关的质疑请求</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请求：</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签字(签章)：                   公章：                      </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日期：    </w:t>
      </w:r>
      <w:r/>
    </w:p>
    <w:p>
      <w:pPr>
        <w:spacing w:line="46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spacing w:line="46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spacing w:line="46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spacing w:line="46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质疑函制作说明：</w:t>
      </w:r>
      <w:r/>
    </w:p>
    <w:p>
      <w:pPr>
        <w:ind w:firstLine="560"/>
        <w:jc w:val="left"/>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1.供应商提出质疑时，应提交质疑函和必要的证明材料。</w:t>
      </w:r>
      <w:r/>
    </w:p>
    <w:p>
      <w:pPr>
        <w:ind w:firstLine="560"/>
        <w:jc w:val="left"/>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3.质疑供应商若对项目的某一分包进行质疑，质疑函中应列明具体分包号。</w:t>
      </w:r>
      <w:r/>
    </w:p>
    <w:p>
      <w:pPr>
        <w:ind w:firstLine="560"/>
        <w:jc w:val="left"/>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5.质疑函的质疑请求应与质疑事项相关。</w:t>
      </w:r>
      <w:r/>
    </w:p>
    <w:p>
      <w:pPr>
        <w:ind w:firstLine="560"/>
        <w:jc w:val="left"/>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spacing w:line="300" w:lineRule="auto"/>
        <w:rPr>
          <w:rFonts w:hint="eastAsia" w:ascii="方正仿宋_GBK" w:hAnsi="方正仿宋_GBK" w:eastAsia="方正仿宋_GBK" w:cs="方正仿宋_GBK"/>
          <w:color w:val="auto"/>
          <w:sz w:val="28"/>
          <w:szCs w:val="28"/>
          <w:highlight w:val="none"/>
        </w:rPr>
        <w:outlineLvl w:val="0"/>
      </w:pPr>
      <w:r>
        <w:rPr>
          <w:rFonts w:hint="eastAsia" w:ascii="方正仿宋_GBK" w:hAnsi="方正仿宋_GBK" w:eastAsia="方正仿宋_GBK" w:cs="方正仿宋_GBK"/>
          <w:color w:val="auto"/>
          <w:sz w:val="28"/>
          <w:szCs w:val="28"/>
          <w:highlight w:val="none"/>
        </w:rPr>
      </w:r>
      <w:r/>
    </w:p>
    <w:p>
      <w:pPr>
        <w:ind w:firstLine="560"/>
        <w:jc w:val="center"/>
        <w:spacing w:line="460" w:lineRule="exact"/>
        <w:widowControl/>
        <w:rPr>
          <w:rFonts w:hint="eastAsia" w:ascii="方正仿宋_GBK" w:hAnsi="方正仿宋_GBK" w:eastAsia="方正仿宋_GBK" w:cs="方正仿宋_GBK"/>
          <w:b/>
          <w:bCs/>
          <w:color w:val="auto"/>
          <w:sz w:val="36"/>
          <w:szCs w:val="36"/>
          <w:highlight w:val="none"/>
        </w:rPr>
      </w:pPr>
      <w:r>
        <w:rPr>
          <w:rFonts w:hint="eastAsia" w:ascii="方正仿宋_GBK" w:hAnsi="方正仿宋_GBK" w:eastAsia="方正仿宋_GBK" w:cs="方正仿宋_GBK"/>
          <w:b/>
          <w:bCs/>
          <w:color w:val="auto"/>
          <w:sz w:val="36"/>
          <w:szCs w:val="36"/>
          <w:highlight w:val="none"/>
        </w:rPr>
      </w:r>
      <w:r/>
    </w:p>
    <w:p>
      <w:pPr>
        <w:ind w:firstLine="560"/>
        <w:jc w:val="center"/>
        <w:spacing w:line="460" w:lineRule="exact"/>
        <w:widowControl/>
        <w:rPr>
          <w:rFonts w:hint="eastAsia" w:ascii="方正仿宋_GBK" w:hAnsi="方正仿宋_GBK" w:eastAsia="方正仿宋_GBK" w:cs="方正仿宋_GBK"/>
          <w:b/>
          <w:bCs/>
          <w:color w:val="auto"/>
          <w:sz w:val="36"/>
          <w:szCs w:val="36"/>
          <w:highlight w:val="none"/>
        </w:rPr>
      </w:pPr>
      <w:r>
        <w:rPr>
          <w:rFonts w:hint="eastAsia" w:ascii="方正仿宋_GBK" w:hAnsi="方正仿宋_GBK" w:eastAsia="方正仿宋_GBK" w:cs="方正仿宋_GBK"/>
          <w:b/>
          <w:bCs/>
          <w:color w:val="auto"/>
          <w:sz w:val="36"/>
          <w:szCs w:val="36"/>
          <w:highlight w:val="none"/>
        </w:rPr>
      </w:r>
      <w:r/>
    </w:p>
    <w:p>
      <w:pPr>
        <w:ind w:firstLine="560"/>
        <w:jc w:val="center"/>
        <w:spacing w:line="460" w:lineRule="exact"/>
        <w:widowControl/>
        <w:rPr>
          <w:rFonts w:hint="eastAsia" w:ascii="方正仿宋_GBK" w:hAnsi="方正仿宋_GBK" w:eastAsia="方正仿宋_GBK" w:cs="方正仿宋_GBK"/>
          <w:b/>
          <w:bCs/>
          <w:color w:val="auto"/>
          <w:sz w:val="36"/>
          <w:szCs w:val="36"/>
          <w:highlight w:val="none"/>
        </w:rPr>
      </w:pPr>
      <w:r>
        <w:rPr>
          <w:rFonts w:hint="eastAsia" w:ascii="方正仿宋_GBK" w:hAnsi="方正仿宋_GBK" w:eastAsia="方正仿宋_GBK" w:cs="方正仿宋_GBK"/>
          <w:b/>
          <w:bCs/>
          <w:color w:val="auto"/>
          <w:sz w:val="36"/>
          <w:szCs w:val="36"/>
          <w:highlight w:val="none"/>
        </w:rPr>
      </w:r>
      <w:r/>
    </w:p>
    <w:p>
      <w:pPr>
        <w:ind w:firstLine="560"/>
        <w:jc w:val="center"/>
        <w:spacing w:line="460" w:lineRule="exact"/>
        <w:widowControl/>
        <w:rPr>
          <w:rFonts w:hint="eastAsia" w:ascii="方正仿宋_GBK" w:hAnsi="方正仿宋_GBK" w:eastAsia="方正仿宋_GBK" w:cs="方正仿宋_GBK"/>
          <w:b/>
          <w:bCs/>
          <w:color w:val="auto"/>
          <w:sz w:val="36"/>
          <w:szCs w:val="36"/>
          <w:highlight w:val="none"/>
        </w:rPr>
      </w:pPr>
      <w:r>
        <w:rPr>
          <w:rFonts w:hint="eastAsia" w:ascii="方正仿宋_GBK" w:hAnsi="方正仿宋_GBK" w:eastAsia="方正仿宋_GBK" w:cs="方正仿宋_GBK"/>
          <w:b/>
          <w:bCs/>
          <w:color w:val="auto"/>
          <w:sz w:val="36"/>
          <w:szCs w:val="36"/>
          <w:highlight w:val="none"/>
        </w:rPr>
        <w:t xml:space="preserve">停车场配套需求具体参数附件</w:t>
      </w:r>
      <w:r/>
    </w:p>
    <w:p>
      <w:pPr>
        <w:jc w:val="left"/>
        <w:spacing w:line="46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附件1</w:t>
      </w:r>
      <w:r/>
    </w:p>
    <w:p>
      <w:pPr>
        <w:jc w:val="center"/>
        <w:rPr>
          <w:rFonts w:ascii="华文中宋" w:hAnsi="华文中宋" w:eastAsia="华文中宋"/>
          <w:bCs/>
          <w:color w:val="auto"/>
          <w:sz w:val="32"/>
          <w:szCs w:val="32"/>
          <w:highlight w:val="none"/>
        </w:rPr>
        <w:outlineLvl w:val="0"/>
      </w:pPr>
      <w:r>
        <w:rPr>
          <w:rFonts w:ascii="华文中宋" w:hAnsi="华文中宋" w:eastAsia="华文中宋"/>
          <w:bCs/>
          <w:color w:val="auto"/>
          <w:sz w:val="32"/>
          <w:szCs w:val="32"/>
          <w:highlight w:val="none"/>
        </w:rPr>
        <w:t xml:space="preserve">南通市公安局</w:t>
      </w:r>
      <w:r>
        <w:rPr>
          <w:rFonts w:hint="eastAsia" w:ascii="华文中宋" w:hAnsi="华文中宋" w:eastAsia="华文中宋"/>
          <w:bCs/>
          <w:color w:val="auto"/>
          <w:sz w:val="32"/>
          <w:szCs w:val="32"/>
          <w:highlight w:val="none"/>
          <w:lang w:val="en-US" w:eastAsia="zh-CN"/>
        </w:rPr>
        <w:t xml:space="preserve">交通管理</w:t>
      </w:r>
      <w:r>
        <w:rPr>
          <w:rFonts w:ascii="华文中宋" w:hAnsi="华文中宋" w:eastAsia="华文中宋"/>
          <w:bCs/>
          <w:color w:val="auto"/>
          <w:sz w:val="32"/>
          <w:szCs w:val="32"/>
          <w:highlight w:val="none"/>
        </w:rPr>
        <w:t xml:space="preserve">支队各大队辖区</w:t>
      </w:r>
      <w:r/>
    </w:p>
    <w:p>
      <w:pPr>
        <w:contextualSpacing/>
        <w:ind w:firstLine="560"/>
        <w:spacing w:line="440" w:lineRule="exact"/>
        <w:rPr>
          <w:rFonts w:eastAsia="仿宋"/>
          <w:color w:val="auto"/>
          <w:sz w:val="28"/>
          <w:szCs w:val="28"/>
          <w:highlight w:val="none"/>
        </w:rPr>
      </w:pPr>
      <w:r>
        <w:rPr>
          <w:rFonts w:eastAsia="仿宋"/>
          <w:color w:val="auto"/>
          <w:sz w:val="28"/>
          <w:szCs w:val="28"/>
          <w:highlight w:val="none"/>
        </w:rPr>
      </w:r>
      <w:r/>
    </w:p>
    <w:p>
      <w:pPr>
        <w:contextualSpacing/>
        <w:ind w:firstLine="560"/>
        <w:spacing w:line="440" w:lineRule="exact"/>
        <w:rPr>
          <w:rFonts w:eastAsia="仿宋"/>
          <w:color w:val="auto"/>
          <w:sz w:val="28"/>
          <w:szCs w:val="28"/>
          <w:highlight w:val="none"/>
        </w:rPr>
      </w:pPr>
      <w:r>
        <w:rPr>
          <w:rFonts w:hAnsi="仿宋" w:eastAsia="仿宋"/>
          <w:color w:val="auto"/>
          <w:sz w:val="28"/>
          <w:szCs w:val="28"/>
          <w:highlight w:val="none"/>
        </w:rPr>
        <w:t xml:space="preserve">南通市公安局</w:t>
      </w:r>
      <w:r>
        <w:rPr>
          <w:rFonts w:hint="eastAsia" w:hAnsi="仿宋" w:eastAsia="仿宋"/>
          <w:color w:val="auto"/>
          <w:sz w:val="28"/>
          <w:szCs w:val="28"/>
          <w:highlight w:val="none"/>
          <w:lang w:val="en-US" w:eastAsia="zh-CN"/>
        </w:rPr>
        <w:t xml:space="preserve">交通管理</w:t>
      </w:r>
      <w:r>
        <w:rPr>
          <w:rFonts w:hAnsi="仿宋" w:eastAsia="仿宋"/>
          <w:color w:val="auto"/>
          <w:sz w:val="28"/>
          <w:szCs w:val="28"/>
          <w:highlight w:val="none"/>
        </w:rPr>
        <w:t xml:space="preserve">支队目前下辖八个大队和九个高速大队，负责崇川区、开发区、通州湾及高速公路的交通管理工作。</w:t>
      </w:r>
      <w:r>
        <w:rPr>
          <w:rFonts w:hint="eastAsia" w:hAnsi="仿宋" w:eastAsia="仿宋"/>
          <w:color w:val="auto"/>
          <w:sz w:val="28"/>
          <w:szCs w:val="28"/>
          <w:highlight w:val="none"/>
        </w:rPr>
        <w:t xml:space="preserve">涉及本次招标的相关大队管辖范围如下</w:t>
      </w:r>
      <w:r>
        <w:rPr>
          <w:rFonts w:hAnsi="仿宋" w:eastAsia="仿宋"/>
          <w:color w:val="auto"/>
          <w:sz w:val="28"/>
          <w:szCs w:val="28"/>
          <w:highlight w:val="none"/>
        </w:rPr>
        <w:t xml:space="preserve">：</w:t>
      </w:r>
      <w:r/>
    </w:p>
    <w:p>
      <w:pPr>
        <w:contextualSpacing/>
        <w:ind w:firstLine="560"/>
        <w:spacing w:line="440" w:lineRule="exact"/>
        <w:rPr>
          <w:rFonts w:eastAsia="仿宋"/>
          <w:color w:val="auto"/>
          <w:sz w:val="28"/>
          <w:szCs w:val="28"/>
          <w:highlight w:val="none"/>
        </w:rPr>
      </w:pPr>
      <w:r>
        <w:rPr>
          <w:rFonts w:eastAsia="仿宋"/>
          <w:color w:val="auto"/>
          <w:sz w:val="28"/>
          <w:szCs w:val="28"/>
          <w:highlight w:val="none"/>
        </w:rPr>
        <w:t xml:space="preserve">1.</w:t>
      </w:r>
      <w:r>
        <w:rPr>
          <w:rFonts w:hAnsi="仿宋" w:eastAsia="仿宋"/>
          <w:color w:val="auto"/>
          <w:sz w:val="28"/>
          <w:szCs w:val="28"/>
          <w:highlight w:val="none"/>
        </w:rPr>
        <w:t xml:space="preserve">一大队：负责管辖由</w:t>
      </w:r>
      <w:r>
        <w:rPr>
          <w:rFonts w:eastAsia="仿宋"/>
          <w:color w:val="auto"/>
          <w:sz w:val="28"/>
          <w:szCs w:val="28"/>
          <w:highlight w:val="none"/>
        </w:rPr>
        <w:t xml:space="preserve">“</w:t>
      </w:r>
      <w:r>
        <w:rPr>
          <w:rFonts w:hAnsi="仿宋" w:eastAsia="仿宋"/>
          <w:color w:val="auto"/>
          <w:sz w:val="28"/>
          <w:szCs w:val="28"/>
          <w:highlight w:val="none"/>
        </w:rPr>
        <w:t xml:space="preserve">长江岸线</w:t>
      </w:r>
      <w:r>
        <w:rPr>
          <w:rFonts w:eastAsia="仿宋"/>
          <w:color w:val="auto"/>
          <w:sz w:val="28"/>
          <w:szCs w:val="28"/>
          <w:highlight w:val="none"/>
        </w:rPr>
        <w:t xml:space="preserve">——</w:t>
      </w:r>
      <w:r>
        <w:rPr>
          <w:rFonts w:hAnsi="仿宋" w:eastAsia="仿宋"/>
          <w:color w:val="auto"/>
          <w:sz w:val="28"/>
          <w:szCs w:val="28"/>
          <w:highlight w:val="none"/>
        </w:rPr>
        <w:t xml:space="preserve">通吕运河（含跨河桥面）</w:t>
      </w:r>
      <w:r>
        <w:rPr>
          <w:rFonts w:eastAsia="仿宋"/>
          <w:color w:val="auto"/>
          <w:sz w:val="28"/>
          <w:szCs w:val="28"/>
          <w:highlight w:val="none"/>
        </w:rPr>
        <w:t xml:space="preserve">——</w:t>
      </w:r>
      <w:r>
        <w:rPr>
          <w:rFonts w:hAnsi="仿宋" w:eastAsia="仿宋"/>
          <w:color w:val="auto"/>
          <w:sz w:val="28"/>
          <w:szCs w:val="28"/>
          <w:highlight w:val="none"/>
        </w:rPr>
        <w:t xml:space="preserve">园林路（不含）</w:t>
      </w:r>
      <w:r>
        <w:rPr>
          <w:rFonts w:eastAsia="仿宋"/>
          <w:color w:val="auto"/>
          <w:sz w:val="28"/>
          <w:szCs w:val="28"/>
          <w:highlight w:val="none"/>
        </w:rPr>
        <w:t xml:space="preserve">——</w:t>
      </w:r>
      <w:r>
        <w:rPr>
          <w:rFonts w:hAnsi="仿宋" w:eastAsia="仿宋"/>
          <w:color w:val="auto"/>
          <w:sz w:val="28"/>
          <w:szCs w:val="28"/>
          <w:highlight w:val="none"/>
        </w:rPr>
        <w:t xml:space="preserve">青年路（不含）、中远路（不含）</w:t>
      </w:r>
      <w:r>
        <w:rPr>
          <w:rFonts w:eastAsia="仿宋"/>
          <w:color w:val="auto"/>
          <w:sz w:val="28"/>
          <w:szCs w:val="28"/>
          <w:highlight w:val="none"/>
        </w:rPr>
        <w:t xml:space="preserve">”</w:t>
      </w:r>
      <w:r>
        <w:rPr>
          <w:rFonts w:hAnsi="仿宋" w:eastAsia="仿宋"/>
          <w:color w:val="auto"/>
          <w:sz w:val="28"/>
          <w:szCs w:val="28"/>
          <w:highlight w:val="none"/>
        </w:rPr>
        <w:t xml:space="preserve">围合的区域。</w:t>
      </w:r>
      <w:r/>
    </w:p>
    <w:p>
      <w:pPr>
        <w:contextualSpacing/>
        <w:ind w:firstLine="560"/>
        <w:spacing w:line="440" w:lineRule="exact"/>
        <w:rPr>
          <w:rFonts w:eastAsia="仿宋"/>
          <w:color w:val="auto"/>
          <w:sz w:val="28"/>
          <w:szCs w:val="28"/>
          <w:highlight w:val="none"/>
        </w:rPr>
      </w:pPr>
      <w:r>
        <w:rPr>
          <w:rFonts w:eastAsia="仿宋"/>
          <w:color w:val="auto"/>
          <w:sz w:val="28"/>
          <w:szCs w:val="28"/>
          <w:highlight w:val="none"/>
        </w:rPr>
        <w:t xml:space="preserve">2.</w:t>
      </w:r>
      <w:r>
        <w:rPr>
          <w:rFonts w:hAnsi="仿宋" w:eastAsia="仿宋"/>
          <w:color w:val="auto"/>
          <w:sz w:val="28"/>
          <w:szCs w:val="28"/>
          <w:highlight w:val="none"/>
        </w:rPr>
        <w:t xml:space="preserve">二大队：负责管辖由</w:t>
      </w:r>
      <w:r>
        <w:rPr>
          <w:rFonts w:eastAsia="仿宋"/>
          <w:color w:val="auto"/>
          <w:sz w:val="28"/>
          <w:szCs w:val="28"/>
          <w:highlight w:val="none"/>
        </w:rPr>
        <w:t xml:space="preserve">“</w:t>
      </w:r>
      <w:r>
        <w:rPr>
          <w:rFonts w:hAnsi="仿宋" w:eastAsia="仿宋"/>
          <w:color w:val="auto"/>
          <w:sz w:val="28"/>
          <w:szCs w:val="28"/>
          <w:highlight w:val="none"/>
        </w:rPr>
        <w:t xml:space="preserve">长江岸线</w:t>
      </w:r>
      <w:r>
        <w:rPr>
          <w:rFonts w:eastAsia="仿宋"/>
          <w:color w:val="auto"/>
          <w:sz w:val="28"/>
          <w:szCs w:val="28"/>
          <w:highlight w:val="none"/>
        </w:rPr>
        <w:t xml:space="preserve">——</w:t>
      </w:r>
      <w:r>
        <w:rPr>
          <w:rFonts w:hAnsi="仿宋" w:eastAsia="仿宋"/>
          <w:color w:val="auto"/>
          <w:sz w:val="28"/>
          <w:szCs w:val="28"/>
          <w:highlight w:val="none"/>
        </w:rPr>
        <w:t xml:space="preserve">中远路（含）、青年路（含）</w:t>
      </w:r>
      <w:r>
        <w:rPr>
          <w:rFonts w:eastAsia="仿宋"/>
          <w:color w:val="auto"/>
          <w:sz w:val="28"/>
          <w:szCs w:val="28"/>
          <w:highlight w:val="none"/>
        </w:rPr>
        <w:t xml:space="preserve">——</w:t>
      </w:r>
      <w:r>
        <w:rPr>
          <w:rFonts w:hAnsi="仿宋" w:eastAsia="仿宋"/>
          <w:color w:val="auto"/>
          <w:sz w:val="28"/>
          <w:szCs w:val="28"/>
          <w:highlight w:val="none"/>
        </w:rPr>
        <w:t xml:space="preserve">园林路（不含）</w:t>
      </w:r>
      <w:r>
        <w:rPr>
          <w:rFonts w:eastAsia="仿宋"/>
          <w:color w:val="auto"/>
          <w:sz w:val="28"/>
          <w:szCs w:val="28"/>
          <w:highlight w:val="none"/>
        </w:rPr>
        <w:t xml:space="preserve">——</w:t>
      </w:r>
      <w:r>
        <w:rPr>
          <w:rFonts w:hAnsi="仿宋" w:eastAsia="仿宋"/>
          <w:color w:val="auto"/>
          <w:sz w:val="28"/>
          <w:szCs w:val="28"/>
          <w:highlight w:val="none"/>
        </w:rPr>
        <w:t xml:space="preserve">裤子港河（不含跨河桥面）</w:t>
      </w:r>
      <w:r>
        <w:rPr>
          <w:rFonts w:eastAsia="仿宋"/>
          <w:color w:val="auto"/>
          <w:sz w:val="28"/>
          <w:szCs w:val="28"/>
          <w:highlight w:val="none"/>
        </w:rPr>
        <w:t xml:space="preserve">”</w:t>
      </w:r>
      <w:r>
        <w:rPr>
          <w:rFonts w:hAnsi="仿宋" w:eastAsia="仿宋"/>
          <w:color w:val="auto"/>
          <w:sz w:val="28"/>
          <w:szCs w:val="28"/>
          <w:highlight w:val="none"/>
        </w:rPr>
        <w:t xml:space="preserve">围合的区域。</w:t>
      </w:r>
      <w:r/>
    </w:p>
    <w:p>
      <w:pPr>
        <w:contextualSpacing/>
        <w:ind w:firstLine="560"/>
        <w:spacing w:line="440" w:lineRule="exact"/>
        <w:rPr>
          <w:rFonts w:eastAsia="仿宋"/>
          <w:color w:val="auto"/>
          <w:sz w:val="28"/>
          <w:szCs w:val="28"/>
          <w:highlight w:val="none"/>
        </w:rPr>
      </w:pPr>
      <w:r>
        <w:rPr>
          <w:rFonts w:eastAsia="仿宋"/>
          <w:color w:val="auto"/>
          <w:sz w:val="28"/>
          <w:szCs w:val="28"/>
          <w:highlight w:val="none"/>
        </w:rPr>
        <w:t xml:space="preserve">3.</w:t>
      </w:r>
      <w:r>
        <w:rPr>
          <w:rFonts w:hAnsi="仿宋" w:eastAsia="仿宋"/>
          <w:color w:val="auto"/>
          <w:sz w:val="28"/>
          <w:szCs w:val="28"/>
          <w:highlight w:val="none"/>
        </w:rPr>
        <w:t xml:space="preserve">三大队：负责管辖由</w:t>
      </w:r>
      <w:r>
        <w:rPr>
          <w:rFonts w:eastAsia="仿宋"/>
          <w:color w:val="auto"/>
          <w:sz w:val="28"/>
          <w:szCs w:val="28"/>
          <w:highlight w:val="none"/>
        </w:rPr>
        <w:t xml:space="preserve">“</w:t>
      </w:r>
      <w:r>
        <w:rPr>
          <w:rFonts w:hAnsi="仿宋" w:eastAsia="仿宋"/>
          <w:color w:val="auto"/>
          <w:sz w:val="28"/>
          <w:szCs w:val="28"/>
          <w:highlight w:val="none"/>
        </w:rPr>
        <w:t xml:space="preserve">园林路（含）</w:t>
      </w:r>
      <w:r>
        <w:rPr>
          <w:rFonts w:eastAsia="仿宋"/>
          <w:color w:val="auto"/>
          <w:sz w:val="28"/>
          <w:szCs w:val="28"/>
          <w:highlight w:val="none"/>
        </w:rPr>
        <w:t xml:space="preserve">——</w:t>
      </w:r>
      <w:r>
        <w:rPr>
          <w:rFonts w:hAnsi="仿宋" w:eastAsia="仿宋"/>
          <w:color w:val="auto"/>
          <w:sz w:val="28"/>
          <w:szCs w:val="28"/>
          <w:highlight w:val="none"/>
        </w:rPr>
        <w:t xml:space="preserve">通吕运河（不含跨河桥面）</w:t>
      </w:r>
      <w:r>
        <w:rPr>
          <w:rFonts w:eastAsia="仿宋"/>
          <w:color w:val="auto"/>
          <w:sz w:val="28"/>
          <w:szCs w:val="28"/>
          <w:highlight w:val="none"/>
        </w:rPr>
        <w:t xml:space="preserve">——</w:t>
      </w:r>
      <w:r>
        <w:rPr>
          <w:rFonts w:hAnsi="仿宋" w:eastAsia="仿宋"/>
          <w:color w:val="auto"/>
          <w:sz w:val="28"/>
          <w:szCs w:val="28"/>
          <w:highlight w:val="none"/>
        </w:rPr>
        <w:t xml:space="preserve">通州界</w:t>
      </w:r>
      <w:r>
        <w:rPr>
          <w:rFonts w:eastAsia="仿宋"/>
          <w:color w:val="auto"/>
          <w:sz w:val="28"/>
          <w:szCs w:val="28"/>
          <w:highlight w:val="none"/>
        </w:rPr>
        <w:t xml:space="preserve">——</w:t>
      </w:r>
      <w:r>
        <w:rPr>
          <w:rFonts w:hAnsi="仿宋" w:eastAsia="仿宋"/>
          <w:color w:val="auto"/>
          <w:sz w:val="28"/>
          <w:szCs w:val="28"/>
          <w:highlight w:val="none"/>
        </w:rPr>
        <w:t xml:space="preserve">通盛大道（不含）</w:t>
      </w:r>
      <w:r>
        <w:rPr>
          <w:rFonts w:eastAsia="仿宋"/>
          <w:color w:val="auto"/>
          <w:sz w:val="28"/>
          <w:szCs w:val="28"/>
          <w:highlight w:val="none"/>
        </w:rPr>
        <w:t xml:space="preserve">——</w:t>
      </w:r>
      <w:r>
        <w:rPr>
          <w:rFonts w:hAnsi="仿宋" w:eastAsia="仿宋"/>
          <w:color w:val="auto"/>
          <w:sz w:val="28"/>
          <w:szCs w:val="28"/>
          <w:highlight w:val="none"/>
        </w:rPr>
        <w:t xml:space="preserve">源兴路（不含）</w:t>
      </w:r>
      <w:r>
        <w:rPr>
          <w:rFonts w:eastAsia="仿宋"/>
          <w:color w:val="auto"/>
          <w:sz w:val="28"/>
          <w:szCs w:val="28"/>
          <w:highlight w:val="none"/>
        </w:rPr>
        <w:t xml:space="preserve">”</w:t>
      </w:r>
      <w:r>
        <w:rPr>
          <w:rFonts w:hAnsi="仿宋" w:eastAsia="仿宋"/>
          <w:color w:val="auto"/>
          <w:sz w:val="28"/>
          <w:szCs w:val="28"/>
          <w:highlight w:val="none"/>
        </w:rPr>
        <w:t xml:space="preserve">围合的区域。</w:t>
      </w:r>
      <w:r/>
    </w:p>
    <w:p>
      <w:pPr>
        <w:contextualSpacing/>
        <w:ind w:firstLine="562"/>
        <w:spacing w:line="440" w:lineRule="exact"/>
        <w:rPr>
          <w:rFonts w:eastAsia="仿宋"/>
          <w:b/>
          <w:bCs/>
          <w:color w:val="auto"/>
          <w:sz w:val="28"/>
          <w:szCs w:val="28"/>
          <w:highlight w:val="none"/>
        </w:rPr>
      </w:pPr>
      <w:r>
        <w:rPr>
          <w:rFonts w:hint="eastAsia" w:eastAsia="仿宋"/>
          <w:b/>
          <w:bCs/>
          <w:color w:val="auto"/>
          <w:sz w:val="28"/>
          <w:szCs w:val="28"/>
          <w:highlight w:val="none"/>
        </w:rPr>
        <w:t xml:space="preserve">以上简称</w:t>
      </w:r>
      <w:r>
        <w:rPr>
          <w:rFonts w:hint="eastAsia" w:eastAsia="仿宋"/>
          <w:b/>
          <w:bCs/>
          <w:color w:val="auto"/>
          <w:sz w:val="28"/>
          <w:szCs w:val="28"/>
          <w:highlight w:val="none"/>
          <w:lang w:eastAsia="zh-CN"/>
        </w:rPr>
        <w:t xml:space="preserve">通吕运河以南</w:t>
      </w:r>
      <w:r>
        <w:rPr>
          <w:rFonts w:hint="eastAsia" w:eastAsia="仿宋"/>
          <w:b/>
          <w:bCs/>
          <w:color w:val="auto"/>
          <w:sz w:val="28"/>
          <w:szCs w:val="28"/>
          <w:highlight w:val="none"/>
        </w:rPr>
        <w:t xml:space="preserve">管辖范围。</w:t>
      </w:r>
      <w:r/>
    </w:p>
    <w:p>
      <w:pPr>
        <w:contextualSpacing/>
        <w:ind w:firstLine="560"/>
        <w:spacing w:line="440" w:lineRule="exact"/>
        <w:rPr>
          <w:rFonts w:eastAsia="仿宋"/>
          <w:color w:val="auto"/>
          <w:sz w:val="28"/>
          <w:szCs w:val="28"/>
          <w:highlight w:val="none"/>
        </w:rPr>
      </w:pPr>
      <w:r>
        <w:rPr>
          <w:rFonts w:eastAsia="仿宋"/>
          <w:color w:val="auto"/>
          <w:sz w:val="28"/>
          <w:szCs w:val="28"/>
          <w:highlight w:val="none"/>
        </w:rPr>
        <w:t xml:space="preserve">4.</w:t>
      </w:r>
      <w:r>
        <w:rPr>
          <w:rFonts w:hAnsi="仿宋" w:eastAsia="仿宋"/>
          <w:color w:val="auto"/>
          <w:sz w:val="28"/>
          <w:szCs w:val="28"/>
          <w:highlight w:val="none"/>
        </w:rPr>
        <w:t xml:space="preserve">四大队：负责管辖由</w:t>
      </w:r>
      <w:r>
        <w:rPr>
          <w:rFonts w:eastAsia="仿宋"/>
          <w:color w:val="auto"/>
          <w:sz w:val="28"/>
          <w:szCs w:val="28"/>
          <w:highlight w:val="none"/>
        </w:rPr>
        <w:t xml:space="preserve">“</w:t>
      </w:r>
      <w:r>
        <w:rPr>
          <w:rFonts w:hAnsi="仿宋" w:eastAsia="仿宋"/>
          <w:color w:val="auto"/>
          <w:sz w:val="28"/>
          <w:szCs w:val="28"/>
          <w:highlight w:val="none"/>
        </w:rPr>
        <w:t xml:space="preserve">长江岸线</w:t>
      </w:r>
      <w:r>
        <w:rPr>
          <w:rFonts w:eastAsia="仿宋"/>
          <w:color w:val="auto"/>
          <w:sz w:val="28"/>
          <w:szCs w:val="28"/>
          <w:highlight w:val="none"/>
        </w:rPr>
        <w:t xml:space="preserve">——</w:t>
      </w:r>
      <w:r>
        <w:rPr>
          <w:rFonts w:hAnsi="仿宋" w:eastAsia="仿宋"/>
          <w:color w:val="auto"/>
          <w:sz w:val="28"/>
          <w:szCs w:val="28"/>
          <w:highlight w:val="none"/>
        </w:rPr>
        <w:t xml:space="preserve">九圩港（含城港路九圩港大桥桥面，不含长泰路马躺路桥、</w:t>
      </w:r>
      <w:r>
        <w:rPr>
          <w:rFonts w:eastAsia="仿宋"/>
          <w:color w:val="auto"/>
          <w:sz w:val="28"/>
          <w:szCs w:val="28"/>
          <w:highlight w:val="none"/>
        </w:rPr>
        <w:t xml:space="preserve">G204</w:t>
      </w:r>
      <w:r>
        <w:rPr>
          <w:rFonts w:hAnsi="仿宋" w:eastAsia="仿宋"/>
          <w:color w:val="auto"/>
          <w:sz w:val="28"/>
          <w:szCs w:val="28"/>
          <w:highlight w:val="none"/>
        </w:rPr>
        <w:t xml:space="preserve">九圩港大桥、通刘公路测震桥桥面）</w:t>
      </w:r>
      <w:r>
        <w:rPr>
          <w:rFonts w:eastAsia="仿宋"/>
          <w:color w:val="auto"/>
          <w:sz w:val="28"/>
          <w:szCs w:val="28"/>
          <w:highlight w:val="none"/>
        </w:rPr>
        <w:t xml:space="preserve">——</w:t>
      </w:r>
      <w:r>
        <w:rPr>
          <w:rFonts w:hAnsi="仿宋" w:eastAsia="仿宋"/>
          <w:color w:val="auto"/>
          <w:sz w:val="28"/>
          <w:szCs w:val="28"/>
          <w:highlight w:val="none"/>
        </w:rPr>
        <w:t xml:space="preserve">通州界</w:t>
      </w:r>
      <w:r>
        <w:rPr>
          <w:rFonts w:eastAsia="仿宋"/>
          <w:color w:val="auto"/>
          <w:sz w:val="28"/>
          <w:szCs w:val="28"/>
          <w:highlight w:val="none"/>
        </w:rPr>
        <w:t xml:space="preserve">——</w:t>
      </w:r>
      <w:r>
        <w:rPr>
          <w:rFonts w:hAnsi="仿宋" w:eastAsia="仿宋"/>
          <w:color w:val="auto"/>
          <w:sz w:val="28"/>
          <w:szCs w:val="28"/>
          <w:highlight w:val="none"/>
        </w:rPr>
        <w:t xml:space="preserve">通吕运河（不含跨河桥面）</w:t>
      </w:r>
      <w:r>
        <w:rPr>
          <w:rFonts w:eastAsia="仿宋"/>
          <w:color w:val="auto"/>
          <w:sz w:val="28"/>
          <w:szCs w:val="28"/>
          <w:highlight w:val="none"/>
        </w:rPr>
        <w:t xml:space="preserve">”</w:t>
      </w:r>
      <w:r>
        <w:rPr>
          <w:rFonts w:hAnsi="仿宋" w:eastAsia="仿宋"/>
          <w:color w:val="auto"/>
          <w:sz w:val="28"/>
          <w:szCs w:val="28"/>
          <w:highlight w:val="none"/>
        </w:rPr>
        <w:t xml:space="preserve">围合的区域。</w:t>
      </w:r>
      <w:r/>
    </w:p>
    <w:p>
      <w:pPr>
        <w:contextualSpacing/>
        <w:ind w:firstLine="562"/>
        <w:spacing w:line="440" w:lineRule="exact"/>
        <w:rPr>
          <w:rFonts w:eastAsia="仿宋"/>
          <w:b/>
          <w:bCs/>
          <w:color w:val="auto"/>
          <w:sz w:val="28"/>
          <w:szCs w:val="28"/>
          <w:highlight w:val="none"/>
        </w:rPr>
      </w:pPr>
      <w:r>
        <w:rPr>
          <w:rFonts w:hint="eastAsia" w:eastAsia="仿宋"/>
          <w:b/>
          <w:bCs/>
          <w:color w:val="auto"/>
          <w:sz w:val="28"/>
          <w:szCs w:val="28"/>
          <w:highlight w:val="none"/>
        </w:rPr>
        <w:t xml:space="preserve">以上简称</w:t>
      </w:r>
      <w:r>
        <w:rPr>
          <w:rFonts w:hint="eastAsia" w:eastAsia="仿宋"/>
          <w:b/>
          <w:bCs/>
          <w:color w:val="auto"/>
          <w:sz w:val="28"/>
          <w:szCs w:val="28"/>
          <w:highlight w:val="none"/>
          <w:lang w:eastAsia="zh-CN"/>
        </w:rPr>
        <w:t xml:space="preserve">通吕运河以北</w:t>
      </w:r>
      <w:r>
        <w:rPr>
          <w:rFonts w:hint="eastAsia" w:eastAsia="仿宋"/>
          <w:b/>
          <w:bCs/>
          <w:color w:val="auto"/>
          <w:sz w:val="28"/>
          <w:szCs w:val="28"/>
          <w:highlight w:val="none"/>
        </w:rPr>
        <w:t xml:space="preserve">管辖范围。</w:t>
      </w:r>
      <w:r/>
    </w:p>
    <w:p>
      <w:pPr>
        <w:numPr>
          <w:ilvl w:val="0"/>
          <w:numId w:val="3"/>
        </w:numPr>
        <w:contextualSpacing/>
        <w:ind w:firstLine="560"/>
        <w:spacing w:line="440" w:lineRule="exact"/>
        <w:rPr>
          <w:rFonts w:hint="eastAsia" w:eastAsia="仿宋"/>
          <w:color w:val="auto"/>
          <w:sz w:val="28"/>
          <w:szCs w:val="28"/>
          <w:highlight w:val="none"/>
        </w:rPr>
      </w:pPr>
      <w:r>
        <w:rPr>
          <w:rFonts w:hAnsi="仿宋" w:eastAsia="仿宋"/>
          <w:color w:val="auto"/>
          <w:sz w:val="28"/>
          <w:szCs w:val="28"/>
          <w:highlight w:val="none"/>
        </w:rPr>
        <w:t xml:space="preserve">五大队：</w:t>
      </w:r>
      <w:r>
        <w:rPr>
          <w:rFonts w:eastAsia="仿宋"/>
          <w:color w:val="auto"/>
          <w:sz w:val="28"/>
          <w:szCs w:val="28"/>
          <w:highlight w:val="none"/>
        </w:rPr>
        <w:t xml:space="preserve">负责管辖南通经济技术开发区</w:t>
      </w:r>
      <w:r>
        <w:rPr>
          <w:rFonts w:hint="eastAsia" w:eastAsia="仿宋"/>
          <w:color w:val="auto"/>
          <w:sz w:val="28"/>
          <w:szCs w:val="28"/>
          <w:highlight w:val="none"/>
        </w:rPr>
        <w:t xml:space="preserve">的部分区域</w:t>
      </w:r>
      <w:r>
        <w:rPr>
          <w:rFonts w:eastAsia="仿宋"/>
          <w:color w:val="auto"/>
          <w:sz w:val="28"/>
          <w:szCs w:val="28"/>
          <w:highlight w:val="none"/>
        </w:rPr>
        <w:t xml:space="preserve">，不含</w:t>
      </w:r>
      <w:r>
        <w:rPr>
          <w:rFonts w:hint="eastAsia" w:eastAsia="仿宋"/>
          <w:color w:val="auto"/>
          <w:sz w:val="28"/>
          <w:szCs w:val="28"/>
          <w:highlight w:val="none"/>
        </w:rPr>
        <w:t xml:space="preserve">中创</w:t>
      </w:r>
      <w:r>
        <w:rPr>
          <w:rFonts w:eastAsia="仿宋"/>
          <w:color w:val="auto"/>
          <w:sz w:val="28"/>
          <w:szCs w:val="28"/>
          <w:highlight w:val="none"/>
        </w:rPr>
        <w:t xml:space="preserve">区</w:t>
      </w:r>
      <w:r>
        <w:rPr>
          <w:rFonts w:hint="eastAsia" w:eastAsia="仿宋"/>
          <w:color w:val="auto"/>
          <w:sz w:val="28"/>
          <w:szCs w:val="28"/>
          <w:highlight w:val="none"/>
        </w:rPr>
        <w:t xml:space="preserve">、苏锡通产业园区</w:t>
      </w:r>
      <w:r>
        <w:rPr>
          <w:rFonts w:eastAsia="仿宋"/>
          <w:color w:val="auto"/>
          <w:sz w:val="28"/>
          <w:szCs w:val="28"/>
          <w:highlight w:val="none"/>
        </w:rPr>
        <w:t xml:space="preserve">范围，由“裤子港河（含跨河桥面）——源兴路（含）——通盛大道（含）——通州川姜界——</w:t>
      </w:r>
      <w:r>
        <w:rPr>
          <w:rFonts w:hint="eastAsia" w:eastAsia="仿宋"/>
          <w:color w:val="auto"/>
          <w:sz w:val="28"/>
          <w:szCs w:val="28"/>
          <w:highlight w:val="none"/>
        </w:rPr>
        <w:t xml:space="preserve">金竹线（姜灶横河以南，不含）</w:t>
      </w:r>
      <w:r>
        <w:rPr>
          <w:rFonts w:eastAsia="仿宋"/>
          <w:color w:val="auto"/>
          <w:sz w:val="28"/>
          <w:szCs w:val="28"/>
          <w:highlight w:val="none"/>
        </w:rPr>
        <w:t xml:space="preserve">——</w:t>
      </w:r>
      <w:r>
        <w:rPr>
          <w:rFonts w:hint="eastAsia" w:eastAsia="仿宋"/>
          <w:color w:val="auto"/>
          <w:sz w:val="28"/>
          <w:szCs w:val="28"/>
          <w:highlight w:val="none"/>
        </w:rPr>
        <w:t xml:space="preserve">通启运河（不含）</w:t>
      </w:r>
      <w:r>
        <w:rPr>
          <w:rFonts w:eastAsia="仿宋"/>
          <w:color w:val="auto"/>
          <w:sz w:val="28"/>
          <w:szCs w:val="28"/>
          <w:highlight w:val="none"/>
        </w:rPr>
        <w:t xml:space="preserve">——</w:t>
      </w:r>
      <w:r>
        <w:rPr>
          <w:rFonts w:hint="eastAsia" w:eastAsia="仿宋"/>
          <w:color w:val="auto"/>
          <w:sz w:val="28"/>
          <w:szCs w:val="28"/>
          <w:highlight w:val="none"/>
        </w:rPr>
        <w:t xml:space="preserve">朝阳竖河（不含）</w:t>
      </w:r>
      <w:r>
        <w:rPr>
          <w:rFonts w:eastAsia="仿宋"/>
          <w:color w:val="auto"/>
          <w:sz w:val="28"/>
          <w:szCs w:val="28"/>
          <w:highlight w:val="none"/>
        </w:rPr>
        <w:t xml:space="preserve">——</w:t>
      </w:r>
      <w:r>
        <w:rPr>
          <w:rFonts w:hint="eastAsia" w:eastAsia="仿宋"/>
          <w:color w:val="auto"/>
          <w:sz w:val="28"/>
          <w:szCs w:val="28"/>
          <w:highlight w:val="none"/>
        </w:rPr>
        <w:t xml:space="preserve">张江公路（不含）</w:t>
      </w:r>
      <w:r>
        <w:rPr>
          <w:rFonts w:eastAsia="仿宋"/>
          <w:color w:val="auto"/>
          <w:sz w:val="28"/>
          <w:szCs w:val="28"/>
          <w:highlight w:val="none"/>
        </w:rPr>
        <w:t xml:space="preserve">——</w:t>
      </w:r>
      <w:r>
        <w:rPr>
          <w:rFonts w:hint="eastAsia" w:eastAsia="仿宋"/>
          <w:color w:val="auto"/>
          <w:sz w:val="28"/>
          <w:szCs w:val="28"/>
          <w:highlight w:val="none"/>
        </w:rPr>
        <w:t xml:space="preserve">祁连山路、江海路（不含）</w:t>
      </w:r>
      <w:r>
        <w:rPr>
          <w:rFonts w:eastAsia="仿宋"/>
          <w:color w:val="auto"/>
          <w:sz w:val="28"/>
          <w:szCs w:val="28"/>
          <w:highlight w:val="none"/>
        </w:rPr>
        <w:t xml:space="preserve">——</w:t>
      </w:r>
      <w:r>
        <w:rPr>
          <w:rFonts w:hint="eastAsia" w:eastAsia="仿宋"/>
          <w:color w:val="auto"/>
          <w:sz w:val="28"/>
          <w:szCs w:val="28"/>
          <w:highlight w:val="none"/>
        </w:rPr>
        <w:t xml:space="preserve">东方大道（含）</w:t>
      </w:r>
      <w:r>
        <w:rPr>
          <w:rFonts w:eastAsia="仿宋"/>
          <w:color w:val="auto"/>
          <w:sz w:val="28"/>
          <w:szCs w:val="28"/>
          <w:highlight w:val="none"/>
        </w:rPr>
        <w:t xml:space="preserve">”围合的区域</w:t>
      </w:r>
      <w:r>
        <w:rPr>
          <w:rFonts w:hint="eastAsia" w:eastAsia="仿宋"/>
          <w:color w:val="auto"/>
          <w:sz w:val="28"/>
          <w:szCs w:val="28"/>
          <w:highlight w:val="none"/>
        </w:rPr>
        <w:t xml:space="preserve">。</w:t>
      </w:r>
      <w:r/>
    </w:p>
    <w:p>
      <w:pPr>
        <w:numPr>
          <w:ilvl w:val="0"/>
          <w:numId w:val="3"/>
        </w:numPr>
        <w:contextualSpacing/>
        <w:ind w:firstLine="560"/>
        <w:spacing w:line="440" w:lineRule="exact"/>
        <w:rPr>
          <w:rFonts w:hint="eastAsia" w:eastAsia="仿宋"/>
          <w:color w:val="auto"/>
          <w:sz w:val="28"/>
          <w:szCs w:val="28"/>
          <w:highlight w:val="none"/>
        </w:rPr>
      </w:pPr>
      <w:r>
        <w:rPr>
          <w:rFonts w:hint="eastAsia" w:hAnsi="仿宋" w:eastAsia="仿宋"/>
          <w:color w:val="auto"/>
          <w:sz w:val="28"/>
          <w:szCs w:val="28"/>
          <w:highlight w:val="none"/>
        </w:rPr>
        <w:t xml:space="preserve">六大队：负责管辖苏锡通产业园区和经济技术开发区部分区域，由“东方大道（不含）</w:t>
      </w:r>
      <w:r>
        <w:rPr>
          <w:rFonts w:hAnsi="仿宋" w:eastAsia="仿宋"/>
          <w:color w:val="auto"/>
          <w:sz w:val="28"/>
          <w:szCs w:val="28"/>
          <w:highlight w:val="none"/>
        </w:rPr>
        <w:t xml:space="preserve">——</w:t>
      </w:r>
      <w:r>
        <w:rPr>
          <w:rFonts w:hint="eastAsia" w:hAnsi="仿宋" w:eastAsia="仿宋"/>
          <w:color w:val="auto"/>
          <w:sz w:val="28"/>
          <w:szCs w:val="28"/>
          <w:highlight w:val="none"/>
        </w:rPr>
        <w:t xml:space="preserve">江海路、祁连山路（含）</w:t>
      </w:r>
      <w:r>
        <w:rPr>
          <w:rFonts w:hAnsi="仿宋" w:eastAsia="仿宋"/>
          <w:color w:val="auto"/>
          <w:sz w:val="28"/>
          <w:szCs w:val="28"/>
          <w:highlight w:val="none"/>
        </w:rPr>
        <w:t xml:space="preserve">——</w:t>
      </w:r>
      <w:r>
        <w:rPr>
          <w:rFonts w:hint="eastAsia" w:hAnsi="仿宋" w:eastAsia="仿宋"/>
          <w:color w:val="auto"/>
          <w:sz w:val="28"/>
          <w:szCs w:val="28"/>
          <w:highlight w:val="none"/>
        </w:rPr>
        <w:t xml:space="preserve">张江公路（含）</w:t>
      </w:r>
      <w:r>
        <w:rPr>
          <w:rFonts w:hAnsi="仿宋" w:eastAsia="仿宋"/>
          <w:color w:val="auto"/>
          <w:sz w:val="28"/>
          <w:szCs w:val="28"/>
          <w:highlight w:val="none"/>
        </w:rPr>
        <w:t xml:space="preserve">——</w:t>
      </w:r>
      <w:r>
        <w:rPr>
          <w:rFonts w:hint="eastAsia" w:hAnsi="仿宋" w:eastAsia="仿宋"/>
          <w:color w:val="auto"/>
          <w:sz w:val="28"/>
          <w:szCs w:val="28"/>
          <w:highlight w:val="none"/>
        </w:rPr>
        <w:t xml:space="preserve">朝阳竖河（含）</w:t>
      </w:r>
      <w:r>
        <w:rPr>
          <w:rFonts w:hAnsi="仿宋" w:eastAsia="仿宋"/>
          <w:color w:val="auto"/>
          <w:sz w:val="28"/>
          <w:szCs w:val="28"/>
          <w:highlight w:val="none"/>
        </w:rPr>
        <w:t xml:space="preserve">——</w:t>
      </w:r>
      <w:r>
        <w:rPr>
          <w:rFonts w:hint="eastAsia" w:hAnsi="仿宋" w:eastAsia="仿宋"/>
          <w:color w:val="auto"/>
          <w:sz w:val="28"/>
          <w:szCs w:val="28"/>
          <w:highlight w:val="none"/>
        </w:rPr>
        <w:t xml:space="preserve">通启运河（含）</w:t>
      </w:r>
      <w:r>
        <w:rPr>
          <w:rFonts w:hAnsi="仿宋" w:eastAsia="仿宋"/>
          <w:color w:val="auto"/>
          <w:sz w:val="28"/>
          <w:szCs w:val="28"/>
          <w:highlight w:val="none"/>
        </w:rPr>
        <w:t xml:space="preserve">——</w:t>
      </w:r>
      <w:r>
        <w:rPr>
          <w:rFonts w:hint="eastAsia" w:hAnsi="仿宋" w:eastAsia="仿宋"/>
          <w:color w:val="auto"/>
          <w:sz w:val="28"/>
          <w:szCs w:val="28"/>
          <w:highlight w:val="none"/>
        </w:rPr>
        <w:t xml:space="preserve">金竹线（姜灶横河以南，含）</w:t>
      </w:r>
      <w:r>
        <w:rPr>
          <w:rFonts w:hAnsi="仿宋" w:eastAsia="仿宋"/>
          <w:color w:val="auto"/>
          <w:sz w:val="28"/>
          <w:szCs w:val="28"/>
          <w:highlight w:val="none"/>
        </w:rPr>
        <w:t xml:space="preserve">——</w:t>
      </w:r>
      <w:r>
        <w:rPr>
          <w:rFonts w:hint="eastAsia" w:hAnsi="仿宋" w:eastAsia="仿宋"/>
          <w:color w:val="auto"/>
          <w:sz w:val="28"/>
          <w:szCs w:val="28"/>
          <w:highlight w:val="none"/>
        </w:rPr>
        <w:t xml:space="preserve">通州区、海门区界”围合的区域。</w:t>
      </w:r>
      <w:r/>
    </w:p>
    <w:p>
      <w:pPr>
        <w:contextualSpacing/>
        <w:ind w:firstLine="562"/>
        <w:spacing w:line="440" w:lineRule="exact"/>
        <w:rPr>
          <w:rFonts w:eastAsia="仿宋"/>
          <w:color w:val="auto"/>
          <w:sz w:val="28"/>
          <w:szCs w:val="28"/>
          <w:highlight w:val="none"/>
        </w:rPr>
      </w:pPr>
      <w:r>
        <w:rPr>
          <w:rFonts w:hint="eastAsia" w:eastAsia="仿宋"/>
          <w:b/>
          <w:bCs/>
          <w:color w:val="auto"/>
          <w:sz w:val="28"/>
          <w:szCs w:val="28"/>
          <w:highlight w:val="none"/>
        </w:rPr>
        <w:t xml:space="preserve">以上简称开发区和苏锡通园区管辖范围。</w:t>
      </w:r>
      <w:r/>
    </w:p>
    <w:p>
      <w:pPr>
        <w:contextualSpacing/>
        <w:ind w:firstLine="560"/>
        <w:spacing w:line="440" w:lineRule="exact"/>
        <w:rPr>
          <w:rFonts w:eastAsia="仿宋"/>
          <w:color w:val="auto"/>
          <w:sz w:val="28"/>
          <w:szCs w:val="28"/>
          <w:highlight w:val="none"/>
        </w:rPr>
      </w:pPr>
      <w:r>
        <w:rPr>
          <w:rFonts w:hint="eastAsia" w:eastAsia="仿宋"/>
          <w:color w:val="auto"/>
          <w:sz w:val="28"/>
          <w:szCs w:val="28"/>
          <w:highlight w:val="none"/>
          <w:lang w:val="en-US" w:eastAsia="zh-CN"/>
        </w:rPr>
        <w:t xml:space="preserve">7</w:t>
      </w:r>
      <w:r>
        <w:rPr>
          <w:rFonts w:eastAsia="仿宋"/>
          <w:color w:val="auto"/>
          <w:sz w:val="28"/>
          <w:szCs w:val="28"/>
          <w:highlight w:val="none"/>
        </w:rPr>
        <w:t xml:space="preserve">.</w:t>
      </w:r>
      <w:r>
        <w:rPr>
          <w:rFonts w:hAnsi="仿宋" w:eastAsia="仿宋"/>
          <w:color w:val="auto"/>
          <w:sz w:val="28"/>
          <w:szCs w:val="28"/>
          <w:highlight w:val="none"/>
        </w:rPr>
        <w:t xml:space="preserve">七大队：负责市区各查报站及各项突击整治活动。</w:t>
      </w:r>
      <w:r/>
    </w:p>
    <w:p>
      <w:pPr>
        <w:contextualSpacing/>
        <w:ind w:firstLine="560"/>
        <w:spacing w:line="440" w:lineRule="exact"/>
        <w:rPr>
          <w:rFonts w:eastAsia="仿宋"/>
          <w:color w:val="auto"/>
          <w:sz w:val="28"/>
          <w:szCs w:val="28"/>
          <w:highlight w:val="none"/>
        </w:rPr>
      </w:pPr>
      <w:r>
        <w:rPr>
          <w:rFonts w:hint="eastAsia" w:eastAsia="仿宋"/>
          <w:color w:val="auto"/>
          <w:sz w:val="28"/>
          <w:szCs w:val="28"/>
          <w:highlight w:val="none"/>
          <w:lang w:val="en-US" w:eastAsia="zh-CN"/>
        </w:rPr>
        <w:t xml:space="preserve">8</w:t>
      </w:r>
      <w:r>
        <w:rPr>
          <w:rFonts w:eastAsia="仿宋"/>
          <w:color w:val="auto"/>
          <w:sz w:val="28"/>
          <w:szCs w:val="28"/>
          <w:highlight w:val="none"/>
        </w:rPr>
        <w:t xml:space="preserve">.</w:t>
      </w:r>
      <w:r>
        <w:rPr>
          <w:rFonts w:hint="eastAsia" w:eastAsia="仿宋"/>
          <w:color w:val="auto"/>
          <w:sz w:val="28"/>
          <w:szCs w:val="28"/>
          <w:highlight w:val="none"/>
          <w:lang w:val="en-US" w:eastAsia="zh-CN"/>
        </w:rPr>
        <w:t xml:space="preserve">事故处理和案件办理</w:t>
      </w:r>
      <w:r>
        <w:rPr>
          <w:rFonts w:hAnsi="仿宋" w:eastAsia="仿宋"/>
          <w:color w:val="auto"/>
          <w:sz w:val="28"/>
          <w:szCs w:val="28"/>
          <w:highlight w:val="none"/>
        </w:rPr>
        <w:t xml:space="preserve">大队：负责市区重大交通事故的处理。</w:t>
      </w:r>
      <w:r/>
    </w:p>
    <w:p>
      <w:pPr>
        <w:contextualSpacing/>
        <w:ind w:firstLine="560"/>
        <w:spacing w:line="440" w:lineRule="exact"/>
        <w:rPr>
          <w:rFonts w:eastAsia="仿宋"/>
          <w:color w:val="auto"/>
          <w:sz w:val="28"/>
          <w:szCs w:val="28"/>
          <w:highlight w:val="none"/>
        </w:rPr>
      </w:pPr>
      <w:r>
        <w:rPr>
          <w:rFonts w:hint="eastAsia" w:eastAsia="仿宋"/>
          <w:color w:val="auto"/>
          <w:sz w:val="28"/>
          <w:szCs w:val="28"/>
          <w:highlight w:val="none"/>
          <w:lang w:val="en-US" w:eastAsia="zh-CN"/>
        </w:rPr>
        <w:t xml:space="preserve">9</w:t>
      </w:r>
      <w:r>
        <w:rPr>
          <w:rFonts w:eastAsia="仿宋"/>
          <w:color w:val="auto"/>
          <w:sz w:val="28"/>
          <w:szCs w:val="28"/>
          <w:highlight w:val="none"/>
        </w:rPr>
        <w:t xml:space="preserve">.</w:t>
      </w:r>
      <w:r>
        <w:rPr>
          <w:rFonts w:hAnsi="仿宋" w:eastAsia="仿宋"/>
          <w:color w:val="auto"/>
          <w:sz w:val="28"/>
          <w:szCs w:val="28"/>
          <w:highlight w:val="none"/>
        </w:rPr>
        <w:t xml:space="preserve">高速四大队：</w:t>
      </w:r>
      <w:r>
        <w:rPr>
          <w:rFonts w:eastAsia="仿宋"/>
          <w:color w:val="auto"/>
          <w:sz w:val="28"/>
          <w:szCs w:val="28"/>
          <w:highlight w:val="none"/>
        </w:rPr>
        <w:t xml:space="preserve">G15</w:t>
      </w:r>
      <w:r>
        <w:rPr>
          <w:rFonts w:hAnsi="仿宋" w:eastAsia="仿宋"/>
          <w:color w:val="auto"/>
          <w:sz w:val="28"/>
          <w:szCs w:val="28"/>
          <w:highlight w:val="none"/>
        </w:rPr>
        <w:t xml:space="preserve">沈海高速小海互通至常熟开发区互通。</w:t>
      </w:r>
      <w:r/>
    </w:p>
    <w:p>
      <w:pPr>
        <w:contextualSpacing/>
        <w:ind w:firstLine="560"/>
        <w:spacing w:line="440" w:lineRule="exact"/>
        <w:rPr>
          <w:rFonts w:eastAsia="仿宋"/>
          <w:color w:val="auto"/>
          <w:sz w:val="28"/>
          <w:szCs w:val="28"/>
          <w:highlight w:val="none"/>
        </w:rPr>
      </w:pPr>
      <w:r>
        <w:rPr>
          <w:rFonts w:hint="eastAsia" w:eastAsia="仿宋"/>
          <w:color w:val="auto"/>
          <w:sz w:val="28"/>
          <w:szCs w:val="28"/>
          <w:highlight w:val="none"/>
          <w:lang w:val="en-US" w:eastAsia="zh-CN"/>
        </w:rPr>
        <w:t xml:space="preserve">10</w:t>
      </w:r>
      <w:r>
        <w:rPr>
          <w:rFonts w:hint="eastAsia" w:eastAsia="仿宋"/>
          <w:color w:val="auto"/>
          <w:sz w:val="28"/>
          <w:szCs w:val="28"/>
          <w:highlight w:val="none"/>
        </w:rPr>
        <w:t xml:space="preserve">.</w:t>
      </w:r>
      <w:r>
        <w:rPr>
          <w:rFonts w:hAnsi="仿宋" w:eastAsia="仿宋"/>
          <w:color w:val="auto"/>
          <w:sz w:val="28"/>
          <w:szCs w:val="28"/>
          <w:highlight w:val="none"/>
        </w:rPr>
        <w:t xml:space="preserve">高速九大队：</w:t>
      </w:r>
      <w:r>
        <w:rPr>
          <w:rFonts w:eastAsia="仿宋"/>
          <w:color w:val="auto"/>
          <w:sz w:val="28"/>
          <w:szCs w:val="28"/>
          <w:highlight w:val="none"/>
        </w:rPr>
        <w:t xml:space="preserve">S19</w:t>
      </w:r>
      <w:r>
        <w:rPr>
          <w:rFonts w:hAnsi="仿宋" w:eastAsia="仿宋"/>
          <w:color w:val="auto"/>
          <w:sz w:val="28"/>
          <w:szCs w:val="28"/>
          <w:highlight w:val="none"/>
        </w:rPr>
        <w:t xml:space="preserve">锡通高速新联枢纽至苏州界（</w:t>
      </w:r>
      <w:r>
        <w:rPr>
          <w:rFonts w:eastAsia="仿宋"/>
          <w:color w:val="auto"/>
          <w:sz w:val="28"/>
          <w:szCs w:val="28"/>
          <w:highlight w:val="none"/>
        </w:rPr>
        <w:t xml:space="preserve">40Km+970m—</w:t>
      </w:r>
      <w:r>
        <w:rPr>
          <w:rFonts w:hAnsi="仿宋" w:eastAsia="仿宋"/>
          <w:color w:val="auto"/>
          <w:sz w:val="28"/>
          <w:szCs w:val="28"/>
          <w:highlight w:val="none"/>
        </w:rPr>
        <w:t xml:space="preserve">苏州交界处）。</w:t>
      </w:r>
      <w:r/>
    </w:p>
    <w:p>
      <w:pPr>
        <w:contextualSpacing/>
        <w:ind w:firstLine="560"/>
        <w:spacing w:line="440" w:lineRule="exact"/>
        <w:rPr>
          <w:rFonts w:eastAsia="仿宋"/>
          <w:color w:val="auto"/>
          <w:sz w:val="28"/>
          <w:szCs w:val="28"/>
          <w:highlight w:val="none"/>
        </w:rPr>
      </w:pPr>
      <w:r>
        <w:rPr>
          <w:rFonts w:hAnsi="仿宋" w:eastAsia="仿宋"/>
          <w:color w:val="auto"/>
          <w:sz w:val="28"/>
          <w:szCs w:val="28"/>
          <w:highlight w:val="none"/>
        </w:rPr>
        <w:t xml:space="preserve">长江路高架：由一、二、四大队管辖，其中滨江大桥（不含桥面）以北由四大队负责，滨江大桥（含桥面）至虹桥路跨线桥南侧落地点由一大队负责，虹桥路跨线桥南侧落地点以南由二大队负责。长江北路九圩港河以西高架出入口由通州大队负责。</w:t>
      </w:r>
      <w:r/>
    </w:p>
    <w:p>
      <w:pPr>
        <w:contextualSpacing/>
        <w:ind w:firstLine="560"/>
        <w:spacing w:line="440" w:lineRule="exact"/>
        <w:rPr>
          <w:rFonts w:eastAsia="仿宋"/>
          <w:color w:val="auto"/>
          <w:sz w:val="28"/>
          <w:szCs w:val="28"/>
          <w:highlight w:val="none"/>
        </w:rPr>
      </w:pPr>
      <w:r>
        <w:rPr>
          <w:rFonts w:hAnsi="仿宋" w:eastAsia="仿宋"/>
          <w:color w:val="auto"/>
          <w:sz w:val="28"/>
          <w:szCs w:val="28"/>
          <w:highlight w:val="none"/>
        </w:rPr>
        <w:t xml:space="preserve">江海大道高架：由四大队管辖。江海大道园林路以东高架出入口由通州大队负责。</w:t>
      </w:r>
      <w:r/>
    </w:p>
    <w:p>
      <w:pPr>
        <w:contextualSpacing/>
        <w:ind w:firstLine="560"/>
        <w:spacing w:line="440" w:lineRule="exact"/>
        <w:rPr>
          <w:rFonts w:eastAsia="仿宋"/>
          <w:color w:val="auto"/>
          <w:sz w:val="28"/>
          <w:szCs w:val="28"/>
          <w:highlight w:val="none"/>
        </w:rPr>
      </w:pPr>
      <w:r>
        <w:rPr>
          <w:rFonts w:hAnsi="仿宋" w:eastAsia="仿宋"/>
          <w:color w:val="auto"/>
          <w:sz w:val="28"/>
          <w:szCs w:val="28"/>
          <w:highlight w:val="none"/>
        </w:rPr>
        <w:t xml:space="preserve">通宁大道高架：由四大队管辖。</w:t>
      </w:r>
      <w:r/>
    </w:p>
    <w:p>
      <w:pPr>
        <w:contextualSpacing/>
        <w:ind w:firstLine="560"/>
        <w:spacing w:line="440" w:lineRule="exact"/>
        <w:rPr>
          <w:rFonts w:eastAsia="仿宋"/>
          <w:color w:val="auto"/>
          <w:sz w:val="28"/>
          <w:szCs w:val="28"/>
          <w:highlight w:val="none"/>
        </w:rPr>
      </w:pPr>
      <w:r>
        <w:rPr>
          <w:rFonts w:hAnsi="仿宋" w:eastAsia="仿宋"/>
          <w:color w:val="auto"/>
          <w:sz w:val="28"/>
          <w:szCs w:val="28"/>
          <w:highlight w:val="none"/>
        </w:rPr>
        <w:t xml:space="preserve">通京大道高架：由一、二、四大队管辖，其中通京大道与江海大道高架互通立交（含）以北由四大队负责，通京大道与江海大道高架互通立交（不含）至学田南路（含）由一大队负责，学田南路（不含）以南由二大队负责。</w:t>
      </w:r>
      <w:r/>
    </w:p>
    <w:p>
      <w:pPr>
        <w:contextualSpacing/>
        <w:ind w:firstLine="560"/>
        <w:spacing w:line="440" w:lineRule="exact"/>
        <w:rPr>
          <w:rFonts w:eastAsia="仿宋"/>
          <w:color w:val="auto"/>
          <w:sz w:val="28"/>
          <w:szCs w:val="28"/>
          <w:highlight w:val="none"/>
        </w:rPr>
      </w:pPr>
      <w:r>
        <w:rPr>
          <w:rFonts w:hAnsi="仿宋" w:eastAsia="仿宋"/>
          <w:color w:val="auto"/>
          <w:sz w:val="28"/>
          <w:szCs w:val="28"/>
          <w:highlight w:val="none"/>
        </w:rPr>
        <w:t xml:space="preserve">通盛大道高架：由三、四、五大队管辖，其中通盛大道与江海大道高架互通立交（含）以北由四大队管辖，通盛大道与江海大道高架互通立交（不含）至世纪大道南侧龙门架由三大队管辖，世纪大道南侧龙门架以南（含通盛大道与通沪大道高架互通立交）由五大队管辖。</w:t>
      </w:r>
      <w:r/>
    </w:p>
    <w:p>
      <w:pPr>
        <w:contextualSpacing/>
        <w:ind w:firstLine="560"/>
        <w:spacing w:line="440" w:lineRule="exact"/>
        <w:rPr>
          <w:rFonts w:eastAsia="仿宋"/>
          <w:color w:val="auto"/>
          <w:sz w:val="28"/>
          <w:szCs w:val="28"/>
          <w:highlight w:val="none"/>
        </w:rPr>
      </w:pPr>
      <w:r>
        <w:rPr>
          <w:rFonts w:hAnsi="仿宋" w:eastAsia="仿宋"/>
          <w:color w:val="auto"/>
          <w:sz w:val="28"/>
          <w:szCs w:val="28"/>
          <w:highlight w:val="none"/>
        </w:rPr>
        <w:t xml:space="preserve">洪江路高架：由二、三大队管辖，其中星城路西侧龙门架以西由二大队负责，以东由三大队负责。</w:t>
      </w:r>
      <w:r/>
    </w:p>
    <w:p>
      <w:pPr>
        <w:contextualSpacing/>
        <w:ind w:firstLine="560"/>
        <w:spacing w:line="440" w:lineRule="exact"/>
        <w:rPr>
          <w:rFonts w:eastAsia="仿宋"/>
          <w:color w:val="auto"/>
          <w:sz w:val="28"/>
          <w:szCs w:val="28"/>
          <w:highlight w:val="none"/>
        </w:rPr>
      </w:pPr>
      <w:r>
        <w:rPr>
          <w:rFonts w:hAnsi="仿宋" w:eastAsia="仿宋"/>
          <w:color w:val="auto"/>
          <w:sz w:val="28"/>
          <w:szCs w:val="28"/>
          <w:highlight w:val="none"/>
        </w:rPr>
        <w:t xml:space="preserve">通富北路高架：由三大队管辖，含通富北路与通沪大道高架互通立交。</w:t>
      </w:r>
      <w:r/>
    </w:p>
    <w:p>
      <w:pPr>
        <w:contextualSpacing/>
        <w:ind w:firstLine="560"/>
        <w:spacing w:line="440" w:lineRule="exact"/>
        <w:rPr>
          <w:rFonts w:eastAsia="仿宋"/>
          <w:color w:val="auto"/>
          <w:sz w:val="28"/>
          <w:szCs w:val="28"/>
          <w:highlight w:val="none"/>
        </w:rPr>
      </w:pPr>
      <w:r>
        <w:rPr>
          <w:rFonts w:hAnsi="仿宋" w:eastAsia="仿宋"/>
          <w:color w:val="auto"/>
          <w:sz w:val="28"/>
          <w:szCs w:val="28"/>
          <w:highlight w:val="none"/>
        </w:rPr>
        <w:t xml:space="preserve">啬园路隧道：以隧道东侧主线出入口龙门架向西为界，由二大队管辖。</w:t>
      </w:r>
      <w:r/>
    </w:p>
    <w:p>
      <w:pPr>
        <w:contextualSpacing/>
        <w:ind w:firstLine="560"/>
        <w:spacing w:line="440" w:lineRule="exact"/>
        <w:rPr>
          <w:rFonts w:eastAsia="仿宋"/>
          <w:color w:val="auto"/>
          <w:sz w:val="28"/>
          <w:szCs w:val="28"/>
          <w:highlight w:val="none"/>
        </w:rPr>
      </w:pPr>
      <w:r>
        <w:rPr>
          <w:rFonts w:hAnsi="仿宋" w:eastAsia="仿宋"/>
          <w:color w:val="auto"/>
          <w:sz w:val="28"/>
          <w:szCs w:val="28"/>
          <w:highlight w:val="none"/>
        </w:rPr>
        <w:t xml:space="preserve">通沪大道高架：由三大队管辖，含通沪大道与通富北路高架互通立交，不含通沪大道与通盛大道高架互通立交、通沪大道与东方大道互通立交。</w:t>
      </w:r>
      <w:r/>
    </w:p>
    <w:p>
      <w:pPr>
        <w:contextualSpacing/>
        <w:ind w:firstLine="560"/>
        <w:spacing w:line="440" w:lineRule="exact"/>
        <w:rPr>
          <w:rFonts w:hAnsi="仿宋" w:eastAsia="仿宋"/>
          <w:color w:val="auto"/>
          <w:sz w:val="28"/>
          <w:szCs w:val="28"/>
          <w:highlight w:val="none"/>
        </w:rPr>
        <w:sectPr>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rPr>
          <w:rFonts w:hAnsi="仿宋" w:eastAsia="仿宋"/>
          <w:color w:val="auto"/>
          <w:sz w:val="28"/>
          <w:szCs w:val="28"/>
          <w:highlight w:val="none"/>
        </w:rPr>
        <w:t xml:space="preserve">东方大道高架：由五大队管辖，含东方大道与通沪大道高架互通立交。</w:t>
      </w:r>
      <w:r/>
    </w:p>
    <w:p>
      <w:pPr>
        <w:contextualSpacing/>
        <w:ind w:firstLine="560"/>
        <w:spacing w:line="440" w:lineRule="exact"/>
        <w:rPr>
          <w:rFonts w:hAnsi="仿宋" w:eastAsia="仿宋"/>
          <w:color w:val="auto"/>
          <w:sz w:val="28"/>
          <w:szCs w:val="28"/>
          <w:highlight w:val="none"/>
        </w:rPr>
      </w:pPr>
      <w:r>
        <w:rPr>
          <w:rFonts w:hint="eastAsia" w:hAnsi="仿宋" w:eastAsia="仿宋"/>
          <w:color w:val="auto"/>
          <w:sz w:val="28"/>
          <w:szCs w:val="2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-1523365</wp:posOffset>
                </wp:positionH>
                <wp:positionV relativeFrom="paragraph">
                  <wp:posOffset>1304925</wp:posOffset>
                </wp:positionV>
                <wp:extent cx="8354695" cy="5934075"/>
                <wp:effectExtent l="0" t="0" r="9525" b="8255"/>
                <wp:wrapNone/>
                <wp:docPr id="5" name="图片 5" descr="a8d21a90964f0e3bb127e991f25e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a8d21a90964f0e3bb127e991f25e574"/>
                        <pic:cNvPicPr>
                          <a:picLocks noChangeAspect="1"/>
                        </pic:cNvPicPr>
                        <pic:nvPr/>
                      </pic:nvPicPr>
                      <pic:blipFill>
                        <a:blip r:embed="rId23"/>
                        <a:stretch/>
                      </pic:blipFill>
                      <pic:spPr bwMode="auto">
                        <a:xfrm rot="5400000">
                          <a:off x="0" y="0"/>
                          <a:ext cx="8354695" cy="59340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19.9pt;mso-position-horizontal:absolute;mso-position-vertical-relative:text;margin-top:102.8pt;mso-position-vertical:absolute;width:657.9pt;height:467.2pt;mso-wrap-distance-left:9.0pt;mso-wrap-distance-top:0.0pt;mso-wrap-distance-right:9.0pt;mso-wrap-distance-bottom:0.0pt;rotation:90;" stroked="false">
                <v:path textboxrect="0,0,0,0"/>
                <v:imagedata r:id="rId23" o:title=""/>
              </v:shape>
            </w:pict>
          </mc:Fallback>
        </mc:AlternateContent>
      </w:r>
      <w:r/>
    </w:p>
    <w:p>
      <w:pPr>
        <w:ind w:firstLine="560"/>
        <w:jc w:val="left"/>
        <w:spacing w:line="460" w:lineRule="exact"/>
        <w:widowControl/>
        <w:rPr>
          <w:rFonts w:hint="default" w:ascii="方正仿宋_GBK" w:hAnsi="方正仿宋_GBK" w:eastAsia="方正仿宋_GBK" w:cs="方正仿宋_GBK"/>
          <w:b/>
          <w:bCs/>
          <w:color w:val="auto"/>
          <w:sz w:val="28"/>
          <w:szCs w:val="28"/>
          <w:highlight w:val="none"/>
          <w:lang w:val="en-US" w:eastAsia="zh-CN"/>
        </w:rPr>
      </w:pPr>
      <w:r>
        <w:rPr>
          <w:color w:val="auto"/>
          <w:highlight w:val="none"/>
        </w:rPr>
        <w:br w:type="page" w:clear="all"/>
      </w:r>
      <w:r/>
    </w:p>
    <w:p>
      <w:pPr>
        <w:jc w:val="left"/>
        <w:spacing w:line="300" w:lineRule="auto"/>
        <w:rPr>
          <w:rFonts w:hint="eastAsia" w:ascii="方正仿宋_GBK" w:hAnsi="方正仿宋_GBK" w:eastAsia="方正仿宋_GBK" w:cs="方正仿宋_GBK"/>
          <w:b/>
          <w:bCs/>
          <w:color w:val="auto"/>
          <w:sz w:val="28"/>
          <w:szCs w:val="28"/>
          <w:highlight w:val="none"/>
          <w:lang w:val="en-US" w:eastAsia="zh-CN"/>
        </w:rPr>
        <w:outlineLvl w:val="0"/>
      </w:pPr>
      <w:r>
        <w:rPr>
          <w:rFonts w:hint="eastAsia" w:ascii="方正仿宋_GBK" w:hAnsi="方正仿宋_GBK" w:eastAsia="方正仿宋_GBK" w:cs="方正仿宋_GBK"/>
          <w:b/>
          <w:bCs/>
          <w:color w:val="auto"/>
          <w:sz w:val="28"/>
          <w:szCs w:val="28"/>
          <w:highlight w:val="none"/>
          <w:lang w:val="en-US" w:eastAsia="zh-CN"/>
        </w:rPr>
        <w:t xml:space="preserve">附件2</w:t>
      </w:r>
      <w:r/>
    </w:p>
    <w:p>
      <w:pPr>
        <w:jc w:val="center"/>
        <w:rPr>
          <w:rFonts w:ascii="华文中宋" w:hAnsi="华文中宋" w:eastAsia="华文中宋"/>
          <w:bCs/>
          <w:color w:val="auto"/>
          <w:sz w:val="32"/>
          <w:szCs w:val="32"/>
          <w:highlight w:val="none"/>
        </w:rPr>
      </w:pPr>
      <w:r>
        <w:rPr>
          <w:rFonts w:hint="eastAsia" w:ascii="华文中宋" w:hAnsi="华文中宋" w:eastAsia="华文中宋"/>
          <w:bCs/>
          <w:color w:val="auto"/>
          <w:sz w:val="32"/>
          <w:szCs w:val="32"/>
          <w:highlight w:val="none"/>
        </w:rPr>
        <w:t xml:space="preserve">固定</w:t>
      </w:r>
      <w:r>
        <w:rPr>
          <w:rFonts w:ascii="华文中宋" w:hAnsi="华文中宋" w:eastAsia="华文中宋"/>
          <w:bCs/>
          <w:color w:val="auto"/>
          <w:sz w:val="32"/>
          <w:szCs w:val="32"/>
          <w:highlight w:val="none"/>
        </w:rPr>
        <w:t xml:space="preserve">车棚</w:t>
      </w:r>
      <w:r>
        <w:rPr>
          <w:rFonts w:hint="eastAsia" w:ascii="华文中宋" w:hAnsi="华文中宋" w:eastAsia="华文中宋"/>
          <w:bCs/>
          <w:color w:val="auto"/>
          <w:sz w:val="32"/>
          <w:szCs w:val="32"/>
          <w:highlight w:val="none"/>
        </w:rPr>
        <w:t xml:space="preserve">基本要求</w:t>
      </w:r>
      <w:r/>
    </w:p>
    <w:p>
      <w:pPr>
        <w:jc w:val="left"/>
        <w:rPr>
          <w:rFonts w:eastAsia="仿宋"/>
          <w:b/>
          <w:color w:val="auto"/>
          <w:sz w:val="36"/>
          <w:szCs w:val="36"/>
          <w:highlight w:val="none"/>
        </w:rPr>
        <w:outlineLvl w:val="0"/>
      </w:pPr>
      <w:r>
        <w:rPr>
          <w:rFonts w:eastAsia="仿宋"/>
          <w:b/>
          <w:color w:val="auto"/>
          <w:sz w:val="36"/>
          <w:szCs w:val="36"/>
          <w:highlight w:val="none"/>
        </w:rPr>
      </w:r>
      <w:r/>
    </w:p>
    <w:p>
      <w:pPr>
        <w:jc w:val="left"/>
        <w:spacing w:line="300" w:lineRule="auto"/>
        <w:rPr>
          <w:rFonts w:eastAsia="仿宋"/>
          <w:b/>
          <w:color w:val="auto"/>
          <w:sz w:val="36"/>
          <w:szCs w:val="36"/>
          <w:highlight w:val="none"/>
        </w:rPr>
        <w:outlineLvl w:val="0"/>
      </w:pPr>
      <w:r>
        <w:rPr>
          <w:rFonts w:eastAsia="仿宋"/>
          <w:b/>
          <w:color w:val="auto"/>
          <w:sz w:val="36"/>
          <w:szCs w:val="36"/>
          <w:highlight w:val="none"/>
        </w:rPr>
        <mc:AlternateContent>
          <mc:Choice Requires="wpg">
            <w:drawing>
              <wp:inline xmlns:wp="http://schemas.openxmlformats.org/drawingml/2006/wordprocessingDrawing" distT="0" distB="0" distL="0" distR="0">
                <wp:extent cx="5581650" cy="7096125"/>
                <wp:effectExtent l="0" t="0" r="0" b="9525"/>
                <wp:docPr id="6" name="图片框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框 1027"/>
                        <pic:cNvPicPr>
                          <a:picLocks noChangeAspect="1"/>
                        </pic:cNvPicPr>
                        <pic:nvPr/>
                      </pic:nvPicPr>
                      <pic:blipFill>
                        <a:blip r:embed="rId24">
                          <a:lum/>
                        </a:blip>
                        <a:stretch/>
                      </pic:blipFill>
                      <pic:spPr bwMode="auto">
                        <a:xfrm>
                          <a:off x="0" y="0"/>
                          <a:ext cx="5581649" cy="709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9.5pt;height:558.8pt;mso-wrap-distance-left:0.0pt;mso-wrap-distance-top:0.0pt;mso-wrap-distance-right:0.0pt;mso-wrap-distance-bottom:0.0pt;" stroked="f">
                <v:path textboxrect="0,0,0,0"/>
                <v:imagedata r:id="rId24" o:title=""/>
              </v:shape>
            </w:pict>
          </mc:Fallback>
        </mc:AlternateContent>
      </w:r>
      <w:r/>
    </w:p>
    <w:p>
      <w:pPr>
        <w:jc w:val="left"/>
        <w:spacing w:line="300" w:lineRule="auto"/>
        <w:rPr>
          <w:rFonts w:eastAsia="仿宋"/>
          <w:b/>
          <w:color w:val="auto"/>
          <w:sz w:val="36"/>
          <w:szCs w:val="36"/>
          <w:highlight w:val="none"/>
        </w:rPr>
        <w:outlineLvl w:val="0"/>
      </w:pPr>
      <w:r>
        <w:rPr>
          <w:rFonts w:eastAsia="仿宋"/>
          <w:b/>
          <w:color w:val="auto"/>
          <w:sz w:val="36"/>
          <w:szCs w:val="36"/>
          <w:highlight w:val="none"/>
        </w:rPr>
      </w:r>
      <w:r/>
    </w:p>
    <w:p>
      <w:pPr>
        <w:jc w:val="left"/>
        <w:spacing w:line="300" w:lineRule="auto"/>
        <w:rPr>
          <w:rFonts w:eastAsia="仿宋"/>
          <w:b/>
          <w:color w:val="auto"/>
          <w:sz w:val="36"/>
          <w:szCs w:val="36"/>
          <w:highlight w:val="none"/>
        </w:rPr>
        <w:outlineLvl w:val="0"/>
      </w:pPr>
      <w:r>
        <w:rPr>
          <w:rFonts w:eastAsia="仿宋"/>
          <w:b/>
          <w:color w:val="auto"/>
          <w:sz w:val="36"/>
          <w:szCs w:val="36"/>
          <w:highlight w:val="none"/>
        </w:rPr>
      </w:r>
      <w:r/>
    </w:p>
    <w:p>
      <w:pPr>
        <w:jc w:val="left"/>
        <w:spacing w:line="300" w:lineRule="auto"/>
        <w:rPr>
          <w:rFonts w:hint="eastAsia" w:ascii="方正仿宋_GBK" w:hAnsi="方正仿宋_GBK" w:eastAsia="方正仿宋_GBK" w:cs="方正仿宋_GBK"/>
          <w:b/>
          <w:bCs/>
          <w:color w:val="auto"/>
          <w:sz w:val="28"/>
          <w:szCs w:val="28"/>
          <w:highlight w:val="none"/>
          <w:lang w:val="en-US" w:eastAsia="zh-CN"/>
        </w:rPr>
        <w:outlineLvl w:val="0"/>
      </w:pPr>
      <w:r>
        <w:rPr>
          <w:rFonts w:hint="eastAsia" w:ascii="方正仿宋_GBK" w:hAnsi="方正仿宋_GBK" w:eastAsia="方正仿宋_GBK" w:cs="方正仿宋_GBK"/>
          <w:b/>
          <w:bCs/>
          <w:color w:val="auto"/>
          <w:sz w:val="28"/>
          <w:szCs w:val="28"/>
          <w:highlight w:val="none"/>
          <w:lang w:val="en-US" w:eastAsia="zh-CN"/>
        </w:rPr>
        <w:t xml:space="preserve">附件3</w:t>
      </w:r>
      <w:r/>
    </w:p>
    <w:p>
      <w:pPr>
        <w:jc w:val="center"/>
        <w:spacing w:line="440" w:lineRule="exact"/>
        <w:rPr>
          <w:rFonts w:ascii="华文中宋" w:hAnsi="华文中宋" w:eastAsia="华文中宋"/>
          <w:bCs/>
          <w:color w:val="auto"/>
          <w:sz w:val="32"/>
          <w:szCs w:val="32"/>
          <w:highlight w:val="none"/>
        </w:rPr>
      </w:pPr>
      <w:r>
        <w:rPr>
          <w:rFonts w:ascii="华文中宋" w:hAnsi="华文中宋" w:eastAsia="华文中宋"/>
          <w:bCs/>
          <w:color w:val="auto"/>
          <w:sz w:val="32"/>
          <w:szCs w:val="32"/>
          <w:highlight w:val="none"/>
        </w:rPr>
        <w:t xml:space="preserve">市区</w:t>
      </w:r>
      <w:r>
        <w:rPr>
          <w:rFonts w:hint="eastAsia" w:ascii="华文中宋" w:hAnsi="华文中宋" w:eastAsia="华文中宋"/>
          <w:bCs/>
          <w:color w:val="auto"/>
          <w:sz w:val="32"/>
          <w:szCs w:val="32"/>
          <w:highlight w:val="none"/>
          <w:lang w:val="en-US" w:eastAsia="zh-CN"/>
        </w:rPr>
        <w:t xml:space="preserve">交</w:t>
      </w:r>
      <w:r>
        <w:rPr>
          <w:rFonts w:hint="eastAsia" w:ascii="华文中宋" w:hAnsi="华文中宋" w:eastAsia="华文中宋"/>
          <w:bCs/>
          <w:color w:val="auto"/>
          <w:sz w:val="32"/>
          <w:szCs w:val="32"/>
          <w:highlight w:val="none"/>
          <w:lang w:eastAsia="zh-CN"/>
        </w:rPr>
        <w:t xml:space="preserve">通</w:t>
      </w:r>
      <w:r>
        <w:rPr>
          <w:rFonts w:hint="eastAsia" w:ascii="华文中宋" w:hAnsi="华文中宋" w:eastAsia="华文中宋"/>
          <w:bCs/>
          <w:color w:val="auto"/>
          <w:sz w:val="32"/>
          <w:szCs w:val="32"/>
          <w:highlight w:val="none"/>
          <w:lang w:val="en-US" w:eastAsia="zh-CN"/>
        </w:rPr>
        <w:t xml:space="preserve">管理</w:t>
      </w:r>
      <w:r>
        <w:rPr>
          <w:rFonts w:ascii="华文中宋" w:hAnsi="华文中宋" w:eastAsia="华文中宋"/>
          <w:bCs/>
          <w:color w:val="auto"/>
          <w:sz w:val="32"/>
          <w:szCs w:val="32"/>
          <w:highlight w:val="none"/>
        </w:rPr>
        <w:t xml:space="preserve">支队交通事故及交通违法车辆</w:t>
      </w:r>
      <w:r/>
    </w:p>
    <w:p>
      <w:pPr>
        <w:jc w:val="center"/>
        <w:spacing w:line="500" w:lineRule="exact"/>
        <w:rPr>
          <w:rFonts w:ascii="华文中宋" w:hAnsi="华文中宋" w:eastAsia="华文中宋"/>
          <w:bCs/>
          <w:color w:val="auto"/>
          <w:sz w:val="32"/>
          <w:szCs w:val="32"/>
          <w:highlight w:val="none"/>
        </w:rPr>
      </w:pPr>
      <w:r>
        <w:rPr>
          <w:rFonts w:ascii="华文中宋" w:hAnsi="华文中宋" w:eastAsia="华文中宋"/>
          <w:bCs/>
          <w:color w:val="auto"/>
          <w:sz w:val="32"/>
          <w:szCs w:val="32"/>
          <w:highlight w:val="none"/>
        </w:rPr>
        <w:t xml:space="preserve">专用停车场监控系统需求</w:t>
      </w:r>
      <w:r/>
    </w:p>
    <w:p>
      <w:pPr>
        <w:ind w:firstLine="560"/>
        <w:jc w:val="left"/>
        <w:spacing w:line="440" w:lineRule="exact"/>
        <w:rPr>
          <w:rFonts w:eastAsia="黑体"/>
          <w:color w:val="auto"/>
          <w:sz w:val="28"/>
          <w:szCs w:val="28"/>
          <w:highlight w:val="none"/>
        </w:rPr>
      </w:pPr>
      <w:r>
        <w:rPr>
          <w:rFonts w:eastAsia="黑体"/>
          <w:color w:val="auto"/>
          <w:sz w:val="28"/>
          <w:szCs w:val="28"/>
          <w:highlight w:val="none"/>
        </w:rPr>
        <w:t xml:space="preserve">一、概述</w:t>
      </w:r>
      <w:r/>
    </w:p>
    <w:p>
      <w:pPr>
        <w:ind w:firstLine="560"/>
        <w:jc w:val="left"/>
        <w:spacing w:line="440" w:lineRule="exact"/>
        <w:rPr>
          <w:rFonts w:eastAsia="仿宋"/>
          <w:color w:val="auto"/>
          <w:sz w:val="28"/>
          <w:szCs w:val="28"/>
          <w:highlight w:val="none"/>
        </w:rPr>
      </w:pPr>
      <w:r>
        <w:rPr>
          <w:rFonts w:eastAsia="仿宋"/>
          <w:color w:val="auto"/>
          <w:sz w:val="28"/>
          <w:szCs w:val="28"/>
          <w:highlight w:val="none"/>
        </w:rPr>
        <w:t xml:space="preserve">近年来随着机动车</w:t>
      </w:r>
      <w:r>
        <w:rPr>
          <w:rFonts w:hint="eastAsia" w:eastAsia="仿宋"/>
          <w:color w:val="auto"/>
          <w:sz w:val="28"/>
          <w:szCs w:val="28"/>
          <w:highlight w:val="none"/>
          <w:lang w:val="en-US" w:eastAsia="zh-CN"/>
        </w:rPr>
        <w:t xml:space="preserve">数量</w:t>
      </w:r>
      <w:r>
        <w:rPr>
          <w:rFonts w:eastAsia="仿宋"/>
          <w:color w:val="auto"/>
          <w:sz w:val="28"/>
          <w:szCs w:val="28"/>
          <w:highlight w:val="none"/>
        </w:rPr>
        <w:t xml:space="preserve">的增加，因机动车</w:t>
      </w:r>
      <w:r>
        <w:rPr>
          <w:rFonts w:hint="eastAsia" w:eastAsia="仿宋"/>
          <w:color w:val="auto"/>
          <w:sz w:val="28"/>
          <w:szCs w:val="28"/>
          <w:highlight w:val="none"/>
          <w:lang w:val="en-US" w:eastAsia="zh-CN"/>
        </w:rPr>
        <w:t xml:space="preserve">交通</w:t>
      </w:r>
      <w:r>
        <w:rPr>
          <w:rFonts w:eastAsia="仿宋"/>
          <w:color w:val="auto"/>
          <w:sz w:val="28"/>
          <w:szCs w:val="28"/>
          <w:highlight w:val="none"/>
        </w:rPr>
        <w:t xml:space="preserve">事故和违法而</w:t>
      </w:r>
      <w:r>
        <w:rPr>
          <w:rFonts w:hint="eastAsia" w:eastAsia="仿宋"/>
          <w:color w:val="auto"/>
          <w:sz w:val="28"/>
          <w:szCs w:val="28"/>
          <w:highlight w:val="none"/>
          <w:lang w:val="en-US" w:eastAsia="zh-CN"/>
        </w:rPr>
        <w:t xml:space="preserve">被公安机关扣留</w:t>
      </w:r>
      <w:r>
        <w:rPr>
          <w:rFonts w:eastAsia="仿宋"/>
          <w:color w:val="auto"/>
          <w:sz w:val="28"/>
          <w:szCs w:val="28"/>
          <w:highlight w:val="none"/>
        </w:rPr>
        <w:t xml:space="preserve">的车辆明显增多，并且因以上车辆在专用停车场引起的纠纷也有所增加，社会上也时有报导，给执法部门的形象造成一定的社会影响。为预防此类事件的发生，现需在专用停车场建设一套智能监控系统。</w:t>
      </w:r>
      <w:r/>
    </w:p>
    <w:p>
      <w:pPr>
        <w:ind w:firstLine="560"/>
        <w:jc w:val="left"/>
        <w:spacing w:line="440" w:lineRule="exact"/>
        <w:rPr>
          <w:rFonts w:eastAsia="黑体"/>
          <w:color w:val="auto"/>
          <w:sz w:val="28"/>
          <w:szCs w:val="28"/>
          <w:highlight w:val="none"/>
        </w:rPr>
      </w:pPr>
      <w:r>
        <w:rPr>
          <w:rFonts w:eastAsia="黑体"/>
          <w:color w:val="auto"/>
          <w:sz w:val="28"/>
          <w:szCs w:val="28"/>
          <w:highlight w:val="none"/>
        </w:rPr>
        <w:t xml:space="preserve">二、系统功能</w:t>
      </w:r>
      <w:r/>
    </w:p>
    <w:p>
      <w:pPr>
        <w:ind w:firstLine="560"/>
        <w:jc w:val="left"/>
        <w:spacing w:line="440" w:lineRule="exact"/>
        <w:rPr>
          <w:rFonts w:eastAsia="楷体"/>
          <w:color w:val="auto"/>
          <w:sz w:val="28"/>
          <w:szCs w:val="28"/>
          <w:highlight w:val="none"/>
        </w:rPr>
      </w:pPr>
      <w:r>
        <w:rPr>
          <w:rFonts w:eastAsia="楷体"/>
          <w:color w:val="auto"/>
          <w:sz w:val="28"/>
          <w:szCs w:val="28"/>
          <w:highlight w:val="none"/>
        </w:rPr>
        <w:t xml:space="preserve">1、车辆信息记录</w:t>
      </w:r>
      <w:r/>
    </w:p>
    <w:p>
      <w:pPr>
        <w:ind w:firstLine="560"/>
        <w:jc w:val="left"/>
        <w:spacing w:line="440" w:lineRule="exact"/>
        <w:rPr>
          <w:rFonts w:eastAsia="仿宋"/>
          <w:color w:val="auto"/>
          <w:sz w:val="28"/>
          <w:szCs w:val="28"/>
          <w:highlight w:val="none"/>
        </w:rPr>
      </w:pPr>
      <w:r>
        <w:rPr>
          <w:rFonts w:eastAsia="仿宋"/>
          <w:color w:val="auto"/>
          <w:sz w:val="28"/>
          <w:szCs w:val="28"/>
          <w:highlight w:val="none"/>
        </w:rPr>
        <w:t xml:space="preserve">车辆信息包括车辆进出信息和车辆图像信息两类。在车辆通过出入口时，牌照识别系统准确拍摄包含车辆前端、车牌的图像，并将图像和车辆通行信息传输给出入口控制终端，并可选择在图像中叠加车辆通行信息（如时间、地点等），准确记录车辆通行信息。</w:t>
      </w:r>
      <w:r/>
    </w:p>
    <w:p>
      <w:pPr>
        <w:ind w:firstLine="560"/>
        <w:jc w:val="left"/>
        <w:spacing w:line="440" w:lineRule="exact"/>
        <w:rPr>
          <w:rFonts w:eastAsia="仿宋"/>
          <w:color w:val="auto"/>
          <w:sz w:val="28"/>
          <w:szCs w:val="28"/>
          <w:highlight w:val="none"/>
        </w:rPr>
      </w:pPr>
      <w:r>
        <w:rPr>
          <w:rFonts w:eastAsia="仿宋"/>
          <w:color w:val="auto"/>
          <w:sz w:val="28"/>
          <w:szCs w:val="28"/>
          <w:highlight w:val="none"/>
        </w:rPr>
        <w:t xml:space="preserve">可提供车头图像（可包含车辆全貌），系统采用的抓拍摄像机，具备智能成像和控制补光功能，能够在各种复杂环境（如雨雾、强逆光、弱光照、强光照等）下和夜间拍摄出清晰的图片。</w:t>
      </w:r>
      <w:r/>
    </w:p>
    <w:p>
      <w:pPr>
        <w:ind w:firstLine="560"/>
        <w:jc w:val="left"/>
        <w:spacing w:line="440" w:lineRule="exact"/>
        <w:rPr>
          <w:rFonts w:eastAsia="楷体"/>
          <w:color w:val="auto"/>
          <w:sz w:val="28"/>
          <w:szCs w:val="28"/>
          <w:highlight w:val="none"/>
        </w:rPr>
      </w:pPr>
      <w:r>
        <w:rPr>
          <w:rFonts w:eastAsia="楷体"/>
          <w:color w:val="auto"/>
          <w:sz w:val="28"/>
          <w:szCs w:val="28"/>
          <w:highlight w:val="none"/>
        </w:rPr>
        <w:t xml:space="preserve">2、车辆管控</w:t>
      </w:r>
      <w:r/>
    </w:p>
    <w:p>
      <w:pPr>
        <w:ind w:firstLine="560"/>
        <w:jc w:val="left"/>
        <w:spacing w:line="440" w:lineRule="exact"/>
        <w:rPr>
          <w:rFonts w:eastAsia="仿宋"/>
          <w:color w:val="auto"/>
          <w:sz w:val="28"/>
          <w:szCs w:val="28"/>
          <w:highlight w:val="none"/>
        </w:rPr>
      </w:pPr>
      <w:r>
        <w:rPr>
          <w:rFonts w:eastAsia="仿宋"/>
          <w:color w:val="auto"/>
          <w:sz w:val="28"/>
          <w:szCs w:val="28"/>
          <w:highlight w:val="none"/>
        </w:rPr>
        <w:t xml:space="preserve">固定车辆：支持车牌识别比对正确，信息核实有效后，即可进场和出场，无需其他操作；</w:t>
      </w:r>
      <w:r/>
    </w:p>
    <w:p>
      <w:pPr>
        <w:ind w:firstLine="560"/>
        <w:jc w:val="left"/>
        <w:spacing w:line="440" w:lineRule="exact"/>
        <w:rPr>
          <w:rFonts w:eastAsia="仿宋"/>
          <w:color w:val="auto"/>
          <w:sz w:val="28"/>
          <w:szCs w:val="28"/>
          <w:highlight w:val="none"/>
        </w:rPr>
      </w:pPr>
      <w:r>
        <w:rPr>
          <w:rFonts w:eastAsia="仿宋"/>
          <w:color w:val="auto"/>
          <w:sz w:val="28"/>
          <w:szCs w:val="28"/>
          <w:highlight w:val="none"/>
        </w:rPr>
        <w:t xml:space="preserve">临时车辆：抓拍车牌并识别，将车辆信息记录在系统中，直接放行进场；出场时，能过人脸识别摄像机记录相关信息，缴清相关费用后，快速离场；</w:t>
      </w:r>
      <w:r/>
    </w:p>
    <w:p>
      <w:pPr>
        <w:ind w:firstLine="560"/>
        <w:jc w:val="left"/>
        <w:spacing w:line="440" w:lineRule="exact"/>
        <w:rPr>
          <w:rFonts w:eastAsia="仿宋"/>
          <w:color w:val="auto"/>
          <w:sz w:val="28"/>
          <w:szCs w:val="28"/>
          <w:highlight w:val="none"/>
        </w:rPr>
      </w:pPr>
      <w:r>
        <w:rPr>
          <w:rFonts w:eastAsia="仿宋"/>
          <w:color w:val="auto"/>
          <w:sz w:val="28"/>
          <w:szCs w:val="28"/>
          <w:highlight w:val="none"/>
        </w:rPr>
        <w:t xml:space="preserve">布控车辆：嫌疑车辆由系统自动在前端岗亭和中心产生报警，同时人工参与处理。</w:t>
      </w:r>
      <w:r/>
    </w:p>
    <w:p>
      <w:pPr>
        <w:ind w:firstLine="560"/>
        <w:jc w:val="left"/>
        <w:spacing w:line="440" w:lineRule="exact"/>
        <w:rPr>
          <w:rFonts w:eastAsia="仿宋"/>
          <w:color w:val="auto"/>
          <w:sz w:val="28"/>
          <w:szCs w:val="28"/>
          <w:highlight w:val="none"/>
        </w:rPr>
      </w:pPr>
      <w:r>
        <w:rPr>
          <w:rFonts w:eastAsia="楷体"/>
          <w:color w:val="auto"/>
          <w:sz w:val="28"/>
          <w:szCs w:val="28"/>
          <w:highlight w:val="none"/>
        </w:rPr>
        <w:t xml:space="preserve">3、远程协助</w:t>
      </w:r>
      <w:r/>
    </w:p>
    <w:p>
      <w:pPr>
        <w:ind w:firstLine="560"/>
        <w:jc w:val="left"/>
        <w:spacing w:line="440" w:lineRule="exact"/>
        <w:rPr>
          <w:rFonts w:eastAsia="仿宋"/>
          <w:color w:val="auto"/>
          <w:sz w:val="28"/>
          <w:szCs w:val="28"/>
          <w:highlight w:val="none"/>
        </w:rPr>
      </w:pPr>
      <w:r>
        <w:rPr>
          <w:rFonts w:eastAsia="仿宋"/>
          <w:color w:val="auto"/>
          <w:sz w:val="28"/>
          <w:szCs w:val="28"/>
          <w:highlight w:val="none"/>
        </w:rPr>
        <w:t xml:space="preserve">停车场管理者可以通过本系统的中心客户端远程接听入场车道或者出场车道求助对讲。可以对于车主的操作问题进行指导；可以对于识别错误问题进行远程修正；可以对于特殊车辆进行放。</w:t>
      </w:r>
      <w:r/>
    </w:p>
    <w:p>
      <w:pPr>
        <w:ind w:firstLine="560"/>
        <w:jc w:val="left"/>
        <w:spacing w:line="440" w:lineRule="exact"/>
        <w:rPr>
          <w:rFonts w:eastAsia="楷体"/>
          <w:color w:val="auto"/>
          <w:sz w:val="28"/>
          <w:szCs w:val="28"/>
          <w:highlight w:val="none"/>
        </w:rPr>
      </w:pPr>
      <w:r>
        <w:rPr>
          <w:rFonts w:eastAsia="楷体"/>
          <w:color w:val="auto"/>
          <w:sz w:val="28"/>
          <w:szCs w:val="28"/>
          <w:highlight w:val="none"/>
        </w:rPr>
        <w:t xml:space="preserve">4、报警管理功能</w:t>
      </w:r>
      <w:r/>
    </w:p>
    <w:p>
      <w:pPr>
        <w:ind w:firstLine="560"/>
        <w:jc w:val="left"/>
        <w:spacing w:line="440" w:lineRule="exact"/>
        <w:rPr>
          <w:rFonts w:eastAsia="仿宋"/>
          <w:color w:val="auto"/>
          <w:sz w:val="28"/>
          <w:szCs w:val="28"/>
          <w:highlight w:val="none"/>
        </w:rPr>
      </w:pPr>
      <w:r>
        <w:rPr>
          <w:rFonts w:eastAsia="仿宋"/>
          <w:color w:val="auto"/>
          <w:sz w:val="28"/>
          <w:szCs w:val="28"/>
          <w:highlight w:val="none"/>
        </w:rPr>
        <w:t xml:space="preserve">当系统识别出来的车辆车牌不符合条件时，或者车牌在黑名单库时，岗亭或管理中心自动报警，提示工作人员进行检查。</w:t>
      </w:r>
      <w:r/>
    </w:p>
    <w:p>
      <w:pPr>
        <w:ind w:firstLine="560"/>
        <w:jc w:val="left"/>
        <w:spacing w:line="440" w:lineRule="exact"/>
        <w:rPr>
          <w:rFonts w:eastAsia="楷体"/>
          <w:color w:val="auto"/>
          <w:sz w:val="28"/>
          <w:szCs w:val="28"/>
          <w:highlight w:val="none"/>
        </w:rPr>
      </w:pPr>
      <w:r>
        <w:rPr>
          <w:rFonts w:eastAsia="楷体"/>
          <w:color w:val="auto"/>
          <w:sz w:val="28"/>
          <w:szCs w:val="28"/>
          <w:highlight w:val="none"/>
        </w:rPr>
        <w:t xml:space="preserve">5、数据查询功能</w:t>
      </w:r>
      <w:r/>
    </w:p>
    <w:p>
      <w:pPr>
        <w:ind w:firstLine="560"/>
        <w:jc w:val="left"/>
        <w:spacing w:line="440" w:lineRule="exact"/>
        <w:rPr>
          <w:rFonts w:eastAsia="仿宋"/>
          <w:color w:val="auto"/>
          <w:sz w:val="28"/>
          <w:szCs w:val="28"/>
          <w:highlight w:val="none"/>
        </w:rPr>
      </w:pPr>
      <w:r>
        <w:rPr>
          <w:rFonts w:eastAsia="仿宋"/>
          <w:color w:val="auto"/>
          <w:sz w:val="28"/>
          <w:szCs w:val="28"/>
          <w:highlight w:val="none"/>
        </w:rPr>
        <w:t xml:space="preserve">可查询通行信息、场内车辆、操作日志、设备状态和收费金额等信息并输出完整的数据报表。</w:t>
      </w:r>
      <w:r/>
    </w:p>
    <w:p>
      <w:pPr>
        <w:ind w:firstLine="560"/>
        <w:jc w:val="left"/>
        <w:spacing w:line="440" w:lineRule="exact"/>
        <w:rPr>
          <w:rFonts w:eastAsia="楷体"/>
          <w:color w:val="auto"/>
          <w:sz w:val="28"/>
          <w:szCs w:val="28"/>
          <w:highlight w:val="none"/>
        </w:rPr>
      </w:pPr>
      <w:r>
        <w:rPr>
          <w:rFonts w:eastAsia="楷体"/>
          <w:color w:val="auto"/>
          <w:sz w:val="28"/>
          <w:szCs w:val="28"/>
          <w:highlight w:val="none"/>
        </w:rPr>
        <w:t xml:space="preserve">6、监控功能</w:t>
      </w:r>
      <w:r/>
    </w:p>
    <w:p>
      <w:pPr>
        <w:ind w:firstLine="560"/>
        <w:jc w:val="left"/>
        <w:spacing w:line="440" w:lineRule="exact"/>
        <w:rPr>
          <w:rFonts w:eastAsia="仿宋"/>
          <w:color w:val="auto"/>
          <w:sz w:val="28"/>
          <w:szCs w:val="28"/>
          <w:highlight w:val="none"/>
        </w:rPr>
      </w:pPr>
      <w:r>
        <w:rPr>
          <w:rFonts w:eastAsia="仿宋"/>
          <w:color w:val="auto"/>
          <w:sz w:val="28"/>
          <w:szCs w:val="28"/>
          <w:highlight w:val="none"/>
        </w:rPr>
        <w:t xml:space="preserve">对停车场进行全面的监控，支持录像查询、回放等。</w:t>
      </w:r>
      <w:r/>
    </w:p>
    <w:p>
      <w:pPr>
        <w:ind w:firstLine="560"/>
        <w:jc w:val="left"/>
        <w:spacing w:line="440" w:lineRule="exact"/>
        <w:rPr>
          <w:rFonts w:eastAsia="黑体"/>
          <w:color w:val="auto"/>
          <w:sz w:val="28"/>
          <w:szCs w:val="28"/>
          <w:highlight w:val="none"/>
        </w:rPr>
      </w:pPr>
      <w:r>
        <w:rPr>
          <w:rFonts w:eastAsia="黑体"/>
          <w:color w:val="auto"/>
          <w:sz w:val="28"/>
          <w:szCs w:val="28"/>
          <w:highlight w:val="none"/>
        </w:rPr>
        <w:t xml:space="preserve">三、设备清单</w:t>
      </w:r>
      <w:r/>
    </w:p>
    <w:tbl>
      <w:tblPr>
        <w:tblStyle w:val="923"/>
        <w:tblW w:w="8130" w:type="dxa"/>
        <w:tblInd w:w="93" w:type="dxa"/>
        <w:tblLayout w:type="fixed"/>
        <w:tblCellMar>
          <w:left w:w="108" w:type="dxa"/>
          <w:top w:w="0" w:type="dxa"/>
          <w:right w:w="108" w:type="dxa"/>
          <w:bottom w:w="0" w:type="dxa"/>
        </w:tblCellMar>
        <w:tblLook w:val="04A0" w:firstRow="1" w:lastRow="0" w:firstColumn="1" w:lastColumn="0" w:noHBand="0" w:noVBand="1"/>
      </w:tblPr>
      <w:tblGrid>
        <w:gridCol w:w="648"/>
        <w:gridCol w:w="1352"/>
        <w:gridCol w:w="3880"/>
        <w:gridCol w:w="702"/>
        <w:gridCol w:w="693"/>
        <w:gridCol w:w="855"/>
      </w:tblGrid>
      <w:tr>
        <w:trPr>
          <w:trHeight w:val="465"/>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b/>
                <w:bCs/>
                <w:color w:val="auto"/>
                <w:sz w:val="20"/>
                <w:szCs w:val="20"/>
                <w:highlight w:val="none"/>
              </w:rPr>
            </w:pPr>
            <w:r>
              <w:rPr>
                <w:b/>
                <w:bCs/>
                <w:color w:val="auto"/>
                <w:sz w:val="20"/>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1352" w:type="dxa"/>
            <w:vAlign w:val="center"/>
            <w:textDirection w:val="lrTb"/>
            <w:noWrap w:val="false"/>
          </w:tcPr>
          <w:p>
            <w:pPr>
              <w:jc w:val="center"/>
              <w:widowControl/>
              <w:rPr>
                <w:b/>
                <w:bCs/>
                <w:color w:val="auto"/>
                <w:sz w:val="20"/>
                <w:szCs w:val="20"/>
                <w:highlight w:val="none"/>
              </w:rPr>
            </w:pPr>
            <w:r>
              <w:rPr>
                <w:b/>
                <w:bCs/>
                <w:color w:val="auto"/>
                <w:sz w:val="20"/>
                <w:szCs w:val="20"/>
                <w:highlight w:val="none"/>
              </w:rPr>
              <w:t xml:space="preserve">名称</w:t>
            </w:r>
            <w:r/>
          </w:p>
        </w:tc>
        <w:tc>
          <w:tcPr>
            <w:tcBorders>
              <w:top w:val="single" w:color="auto" w:sz="4" w:space="0"/>
              <w:left w:val="none" w:color="000000" w:sz="4" w:space="0"/>
              <w:bottom w:val="single" w:color="auto" w:sz="4" w:space="0"/>
              <w:right w:val="single" w:color="auto" w:sz="4" w:space="0"/>
            </w:tcBorders>
            <w:tcW w:w="3880" w:type="dxa"/>
            <w:vAlign w:val="center"/>
            <w:textDirection w:val="lrTb"/>
            <w:noWrap w:val="false"/>
          </w:tcPr>
          <w:p>
            <w:pPr>
              <w:jc w:val="center"/>
              <w:widowControl/>
              <w:rPr>
                <w:b/>
                <w:bCs/>
                <w:color w:val="auto"/>
                <w:sz w:val="20"/>
                <w:szCs w:val="20"/>
                <w:highlight w:val="none"/>
              </w:rPr>
            </w:pPr>
            <w:r>
              <w:rPr>
                <w:b/>
                <w:bCs/>
                <w:color w:val="auto"/>
                <w:sz w:val="20"/>
                <w:szCs w:val="20"/>
                <w:highlight w:val="none"/>
              </w:rPr>
              <w:t xml:space="preserve">规格</w:t>
            </w:r>
            <w:r/>
          </w:p>
        </w:tc>
        <w:tc>
          <w:tcPr>
            <w:tcBorders>
              <w:top w:val="single" w:color="auto"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b/>
                <w:bCs/>
                <w:color w:val="auto"/>
                <w:sz w:val="20"/>
                <w:szCs w:val="20"/>
                <w:highlight w:val="none"/>
              </w:rPr>
            </w:pPr>
            <w:r>
              <w:rPr>
                <w:b/>
                <w:bCs/>
                <w:color w:val="auto"/>
                <w:sz w:val="20"/>
                <w:szCs w:val="20"/>
                <w:highlight w:val="none"/>
              </w:rPr>
              <w:t xml:space="preserve">数量</w:t>
            </w:r>
            <w:r/>
          </w:p>
        </w:tc>
        <w:tc>
          <w:tcPr>
            <w:tcBorders>
              <w:top w:val="single" w:color="auto"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b/>
                <w:bCs/>
                <w:color w:val="auto"/>
                <w:sz w:val="20"/>
                <w:szCs w:val="20"/>
                <w:highlight w:val="none"/>
              </w:rPr>
            </w:pPr>
            <w:r>
              <w:rPr>
                <w:b/>
                <w:bCs/>
                <w:color w:val="auto"/>
                <w:sz w:val="20"/>
                <w:szCs w:val="20"/>
                <w:highlight w:val="none"/>
              </w:rPr>
              <w:t xml:space="preserve">单位</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color w:val="auto"/>
                <w:sz w:val="22"/>
                <w:highlight w:val="none"/>
              </w:rPr>
            </w:pPr>
            <w:r>
              <w:rPr>
                <w:color w:val="auto"/>
                <w:sz w:val="22"/>
                <w:highlight w:val="none"/>
              </w:rPr>
              <w:t xml:space="preserve">备注</w:t>
            </w:r>
            <w:r/>
          </w:p>
        </w:tc>
      </w:tr>
      <w:tr>
        <w:trPr>
          <w:trHeight w:val="600"/>
        </w:trPr>
        <w:tc>
          <w:tcPr>
            <w:shd w:val="clear" w:color="000000" w:fill="ffffff"/>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900万出入口人脸抓拍</w:t>
            </w:r>
            <w:r/>
          </w:p>
        </w:tc>
        <w:tc>
          <w:tcPr>
            <w:shd w:val="clear" w:color="000000" w:fill="ffffff"/>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widowControl/>
              <w:rPr>
                <w:color w:val="auto"/>
                <w:sz w:val="18"/>
                <w:szCs w:val="18"/>
                <w:highlight w:val="none"/>
              </w:rPr>
            </w:pPr>
            <w:r>
              <w:rPr>
                <w:color w:val="auto"/>
                <w:sz w:val="18"/>
                <w:szCs w:val="18"/>
                <w:highlight w:val="none"/>
              </w:rPr>
              <w:t xml:space="preserve">采用1英寸900万像素彩色全局曝光CMOS，最大分辨率可达4096×2160，最大帧率达25帧</w:t>
            </w:r>
            <w:r/>
          </w:p>
          <w:p>
            <w:pPr>
              <w:jc w:val="left"/>
              <w:widowControl/>
              <w:rPr>
                <w:color w:val="auto"/>
                <w:sz w:val="18"/>
                <w:szCs w:val="18"/>
                <w:highlight w:val="none"/>
              </w:rPr>
            </w:pPr>
            <w:r>
              <w:rPr>
                <w:color w:val="auto"/>
                <w:sz w:val="18"/>
                <w:szCs w:val="18"/>
                <w:highlight w:val="none"/>
              </w:rPr>
              <w:t xml:space="preserve">多种触发模式：支持线圈触发、视频触发等多种触发模式；捕获率高，纯视频识别，纯视频抓拍时可捕获无车牌，捕获率99.5%以上</w:t>
            </w:r>
            <w:r/>
          </w:p>
          <w:p>
            <w:pPr>
              <w:jc w:val="left"/>
              <w:widowControl/>
              <w:rPr>
                <w:color w:val="auto"/>
                <w:sz w:val="18"/>
                <w:szCs w:val="18"/>
                <w:highlight w:val="none"/>
              </w:rPr>
            </w:pPr>
            <w:r>
              <w:rPr>
                <w:color w:val="auto"/>
                <w:sz w:val="18"/>
                <w:szCs w:val="18"/>
                <w:highlight w:val="none"/>
              </w:rPr>
              <w:t xml:space="preserve">可同时支持控制爆闪灯和LED频闪灯同步补光</w:t>
            </w:r>
            <w:r/>
          </w:p>
          <w:p>
            <w:pPr>
              <w:jc w:val="left"/>
              <w:widowControl/>
              <w:rPr>
                <w:color w:val="auto"/>
                <w:sz w:val="18"/>
                <w:szCs w:val="18"/>
                <w:highlight w:val="none"/>
              </w:rPr>
            </w:pPr>
            <w:r>
              <w:rPr>
                <w:color w:val="auto"/>
                <w:sz w:val="18"/>
                <w:szCs w:val="18"/>
                <w:highlight w:val="none"/>
              </w:rPr>
              <w:t xml:space="preserve">支持车窗人脸检测</w:t>
            </w:r>
            <w:r/>
          </w:p>
          <w:p>
            <w:pPr>
              <w:jc w:val="left"/>
              <w:widowControl/>
              <w:rPr>
                <w:color w:val="auto"/>
                <w:sz w:val="18"/>
                <w:szCs w:val="18"/>
                <w:highlight w:val="none"/>
              </w:rPr>
            </w:pPr>
            <w:r>
              <w:rPr>
                <w:color w:val="auto"/>
                <w:sz w:val="18"/>
                <w:szCs w:val="18"/>
                <w:highlight w:val="none"/>
              </w:rPr>
              <w:t xml:space="preserve">深度学习智能识别，可以对车辆的车牌、车身颜色、车型、主品牌及子品牌等信息进行检测</w:t>
            </w:r>
            <w:r/>
          </w:p>
          <w:p>
            <w:pPr>
              <w:jc w:val="left"/>
              <w:widowControl/>
              <w:rPr>
                <w:color w:val="auto"/>
                <w:sz w:val="18"/>
                <w:szCs w:val="18"/>
                <w:highlight w:val="none"/>
              </w:rPr>
            </w:pPr>
            <w:r>
              <w:rPr>
                <w:color w:val="auto"/>
                <w:sz w:val="18"/>
                <w:szCs w:val="18"/>
                <w:highlight w:val="none"/>
              </w:rPr>
              <w:t xml:space="preserve">支持10种车身颜色，8种车型，220种车标和3000种子品牌识别等车辆特征识别</w:t>
            </w:r>
            <w:r/>
          </w:p>
          <w:p>
            <w:pPr>
              <w:jc w:val="left"/>
              <w:widowControl/>
              <w:rPr>
                <w:color w:val="auto"/>
                <w:sz w:val="18"/>
                <w:szCs w:val="18"/>
                <w:highlight w:val="none"/>
              </w:rPr>
            </w:pPr>
            <w:r>
              <w:rPr>
                <w:color w:val="auto"/>
                <w:sz w:val="18"/>
                <w:szCs w:val="18"/>
                <w:highlight w:val="none"/>
              </w:rPr>
              <w:t xml:space="preserve">防跟车模式：对于连续过车的场景，可实现跟车不落杆，有效解决拥堵问题</w:t>
            </w:r>
            <w:r/>
          </w:p>
          <w:p>
            <w:pPr>
              <w:jc w:val="left"/>
              <w:widowControl/>
              <w:rPr>
                <w:color w:val="auto"/>
                <w:sz w:val="18"/>
                <w:szCs w:val="18"/>
                <w:highlight w:val="none"/>
              </w:rPr>
            </w:pPr>
            <w:r>
              <w:rPr>
                <w:color w:val="auto"/>
                <w:sz w:val="18"/>
                <w:szCs w:val="18"/>
                <w:highlight w:val="none"/>
              </w:rPr>
              <w:t xml:space="preserve">黑白名单控制，可选配TF卡，支持黑、白名单的导入及对比，可直接联动道闸开闸，支持脱机运行</w:t>
            </w:r>
            <w:r/>
          </w:p>
          <w:p>
            <w:pPr>
              <w:jc w:val="left"/>
              <w:widowControl/>
              <w:rPr>
                <w:color w:val="auto"/>
                <w:sz w:val="18"/>
                <w:szCs w:val="18"/>
                <w:highlight w:val="none"/>
              </w:rPr>
            </w:pPr>
            <w:r>
              <w:rPr>
                <w:color w:val="auto"/>
                <w:sz w:val="18"/>
                <w:szCs w:val="18"/>
                <w:highlight w:val="none"/>
              </w:rPr>
              <w:t xml:space="preserve">摄像机</w:t>
            </w:r>
            <w:r/>
          </w:p>
          <w:p>
            <w:pPr>
              <w:jc w:val="left"/>
              <w:widowControl/>
              <w:rPr>
                <w:color w:val="auto"/>
                <w:sz w:val="18"/>
                <w:szCs w:val="18"/>
                <w:highlight w:val="none"/>
              </w:rPr>
            </w:pPr>
            <w:r>
              <w:rPr>
                <w:color w:val="auto"/>
                <w:sz w:val="18"/>
                <w:szCs w:val="18"/>
                <w:highlight w:val="none"/>
              </w:rPr>
              <w:t xml:space="preserve">传感器类型：传感器类型 1英寸彩色全局曝光 CMOS </w:t>
            </w:r>
            <w:r/>
          </w:p>
          <w:p>
            <w:pPr>
              <w:jc w:val="left"/>
              <w:widowControl/>
              <w:rPr>
                <w:color w:val="auto"/>
                <w:sz w:val="18"/>
                <w:szCs w:val="18"/>
                <w:highlight w:val="none"/>
              </w:rPr>
            </w:pPr>
            <w:r>
              <w:rPr>
                <w:color w:val="auto"/>
                <w:sz w:val="18"/>
                <w:szCs w:val="18"/>
                <w:highlight w:val="none"/>
              </w:rPr>
              <w:t xml:space="preserve">压缩标准</w:t>
            </w:r>
            <w:r/>
          </w:p>
          <w:p>
            <w:pPr>
              <w:jc w:val="left"/>
              <w:widowControl/>
              <w:rPr>
                <w:color w:val="auto"/>
                <w:sz w:val="18"/>
                <w:szCs w:val="18"/>
                <w:highlight w:val="none"/>
              </w:rPr>
            </w:pPr>
            <w:r>
              <w:rPr>
                <w:color w:val="auto"/>
                <w:sz w:val="18"/>
                <w:szCs w:val="18"/>
                <w:highlight w:val="none"/>
              </w:rPr>
              <w:t xml:space="preserve">视频编码格式：H.264/H265/MJPEG</w:t>
            </w:r>
            <w:r/>
          </w:p>
          <w:p>
            <w:pPr>
              <w:jc w:val="left"/>
              <w:widowControl/>
              <w:rPr>
                <w:color w:val="auto"/>
                <w:sz w:val="18"/>
                <w:szCs w:val="18"/>
                <w:highlight w:val="none"/>
              </w:rPr>
            </w:pPr>
            <w:r>
              <w:rPr>
                <w:color w:val="auto"/>
                <w:sz w:val="18"/>
                <w:szCs w:val="18"/>
                <w:highlight w:val="none"/>
              </w:rPr>
              <w:t xml:space="preserve">图像</w:t>
            </w:r>
            <w:r/>
          </w:p>
          <w:p>
            <w:pPr>
              <w:jc w:val="left"/>
              <w:widowControl/>
              <w:rPr>
                <w:color w:val="auto"/>
                <w:sz w:val="18"/>
                <w:szCs w:val="18"/>
                <w:highlight w:val="none"/>
              </w:rPr>
            </w:pPr>
            <w:r>
              <w:rPr>
                <w:color w:val="auto"/>
                <w:sz w:val="18"/>
                <w:szCs w:val="18"/>
                <w:highlight w:val="none"/>
              </w:rPr>
              <w:t xml:space="preserve">帧率：25fps</w:t>
            </w:r>
            <w:r/>
          </w:p>
          <w:p>
            <w:pPr>
              <w:jc w:val="left"/>
              <w:widowControl/>
              <w:rPr>
                <w:color w:val="auto"/>
                <w:sz w:val="18"/>
                <w:szCs w:val="18"/>
                <w:highlight w:val="none"/>
              </w:rPr>
            </w:pPr>
            <w:r>
              <w:rPr>
                <w:color w:val="auto"/>
                <w:sz w:val="18"/>
                <w:szCs w:val="18"/>
                <w:highlight w:val="none"/>
              </w:rPr>
              <w:t xml:space="preserve">图像格式：JPEG</w:t>
            </w:r>
            <w:r/>
          </w:p>
          <w:p>
            <w:pPr>
              <w:jc w:val="left"/>
              <w:widowControl/>
              <w:rPr>
                <w:color w:val="auto"/>
                <w:sz w:val="18"/>
                <w:szCs w:val="18"/>
                <w:highlight w:val="none"/>
              </w:rPr>
            </w:pPr>
            <w:r>
              <w:rPr>
                <w:color w:val="auto"/>
                <w:sz w:val="18"/>
                <w:szCs w:val="18"/>
                <w:highlight w:val="none"/>
              </w:rPr>
              <w:t xml:space="preserve">最大图像尺寸：4096 ×2160 </w:t>
            </w:r>
            <w:r/>
          </w:p>
          <w:p>
            <w:pPr>
              <w:jc w:val="left"/>
              <w:widowControl/>
              <w:rPr>
                <w:color w:val="auto"/>
                <w:sz w:val="18"/>
                <w:szCs w:val="18"/>
                <w:highlight w:val="none"/>
              </w:rPr>
            </w:pPr>
            <w:r>
              <w:rPr>
                <w:color w:val="auto"/>
                <w:sz w:val="18"/>
                <w:szCs w:val="18"/>
                <w:highlight w:val="none"/>
              </w:rPr>
              <w:t xml:space="preserve">抓拍功能</w:t>
            </w:r>
            <w:r/>
          </w:p>
          <w:p>
            <w:pPr>
              <w:jc w:val="left"/>
              <w:widowControl/>
              <w:rPr>
                <w:color w:val="auto"/>
                <w:sz w:val="18"/>
                <w:szCs w:val="18"/>
                <w:highlight w:val="none"/>
              </w:rPr>
            </w:pPr>
            <w:r>
              <w:rPr>
                <w:color w:val="auto"/>
                <w:sz w:val="18"/>
                <w:szCs w:val="18"/>
                <w:highlight w:val="none"/>
              </w:rPr>
              <w:t xml:space="preserve">智能识别：支持车型识别、车标识别、车辆子品牌，车身颜色识别</w:t>
            </w:r>
            <w:r/>
          </w:p>
          <w:p>
            <w:pPr>
              <w:jc w:val="left"/>
              <w:widowControl/>
              <w:rPr>
                <w:color w:val="auto"/>
                <w:sz w:val="18"/>
                <w:szCs w:val="18"/>
                <w:highlight w:val="none"/>
              </w:rPr>
            </w:pPr>
            <w:r>
              <w:rPr>
                <w:color w:val="auto"/>
                <w:sz w:val="18"/>
                <w:szCs w:val="18"/>
                <w:highlight w:val="none"/>
              </w:rPr>
              <w:t xml:space="preserve">车型识别种类：支持客车，大货车，轿车，面包车，小货车，SUV/MPV，中型客车，皮卡等车型</w:t>
            </w:r>
            <w:r/>
          </w:p>
          <w:p>
            <w:pPr>
              <w:jc w:val="left"/>
              <w:widowControl/>
              <w:rPr>
                <w:color w:val="auto"/>
                <w:sz w:val="18"/>
                <w:szCs w:val="18"/>
                <w:highlight w:val="none"/>
              </w:rPr>
            </w:pPr>
            <w:r>
              <w:rPr>
                <w:color w:val="auto"/>
                <w:sz w:val="18"/>
                <w:szCs w:val="18"/>
                <w:highlight w:val="none"/>
              </w:rPr>
              <w:t xml:space="preserve">功能：支持线圈，视频等触发模式；可以对车辆的车牌，车身颜色，车型、主品牌及子品牌等信息进行检测</w:t>
            </w:r>
            <w:r/>
          </w:p>
          <w:p>
            <w:pPr>
              <w:jc w:val="left"/>
              <w:widowControl/>
              <w:rPr>
                <w:color w:val="auto"/>
                <w:sz w:val="18"/>
                <w:szCs w:val="18"/>
                <w:highlight w:val="none"/>
              </w:rPr>
            </w:pPr>
            <w:r>
              <w:rPr>
                <w:color w:val="auto"/>
                <w:sz w:val="18"/>
                <w:szCs w:val="18"/>
                <w:highlight w:val="none"/>
              </w:rPr>
              <w:t xml:space="preserve">人脸检测：车窗人脸检测功能，支持主、副驾驶的人脸扣取和图片输出。</w:t>
            </w:r>
            <w:r/>
          </w:p>
          <w:p>
            <w:pPr>
              <w:jc w:val="left"/>
              <w:widowControl/>
              <w:rPr>
                <w:color w:val="auto"/>
                <w:sz w:val="18"/>
                <w:szCs w:val="18"/>
                <w:highlight w:val="none"/>
              </w:rPr>
            </w:pPr>
            <w:r>
              <w:rPr>
                <w:color w:val="auto"/>
                <w:sz w:val="18"/>
                <w:szCs w:val="18"/>
                <w:highlight w:val="none"/>
              </w:rPr>
              <w:t xml:space="preserve">车牌识别种类：民用车牌（除5小车辆），新能源车牌、警用车牌，2012式新军用车牌，2012式武警车牌</w:t>
            </w:r>
            <w:r/>
          </w:p>
          <w:p>
            <w:pPr>
              <w:jc w:val="left"/>
              <w:widowControl/>
              <w:rPr>
                <w:color w:val="auto"/>
                <w:sz w:val="18"/>
                <w:szCs w:val="18"/>
                <w:highlight w:val="none"/>
              </w:rPr>
            </w:pPr>
            <w:r>
              <w:rPr>
                <w:color w:val="auto"/>
                <w:sz w:val="18"/>
                <w:szCs w:val="18"/>
                <w:highlight w:val="none"/>
              </w:rPr>
              <w:t xml:space="preserve">车牌识别准确率：≥99%</w:t>
            </w:r>
            <w:r/>
          </w:p>
          <w:p>
            <w:pPr>
              <w:jc w:val="left"/>
              <w:widowControl/>
              <w:rPr>
                <w:color w:val="auto"/>
                <w:sz w:val="18"/>
                <w:szCs w:val="18"/>
                <w:highlight w:val="none"/>
              </w:rPr>
            </w:pPr>
            <w:r>
              <w:rPr>
                <w:color w:val="auto"/>
                <w:sz w:val="18"/>
                <w:szCs w:val="18"/>
                <w:highlight w:val="none"/>
              </w:rPr>
              <w:t xml:space="preserve">捕获率：≥99%（线圈触发），≥98%（视频触发）</w:t>
            </w:r>
            <w:r/>
          </w:p>
          <w:p>
            <w:pPr>
              <w:jc w:val="left"/>
              <w:widowControl/>
              <w:rPr>
                <w:color w:val="auto"/>
                <w:sz w:val="18"/>
                <w:szCs w:val="18"/>
                <w:highlight w:val="none"/>
              </w:rPr>
            </w:pPr>
            <w:r>
              <w:rPr>
                <w:color w:val="auto"/>
                <w:sz w:val="18"/>
                <w:szCs w:val="18"/>
                <w:highlight w:val="none"/>
              </w:rPr>
              <w:t xml:space="preserve">接口</w:t>
            </w:r>
            <w:r/>
          </w:p>
          <w:p>
            <w:pPr>
              <w:jc w:val="left"/>
              <w:widowControl/>
              <w:rPr>
                <w:color w:val="auto"/>
                <w:sz w:val="18"/>
                <w:szCs w:val="18"/>
                <w:highlight w:val="none"/>
              </w:rPr>
            </w:pPr>
            <w:r>
              <w:rPr>
                <w:color w:val="auto"/>
                <w:sz w:val="18"/>
                <w:szCs w:val="18"/>
                <w:highlight w:val="none"/>
              </w:rPr>
              <w:t xml:space="preserve">通讯接口：2个100M/1000M 自适应RJ45 接口；</w:t>
            </w:r>
            <w:r/>
          </w:p>
          <w:p>
            <w:pPr>
              <w:jc w:val="left"/>
              <w:widowControl/>
              <w:rPr>
                <w:color w:val="auto"/>
                <w:sz w:val="18"/>
                <w:szCs w:val="18"/>
                <w:highlight w:val="none"/>
              </w:rPr>
            </w:pPr>
            <w:r>
              <w:rPr>
                <w:color w:val="auto"/>
                <w:sz w:val="18"/>
                <w:szCs w:val="18"/>
                <w:highlight w:val="none"/>
              </w:rPr>
              <w:t xml:space="preserve">音频输出：1路音频输出</w:t>
            </w:r>
            <w:r/>
          </w:p>
          <w:p>
            <w:pPr>
              <w:jc w:val="left"/>
              <w:widowControl/>
              <w:rPr>
                <w:color w:val="auto"/>
                <w:sz w:val="18"/>
                <w:szCs w:val="18"/>
                <w:highlight w:val="none"/>
              </w:rPr>
            </w:pPr>
            <w:r>
              <w:rPr>
                <w:color w:val="auto"/>
                <w:sz w:val="18"/>
                <w:szCs w:val="18"/>
                <w:highlight w:val="none"/>
              </w:rPr>
              <w:t xml:space="preserve">补光灯：支持闪光灯或LED 频闪灯同步补光</w:t>
            </w:r>
            <w:r/>
          </w:p>
          <w:p>
            <w:pPr>
              <w:jc w:val="left"/>
              <w:widowControl/>
              <w:rPr>
                <w:color w:val="auto"/>
                <w:sz w:val="18"/>
                <w:szCs w:val="18"/>
                <w:highlight w:val="none"/>
              </w:rPr>
            </w:pPr>
            <w:r>
              <w:rPr>
                <w:color w:val="auto"/>
                <w:sz w:val="18"/>
                <w:szCs w:val="18"/>
                <w:highlight w:val="none"/>
              </w:rPr>
              <w:t xml:space="preserve">音频输入：1路音频输入</w:t>
            </w:r>
            <w:r/>
          </w:p>
          <w:p>
            <w:pPr>
              <w:jc w:val="left"/>
              <w:widowControl/>
              <w:rPr>
                <w:color w:val="auto"/>
                <w:sz w:val="18"/>
                <w:szCs w:val="18"/>
                <w:highlight w:val="none"/>
              </w:rPr>
            </w:pPr>
            <w:r>
              <w:rPr>
                <w:color w:val="auto"/>
                <w:sz w:val="18"/>
                <w:szCs w:val="18"/>
                <w:highlight w:val="none"/>
              </w:rPr>
              <w:t xml:space="preserve">触发输出：6路（光耦隔离2500VAC）IO输出；1个继电器输出</w:t>
            </w:r>
            <w:r/>
          </w:p>
          <w:p>
            <w:pPr>
              <w:jc w:val="left"/>
              <w:widowControl/>
              <w:rPr>
                <w:color w:val="auto"/>
                <w:sz w:val="18"/>
                <w:szCs w:val="18"/>
                <w:highlight w:val="none"/>
              </w:rPr>
            </w:pPr>
            <w:r>
              <w:rPr>
                <w:color w:val="auto"/>
                <w:sz w:val="18"/>
                <w:szCs w:val="18"/>
                <w:highlight w:val="none"/>
              </w:rPr>
              <w:t xml:space="preserve">触发输入：2个触发/报警输入</w:t>
            </w:r>
            <w:r/>
          </w:p>
          <w:p>
            <w:pPr>
              <w:jc w:val="left"/>
              <w:widowControl/>
              <w:rPr>
                <w:color w:val="auto"/>
                <w:sz w:val="18"/>
                <w:szCs w:val="18"/>
                <w:highlight w:val="none"/>
              </w:rPr>
            </w:pPr>
            <w:r>
              <w:rPr>
                <w:color w:val="auto"/>
                <w:sz w:val="18"/>
                <w:szCs w:val="18"/>
                <w:highlight w:val="none"/>
              </w:rPr>
              <w:t xml:space="preserve">一般规范</w:t>
            </w:r>
            <w:r/>
          </w:p>
          <w:p>
            <w:pPr>
              <w:jc w:val="left"/>
              <w:widowControl/>
              <w:rPr>
                <w:color w:val="auto"/>
                <w:sz w:val="18"/>
                <w:szCs w:val="18"/>
                <w:highlight w:val="none"/>
              </w:rPr>
            </w:pPr>
            <w:r>
              <w:rPr>
                <w:color w:val="auto"/>
                <w:sz w:val="18"/>
                <w:szCs w:val="18"/>
                <w:highlight w:val="none"/>
              </w:rPr>
              <w:t xml:space="preserve">电源：100VAC～240VAC；频率：48Hz～52Hz</w:t>
            </w:r>
            <w:r/>
          </w:p>
          <w:p>
            <w:pPr>
              <w:jc w:val="left"/>
              <w:widowControl/>
              <w:rPr>
                <w:color w:val="auto"/>
                <w:sz w:val="18"/>
                <w:szCs w:val="18"/>
                <w:highlight w:val="none"/>
              </w:rPr>
            </w:pPr>
            <w:r>
              <w:rPr>
                <w:color w:val="auto"/>
                <w:sz w:val="18"/>
                <w:szCs w:val="18"/>
                <w:highlight w:val="none"/>
              </w:rPr>
              <w:t xml:space="preserve">防护等级：IP65</w:t>
            </w:r>
            <w:r/>
          </w:p>
        </w:tc>
        <w:tc>
          <w:tcPr>
            <w:shd w:val="clear" w:color="000000" w:fill="ffffff"/>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left"/>
              <w:widowControl/>
              <w:rPr>
                <w:color w:val="auto"/>
                <w:sz w:val="22"/>
                <w:highlight w:val="none"/>
              </w:rPr>
            </w:pPr>
            <w:r>
              <w:rPr>
                <w:color w:val="auto"/>
                <w:sz w:val="22"/>
                <w:highlight w:val="none"/>
              </w:rPr>
              <w:t xml:space="preserve">　</w:t>
            </w:r>
            <w:r/>
          </w:p>
        </w:tc>
      </w:tr>
      <w:tr>
        <w:trPr>
          <w:trHeight w:val="2118"/>
        </w:trPr>
        <w:tc>
          <w:tcPr>
            <w:shd w:val="clear" w:color="000000" w:fill="ffffff"/>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车内人脸专用爆闪补光</w:t>
            </w:r>
            <w:r/>
          </w:p>
        </w:tc>
        <w:tc>
          <w:tcPr>
            <w:shd w:val="clear" w:color="000000" w:fill="ffffff"/>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widowControl/>
              <w:rPr>
                <w:color w:val="auto"/>
                <w:sz w:val="18"/>
                <w:szCs w:val="18"/>
                <w:highlight w:val="none"/>
              </w:rPr>
            </w:pPr>
            <w:r>
              <w:rPr>
                <w:color w:val="auto"/>
                <w:sz w:val="18"/>
                <w:szCs w:val="18"/>
                <w:highlight w:val="none"/>
              </w:rPr>
              <w:t xml:space="preserve">峰值闪光持续时间：＜0.1ms。</w:t>
            </w:r>
            <w:r/>
          </w:p>
          <w:p>
            <w:pPr>
              <w:jc w:val="left"/>
              <w:widowControl/>
              <w:rPr>
                <w:color w:val="auto"/>
                <w:sz w:val="18"/>
                <w:szCs w:val="18"/>
                <w:highlight w:val="none"/>
              </w:rPr>
            </w:pPr>
            <w:r>
              <w:rPr>
                <w:color w:val="auto"/>
                <w:sz w:val="18"/>
                <w:szCs w:val="18"/>
                <w:highlight w:val="none"/>
              </w:rPr>
              <w:t xml:space="preserve">覆盖范围:3m～4m@10m处。</w:t>
            </w:r>
            <w:r/>
          </w:p>
          <w:p>
            <w:pPr>
              <w:jc w:val="left"/>
              <w:widowControl/>
              <w:rPr>
                <w:color w:val="auto"/>
                <w:sz w:val="18"/>
                <w:szCs w:val="18"/>
                <w:highlight w:val="none"/>
              </w:rPr>
            </w:pPr>
            <w:r>
              <w:rPr>
                <w:color w:val="auto"/>
                <w:sz w:val="18"/>
                <w:szCs w:val="18"/>
                <w:highlight w:val="none"/>
              </w:rPr>
              <w:t xml:space="preserve">有效补光距离:10m～16m。</w:t>
            </w:r>
            <w:r/>
          </w:p>
          <w:p>
            <w:pPr>
              <w:jc w:val="left"/>
              <w:widowControl/>
              <w:rPr>
                <w:color w:val="auto"/>
                <w:sz w:val="18"/>
                <w:szCs w:val="18"/>
                <w:highlight w:val="none"/>
              </w:rPr>
            </w:pPr>
            <w:r>
              <w:rPr>
                <w:color w:val="auto"/>
                <w:sz w:val="18"/>
                <w:szCs w:val="18"/>
                <w:highlight w:val="none"/>
              </w:rPr>
              <w:t xml:space="preserve">电压:154VAC～265VAC；</w:t>
            </w:r>
            <w:r/>
          </w:p>
          <w:p>
            <w:pPr>
              <w:jc w:val="left"/>
              <w:widowControl/>
              <w:rPr>
                <w:color w:val="auto"/>
                <w:sz w:val="18"/>
                <w:szCs w:val="18"/>
                <w:highlight w:val="none"/>
              </w:rPr>
            </w:pPr>
            <w:r>
              <w:rPr>
                <w:color w:val="auto"/>
                <w:sz w:val="18"/>
                <w:szCs w:val="18"/>
                <w:highlight w:val="none"/>
              </w:rPr>
              <w:t xml:space="preserve">频率:48Hz～52Hz。</w:t>
            </w:r>
            <w:r/>
          </w:p>
          <w:p>
            <w:pPr>
              <w:jc w:val="left"/>
              <w:widowControl/>
              <w:rPr>
                <w:color w:val="auto"/>
                <w:sz w:val="18"/>
                <w:szCs w:val="18"/>
                <w:highlight w:val="none"/>
              </w:rPr>
            </w:pPr>
            <w:r>
              <w:rPr>
                <w:color w:val="auto"/>
                <w:sz w:val="18"/>
                <w:szCs w:val="18"/>
                <w:highlight w:val="none"/>
              </w:rPr>
              <w:t xml:space="preserve">功耗:平均＜16W（@1闪/s）。</w:t>
            </w:r>
            <w:r/>
          </w:p>
          <w:p>
            <w:pPr>
              <w:jc w:val="left"/>
              <w:widowControl/>
              <w:rPr>
                <w:color w:val="auto"/>
                <w:sz w:val="18"/>
                <w:szCs w:val="18"/>
                <w:highlight w:val="none"/>
              </w:rPr>
            </w:pPr>
            <w:r>
              <w:rPr>
                <w:color w:val="auto"/>
                <w:sz w:val="18"/>
                <w:szCs w:val="18"/>
                <w:highlight w:val="none"/>
              </w:rPr>
              <w:t xml:space="preserve">工作环境温度:-20</w:t>
            </w:r>
            <w:r>
              <w:rPr>
                <w:rFonts w:hAnsi="宋体"/>
                <w:color w:val="auto"/>
                <w:sz w:val="18"/>
                <w:szCs w:val="18"/>
                <w:highlight w:val="none"/>
              </w:rPr>
              <w:t xml:space="preserve">℃</w:t>
            </w:r>
            <w:r>
              <w:rPr>
                <w:color w:val="auto"/>
                <w:sz w:val="18"/>
                <w:szCs w:val="18"/>
                <w:highlight w:val="none"/>
              </w:rPr>
              <w:t xml:space="preserve">～60</w:t>
            </w:r>
            <w:r>
              <w:rPr>
                <w:rFonts w:hAnsi="宋体"/>
                <w:color w:val="auto"/>
                <w:sz w:val="18"/>
                <w:szCs w:val="18"/>
                <w:highlight w:val="none"/>
              </w:rPr>
              <w:t xml:space="preserve">℃</w:t>
            </w:r>
            <w:r>
              <w:rPr>
                <w:color w:val="auto"/>
                <w:sz w:val="18"/>
                <w:szCs w:val="18"/>
                <w:highlight w:val="none"/>
              </w:rPr>
              <w:t xml:space="preserve">。</w:t>
            </w:r>
            <w:r/>
          </w:p>
          <w:p>
            <w:pPr>
              <w:jc w:val="left"/>
              <w:widowControl/>
              <w:rPr>
                <w:color w:val="auto"/>
                <w:sz w:val="18"/>
                <w:szCs w:val="18"/>
                <w:highlight w:val="none"/>
              </w:rPr>
            </w:pPr>
            <w:r>
              <w:rPr>
                <w:color w:val="auto"/>
                <w:sz w:val="18"/>
                <w:szCs w:val="18"/>
                <w:highlight w:val="none"/>
              </w:rPr>
              <w:t xml:space="preserve">防护等级:IP65。</w:t>
            </w:r>
            <w:r/>
          </w:p>
        </w:tc>
        <w:tc>
          <w:tcPr>
            <w:shd w:val="clear" w:color="000000" w:fill="ffffff"/>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left"/>
              <w:widowControl/>
              <w:rPr>
                <w:color w:val="auto"/>
                <w:sz w:val="22"/>
                <w:highlight w:val="none"/>
              </w:rPr>
            </w:pPr>
            <w:r>
              <w:rPr>
                <w:color w:val="auto"/>
                <w:sz w:val="22"/>
                <w:highlight w:val="none"/>
              </w:rPr>
              <w:t xml:space="preserve">　</w:t>
            </w:r>
            <w:r/>
          </w:p>
        </w:tc>
      </w:tr>
      <w:tr>
        <w:trPr>
          <w:trHeight w:val="600"/>
        </w:trPr>
        <w:tc>
          <w:tcPr>
            <w:shd w:val="clear" w:color="000000" w:fill="ffffff"/>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立柱</w:t>
            </w:r>
            <w:r/>
          </w:p>
        </w:tc>
        <w:tc>
          <w:tcPr>
            <w:shd w:val="clear" w:color="000000" w:fill="ffffff"/>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widowControl/>
              <w:rPr>
                <w:color w:val="auto"/>
                <w:sz w:val="18"/>
                <w:szCs w:val="18"/>
                <w:highlight w:val="none"/>
              </w:rPr>
            </w:pPr>
            <w:r>
              <w:rPr>
                <w:color w:val="auto"/>
                <w:sz w:val="18"/>
                <w:szCs w:val="18"/>
                <w:highlight w:val="none"/>
              </w:rPr>
              <w:t xml:space="preserve">抓拍单元配套立柱】</w:t>
            </w:r>
            <w:r/>
          </w:p>
          <w:p>
            <w:pPr>
              <w:jc w:val="left"/>
              <w:widowControl/>
              <w:rPr>
                <w:color w:val="auto"/>
                <w:sz w:val="18"/>
                <w:szCs w:val="18"/>
                <w:highlight w:val="none"/>
              </w:rPr>
            </w:pPr>
            <w:r>
              <w:rPr>
                <w:color w:val="auto"/>
                <w:sz w:val="18"/>
                <w:szCs w:val="18"/>
                <w:highlight w:val="none"/>
              </w:rPr>
              <w:t xml:space="preserve">立杆高度：1.6米</w:t>
            </w:r>
            <w:r/>
          </w:p>
          <w:p>
            <w:pPr>
              <w:jc w:val="left"/>
              <w:widowControl/>
              <w:rPr>
                <w:color w:val="auto"/>
                <w:sz w:val="18"/>
                <w:szCs w:val="18"/>
                <w:highlight w:val="none"/>
              </w:rPr>
            </w:pPr>
            <w:r>
              <w:rPr>
                <w:color w:val="auto"/>
                <w:sz w:val="18"/>
                <w:szCs w:val="18"/>
                <w:highlight w:val="none"/>
              </w:rPr>
              <w:t xml:space="preserve">要求看驾驶员人脸.</w:t>
            </w:r>
            <w:r/>
          </w:p>
        </w:tc>
        <w:tc>
          <w:tcPr>
            <w:shd w:val="clear" w:color="000000" w:fill="ffffff"/>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left"/>
              <w:widowControl/>
              <w:rPr>
                <w:color w:val="auto"/>
                <w:sz w:val="22"/>
                <w:highlight w:val="none"/>
              </w:rPr>
            </w:pPr>
            <w:r>
              <w:rPr>
                <w:color w:val="auto"/>
                <w:sz w:val="22"/>
                <w:highlight w:val="none"/>
              </w:rPr>
              <w:t xml:space="preserve">　</w:t>
            </w:r>
            <w:r/>
          </w:p>
        </w:tc>
      </w:tr>
      <w:tr>
        <w:trPr>
          <w:trHeight w:val="600"/>
        </w:trPr>
        <w:tc>
          <w:tcPr>
            <w:shd w:val="clear" w:color="000000" w:fill="ffffff"/>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出入口控制终端</w:t>
            </w:r>
            <w:r/>
          </w:p>
        </w:tc>
        <w:tc>
          <w:tcPr>
            <w:shd w:val="clear" w:color="000000" w:fill="ffffff"/>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widowControl/>
              <w:rPr>
                <w:color w:val="auto"/>
                <w:sz w:val="18"/>
                <w:szCs w:val="18"/>
                <w:highlight w:val="none"/>
              </w:rPr>
            </w:pPr>
            <w:r>
              <w:rPr>
                <w:color w:val="auto"/>
                <w:sz w:val="18"/>
                <w:szCs w:val="18"/>
                <w:highlight w:val="none"/>
              </w:rPr>
              <w:t xml:space="preserve">【出入口嵌入式控制终端】</w:t>
            </w:r>
            <w:r/>
          </w:p>
          <w:p>
            <w:pPr>
              <w:jc w:val="left"/>
              <w:widowControl/>
              <w:rPr>
                <w:color w:val="auto"/>
                <w:sz w:val="18"/>
                <w:szCs w:val="18"/>
                <w:highlight w:val="none"/>
              </w:rPr>
            </w:pPr>
            <w:r>
              <w:rPr>
                <w:color w:val="auto"/>
                <w:sz w:val="18"/>
                <w:szCs w:val="18"/>
                <w:highlight w:val="none"/>
              </w:rPr>
              <w:t xml:space="preserve">【含出入口管理软件】</w:t>
            </w:r>
            <w:r/>
          </w:p>
          <w:p>
            <w:pPr>
              <w:jc w:val="left"/>
              <w:widowControl/>
              <w:rPr>
                <w:color w:val="auto"/>
                <w:sz w:val="18"/>
                <w:szCs w:val="18"/>
                <w:highlight w:val="none"/>
              </w:rPr>
            </w:pPr>
            <w:r>
              <w:rPr>
                <w:color w:val="auto"/>
                <w:sz w:val="18"/>
                <w:szCs w:val="18"/>
                <w:highlight w:val="none"/>
              </w:rPr>
              <w:t xml:space="preserve">【录像回放】</w:t>
            </w:r>
            <w:r/>
          </w:p>
          <w:p>
            <w:pPr>
              <w:jc w:val="left"/>
              <w:widowControl/>
              <w:rPr>
                <w:color w:val="auto"/>
                <w:sz w:val="18"/>
                <w:szCs w:val="18"/>
                <w:highlight w:val="none"/>
              </w:rPr>
            </w:pPr>
            <w:r>
              <w:rPr>
                <w:color w:val="auto"/>
                <w:sz w:val="18"/>
                <w:szCs w:val="18"/>
                <w:highlight w:val="none"/>
              </w:rPr>
              <w:t xml:space="preserve">处理器：高性能linux处理器</w:t>
            </w:r>
            <w:r/>
          </w:p>
          <w:p>
            <w:pPr>
              <w:jc w:val="left"/>
              <w:widowControl/>
              <w:rPr>
                <w:color w:val="auto"/>
                <w:sz w:val="18"/>
                <w:szCs w:val="18"/>
                <w:highlight w:val="none"/>
              </w:rPr>
            </w:pPr>
            <w:r>
              <w:rPr>
                <w:color w:val="auto"/>
                <w:sz w:val="18"/>
                <w:szCs w:val="18"/>
                <w:highlight w:val="none"/>
              </w:rPr>
              <w:t xml:space="preserve">标配2T硬盘；</w:t>
            </w:r>
            <w:r/>
          </w:p>
          <w:p>
            <w:pPr>
              <w:jc w:val="left"/>
              <w:widowControl/>
              <w:rPr>
                <w:color w:val="auto"/>
                <w:sz w:val="18"/>
                <w:szCs w:val="18"/>
                <w:highlight w:val="none"/>
              </w:rPr>
            </w:pPr>
            <w:r>
              <w:rPr>
                <w:color w:val="auto"/>
                <w:sz w:val="18"/>
                <w:szCs w:val="18"/>
                <w:highlight w:val="none"/>
              </w:rPr>
              <w:t xml:space="preserve">其他接口：1个1000Mbps自适应网口,8个100M网口、1个RS485、4个USB；2个开关量输入，1个继电器开关量输出、1个VGA输出接口，1路内置预留ESATA接口、1个HDMI输出接口；</w:t>
            </w:r>
            <w:r/>
          </w:p>
          <w:p>
            <w:pPr>
              <w:jc w:val="left"/>
              <w:widowControl/>
              <w:rPr>
                <w:color w:val="auto"/>
                <w:sz w:val="18"/>
                <w:szCs w:val="18"/>
                <w:highlight w:val="none"/>
              </w:rPr>
            </w:pPr>
            <w:r>
              <w:rPr>
                <w:color w:val="auto"/>
                <w:sz w:val="18"/>
                <w:szCs w:val="18"/>
                <w:highlight w:val="none"/>
              </w:rPr>
              <w:t xml:space="preserve">支持对车辆出入记录的本地存储；</w:t>
            </w:r>
            <w:r/>
          </w:p>
          <w:p>
            <w:pPr>
              <w:jc w:val="left"/>
              <w:widowControl/>
              <w:rPr>
                <w:color w:val="auto"/>
                <w:sz w:val="18"/>
                <w:szCs w:val="18"/>
                <w:highlight w:val="none"/>
              </w:rPr>
            </w:pPr>
            <w:r>
              <w:rPr>
                <w:color w:val="auto"/>
                <w:sz w:val="18"/>
                <w:szCs w:val="18"/>
                <w:highlight w:val="none"/>
              </w:rPr>
              <w:t xml:space="preserve">支持标准SDK对接协议，支持物联协议（云协议）对接；</w:t>
            </w:r>
            <w:r/>
          </w:p>
          <w:p>
            <w:pPr>
              <w:jc w:val="left"/>
              <w:widowControl/>
              <w:rPr>
                <w:color w:val="auto"/>
                <w:sz w:val="18"/>
                <w:szCs w:val="18"/>
                <w:highlight w:val="none"/>
              </w:rPr>
            </w:pPr>
            <w:r>
              <w:rPr>
                <w:color w:val="auto"/>
                <w:sz w:val="18"/>
                <w:szCs w:val="18"/>
                <w:highlight w:val="none"/>
              </w:rPr>
              <w:t xml:space="preserve">支持网页访问，简单易用；支持多用户、多权限控制，支持嵌入式加密认证机制，确保网络上安全使用；</w:t>
            </w:r>
            <w:r/>
          </w:p>
          <w:p>
            <w:pPr>
              <w:jc w:val="left"/>
              <w:widowControl/>
              <w:rPr>
                <w:color w:val="auto"/>
                <w:sz w:val="18"/>
                <w:szCs w:val="18"/>
                <w:highlight w:val="none"/>
              </w:rPr>
            </w:pPr>
            <w:r>
              <w:rPr>
                <w:color w:val="auto"/>
                <w:sz w:val="18"/>
                <w:szCs w:val="18"/>
                <w:highlight w:val="none"/>
              </w:rPr>
              <w:t xml:space="preserve">支持对固定车划分不同群组，分配不同出入权限、收费规则等。</w:t>
            </w:r>
            <w:r/>
          </w:p>
          <w:p>
            <w:pPr>
              <w:jc w:val="left"/>
              <w:widowControl/>
              <w:rPr>
                <w:color w:val="auto"/>
                <w:sz w:val="18"/>
                <w:szCs w:val="18"/>
                <w:highlight w:val="none"/>
              </w:rPr>
            </w:pPr>
            <w:r>
              <w:rPr>
                <w:color w:val="auto"/>
                <w:sz w:val="18"/>
                <w:szCs w:val="18"/>
                <w:highlight w:val="none"/>
              </w:rPr>
              <w:t xml:space="preserve">支持自定义车辆类型配置出入权限，支持按照时间计划配置出入权限。支持对无牌车、新能源车、车牌颜色、特定字符车、自定义车辆类型单独配置出入权限。</w:t>
            </w:r>
            <w:r/>
          </w:p>
          <w:p>
            <w:pPr>
              <w:jc w:val="left"/>
              <w:widowControl/>
              <w:rPr>
                <w:color w:val="auto"/>
                <w:sz w:val="18"/>
                <w:szCs w:val="18"/>
                <w:highlight w:val="none"/>
              </w:rPr>
            </w:pPr>
            <w:r>
              <w:rPr>
                <w:color w:val="auto"/>
                <w:sz w:val="18"/>
                <w:szCs w:val="18"/>
                <w:highlight w:val="none"/>
              </w:rPr>
              <w:t xml:space="preserve">支持按次、停车时长、时间段、分时段、及多种混合配置收费规则，支持对群组车辆、自定义车辆类型配置不同的收费规则。</w:t>
            </w:r>
            <w:r/>
          </w:p>
          <w:p>
            <w:pPr>
              <w:jc w:val="left"/>
              <w:widowControl/>
              <w:rPr>
                <w:color w:val="auto"/>
                <w:sz w:val="18"/>
                <w:szCs w:val="18"/>
                <w:highlight w:val="none"/>
              </w:rPr>
            </w:pPr>
            <w:r>
              <w:rPr>
                <w:color w:val="auto"/>
                <w:sz w:val="18"/>
                <w:szCs w:val="18"/>
                <w:highlight w:val="none"/>
              </w:rPr>
              <w:t xml:space="preserve">记录完整的出入数据，能够灵活筛选统计数据，满足对停车场数据分析需求.</w:t>
            </w:r>
            <w:r/>
          </w:p>
          <w:p>
            <w:pPr>
              <w:jc w:val="left"/>
              <w:widowControl/>
              <w:rPr>
                <w:color w:val="auto"/>
                <w:sz w:val="18"/>
                <w:szCs w:val="18"/>
                <w:highlight w:val="none"/>
              </w:rPr>
            </w:pPr>
            <w:r>
              <w:rPr>
                <w:color w:val="auto"/>
                <w:sz w:val="18"/>
                <w:szCs w:val="18"/>
                <w:highlight w:val="none"/>
              </w:rPr>
              <w:t xml:space="preserve">多设备级联，支持主从备份机制，全力保障数据安全。</w:t>
            </w:r>
            <w:r/>
          </w:p>
          <w:p>
            <w:pPr>
              <w:jc w:val="left"/>
              <w:widowControl/>
              <w:rPr>
                <w:color w:val="auto"/>
                <w:sz w:val="18"/>
                <w:szCs w:val="18"/>
                <w:highlight w:val="none"/>
              </w:rPr>
            </w:pPr>
            <w:r>
              <w:rPr>
                <w:color w:val="auto"/>
                <w:sz w:val="18"/>
                <w:szCs w:val="18"/>
                <w:highlight w:val="none"/>
              </w:rPr>
              <w:t xml:space="preserve">支持录像存储，支持录像计划，支持关联录像回放下载。</w:t>
            </w:r>
            <w:r/>
          </w:p>
          <w:p>
            <w:pPr>
              <w:jc w:val="left"/>
              <w:widowControl/>
              <w:rPr>
                <w:color w:val="auto"/>
                <w:sz w:val="18"/>
                <w:szCs w:val="18"/>
                <w:highlight w:val="none"/>
              </w:rPr>
            </w:pPr>
            <w:r>
              <w:rPr>
                <w:color w:val="auto"/>
                <w:sz w:val="18"/>
                <w:szCs w:val="18"/>
                <w:highlight w:val="none"/>
              </w:rPr>
              <w:t xml:space="preserve">工作环境温度:-30 </w:t>
            </w:r>
            <w:r>
              <w:rPr>
                <w:rFonts w:hAnsi="宋体"/>
                <w:color w:val="auto"/>
                <w:sz w:val="18"/>
                <w:szCs w:val="18"/>
                <w:highlight w:val="none"/>
              </w:rPr>
              <w:t xml:space="preserve">℃</w:t>
            </w:r>
            <w:r>
              <w:rPr>
                <w:color w:val="auto"/>
                <w:sz w:val="18"/>
                <w:szCs w:val="18"/>
                <w:highlight w:val="none"/>
              </w:rPr>
              <w:t xml:space="preserve">～70 </w:t>
            </w:r>
            <w:r>
              <w:rPr>
                <w:rFonts w:hAnsi="宋体"/>
                <w:color w:val="auto"/>
                <w:sz w:val="18"/>
                <w:szCs w:val="18"/>
                <w:highlight w:val="none"/>
              </w:rPr>
              <w:t xml:space="preserve">℃</w:t>
            </w:r>
            <w:r>
              <w:rPr>
                <w:color w:val="auto"/>
                <w:sz w:val="18"/>
                <w:szCs w:val="18"/>
                <w:highlight w:val="none"/>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left"/>
              <w:widowControl/>
              <w:rPr>
                <w:color w:val="auto"/>
                <w:sz w:val="22"/>
                <w:highlight w:val="none"/>
              </w:rPr>
            </w:pPr>
            <w:r>
              <w:rPr>
                <w:color w:val="auto"/>
                <w:sz w:val="22"/>
                <w:highlight w:val="none"/>
              </w:rPr>
              <w:t xml:space="preserve">　</w:t>
            </w:r>
            <w:r/>
          </w:p>
        </w:tc>
      </w:tr>
      <w:tr>
        <w:trPr>
          <w:trHeight w:val="600"/>
        </w:trPr>
        <w:tc>
          <w:tcPr>
            <w:shd w:val="clear" w:color="000000" w:fill="ffffff"/>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道闸</w:t>
            </w:r>
            <w:r/>
          </w:p>
        </w:tc>
        <w:tc>
          <w:tcPr>
            <w:shd w:val="clear" w:color="000000" w:fill="ffffff"/>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widowControl/>
              <w:rPr>
                <w:color w:val="auto"/>
                <w:sz w:val="18"/>
                <w:szCs w:val="18"/>
                <w:highlight w:val="none"/>
              </w:rPr>
            </w:pPr>
            <w:r>
              <w:rPr>
                <w:color w:val="auto"/>
                <w:sz w:val="18"/>
                <w:szCs w:val="18"/>
                <w:highlight w:val="none"/>
              </w:rPr>
              <w:t xml:space="preserve">要求全向道闸</w:t>
            </w:r>
            <w:r/>
          </w:p>
          <w:p>
            <w:pPr>
              <w:jc w:val="left"/>
              <w:widowControl/>
              <w:rPr>
                <w:color w:val="auto"/>
                <w:sz w:val="18"/>
                <w:szCs w:val="18"/>
                <w:highlight w:val="none"/>
              </w:rPr>
            </w:pPr>
            <w:r>
              <w:rPr>
                <w:color w:val="auto"/>
                <w:sz w:val="18"/>
                <w:szCs w:val="18"/>
                <w:highlight w:val="none"/>
              </w:rPr>
              <w:t xml:space="preserve">支持遇阻反弹，开优先保护功能</w:t>
            </w:r>
            <w:r/>
          </w:p>
          <w:p>
            <w:pPr>
              <w:jc w:val="left"/>
              <w:widowControl/>
              <w:rPr>
                <w:color w:val="auto"/>
                <w:sz w:val="18"/>
                <w:szCs w:val="18"/>
                <w:highlight w:val="none"/>
              </w:rPr>
            </w:pPr>
            <w:r>
              <w:rPr>
                <w:color w:val="auto"/>
                <w:sz w:val="18"/>
                <w:szCs w:val="18"/>
                <w:highlight w:val="none"/>
              </w:rPr>
              <w:t xml:space="preserve">支持红外，地感，雷达等多种防砸</w:t>
            </w:r>
            <w:r/>
          </w:p>
          <w:p>
            <w:pPr>
              <w:jc w:val="left"/>
              <w:widowControl/>
              <w:rPr>
                <w:color w:val="auto"/>
                <w:sz w:val="18"/>
                <w:szCs w:val="18"/>
                <w:highlight w:val="none"/>
              </w:rPr>
            </w:pPr>
            <w:r>
              <w:rPr>
                <w:color w:val="auto"/>
                <w:sz w:val="18"/>
                <w:szCs w:val="18"/>
                <w:highlight w:val="none"/>
              </w:rPr>
              <w:t xml:space="preserve">停电情况下可使用辅助工具使道闸保持打开状态</w:t>
            </w:r>
            <w:r/>
          </w:p>
          <w:p>
            <w:pPr>
              <w:jc w:val="left"/>
              <w:widowControl/>
              <w:rPr>
                <w:color w:val="auto"/>
                <w:sz w:val="18"/>
                <w:szCs w:val="18"/>
                <w:highlight w:val="none"/>
              </w:rPr>
            </w:pPr>
            <w:r>
              <w:rPr>
                <w:color w:val="auto"/>
                <w:sz w:val="18"/>
                <w:szCs w:val="18"/>
                <w:highlight w:val="none"/>
              </w:rPr>
              <w:t xml:space="preserve">开/关到位输出接口：各1组、485控制接口：1组</w:t>
            </w:r>
            <w:r/>
          </w:p>
          <w:p>
            <w:pPr>
              <w:jc w:val="left"/>
              <w:widowControl/>
              <w:rPr>
                <w:color w:val="auto"/>
                <w:sz w:val="18"/>
                <w:szCs w:val="18"/>
                <w:highlight w:val="none"/>
              </w:rPr>
            </w:pPr>
            <w:r>
              <w:rPr>
                <w:color w:val="auto"/>
                <w:sz w:val="18"/>
                <w:szCs w:val="18"/>
                <w:highlight w:val="none"/>
              </w:rPr>
              <w:t xml:space="preserve">开/关/停控制信号接口：各1组</w:t>
            </w:r>
            <w:r/>
          </w:p>
          <w:p>
            <w:pPr>
              <w:jc w:val="left"/>
              <w:widowControl/>
              <w:rPr>
                <w:color w:val="auto"/>
                <w:sz w:val="18"/>
                <w:szCs w:val="18"/>
                <w:highlight w:val="none"/>
              </w:rPr>
            </w:pPr>
            <w:r>
              <w:rPr>
                <w:color w:val="auto"/>
                <w:sz w:val="18"/>
                <w:szCs w:val="18"/>
                <w:highlight w:val="none"/>
              </w:rPr>
              <w:t xml:space="preserve">红外/地感防砸信号接口：1组</w:t>
            </w:r>
            <w:r/>
          </w:p>
          <w:p>
            <w:pPr>
              <w:jc w:val="left"/>
              <w:widowControl/>
              <w:rPr>
                <w:color w:val="auto"/>
                <w:sz w:val="18"/>
                <w:szCs w:val="18"/>
                <w:highlight w:val="none"/>
              </w:rPr>
            </w:pPr>
            <w:r>
              <w:rPr>
                <w:color w:val="auto"/>
                <w:sz w:val="18"/>
                <w:szCs w:val="18"/>
                <w:highlight w:val="none"/>
              </w:rPr>
              <w:t xml:space="preserve">保护接口（外接压力电波等保护设备）：1组</w:t>
            </w:r>
            <w:r/>
          </w:p>
          <w:p>
            <w:pPr>
              <w:jc w:val="left"/>
              <w:widowControl/>
              <w:rPr>
                <w:color w:val="auto"/>
                <w:sz w:val="18"/>
                <w:szCs w:val="18"/>
                <w:highlight w:val="none"/>
              </w:rPr>
            </w:pPr>
            <w:r>
              <w:rPr>
                <w:color w:val="auto"/>
                <w:sz w:val="18"/>
                <w:szCs w:val="18"/>
                <w:highlight w:val="none"/>
              </w:rPr>
              <w:t xml:space="preserve">手柄控制接口：1组</w:t>
            </w:r>
            <w:r/>
          </w:p>
          <w:p>
            <w:pPr>
              <w:jc w:val="left"/>
              <w:widowControl/>
              <w:rPr>
                <w:color w:val="auto"/>
                <w:sz w:val="18"/>
                <w:szCs w:val="18"/>
                <w:highlight w:val="none"/>
              </w:rPr>
            </w:pPr>
            <w:r>
              <w:rPr>
                <w:color w:val="auto"/>
                <w:sz w:val="18"/>
                <w:szCs w:val="18"/>
                <w:highlight w:val="none"/>
              </w:rPr>
              <w:t xml:space="preserve">运行速度：1.5s、2s、2.5s</w:t>
            </w:r>
            <w:r/>
          </w:p>
          <w:p>
            <w:pPr>
              <w:jc w:val="left"/>
              <w:widowControl/>
              <w:rPr>
                <w:color w:val="auto"/>
                <w:sz w:val="18"/>
                <w:szCs w:val="18"/>
                <w:highlight w:val="none"/>
              </w:rPr>
            </w:pPr>
            <w:r>
              <w:rPr>
                <w:color w:val="auto"/>
                <w:sz w:val="18"/>
                <w:szCs w:val="18"/>
                <w:highlight w:val="none"/>
              </w:rPr>
              <w:t xml:space="preserve">机箱材质：SECC</w:t>
            </w:r>
            <w:r/>
          </w:p>
          <w:p>
            <w:pPr>
              <w:jc w:val="left"/>
              <w:widowControl/>
              <w:rPr>
                <w:color w:val="auto"/>
                <w:sz w:val="18"/>
                <w:szCs w:val="18"/>
                <w:highlight w:val="none"/>
              </w:rPr>
            </w:pPr>
            <w:r>
              <w:rPr>
                <w:color w:val="auto"/>
                <w:sz w:val="18"/>
                <w:szCs w:val="18"/>
                <w:highlight w:val="none"/>
              </w:rPr>
              <w:t xml:space="preserve">工作电压：AC220V</w:t>
            </w:r>
            <w:r/>
          </w:p>
          <w:p>
            <w:pPr>
              <w:jc w:val="left"/>
              <w:widowControl/>
              <w:rPr>
                <w:color w:val="auto"/>
                <w:sz w:val="18"/>
                <w:szCs w:val="18"/>
                <w:highlight w:val="none"/>
              </w:rPr>
            </w:pPr>
            <w:r>
              <w:rPr>
                <w:color w:val="auto"/>
                <w:sz w:val="18"/>
                <w:szCs w:val="18"/>
                <w:highlight w:val="none"/>
              </w:rPr>
              <w:t xml:space="preserve">杆子类型：直杆</w:t>
            </w:r>
            <w:r/>
          </w:p>
        </w:tc>
        <w:tc>
          <w:tcPr>
            <w:shd w:val="clear" w:color="000000" w:fill="ffffff"/>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left"/>
              <w:widowControl/>
              <w:rPr>
                <w:color w:val="auto"/>
                <w:sz w:val="22"/>
                <w:highlight w:val="none"/>
              </w:rPr>
            </w:pPr>
            <w:r>
              <w:rPr>
                <w:color w:val="auto"/>
                <w:sz w:val="22"/>
                <w:highlight w:val="none"/>
              </w:rPr>
              <w:t xml:space="preserve">　</w:t>
            </w:r>
            <w:r/>
          </w:p>
        </w:tc>
      </w:tr>
      <w:tr>
        <w:trPr>
          <w:trHeight w:val="465"/>
        </w:trPr>
        <w:tc>
          <w:tcPr>
            <w:shd w:val="clear" w:color="000000" w:fill="ffffff"/>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高清球机</w:t>
            </w:r>
            <w:r/>
          </w:p>
        </w:tc>
        <w:tc>
          <w:tcPr>
            <w:shd w:val="clear" w:color="000000" w:fill="ffffff"/>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left"/>
              <w:widowControl/>
              <w:rPr>
                <w:color w:val="auto"/>
                <w:sz w:val="18"/>
                <w:szCs w:val="18"/>
                <w:highlight w:val="none"/>
              </w:rPr>
            </w:pPr>
            <w:r>
              <w:rPr>
                <w:color w:val="auto"/>
                <w:sz w:val="18"/>
                <w:szCs w:val="18"/>
                <w:highlight w:val="none"/>
              </w:rPr>
              <w:t xml:space="preserve">不低于1/1.8英寸 CMOS;最大图像尺寸：不低于2560×1440像素；最低照度不低于彩色：0.0005lx，黑白：0.00011x；视频编码方式支持H.265、H.264；30倍光学变倍以上；至少支持4路报警输入，2路报警输出，1路音频输入，1路音频输出；设备垂直旋转范围至少达到 -25~90°；支持在视频图像上叠加通道名称、时间、预置点信息、倍数显示；设备应不低于300个预置位；至少支持8条巡航路径，每条巡航至少可以添加32个预置点；至少支持IP67的外壳防护能力；</w:t>
            </w:r>
            <w:r/>
          </w:p>
        </w:tc>
        <w:tc>
          <w:tcPr>
            <w:shd w:val="clear" w:color="000000" w:fill="ffffff"/>
            <w:tcBorders>
              <w:top w:val="none" w:color="000000" w:sz="4" w:space="0"/>
              <w:left w:val="none" w:color="000000" w:sz="4" w:space="0"/>
              <w:bottom w:val="single" w:color="auto" w:sz="4" w:space="0"/>
              <w:right w:val="single" w:color="auto" w:sz="4" w:space="0"/>
            </w:tcBorders>
            <w:tcW w:w="702"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color w:val="auto"/>
                <w:sz w:val="20"/>
                <w:szCs w:val="20"/>
                <w:highlight w:val="none"/>
              </w:rPr>
            </w:pPr>
            <w:r>
              <w:rPr>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left"/>
              <w:widowControl/>
              <w:rPr>
                <w:color w:val="auto"/>
                <w:sz w:val="22"/>
                <w:highlight w:val="none"/>
              </w:rPr>
            </w:pPr>
            <w:r>
              <w:rPr>
                <w:color w:val="auto"/>
                <w:sz w:val="22"/>
                <w:highlight w:val="none"/>
              </w:rPr>
              <w:t xml:space="preserve">含立杆、传输线缆等。</w:t>
            </w:r>
            <w:r/>
          </w:p>
        </w:tc>
      </w:tr>
    </w:tbl>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eastAsia" w:ascii="方正仿宋_GBK" w:hAnsi="方正仿宋_GBK" w:eastAsia="方正仿宋_GBK" w:cs="方正仿宋_GBK"/>
          <w:b/>
          <w:bCs/>
          <w:color w:val="auto"/>
          <w:sz w:val="28"/>
          <w:szCs w:val="28"/>
          <w:highlight w:val="none"/>
          <w:lang w:val="en-US" w:eastAsia="zh-CN"/>
        </w:rPr>
        <w:outlineLvl w:val="0"/>
      </w:pPr>
      <w:r>
        <w:rPr>
          <w:rFonts w:hint="eastAsia" w:ascii="方正仿宋_GBK" w:hAnsi="方正仿宋_GBK" w:eastAsia="方正仿宋_GBK" w:cs="方正仿宋_GBK"/>
          <w:b/>
          <w:bCs/>
          <w:color w:val="auto"/>
          <w:sz w:val="28"/>
          <w:szCs w:val="28"/>
          <w:highlight w:val="none"/>
          <w:lang w:val="en-US" w:eastAsia="zh-CN"/>
        </w:rPr>
        <w:t xml:space="preserve">附件4</w:t>
      </w:r>
      <w:r/>
    </w:p>
    <w:p>
      <w:pPr>
        <w:jc w:val="center"/>
        <w:rPr>
          <w:rFonts w:ascii="微软雅黑" w:hAnsi="微软雅黑" w:eastAsia="微软雅黑"/>
          <w:b/>
          <w:bCs/>
          <w:color w:val="auto"/>
          <w:sz w:val="28"/>
          <w:szCs w:val="28"/>
          <w:highlight w:val="none"/>
          <w:shd w:val="clear" w:color="auto" w:fill="ffffff"/>
        </w:rPr>
      </w:pPr>
      <w:r>
        <w:rPr>
          <w:rFonts w:hint="eastAsia" w:ascii="微软雅黑" w:hAnsi="微软雅黑" w:eastAsia="微软雅黑"/>
          <w:b/>
          <w:bCs/>
          <w:color w:val="auto"/>
          <w:sz w:val="28"/>
          <w:szCs w:val="28"/>
          <w:highlight w:val="none"/>
          <w:shd w:val="clear" w:color="auto" w:fill="ffffff"/>
        </w:rPr>
        <w:t xml:space="preserve">涉案车辆管理系统需求</w:t>
      </w:r>
      <w:r/>
    </w:p>
    <w:p>
      <w:pPr>
        <w:ind w:firstLine="560"/>
        <w:rPr>
          <w:rFonts w:ascii="微软雅黑" w:hAnsi="微软雅黑" w:eastAsia="微软雅黑"/>
          <w:color w:val="auto"/>
          <w:sz w:val="28"/>
          <w:szCs w:val="28"/>
          <w:highlight w:val="none"/>
          <w:shd w:val="clear" w:color="auto" w:fill="ffffff"/>
        </w:rPr>
      </w:pPr>
      <w:r>
        <w:rPr>
          <w:rFonts w:hint="eastAsia" w:ascii="微软雅黑" w:hAnsi="微软雅黑" w:eastAsia="微软雅黑"/>
          <w:color w:val="auto"/>
          <w:sz w:val="28"/>
          <w:szCs w:val="28"/>
          <w:highlight w:val="none"/>
          <w:shd w:val="clear" w:color="auto" w:fill="ffffff"/>
        </w:rPr>
        <w:t xml:space="preserve">涉案车辆管理系统能够对涉案车辆信息进行实时、全程录入和管理，并与移动警务APP、公安交通集成指挥平台移动警务系统APP、交管综合平台等执法办案系统相关联。本系统包含电脑版及手机APP两个部分，停车场端、辅警端通过互联网或者专线经安全通道与公安移动警务专接口对接，民警通过移动警务终端进行相关操作。</w:t>
      </w:r>
      <w:r/>
    </w:p>
    <w:p>
      <w:pPr>
        <w:ind w:firstLine="560"/>
        <w:rPr>
          <w:rFonts w:ascii="微软雅黑" w:hAnsi="微软雅黑" w:eastAsia="微软雅黑"/>
          <w:color w:val="auto"/>
          <w:sz w:val="28"/>
          <w:szCs w:val="28"/>
          <w:highlight w:val="none"/>
          <w:shd w:val="clear" w:color="auto" w:fill="ffffff"/>
        </w:rPr>
      </w:pPr>
      <w:r>
        <w:rPr>
          <w:rFonts w:hint="eastAsia" w:ascii="微软雅黑" w:hAnsi="微软雅黑" w:eastAsia="微软雅黑"/>
          <w:color w:val="auto"/>
          <w:sz w:val="28"/>
          <w:szCs w:val="28"/>
          <w:highlight w:val="none"/>
          <w:shd w:val="clear" w:color="auto" w:fill="ffffff"/>
        </w:rPr>
        <w:t xml:space="preserve">本系统主要包含入场登记、在场管理、出场登记、预警提醒、公告处理、统计分析、系统管理等模块。</w:t>
      </w:r>
      <w:r/>
    </w:p>
    <w:p>
      <w:pPr>
        <w:ind w:firstLine="560"/>
        <w:rPr>
          <w:rFonts w:ascii="微软雅黑" w:hAnsi="微软雅黑" w:eastAsia="微软雅黑"/>
          <w:color w:val="auto"/>
          <w:sz w:val="28"/>
          <w:szCs w:val="28"/>
          <w:highlight w:val="none"/>
          <w:shd w:val="clear" w:color="auto" w:fill="ffffff"/>
        </w:rPr>
      </w:pPr>
      <w:r>
        <w:rPr>
          <w:rFonts w:hint="eastAsia" w:ascii="微软雅黑" w:hAnsi="微软雅黑" w:eastAsia="微软雅黑"/>
          <w:color w:val="auto"/>
          <w:sz w:val="28"/>
          <w:szCs w:val="28"/>
          <w:highlight w:val="none"/>
          <w:shd w:val="clear" w:color="auto" w:fill="ffffff"/>
        </w:rPr>
        <w:t xml:space="preserve">入场登记模块能同步更新执法办案系统内当事人、车辆、办案单位等基本信息，存储法律文书、扣留现场及入场时车辆的照片，登记存放停车场信息、车辆明显特征，附有办案部门负责人审批模块。对入场车辆进行专门分区编号登记，停放至对应编号的区域。</w:t>
      </w:r>
      <w:r/>
    </w:p>
    <w:p>
      <w:pPr>
        <w:ind w:firstLine="560"/>
        <w:rPr>
          <w:rFonts w:ascii="微软雅黑" w:hAnsi="微软雅黑" w:eastAsia="微软雅黑"/>
          <w:color w:val="auto"/>
          <w:sz w:val="28"/>
          <w:szCs w:val="28"/>
          <w:highlight w:val="none"/>
          <w:shd w:val="clear" w:color="auto" w:fill="ffffff"/>
        </w:rPr>
      </w:pPr>
      <w:r>
        <w:rPr>
          <w:rFonts w:hint="eastAsia" w:ascii="微软雅黑" w:hAnsi="微软雅黑" w:eastAsia="微软雅黑"/>
          <w:color w:val="auto"/>
          <w:sz w:val="28"/>
          <w:szCs w:val="28"/>
          <w:highlight w:val="none"/>
          <w:shd w:val="clear" w:color="auto" w:fill="ffffff"/>
        </w:rPr>
        <w:t xml:space="preserve">在场管理模块能够记录检验鉴定调用车辆、当事人领取车内物品的相关信息，附有申请与审批程序，调取在场车辆实时视频，能够记录车辆流转变更办案单位。</w:t>
      </w:r>
      <w:r/>
    </w:p>
    <w:p>
      <w:pPr>
        <w:ind w:firstLine="560"/>
        <w:rPr>
          <w:rFonts w:ascii="微软雅黑" w:hAnsi="微软雅黑" w:eastAsia="微软雅黑"/>
          <w:color w:val="auto"/>
          <w:sz w:val="28"/>
          <w:szCs w:val="28"/>
          <w:highlight w:val="none"/>
          <w:shd w:val="clear" w:color="auto" w:fill="ffffff"/>
        </w:rPr>
      </w:pPr>
      <w:r>
        <w:rPr>
          <w:rFonts w:hint="eastAsia" w:ascii="微软雅黑" w:hAnsi="微软雅黑" w:eastAsia="微软雅黑"/>
          <w:color w:val="auto"/>
          <w:sz w:val="28"/>
          <w:szCs w:val="28"/>
          <w:highlight w:val="none"/>
          <w:shd w:val="clear" w:color="auto" w:fill="ffffff"/>
        </w:rPr>
        <w:t xml:space="preserve">出场登记能同步执法办案系统内发还车辆信息，存储发还文书、领车人、出场时车辆照片。</w:t>
      </w:r>
      <w:r/>
    </w:p>
    <w:p>
      <w:pPr>
        <w:ind w:firstLine="560"/>
        <w:rPr>
          <w:rFonts w:ascii="微软雅黑" w:hAnsi="微软雅黑" w:eastAsia="微软雅黑"/>
          <w:color w:val="auto"/>
          <w:sz w:val="28"/>
          <w:szCs w:val="28"/>
          <w:highlight w:val="none"/>
          <w:shd w:val="clear" w:color="auto" w:fill="ffffff"/>
        </w:rPr>
      </w:pPr>
      <w:r>
        <w:rPr>
          <w:rFonts w:hint="eastAsia" w:ascii="微软雅黑" w:hAnsi="微软雅黑" w:eastAsia="微软雅黑"/>
          <w:color w:val="auto"/>
          <w:sz w:val="28"/>
          <w:szCs w:val="28"/>
          <w:highlight w:val="none"/>
          <w:shd w:val="clear" w:color="auto" w:fill="ffffff"/>
        </w:rPr>
        <w:t xml:space="preserve">预警提醒模块能够对待进场车辆、办案部门负责人未审批、调用超期、超期未出场、扣留超期、待公告处理、公告后待处理等情形进行预警。</w:t>
      </w:r>
      <w:r/>
    </w:p>
    <w:p>
      <w:pPr>
        <w:ind w:firstLine="560"/>
        <w:rPr>
          <w:rFonts w:ascii="微软雅黑" w:hAnsi="微软雅黑" w:eastAsia="微软雅黑"/>
          <w:color w:val="auto"/>
          <w:sz w:val="28"/>
          <w:szCs w:val="28"/>
          <w:highlight w:val="none"/>
          <w:shd w:val="clear" w:color="auto" w:fill="ffffff"/>
        </w:rPr>
      </w:pPr>
      <w:r>
        <w:rPr>
          <w:rFonts w:hint="eastAsia" w:ascii="微软雅黑" w:hAnsi="微软雅黑" w:eastAsia="微软雅黑"/>
          <w:color w:val="auto"/>
          <w:sz w:val="28"/>
          <w:szCs w:val="28"/>
          <w:highlight w:val="none"/>
          <w:shd w:val="clear" w:color="auto" w:fill="ffffff"/>
        </w:rPr>
        <w:t xml:space="preserve">公告处理模块能够记录公告以及车辆报废、拆解、拍卖等相关信息。</w:t>
      </w:r>
      <w:r/>
    </w:p>
    <w:p>
      <w:pPr>
        <w:ind w:firstLine="560"/>
        <w:rPr>
          <w:rFonts w:ascii="微软雅黑" w:hAnsi="微软雅黑" w:eastAsia="微软雅黑"/>
          <w:color w:val="auto"/>
          <w:sz w:val="28"/>
          <w:szCs w:val="28"/>
          <w:highlight w:val="none"/>
          <w:shd w:val="clear" w:color="auto" w:fill="ffffff"/>
        </w:rPr>
      </w:pPr>
      <w:r>
        <w:rPr>
          <w:rFonts w:hint="eastAsia" w:ascii="微软雅黑" w:hAnsi="微软雅黑" w:eastAsia="微软雅黑"/>
          <w:color w:val="auto"/>
          <w:sz w:val="28"/>
          <w:szCs w:val="28"/>
          <w:highlight w:val="none"/>
          <w:shd w:val="clear" w:color="auto" w:fill="ffffff"/>
        </w:rPr>
        <w:t xml:space="preserve">统计分析能够实现按车型、案由、车辆在场状态、在场时间、办案单位、预警分布等情形进行分类汇总。</w:t>
      </w:r>
      <w:r/>
    </w:p>
    <w:p>
      <w:pPr>
        <w:ind w:firstLine="560"/>
        <w:rPr>
          <w:rFonts w:ascii="微软雅黑" w:hAnsi="微软雅黑" w:eastAsia="微软雅黑"/>
          <w:color w:val="auto"/>
          <w:sz w:val="28"/>
          <w:szCs w:val="28"/>
          <w:highlight w:val="none"/>
          <w:shd w:val="clear" w:color="auto" w:fill="ffffff"/>
        </w:rPr>
      </w:pPr>
      <w:r>
        <w:rPr>
          <w:rFonts w:hint="eastAsia" w:ascii="微软雅黑" w:hAnsi="微软雅黑" w:eastAsia="微软雅黑"/>
          <w:color w:val="auto"/>
          <w:sz w:val="28"/>
          <w:szCs w:val="28"/>
          <w:highlight w:val="none"/>
          <w:shd w:val="clear" w:color="auto" w:fill="ffffff"/>
        </w:rPr>
        <w:t xml:space="preserve">系统管理模块主要包括组织机构、人员信息、停放场所、角色管理、权限分配、系统日志等。</w:t>
      </w:r>
      <w:r/>
    </w:p>
    <w:p>
      <w:pPr>
        <w:ind w:firstLine="420"/>
        <w:rPr>
          <w:color w:val="auto"/>
          <w:highlight w:val="none"/>
        </w:rPr>
      </w:pPr>
      <w:r>
        <w:rPr>
          <w:color w:val="auto"/>
          <w:highlight w:val="none"/>
        </w:rPr>
      </w:r>
      <w:r/>
    </w:p>
    <w:p>
      <w:pPr>
        <w:jc w:val="left"/>
        <w:spacing w:line="300" w:lineRule="auto"/>
        <w:rPr>
          <w:rFonts w:ascii="华文中宋" w:hAnsi="华文中宋" w:eastAsia="华文中宋"/>
          <w:bCs/>
          <w:color w:val="auto"/>
          <w:sz w:val="32"/>
          <w:szCs w:val="32"/>
          <w:highlight w:val="none"/>
        </w:rPr>
        <w:outlineLvl w:val="0"/>
      </w:pPr>
      <w:r>
        <w:rPr>
          <w:rFonts w:hint="eastAsia" w:ascii="方正仿宋_GBK" w:hAnsi="方正仿宋_GBK" w:eastAsia="方正仿宋_GBK" w:cs="方正仿宋_GBK"/>
          <w:b/>
          <w:bCs/>
          <w:color w:val="auto"/>
          <w:sz w:val="28"/>
          <w:szCs w:val="28"/>
          <w:highlight w:val="none"/>
          <w:lang w:val="en-US" w:eastAsia="zh-CN"/>
        </w:rPr>
        <w:t xml:space="preserve">附件5</w:t>
      </w:r>
      <w:r/>
    </w:p>
    <w:p>
      <w:pPr>
        <w:jc w:val="center"/>
        <w:spacing w:line="520" w:lineRule="exact"/>
        <w:rPr>
          <w:rFonts w:ascii="华文中宋" w:hAnsi="华文中宋" w:eastAsia="华文中宋"/>
          <w:bCs/>
          <w:color w:val="auto"/>
          <w:sz w:val="32"/>
          <w:szCs w:val="32"/>
          <w:highlight w:val="none"/>
        </w:rPr>
      </w:pPr>
      <w:r>
        <w:rPr>
          <w:rFonts w:hint="eastAsia" w:ascii="华文中宋" w:hAnsi="华文中宋" w:eastAsia="华文中宋"/>
          <w:bCs/>
          <w:color w:val="auto"/>
          <w:sz w:val="32"/>
          <w:szCs w:val="32"/>
          <w:highlight w:val="none"/>
        </w:rPr>
        <w:t xml:space="preserve">涉案</w:t>
      </w:r>
      <w:r>
        <w:rPr>
          <w:rFonts w:ascii="华文中宋" w:hAnsi="华文中宋" w:eastAsia="华文中宋"/>
          <w:bCs/>
          <w:color w:val="auto"/>
          <w:sz w:val="32"/>
          <w:szCs w:val="32"/>
          <w:highlight w:val="none"/>
        </w:rPr>
        <w:t xml:space="preserve">车辆管理系统配套</w:t>
      </w:r>
      <w:r>
        <w:rPr>
          <w:rFonts w:hint="eastAsia" w:ascii="华文中宋" w:hAnsi="华文中宋" w:eastAsia="华文中宋"/>
          <w:bCs/>
          <w:color w:val="auto"/>
          <w:sz w:val="32"/>
          <w:szCs w:val="32"/>
          <w:highlight w:val="none"/>
        </w:rPr>
        <w:t xml:space="preserve">设施</w:t>
      </w:r>
      <w:r/>
    </w:p>
    <w:p>
      <w:pPr>
        <w:jc w:val="center"/>
        <w:rPr>
          <w:rFonts w:ascii="华文中宋" w:hAnsi="华文中宋" w:eastAsia="华文中宋"/>
          <w:bCs/>
          <w:color w:val="auto"/>
          <w:sz w:val="32"/>
          <w:szCs w:val="32"/>
          <w:highlight w:val="none"/>
        </w:rPr>
      </w:pPr>
      <w:r>
        <w:rPr>
          <w:rFonts w:ascii="华文中宋" w:hAnsi="华文中宋" w:eastAsia="华文中宋"/>
          <w:bCs/>
          <w:color w:val="auto"/>
          <w:sz w:val="32"/>
          <w:szCs w:val="32"/>
          <w:highlight w:val="none"/>
        </w:rPr>
      </w:r>
      <w:r/>
    </w:p>
    <w:p>
      <w:pPr>
        <w:ind w:firstLine="560"/>
        <w:spacing w:line="500" w:lineRule="exact"/>
        <w:rPr>
          <w:rFonts w:ascii="仿宋_GB2312" w:hAnsi="微软雅黑" w:eastAsia="仿宋_GB2312"/>
          <w:color w:val="auto"/>
          <w:sz w:val="28"/>
          <w:szCs w:val="28"/>
          <w:highlight w:val="none"/>
          <w:shd w:val="clear" w:color="auto" w:fill="ffffff"/>
        </w:rPr>
      </w:pPr>
      <w:r>
        <w:rPr>
          <w:rFonts w:hint="eastAsia" w:ascii="仿宋_GB2312" w:hAnsi="微软雅黑" w:eastAsia="仿宋_GB2312"/>
          <w:color w:val="auto"/>
          <w:sz w:val="28"/>
          <w:szCs w:val="28"/>
          <w:highlight w:val="none"/>
          <w:shd w:val="clear" w:color="auto" w:fill="ffffff"/>
        </w:rPr>
        <w:t xml:space="preserve">结合</w:t>
      </w:r>
      <w:r>
        <w:rPr>
          <w:rFonts w:ascii="仿宋_GB2312" w:hAnsi="微软雅黑" w:eastAsia="仿宋_GB2312"/>
          <w:color w:val="auto"/>
          <w:sz w:val="28"/>
          <w:szCs w:val="28"/>
          <w:highlight w:val="none"/>
          <w:shd w:val="clear" w:color="auto" w:fill="ffffff"/>
        </w:rPr>
        <w:t xml:space="preserve">涉案车辆管理系统，在车辆进出停车场时，</w:t>
      </w:r>
      <w:r>
        <w:rPr>
          <w:rFonts w:hint="eastAsia" w:ascii="仿宋_GB2312" w:hAnsi="微软雅黑" w:eastAsia="仿宋_GB2312"/>
          <w:color w:val="auto"/>
          <w:sz w:val="28"/>
          <w:szCs w:val="28"/>
          <w:highlight w:val="none"/>
          <w:shd w:val="clear" w:color="auto" w:fill="ffffff"/>
        </w:rPr>
        <w:t xml:space="preserve">配套</w:t>
      </w:r>
      <w:r>
        <w:rPr>
          <w:rFonts w:ascii="仿宋_GB2312" w:hAnsi="微软雅黑" w:eastAsia="仿宋_GB2312"/>
          <w:color w:val="auto"/>
          <w:sz w:val="28"/>
          <w:szCs w:val="28"/>
          <w:highlight w:val="none"/>
          <w:shd w:val="clear" w:color="auto" w:fill="ffffff"/>
        </w:rPr>
        <w:t xml:space="preserve">设置信息采集区，</w:t>
      </w:r>
      <w:r>
        <w:rPr>
          <w:rFonts w:hint="eastAsia" w:ascii="仿宋_GB2312" w:hAnsi="微软雅黑" w:eastAsia="仿宋_GB2312"/>
          <w:color w:val="auto"/>
          <w:sz w:val="28"/>
          <w:szCs w:val="28"/>
          <w:highlight w:val="none"/>
          <w:shd w:val="clear" w:color="auto" w:fill="ffffff"/>
        </w:rPr>
        <w:t xml:space="preserve">对停车场所停放涉案车辆入场时进行四面拍摄并存档。</w:t>
      </w:r>
      <w:r/>
    </w:p>
    <w:tbl>
      <w:tblPr>
        <w:tblStyle w:val="923"/>
        <w:tblpPr w:horzAnchor="page" w:tblpXSpec="center" w:vertAnchor="text" w:tblpY="588" w:leftFromText="180" w:topFromText="0" w:rightFromText="180" w:bottomFromText="0"/>
        <w:tblW w:w="9078" w:type="dxa"/>
        <w:jc w:val="center"/>
        <w:tblLayout w:type="fixed"/>
        <w:tblCellMar>
          <w:left w:w="108" w:type="dxa"/>
          <w:top w:w="0" w:type="dxa"/>
          <w:right w:w="108" w:type="dxa"/>
          <w:bottom w:w="0" w:type="dxa"/>
        </w:tblCellMar>
        <w:tblLook w:val="04A0" w:firstRow="1" w:lastRow="0" w:firstColumn="1" w:lastColumn="0" w:noHBand="0" w:noVBand="1"/>
      </w:tblPr>
      <w:tblGrid>
        <w:gridCol w:w="562"/>
        <w:gridCol w:w="1344"/>
        <w:gridCol w:w="5679"/>
        <w:gridCol w:w="747"/>
        <w:gridCol w:w="746"/>
      </w:tblGrid>
      <w:tr>
        <w:trPr>
          <w:jc w:val="center"/>
          <w:trHeight w:val="805"/>
        </w:trPr>
        <w:tc>
          <w:tcPr>
            <w:tcBorders>
              <w:top w:val="single" w:color="auto" w:sz="6" w:space="0"/>
              <w:left w:val="single" w:color="auto" w:sz="6" w:space="0"/>
              <w:bottom w:val="single" w:color="auto" w:sz="6" w:space="0"/>
              <w:right w:val="single" w:color="auto" w:sz="6" w:space="0"/>
            </w:tcBorders>
            <w:tcW w:w="562"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序号</w:t>
            </w:r>
            <w:r/>
          </w:p>
        </w:tc>
        <w:tc>
          <w:tcPr>
            <w:tcBorders>
              <w:top w:val="single" w:color="auto" w:sz="6" w:space="0"/>
              <w:left w:val="single" w:color="auto" w:sz="6" w:space="0"/>
              <w:bottom w:val="single" w:color="auto" w:sz="6" w:space="0"/>
              <w:right w:val="single" w:color="auto" w:sz="6" w:space="0"/>
            </w:tcBorders>
            <w:tcW w:w="1344"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名称</w:t>
            </w:r>
            <w:r/>
          </w:p>
        </w:tc>
        <w:tc>
          <w:tcPr>
            <w:tcBorders>
              <w:top w:val="single" w:color="auto" w:sz="6" w:space="0"/>
              <w:left w:val="single" w:color="auto" w:sz="6" w:space="0"/>
              <w:bottom w:val="single" w:color="auto" w:sz="6" w:space="0"/>
              <w:right w:val="single" w:color="auto" w:sz="6" w:space="0"/>
            </w:tcBorders>
            <w:tcW w:w="5679"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参数</w:t>
            </w:r>
            <w:r/>
          </w:p>
        </w:tc>
        <w:tc>
          <w:tcPr>
            <w:tcBorders>
              <w:top w:val="single" w:color="auto" w:sz="6" w:space="0"/>
              <w:left w:val="single" w:color="auto" w:sz="6" w:space="0"/>
              <w:bottom w:val="single" w:color="auto" w:sz="6" w:space="0"/>
              <w:right w:val="single" w:color="auto" w:sz="6" w:space="0"/>
            </w:tcBorders>
            <w:tcW w:w="747"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单位</w:t>
            </w:r>
            <w:r/>
          </w:p>
        </w:tc>
        <w:tc>
          <w:tcPr>
            <w:tcBorders>
              <w:top w:val="single" w:color="auto" w:sz="6" w:space="0"/>
              <w:left w:val="single" w:color="auto" w:sz="6" w:space="0"/>
              <w:bottom w:val="single" w:color="auto" w:sz="6" w:space="0"/>
              <w:right w:val="single" w:color="auto" w:sz="6" w:space="0"/>
            </w:tcBorders>
            <w:tcW w:w="746"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数量</w:t>
            </w:r>
            <w:r/>
          </w:p>
        </w:tc>
      </w:tr>
      <w:tr>
        <w:trPr>
          <w:jc w:val="center"/>
          <w:trHeight w:val="2779"/>
        </w:trPr>
        <w:tc>
          <w:tcPr>
            <w:tcBorders>
              <w:top w:val="single" w:color="auto" w:sz="6" w:space="0"/>
              <w:left w:val="single" w:color="auto" w:sz="6" w:space="0"/>
              <w:bottom w:val="single" w:color="auto" w:sz="6" w:space="0"/>
              <w:right w:val="single" w:color="auto" w:sz="6" w:space="0"/>
            </w:tcBorders>
            <w:tcW w:w="562"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344"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800万高清智能微卡口</w:t>
            </w:r>
            <w:r/>
          </w:p>
        </w:tc>
        <w:tc>
          <w:tcPr>
            <w:tcBorders>
              <w:top w:val="single" w:color="auto" w:sz="6" w:space="0"/>
              <w:left w:val="single" w:color="auto" w:sz="6" w:space="0"/>
              <w:bottom w:val="single" w:color="auto" w:sz="6" w:space="0"/>
              <w:right w:val="single" w:color="auto" w:sz="6" w:space="0"/>
            </w:tcBorders>
            <w:tcW w:w="5679"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像素：800W</w:t>
            </w:r>
            <w:r/>
          </w:p>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分辨率：最大支持 3840 × 2160</w:t>
            </w:r>
            <w:r/>
          </w:p>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帧率：25fps</w:t>
            </w:r>
            <w:r/>
          </w:p>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感光器件：1/1.2" CMOS</w:t>
            </w:r>
            <w:r/>
          </w:p>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最小照度：彩色:0.001 Lux @(F1.2，AGC ON)</w:t>
            </w:r>
            <w:r/>
          </w:p>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视频压缩标准：H.264/H.265/MJPEG</w:t>
            </w:r>
            <w:r/>
          </w:p>
        </w:tc>
        <w:tc>
          <w:tcPr>
            <w:tcBorders>
              <w:top w:val="single" w:color="auto" w:sz="6" w:space="0"/>
              <w:left w:val="single" w:color="auto" w:sz="6" w:space="0"/>
              <w:bottom w:val="single" w:color="auto" w:sz="6" w:space="0"/>
              <w:right w:val="single" w:color="auto" w:sz="6" w:space="0"/>
            </w:tcBorders>
            <w:tcW w:w="747"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套</w:t>
            </w:r>
            <w:r/>
          </w:p>
        </w:tc>
        <w:tc>
          <w:tcPr>
            <w:tcBorders>
              <w:top w:val="single" w:color="auto" w:sz="6" w:space="0"/>
              <w:left w:val="single" w:color="auto" w:sz="6" w:space="0"/>
              <w:bottom w:val="single" w:color="auto" w:sz="6" w:space="0"/>
              <w:right w:val="single" w:color="auto" w:sz="6" w:space="0"/>
            </w:tcBorders>
            <w:tcW w:w="746"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4</w:t>
            </w:r>
            <w:r/>
          </w:p>
        </w:tc>
      </w:tr>
      <w:tr>
        <w:trPr>
          <w:jc w:val="center"/>
          <w:trHeight w:val="3174"/>
        </w:trPr>
        <w:tc>
          <w:tcPr>
            <w:tcBorders>
              <w:top w:val="single" w:color="auto" w:sz="6" w:space="0"/>
              <w:left w:val="single" w:color="auto" w:sz="6" w:space="0"/>
              <w:bottom w:val="single" w:color="auto" w:sz="6" w:space="0"/>
              <w:right w:val="single" w:color="auto" w:sz="6" w:space="0"/>
            </w:tcBorders>
            <w:tcW w:w="562"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344"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400万全彩枪球一体机</w:t>
            </w:r>
            <w:r/>
          </w:p>
        </w:tc>
        <w:tc>
          <w:tcPr>
            <w:tcBorders>
              <w:top w:val="single" w:color="auto" w:sz="6" w:space="0"/>
              <w:left w:val="single" w:color="auto" w:sz="6" w:space="0"/>
              <w:bottom w:val="single" w:color="auto" w:sz="6" w:space="0"/>
              <w:right w:val="single" w:color="auto" w:sz="6" w:space="0"/>
            </w:tcBorders>
            <w:tcW w:w="5679" w:type="dxa"/>
            <w:vAlign w:val="center"/>
            <w:textDirection w:val="lrTb"/>
            <w:noWrap w:val="false"/>
          </w:tcPr>
          <w:p>
            <w:pPr>
              <w:jc w:val="center"/>
              <w:spacing w:line="40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支持全景2560×1440@25fps高清画面输出，细节最大2560×1440@30fps高清画面输出</w:t>
            </w:r>
            <w:r/>
          </w:p>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细节支持360°水平旋转，垂直方向-20°-90°。全景支持垂直方向7°-17°可调</w:t>
            </w:r>
            <w:r/>
          </w:p>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双1/1.8" CMOS，</w:t>
            </w:r>
            <w:r/>
          </w:p>
        </w:tc>
        <w:tc>
          <w:tcPr>
            <w:tcBorders>
              <w:top w:val="single" w:color="auto" w:sz="6" w:space="0"/>
              <w:left w:val="single" w:color="auto" w:sz="6" w:space="0"/>
              <w:bottom w:val="single" w:color="auto" w:sz="6" w:space="0"/>
              <w:right w:val="single" w:color="auto" w:sz="6" w:space="0"/>
            </w:tcBorders>
            <w:tcW w:w="747"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套</w:t>
            </w:r>
            <w:r/>
          </w:p>
        </w:tc>
        <w:tc>
          <w:tcPr>
            <w:tcBorders>
              <w:top w:val="single" w:color="auto" w:sz="6" w:space="0"/>
              <w:left w:val="single" w:color="auto" w:sz="6" w:space="0"/>
              <w:bottom w:val="single" w:color="auto" w:sz="6" w:space="0"/>
              <w:right w:val="single" w:color="auto" w:sz="6" w:space="0"/>
            </w:tcBorders>
            <w:tcW w:w="746"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1</w:t>
            </w:r>
            <w:r/>
          </w:p>
        </w:tc>
      </w:tr>
      <w:tr>
        <w:trPr>
          <w:jc w:val="center"/>
          <w:trHeight w:val="2399"/>
        </w:trPr>
        <w:tc>
          <w:tcPr>
            <w:tcBorders>
              <w:top w:val="single" w:color="auto" w:sz="6" w:space="0"/>
              <w:left w:val="single" w:color="auto" w:sz="6" w:space="0"/>
              <w:bottom w:val="single" w:color="auto" w:sz="6" w:space="0"/>
              <w:right w:val="single" w:color="auto" w:sz="6" w:space="0"/>
            </w:tcBorders>
            <w:tcW w:w="562"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344"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智能终端服务器</w:t>
            </w:r>
            <w:r/>
          </w:p>
        </w:tc>
        <w:tc>
          <w:tcPr>
            <w:tcBorders>
              <w:top w:val="single" w:color="auto" w:sz="6" w:space="0"/>
              <w:left w:val="single" w:color="auto" w:sz="6" w:space="0"/>
              <w:bottom w:val="single" w:color="auto" w:sz="6" w:space="0"/>
              <w:right w:val="single" w:color="auto" w:sz="6" w:space="0"/>
            </w:tcBorders>
            <w:tcW w:w="5679"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支持12路H.265、H.264编码混合自适应接入；</w:t>
            </w:r>
            <w:r/>
          </w:p>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支持图片存储展示，包括车辆卡口、违法、人脸、人体以及其他事件</w:t>
            </w:r>
            <w:r/>
          </w:p>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支持视频预览、录像和回放，可配置录像计划，录像和图片存储空间可配置；</w:t>
            </w:r>
            <w:r/>
          </w:p>
        </w:tc>
        <w:tc>
          <w:tcPr>
            <w:tcBorders>
              <w:top w:val="single" w:color="auto" w:sz="6" w:space="0"/>
              <w:left w:val="single" w:color="auto" w:sz="6" w:space="0"/>
              <w:bottom w:val="single" w:color="auto" w:sz="6" w:space="0"/>
              <w:right w:val="single" w:color="auto" w:sz="6" w:space="0"/>
            </w:tcBorders>
            <w:tcW w:w="747"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套</w:t>
            </w:r>
            <w:r/>
          </w:p>
        </w:tc>
        <w:tc>
          <w:tcPr>
            <w:tcBorders>
              <w:top w:val="single" w:color="auto" w:sz="6" w:space="0"/>
              <w:left w:val="single" w:color="auto" w:sz="6" w:space="0"/>
              <w:bottom w:val="single" w:color="auto" w:sz="6" w:space="0"/>
              <w:right w:val="single" w:color="auto" w:sz="6" w:space="0"/>
            </w:tcBorders>
            <w:tcW w:w="746" w:type="dxa"/>
            <w:vAlign w:val="center"/>
            <w:textDirection w:val="lrTb"/>
            <w:noWrap w:val="false"/>
          </w:tcPr>
          <w:p>
            <w:pPr>
              <w:jc w:val="cente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1</w:t>
            </w:r>
            <w:r/>
          </w:p>
        </w:tc>
      </w:tr>
    </w:tbl>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default" w:ascii="方正仿宋_GBK" w:hAnsi="方正仿宋_GBK" w:eastAsia="方正仿宋_GBK" w:cs="方正仿宋_GBK"/>
          <w:b/>
          <w:bCs/>
          <w:color w:val="auto"/>
          <w:sz w:val="28"/>
          <w:szCs w:val="28"/>
          <w:highlight w:val="none"/>
          <w:lang w:val="en-US" w:eastAsia="zh-CN"/>
        </w:rPr>
      </w:r>
      <w:r/>
    </w:p>
    <w:p>
      <w:pPr>
        <w:jc w:val="left"/>
        <w:spacing w:line="300" w:lineRule="auto"/>
        <w:rPr>
          <w:rFonts w:hint="eastAsia" w:ascii="方正仿宋_GBK" w:hAnsi="方正仿宋_GBK" w:eastAsia="方正仿宋_GBK" w:cs="方正仿宋_GBK"/>
          <w:b/>
          <w:bCs/>
          <w:color w:val="auto"/>
          <w:sz w:val="28"/>
          <w:szCs w:val="28"/>
          <w:highlight w:val="none"/>
          <w:lang w:val="en-US" w:eastAsia="zh-CN"/>
        </w:rPr>
        <w:outlineLvl w:val="0"/>
      </w:pPr>
      <w:r>
        <w:rPr>
          <w:rFonts w:hint="eastAsia" w:ascii="方正仿宋_GBK" w:hAnsi="方正仿宋_GBK" w:eastAsia="方正仿宋_GBK" w:cs="方正仿宋_GBK"/>
          <w:b/>
          <w:bCs/>
          <w:color w:val="auto"/>
          <w:sz w:val="28"/>
          <w:szCs w:val="28"/>
          <w:highlight w:val="none"/>
          <w:lang w:val="en-US" w:eastAsia="zh-CN"/>
        </w:rPr>
        <w:t xml:space="preserve">附件6</w:t>
      </w:r>
      <w:r/>
    </w:p>
    <w:p>
      <w:pPr>
        <w:jc w:val="center"/>
        <w:rPr>
          <w:rFonts w:ascii="华文中宋" w:hAnsi="华文中宋" w:eastAsia="华文中宋"/>
          <w:bCs/>
          <w:color w:val="auto"/>
          <w:sz w:val="32"/>
          <w:szCs w:val="32"/>
          <w:highlight w:val="none"/>
        </w:rPr>
      </w:pPr>
      <w:r>
        <w:rPr>
          <w:rFonts w:ascii="华文中宋" w:hAnsi="华文中宋" w:eastAsia="华文中宋"/>
          <w:bCs/>
          <w:color w:val="auto"/>
          <w:sz w:val="32"/>
          <w:szCs w:val="32"/>
          <w:highlight w:val="none"/>
        </w:rPr>
        <w:t xml:space="preserve">停车场标志样式</w:t>
      </w:r>
      <w:r/>
    </w:p>
    <w:p>
      <w:pPr>
        <w:jc w:val="left"/>
        <w:spacing w:line="300" w:lineRule="auto"/>
        <w:rPr>
          <w:rFonts w:hint="default" w:ascii="方正仿宋_GBK" w:hAnsi="方正仿宋_GBK" w:eastAsia="方正仿宋_GBK" w:cs="方正仿宋_GBK"/>
          <w:b/>
          <w:bCs/>
          <w:color w:val="auto"/>
          <w:sz w:val="28"/>
          <w:szCs w:val="28"/>
          <w:highlight w:val="none"/>
          <w:lang w:val="en-US" w:eastAsia="zh-CN"/>
        </w:rPr>
        <w:outlineLvl w:val="0"/>
      </w:pPr>
      <w:r>
        <w:rPr>
          <w:rFonts w:hint="eastAsia"/>
          <w:b/>
          <w:bCs/>
          <w:color w:val="auto"/>
          <w:sz w:val="32"/>
          <w:szCs w:val="32"/>
          <w:highlight w:val="none"/>
        </w:rPr>
        <mc:AlternateContent>
          <mc:Choice Requires="wpg">
            <w:drawing>
              <wp:inline xmlns:wp="http://schemas.openxmlformats.org/drawingml/2006/wordprocessingDrawing" distT="0" distB="0" distL="0" distR="0">
                <wp:extent cx="4628515" cy="4388485"/>
                <wp:effectExtent l="0" t="0" r="635" b="12065"/>
                <wp:docPr id="7" name="图片框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框 1026"/>
                        <pic:cNvPicPr>
                          <a:picLocks noChangeAspect="1"/>
                        </pic:cNvPicPr>
                        <pic:nvPr/>
                      </pic:nvPicPr>
                      <pic:blipFill>
                        <a:blip r:embed="rId25"/>
                        <a:stretch/>
                      </pic:blipFill>
                      <pic:spPr bwMode="auto">
                        <a:xfrm>
                          <a:off x="0" y="0"/>
                          <a:ext cx="4628515" cy="438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64.4pt;height:345.6pt;mso-wrap-distance-left:0.0pt;mso-wrap-distance-top:0.0pt;mso-wrap-distance-right:0.0pt;mso-wrap-distance-bottom:0.0pt;" stroked="f">
                <v:path textboxrect="0,0,0,0"/>
                <v:imagedata r:id="rId25" o:title=""/>
              </v:shape>
            </w:pict>
          </mc:Fallback>
        </mc:AlternateContent>
      </w:r>
      <w:r/>
    </w:p>
    <w:sectPr>
      <w:headerReference w:type="default" r:id="rId12"/>
      <w:headerReference w:type="even" r:id="rId13"/>
      <w:headerReference w:type="first" r:id="rId14"/>
      <w:footerReference w:type="default" r:id="rId19"/>
      <w:footerReference w:type="even" r:id="rId20"/>
      <w:footerReference w:type="first" r:id="rId21"/>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Times">
    <w:panose1 w:val="02020603050405020304"/>
  </w:font>
  <w:font w:name="华文新魏">
    <w:panose1 w:val="02010800040101010101"/>
  </w:font>
  <w:font w:name="方正魏碑简体">
    <w:panose1 w:val="020B0503020202020204"/>
  </w:font>
  <w:font w:name="方正仿宋_GBK">
    <w:panose1 w:val="020B0503020202020204"/>
  </w:font>
  <w:font w:name="Wingdings">
    <w:panose1 w:val="05000000000000000000"/>
  </w:font>
  <w:font w:name="Times New Roman Regular">
    <w:panose1 w:val="02020603050405020304"/>
  </w:font>
  <w:font w:name="仿宋">
    <w:panose1 w:val="02010609060101010101"/>
  </w:font>
  <w:font w:name="等线">
    <w:panose1 w:val="02010600030101010101"/>
  </w:font>
  <w:font w:name="Tahoma">
    <w:panose1 w:val="020B0604030504040204"/>
  </w:font>
  <w:font w:name="微软雅黑">
    <w:panose1 w:val="020B0503020204020204"/>
  </w:font>
  <w:font w:name="Calibri">
    <w:panose1 w:val="020F0502020204030204"/>
  </w:font>
  <w:font w:name="PMingLiU">
    <w:panose1 w:val="02020500000000000000"/>
  </w:font>
  <w:font w:name="华文细黑">
    <w:panose1 w:val="02010600040101010101"/>
  </w:font>
  <w:font w:name="Symbol">
    <w:panose1 w:val="05050102010706020507"/>
  </w:font>
  <w:font w:name="新宋体">
    <w:panose1 w:val="02010609030101010101"/>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38"/>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wrap="none" lIns="0" tIns="0" rIns="0" bIns="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38"/>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102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297"/>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w:t>
                          </w:r>
                          <w:r/>
                        </w:p>
                        <w:p>
                          <w:r/>
                          <w:r/>
                        </w:p>
                        <w:p>
                          <w:r/>
                          <w:r/>
                        </w:p>
                      </w:txbxContent>
                    </wps:txbx>
                    <wps:bodyPr rot="0" vert="horz" wrap="square" lIns="91440" tIns="45720" rIns="91440" bIns="45720" anchor="t" anchorCtr="0"/>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297"/>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w:t>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2135" cy="147955"/>
              <wp:effectExtent l="0" t="0" r="0" b="0"/>
              <wp:wrapNone/>
              <wp:docPr id="3" name="文本框 176901709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2135" cy="147955"/>
                      </a:xfrm>
                      <a:prstGeom prst="rect">
                        <a:avLst/>
                      </a:prstGeom>
                      <a:noFill/>
                      <a:ln>
                        <a:noFill/>
                      </a:ln>
                      <a:effectLst/>
                    </wps:spPr>
                    <wps:txbx>
                      <w:txbxContent>
                        <w:p>
                          <w:pPr>
                            <w:pStyle w:val="938"/>
                          </w:pPr>
                          <w:r>
                            <w:t xml:space="preserve">第</w:t>
                          </w:r>
                          <w:r>
                            <w:fldChar w:fldCharType="begin"/>
                          </w:r>
                          <w:r>
                            <w:instrText xml:space="preserve"> PAGE  \* MERGEFORMAT </w:instrText>
                          </w:r>
                          <w:r>
                            <w:fldChar w:fldCharType="separate"/>
                          </w:r>
                          <w:r>
                            <w:t xml:space="preserve">46</w:t>
                          </w:r>
                          <w:r>
                            <w:fldChar w:fldCharType="end"/>
                          </w:r>
                          <w:r>
                            <w:t xml:space="preserve">页共</w:t>
                          </w:r>
                          <w:r>
                            <w:fldChar w:fldCharType="begin"/>
                          </w:r>
                          <w:r>
                            <w:instrText xml:space="preserve"> NUMPAGES  \* MERGEFORMAT </w:instrText>
                          </w:r>
                          <w:r>
                            <w:fldChar w:fldCharType="separate"/>
                          </w:r>
                          <w:r>
                            <w:t xml:space="preserve">49</w:t>
                          </w:r>
                          <w:r>
                            <w:fldChar w:fldCharType="end"/>
                          </w:r>
                          <w:r>
                            <w:t xml:space="preserve">页</w:t>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0pt;height:11.6pt;mso-wrap-distance-left:9.0pt;mso-wrap-distance-top:0.0pt;mso-wrap-distance-right:9.0pt;mso-wrap-distance-bottom:0.0pt;v-text-anchor:top;visibility:visible;" filled="f" stroked="f">
              <v:textbox inset="0,0,0,0">
                <w:txbxContent>
                  <w:p>
                    <w:pPr>
                      <w:pStyle w:val="938"/>
                    </w:pPr>
                    <w:r>
                      <w:t xml:space="preserve">第</w:t>
                    </w:r>
                    <w:r>
                      <w:fldChar w:fldCharType="begin"/>
                    </w:r>
                    <w:r>
                      <w:instrText xml:space="preserve"> PAGE  \* MERGEFORMAT </w:instrText>
                    </w:r>
                    <w:r>
                      <w:fldChar w:fldCharType="separate"/>
                    </w:r>
                    <w:r>
                      <w:t xml:space="preserve">46</w:t>
                    </w:r>
                    <w:r>
                      <w:fldChar w:fldCharType="end"/>
                    </w:r>
                    <w:r>
                      <w:t xml:space="preserve">页共</w:t>
                    </w:r>
                    <w:r>
                      <w:fldChar w:fldCharType="begin"/>
                    </w:r>
                    <w:r>
                      <w:instrText xml:space="preserve"> NUMPAGES  \* MERGEFORMAT </w:instrText>
                    </w:r>
                    <w:r>
                      <w:fldChar w:fldCharType="separate"/>
                    </w:r>
                    <w:r>
                      <w:t xml:space="preserve">49</w:t>
                    </w:r>
                    <w:r>
                      <w:fldChar w:fldCharType="end"/>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pPr>
    <w:r>
      <w:fldChar w:fldCharType="begin"/>
    </w:r>
    <w:r>
      <w:instrText xml:space="preserve">PAGE   \* MERGEFORMAT</w:instrText>
    </w:r>
    <w:r>
      <w:fldChar w:fldCharType="separate"/>
    </w:r>
    <w:r>
      <w:t xml:space="preserve">13</w:t>
    </w:r>
    <w:r>
      <w:fldChar w:fldCharType="end"/>
    </w:r>
    <w:r/>
  </w:p>
  <w:p>
    <w:pPr>
      <w:pStyle w:val="93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_x0000_s102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189"/>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r/>
                          <w:r/>
                        </w:p>
                      </w:txbxContent>
                    </wps:txbx>
                    <wps:bodyPr rot="0" vert="horz" wrap="square" lIns="91440" tIns="45720" rIns="91440" bIns="45720" anchor="t" anchorCtr="0"/>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189"/>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lear" w:pos="4153" w:leader="none"/>
        <w:tab w:val="clear"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tabs>
        <w:tab w:val="clear" w:pos="4153" w:leader="none"/>
        <w:tab w:val="clear"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tabs>
        <w:tab w:val="clear" w:pos="4153" w:leader="none"/>
        <w:tab w:val="clear"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tabs>
        <w:tab w:val="clear" w:pos="4153" w:leader="none"/>
        <w:tab w:val="clear"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tabs>
        <w:tab w:val="clear" w:pos="4153" w:leader="none"/>
        <w:tab w:val="clear"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258"/>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default="1">
    <w:name w:val="Normal"/>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name w:val="Heading 1"/>
    <w:basedOn w:val="912"/>
    <w:next w:val="912"/>
    <w:link w:val="996"/>
    <w:uiPriority w:val="9"/>
    <w:qFormat/>
    <w:pPr>
      <w:keepLines/>
      <w:keepNext/>
      <w:spacing w:before="480" w:after="200"/>
      <w:outlineLvl w:val="0"/>
    </w:pPr>
    <w:rPr>
      <w:rFonts w:ascii="Arial" w:hAnsi="Arial" w:eastAsia="Arial" w:cs="Arial"/>
      <w:sz w:val="40"/>
      <w:szCs w:val="40"/>
    </w:rPr>
  </w:style>
  <w:style w:type="paragraph" w:styleId="914">
    <w:name w:val="Heading 2"/>
    <w:basedOn w:val="912"/>
    <w:next w:val="912"/>
    <w:link w:val="997"/>
    <w:uiPriority w:val="9"/>
    <w:unhideWhenUsed/>
    <w:qFormat/>
    <w:pPr>
      <w:keepLines/>
      <w:keepNext/>
      <w:spacing w:before="360" w:after="200"/>
      <w:outlineLvl w:val="1"/>
    </w:pPr>
    <w:rPr>
      <w:rFonts w:ascii="Arial" w:hAnsi="Arial" w:eastAsia="Arial" w:cs="Arial"/>
      <w:sz w:val="34"/>
    </w:rPr>
  </w:style>
  <w:style w:type="paragraph" w:styleId="915">
    <w:name w:val="Heading 3"/>
    <w:basedOn w:val="912"/>
    <w:next w:val="912"/>
    <w:link w:val="998"/>
    <w:uiPriority w:val="9"/>
    <w:unhideWhenUsed/>
    <w:qFormat/>
    <w:pPr>
      <w:keepLines/>
      <w:keepNext/>
      <w:spacing w:before="320" w:after="200"/>
      <w:outlineLvl w:val="2"/>
    </w:pPr>
    <w:rPr>
      <w:rFonts w:ascii="Arial" w:hAnsi="Arial" w:eastAsia="Arial" w:cs="Arial"/>
      <w:sz w:val="30"/>
      <w:szCs w:val="30"/>
    </w:rPr>
  </w:style>
  <w:style w:type="paragraph" w:styleId="916">
    <w:name w:val="Heading 4"/>
    <w:basedOn w:val="912"/>
    <w:next w:val="912"/>
    <w:link w:val="999"/>
    <w:uiPriority w:val="9"/>
    <w:unhideWhenUsed/>
    <w:qFormat/>
    <w:pPr>
      <w:keepLines/>
      <w:keepNext/>
      <w:spacing w:before="320" w:after="200"/>
      <w:outlineLvl w:val="3"/>
    </w:pPr>
    <w:rPr>
      <w:rFonts w:ascii="Arial" w:hAnsi="Arial" w:eastAsia="Arial" w:cs="Arial"/>
      <w:b/>
      <w:bCs/>
      <w:sz w:val="26"/>
      <w:szCs w:val="26"/>
    </w:rPr>
  </w:style>
  <w:style w:type="paragraph" w:styleId="917">
    <w:name w:val="Heading 5"/>
    <w:basedOn w:val="912"/>
    <w:next w:val="912"/>
    <w:link w:val="1000"/>
    <w:uiPriority w:val="9"/>
    <w:unhideWhenUsed/>
    <w:qFormat/>
    <w:pPr>
      <w:keepLines/>
      <w:keepNext/>
      <w:spacing w:before="320" w:after="200"/>
      <w:outlineLvl w:val="4"/>
    </w:pPr>
    <w:rPr>
      <w:rFonts w:ascii="Arial" w:hAnsi="Arial" w:eastAsia="Arial" w:cs="Arial"/>
      <w:b/>
      <w:bCs/>
      <w:sz w:val="24"/>
    </w:rPr>
  </w:style>
  <w:style w:type="paragraph" w:styleId="918">
    <w:name w:val="Heading 6"/>
    <w:basedOn w:val="912"/>
    <w:next w:val="912"/>
    <w:link w:val="1001"/>
    <w:uiPriority w:val="9"/>
    <w:unhideWhenUsed/>
    <w:qFormat/>
    <w:pPr>
      <w:keepLines/>
      <w:keepNext/>
      <w:spacing w:before="320" w:after="200"/>
      <w:outlineLvl w:val="5"/>
    </w:pPr>
    <w:rPr>
      <w:rFonts w:ascii="Arial" w:hAnsi="Arial" w:eastAsia="Arial" w:cs="Arial"/>
      <w:b/>
      <w:bCs/>
      <w:sz w:val="22"/>
      <w:szCs w:val="22"/>
    </w:rPr>
  </w:style>
  <w:style w:type="paragraph" w:styleId="919">
    <w:name w:val="Heading 7"/>
    <w:basedOn w:val="912"/>
    <w:next w:val="912"/>
    <w:link w:val="1002"/>
    <w:uiPriority w:val="9"/>
    <w:unhideWhenUsed/>
    <w:qFormat/>
    <w:pPr>
      <w:keepLines/>
      <w:keepNext/>
      <w:spacing w:before="320" w:after="200"/>
      <w:outlineLvl w:val="6"/>
    </w:pPr>
    <w:rPr>
      <w:rFonts w:ascii="Arial" w:hAnsi="Arial" w:eastAsia="Arial" w:cs="Arial"/>
      <w:b/>
      <w:bCs/>
      <w:i/>
      <w:iCs/>
      <w:sz w:val="22"/>
      <w:szCs w:val="22"/>
    </w:rPr>
  </w:style>
  <w:style w:type="paragraph" w:styleId="920">
    <w:name w:val="Heading 8"/>
    <w:basedOn w:val="912"/>
    <w:next w:val="912"/>
    <w:link w:val="1003"/>
    <w:uiPriority w:val="9"/>
    <w:unhideWhenUsed/>
    <w:qFormat/>
    <w:pPr>
      <w:keepLines/>
      <w:keepNext/>
      <w:spacing w:before="320" w:after="200"/>
      <w:outlineLvl w:val="7"/>
    </w:pPr>
    <w:rPr>
      <w:rFonts w:ascii="Arial" w:hAnsi="Arial" w:eastAsia="Arial" w:cs="Arial"/>
      <w:i/>
      <w:iCs/>
      <w:sz w:val="22"/>
      <w:szCs w:val="22"/>
    </w:rPr>
  </w:style>
  <w:style w:type="paragraph" w:styleId="921">
    <w:name w:val="Heading 9"/>
    <w:basedOn w:val="912"/>
    <w:next w:val="912"/>
    <w:link w:val="1004"/>
    <w:uiPriority w:val="9"/>
    <w:unhideWhenUsed/>
    <w:qFormat/>
    <w:pPr>
      <w:keepLines/>
      <w:keepNext/>
      <w:spacing w:before="320" w:after="200"/>
      <w:outlineLvl w:val="8"/>
    </w:pPr>
    <w:rPr>
      <w:rFonts w:ascii="Arial" w:hAnsi="Arial" w:eastAsia="Arial" w:cs="Arial"/>
      <w:i/>
      <w:iCs/>
      <w:szCs w:val="21"/>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customStyle="1">
    <w:name w:val="彩色列表1"/>
    <w:basedOn w:val="912"/>
    <w:uiPriority w:val="0"/>
    <w:qFormat/>
    <w:pPr>
      <w:ind w:firstLine="420"/>
    </w:pPr>
  </w:style>
  <w:style w:type="paragraph" w:styleId="925">
    <w:name w:val="toc 7"/>
    <w:basedOn w:val="912"/>
    <w:next w:val="912"/>
    <w:uiPriority w:val="39"/>
    <w:unhideWhenUsed/>
    <w:qFormat/>
    <w:pPr>
      <w:ind w:left="1701"/>
      <w:spacing w:after="57"/>
    </w:pPr>
  </w:style>
  <w:style w:type="paragraph" w:styleId="926">
    <w:name w:val="Caption"/>
    <w:basedOn w:val="912"/>
    <w:next w:val="9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7">
    <w:name w:val="toa heading"/>
    <w:basedOn w:val="912"/>
    <w:next w:val="912"/>
    <w:uiPriority w:val="0"/>
    <w:qFormat/>
    <w:pPr>
      <w:jc w:val="center"/>
      <w:spacing w:line="360" w:lineRule="atLeast"/>
    </w:pPr>
    <w:rPr>
      <w:rFonts w:ascii="Arial" w:hAnsi="Arial" w:eastAsia="黑体"/>
      <w:sz w:val="36"/>
      <w:szCs w:val="20"/>
    </w:rPr>
  </w:style>
  <w:style w:type="paragraph" w:styleId="928">
    <w:name w:val="annotation text"/>
    <w:basedOn w:val="912"/>
    <w:uiPriority w:val="99"/>
    <w:semiHidden/>
    <w:unhideWhenUsed/>
    <w:qFormat/>
    <w:pPr>
      <w:jc w:val="left"/>
    </w:pPr>
  </w:style>
  <w:style w:type="paragraph" w:styleId="929">
    <w:name w:val="Body Text"/>
    <w:basedOn w:val="912"/>
    <w:link w:val="1302"/>
    <w:uiPriority w:val="99"/>
    <w:qFormat/>
    <w:rPr>
      <w:rFonts w:ascii="仿宋_GB2312" w:eastAsia="仿宋_GB2312"/>
      <w:sz w:val="24"/>
    </w:rPr>
  </w:style>
  <w:style w:type="paragraph" w:styleId="930">
    <w:name w:val="Body Text Indent"/>
    <w:basedOn w:val="912"/>
    <w:next w:val="931"/>
    <w:uiPriority w:val="99"/>
    <w:unhideWhenUsed/>
    <w:qFormat/>
    <w:pPr>
      <w:ind w:left="420"/>
      <w:spacing w:after="120"/>
    </w:pPr>
  </w:style>
  <w:style w:type="paragraph" w:styleId="931">
    <w:name w:val="envelope return"/>
    <w:basedOn w:val="912"/>
    <w:uiPriority w:val="99"/>
    <w:unhideWhenUsed/>
    <w:qFormat/>
    <w:rPr>
      <w:rFonts w:ascii="Arial" w:hAnsi="Arial"/>
    </w:rPr>
  </w:style>
  <w:style w:type="paragraph" w:styleId="932">
    <w:name w:val="toc 5"/>
    <w:basedOn w:val="912"/>
    <w:next w:val="912"/>
    <w:uiPriority w:val="39"/>
    <w:unhideWhenUsed/>
    <w:qFormat/>
    <w:pPr>
      <w:ind w:left="1134"/>
      <w:spacing w:after="57"/>
    </w:pPr>
  </w:style>
  <w:style w:type="paragraph" w:styleId="933">
    <w:name w:val="toc 3"/>
    <w:basedOn w:val="912"/>
    <w:next w:val="912"/>
    <w:uiPriority w:val="39"/>
    <w:unhideWhenUsed/>
    <w:qFormat/>
    <w:pPr>
      <w:ind w:left="567"/>
      <w:spacing w:after="57"/>
    </w:pPr>
  </w:style>
  <w:style w:type="paragraph" w:styleId="934">
    <w:name w:val="Plain Text"/>
    <w:basedOn w:val="912"/>
    <w:uiPriority w:val="0"/>
    <w:qFormat/>
    <w:rPr>
      <w:rFonts w:ascii="宋体" w:hAnsi="Courier New"/>
      <w:sz w:val="20"/>
      <w:szCs w:val="21"/>
    </w:rPr>
  </w:style>
  <w:style w:type="paragraph" w:styleId="935">
    <w:name w:val="toc 8"/>
    <w:basedOn w:val="912"/>
    <w:next w:val="912"/>
    <w:uiPriority w:val="39"/>
    <w:unhideWhenUsed/>
    <w:qFormat/>
    <w:pPr>
      <w:ind w:left="1984"/>
      <w:spacing w:after="57"/>
    </w:pPr>
  </w:style>
  <w:style w:type="paragraph" w:styleId="936">
    <w:name w:val="endnote text"/>
    <w:basedOn w:val="912"/>
    <w:link w:val="1142"/>
    <w:uiPriority w:val="99"/>
    <w:semiHidden/>
    <w:unhideWhenUsed/>
    <w:qFormat/>
    <w:rPr>
      <w:sz w:val="20"/>
    </w:rPr>
  </w:style>
  <w:style w:type="paragraph" w:styleId="937">
    <w:name w:val="Balloon Text"/>
    <w:basedOn w:val="912"/>
    <w:link w:val="1303"/>
    <w:uiPriority w:val="99"/>
    <w:semiHidden/>
    <w:unhideWhenUsed/>
    <w:qFormat/>
    <w:rPr>
      <w:sz w:val="18"/>
      <w:szCs w:val="18"/>
    </w:rPr>
  </w:style>
  <w:style w:type="paragraph" w:styleId="938">
    <w:name w:val="Footer"/>
    <w:basedOn w:val="912"/>
    <w:link w:val="1301"/>
    <w:uiPriority w:val="0"/>
    <w:qFormat/>
    <w:pPr>
      <w:jc w:val="left"/>
      <w:tabs>
        <w:tab w:val="center" w:pos="4153" w:leader="none"/>
        <w:tab w:val="right" w:pos="8306" w:leader="none"/>
      </w:tabs>
    </w:pPr>
    <w:rPr>
      <w:sz w:val="18"/>
      <w:szCs w:val="18"/>
    </w:rPr>
  </w:style>
  <w:style w:type="paragraph" w:styleId="939">
    <w:name w:val="Header"/>
    <w:basedOn w:val="912"/>
    <w:link w:val="1300"/>
    <w:uiPriority w:val="0"/>
    <w:qFormat/>
    <w:pPr>
      <w:jc w:val="center"/>
      <w:tabs>
        <w:tab w:val="center" w:pos="4153" w:leader="none"/>
        <w:tab w:val="right" w:pos="8306" w:leader="none"/>
      </w:tabs>
    </w:pPr>
    <w:rPr>
      <w:sz w:val="18"/>
      <w:szCs w:val="18"/>
    </w:rPr>
  </w:style>
  <w:style w:type="paragraph" w:styleId="940">
    <w:name w:val="toc 1"/>
    <w:basedOn w:val="912"/>
    <w:next w:val="912"/>
    <w:uiPriority w:val="39"/>
    <w:unhideWhenUsed/>
    <w:qFormat/>
    <w:pPr>
      <w:spacing w:after="57"/>
    </w:pPr>
  </w:style>
  <w:style w:type="paragraph" w:styleId="941">
    <w:name w:val="toc 4"/>
    <w:basedOn w:val="912"/>
    <w:next w:val="912"/>
    <w:uiPriority w:val="39"/>
    <w:unhideWhenUsed/>
    <w:qFormat/>
    <w:pPr>
      <w:ind w:left="850"/>
      <w:spacing w:after="57"/>
    </w:pPr>
  </w:style>
  <w:style w:type="paragraph" w:styleId="942">
    <w:name w:val="Subtitle"/>
    <w:basedOn w:val="912"/>
    <w:next w:val="912"/>
    <w:link w:val="1008"/>
    <w:uiPriority w:val="11"/>
    <w:qFormat/>
    <w:pPr>
      <w:spacing w:before="200" w:after="200"/>
    </w:pPr>
    <w:rPr>
      <w:sz w:val="24"/>
    </w:rPr>
  </w:style>
  <w:style w:type="paragraph" w:styleId="943">
    <w:name w:val="footnote text"/>
    <w:basedOn w:val="912"/>
    <w:link w:val="1141"/>
    <w:uiPriority w:val="99"/>
    <w:semiHidden/>
    <w:unhideWhenUsed/>
    <w:qFormat/>
    <w:pPr>
      <w:spacing w:after="40"/>
    </w:pPr>
    <w:rPr>
      <w:sz w:val="18"/>
    </w:rPr>
  </w:style>
  <w:style w:type="paragraph" w:styleId="944">
    <w:name w:val="toc 6"/>
    <w:basedOn w:val="912"/>
    <w:next w:val="912"/>
    <w:uiPriority w:val="39"/>
    <w:unhideWhenUsed/>
    <w:qFormat/>
    <w:pPr>
      <w:ind w:left="1417"/>
      <w:spacing w:after="57"/>
    </w:pPr>
  </w:style>
  <w:style w:type="paragraph" w:styleId="945">
    <w:name w:val="Body Text Indent 3"/>
    <w:basedOn w:val="912"/>
    <w:next w:val="927"/>
    <w:uiPriority w:val="0"/>
    <w:qFormat/>
    <w:pPr>
      <w:ind w:firstLine="480"/>
      <w:spacing w:line="360" w:lineRule="auto"/>
      <w:widowControl/>
    </w:pPr>
    <w:rPr>
      <w:sz w:val="24"/>
    </w:rPr>
  </w:style>
  <w:style w:type="paragraph" w:styleId="946">
    <w:name w:val="table of figures"/>
    <w:basedOn w:val="912"/>
    <w:next w:val="912"/>
    <w:uiPriority w:val="99"/>
    <w:unhideWhenUsed/>
    <w:qFormat/>
  </w:style>
  <w:style w:type="paragraph" w:styleId="947">
    <w:name w:val="toc 2"/>
    <w:basedOn w:val="912"/>
    <w:next w:val="912"/>
    <w:uiPriority w:val="39"/>
    <w:unhideWhenUsed/>
    <w:qFormat/>
    <w:pPr>
      <w:ind w:left="283"/>
      <w:spacing w:after="57"/>
    </w:pPr>
  </w:style>
  <w:style w:type="paragraph" w:styleId="948">
    <w:name w:val="toc 9"/>
    <w:basedOn w:val="912"/>
    <w:next w:val="912"/>
    <w:uiPriority w:val="39"/>
    <w:unhideWhenUsed/>
    <w:qFormat/>
    <w:pPr>
      <w:ind w:left="2268"/>
      <w:spacing w:after="57"/>
    </w:pPr>
  </w:style>
  <w:style w:type="paragraph" w:styleId="949">
    <w:name w:val="Normal (Web)"/>
    <w:basedOn w:val="912"/>
    <w:uiPriority w:val="0"/>
    <w:unhideWhenUsed/>
    <w:qFormat/>
    <w:pPr>
      <w:jc w:val="left"/>
      <w:spacing w:before="100" w:beforeAutospacing="1" w:after="100" w:afterAutospacing="1"/>
      <w:widowControl/>
    </w:pPr>
    <w:rPr>
      <w:rFonts w:ascii="宋体" w:hAnsi="宋体" w:cs="宋体"/>
      <w:sz w:val="24"/>
    </w:rPr>
  </w:style>
  <w:style w:type="paragraph" w:styleId="950">
    <w:name w:val="Title"/>
    <w:basedOn w:val="912"/>
    <w:next w:val="912"/>
    <w:link w:val="1007"/>
    <w:uiPriority w:val="10"/>
    <w:qFormat/>
    <w:pPr>
      <w:contextualSpacing/>
      <w:spacing w:before="300" w:after="200"/>
    </w:pPr>
    <w:rPr>
      <w:sz w:val="48"/>
      <w:szCs w:val="48"/>
    </w:rPr>
  </w:style>
  <w:style w:type="paragraph" w:styleId="951">
    <w:name w:val="Body Text First Indent"/>
    <w:basedOn w:val="929"/>
    <w:uiPriority w:val="0"/>
    <w:qFormat/>
    <w:pPr>
      <w:ind w:firstLine="420"/>
      <w:spacing w:after="120"/>
    </w:pPr>
    <w:rPr>
      <w:rFonts w:ascii="Times New Roman" w:eastAsia="宋体"/>
      <w:szCs w:val="24"/>
    </w:rPr>
  </w:style>
  <w:style w:type="paragraph" w:styleId="952">
    <w:name w:val="Body Text First Indent 2"/>
    <w:basedOn w:val="930"/>
    <w:next w:val="945"/>
    <w:uiPriority w:val="99"/>
    <w:unhideWhenUsed/>
    <w:qFormat/>
    <w:pPr>
      <w:ind w:firstLine="420"/>
    </w:pPr>
  </w:style>
  <w:style w:type="table" w:styleId="953">
    <w:name w:val="Table Grid"/>
    <w:basedOn w:val="9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4">
    <w:name w:val="Strong"/>
    <w:basedOn w:val="922"/>
    <w:uiPriority w:val="22"/>
    <w:qFormat/>
    <w:rPr>
      <w:b/>
    </w:rPr>
  </w:style>
  <w:style w:type="character" w:styleId="955">
    <w:name w:val="endnote reference"/>
    <w:basedOn w:val="922"/>
    <w:uiPriority w:val="99"/>
    <w:semiHidden/>
    <w:unhideWhenUsed/>
    <w:qFormat/>
    <w:rPr>
      <w:vertAlign w:val="superscript"/>
    </w:rPr>
  </w:style>
  <w:style w:type="character" w:styleId="956">
    <w:name w:val="Hyperlink"/>
    <w:uiPriority w:val="99"/>
    <w:unhideWhenUsed/>
    <w:qFormat/>
    <w:rPr>
      <w:color w:val="0000ff" w:themeColor="hyperlink"/>
      <w:u w:val="single"/>
      <w14:textFill>
        <w14:solidFill>
          <w14:schemeClr w14:val="hlink"/>
        </w14:solidFill>
      </w14:textFill>
    </w:rPr>
  </w:style>
  <w:style w:type="character" w:styleId="957">
    <w:name w:val="footnote reference"/>
    <w:basedOn w:val="922"/>
    <w:uiPriority w:val="99"/>
    <w:unhideWhenUsed/>
    <w:qFormat/>
    <w:rPr>
      <w:vertAlign w:val="superscript"/>
    </w:rPr>
  </w:style>
  <w:style w:type="character" w:styleId="958" w:customStyle="1">
    <w:name w:val="Heading 1 Char"/>
    <w:basedOn w:val="922"/>
    <w:uiPriority w:val="9"/>
    <w:qFormat/>
    <w:rPr>
      <w:rFonts w:ascii="Arial" w:hAnsi="Arial" w:eastAsia="Arial" w:cs="Arial"/>
      <w:sz w:val="40"/>
      <w:szCs w:val="40"/>
    </w:rPr>
  </w:style>
  <w:style w:type="character" w:styleId="959" w:customStyle="1">
    <w:name w:val="Heading 2 Char"/>
    <w:basedOn w:val="922"/>
    <w:uiPriority w:val="9"/>
    <w:qFormat/>
    <w:rPr>
      <w:rFonts w:ascii="Arial" w:hAnsi="Arial" w:eastAsia="Arial" w:cs="Arial"/>
      <w:sz w:val="34"/>
    </w:rPr>
  </w:style>
  <w:style w:type="character" w:styleId="960" w:customStyle="1">
    <w:name w:val="Heading 3 Char"/>
    <w:basedOn w:val="922"/>
    <w:uiPriority w:val="9"/>
    <w:qFormat/>
    <w:rPr>
      <w:rFonts w:ascii="Arial" w:hAnsi="Arial" w:eastAsia="Arial" w:cs="Arial"/>
      <w:sz w:val="30"/>
      <w:szCs w:val="30"/>
    </w:rPr>
  </w:style>
  <w:style w:type="character" w:styleId="961" w:customStyle="1">
    <w:name w:val="Heading 4 Char"/>
    <w:basedOn w:val="922"/>
    <w:uiPriority w:val="9"/>
    <w:qFormat/>
    <w:rPr>
      <w:rFonts w:ascii="Arial" w:hAnsi="Arial" w:eastAsia="Arial" w:cs="Arial"/>
      <w:b/>
      <w:bCs/>
      <w:sz w:val="26"/>
      <w:szCs w:val="26"/>
    </w:rPr>
  </w:style>
  <w:style w:type="character" w:styleId="962" w:customStyle="1">
    <w:name w:val="Heading 5 Char"/>
    <w:basedOn w:val="922"/>
    <w:uiPriority w:val="9"/>
    <w:qFormat/>
    <w:rPr>
      <w:rFonts w:ascii="Arial" w:hAnsi="Arial" w:eastAsia="Arial" w:cs="Arial"/>
      <w:b/>
      <w:bCs/>
      <w:sz w:val="24"/>
      <w:szCs w:val="24"/>
    </w:rPr>
  </w:style>
  <w:style w:type="character" w:styleId="963" w:customStyle="1">
    <w:name w:val="Heading 6 Char"/>
    <w:basedOn w:val="922"/>
    <w:uiPriority w:val="9"/>
    <w:qFormat/>
    <w:rPr>
      <w:rFonts w:ascii="Arial" w:hAnsi="Arial" w:eastAsia="Arial" w:cs="Arial"/>
      <w:b/>
      <w:bCs/>
      <w:sz w:val="22"/>
      <w:szCs w:val="22"/>
    </w:rPr>
  </w:style>
  <w:style w:type="character" w:styleId="964" w:customStyle="1">
    <w:name w:val="Heading 7 Char"/>
    <w:basedOn w:val="922"/>
    <w:uiPriority w:val="9"/>
    <w:qFormat/>
    <w:rPr>
      <w:rFonts w:ascii="Arial" w:hAnsi="Arial" w:eastAsia="Arial" w:cs="Arial"/>
      <w:b/>
      <w:bCs/>
      <w:i/>
      <w:iCs/>
      <w:sz w:val="22"/>
      <w:szCs w:val="22"/>
    </w:rPr>
  </w:style>
  <w:style w:type="character" w:styleId="965" w:customStyle="1">
    <w:name w:val="Heading 8 Char"/>
    <w:basedOn w:val="922"/>
    <w:uiPriority w:val="9"/>
    <w:qFormat/>
    <w:rPr>
      <w:rFonts w:ascii="Arial" w:hAnsi="Arial" w:eastAsia="Arial" w:cs="Arial"/>
      <w:i/>
      <w:iCs/>
      <w:sz w:val="22"/>
      <w:szCs w:val="22"/>
    </w:rPr>
  </w:style>
  <w:style w:type="character" w:styleId="966" w:customStyle="1">
    <w:name w:val="Heading 9 Char"/>
    <w:basedOn w:val="922"/>
    <w:uiPriority w:val="9"/>
    <w:qFormat/>
    <w:rPr>
      <w:rFonts w:ascii="Arial" w:hAnsi="Arial" w:eastAsia="Arial" w:cs="Arial"/>
      <w:i/>
      <w:iCs/>
      <w:sz w:val="21"/>
      <w:szCs w:val="21"/>
    </w:rPr>
  </w:style>
  <w:style w:type="character" w:styleId="967" w:customStyle="1">
    <w:name w:val="Title Char"/>
    <w:basedOn w:val="922"/>
    <w:uiPriority w:val="10"/>
    <w:qFormat/>
    <w:rPr>
      <w:sz w:val="48"/>
      <w:szCs w:val="48"/>
    </w:rPr>
  </w:style>
  <w:style w:type="character" w:styleId="968" w:customStyle="1">
    <w:name w:val="Subtitle Char"/>
    <w:basedOn w:val="922"/>
    <w:uiPriority w:val="11"/>
    <w:qFormat/>
    <w:rPr>
      <w:sz w:val="24"/>
      <w:szCs w:val="24"/>
    </w:rPr>
  </w:style>
  <w:style w:type="character" w:styleId="969" w:customStyle="1">
    <w:name w:val="Quote Char"/>
    <w:uiPriority w:val="29"/>
    <w:qFormat/>
    <w:rPr>
      <w:i/>
    </w:rPr>
  </w:style>
  <w:style w:type="character" w:styleId="970" w:customStyle="1">
    <w:name w:val="Intense Quote Char"/>
    <w:uiPriority w:val="30"/>
    <w:qFormat/>
    <w:rPr>
      <w:i/>
    </w:rPr>
  </w:style>
  <w:style w:type="table" w:styleId="971" w:customStyle="1">
    <w:name w:val="Plain Table 1"/>
    <w:basedOn w:val="9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Plain Table 2"/>
    <w:basedOn w:val="9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3"/>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4" w:customStyle="1">
    <w:name w:val="Plain Table 4"/>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5" w:customStyle="1">
    <w:name w:val="Plain Table 5"/>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6" w:customStyle="1">
    <w:name w:val="Grid Table 1 Light"/>
    <w:basedOn w:val="9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7" w:customStyle="1">
    <w:name w:val="Grid Table 2"/>
    <w:basedOn w:val="9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8" w:customStyle="1">
    <w:name w:val="Grid Table 3"/>
    <w:basedOn w:val="9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4"/>
    <w:basedOn w:val="9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customStyle="1">
    <w:name w:val="Grid Table 5 Dark"/>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1" w:customStyle="1">
    <w:name w:val="Grid Table 6 Colorful"/>
    <w:basedOn w:val="9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2" w:customStyle="1">
    <w:name w:val="Grid Table 7 Colorful"/>
    <w:basedOn w:val="9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List Table 1 Light"/>
    <w:basedOn w:val="9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2"/>
    <w:basedOn w:val="9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5" w:customStyle="1">
    <w:name w:val="List Table 3"/>
    <w:basedOn w:val="9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4"/>
    <w:basedOn w:val="9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5 Dark"/>
    <w:basedOn w:val="9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6 Colorful"/>
    <w:basedOn w:val="9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9" w:customStyle="1">
    <w:name w:val="List Table 7 Colorful"/>
    <w:basedOn w:val="9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90" w:customStyle="1">
    <w:name w:val="Footnote Text Char"/>
    <w:uiPriority w:val="99"/>
    <w:qFormat/>
    <w:rPr>
      <w:sz w:val="18"/>
    </w:rPr>
  </w:style>
  <w:style w:type="character" w:styleId="991" w:customStyle="1">
    <w:name w:val="Endnote Text Char"/>
    <w:uiPriority w:val="99"/>
    <w:qFormat/>
    <w:rPr>
      <w:sz w:val="20"/>
    </w:rPr>
  </w:style>
  <w:style w:type="paragraph" w:styleId="992" w:customStyle="1">
    <w:name w:val="TOC Heading"/>
    <w:uiPriority w:val="39"/>
    <w:unhideWhenUsed/>
    <w:qFormat/>
    <w:rPr>
      <w:rFonts w:hint="default" w:ascii="Times New Roman" w:hAnsi="Times New Roman" w:eastAsia="宋体" w:cs="Times New Roman"/>
    </w:rPr>
  </w:style>
  <w:style w:type="paragraph" w:styleId="993" w:customStyle="1">
    <w:name w:val="无间隔1"/>
    <w:uiPriority w:val="0"/>
    <w:qFormat/>
    <w:rPr>
      <w:rFonts w:hint="default" w:ascii="Times New Roman" w:hAnsi="Times New Roman" w:eastAsia="宋体" w:cs="Times New Roman"/>
      <w:sz w:val="22"/>
      <w:lang w:val="en-US" w:eastAsia="zh-CN" w:bidi="ar-SA"/>
    </w:rPr>
  </w:style>
  <w:style w:type="paragraph" w:styleId="994" w:customStyle="1">
    <w:name w:val="正文首行缩进11"/>
    <w:basedOn w:val="995"/>
    <w:link w:val="1203"/>
    <w:uiPriority w:val="0"/>
    <w:qFormat/>
    <w:pPr>
      <w:ind w:firstLine="420"/>
      <w:spacing w:after="120"/>
    </w:pPr>
    <w:rPr>
      <w:rFonts w:ascii="Times New Roman" w:eastAsia="宋体"/>
      <w:szCs w:val="24"/>
    </w:rPr>
  </w:style>
  <w:style w:type="paragraph" w:styleId="995" w:customStyle="1">
    <w:name w:val="正文文本1"/>
    <w:basedOn w:val="912"/>
    <w:next w:val="912"/>
    <w:uiPriority w:val="0"/>
    <w:qFormat/>
    <w:rPr>
      <w:rFonts w:ascii="楷体_GB2312" w:hAnsi="Arial" w:eastAsia="楷体_GB2312"/>
      <w:sz w:val="28"/>
      <w:szCs w:val="28"/>
    </w:rPr>
  </w:style>
  <w:style w:type="character" w:styleId="996" w:customStyle="1">
    <w:name w:val="标题 1 字符1"/>
    <w:basedOn w:val="922"/>
    <w:link w:val="913"/>
    <w:uiPriority w:val="9"/>
    <w:qFormat/>
    <w:rPr>
      <w:rFonts w:ascii="Arial" w:hAnsi="Arial" w:eastAsia="Arial" w:cs="Arial"/>
      <w:sz w:val="40"/>
      <w:szCs w:val="40"/>
    </w:rPr>
  </w:style>
  <w:style w:type="character" w:styleId="997" w:customStyle="1">
    <w:name w:val="标题 2 字符1"/>
    <w:basedOn w:val="922"/>
    <w:link w:val="914"/>
    <w:uiPriority w:val="9"/>
    <w:qFormat/>
    <w:rPr>
      <w:rFonts w:ascii="Arial" w:hAnsi="Arial" w:eastAsia="Arial" w:cs="Arial"/>
      <w:sz w:val="34"/>
    </w:rPr>
  </w:style>
  <w:style w:type="character" w:styleId="998" w:customStyle="1">
    <w:name w:val="标题 3 字符1"/>
    <w:basedOn w:val="922"/>
    <w:link w:val="915"/>
    <w:uiPriority w:val="9"/>
    <w:qFormat/>
    <w:rPr>
      <w:rFonts w:ascii="Arial" w:hAnsi="Arial" w:eastAsia="Arial" w:cs="Arial"/>
      <w:sz w:val="30"/>
      <w:szCs w:val="30"/>
    </w:rPr>
  </w:style>
  <w:style w:type="character" w:styleId="999" w:customStyle="1">
    <w:name w:val="标题 4 字符1"/>
    <w:basedOn w:val="922"/>
    <w:link w:val="916"/>
    <w:uiPriority w:val="9"/>
    <w:qFormat/>
    <w:rPr>
      <w:rFonts w:ascii="Arial" w:hAnsi="Arial" w:eastAsia="Arial" w:cs="Arial"/>
      <w:b/>
      <w:bCs/>
      <w:sz w:val="26"/>
      <w:szCs w:val="26"/>
    </w:rPr>
  </w:style>
  <w:style w:type="character" w:styleId="1000" w:customStyle="1">
    <w:name w:val="标题 5 字符1"/>
    <w:basedOn w:val="922"/>
    <w:link w:val="917"/>
    <w:uiPriority w:val="9"/>
    <w:qFormat/>
    <w:rPr>
      <w:rFonts w:ascii="Arial" w:hAnsi="Arial" w:eastAsia="Arial" w:cs="Arial"/>
      <w:b/>
      <w:bCs/>
      <w:sz w:val="24"/>
      <w:szCs w:val="24"/>
    </w:rPr>
  </w:style>
  <w:style w:type="character" w:styleId="1001" w:customStyle="1">
    <w:name w:val="标题 6 字符1"/>
    <w:basedOn w:val="922"/>
    <w:link w:val="918"/>
    <w:uiPriority w:val="9"/>
    <w:qFormat/>
    <w:rPr>
      <w:rFonts w:ascii="Arial" w:hAnsi="Arial" w:eastAsia="Arial" w:cs="Arial"/>
      <w:b/>
      <w:bCs/>
      <w:sz w:val="22"/>
      <w:szCs w:val="22"/>
    </w:rPr>
  </w:style>
  <w:style w:type="character" w:styleId="1002" w:customStyle="1">
    <w:name w:val="标题 7 字符1"/>
    <w:basedOn w:val="922"/>
    <w:link w:val="919"/>
    <w:uiPriority w:val="9"/>
    <w:qFormat/>
    <w:rPr>
      <w:rFonts w:ascii="Arial" w:hAnsi="Arial" w:eastAsia="Arial" w:cs="Arial"/>
      <w:b/>
      <w:bCs/>
      <w:i/>
      <w:iCs/>
      <w:sz w:val="22"/>
      <w:szCs w:val="22"/>
    </w:rPr>
  </w:style>
  <w:style w:type="character" w:styleId="1003" w:customStyle="1">
    <w:name w:val="标题 8 字符1"/>
    <w:basedOn w:val="922"/>
    <w:link w:val="920"/>
    <w:uiPriority w:val="9"/>
    <w:qFormat/>
    <w:rPr>
      <w:rFonts w:ascii="Arial" w:hAnsi="Arial" w:eastAsia="Arial" w:cs="Arial"/>
      <w:i/>
      <w:iCs/>
      <w:sz w:val="22"/>
      <w:szCs w:val="22"/>
    </w:rPr>
  </w:style>
  <w:style w:type="character" w:styleId="1004" w:customStyle="1">
    <w:name w:val="标题 9 字符1"/>
    <w:basedOn w:val="922"/>
    <w:link w:val="921"/>
    <w:uiPriority w:val="9"/>
    <w:qFormat/>
    <w:rPr>
      <w:rFonts w:ascii="Arial" w:hAnsi="Arial" w:eastAsia="Arial" w:cs="Arial"/>
      <w:i/>
      <w:iCs/>
      <w:sz w:val="21"/>
      <w:szCs w:val="21"/>
    </w:rPr>
  </w:style>
  <w:style w:type="paragraph" w:styleId="1005">
    <w:name w:val="List Paragraph"/>
    <w:basedOn w:val="912"/>
    <w:uiPriority w:val="34"/>
    <w:qFormat/>
    <w:pPr>
      <w:contextualSpacing/>
      <w:ind w:left="720"/>
    </w:pPr>
  </w:style>
  <w:style w:type="paragraph" w:styleId="1006">
    <w:name w:val="No Spacing"/>
    <w:uiPriority w:val="1"/>
    <w:qFormat/>
    <w:rPr>
      <w:rFonts w:hint="default" w:ascii="Times New Roman" w:hAnsi="Times New Roman" w:eastAsia="宋体" w:cs="Times New Roman"/>
      <w:lang w:val="en-US" w:eastAsia="zh-CN" w:bidi="ar-SA"/>
    </w:rPr>
  </w:style>
  <w:style w:type="character" w:styleId="1007" w:customStyle="1">
    <w:name w:val="标题 字符"/>
    <w:basedOn w:val="922"/>
    <w:link w:val="950"/>
    <w:uiPriority w:val="10"/>
    <w:qFormat/>
    <w:rPr>
      <w:sz w:val="48"/>
      <w:szCs w:val="48"/>
    </w:rPr>
  </w:style>
  <w:style w:type="character" w:styleId="1008" w:customStyle="1">
    <w:name w:val="副标题 字符"/>
    <w:basedOn w:val="922"/>
    <w:link w:val="942"/>
    <w:uiPriority w:val="11"/>
    <w:qFormat/>
    <w:rPr>
      <w:sz w:val="24"/>
      <w:szCs w:val="24"/>
    </w:rPr>
  </w:style>
  <w:style w:type="paragraph" w:styleId="1009">
    <w:name w:val="Quote"/>
    <w:basedOn w:val="912"/>
    <w:next w:val="912"/>
    <w:link w:val="1010"/>
    <w:uiPriority w:val="29"/>
    <w:qFormat/>
    <w:pPr>
      <w:ind w:left="720" w:right="720"/>
    </w:pPr>
    <w:rPr>
      <w:i/>
    </w:rPr>
  </w:style>
  <w:style w:type="character" w:styleId="1010" w:customStyle="1">
    <w:name w:val="引用 字符"/>
    <w:link w:val="1009"/>
    <w:uiPriority w:val="29"/>
    <w:qFormat/>
    <w:rPr>
      <w:i/>
    </w:rPr>
  </w:style>
  <w:style w:type="paragraph" w:styleId="1011">
    <w:name w:val="Intense Quote"/>
    <w:basedOn w:val="912"/>
    <w:next w:val="912"/>
    <w:link w:val="10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customStyle="1">
    <w:name w:val="明显引用 字符"/>
    <w:link w:val="1011"/>
    <w:uiPriority w:val="30"/>
    <w:qFormat/>
    <w:rPr>
      <w:i/>
    </w:rPr>
  </w:style>
  <w:style w:type="character" w:styleId="1013" w:customStyle="1">
    <w:name w:val="Header Char"/>
    <w:basedOn w:val="922"/>
    <w:uiPriority w:val="99"/>
    <w:qFormat/>
  </w:style>
  <w:style w:type="character" w:styleId="1014" w:customStyle="1">
    <w:name w:val="Footer Char"/>
    <w:basedOn w:val="922"/>
    <w:uiPriority w:val="99"/>
    <w:qFormat/>
  </w:style>
  <w:style w:type="character" w:styleId="1015" w:customStyle="1">
    <w:name w:val="Caption Char"/>
    <w:uiPriority w:val="99"/>
    <w:qFormat/>
  </w:style>
  <w:style w:type="table" w:styleId="1016" w:customStyle="1">
    <w:name w:val="Table Grid Light"/>
    <w:basedOn w:val="9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7" w:customStyle="1">
    <w:name w:val="无格式表格 11"/>
    <w:basedOn w:val="9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无格式表格 21"/>
    <w:basedOn w:val="9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9" w:customStyle="1">
    <w:name w:val="无格式表格 31"/>
    <w:basedOn w:val="9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0" w:customStyle="1">
    <w:name w:val="无格式表格 41"/>
    <w:basedOn w:val="9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1" w:customStyle="1">
    <w:name w:val="无格式表格 51"/>
    <w:basedOn w:val="9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2" w:customStyle="1">
    <w:name w:val="网格表 1 浅色1"/>
    <w:basedOn w:val="9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1"/>
    <w:basedOn w:val="92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2"/>
    <w:basedOn w:val="92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3"/>
    <w:basedOn w:val="92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4"/>
    <w:basedOn w:val="92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5"/>
    <w:basedOn w:val="92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6"/>
    <w:basedOn w:val="92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9" w:customStyle="1">
    <w:name w:val="网格表 21"/>
    <w:basedOn w:val="9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0" w:customStyle="1">
    <w:name w:val="Grid Table 2 - Accent 1"/>
    <w:basedOn w:val="92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1" w:customStyle="1">
    <w:name w:val="Grid Table 2 - Accent 2"/>
    <w:basedOn w:val="92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2 - Accent 3"/>
    <w:basedOn w:val="92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2 - Accent 4"/>
    <w:basedOn w:val="92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2 - Accent 5"/>
    <w:basedOn w:val="92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5" w:customStyle="1">
    <w:name w:val="Grid Table 2 - Accent 6"/>
    <w:basedOn w:val="92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6" w:customStyle="1">
    <w:name w:val="网格表 31"/>
    <w:basedOn w:val="9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1"/>
    <w:basedOn w:val="92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2"/>
    <w:basedOn w:val="92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3"/>
    <w:basedOn w:val="92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4"/>
    <w:basedOn w:val="92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5"/>
    <w:basedOn w:val="92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6"/>
    <w:basedOn w:val="92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网格表 41"/>
    <w:basedOn w:val="9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4" w:customStyle="1">
    <w:name w:val="Grid Table 4 - Accent 1"/>
    <w:basedOn w:val="92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5" w:customStyle="1">
    <w:name w:val="Grid Table 4 - Accent 2"/>
    <w:basedOn w:val="92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6" w:customStyle="1">
    <w:name w:val="Grid Table 4 - Accent 3"/>
    <w:basedOn w:val="92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7" w:customStyle="1">
    <w:name w:val="Grid Table 4 - Accent 4"/>
    <w:basedOn w:val="92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8" w:customStyle="1">
    <w:name w:val="Grid Table 4 - Accent 5"/>
    <w:basedOn w:val="92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9" w:customStyle="1">
    <w:name w:val="Grid Table 4 - Accent 6"/>
    <w:basedOn w:val="92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0" w:customStyle="1">
    <w:name w:val="网格表 5 深色1"/>
    <w:basedOn w:val="9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1" w:customStyle="1">
    <w:name w:val="Grid Table 5 Dark- Accent 1"/>
    <w:basedOn w:val="9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2" w:customStyle="1">
    <w:name w:val="Grid Table 5 Dark - Accent 2"/>
    <w:basedOn w:val="9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3" w:customStyle="1">
    <w:name w:val="Grid Table 5 Dark - Accent 3"/>
    <w:basedOn w:val="9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4" w:customStyle="1">
    <w:name w:val="Grid Table 5 Dark- Accent 4"/>
    <w:basedOn w:val="9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5" w:customStyle="1">
    <w:name w:val="Grid Table 5 Dark - Accent 5"/>
    <w:basedOn w:val="9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6" w:customStyle="1">
    <w:name w:val="Grid Table 5 Dark - Accent 6"/>
    <w:basedOn w:val="9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7" w:customStyle="1">
    <w:name w:val="网格表 6 彩色1"/>
    <w:basedOn w:val="9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8" w:customStyle="1">
    <w:name w:val="Grid Table 6 Colorful - Accent 1"/>
    <w:basedOn w:val="92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9" w:customStyle="1">
    <w:name w:val="Grid Table 6 Colorful - Accent 2"/>
    <w:basedOn w:val="92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0" w:customStyle="1">
    <w:name w:val="Grid Table 6 Colorful - Accent 3"/>
    <w:basedOn w:val="92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1" w:customStyle="1">
    <w:name w:val="Grid Table 6 Colorful - Accent 4"/>
    <w:basedOn w:val="92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2" w:customStyle="1">
    <w:name w:val="Grid Table 6 Colorful - Accent 5"/>
    <w:basedOn w:val="92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3" w:customStyle="1">
    <w:name w:val="Grid Table 6 Colorful - Accent 6"/>
    <w:basedOn w:val="92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4" w:customStyle="1">
    <w:name w:val="网格表 7 彩色1"/>
    <w:basedOn w:val="9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5" w:customStyle="1">
    <w:name w:val="Grid Table 7 Colorful - Accent 1"/>
    <w:basedOn w:val="92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6" w:customStyle="1">
    <w:name w:val="Grid Table 7 Colorful - Accent 2"/>
    <w:basedOn w:val="92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7" w:customStyle="1">
    <w:name w:val="Grid Table 7 Colorful - Accent 3"/>
    <w:basedOn w:val="92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8" w:customStyle="1">
    <w:name w:val="Grid Table 7 Colorful - Accent 4"/>
    <w:basedOn w:val="92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9" w:customStyle="1">
    <w:name w:val="Grid Table 7 Colorful - Accent 5"/>
    <w:basedOn w:val="92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0" w:customStyle="1">
    <w:name w:val="Grid Table 7 Colorful - Accent 6"/>
    <w:basedOn w:val="92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1" w:customStyle="1">
    <w:name w:val="清单表 1 浅色1"/>
    <w:basedOn w:val="9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2" w:customStyle="1">
    <w:name w:val="List Table 1 Light - Accent 1"/>
    <w:basedOn w:val="92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1 Light - Accent 2"/>
    <w:basedOn w:val="92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4" w:customStyle="1">
    <w:name w:val="List Table 1 Light - Accent 3"/>
    <w:basedOn w:val="92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5" w:customStyle="1">
    <w:name w:val="List Table 1 Light - Accent 4"/>
    <w:basedOn w:val="92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6" w:customStyle="1">
    <w:name w:val="List Table 1 Light - Accent 5"/>
    <w:basedOn w:val="92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7" w:customStyle="1">
    <w:name w:val="List Table 1 Light - Accent 6"/>
    <w:basedOn w:val="92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8" w:customStyle="1">
    <w:name w:val="清单表 21"/>
    <w:basedOn w:val="9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9" w:customStyle="1">
    <w:name w:val="List Table 2 - Accent 1"/>
    <w:basedOn w:val="92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0" w:customStyle="1">
    <w:name w:val="List Table 2 - Accent 2"/>
    <w:basedOn w:val="92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1" w:customStyle="1">
    <w:name w:val="List Table 2 - Accent 3"/>
    <w:basedOn w:val="92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2" w:customStyle="1">
    <w:name w:val="List Table 2 - Accent 4"/>
    <w:basedOn w:val="92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3" w:customStyle="1">
    <w:name w:val="List Table 2 - Accent 5"/>
    <w:basedOn w:val="92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4" w:customStyle="1">
    <w:name w:val="List Table 2 - Accent 6"/>
    <w:basedOn w:val="92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5" w:customStyle="1">
    <w:name w:val="清单表 31"/>
    <w:basedOn w:val="9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6" w:customStyle="1">
    <w:name w:val="List Table 3 - Accent 1"/>
    <w:basedOn w:val="92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7" w:customStyle="1">
    <w:name w:val="List Table 3 - Accent 2"/>
    <w:basedOn w:val="92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8" w:customStyle="1">
    <w:name w:val="List Table 3 - Accent 3"/>
    <w:basedOn w:val="92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9" w:customStyle="1">
    <w:name w:val="List Table 3 - Accent 4"/>
    <w:basedOn w:val="92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0" w:customStyle="1">
    <w:name w:val="List Table 3 - Accent 5"/>
    <w:basedOn w:val="92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1" w:customStyle="1">
    <w:name w:val="List Table 3 - Accent 6"/>
    <w:basedOn w:val="92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2" w:customStyle="1">
    <w:name w:val="清单表 41"/>
    <w:basedOn w:val="9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3" w:customStyle="1">
    <w:name w:val="List Table 4 - Accent 1"/>
    <w:basedOn w:val="92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4" w:customStyle="1">
    <w:name w:val="List Table 4 - Accent 2"/>
    <w:basedOn w:val="92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5" w:customStyle="1">
    <w:name w:val="List Table 4 - Accent 3"/>
    <w:basedOn w:val="92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6" w:customStyle="1">
    <w:name w:val="List Table 4 - Accent 4"/>
    <w:basedOn w:val="92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7" w:customStyle="1">
    <w:name w:val="List Table 4 - Accent 5"/>
    <w:basedOn w:val="92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8" w:customStyle="1">
    <w:name w:val="List Table 4 - Accent 6"/>
    <w:basedOn w:val="92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9" w:customStyle="1">
    <w:name w:val="清单表 5 深色1"/>
    <w:basedOn w:val="9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1"/>
    <w:basedOn w:val="92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2"/>
    <w:basedOn w:val="92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3"/>
    <w:basedOn w:val="92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4"/>
    <w:basedOn w:val="92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5"/>
    <w:basedOn w:val="92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6"/>
    <w:basedOn w:val="92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清单表 6 彩色1"/>
    <w:basedOn w:val="9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7" w:customStyle="1">
    <w:name w:val="List Table 6 Colorful - Accent 1"/>
    <w:basedOn w:val="92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8" w:customStyle="1">
    <w:name w:val="List Table 6 Colorful - Accent 2"/>
    <w:basedOn w:val="92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9" w:customStyle="1">
    <w:name w:val="List Table 6 Colorful - Accent 3"/>
    <w:basedOn w:val="92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0" w:customStyle="1">
    <w:name w:val="List Table 6 Colorful - Accent 4"/>
    <w:basedOn w:val="92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1" w:customStyle="1">
    <w:name w:val="List Table 6 Colorful - Accent 5"/>
    <w:basedOn w:val="92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2" w:customStyle="1">
    <w:name w:val="List Table 6 Colorful - Accent 6"/>
    <w:basedOn w:val="92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3" w:customStyle="1">
    <w:name w:val="清单表 7 彩色1"/>
    <w:basedOn w:val="9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4" w:customStyle="1">
    <w:name w:val="List Table 7 Colorful - Accent 1"/>
    <w:basedOn w:val="92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5" w:customStyle="1">
    <w:name w:val="List Table 7 Colorful - Accent 2"/>
    <w:basedOn w:val="92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6" w:customStyle="1">
    <w:name w:val="List Table 7 Colorful - Accent 3"/>
    <w:basedOn w:val="92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7" w:customStyle="1">
    <w:name w:val="List Table 7 Colorful - Accent 4"/>
    <w:basedOn w:val="92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8" w:customStyle="1">
    <w:name w:val="List Table 7 Colorful - Accent 5"/>
    <w:basedOn w:val="92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9" w:customStyle="1">
    <w:name w:val="List Table 7 Colorful - Accent 6"/>
    <w:basedOn w:val="92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0" w:customStyle="1">
    <w:name w:val="Lined - Accent"/>
    <w:basedOn w:val="9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1" w:customStyle="1">
    <w:name w:val="Lined - Accent 1"/>
    <w:basedOn w:val="9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2" w:customStyle="1">
    <w:name w:val="Lined - Accent 2"/>
    <w:basedOn w:val="9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3" w:customStyle="1">
    <w:name w:val="Lined - Accent 3"/>
    <w:basedOn w:val="9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4" w:customStyle="1">
    <w:name w:val="Lined - Accent 4"/>
    <w:basedOn w:val="9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5" w:customStyle="1">
    <w:name w:val="Lined - Accent 5"/>
    <w:basedOn w:val="9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6" w:customStyle="1">
    <w:name w:val="Lined - Accent 6"/>
    <w:basedOn w:val="9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7" w:customStyle="1">
    <w:name w:val="Bordered &amp; Lined - Accent"/>
    <w:basedOn w:val="9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8" w:customStyle="1">
    <w:name w:val="Bordered &amp; Lined - Accent 1"/>
    <w:basedOn w:val="92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9" w:customStyle="1">
    <w:name w:val="Bordered &amp; Lined - Accent 2"/>
    <w:basedOn w:val="92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0" w:customStyle="1">
    <w:name w:val="Bordered &amp; Lined - Accent 3"/>
    <w:basedOn w:val="92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1" w:customStyle="1">
    <w:name w:val="Bordered &amp; Lined - Accent 4"/>
    <w:basedOn w:val="92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2" w:customStyle="1">
    <w:name w:val="Bordered &amp; Lined - Accent 5"/>
    <w:basedOn w:val="92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3" w:customStyle="1">
    <w:name w:val="Bordered &amp; Lined - Accent 6"/>
    <w:basedOn w:val="92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4" w:customStyle="1">
    <w:name w:val="Bordered"/>
    <w:basedOn w:val="9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5" w:customStyle="1">
    <w:name w:val="Bordered - Accent 1"/>
    <w:basedOn w:val="92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6" w:customStyle="1">
    <w:name w:val="Bordered - Accent 2"/>
    <w:basedOn w:val="92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7" w:customStyle="1">
    <w:name w:val="Bordered - Accent 3"/>
    <w:basedOn w:val="92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8" w:customStyle="1">
    <w:name w:val="Bordered - Accent 4"/>
    <w:basedOn w:val="92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9" w:customStyle="1">
    <w:name w:val="Bordered - Accent 5"/>
    <w:basedOn w:val="92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0" w:customStyle="1">
    <w:name w:val="Bordered - Accent 6"/>
    <w:basedOn w:val="92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1" w:customStyle="1">
    <w:name w:val="脚注文本 字符"/>
    <w:link w:val="943"/>
    <w:uiPriority w:val="99"/>
    <w:qFormat/>
    <w:rPr>
      <w:sz w:val="18"/>
    </w:rPr>
  </w:style>
  <w:style w:type="character" w:styleId="1142" w:customStyle="1">
    <w:name w:val="尾注文本 字符"/>
    <w:link w:val="936"/>
    <w:uiPriority w:val="99"/>
    <w:qFormat/>
    <w:rPr>
      <w:sz w:val="20"/>
    </w:rPr>
  </w:style>
  <w:style w:type="paragraph" w:styleId="1143" w:customStyle="1">
    <w:name w:val="TOC 标题1"/>
    <w:uiPriority w:val="39"/>
    <w:unhideWhenUsed/>
    <w:qFormat/>
    <w:rPr>
      <w:rFonts w:hint="default" w:ascii="Times New Roman" w:hAnsi="Times New Roman" w:eastAsia="宋体" w:cs="Times New Roman"/>
      <w:lang w:val="en-US" w:eastAsia="zh-CN" w:bidi="ar-SA"/>
    </w:rPr>
  </w:style>
  <w:style w:type="paragraph" w:styleId="1144" w:customStyle="1">
    <w:name w:val="标题 11"/>
    <w:basedOn w:val="912"/>
    <w:link w:val="1155"/>
    <w:uiPriority w:val="0"/>
    <w:qFormat/>
    <w:pPr>
      <w:keepLines/>
      <w:keepNext/>
      <w:spacing w:before="340" w:after="330" w:line="578" w:lineRule="auto"/>
      <w:outlineLvl w:val="0"/>
    </w:pPr>
    <w:rPr>
      <w:b/>
      <w:bCs/>
      <w:sz w:val="44"/>
      <w:szCs w:val="44"/>
    </w:rPr>
  </w:style>
  <w:style w:type="paragraph" w:styleId="1145" w:customStyle="1">
    <w:name w:val="标题 21"/>
    <w:basedOn w:val="912"/>
    <w:link w:val="1156"/>
    <w:uiPriority w:val="0"/>
    <w:qFormat/>
    <w:pPr>
      <w:keepLines/>
      <w:keepNext/>
      <w:spacing w:before="260" w:after="260" w:line="416" w:lineRule="auto"/>
      <w:outlineLvl w:val="1"/>
    </w:pPr>
    <w:rPr>
      <w:rFonts w:ascii="Arial" w:hAnsi="Arial" w:eastAsia="黑体"/>
      <w:b/>
      <w:bCs/>
      <w:sz w:val="32"/>
      <w:szCs w:val="32"/>
    </w:rPr>
  </w:style>
  <w:style w:type="paragraph" w:styleId="1146" w:customStyle="1">
    <w:name w:val="标题 31"/>
    <w:basedOn w:val="912"/>
    <w:link w:val="1157"/>
    <w:uiPriority w:val="0"/>
    <w:qFormat/>
    <w:pPr>
      <w:keepLines/>
      <w:keepNext/>
      <w:spacing w:before="260" w:after="260" w:line="416" w:lineRule="auto"/>
      <w:outlineLvl w:val="2"/>
    </w:pPr>
    <w:rPr>
      <w:b/>
      <w:bCs/>
      <w:sz w:val="32"/>
      <w:szCs w:val="32"/>
    </w:rPr>
  </w:style>
  <w:style w:type="paragraph" w:styleId="1147" w:customStyle="1">
    <w:name w:val="标题 411"/>
    <w:basedOn w:val="912"/>
    <w:link w:val="1158"/>
    <w:uiPriority w:val="0"/>
    <w:qFormat/>
    <w:pPr>
      <w:jc w:val="center"/>
      <w:keepNext/>
      <w:outlineLvl w:val="3"/>
    </w:pPr>
    <w:rPr>
      <w:rFonts w:eastAsia="新宋体"/>
      <w:sz w:val="30"/>
      <w:szCs w:val="21"/>
    </w:rPr>
  </w:style>
  <w:style w:type="paragraph" w:styleId="1148" w:customStyle="1">
    <w:name w:val="标题 51"/>
    <w:basedOn w:val="912"/>
    <w:link w:val="1159"/>
    <w:uiPriority w:val="0"/>
    <w:qFormat/>
    <w:pPr>
      <w:keepLines/>
      <w:keepNext/>
      <w:spacing w:before="280" w:after="290" w:line="376" w:lineRule="auto"/>
      <w:outlineLvl w:val="4"/>
    </w:pPr>
    <w:rPr>
      <w:b/>
      <w:bCs/>
      <w:sz w:val="28"/>
      <w:szCs w:val="28"/>
    </w:rPr>
  </w:style>
  <w:style w:type="paragraph" w:styleId="1149" w:customStyle="1">
    <w:name w:val="标题 61"/>
    <w:basedOn w:val="912"/>
    <w:link w:val="1160"/>
    <w:uiPriority w:val="0"/>
    <w:qFormat/>
    <w:pPr>
      <w:jc w:val="center"/>
      <w:keepNext/>
      <w:outlineLvl w:val="5"/>
    </w:pPr>
    <w:rPr>
      <w:b/>
      <w:sz w:val="44"/>
      <w:szCs w:val="20"/>
    </w:rPr>
  </w:style>
  <w:style w:type="paragraph" w:styleId="1150" w:customStyle="1">
    <w:name w:val="标题 71"/>
    <w:basedOn w:val="912"/>
    <w:link w:val="1163"/>
    <w:uiPriority w:val="0"/>
    <w:qFormat/>
    <w:pPr>
      <w:keepLines/>
      <w:keepNext/>
      <w:spacing w:before="240" w:after="64" w:line="320" w:lineRule="auto"/>
      <w:outlineLvl w:val="6"/>
    </w:pPr>
    <w:rPr>
      <w:b/>
      <w:bCs/>
      <w:sz w:val="24"/>
    </w:rPr>
  </w:style>
  <w:style w:type="paragraph" w:styleId="1151" w:customStyle="1">
    <w:name w:val="标题 81"/>
    <w:basedOn w:val="912"/>
    <w:link w:val="1164"/>
    <w:uiPriority w:val="0"/>
    <w:qFormat/>
    <w:pPr>
      <w:keepLines/>
      <w:keepNext/>
      <w:spacing w:before="240" w:after="64" w:line="320" w:lineRule="auto"/>
      <w:outlineLvl w:val="7"/>
    </w:pPr>
    <w:rPr>
      <w:rFonts w:ascii="Arial" w:hAnsi="Arial" w:eastAsia="黑体"/>
      <w:sz w:val="24"/>
    </w:rPr>
  </w:style>
  <w:style w:type="paragraph" w:styleId="1152" w:customStyle="1">
    <w:name w:val="标题 91"/>
    <w:basedOn w:val="912"/>
    <w:link w:val="1165"/>
    <w:uiPriority w:val="0"/>
    <w:qFormat/>
    <w:pPr>
      <w:keepLines/>
      <w:keepNext/>
      <w:spacing w:before="240" w:after="64" w:line="320" w:lineRule="auto"/>
      <w:outlineLvl w:val="8"/>
    </w:pPr>
    <w:rPr>
      <w:rFonts w:ascii="Arial" w:hAnsi="Arial" w:eastAsia="黑体"/>
      <w:sz w:val="24"/>
      <w:szCs w:val="21"/>
    </w:rPr>
  </w:style>
  <w:style w:type="character" w:styleId="1153" w:customStyle="1">
    <w:name w:val="默认段落字体1"/>
    <w:uiPriority w:val="0"/>
    <w:qFormat/>
  </w:style>
  <w:style w:type="table" w:styleId="1154" w:customStyle="1">
    <w:name w:val="普通表格1"/>
    <w:uiPriority w:val="0"/>
    <w:qFormat/>
    <w:tblPr>
      <w:tblCellMar>
        <w:left w:w="0" w:type="dxa"/>
        <w:top w:w="0" w:type="dxa"/>
        <w:right w:w="0" w:type="dxa"/>
        <w:bottom w:w="0" w:type="dxa"/>
      </w:tblCellMar>
    </w:tblPr>
  </w:style>
  <w:style w:type="character" w:styleId="1155" w:customStyle="1">
    <w:name w:val="标题 1 字符"/>
    <w:link w:val="1144"/>
    <w:uiPriority w:val="0"/>
    <w:qFormat/>
    <w:rPr>
      <w:rFonts w:ascii="Times New Roman" w:hAnsi="Times New Roman" w:eastAsia="宋体"/>
      <w:b/>
      <w:bCs/>
      <w:sz w:val="44"/>
      <w:szCs w:val="44"/>
    </w:rPr>
  </w:style>
  <w:style w:type="character" w:styleId="1156" w:customStyle="1">
    <w:name w:val="标题 2 字符"/>
    <w:link w:val="1145"/>
    <w:uiPriority w:val="0"/>
    <w:qFormat/>
    <w:rPr>
      <w:rFonts w:ascii="Arial" w:hAnsi="Arial" w:eastAsia="黑体"/>
      <w:b/>
      <w:bCs/>
      <w:sz w:val="32"/>
      <w:szCs w:val="32"/>
    </w:rPr>
  </w:style>
  <w:style w:type="character" w:styleId="1157" w:customStyle="1">
    <w:name w:val="标题 3 字符"/>
    <w:link w:val="1146"/>
    <w:uiPriority w:val="0"/>
    <w:qFormat/>
    <w:rPr>
      <w:rFonts w:ascii="Times New Roman" w:hAnsi="Times New Roman" w:eastAsia="宋体"/>
      <w:b/>
      <w:bCs/>
      <w:sz w:val="32"/>
      <w:szCs w:val="32"/>
    </w:rPr>
  </w:style>
  <w:style w:type="character" w:styleId="1158" w:customStyle="1">
    <w:name w:val="标题 4 字符"/>
    <w:link w:val="1147"/>
    <w:uiPriority w:val="0"/>
    <w:qFormat/>
    <w:rPr>
      <w:rFonts w:ascii="Times New Roman" w:hAnsi="Times New Roman" w:eastAsia="新宋体"/>
      <w:sz w:val="30"/>
      <w:szCs w:val="21"/>
    </w:rPr>
  </w:style>
  <w:style w:type="character" w:styleId="1159" w:customStyle="1">
    <w:name w:val="标题 5 字符"/>
    <w:link w:val="1148"/>
    <w:uiPriority w:val="0"/>
    <w:qFormat/>
    <w:rPr>
      <w:rFonts w:ascii="Times New Roman" w:hAnsi="Times New Roman" w:eastAsia="宋体"/>
      <w:b/>
      <w:bCs/>
      <w:sz w:val="28"/>
      <w:szCs w:val="28"/>
    </w:rPr>
  </w:style>
  <w:style w:type="character" w:styleId="1160" w:customStyle="1">
    <w:name w:val="标题 6 字符"/>
    <w:link w:val="1149"/>
    <w:uiPriority w:val="0"/>
    <w:qFormat/>
    <w:rPr>
      <w:rFonts w:ascii="Times New Roman" w:hAnsi="Times New Roman" w:eastAsia="宋体"/>
      <w:b/>
      <w:sz w:val="44"/>
      <w:szCs w:val="20"/>
    </w:rPr>
  </w:style>
  <w:style w:type="paragraph" w:styleId="1161" w:customStyle="1">
    <w:name w:val="正文缩进11"/>
    <w:basedOn w:val="912"/>
    <w:link w:val="1162"/>
    <w:uiPriority w:val="0"/>
    <w:qFormat/>
    <w:pPr>
      <w:ind w:firstLine="420"/>
    </w:pPr>
    <w:rPr>
      <w:sz w:val="20"/>
      <w:szCs w:val="20"/>
    </w:rPr>
  </w:style>
  <w:style w:type="character" w:styleId="1162" w:customStyle="1">
    <w:name w:val="正文缩进 字符"/>
    <w:link w:val="1161"/>
    <w:uiPriority w:val="0"/>
    <w:qFormat/>
    <w:rPr>
      <w:rFonts w:ascii="Times New Roman" w:hAnsi="Times New Roman" w:eastAsia="宋体"/>
      <w:sz w:val="20"/>
      <w:szCs w:val="20"/>
    </w:rPr>
  </w:style>
  <w:style w:type="character" w:styleId="1163" w:customStyle="1">
    <w:name w:val="标题 7 字符"/>
    <w:link w:val="1150"/>
    <w:uiPriority w:val="0"/>
    <w:qFormat/>
    <w:rPr>
      <w:rFonts w:ascii="Times New Roman" w:hAnsi="Times New Roman" w:eastAsia="宋体"/>
      <w:b/>
      <w:bCs/>
      <w:sz w:val="24"/>
      <w:szCs w:val="24"/>
    </w:rPr>
  </w:style>
  <w:style w:type="character" w:styleId="1164" w:customStyle="1">
    <w:name w:val="标题 8 字符"/>
    <w:link w:val="1151"/>
    <w:uiPriority w:val="0"/>
    <w:qFormat/>
    <w:rPr>
      <w:rFonts w:ascii="Arial" w:hAnsi="Arial" w:eastAsia="黑体"/>
      <w:sz w:val="24"/>
      <w:szCs w:val="24"/>
    </w:rPr>
  </w:style>
  <w:style w:type="character" w:styleId="1165" w:customStyle="1">
    <w:name w:val="标题 9 字符"/>
    <w:link w:val="1152"/>
    <w:uiPriority w:val="0"/>
    <w:qFormat/>
    <w:rPr>
      <w:rFonts w:ascii="Arial" w:hAnsi="Arial" w:eastAsia="黑体"/>
      <w:sz w:val="24"/>
      <w:szCs w:val="21"/>
    </w:rPr>
  </w:style>
  <w:style w:type="paragraph" w:styleId="1166" w:customStyle="1">
    <w:name w:val="注释标题1"/>
    <w:basedOn w:val="912"/>
    <w:uiPriority w:val="0"/>
    <w:qFormat/>
    <w:rPr>
      <w:rFonts w:ascii="Verdana" w:hAnsi="Verdana"/>
      <w:szCs w:val="20"/>
    </w:rPr>
  </w:style>
  <w:style w:type="paragraph" w:styleId="1167" w:customStyle="1">
    <w:name w:val="文档结构图1"/>
    <w:basedOn w:val="912"/>
    <w:link w:val="1168"/>
    <w:uiPriority w:val="0"/>
    <w:semiHidden/>
    <w:qFormat/>
    <w:pPr>
      <w:shd w:val="clear" w:color="auto" w:fill="000080"/>
    </w:pPr>
    <w:rPr>
      <w:sz w:val="20"/>
    </w:rPr>
  </w:style>
  <w:style w:type="character" w:styleId="1168" w:customStyle="1">
    <w:name w:val="文档结构图 字符"/>
    <w:link w:val="1167"/>
    <w:uiPriority w:val="0"/>
    <w:semiHidden/>
    <w:qFormat/>
    <w:rPr>
      <w:szCs w:val="24"/>
      <w:shd w:val="clear" w:color="auto" w:fill="000080"/>
    </w:rPr>
  </w:style>
  <w:style w:type="paragraph" w:styleId="1169" w:customStyle="1">
    <w:name w:val="引文目录标题1"/>
    <w:basedOn w:val="912"/>
    <w:uiPriority w:val="0"/>
    <w:qFormat/>
    <w:pPr>
      <w:jc w:val="center"/>
      <w:spacing w:line="360" w:lineRule="atLeast"/>
    </w:pPr>
    <w:rPr>
      <w:rFonts w:ascii="Arial" w:hAnsi="Arial" w:eastAsia="黑体"/>
      <w:sz w:val="36"/>
      <w:szCs w:val="20"/>
    </w:rPr>
  </w:style>
  <w:style w:type="paragraph" w:styleId="1170" w:customStyle="1">
    <w:name w:val="批注文字1"/>
    <w:basedOn w:val="912"/>
    <w:link w:val="1171"/>
    <w:uiPriority w:val="0"/>
    <w:qFormat/>
    <w:pPr>
      <w:jc w:val="left"/>
    </w:pPr>
  </w:style>
  <w:style w:type="character" w:styleId="1171" w:customStyle="1">
    <w:name w:val="批注文字 字符"/>
    <w:link w:val="1170"/>
    <w:uiPriority w:val="0"/>
    <w:qFormat/>
    <w:rPr>
      <w:sz w:val="21"/>
      <w:szCs w:val="24"/>
    </w:rPr>
  </w:style>
  <w:style w:type="paragraph" w:styleId="1172" w:customStyle="1">
    <w:name w:val="正文文本 31"/>
    <w:basedOn w:val="912"/>
    <w:link w:val="1173"/>
    <w:uiPriority w:val="0"/>
    <w:qFormat/>
    <w:pPr>
      <w:spacing w:after="120"/>
    </w:pPr>
    <w:rPr>
      <w:sz w:val="16"/>
      <w:szCs w:val="16"/>
    </w:rPr>
  </w:style>
  <w:style w:type="character" w:styleId="1173" w:customStyle="1">
    <w:name w:val="正文文本 3 字符"/>
    <w:link w:val="1172"/>
    <w:uiPriority w:val="0"/>
    <w:qFormat/>
    <w:rPr>
      <w:rFonts w:ascii="Times New Roman" w:hAnsi="Times New Roman" w:eastAsia="宋体"/>
      <w:sz w:val="16"/>
      <w:szCs w:val="16"/>
    </w:rPr>
  </w:style>
  <w:style w:type="paragraph" w:styleId="1174" w:customStyle="1">
    <w:name w:val="正文文本21"/>
    <w:basedOn w:val="912"/>
    <w:link w:val="1175"/>
    <w:uiPriority w:val="0"/>
    <w:qFormat/>
    <w:rPr>
      <w:rFonts w:ascii="仿宋_GB2312" w:eastAsia="仿宋_GB2312"/>
      <w:sz w:val="24"/>
      <w:szCs w:val="20"/>
    </w:rPr>
  </w:style>
  <w:style w:type="character" w:styleId="1175" w:customStyle="1">
    <w:name w:val="正文文本 字符"/>
    <w:link w:val="1174"/>
    <w:uiPriority w:val="0"/>
    <w:qFormat/>
    <w:rPr>
      <w:rFonts w:ascii="仿宋_GB2312" w:hAnsi="Times New Roman" w:eastAsia="仿宋_GB2312"/>
      <w:sz w:val="24"/>
      <w:szCs w:val="20"/>
    </w:rPr>
  </w:style>
  <w:style w:type="paragraph" w:styleId="1176" w:customStyle="1">
    <w:name w:val="style4"/>
    <w:basedOn w:val="912"/>
    <w:uiPriority w:val="0"/>
    <w:qFormat/>
    <w:pPr>
      <w:spacing w:before="280" w:after="280"/>
      <w:widowControl/>
    </w:pPr>
    <w:rPr>
      <w:rFonts w:ascii="宋体"/>
      <w:sz w:val="18"/>
    </w:rPr>
  </w:style>
  <w:style w:type="paragraph" w:styleId="1177" w:customStyle="1">
    <w:name w:val="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8" w:customStyle="1">
    <w:name w:val="正文文本缩进1"/>
    <w:basedOn w:val="912"/>
    <w:link w:val="1179"/>
    <w:uiPriority w:val="0"/>
    <w:qFormat/>
    <w:pPr>
      <w:ind w:left="765"/>
    </w:pPr>
    <w:rPr>
      <w:rFonts w:ascii="仿宋_GB2312" w:eastAsia="仿宋_GB2312"/>
      <w:sz w:val="28"/>
      <w:szCs w:val="20"/>
    </w:rPr>
  </w:style>
  <w:style w:type="character" w:styleId="1179" w:customStyle="1">
    <w:name w:val="正文文本缩进 字符"/>
    <w:link w:val="1178"/>
    <w:uiPriority w:val="0"/>
    <w:qFormat/>
    <w:rPr>
      <w:rFonts w:ascii="仿宋_GB2312" w:hAnsi="Times New Roman" w:eastAsia="仿宋_GB2312"/>
      <w:sz w:val="28"/>
      <w:szCs w:val="20"/>
    </w:rPr>
  </w:style>
  <w:style w:type="paragraph" w:styleId="1180" w:customStyle="1">
    <w:name w:val="文本块1"/>
    <w:basedOn w:val="912"/>
    <w:uiPriority w:val="0"/>
    <w:qFormat/>
    <w:pPr>
      <w:ind w:right="210" w:firstLine="560"/>
      <w:spacing w:line="360" w:lineRule="auto"/>
    </w:pPr>
    <w:rPr>
      <w:rFonts w:ascii="宋体" w:hAnsi="宋体"/>
      <w:color w:val="000000"/>
      <w:spacing w:val="20"/>
      <w:sz w:val="24"/>
      <w:szCs w:val="18"/>
    </w:rPr>
  </w:style>
  <w:style w:type="paragraph" w:styleId="1181" w:customStyle="1">
    <w:name w:val="纯文本11"/>
    <w:basedOn w:val="912"/>
    <w:link w:val="1182"/>
    <w:uiPriority w:val="0"/>
    <w:qFormat/>
    <w:rPr>
      <w:rFonts w:ascii="宋体" w:hAnsi="Courier New"/>
      <w:sz w:val="20"/>
      <w:szCs w:val="21"/>
    </w:rPr>
  </w:style>
  <w:style w:type="character" w:styleId="1182" w:customStyle="1">
    <w:name w:val="纯文本 字符"/>
    <w:link w:val="1181"/>
    <w:uiPriority w:val="0"/>
    <w:qFormat/>
    <w:rPr>
      <w:rFonts w:ascii="宋体" w:hAnsi="Courier New" w:eastAsia="宋体"/>
      <w:szCs w:val="21"/>
    </w:rPr>
  </w:style>
  <w:style w:type="paragraph" w:styleId="1183" w:customStyle="1">
    <w:name w:val="日期1"/>
    <w:basedOn w:val="912"/>
    <w:link w:val="1184"/>
    <w:uiPriority w:val="0"/>
    <w:qFormat/>
    <w:rPr>
      <w:sz w:val="24"/>
      <w:szCs w:val="20"/>
    </w:rPr>
  </w:style>
  <w:style w:type="character" w:styleId="1184" w:customStyle="1">
    <w:name w:val="日期 字符"/>
    <w:link w:val="1183"/>
    <w:uiPriority w:val="0"/>
    <w:qFormat/>
    <w:rPr>
      <w:rFonts w:ascii="Times New Roman" w:hAnsi="Times New Roman" w:eastAsia="宋体"/>
      <w:sz w:val="24"/>
      <w:szCs w:val="20"/>
    </w:rPr>
  </w:style>
  <w:style w:type="paragraph" w:styleId="1185" w:customStyle="1">
    <w:name w:val="正文文本缩进 21"/>
    <w:basedOn w:val="912"/>
    <w:link w:val="1186"/>
    <w:uiPriority w:val="0"/>
    <w:qFormat/>
    <w:pPr>
      <w:ind w:firstLine="560"/>
      <w:spacing w:line="500" w:lineRule="exact"/>
    </w:pPr>
    <w:rPr>
      <w:rFonts w:eastAsia="仿宋_GB2312"/>
      <w:sz w:val="28"/>
      <w:szCs w:val="20"/>
    </w:rPr>
  </w:style>
  <w:style w:type="character" w:styleId="1186" w:customStyle="1">
    <w:name w:val="正文文本缩进 2 字符"/>
    <w:link w:val="1185"/>
    <w:uiPriority w:val="0"/>
    <w:qFormat/>
    <w:rPr>
      <w:rFonts w:ascii="Times New Roman" w:hAnsi="Times New Roman" w:eastAsia="仿宋_GB2312"/>
      <w:sz w:val="28"/>
      <w:szCs w:val="20"/>
    </w:rPr>
  </w:style>
  <w:style w:type="paragraph" w:styleId="1187" w:customStyle="1">
    <w:name w:val="批注框文本1"/>
    <w:basedOn w:val="912"/>
    <w:link w:val="1188"/>
    <w:uiPriority w:val="0"/>
    <w:semiHidden/>
    <w:qFormat/>
    <w:rPr>
      <w:sz w:val="18"/>
      <w:szCs w:val="18"/>
    </w:rPr>
  </w:style>
  <w:style w:type="character" w:styleId="1188" w:customStyle="1">
    <w:name w:val="批注框文本 字符"/>
    <w:link w:val="1187"/>
    <w:uiPriority w:val="0"/>
    <w:semiHidden/>
    <w:qFormat/>
    <w:rPr>
      <w:sz w:val="18"/>
      <w:szCs w:val="18"/>
    </w:rPr>
  </w:style>
  <w:style w:type="paragraph" w:styleId="1189" w:customStyle="1">
    <w:name w:val="页脚11"/>
    <w:basedOn w:val="912"/>
    <w:link w:val="1190"/>
    <w:uiPriority w:val="0"/>
    <w:qFormat/>
    <w:pPr>
      <w:jc w:val="left"/>
      <w:tabs>
        <w:tab w:val="center" w:pos="4153" w:leader="none"/>
        <w:tab w:val="right" w:pos="8306" w:leader="none"/>
      </w:tabs>
    </w:pPr>
    <w:rPr>
      <w:sz w:val="18"/>
      <w:szCs w:val="20"/>
    </w:rPr>
  </w:style>
  <w:style w:type="character" w:styleId="1190" w:customStyle="1">
    <w:name w:val="页脚 字符"/>
    <w:link w:val="1189"/>
    <w:uiPriority w:val="0"/>
    <w:qFormat/>
    <w:rPr>
      <w:rFonts w:ascii="Times New Roman" w:hAnsi="Times New Roman" w:eastAsia="宋体"/>
      <w:sz w:val="18"/>
      <w:szCs w:val="20"/>
    </w:rPr>
  </w:style>
  <w:style w:type="paragraph" w:styleId="1191" w:customStyle="1">
    <w:name w:val="寄信人地址1"/>
    <w:basedOn w:val="912"/>
    <w:uiPriority w:val="0"/>
    <w:qFormat/>
    <w:rPr>
      <w:rFonts w:ascii="Arial" w:hAnsi="Arial"/>
    </w:rPr>
  </w:style>
  <w:style w:type="paragraph" w:styleId="1192" w:customStyle="1">
    <w:name w:val="页眉11"/>
    <w:basedOn w:val="912"/>
    <w:link w:val="1193"/>
    <w:uiPriority w:val="0"/>
    <w:qFormat/>
    <w:pPr>
      <w:jc w:val="center"/>
      <w:tabs>
        <w:tab w:val="center" w:pos="4153" w:leader="none"/>
        <w:tab w:val="right" w:pos="8306" w:leader="none"/>
      </w:tabs>
      <w:pBdr>
        <w:bottom w:val="single" w:color="000000" w:sz="6" w:space="1"/>
      </w:pBdr>
    </w:pPr>
    <w:rPr>
      <w:sz w:val="18"/>
      <w:szCs w:val="18"/>
    </w:rPr>
  </w:style>
  <w:style w:type="character" w:styleId="1193" w:customStyle="1">
    <w:name w:val="页眉 字符"/>
    <w:link w:val="1192"/>
    <w:uiPriority w:val="0"/>
    <w:qFormat/>
    <w:rPr>
      <w:rFonts w:ascii="Times New Roman" w:hAnsi="Times New Roman" w:eastAsia="宋体"/>
      <w:sz w:val="18"/>
      <w:szCs w:val="18"/>
    </w:rPr>
  </w:style>
  <w:style w:type="paragraph" w:styleId="1194" w:customStyle="1">
    <w:name w:val="目录 11"/>
    <w:basedOn w:val="912"/>
    <w:uiPriority w:val="0"/>
    <w:semiHidden/>
    <w:qFormat/>
    <w:rPr>
      <w:sz w:val="24"/>
    </w:rPr>
  </w:style>
  <w:style w:type="paragraph" w:styleId="1195" w:customStyle="1">
    <w:name w:val="列表1"/>
    <w:basedOn w:val="912"/>
    <w:uiPriority w:val="0"/>
    <w:qFormat/>
    <w:pPr>
      <w:ind w:left="200" w:hanging="200"/>
    </w:pPr>
  </w:style>
  <w:style w:type="paragraph" w:styleId="1196" w:customStyle="1">
    <w:name w:val="正文文本缩进 31"/>
    <w:basedOn w:val="912"/>
    <w:link w:val="1197"/>
    <w:uiPriority w:val="0"/>
    <w:qFormat/>
    <w:pPr>
      <w:ind w:left="420"/>
      <w:spacing w:after="120"/>
    </w:pPr>
    <w:rPr>
      <w:sz w:val="16"/>
      <w:szCs w:val="16"/>
    </w:rPr>
  </w:style>
  <w:style w:type="character" w:styleId="1197" w:customStyle="1">
    <w:name w:val="正文文本缩进 3 字符"/>
    <w:link w:val="1196"/>
    <w:uiPriority w:val="0"/>
    <w:qFormat/>
    <w:rPr>
      <w:rFonts w:ascii="Times New Roman" w:hAnsi="Times New Roman" w:eastAsia="宋体"/>
      <w:sz w:val="16"/>
      <w:szCs w:val="16"/>
    </w:rPr>
  </w:style>
  <w:style w:type="paragraph" w:styleId="1198" w:customStyle="1">
    <w:name w:val="正文文本 21"/>
    <w:basedOn w:val="912"/>
    <w:link w:val="1199"/>
    <w:uiPriority w:val="0"/>
    <w:qFormat/>
    <w:rPr>
      <w:b/>
      <w:bCs/>
      <w:sz w:val="18"/>
    </w:rPr>
  </w:style>
  <w:style w:type="character" w:styleId="1199" w:customStyle="1">
    <w:name w:val="正文文本 2 字符"/>
    <w:link w:val="1198"/>
    <w:uiPriority w:val="0"/>
    <w:qFormat/>
    <w:rPr>
      <w:rFonts w:ascii="Times New Roman" w:hAnsi="Times New Roman" w:eastAsia="宋体"/>
      <w:b/>
      <w:bCs/>
      <w:sz w:val="18"/>
      <w:szCs w:val="24"/>
    </w:rPr>
  </w:style>
  <w:style w:type="paragraph" w:styleId="1200" w:customStyle="1">
    <w:name w:val="普通(网站)1"/>
    <w:basedOn w:val="912"/>
    <w:uiPriority w:val="0"/>
    <w:qFormat/>
    <w:pPr>
      <w:jc w:val="left"/>
      <w:spacing w:before="100" w:beforeAutospacing="1" w:after="100" w:afterAutospacing="1"/>
      <w:widowControl/>
    </w:pPr>
    <w:rPr>
      <w:rFonts w:ascii="宋体" w:hAnsi="宋体"/>
      <w:color w:val="000000"/>
      <w:sz w:val="24"/>
    </w:rPr>
  </w:style>
  <w:style w:type="paragraph" w:styleId="1201" w:customStyle="1">
    <w:name w:val="批注主题1"/>
    <w:basedOn w:val="1170"/>
    <w:link w:val="1202"/>
    <w:uiPriority w:val="0"/>
    <w:qFormat/>
    <w:rPr>
      <w:b/>
      <w:bCs/>
    </w:rPr>
  </w:style>
  <w:style w:type="character" w:styleId="1202" w:customStyle="1">
    <w:name w:val="批注主题 字符"/>
    <w:link w:val="1201"/>
    <w:uiPriority w:val="0"/>
    <w:semiHidden/>
    <w:qFormat/>
    <w:rPr>
      <w:b/>
      <w:bCs/>
      <w:sz w:val="21"/>
      <w:szCs w:val="24"/>
    </w:rPr>
  </w:style>
  <w:style w:type="character" w:styleId="1203" w:customStyle="1">
    <w:name w:val="正文文本首行缩进 字符"/>
    <w:link w:val="994"/>
    <w:uiPriority w:val="0"/>
    <w:qFormat/>
    <w:rPr>
      <w:rFonts w:ascii="Times New Roman" w:hAnsi="Times New Roman" w:eastAsia="宋体"/>
      <w:sz w:val="24"/>
      <w:szCs w:val="24"/>
    </w:rPr>
  </w:style>
  <w:style w:type="paragraph" w:styleId="1204" w:customStyle="1">
    <w:name w:val="正文首行缩进 21"/>
    <w:basedOn w:val="1178"/>
    <w:uiPriority w:val="0"/>
    <w:qFormat/>
    <w:pPr>
      <w:ind w:firstLine="200"/>
    </w:pPr>
  </w:style>
  <w:style w:type="table" w:styleId="1205" w:customStyle="1">
    <w:name w:val="网格型11"/>
    <w:basedOn w:val="1154"/>
    <w:uiPriority w:val="0"/>
    <w:qFormat/>
    <w:tblPr/>
  </w:style>
  <w:style w:type="character" w:styleId="1206" w:customStyle="1">
    <w:name w:val="要点1"/>
    <w:uiPriority w:val="0"/>
    <w:qFormat/>
    <w:rPr>
      <w:b/>
      <w:bCs/>
    </w:rPr>
  </w:style>
  <w:style w:type="character" w:styleId="1207" w:customStyle="1">
    <w:name w:val="页码1"/>
    <w:uiPriority w:val="0"/>
    <w:qFormat/>
  </w:style>
  <w:style w:type="character" w:styleId="1208" w:customStyle="1">
    <w:name w:val="已访问的超链接1"/>
    <w:uiPriority w:val="0"/>
    <w:qFormat/>
    <w:rPr>
      <w:color w:val="800080"/>
      <w:u w:val="single"/>
    </w:rPr>
  </w:style>
  <w:style w:type="character" w:styleId="1209" w:customStyle="1">
    <w:name w:val="超链接1"/>
    <w:uiPriority w:val="0"/>
    <w:qFormat/>
    <w:rPr>
      <w:color w:val="0000ff"/>
      <w:u w:val="single"/>
    </w:rPr>
  </w:style>
  <w:style w:type="character" w:styleId="1210" w:customStyle="1">
    <w:name w:val="批注引用1"/>
    <w:uiPriority w:val="0"/>
    <w:qFormat/>
    <w:rPr>
      <w:sz w:val="21"/>
      <w:szCs w:val="21"/>
    </w:rPr>
  </w:style>
  <w:style w:type="paragraph" w:styleId="1211" w:customStyle="1">
    <w:name w:val="列表段落1"/>
    <w:basedOn w:val="912"/>
    <w:link w:val="1212"/>
    <w:uiPriority w:val="0"/>
    <w:qFormat/>
    <w:pPr>
      <w:ind w:firstLine="420"/>
    </w:pPr>
    <w:rPr>
      <w:sz w:val="20"/>
      <w:szCs w:val="20"/>
    </w:rPr>
  </w:style>
  <w:style w:type="character" w:styleId="1212" w:customStyle="1">
    <w:name w:val="列表段落 字符1"/>
    <w:link w:val="1211"/>
    <w:uiPriority w:val="0"/>
    <w:qFormat/>
  </w:style>
  <w:style w:type="paragraph" w:styleId="1213" w:customStyle="1">
    <w:name w:val="Default"/>
    <w:basedOn w:val="912"/>
    <w:uiPriority w:val="0"/>
    <w:qFormat/>
    <w:pPr>
      <w:jc w:val="left"/>
    </w:pPr>
    <w:rPr>
      <w:rFonts w:ascii="Arial" w:hAnsi="Arial" w:eastAsia="PMingLiU"/>
      <w:sz w:val="20"/>
      <w:szCs w:val="20"/>
    </w:rPr>
  </w:style>
  <w:style w:type="paragraph" w:styleId="1214" w:customStyle="1">
    <w:name w:val="正文缩进1"/>
    <w:basedOn w:val="912"/>
    <w:uiPriority w:val="0"/>
    <w:qFormat/>
    <w:pPr>
      <w:ind w:firstLine="420"/>
      <w:jc w:val="left"/>
      <w:widowControl/>
    </w:pPr>
  </w:style>
  <w:style w:type="character" w:styleId="1215" w:customStyle="1">
    <w:name w:val="文档结构图 Char1"/>
    <w:uiPriority w:val="0"/>
    <w:semiHidden/>
    <w:qFormat/>
    <w:rPr>
      <w:rFonts w:ascii="宋体" w:hAnsi="Times New Roman" w:eastAsia="宋体"/>
      <w:sz w:val="18"/>
      <w:szCs w:val="18"/>
    </w:rPr>
  </w:style>
  <w:style w:type="character" w:styleId="1216" w:customStyle="1">
    <w:name w:val="普通正文 Char"/>
    <w:link w:val="1217"/>
    <w:uiPriority w:val="0"/>
    <w:qFormat/>
    <w:rPr>
      <w:rFonts w:ascii="Arial" w:hAnsi="Arial"/>
      <w:sz w:val="24"/>
      <w:szCs w:val="24"/>
    </w:rPr>
  </w:style>
  <w:style w:type="paragraph" w:styleId="1217" w:customStyle="1">
    <w:name w:val="普通正文"/>
    <w:basedOn w:val="912"/>
    <w:link w:val="1216"/>
    <w:uiPriority w:val="0"/>
    <w:qFormat/>
    <w:pPr>
      <w:ind w:left="-2" w:right="120" w:firstLine="480"/>
      <w:jc w:val="center"/>
      <w:spacing w:before="120" w:after="120" w:line="360" w:lineRule="auto"/>
    </w:pPr>
    <w:rPr>
      <w:rFonts w:ascii="Arial" w:hAnsi="Arial"/>
      <w:sz w:val="24"/>
    </w:rPr>
  </w:style>
  <w:style w:type="character" w:styleId="1218" w:customStyle="1">
    <w:name w:val="FA正文 Char"/>
    <w:link w:val="1219"/>
    <w:uiPriority w:val="0"/>
    <w:qFormat/>
    <w:rPr>
      <w:rFonts w:ascii="宋体" w:hAnsi="宋体" w:eastAsia="宋体"/>
      <w:sz w:val="28"/>
      <w:szCs w:val="28"/>
    </w:rPr>
  </w:style>
  <w:style w:type="paragraph" w:styleId="1219" w:customStyle="1">
    <w:name w:val="FA正文"/>
    <w:basedOn w:val="912"/>
    <w:link w:val="1218"/>
    <w:uiPriority w:val="0"/>
    <w:qFormat/>
    <w:pPr>
      <w:ind w:firstLine="538"/>
      <w:spacing w:line="440" w:lineRule="atLeast"/>
      <w:tabs>
        <w:tab w:val="left" w:pos="3375" w:leader="none"/>
      </w:tabs>
    </w:pPr>
    <w:rPr>
      <w:rFonts w:ascii="宋体" w:hAnsi="宋体"/>
      <w:sz w:val="28"/>
      <w:szCs w:val="28"/>
    </w:rPr>
  </w:style>
  <w:style w:type="character" w:styleId="1220" w:customStyle="1">
    <w:name w:val="正文缩进2格 Char"/>
    <w:link w:val="1221"/>
    <w:uiPriority w:val="0"/>
    <w:qFormat/>
    <w:rPr>
      <w:rFonts w:ascii="仿宋_GB2312" w:hAnsi="宋体" w:eastAsia="仿宋_GB2312"/>
      <w:sz w:val="31"/>
      <w:szCs w:val="28"/>
    </w:rPr>
  </w:style>
  <w:style w:type="paragraph" w:styleId="1221" w:customStyle="1">
    <w:name w:val="正文缩进2格"/>
    <w:basedOn w:val="912"/>
    <w:link w:val="1220"/>
    <w:uiPriority w:val="0"/>
    <w:qFormat/>
    <w:pPr>
      <w:ind w:firstLine="639"/>
      <w:spacing w:line="600" w:lineRule="exact"/>
    </w:pPr>
    <w:rPr>
      <w:rFonts w:ascii="仿宋_GB2312" w:hAnsi="宋体" w:eastAsia="仿宋_GB2312"/>
      <w:sz w:val="31"/>
      <w:szCs w:val="28"/>
    </w:rPr>
  </w:style>
  <w:style w:type="character" w:styleId="1222" w:customStyle="1">
    <w:name w:val="cn_text1"/>
    <w:uiPriority w:val="0"/>
    <w:qFormat/>
    <w:rPr>
      <w:rFonts w:ascii="ˎ̥" w:hAnsi="ˎ̥"/>
      <w:color w:val="003399"/>
      <w:spacing w:val="15"/>
      <w:sz w:val="18"/>
      <w:szCs w:val="18"/>
    </w:rPr>
  </w:style>
  <w:style w:type="character" w:styleId="1223" w:customStyle="1">
    <w:name w:val="ssss Char"/>
    <w:uiPriority w:val="0"/>
    <w:qFormat/>
    <w:rPr>
      <w:rFonts w:eastAsia="宋体"/>
      <w:sz w:val="24"/>
      <w:szCs w:val="24"/>
      <w:lang w:val="en-US" w:eastAsia="zh-CN" w:bidi="ar-SA"/>
    </w:rPr>
  </w:style>
  <w:style w:type="character" w:styleId="1224" w:customStyle="1">
    <w:name w:val="ssss Char1"/>
    <w:link w:val="1225"/>
    <w:uiPriority w:val="0"/>
    <w:qFormat/>
    <w:rPr>
      <w:rFonts w:ascii="Times New Roman" w:hAnsi="Times New Roman" w:eastAsia="宋体"/>
      <w:sz w:val="24"/>
      <w:szCs w:val="24"/>
    </w:rPr>
  </w:style>
  <w:style w:type="paragraph" w:styleId="1225" w:customStyle="1">
    <w:name w:val="ssss"/>
    <w:basedOn w:val="912"/>
    <w:link w:val="1224"/>
    <w:uiPriority w:val="0"/>
    <w:qFormat/>
    <w:pPr>
      <w:ind w:firstLine="480"/>
      <w:spacing w:line="360" w:lineRule="auto"/>
    </w:pPr>
    <w:rPr>
      <w:sz w:val="24"/>
    </w:rPr>
  </w:style>
  <w:style w:type="character" w:styleId="1226" w:customStyle="1">
    <w:name w:val="标题 4 Char1"/>
    <w:uiPriority w:val="0"/>
    <w:qFormat/>
    <w:rPr>
      <w:rFonts w:ascii="Arial" w:hAnsi="Arial" w:eastAsia="黑体"/>
      <w:b/>
      <w:bCs/>
      <w:sz w:val="28"/>
      <w:szCs w:val="28"/>
      <w:lang w:val="en-US" w:eastAsia="zh-CN" w:bidi="ar-SA"/>
    </w:rPr>
  </w:style>
  <w:style w:type="character" w:styleId="1227" w:customStyle="1">
    <w:name w:val="列表段落 字符"/>
    <w:uiPriority w:val="0"/>
    <w:qFormat/>
    <w:rPr>
      <w:rFonts w:ascii="Calibri" w:hAnsi="Calibri"/>
      <w:sz w:val="21"/>
      <w:szCs w:val="22"/>
    </w:rPr>
  </w:style>
  <w:style w:type="character" w:styleId="1228" w:customStyle="1">
    <w:name w:val="批注框文本 Char1"/>
    <w:uiPriority w:val="0"/>
    <w:semiHidden/>
    <w:qFormat/>
    <w:rPr>
      <w:rFonts w:ascii="Times New Roman" w:hAnsi="Times New Roman" w:eastAsia="宋体"/>
      <w:sz w:val="18"/>
      <w:szCs w:val="18"/>
    </w:rPr>
  </w:style>
  <w:style w:type="character" w:styleId="1229" w:customStyle="1">
    <w:name w:val="样式 ssss + 宋体 五号1 Char"/>
    <w:link w:val="1230"/>
    <w:uiPriority w:val="0"/>
    <w:qFormat/>
    <w:rPr>
      <w:rFonts w:ascii="宋体" w:hAnsi="宋体" w:eastAsia="宋体"/>
      <w:sz w:val="24"/>
      <w:szCs w:val="24"/>
    </w:rPr>
  </w:style>
  <w:style w:type="paragraph" w:styleId="1230" w:customStyle="1">
    <w:name w:val="样式 ssss + 宋体 五号1"/>
    <w:basedOn w:val="1225"/>
    <w:link w:val="1229"/>
    <w:uiPriority w:val="0"/>
    <w:qFormat/>
    <w:rPr>
      <w:rFonts w:ascii="宋体" w:hAnsi="宋体"/>
    </w:rPr>
  </w:style>
  <w:style w:type="character" w:styleId="1231" w:customStyle="1">
    <w:name w:val="point_normal1"/>
    <w:uiPriority w:val="0"/>
    <w:qFormat/>
    <w:rPr>
      <w:rFonts w:ascii="Arial" w:hAnsi="Arial"/>
      <w:sz w:val="16"/>
      <w:szCs w:val="16"/>
    </w:rPr>
  </w:style>
  <w:style w:type="paragraph" w:styleId="1232" w:customStyle="1">
    <w:name w:val="样式 正文文本缩进 3 + 四号"/>
    <w:basedOn w:val="1196"/>
    <w:uiPriority w:val="0"/>
    <w:qFormat/>
    <w:pPr>
      <w:ind w:left="0" w:firstLine="437"/>
      <w:spacing w:after="0" w:line="360" w:lineRule="auto"/>
    </w:pPr>
    <w:rPr>
      <w:sz w:val="24"/>
      <w:szCs w:val="21"/>
    </w:rPr>
  </w:style>
  <w:style w:type="paragraph" w:styleId="1233" w:customStyle="1">
    <w:name w:val="2cxsplast"/>
    <w:basedOn w:val="912"/>
    <w:uiPriority w:val="0"/>
    <w:qFormat/>
    <w:pPr>
      <w:jc w:val="left"/>
      <w:spacing w:before="100" w:beforeAutospacing="1" w:after="100" w:afterAutospacing="1"/>
      <w:widowControl/>
    </w:pPr>
    <w:rPr>
      <w:rFonts w:ascii="宋体" w:hAnsi="宋体"/>
      <w:sz w:val="24"/>
    </w:rPr>
  </w:style>
  <w:style w:type="paragraph" w:styleId="1234" w:customStyle="1">
    <w:name w:val="ec_msonormal"/>
    <w:basedOn w:val="912"/>
    <w:uiPriority w:val="0"/>
    <w:qFormat/>
    <w:pPr>
      <w:jc w:val="left"/>
      <w:spacing w:before="100" w:beforeAutospacing="1" w:after="100" w:afterAutospacing="1"/>
      <w:widowControl/>
    </w:pPr>
    <w:rPr>
      <w:rFonts w:ascii="宋体" w:hAnsi="宋体"/>
      <w:sz w:val="24"/>
    </w:rPr>
  </w:style>
  <w:style w:type="paragraph" w:styleId="1235" w:customStyle="1">
    <w:name w:val="Char Char Char Char"/>
    <w:basedOn w:val="912"/>
    <w:uiPriority w:val="0"/>
    <w:qFormat/>
    <w:rPr>
      <w:rFonts w:ascii="Tahoma" w:hAnsi="Tahoma"/>
      <w:sz w:val="24"/>
      <w:szCs w:val="20"/>
    </w:rPr>
  </w:style>
  <w:style w:type="paragraph" w:styleId="1236" w:customStyle="1">
    <w:name w:val="Char Char Char Char Char Char Char Char Char Char Char Char Char"/>
    <w:basedOn w:val="912"/>
    <w:uiPriority w:val="0"/>
    <w:qFormat/>
  </w:style>
  <w:style w:type="paragraph" w:styleId="1237" w:customStyle="1">
    <w:name w:val="表格正文"/>
    <w:basedOn w:val="912"/>
    <w:uiPriority w:val="0"/>
    <w:qFormat/>
    <w:pPr>
      <w:jc w:val="left"/>
      <w:spacing w:line="360" w:lineRule="auto"/>
    </w:pPr>
    <w:rPr>
      <w:rFonts w:ascii="Calibri" w:hAnsi="Calibri"/>
      <w:color w:val="000000"/>
      <w:szCs w:val="28"/>
    </w:rPr>
  </w:style>
  <w:style w:type="paragraph" w:styleId="1238"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239" w:customStyle="1">
    <w:name w:val="Char Char Char Char1"/>
    <w:basedOn w:val="912"/>
    <w:uiPriority w:val="0"/>
    <w:qFormat/>
    <w:rPr>
      <w:rFonts w:ascii="Tahoma" w:hAnsi="Tahoma"/>
      <w:sz w:val="24"/>
      <w:szCs w:val="20"/>
    </w:rPr>
  </w:style>
  <w:style w:type="paragraph" w:styleId="1240" w:customStyle="1">
    <w:name w:val="Char Char Char"/>
    <w:basedOn w:val="912"/>
    <w:uiPriority w:val="0"/>
    <w:qFormat/>
    <w:rPr>
      <w:rFonts w:ascii="Tahoma" w:hAnsi="Tahoma"/>
      <w:sz w:val="24"/>
      <w:szCs w:val="20"/>
    </w:rPr>
  </w:style>
  <w:style w:type="paragraph" w:styleId="1241" w:customStyle="1">
    <w:name w:val="标题-----3"/>
    <w:basedOn w:val="1146"/>
    <w:uiPriority w:val="0"/>
    <w:qFormat/>
    <w:pPr>
      <w:spacing w:before="0" w:after="0" w:line="240" w:lineRule="auto"/>
      <w:outlineLvl w:val="0"/>
    </w:pPr>
    <w:rPr>
      <w:rFonts w:ascii="宋体" w:hAnsi="宋体"/>
      <w:b w:val="0"/>
      <w:bCs w:val="0"/>
      <w:sz w:val="28"/>
      <w:szCs w:val="28"/>
    </w:rPr>
  </w:style>
  <w:style w:type="paragraph" w:styleId="1242" w:customStyle="1">
    <w:name w:val="样式 ssss + 居中"/>
    <w:basedOn w:val="1225"/>
    <w:uiPriority w:val="0"/>
    <w:qFormat/>
    <w:pPr>
      <w:jc w:val="center"/>
    </w:pPr>
    <w:rPr>
      <w:szCs w:val="20"/>
    </w:rPr>
  </w:style>
  <w:style w:type="paragraph" w:styleId="1243" w:customStyle="1">
    <w:name w:val="样式 宋体 四号 黑色 左侧:  0.74 厘米 首行缩进:  0.74 厘米 行距: 1.5 倍行距"/>
    <w:basedOn w:val="912"/>
    <w:uiPriority w:val="0"/>
    <w:qFormat/>
    <w:pPr>
      <w:ind w:firstLine="420"/>
      <w:spacing w:line="360" w:lineRule="auto"/>
    </w:pPr>
    <w:rPr>
      <w:rFonts w:ascii="宋体"/>
      <w:color w:val="000000"/>
      <w:sz w:val="24"/>
      <w:szCs w:val="21"/>
    </w:rPr>
  </w:style>
  <w:style w:type="paragraph" w:styleId="1244" w:customStyle="1">
    <w:name w:val="样式 样式 ssss + 宋体 五号 + 首行缩进:  2 字符"/>
    <w:basedOn w:val="1245"/>
    <w:uiPriority w:val="0"/>
    <w:qFormat/>
    <w:pPr>
      <w:ind w:firstLine="480"/>
    </w:pPr>
  </w:style>
  <w:style w:type="paragraph" w:styleId="1245" w:customStyle="1">
    <w:name w:val="样式 ssss + 宋体 五号"/>
    <w:basedOn w:val="1225"/>
    <w:uiPriority w:val="0"/>
    <w:qFormat/>
    <w:pPr>
      <w:ind w:firstLine="420"/>
    </w:pPr>
    <w:rPr>
      <w:rFonts w:ascii="宋体" w:hAnsi="宋体"/>
      <w:szCs w:val="20"/>
    </w:rPr>
  </w:style>
  <w:style w:type="paragraph" w:styleId="1246" w:customStyle="1">
    <w:name w:val="msonormalcxsplast"/>
    <w:basedOn w:val="912"/>
    <w:uiPriority w:val="0"/>
    <w:qFormat/>
    <w:pPr>
      <w:jc w:val="left"/>
      <w:spacing w:before="100" w:beforeAutospacing="1" w:after="100" w:afterAutospacing="1"/>
      <w:widowControl/>
    </w:pPr>
    <w:rPr>
      <w:rFonts w:ascii="宋体" w:hAnsi="宋体"/>
      <w:sz w:val="24"/>
    </w:rPr>
  </w:style>
  <w:style w:type="paragraph" w:styleId="1247" w:customStyle="1">
    <w:name w:val="Char"/>
    <w:basedOn w:val="912"/>
    <w:uiPriority w:val="0"/>
    <w:qFormat/>
    <w:rPr>
      <w:rFonts w:ascii="Tahoma" w:hAnsi="Tahoma"/>
      <w:sz w:val="24"/>
      <w:szCs w:val="20"/>
    </w:rPr>
  </w:style>
  <w:style w:type="paragraph" w:styleId="1248" w:customStyle="1">
    <w:name w:val="xl25"/>
    <w:basedOn w:val="912"/>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249" w:customStyle="1">
    <w:name w:val="标题------4"/>
    <w:basedOn w:val="1147"/>
    <w:uiPriority w:val="0"/>
    <w:qFormat/>
    <w:pPr>
      <w:ind w:left="960" w:hanging="420"/>
      <w:jc w:val="both"/>
      <w:keepLines/>
      <w:spacing w:line="360" w:lineRule="auto"/>
    </w:pPr>
    <w:rPr>
      <w:rFonts w:ascii="仿宋_GB2312" w:hAnsi="宋体" w:eastAsia="仿宋_GB2312"/>
      <w:b/>
      <w:sz w:val="28"/>
      <w:szCs w:val="28"/>
      <w:lang w:val="zh-CN"/>
    </w:rPr>
  </w:style>
  <w:style w:type="paragraph" w:styleId="1250" w:customStyle="1">
    <w:name w:val="msonormalcxspmiddle"/>
    <w:basedOn w:val="912"/>
    <w:uiPriority w:val="0"/>
    <w:qFormat/>
    <w:pPr>
      <w:jc w:val="left"/>
      <w:spacing w:before="100" w:beforeAutospacing="1" w:after="100" w:afterAutospacing="1"/>
      <w:widowControl/>
    </w:pPr>
    <w:rPr>
      <w:rFonts w:ascii="宋体" w:hAnsi="宋体"/>
      <w:sz w:val="24"/>
    </w:rPr>
  </w:style>
  <w:style w:type="paragraph" w:styleId="1251" w:customStyle="1">
    <w:name w:val="Char Char Char Char Char Char Char Char Char Char Char Char Char1"/>
    <w:basedOn w:val="912"/>
    <w:uiPriority w:val="0"/>
    <w:qFormat/>
    <w:rPr>
      <w:sz w:val="24"/>
    </w:rPr>
  </w:style>
  <w:style w:type="paragraph" w:styleId="1252" w:customStyle="1">
    <w:name w:val="表格"/>
    <w:basedOn w:val="912"/>
    <w:uiPriority w:val="0"/>
    <w:qFormat/>
    <w:rPr>
      <w:rFonts w:ascii="Arial" w:hAnsi="Arial"/>
      <w:sz w:val="24"/>
    </w:rPr>
  </w:style>
  <w:style w:type="paragraph" w:styleId="1253" w:customStyle="1">
    <w:name w:val="正文样式1"/>
    <w:basedOn w:val="912"/>
    <w:uiPriority w:val="0"/>
    <w:qFormat/>
    <w:pPr>
      <w:ind w:firstLine="480"/>
      <w:spacing w:before="120" w:after="120" w:line="360" w:lineRule="auto"/>
    </w:pPr>
    <w:rPr>
      <w:sz w:val="24"/>
      <w:szCs w:val="20"/>
    </w:rPr>
  </w:style>
  <w:style w:type="paragraph" w:styleId="1254" w:customStyle="1">
    <w:name w:val="Char Char1 Char Char Char Char Char Char"/>
    <w:basedOn w:val="912"/>
    <w:uiPriority w:val="0"/>
    <w:qFormat/>
    <w:pPr>
      <w:jc w:val="left"/>
      <w:spacing w:after="160" w:line="240" w:lineRule="exact"/>
      <w:widowControl/>
    </w:pPr>
    <w:rPr>
      <w:rFonts w:ascii="Verdana" w:hAnsi="Verdana" w:eastAsia="仿宋_GB2312"/>
      <w:sz w:val="24"/>
      <w:szCs w:val="20"/>
      <w:lang w:eastAsia="en-US"/>
    </w:rPr>
  </w:style>
  <w:style w:type="paragraph" w:styleId="1255" w:customStyle="1">
    <w:name w:val="Char Char Char Char Char Char Char Char Char Char"/>
    <w:basedOn w:val="912"/>
    <w:uiPriority w:val="0"/>
    <w:qFormat/>
    <w:rPr>
      <w:rFonts w:ascii="Tahoma" w:hAnsi="Tahoma"/>
      <w:sz w:val="24"/>
      <w:szCs w:val="20"/>
    </w:rPr>
  </w:style>
  <w:style w:type="paragraph" w:styleId="1256" w:customStyle="1">
    <w:name w:val="Char1"/>
    <w:basedOn w:val="912"/>
    <w:uiPriority w:val="0"/>
    <w:qFormat/>
    <w:pPr>
      <w:tabs>
        <w:tab w:val="left" w:pos="360" w:leader="none"/>
      </w:tabs>
    </w:pPr>
    <w:rPr>
      <w:sz w:val="24"/>
    </w:rPr>
  </w:style>
  <w:style w:type="paragraph" w:styleId="1257" w:customStyle="1">
    <w:name w:val="标题1"/>
    <w:basedOn w:val="9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58" w:customStyle="1">
    <w:name w:val="Header2"/>
    <w:basedOn w:val="912"/>
    <w:uiPriority w:val="0"/>
    <w:qFormat/>
    <w:pPr>
      <w:numPr>
        <w:ilvl w:val="0"/>
        <w:numId w:val="1"/>
      </w:numPr>
      <w:tabs>
        <w:tab w:val="clear" w:pos="480" w:leader="none"/>
      </w:tabs>
    </w:pPr>
  </w:style>
  <w:style w:type="paragraph" w:styleId="1259" w:customStyle="1">
    <w:name w:val="Char Char 字元 字元 字元 Char Char Char Char"/>
    <w:basedOn w:val="912"/>
    <w:uiPriority w:val="0"/>
    <w:qFormat/>
    <w:pPr>
      <w:spacing w:line="360" w:lineRule="auto"/>
    </w:pPr>
    <w:rPr>
      <w:sz w:val="24"/>
      <w:szCs w:val="20"/>
    </w:rPr>
  </w:style>
  <w:style w:type="paragraph" w:styleId="1260" w:customStyle="1">
    <w:name w:val="2cxspmiddle"/>
    <w:basedOn w:val="912"/>
    <w:uiPriority w:val="0"/>
    <w:qFormat/>
    <w:pPr>
      <w:jc w:val="left"/>
      <w:spacing w:before="100" w:beforeAutospacing="1" w:after="100" w:afterAutospacing="1"/>
      <w:widowControl/>
    </w:pPr>
    <w:rPr>
      <w:rFonts w:ascii="宋体" w:hAnsi="宋体"/>
      <w:sz w:val="24"/>
    </w:rPr>
  </w:style>
  <w:style w:type="paragraph" w:styleId="126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63" w:customStyle="1">
    <w:name w:val="网格型1"/>
    <w:basedOn w:val="1154"/>
    <w:uiPriority w:val="0"/>
    <w:qFormat/>
    <w:rPr>
      <w:rFonts w:ascii="等线" w:hAnsi="等线" w:eastAsia="等线"/>
      <w:sz w:val="21"/>
      <w:szCs w:val="22"/>
    </w:rPr>
    <w:tblPr/>
  </w:style>
  <w:style w:type="paragraph" w:styleId="1264" w:customStyle="1">
    <w:name w:val="列出段落1"/>
    <w:basedOn w:val="912"/>
    <w:uiPriority w:val="0"/>
    <w:qFormat/>
    <w:pPr>
      <w:contextualSpacing/>
      <w:ind w:left="720"/>
      <w:jc w:val="left"/>
      <w:widowControl/>
    </w:pPr>
    <w:rPr>
      <w:sz w:val="24"/>
      <w:lang w:eastAsia="en-US" w:bidi="en-US"/>
    </w:rPr>
  </w:style>
  <w:style w:type="paragraph" w:styleId="1265" w:customStyle="1">
    <w:name w:val="DAS正文"/>
    <w:basedOn w:val="912"/>
    <w:uiPriority w:val="0"/>
    <w:qFormat/>
    <w:pPr>
      <w:ind w:right="181" w:firstLine="480"/>
      <w:spacing w:line="360" w:lineRule="auto"/>
    </w:pPr>
    <w:rPr>
      <w:rFonts w:ascii="Verdana" w:hAnsi="Verdana"/>
      <w:sz w:val="24"/>
      <w:szCs w:val="20"/>
    </w:rPr>
  </w:style>
  <w:style w:type="paragraph" w:styleId="1266" w:customStyle="1">
    <w:name w:val="普通(网站) Char"/>
    <w:basedOn w:val="912"/>
    <w:uiPriority w:val="0"/>
    <w:qFormat/>
    <w:pPr>
      <w:jc w:val="left"/>
      <w:spacing w:before="100" w:beforeAutospacing="1" w:after="100" w:afterAutospacing="1"/>
      <w:widowControl/>
    </w:pPr>
    <w:rPr>
      <w:rFonts w:ascii="宋体" w:hAnsi="宋体"/>
      <w:sz w:val="24"/>
    </w:rPr>
  </w:style>
  <w:style w:type="paragraph" w:styleId="1267" w:customStyle="1">
    <w:name w:val="无间隔2"/>
    <w:uiPriority w:val="0"/>
    <w:qFormat/>
    <w:pPr>
      <w:ind w:firstLine="200"/>
      <w:jc w:val="both"/>
      <w:spacing w:line="360" w:lineRule="auto"/>
      <w:widowControl w:val="off"/>
    </w:pPr>
    <w:rPr>
      <w:rFonts w:hint="default" w:ascii="Arial" w:hAnsi="Arial" w:eastAsia="宋体" w:cs="Times New Roman"/>
      <w:sz w:val="24"/>
      <w:szCs w:val="24"/>
      <w:lang w:val="en-US" w:eastAsia="zh-CN" w:bidi="ar-SA"/>
    </w:rPr>
  </w:style>
  <w:style w:type="paragraph" w:styleId="1268" w:customStyle="1">
    <w:name w:val="首行缩进"/>
    <w:basedOn w:val="912"/>
    <w:uiPriority w:val="0"/>
    <w:qFormat/>
    <w:pPr>
      <w:ind w:firstLine="480"/>
    </w:pPr>
    <w:rPr>
      <w:rFonts w:ascii="等线" w:hAnsi="等线" w:eastAsia="等线"/>
      <w:szCs w:val="22"/>
      <w:lang w:val="zh-CN"/>
    </w:rPr>
  </w:style>
  <w:style w:type="paragraph" w:styleId="1269" w:customStyle="1">
    <w:name w:val="p0"/>
    <w:basedOn w:val="912"/>
    <w:uiPriority w:val="0"/>
    <w:qFormat/>
    <w:pPr>
      <w:widowControl/>
    </w:pPr>
    <w:rPr>
      <w:sz w:val="20"/>
      <w:szCs w:val="21"/>
      <w:lang w:val="zh-CN"/>
    </w:rPr>
  </w:style>
  <w:style w:type="paragraph" w:styleId="1270" w:customStyle="1">
    <w:name w:val="Table Text"/>
    <w:basedOn w:val="912"/>
    <w:uiPriority w:val="0"/>
    <w:semiHidden/>
    <w:qFormat/>
    <w:rPr>
      <w:rFonts w:ascii="仿宋" w:hAnsi="仿宋" w:eastAsia="仿宋"/>
      <w:sz w:val="24"/>
      <w:lang w:eastAsia="en-US"/>
    </w:rPr>
  </w:style>
  <w:style w:type="table" w:styleId="1271" w:customStyle="1">
    <w:name w:val="Table Normal"/>
    <w:uiPriority w:val="0"/>
    <w:qFormat/>
    <w:tblPr>
      <w:tblCellMar>
        <w:left w:w="0" w:type="dxa"/>
        <w:top w:w="0" w:type="dxa"/>
        <w:right w:w="0" w:type="dxa"/>
        <w:bottom w:w="0" w:type="dxa"/>
      </w:tblCellMar>
    </w:tblPr>
  </w:style>
  <w:style w:type="character" w:styleId="1272" w:customStyle="1">
    <w:name w:val="NormalCharacter"/>
    <w:uiPriority w:val="0"/>
    <w:qFormat/>
  </w:style>
  <w:style w:type="character" w:styleId="1273" w:customStyle="1">
    <w:name w:val="font31"/>
    <w:uiPriority w:val="0"/>
    <w:qFormat/>
    <w:rPr>
      <w:rFonts w:ascii="Times New Roman Regular" w:hAnsi="Times New Roman Regular" w:eastAsia="Times New Roman Regular"/>
      <w:color w:val="000000"/>
      <w:sz w:val="24"/>
      <w:szCs w:val="24"/>
      <w:u w:val="none"/>
    </w:rPr>
  </w:style>
  <w:style w:type="character" w:styleId="1274" w:customStyle="1">
    <w:name w:val="font91"/>
    <w:uiPriority w:val="0"/>
    <w:qFormat/>
    <w:rPr>
      <w:rFonts w:ascii="Times New Roman" w:hAnsi="Times New Roman"/>
      <w:color w:val="000000"/>
      <w:sz w:val="20"/>
      <w:szCs w:val="20"/>
      <w:u w:val="none"/>
    </w:rPr>
  </w:style>
  <w:style w:type="character" w:styleId="1275" w:customStyle="1">
    <w:name w:val="font11"/>
    <w:basedOn w:val="922"/>
    <w:uiPriority w:val="0"/>
    <w:qFormat/>
    <w:rPr>
      <w:rFonts w:hint="eastAsia" w:ascii="宋体" w:hAnsi="宋体" w:eastAsia="宋体"/>
      <w:color w:val="000000"/>
      <w:sz w:val="20"/>
      <w:szCs w:val="20"/>
      <w:u w:val="none"/>
    </w:rPr>
  </w:style>
  <w:style w:type="character" w:styleId="1276" w:customStyle="1">
    <w:name w:val="font101"/>
    <w:uiPriority w:val="0"/>
    <w:qFormat/>
    <w:rPr>
      <w:rFonts w:ascii="Arial" w:hAnsi="Arial"/>
      <w:color w:val="000000"/>
      <w:sz w:val="20"/>
      <w:szCs w:val="20"/>
      <w:u w:val="none"/>
    </w:rPr>
  </w:style>
  <w:style w:type="character" w:styleId="1277" w:customStyle="1">
    <w:name w:val="font291"/>
    <w:uiPriority w:val="0"/>
    <w:qFormat/>
    <w:rPr>
      <w:rFonts w:hint="eastAsia" w:ascii="宋体" w:hAnsi="宋体" w:eastAsia="宋体"/>
      <w:color w:val="000000"/>
      <w:sz w:val="20"/>
      <w:szCs w:val="20"/>
      <w:u w:val="none"/>
    </w:rPr>
  </w:style>
  <w:style w:type="character" w:styleId="1278" w:customStyle="1">
    <w:name w:val="font61"/>
    <w:uiPriority w:val="0"/>
    <w:qFormat/>
    <w:rPr>
      <w:rFonts w:hint="eastAsia" w:ascii="等线" w:hAnsi="等线" w:eastAsia="等线"/>
      <w:color w:val="000000"/>
      <w:sz w:val="20"/>
      <w:szCs w:val="20"/>
      <w:u w:val="none"/>
    </w:rPr>
  </w:style>
  <w:style w:type="character" w:styleId="1279" w:customStyle="1">
    <w:name w:val="font71"/>
    <w:uiPriority w:val="0"/>
    <w:qFormat/>
    <w:rPr>
      <w:rFonts w:hint="eastAsia" w:ascii="宋体" w:hAnsi="宋体" w:eastAsia="宋体"/>
      <w:color w:val="000000"/>
      <w:sz w:val="20"/>
      <w:szCs w:val="20"/>
      <w:u w:val="none"/>
    </w:rPr>
  </w:style>
  <w:style w:type="character" w:styleId="1280" w:customStyle="1">
    <w:name w:val="font41"/>
    <w:uiPriority w:val="0"/>
    <w:qFormat/>
    <w:rPr>
      <w:rFonts w:ascii="Times New Roman Regular" w:hAnsi="Times New Roman Regular" w:eastAsia="Times New Roman Regular"/>
      <w:color w:val="000000"/>
      <w:sz w:val="20"/>
      <w:szCs w:val="20"/>
      <w:u w:val="none"/>
    </w:rPr>
  </w:style>
  <w:style w:type="character" w:styleId="1281" w:customStyle="1">
    <w:name w:val="font301"/>
    <w:uiPriority w:val="0"/>
    <w:qFormat/>
    <w:rPr>
      <w:rFonts w:ascii="Times New Roman Regular" w:hAnsi="Times New Roman Regular" w:eastAsia="Times New Roman Regular"/>
      <w:color w:val="000000"/>
      <w:sz w:val="20"/>
      <w:szCs w:val="20"/>
      <w:u w:val="none"/>
    </w:rPr>
  </w:style>
  <w:style w:type="character" w:styleId="1282" w:customStyle="1">
    <w:name w:val="font81"/>
    <w:uiPriority w:val="0"/>
    <w:qFormat/>
    <w:rPr>
      <w:rFonts w:hint="eastAsia" w:ascii="宋体" w:hAnsi="宋体" w:eastAsia="宋体"/>
      <w:color w:val="000000"/>
      <w:sz w:val="20"/>
      <w:szCs w:val="20"/>
      <w:u w:val="none"/>
    </w:rPr>
  </w:style>
  <w:style w:type="character" w:styleId="1283" w:customStyle="1">
    <w:name w:val="font112"/>
    <w:uiPriority w:val="0"/>
    <w:qFormat/>
    <w:rPr>
      <w:rFonts w:hint="eastAsia" w:ascii="等线" w:hAnsi="等线" w:eastAsia="等线"/>
      <w:color w:val="000000"/>
      <w:sz w:val="20"/>
      <w:szCs w:val="20"/>
      <w:u w:val="none"/>
    </w:rPr>
  </w:style>
  <w:style w:type="character" w:styleId="1284" w:customStyle="1">
    <w:name w:val="font312"/>
    <w:uiPriority w:val="0"/>
    <w:qFormat/>
    <w:rPr>
      <w:rFonts w:ascii="Arial" w:hAnsi="Arial"/>
      <w:color w:val="000000"/>
      <w:sz w:val="20"/>
      <w:szCs w:val="20"/>
      <w:u w:val="none"/>
    </w:rPr>
  </w:style>
  <w:style w:type="character" w:styleId="1285" w:customStyle="1">
    <w:name w:val="font321"/>
    <w:uiPriority w:val="0"/>
    <w:qFormat/>
    <w:rPr>
      <w:rFonts w:ascii="微软雅黑" w:hAnsi="微软雅黑" w:eastAsia="微软雅黑"/>
      <w:color w:val="000000"/>
      <w:sz w:val="20"/>
      <w:szCs w:val="20"/>
      <w:u w:val="none"/>
    </w:rPr>
  </w:style>
  <w:style w:type="character" w:styleId="1286" w:customStyle="1">
    <w:name w:val="font151"/>
    <w:uiPriority w:val="0"/>
    <w:qFormat/>
    <w:rPr>
      <w:rFonts w:hint="eastAsia" w:ascii="宋体" w:hAnsi="宋体" w:eastAsia="宋体"/>
      <w:color w:val="000000"/>
      <w:sz w:val="22"/>
      <w:szCs w:val="22"/>
      <w:u w:val="none"/>
    </w:rPr>
  </w:style>
  <w:style w:type="character" w:styleId="1287" w:customStyle="1">
    <w:name w:val="font121"/>
    <w:uiPriority w:val="0"/>
    <w:qFormat/>
    <w:rPr>
      <w:rFonts w:hint="eastAsia" w:ascii="宋体" w:hAnsi="宋体" w:eastAsia="宋体"/>
      <w:b/>
      <w:bCs/>
      <w:color w:val="000000"/>
      <w:sz w:val="20"/>
      <w:szCs w:val="20"/>
      <w:u w:val="none"/>
    </w:rPr>
  </w:style>
  <w:style w:type="character" w:styleId="1288" w:customStyle="1">
    <w:name w:val="font21"/>
    <w:basedOn w:val="922"/>
    <w:uiPriority w:val="0"/>
    <w:qFormat/>
    <w:rPr>
      <w:rFonts w:hint="eastAsia" w:ascii="宋体" w:hAnsi="宋体" w:eastAsia="宋体"/>
      <w:b/>
      <w:bCs/>
      <w:color w:val="000000"/>
      <w:sz w:val="24"/>
      <w:szCs w:val="24"/>
      <w:u w:val="none"/>
    </w:rPr>
  </w:style>
  <w:style w:type="character" w:styleId="1289" w:customStyle="1">
    <w:name w:val="font131"/>
    <w:uiPriority w:val="0"/>
    <w:qFormat/>
    <w:rPr>
      <w:rFonts w:ascii="宋体" w:hAnsi="宋体" w:eastAsia="宋体"/>
      <w:b/>
      <w:bCs/>
      <w:color w:val="000000"/>
      <w:sz w:val="24"/>
      <w:szCs w:val="24"/>
      <w:u w:val="none"/>
    </w:rPr>
  </w:style>
  <w:style w:type="character" w:styleId="1290" w:customStyle="1">
    <w:name w:val="font141"/>
    <w:uiPriority w:val="0"/>
    <w:qFormat/>
    <w:rPr>
      <w:rFonts w:ascii="微软雅黑" w:hAnsi="微软雅黑" w:eastAsia="微软雅黑"/>
      <w:color w:val="000000"/>
      <w:sz w:val="24"/>
      <w:szCs w:val="24"/>
      <w:u w:val="none"/>
    </w:rPr>
  </w:style>
  <w:style w:type="paragraph" w:styleId="1291" w:customStyle="1">
    <w:name w:val="标题 41"/>
    <w:basedOn w:val="912"/>
    <w:next w:val="912"/>
    <w:uiPriority w:val="0"/>
    <w:qFormat/>
    <w:pPr>
      <w:jc w:val="center"/>
      <w:keepNext/>
      <w:outlineLvl w:val="3"/>
    </w:pPr>
    <w:rPr>
      <w:rFonts w:eastAsia="新宋体"/>
      <w:sz w:val="30"/>
      <w:szCs w:val="21"/>
    </w:rPr>
  </w:style>
  <w:style w:type="paragraph" w:styleId="1292" w:customStyle="1">
    <w:name w:val="样式1"/>
    <w:basedOn w:val="912"/>
    <w:uiPriority w:val="0"/>
    <w:qFormat/>
    <w:pPr>
      <w:jc w:val="center"/>
    </w:pPr>
    <w:rPr>
      <w:szCs w:val="21"/>
    </w:rPr>
  </w:style>
  <w:style w:type="paragraph" w:styleId="1293" w:customStyle="1">
    <w:name w:val="正文首行缩进1"/>
    <w:basedOn w:val="995"/>
    <w:uiPriority w:val="0"/>
    <w:qFormat/>
    <w:pPr>
      <w:ind w:firstLine="200"/>
      <w:spacing w:line="360" w:lineRule="auto"/>
    </w:pPr>
    <w:rPr>
      <w:rFonts w:ascii="仿宋_GB2312" w:hAnsi="Times New Roman" w:eastAsia="仿宋_GB2312"/>
      <w:sz w:val="30"/>
      <w:szCs w:val="30"/>
    </w:rPr>
  </w:style>
  <w:style w:type="paragraph" w:styleId="1294" w:customStyle="1">
    <w:name w:val="正文+首行缩进2字符"/>
    <w:basedOn w:val="912"/>
    <w:uiPriority w:val="0"/>
    <w:qFormat/>
    <w:pPr>
      <w:ind w:firstLine="480"/>
    </w:pPr>
  </w:style>
  <w:style w:type="paragraph" w:styleId="1295" w:customStyle="1">
    <w:name w:val="正文文本2"/>
    <w:basedOn w:val="912"/>
    <w:uiPriority w:val="0"/>
    <w:qFormat/>
    <w:pPr>
      <w:spacing w:line="400" w:lineRule="exact"/>
    </w:pPr>
    <w:rPr>
      <w:rFonts w:ascii="楷体_GB2312"/>
      <w:sz w:val="28"/>
    </w:rPr>
  </w:style>
  <w:style w:type="paragraph" w:styleId="1296" w:customStyle="1">
    <w:name w:val="页眉1"/>
    <w:basedOn w:val="912"/>
    <w:uiPriority w:val="0"/>
    <w:qFormat/>
    <w:pPr>
      <w:jc w:val="center"/>
      <w:tabs>
        <w:tab w:val="center" w:pos="4153" w:leader="none"/>
        <w:tab w:val="right" w:pos="8306" w:leader="none"/>
      </w:tabs>
      <w:pBdr>
        <w:bottom w:val="single" w:color="000000" w:sz="6" w:space="1"/>
      </w:pBdr>
    </w:pPr>
    <w:rPr>
      <w:sz w:val="18"/>
      <w:szCs w:val="18"/>
    </w:rPr>
  </w:style>
  <w:style w:type="paragraph" w:styleId="1297" w:customStyle="1">
    <w:name w:val="页脚1"/>
    <w:basedOn w:val="912"/>
    <w:uiPriority w:val="0"/>
    <w:qFormat/>
    <w:pPr>
      <w:jc w:val="left"/>
      <w:tabs>
        <w:tab w:val="center" w:pos="4153" w:leader="none"/>
        <w:tab w:val="right" w:pos="8306" w:leader="none"/>
      </w:tabs>
    </w:pPr>
    <w:rPr>
      <w:sz w:val="18"/>
      <w:szCs w:val="18"/>
    </w:rPr>
  </w:style>
  <w:style w:type="paragraph" w:styleId="1298" w:customStyle="1">
    <w:name w:val="标题二级"/>
    <w:basedOn w:val="912"/>
    <w:uiPriority w:val="0"/>
    <w:qFormat/>
    <w:pPr>
      <w:ind w:firstLine="412"/>
      <w:spacing w:after="160" w:line="259" w:lineRule="auto"/>
    </w:pPr>
    <w:rPr>
      <w:rFonts w:ascii="宋体" w:hAnsi="宋体"/>
      <w:szCs w:val="21"/>
    </w:rPr>
  </w:style>
  <w:style w:type="paragraph" w:styleId="1299" w:customStyle="1">
    <w:name w:val="纯文本1"/>
    <w:basedOn w:val="912"/>
    <w:uiPriority w:val="0"/>
    <w:qFormat/>
    <w:rPr>
      <w:rFonts w:ascii="宋体" w:hAnsi="Courier New"/>
    </w:rPr>
  </w:style>
  <w:style w:type="character" w:styleId="1300" w:customStyle="1">
    <w:name w:val="页眉 字符1"/>
    <w:basedOn w:val="922"/>
    <w:link w:val="939"/>
    <w:uiPriority w:val="0"/>
    <w:qFormat/>
    <w:rPr>
      <w:sz w:val="18"/>
      <w:szCs w:val="18"/>
    </w:rPr>
  </w:style>
  <w:style w:type="character" w:styleId="1301" w:customStyle="1">
    <w:name w:val="页脚 字符1"/>
    <w:basedOn w:val="922"/>
    <w:link w:val="938"/>
    <w:uiPriority w:val="0"/>
    <w:qFormat/>
    <w:rPr>
      <w:sz w:val="18"/>
      <w:szCs w:val="18"/>
    </w:rPr>
  </w:style>
  <w:style w:type="character" w:styleId="1302" w:customStyle="1">
    <w:name w:val="正文文本 字符1"/>
    <w:basedOn w:val="922"/>
    <w:link w:val="929"/>
    <w:uiPriority w:val="99"/>
    <w:qFormat/>
    <w:rPr>
      <w:rFonts w:ascii="仿宋_GB2312" w:eastAsia="仿宋_GB2312"/>
      <w:sz w:val="24"/>
      <w:szCs w:val="24"/>
    </w:rPr>
  </w:style>
  <w:style w:type="character" w:styleId="1303" w:customStyle="1">
    <w:name w:val="批注框文本 字符1"/>
    <w:basedOn w:val="922"/>
    <w:link w:val="937"/>
    <w:uiPriority w:val="99"/>
    <w:semiHidden/>
    <w:qFormat/>
    <w:rPr>
      <w:sz w:val="18"/>
      <w:szCs w:val="18"/>
    </w:rPr>
  </w:style>
  <w:style w:type="paragraph" w:styleId="1304" w:customStyle="1">
    <w:name w:val="普通(网站) Char Char"/>
    <w:basedOn w:val="912"/>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numbering" w:styleId="13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 Id="rId23" Type="http://schemas.openxmlformats.org/officeDocument/2006/relationships/image" Target="media/image1.jpg"/><Relationship Id="rId24" Type="http://schemas.openxmlformats.org/officeDocument/2006/relationships/image" Target="media/image2.jpg"/><Relationship Id="rId2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戳戳</dc:creator>
  <cp:lastModifiedBy>王跃军</cp:lastModifiedBy>
  <cp:revision>7</cp:revision>
  <dcterms:created xsi:type="dcterms:W3CDTF">2025-06-12T07:37:00Z</dcterms:created>
  <dcterms:modified xsi:type="dcterms:W3CDTF">2026-10-22T08:57:33Z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eyJoZGlkIjoiMTg3N2UwNmNjMDJkYTRlMWQ4ZDQ4MDZkYWJkNDA4Y2MiLCJ1c2VySWQiOiIzNTQ2OTAxMzkifQ==</vt:lpwstr>
  </property>
  <property fmtid="{D5CDD505-2E9C-101B-9397-08002B2CF9AE}" pid="3" name="KSOProductBuildVer">
    <vt:lpwstr>2052-12.1.0.25865</vt:lpwstr>
  </property>
  <property fmtid="{D5CDD505-2E9C-101B-9397-08002B2CF9AE}" pid="4" name="ICV">
    <vt:lpwstr>7FFAA9737555485B94B08BAD85E79F63_13</vt:lpwstr>
  </property>
</Properties>
</file>