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3"/>
        <w:spacing w:line="360" w:lineRule="auto"/>
        <w:rPr>
          <w:rFonts w:hAnsi="宋体" w:eastAsia="宋体" w:cs="宋体"/>
          <w:color w:val="auto"/>
          <w:highlight w:val="none"/>
        </w:rPr>
      </w:pPr>
      <w:r>
        <w:rPr>
          <w:rFonts w:hAnsi="宋体" w:eastAsia="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jc w:val="center"/>
        <w:spacing w:line="360" w:lineRule="auto"/>
        <w:rPr>
          <w:rFonts w:ascii="宋体" w:hAnsi="宋体" w:eastAsia="宋体" w:cs="宋体"/>
          <w:color w:val="auto"/>
          <w:sz w:val="84"/>
          <w:szCs w:val="84"/>
          <w:highlight w:val="none"/>
        </w:rPr>
      </w:pPr>
      <w:r>
        <w:rPr>
          <w:rFonts w:hint="eastAsia" w:ascii="宋体" w:hAnsi="宋体" w:eastAsia="宋体" w:cs="宋体"/>
          <w:color w:val="auto"/>
          <w:sz w:val="84"/>
          <w:szCs w:val="84"/>
          <w:highlight w:val="none"/>
        </w:rPr>
        <w:t xml:space="preserve">苏州市政府采购</w:t>
      </w:r>
      <w:r/>
    </w:p>
    <w:p>
      <w:pPr>
        <w:jc w:val="center"/>
        <w:spacing w:line="360" w:lineRule="auto"/>
        <w:rPr>
          <w:rFonts w:ascii="宋体" w:hAnsi="宋体" w:eastAsia="宋体" w:cs="宋体"/>
          <w:color w:val="auto"/>
          <w:highlight w:val="none"/>
        </w:rPr>
      </w:pPr>
      <w:r>
        <w:rPr>
          <w:rFonts w:hint="eastAsia" w:ascii="宋体" w:hAnsi="宋体" w:eastAsia="宋体" w:cs="宋体"/>
          <w:color w:val="auto"/>
          <w:sz w:val="84"/>
          <w:szCs w:val="84"/>
          <w:highlight w:val="none"/>
        </w:rPr>
        <w:t xml:space="preserve">招  标  文  件</w:t>
      </w:r>
      <w:r/>
    </w:p>
    <w:p>
      <w:pPr>
        <w:pStyle w:val="928"/>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28"/>
        <w:spacing w:line="360" w:lineRule="auto"/>
        <w:rPr>
          <w:rFonts w:ascii="宋体" w:hAnsi="宋体" w:eastAsia="宋体" w:cs="宋体"/>
          <w:color w:val="auto"/>
          <w:highlight w:val="none"/>
        </w:rPr>
      </w:pPr>
      <w:r>
        <w:rPr>
          <w:rFonts w:ascii="宋体" w:hAnsi="宋体" w:eastAsia="宋体" w:cs="宋体"/>
          <w:color w:val="auto"/>
          <w:highlight w:val="none"/>
        </w:rPr>
      </w:r>
      <w:r/>
    </w:p>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1438275" cy="1438275"/>
                <wp:effectExtent l="0" t="0" r="9525" b="952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pic:cNvPicPr>
                        <pic:nvPr/>
                      </pic:nvPicPr>
                      <pic:blipFill>
                        <a:blip r:embed="rId17"/>
                        <a:stretch/>
                      </pic:blipFill>
                      <pic:spPr bwMode="auto">
                        <a:xfrm>
                          <a:off x="0" y="0"/>
                          <a:ext cx="1438275" cy="1438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3.2pt;height:113.2pt;mso-wrap-distance-left:0.0pt;mso-wrap-distance-top:0.0pt;mso-wrap-distance-right:0.0pt;mso-wrap-distance-bottom:0.0pt;" stroked="f">
                <v:path textboxrect="0,0,0,0"/>
                <v:imagedata r:id="rId17" o:title=""/>
              </v:shape>
            </w:pict>
          </mc:Fallback>
        </mc:AlternateContent>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28"/>
        <w:spacing w:line="360" w:lineRule="auto"/>
        <w:rPr>
          <w:rFonts w:ascii="宋体" w:hAnsi="宋体" w:eastAsia="宋体" w:cs="宋体"/>
          <w:color w:val="auto"/>
          <w:sz w:val="36"/>
          <w:highlight w:val="none"/>
        </w:rPr>
      </w:pPr>
      <w:r>
        <w:rPr>
          <w:rFonts w:ascii="宋体" w:hAnsi="宋体" w:eastAsia="宋体" w:cs="宋体"/>
          <w:color w:val="auto"/>
          <w:sz w:val="36"/>
          <w:highlight w:val="none"/>
        </w:rPr>
      </w:r>
      <w:r/>
    </w:p>
    <w:p>
      <w:pPr>
        <w:ind w:firstLine="1920"/>
        <w:spacing w:line="360" w:lineRule="auto"/>
        <w:rPr>
          <w:rFonts w:ascii="宋体" w:hAnsi="宋体" w:eastAsia="宋体" w:cs="宋体"/>
          <w:bCs/>
          <w:color w:val="auto"/>
          <w:sz w:val="32"/>
          <w:highlight w:val="none"/>
        </w:rPr>
      </w:pPr>
      <w:r>
        <w:rPr>
          <w:rFonts w:hint="eastAsia" w:ascii="宋体" w:hAnsi="宋体" w:eastAsia="宋体" w:cs="宋体"/>
          <w:bCs/>
          <w:color w:val="auto"/>
          <w:sz w:val="32"/>
          <w:highlight w:val="none"/>
        </w:rPr>
        <w:t xml:space="preserve">项目编号：</w:t>
      </w:r>
      <w:r>
        <w:rPr>
          <w:rFonts w:hint="eastAsia" w:ascii="宋体" w:hAnsi="宋体" w:eastAsia="宋体" w:cs="宋体"/>
          <w:color w:val="auto"/>
          <w:sz w:val="32"/>
          <w:szCs w:val="32"/>
          <w:highlight w:val="none"/>
        </w:rPr>
        <w:t xml:space="preserve">JSZC-320500-SZZJ-G2026-0028</w:t>
      </w:r>
      <w:r/>
    </w:p>
    <w:p>
      <w:pPr>
        <w:ind w:firstLine="1920"/>
        <w:spacing w:line="360" w:lineRule="auto"/>
        <w:tabs>
          <w:tab w:val="left" w:pos="1744" w:leader="none"/>
        </w:tabs>
        <w:rPr>
          <w:rFonts w:ascii="宋体" w:hAnsi="宋体" w:eastAsia="宋体" w:cs="宋体"/>
          <w:bCs/>
          <w:color w:val="auto"/>
          <w:sz w:val="32"/>
          <w:highlight w:val="none"/>
        </w:rPr>
      </w:pPr>
      <w:r>
        <w:rPr>
          <w:rFonts w:hint="eastAsia" w:ascii="宋体" w:hAnsi="宋体" w:eastAsia="宋体" w:cs="宋体"/>
          <w:bCs/>
          <w:color w:val="auto"/>
          <w:sz w:val="32"/>
          <w:highlight w:val="none"/>
        </w:rPr>
        <w:t xml:space="preserve">采 购 人：苏州博物馆</w:t>
      </w:r>
      <w:r/>
    </w:p>
    <w:p>
      <w:pPr>
        <w:ind w:firstLine="1920"/>
        <w:spacing w:line="360" w:lineRule="auto"/>
        <w:rPr>
          <w:rFonts w:ascii="宋体" w:hAnsi="宋体" w:eastAsia="宋体" w:cs="宋体"/>
          <w:bCs/>
          <w:color w:val="auto"/>
          <w:sz w:val="32"/>
          <w:highlight w:val="none"/>
        </w:rPr>
      </w:pPr>
      <w:r>
        <w:rPr>
          <w:rFonts w:hint="eastAsia" w:ascii="宋体" w:hAnsi="宋体" w:eastAsia="宋体" w:cs="宋体"/>
          <w:bCs/>
          <w:color w:val="auto"/>
          <w:sz w:val="32"/>
          <w:highlight w:val="none"/>
        </w:rPr>
        <w:t xml:space="preserve">项目名称：苏州博物馆本馆安防设备改造</w:t>
      </w:r>
      <w:r/>
    </w:p>
    <w:p>
      <w:pPr>
        <w:ind w:firstLine="1920"/>
        <w:jc w:val="left"/>
        <w:spacing w:line="360" w:lineRule="auto"/>
        <w:rPr>
          <w:rFonts w:ascii="宋体" w:hAnsi="宋体" w:eastAsia="宋体" w:cs="宋体"/>
          <w:bCs/>
          <w:color w:val="auto"/>
          <w:sz w:val="32"/>
          <w:highlight w:val="none"/>
        </w:rPr>
      </w:pPr>
      <w:r>
        <w:rPr>
          <w:rFonts w:hint="eastAsia" w:ascii="宋体" w:hAnsi="宋体" w:eastAsia="宋体" w:cs="宋体"/>
          <w:bCs/>
          <w:color w:val="auto"/>
          <w:sz w:val="32"/>
          <w:highlight w:val="none"/>
        </w:rPr>
        <w:t xml:space="preserve">项目类别：货物类</w:t>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28"/>
        <w:spacing w:line="360" w:lineRule="auto"/>
        <w:rPr>
          <w:rFonts w:ascii="宋体" w:hAnsi="宋体" w:eastAsia="宋体" w:cs="宋体"/>
          <w:color w:val="auto"/>
          <w:highlight w:val="none"/>
        </w:rPr>
      </w:pPr>
      <w:r>
        <w:rPr>
          <w:rFonts w:ascii="宋体" w:hAnsi="宋体" w:eastAsia="宋体" w:cs="宋体"/>
          <w:color w:val="auto"/>
          <w:highlight w:val="none"/>
        </w:rPr>
      </w:r>
      <w:r/>
    </w:p>
    <w:p>
      <w:pPr>
        <w:jc w:val="center"/>
        <w:spacing w:line="360" w:lineRule="auto"/>
        <w:rPr>
          <w:rFonts w:ascii="宋体" w:hAnsi="宋体" w:eastAsia="宋体" w:cs="宋体"/>
          <w:color w:val="auto"/>
          <w:sz w:val="32"/>
          <w:highlight w:val="none"/>
        </w:rPr>
      </w:pPr>
      <w:r>
        <w:rPr>
          <w:rFonts w:hint="eastAsia" w:ascii="宋体" w:hAnsi="宋体" w:eastAsia="宋体" w:cs="宋体"/>
          <w:color w:val="auto"/>
          <w:sz w:val="32"/>
          <w:highlight w:val="none"/>
        </w:rPr>
        <w:t xml:space="preserve">苏州正杰招投标咨询服务有限公司</w:t>
      </w:r>
      <w:r/>
    </w:p>
    <w:p>
      <w:pPr>
        <w:jc w:val="center"/>
        <w:spacing w:line="360" w:lineRule="auto"/>
        <w:rPr>
          <w:rFonts w:ascii="宋体" w:hAnsi="宋体" w:eastAsia="宋体" w:cs="宋体"/>
          <w:color w:val="auto"/>
          <w:sz w:val="32"/>
          <w:highlight w:val="none"/>
        </w:rPr>
      </w:pPr>
      <w:r>
        <w:rPr>
          <w:rFonts w:hint="eastAsia" w:ascii="宋体" w:hAnsi="宋体" w:eastAsia="宋体" w:cs="宋体"/>
          <w:color w:val="auto"/>
          <w:sz w:val="32"/>
          <w:highlight w:val="none"/>
        </w:rPr>
        <w:t xml:space="preserve">二○二六年九月</w:t>
      </w:r>
      <w:r/>
    </w:p>
    <w:p>
      <w:pPr>
        <w:pStyle w:val="920"/>
        <w:ind w:firstLine="0"/>
        <w:jc w:val="center"/>
        <w:spacing w:line="360" w:lineRule="auto"/>
        <w:rPr>
          <w:rFonts w:ascii="宋体" w:hAnsi="宋体" w:eastAsia="宋体" w:cs="宋体"/>
          <w:color w:val="auto"/>
          <w:sz w:val="52"/>
          <w:highlight w:val="none"/>
        </w:rPr>
        <w:sectPr>
          <w:headerReference w:type="default" r:id="rId9"/>
          <w:footerReference w:type="default" r:id="rId10"/>
          <w:footerReference w:type="even" r:id="rId11"/>
          <w:footnotePr/>
          <w:endnotePr/>
          <w:type w:val="nextPage"/>
          <w:pgSz w:w="11906" w:h="16838" w:orient="portrait"/>
          <w:pgMar w:top="1134" w:right="1134" w:bottom="1134" w:left="1134" w:header="851" w:footer="992" w:gutter="0"/>
          <w:pgNumType w:start="0"/>
          <w:cols w:num="1" w:sep="0" w:space="720" w:equalWidth="1"/>
          <w:docGrid w:linePitch="360"/>
          <w:titlePg/>
        </w:sectPr>
      </w:pPr>
      <w:r>
        <w:rPr>
          <w:rFonts w:ascii="宋体" w:hAnsi="宋体" w:eastAsia="宋体" w:cs="宋体"/>
          <w:color w:val="auto"/>
          <w:sz w:val="52"/>
          <w:highlight w:val="none"/>
        </w:rPr>
      </w:r>
      <w:r/>
    </w:p>
    <w:p>
      <w:pPr>
        <w:pStyle w:val="920"/>
        <w:ind w:firstLine="0"/>
        <w:jc w:val="center"/>
        <w:spacing w:line="360" w:lineRule="auto"/>
        <w:rPr>
          <w:rFonts w:ascii="宋体" w:hAnsi="宋体" w:eastAsia="宋体" w:cs="宋体"/>
          <w:color w:val="auto"/>
          <w:sz w:val="52"/>
          <w:highlight w:val="none"/>
        </w:rPr>
      </w:pPr>
      <w:r>
        <w:rPr>
          <w:rFonts w:ascii="宋体" w:hAnsi="宋体" w:eastAsia="宋体" w:cs="宋体"/>
          <w:color w:val="auto"/>
          <w:sz w:val="52"/>
          <w:highlight w:val="none"/>
        </w:rPr>
      </w:r>
      <w:r/>
    </w:p>
    <w:p>
      <w:pPr>
        <w:pStyle w:val="920"/>
        <w:ind w:firstLine="0"/>
        <w:jc w:val="center"/>
        <w:spacing w:line="360" w:lineRule="auto"/>
        <w:rPr>
          <w:rFonts w:ascii="宋体" w:hAnsi="宋体" w:eastAsia="宋体" w:cs="宋体"/>
          <w:color w:val="auto"/>
          <w:sz w:val="52"/>
          <w:highlight w:val="none"/>
        </w:rPr>
      </w:pPr>
      <w:r>
        <w:rPr>
          <w:rFonts w:hint="eastAsia" w:ascii="宋体" w:hAnsi="宋体" w:eastAsia="宋体" w:cs="宋体"/>
          <w:color w:val="auto"/>
          <w:sz w:val="52"/>
          <w:highlight w:val="none"/>
        </w:rPr>
        <w:t xml:space="preserve">目录</w:t>
      </w:r>
      <w:r/>
    </w:p>
    <w:p>
      <w:pPr>
        <w:pStyle w:val="920"/>
        <w:ind w:firstLine="0"/>
        <w:jc w:val="center"/>
        <w:spacing w:line="360" w:lineRule="auto"/>
        <w:rPr>
          <w:rFonts w:ascii="宋体" w:hAnsi="宋体" w:eastAsia="宋体" w:cs="宋体"/>
          <w:color w:val="auto"/>
          <w:sz w:val="30"/>
          <w:highlight w:val="none"/>
        </w:rPr>
      </w:pPr>
      <w:r>
        <w:rPr>
          <w:rFonts w:ascii="宋体" w:hAnsi="宋体" w:eastAsia="宋体" w:cs="宋体"/>
          <w:color w:val="auto"/>
          <w:sz w:val="30"/>
          <w:highlight w:val="none"/>
        </w:rPr>
      </w:r>
      <w:r/>
    </w:p>
    <w:p>
      <w:pPr>
        <w:pStyle w:val="920"/>
        <w:ind w:firstLine="0"/>
        <w:jc w:val="center"/>
        <w:spacing w:line="360" w:lineRule="auto"/>
        <w:rPr>
          <w:rFonts w:ascii="宋体" w:hAnsi="宋体" w:eastAsia="宋体" w:cs="宋体"/>
          <w:color w:val="auto"/>
          <w:sz w:val="30"/>
          <w:szCs w:val="30"/>
          <w:highlight w:val="none"/>
        </w:rPr>
      </w:pPr>
      <w:r>
        <w:rPr>
          <w:rFonts w:ascii="宋体" w:hAnsi="宋体" w:eastAsia="宋体" w:cs="宋体"/>
          <w:color w:val="auto"/>
          <w:sz w:val="30"/>
          <w:szCs w:val="30"/>
          <w:highlight w:val="none"/>
        </w:rPr>
      </w:r>
      <w:r/>
    </w:p>
    <w:p>
      <w:pPr>
        <w:spacing w:line="360" w:lineRule="auto"/>
        <w:widowControl/>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第一章 投标邀请函........................................</w:t>
      </w:r>
      <w:r/>
    </w:p>
    <w:p>
      <w:pPr>
        <w:spacing w:line="360" w:lineRule="auto"/>
        <w:widowControl/>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第二章 投标人须知........................................</w:t>
      </w:r>
      <w:r/>
    </w:p>
    <w:p>
      <w:pPr>
        <w:spacing w:line="360" w:lineRule="auto"/>
        <w:widowControl/>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第三章 投标文件格式......................................</w:t>
      </w:r>
      <w:r/>
    </w:p>
    <w:p>
      <w:pPr>
        <w:spacing w:line="360" w:lineRule="auto"/>
        <w:widowControl/>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第四章 采购需求..........................................</w:t>
      </w:r>
      <w:r/>
    </w:p>
    <w:p>
      <w:pPr>
        <w:spacing w:line="360" w:lineRule="auto"/>
        <w:widowControl/>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第五章 合同主要条款......................................</w:t>
      </w:r>
      <w:r/>
    </w:p>
    <w:p>
      <w:pPr>
        <w:spacing w:line="360" w:lineRule="auto"/>
        <w:widowControl/>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第六章 评分方法和评分标准................................</w:t>
      </w:r>
      <w:r/>
    </w:p>
    <w:p>
      <w:pPr>
        <w:pStyle w:val="920"/>
        <w:ind w:firstLine="0"/>
        <w:jc w:val="center"/>
        <w:spacing w:line="360" w:lineRule="auto"/>
        <w:rPr>
          <w:rFonts w:ascii="宋体" w:hAnsi="宋体" w:eastAsia="宋体" w:cs="宋体"/>
          <w:color w:val="auto"/>
          <w:sz w:val="30"/>
          <w:szCs w:val="30"/>
          <w:highlight w:val="none"/>
        </w:rPr>
      </w:pPr>
      <w:r>
        <w:rPr>
          <w:rFonts w:ascii="宋体" w:hAnsi="宋体" w:eastAsia="宋体" w:cs="宋体"/>
          <w:color w:val="auto"/>
          <w:sz w:val="30"/>
          <w:szCs w:val="30"/>
          <w:highlight w:val="none"/>
        </w:rPr>
      </w:r>
      <w:r/>
    </w:p>
    <w:p>
      <w:pPr>
        <w:jc w:val="center"/>
        <w:spacing w:line="360" w:lineRule="auto"/>
        <w:widowControl/>
        <w:rPr>
          <w:rFonts w:ascii="宋体" w:hAnsi="宋体" w:eastAsia="宋体" w:cs="宋体"/>
          <w:color w:val="auto"/>
          <w:sz w:val="30"/>
          <w:szCs w:val="30"/>
          <w:highlight w:val="none"/>
        </w:rPr>
        <w:sectPr>
          <w:footerReference w:type="default" r:id="rId12"/>
          <w:footerReference w:type="first" r:id="rId13"/>
          <w:footnotePr/>
          <w:endnotePr/>
          <w:type w:val="nextPage"/>
          <w:pgSz w:w="11906" w:h="16838" w:orient="portrait"/>
          <w:pgMar w:top="1134" w:right="1134" w:bottom="1134" w:left="1134" w:header="851" w:footer="992" w:gutter="0"/>
          <w:pgNumType w:start="1"/>
          <w:cols w:num="1" w:sep="0" w:space="720" w:equalWidth="1"/>
          <w:docGrid w:linePitch="360"/>
        </w:sectPr>
      </w:pPr>
      <w:r>
        <w:rPr>
          <w:rFonts w:ascii="宋体" w:hAnsi="宋体" w:eastAsia="宋体" w:cs="宋体"/>
          <w:color w:val="auto"/>
          <w:sz w:val="30"/>
          <w:szCs w:val="30"/>
          <w:highlight w:val="none"/>
        </w:rPr>
      </w:r>
      <w:r/>
    </w:p>
    <w:p>
      <w:pPr>
        <w:jc w:val="center"/>
        <w:spacing w:line="360" w:lineRule="auto"/>
        <w:widowControl/>
        <w:rPr>
          <w:rFonts w:ascii="宋体" w:hAnsi="宋体" w:eastAsia="宋体" w:cs="宋体"/>
          <w:color w:val="auto"/>
          <w:sz w:val="32"/>
          <w:highlight w:val="none"/>
        </w:rPr>
      </w:pPr>
      <w:r>
        <w:rPr>
          <w:rFonts w:hint="eastAsia" w:ascii="宋体" w:hAnsi="宋体" w:eastAsia="宋体" w:cs="宋体"/>
          <w:color w:val="auto"/>
          <w:sz w:val="24"/>
          <w:szCs w:val="24"/>
          <w:highlight w:val="none"/>
        </w:rPr>
        <w:t xml:space="preserve">第一章 投标邀请函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苏州正杰招投标咨询服务有限公司受苏州博物馆的委托，就其所需的</w:t>
      </w:r>
      <w:r>
        <w:rPr>
          <w:rFonts w:hint="eastAsia" w:ascii="宋体" w:hAnsi="宋体" w:eastAsia="宋体" w:cs="宋体"/>
          <w:color w:val="auto"/>
          <w:sz w:val="24"/>
          <w:szCs w:val="24"/>
          <w:highlight w:val="none"/>
        </w:rPr>
        <w:t xml:space="preserve">苏州博物馆本馆安防设备改造项目</w:t>
      </w:r>
      <w:r>
        <w:rPr>
          <w:rFonts w:hint="eastAsia" w:ascii="宋体" w:hAnsi="宋体" w:eastAsia="宋体" w:cs="宋体"/>
          <w:color w:val="auto"/>
          <w:sz w:val="24"/>
          <w:szCs w:val="24"/>
          <w:highlight w:val="none"/>
        </w:rPr>
        <w:t xml:space="preserve">进行公开招标，欢迎符合资格条件和具备履约能力的供应商单位前来参与。</w:t>
      </w:r>
      <w:r/>
    </w:p>
    <w:p>
      <w:pPr>
        <w:ind w:firstLine="482"/>
        <w:spacing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一、项目基本情况：</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项目编号：JSZC-320500-SZZJ-G2026-0028。</w:t>
      </w:r>
      <w:r/>
    </w:p>
    <w:p>
      <w:pPr>
        <w:ind w:firstLine="480"/>
        <w:spacing w:line="360" w:lineRule="auto"/>
        <w:rPr>
          <w:rFonts w:ascii="宋体" w:hAnsi="宋体" w:eastAsia="宋体" w:cs="宋体"/>
          <w:color w:val="auto"/>
          <w:sz w:val="21"/>
          <w:szCs w:val="21"/>
          <w:highlight w:val="none"/>
        </w:rPr>
      </w:pPr>
      <w:r>
        <w:rPr>
          <w:rFonts w:hint="eastAsia" w:ascii="宋体" w:hAnsi="宋体" w:eastAsia="宋体" w:cs="宋体"/>
          <w:color w:val="auto"/>
          <w:sz w:val="24"/>
          <w:szCs w:val="24"/>
          <w:highlight w:val="none"/>
        </w:rPr>
        <w:t xml:space="preserve">项目名称：苏州博物馆本馆安防设备改造。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预算金额：人民币3323400.00元。</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最高限价：人民币3323400.00元。</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1、标的的名称：苏州博物馆本馆安防设备改造。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2、数量：1项。</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3、简要技术需求或服务要求等：苏州博物馆本馆安防设备改造。</w:t>
      </w:r>
      <w:r>
        <w:rPr>
          <w:rFonts w:hint="eastAsia" w:ascii="宋体" w:hAnsi="宋体" w:eastAsia="宋体" w:cs="宋体"/>
          <w:bCs/>
          <w:color w:val="auto"/>
          <w:sz w:val="24"/>
          <w:szCs w:val="24"/>
          <w:highlight w:val="none"/>
        </w:rPr>
        <w:t xml:space="preserve">具体详见招标文件采购需求。</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4、合同履行期限：合同生效后45天内完成全部采购内容并交付正常使用。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本项不接受联合体投标、不接受进口产品、不允许转包。</w:t>
      </w:r>
      <w:r/>
    </w:p>
    <w:p>
      <w:pPr>
        <w:ind w:firstLine="482"/>
        <w:spacing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二、申请人的资格要求：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1、合格供应商的一般条件：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1.1具有独立承担民事责任的能力。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1.2具有良好的商业信誉和健全的财务会计制度。</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1.3具有履行合同所必需的设备和专业技术能力。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1.4有依法缴纳税收和社会保障资金的良好记录。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1.5参加政府采购活动前三年内，在经营活动中没有重大违法记录。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1.6法律、行政法规规定的其他条件。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3、本项目的特定资格要求：无。</w:t>
      </w:r>
      <w:r/>
    </w:p>
    <w:p>
      <w:pPr>
        <w:ind w:firstLine="482"/>
        <w:spacing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三、获取招标文件：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时间：自招标文件公告发布之日起5个工作日。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地点：“苏采云”系统自行下载招标文件。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方式（网上报名）：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（1）CA证书办理：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（2）参与采购活动：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20"/>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（3）电子投标准备：</w:t>
      </w:r>
      <w:r/>
    </w:p>
    <w:p>
      <w:pPr>
        <w:pStyle w:val="920"/>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920"/>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在系统操作过程中如有疑问，请按以下方式联系：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注册咨询：13914088964；</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CA技术咨询服务电话：400-608-6099；</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电子签章技术咨询服务电话025-83633811、025-83633812、15380932027、15371015030；</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苏州市及区县“苏采云”系统使用指导与咨询：联系电话：13914088964、0512-69820854；智能客服：登录苏采云系统后，联系系统右下方智能客服图标进行咨询。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售价：本项目免费下载电子采购文件。</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四、提交投标文件截止时间、开标时间和地点：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1、时间：2026年</w:t>
      </w:r>
      <w:r>
        <w:rPr>
          <w:rFonts w:hint="eastAsia" w:ascii="宋体" w:hAnsi="宋体" w:eastAsia="宋体" w:cs="宋体"/>
          <w:color w:val="auto"/>
          <w:sz w:val="24"/>
          <w:szCs w:val="24"/>
          <w:highlight w:val="none"/>
        </w:rPr>
        <w:t xml:space="preserve">10月9</w:t>
      </w:r>
      <w:r>
        <w:rPr>
          <w:rFonts w:hint="eastAsia" w:ascii="宋体" w:hAnsi="宋体" w:eastAsia="宋体" w:cs="宋体"/>
          <w:color w:val="auto"/>
          <w:sz w:val="24"/>
          <w:szCs w:val="24"/>
          <w:highlight w:val="none"/>
        </w:rPr>
        <w:t xml:space="preserve">日13点30分（北京时间）。</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970"/>
          <w:rFonts w:hint="eastAsia" w:ascii="宋体" w:hAnsi="宋体" w:eastAsia="宋体" w:cs="宋体"/>
          <w:color w:val="auto"/>
          <w:sz w:val="24"/>
          <w:szCs w:val="24"/>
          <w:highlight w:val="none"/>
        </w:rPr>
        <w:t xml:space="preserve">http：//jszfcg.jsczt.cn/）。</w:t>
      </w:r>
      <w:r>
        <w:rPr>
          <w:rStyle w:val="970"/>
          <w:rFonts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3、方式：投标文件网上递交</w:t>
      </w:r>
      <w:bookmarkStart w:id="0" w:name="_Hlk90650305"/>
      <w:r/>
      <w:bookmarkEnd w:id="0"/>
      <w:r/>
      <w:bookmarkStart w:id="1" w:name="_Hlk90650417"/>
      <w:r>
        <w:rPr>
          <w:rFonts w:hint="eastAsia" w:ascii="宋体" w:hAnsi="宋体" w:eastAsia="宋体" w:cs="宋体"/>
          <w:color w:val="auto"/>
          <w:sz w:val="24"/>
          <w:szCs w:val="24"/>
          <w:highlight w:val="none"/>
        </w:rPr>
        <w:t xml:space="preserve"> ，不需要现场参加采购活动。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线上参加开标（开启）会方式：供应商登录“苏采云”系统，点击“开标大厅”，选择对应项目，点击进入不见面开标系统。 </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本项目为不见面开标（开启）项目，</w:t>
      </w:r>
      <w:r>
        <w:rPr>
          <w:rFonts w:hint="eastAsia" w:ascii="宋体" w:hAnsi="宋体" w:eastAsia="宋体" w:cs="宋体"/>
          <w:b/>
          <w:bCs/>
          <w:color w:val="auto"/>
          <w:sz w:val="24"/>
          <w:szCs w:val="24"/>
          <w:highlight w:val="none"/>
        </w:rPr>
        <w:t xml:space="preserve">开启阶段供应商在【解密环节】必须使用 CA证书解密电子投标（响应）文件，如在“苏采云”系统规定的时间内未能成功解密的视为放弃参与本项目，投标无效。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请供应商确保电脑、系统及其他设备（视频输入输出设备等）无误，且开启直至项目结束始终保持系统在线状态。 </w:t>
      </w:r>
      <w:bookmarkEnd w:id="1"/>
      <w:r/>
      <w:r/>
    </w:p>
    <w:p>
      <w:pPr>
        <w:ind w:firstLine="482"/>
        <w:spacing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五、公告期限：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ind w:firstLine="482"/>
        <w:spacing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六、其他补充事宜：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1、采购项目需要落实的政府采购政策：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促进中小企业发展管理办法》（财库〔2020〕46号）、《关于做好政府采购支持企业发展有关事项的通知》（苏财购〔2020〕52号）及《关于印发＜苏州市政府采购促进中小企业发展实施意见&gt;的通知》（苏财购〔2022〕16号）的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《关于政府采购支持监狱企业发展有关问题的通知》（财库〔2014〕68号）。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《关于促进残疾人就业政府采购政策的通知》（财库〔2017〕141号）。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评标过程中如有问题采购代理机构工作人员会及时通过报名时在投标确认函模块留存的手机号与供应商联系。此号码在开标截止之前可修改，以投标文件中投标函保存的最新号码为准，请供应商确保该手机号开评标当日通讯畅通，否则导致的对供应商不利的后果由供应商自行承担。</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3、如不同供应商使用同一台电脑制作的电子响应文件的，双方“文件制作机器码”一致的，则其投标文件将被认定为无效响应。</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5、政府采购监督电话：0512-68616651。</w:t>
      </w:r>
      <w:r/>
    </w:p>
    <w:p>
      <w:pPr>
        <w:ind w:firstLine="482"/>
        <w:spacing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七、对本次招标提出询问，请按以下方式联系：</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1、采购人信息：</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名称：苏州博物馆。</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地址：</w:t>
      </w:r>
      <w:r>
        <w:rPr>
          <w:rFonts w:hint="eastAsia" w:ascii="宋体" w:hAnsi="宋体" w:eastAsia="宋体" w:cs="宋体"/>
          <w:bCs/>
          <w:color w:val="auto"/>
          <w:sz w:val="24"/>
          <w:szCs w:val="24"/>
          <w:highlight w:val="none"/>
        </w:rPr>
        <w:t xml:space="preserve">苏州市东北街204号</w:t>
      </w:r>
      <w:r>
        <w:rPr>
          <w:rFonts w:hint="eastAsia" w:ascii="宋体" w:hAnsi="宋体" w:eastAsia="宋体"/>
          <w:color w:val="auto"/>
          <w:sz w:val="24"/>
          <w:szCs w:val="24"/>
          <w:highlight w:val="none"/>
        </w:rPr>
        <w:t xml:space="preserve">。</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联系方式：电话0512-67576020。</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2、采购代理机构信息：</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名称：苏州正杰招投标咨询服务有限公司。</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地址：苏州市平泷路251号苏州城市生活广场B座1557室。</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联系方式：电话0512-62826523。</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3、项目联系方式：</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（1）采购人：</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项目联系人：</w:t>
      </w:r>
      <w:r>
        <w:rPr>
          <w:rFonts w:hint="eastAsia" w:ascii="宋体" w:hAnsi="宋体" w:eastAsia="宋体" w:cs="宋体"/>
          <w:color w:val="auto"/>
          <w:sz w:val="24"/>
          <w:szCs w:val="24"/>
          <w:highlight w:val="none"/>
        </w:rPr>
        <w:t xml:space="preserve">吴嘉星</w:t>
      </w:r>
      <w:r>
        <w:rPr>
          <w:rFonts w:hint="eastAsia" w:ascii="宋体" w:hAnsi="宋体" w:eastAsia="宋体"/>
          <w:color w:val="auto"/>
          <w:sz w:val="24"/>
          <w:szCs w:val="24"/>
          <w:highlight w:val="none"/>
        </w:rPr>
        <w:t xml:space="preserve">、金霭冉。</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电话：0512-67576020。</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（2）采购代理机构：</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项目联系人：</w:t>
      </w:r>
      <w:r>
        <w:rPr>
          <w:rFonts w:hint="eastAsia" w:ascii="宋体" w:hAnsi="宋体" w:eastAsia="宋体" w:cs="宋体"/>
          <w:color w:val="auto"/>
          <w:sz w:val="24"/>
          <w:szCs w:val="24"/>
          <w:highlight w:val="none"/>
        </w:rPr>
        <w:t xml:space="preserve">沈鹰、徐杰、陈晓梦、刘木兰</w:t>
      </w:r>
      <w:r>
        <w:rPr>
          <w:rFonts w:hint="eastAsia" w:ascii="宋体" w:hAnsi="宋体" w:eastAsia="宋体"/>
          <w:color w:val="auto"/>
          <w:sz w:val="24"/>
          <w:szCs w:val="24"/>
          <w:highlight w:val="none"/>
        </w:rPr>
        <w:t xml:space="preserve">。</w:t>
      </w:r>
      <w:r/>
    </w:p>
    <w:p>
      <w:pPr>
        <w:pStyle w:val="927"/>
        <w:ind w:firstLine="480"/>
        <w:spacing w:line="360" w:lineRule="auto"/>
        <w:rPr>
          <w:rFonts w:ascii="宋体" w:hAnsi="宋体" w:eastAsia="宋体" w:cs="宋体"/>
          <w:b/>
          <w:bCs/>
          <w:color w:val="auto"/>
          <w:sz w:val="24"/>
          <w:szCs w:val="24"/>
          <w:highlight w:val="none"/>
        </w:rPr>
      </w:pPr>
      <w:r>
        <w:rPr>
          <w:rFonts w:hint="eastAsia" w:ascii="宋体" w:hAnsi="宋体" w:eastAsia="宋体"/>
          <w:color w:val="auto"/>
          <w:sz w:val="24"/>
          <w:szCs w:val="24"/>
          <w:highlight w:val="none"/>
        </w:rPr>
        <w:t xml:space="preserve">电话：0512-62826523。</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highlight w:val="none"/>
        </w:rPr>
        <w:br w:type="page" w:clear="all"/>
      </w:r>
      <w:r/>
    </w:p>
    <w:p>
      <w:pPr>
        <w:jc w:val="center"/>
        <w:spacing w:line="36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第二章 投标人须知</w:t>
      </w:r>
      <w:r/>
    </w:p>
    <w:p>
      <w:pPr>
        <w:ind w:firstLine="426"/>
        <w:spacing w:line="360" w:lineRule="auto"/>
        <w:tabs>
          <w:tab w:val="left" w:pos="540" w:leader="none"/>
          <w:tab w:val="left" w:pos="60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1、总则</w:t>
      </w:r>
      <w:r/>
    </w:p>
    <w:p>
      <w:pPr>
        <w:ind w:firstLine="426"/>
        <w:spacing w:line="360" w:lineRule="auto"/>
        <w:tabs>
          <w:tab w:val="left" w:pos="540" w:leader="none"/>
          <w:tab w:val="left" w:pos="60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1.1投标人资格要求</w:t>
      </w:r>
      <w:r/>
    </w:p>
    <w:p>
      <w:pPr>
        <w:ind w:firstLine="426"/>
        <w:spacing w:line="360" w:lineRule="auto"/>
        <w:tabs>
          <w:tab w:val="left" w:pos="540"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1.1.1详见第一章投标邀请函中“二、申请人的资格要求”。</w:t>
      </w:r>
      <w:r/>
    </w:p>
    <w:p>
      <w:pPr>
        <w:ind w:firstLine="426"/>
        <w:spacing w:line="360" w:lineRule="auto"/>
        <w:tabs>
          <w:tab w:val="left" w:pos="540"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1.1.2投标人不得存在下列情形之一：</w:t>
      </w:r>
      <w:r/>
    </w:p>
    <w:p>
      <w:pPr>
        <w:ind w:firstLine="426"/>
        <w:spacing w:line="360" w:lineRule="auto"/>
        <w:tabs>
          <w:tab w:val="left" w:pos="540"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（1）苏州市财政局《关于印发苏州市市级政府采购信用记录查询和使用工作试行办法的通知》（苏财购（2017）11号）文件规定应拒绝的失信信息。</w:t>
      </w:r>
      <w:r/>
    </w:p>
    <w:p>
      <w:pPr>
        <w:ind w:firstLine="426"/>
        <w:spacing w:line="360" w:lineRule="auto"/>
        <w:tabs>
          <w:tab w:val="left" w:pos="540"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（2）为采购项目提供整体设计、规范编制或者项目管理、监理、监测等服务的供应商，不得再参加该采购项目的其他采购活动；本项目的此类供应商是：无。</w:t>
      </w:r>
      <w:r/>
    </w:p>
    <w:p>
      <w:pPr>
        <w:ind w:firstLine="426"/>
        <w:spacing w:line="360" w:lineRule="auto"/>
        <w:tabs>
          <w:tab w:val="left" w:pos="540"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（3）单位负责人为同一人或者存在直接控股、管理关系的不同供应商，不得参加同一合同项下的政府采购活动。</w:t>
      </w:r>
      <w:r/>
    </w:p>
    <w:p>
      <w:pPr>
        <w:numPr>
          <w:ilvl w:val="2"/>
          <w:numId w:val="0"/>
        </w:numPr>
        <w:ind w:firstLine="484"/>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1.1.3联合体投标：</w:t>
      </w:r>
      <w:r>
        <w:rPr>
          <w:rFonts w:hint="eastAsia" w:ascii="宋体" w:hAnsi="宋体" w:eastAsia="宋体" w:cs="宋体"/>
          <w:bCs/>
          <w:color w:val="auto"/>
          <w:sz w:val="24"/>
          <w:szCs w:val="24"/>
          <w:highlight w:val="none"/>
        </w:rPr>
        <w:t xml:space="preserve">第一章投标邀请函规定接受联合体投标的，联合体除应符合上述资格要求外，还应遵守以下规定：</w:t>
      </w:r>
      <w:r/>
    </w:p>
    <w:p>
      <w:pPr>
        <w:ind w:firstLine="484"/>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（1）联合体各方应当向采购人提交联合体协议书，载明联合体各方承担的工作和义务，否则投标无效。</w:t>
      </w:r>
      <w:r/>
    </w:p>
    <w:p>
      <w:pPr>
        <w:ind w:firstLine="484"/>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（2）本项目接受联合体投标，但一个联合体最多接受两个单位进行联合投标。</w:t>
      </w:r>
      <w:r/>
    </w:p>
    <w:p>
      <w:pPr>
        <w:ind w:firstLine="484"/>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（3）联合体中有同类资质的供应商按照联合体分工承担相同工作的，应当按照资质等级较低的供应商确定资质等级。</w:t>
      </w:r>
      <w:r/>
    </w:p>
    <w:p>
      <w:pPr>
        <w:ind w:firstLine="484"/>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（4）联合体各方不得再单独参加或者与其他供应商另外组成联合体参加同一合同项下的政府采购活动，否则各相关投标均无效。</w:t>
      </w:r>
      <w:r/>
    </w:p>
    <w:p>
      <w:pPr>
        <w:ind w:firstLine="484"/>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（5）联合体各方应当共同与采购人签订采购合同，就采购合同约定的事项对采购人承担连带责任。</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 分包、转包</w:t>
      </w:r>
      <w:r/>
    </w:p>
    <w:p>
      <w:pPr>
        <w:ind w:left="525"/>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本项目不允许分包或转包。</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1.3投标费用</w:t>
      </w:r>
      <w:r/>
    </w:p>
    <w:p>
      <w:pPr>
        <w:ind w:left="525"/>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（1）投标人应自行承担所有准备及参加投标的相关费用。</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1.4保密</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参与采购活动的各方应对招标文件和投标文件中的商业和技术等秘密保密，否则应承担相应的法律责任。</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1.5语言文字</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投标文件使用的语言文字为中文。使用外文的，应附有中文注释或译本，对不同文本投标文件的解释发生异议的，以中文文本为准。因未附注释或译本引起的对投标人不利的后果由投标人自行承担。</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1.6计量单位</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除招标文件有特殊要求外，所有计量均采用中华人民共和国法定计量单位。</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1.7知识产权</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2、招标文件的说明</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2.1招标文件的获取见第一章投标邀请函。</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2.2招标文件的询问</w:t>
      </w:r>
      <w:r/>
    </w:p>
    <w:p>
      <w:pPr>
        <w:ind w:firstLine="420"/>
        <w:spacing w:line="360" w:lineRule="auto"/>
        <w:tabs>
          <w:tab w:val="left" w:pos="540" w:leader="none"/>
          <w:tab w:val="left" w:pos="851"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供应商在收到</w:t>
      </w:r>
      <w:r>
        <w:rPr>
          <w:rFonts w:hint="eastAsia" w:ascii="宋体" w:hAnsi="宋体" w:eastAsia="宋体" w:cs="宋体"/>
          <w:color w:val="auto"/>
          <w:sz w:val="24"/>
          <w:szCs w:val="24"/>
          <w:highlight w:val="none"/>
        </w:rPr>
        <w:t xml:space="preserve">招标</w:t>
      </w:r>
      <w:r>
        <w:rPr>
          <w:rFonts w:ascii="宋体" w:hAnsi="宋体" w:eastAsia="宋体" w:cs="宋体"/>
          <w:color w:val="auto"/>
          <w:sz w:val="24"/>
          <w:szCs w:val="24"/>
          <w:highlight w:val="none"/>
        </w:rPr>
        <w:t xml:space="preserve">文件后，若有问题需要询问，应于下载</w:t>
      </w:r>
      <w:r>
        <w:rPr>
          <w:rFonts w:hint="eastAsia" w:ascii="宋体" w:hAnsi="宋体" w:eastAsia="宋体" w:cs="宋体"/>
          <w:color w:val="auto"/>
          <w:sz w:val="24"/>
          <w:szCs w:val="24"/>
          <w:highlight w:val="none"/>
        </w:rPr>
        <w:t xml:space="preserve">招标</w:t>
      </w:r>
      <w:r>
        <w:rPr>
          <w:rFonts w:ascii="宋体" w:hAnsi="宋体" w:eastAsia="宋体" w:cs="宋体"/>
          <w:color w:val="auto"/>
          <w:sz w:val="24"/>
          <w:szCs w:val="24"/>
          <w:highlight w:val="none"/>
        </w:rPr>
        <w:t xml:space="preserve">文件后</w:t>
      </w:r>
      <w:r>
        <w:rPr>
          <w:rFonts w:hint="eastAsia" w:ascii="宋体" w:hAnsi="宋体" w:eastAsia="宋体" w:cs="宋体"/>
          <w:color w:val="auto"/>
          <w:sz w:val="24"/>
          <w:szCs w:val="24"/>
          <w:highlight w:val="none"/>
        </w:rPr>
        <w:t xml:space="preserve">，可通过投标邀请函中的联系方式</w:t>
      </w:r>
      <w:r>
        <w:rPr>
          <w:rFonts w:ascii="宋体" w:hAnsi="宋体" w:eastAsia="宋体" w:cs="宋体"/>
          <w:color w:val="auto"/>
          <w:sz w:val="24"/>
          <w:szCs w:val="24"/>
          <w:highlight w:val="none"/>
        </w:rPr>
        <w:t xml:space="preserve">及时提出，</w:t>
      </w:r>
      <w:r>
        <w:rPr>
          <w:rFonts w:hint="eastAsia" w:ascii="宋体" w:hAnsi="宋体" w:eastAsia="宋体" w:cs="宋体"/>
          <w:color w:val="auto"/>
          <w:sz w:val="24"/>
          <w:szCs w:val="24"/>
          <w:highlight w:val="none"/>
        </w:rPr>
        <w:t xml:space="preserve">采购人或</w:t>
      </w:r>
      <w:r>
        <w:rPr>
          <w:rFonts w:ascii="宋体" w:hAnsi="宋体" w:eastAsia="宋体" w:cs="宋体"/>
          <w:color w:val="auto"/>
          <w:sz w:val="24"/>
          <w:szCs w:val="24"/>
          <w:highlight w:val="none"/>
        </w:rPr>
        <w:t xml:space="preserve">采购代理机构将予以解答。</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2.3招标文件的澄清或修改</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采购人或采购代理机构无论出于自己的考虑，还是出于对投标人提问的澄清，均可对已发出的招标文件用补充通知（包括更正公告）的方式进行澄清或者修改，并通过苏州市政府采购网对外进行发布，但不得改变采购标的和资格条件。澄清或者修改的内容作为招标文件的组成部分，对所有投标人具有约束力。</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2.3.2为保证投标人有足够时间修正投标文件，或出于其他合理原因，采购人或采购代理机构可依法顺延投标截止时间和开标时间。</w:t>
      </w:r>
      <w:r/>
    </w:p>
    <w:p>
      <w:pPr>
        <w:ind w:firstLine="484"/>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供应商应及时关注“苏州市政府采购网”发布的补充通知（包括更正公告），同时可以在“苏采云”系统中下载更正（补充）资料，如有遗漏（包括但不限于文件未下载或下载不完整），可能无法解密投标（响应）文件，由此所造成的投标失败或损失由供应商自行负责。</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2.3.4招标文件的澄清、修改、补充等内容均以苏州市政府采购网上发布的内容为准。</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3、投标文件的说明</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投标人应详细阅读招标文件的全部内容，不按招标文件的要求提供的投标文件和资料，其风险由投标人自行承担，并根据有关条款规定，可能导致投标无效。</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3.1投标保证金：无。</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3.2投标文件的组成</w:t>
      </w:r>
      <w:r/>
    </w:p>
    <w:p>
      <w:pPr>
        <w:ind w:left="525"/>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3.2.1封面；</w:t>
      </w:r>
      <w:r/>
    </w:p>
    <w:p>
      <w:pPr>
        <w:ind w:left="525"/>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3.2.2开标一览表（格式见第三章）；</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3.2.3公开分项报价表（如有，格式见第三章）；</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3.2.4资格审查投标文件：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3.2.4.1供应商的资格要求：</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（1）具有独立承担民事责任的能力的材料复印件：包括法人或者其他组织的营业执照等证明文件，自然人的身份证明；</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（2）具有良好的商业信誉和健全的财务会计制度的材料：包括但不限于法人提供2025年度经审计的财务报告或基本开户银行在本年度内出具的资信证明复印件；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（3）具有履行合同所必需的设备和专业技术能力的证明材料复印件或承诺；</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有依法缴纳税收和社会保障资金的良好记录的材料：供应商上一税收申报日缴纳增值税或企业所得税的凭据及上一社保申报日缴纳的社会保险的凭据（专用收据或社会保险缴纳清单），依法免税或不需要缴纳的供应商，应提供对应证明文件复印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（5）参加政府采购活动前三年内，在经营活动中没有出现重大违法记录的书面声明函；</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（6）按照相关法律法规参与本项目所必须取得国家有关主管部门的行政许可证明资料复印件（如有须提供）。</w:t>
      </w:r>
      <w:r/>
    </w:p>
    <w:p>
      <w:pPr>
        <w:ind w:left="5" w:firstLine="518"/>
        <w:spacing w:line="360" w:lineRule="auto"/>
        <w:tabs>
          <w:tab w:val="left" w:pos="851" w:leader="none"/>
        </w:tabs>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3.2.4.2</w:t>
      </w:r>
      <w:r>
        <w:rPr>
          <w:rFonts w:hint="eastAsia" w:ascii="宋体" w:hAnsi="宋体" w:eastAsia="宋体"/>
          <w:color w:val="auto"/>
          <w:sz w:val="24"/>
          <w:szCs w:val="24"/>
          <w:highlight w:val="none"/>
        </w:rPr>
        <w:t xml:space="preserve">其他有关资格证明的文件（若有）。</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3.2.5符合性审查投标文件：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3.2.5.1投标函（格式见第三章）；</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3.2.5.2关于资格文件的声明函（格式见第三章）；</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3.2.5.3法定代表人身份证复印件；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3.2.5.4法定代表人授权委托书及授权委托人身份证复印件（如有授权，格式见第三章）；</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3.2.5.5未被“信用中国”及“中国政府采购网”列入失信被执行人、重大税收违法案件当事人名单、政府采购严重失信行为记录名单的查询记录页面截图；</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3.2.5.6对属于《节能产品政府采购品目清单》政府强制采购产品的，须提供该产品有效期内的认证等相关证明材料（若有）；</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3.2.5.7投标产品技术指标对照表（格式见第三章）；</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3.2.5.8其他有关符合性证明的文件（若有）；</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3.2.5.9《中小企业声明函》或《残疾人福利性单位声明函》或由省级以上监狱管理局、戒毒管理局（含新疆生产建设兵团）出具的属于监狱企业的证明文件（若有）。</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3.2.6综合评审投标文件（见第六章）；</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3.2.6.1采购需求、评审方法及评审标准中所涉及到的其他材料、证明等；</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3.2.6.2《关于符合本国产品标准的声明函》。</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3.2.7与本次采购相关的其他证明材料。</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以上3.2.2-3.2.3项为供应商报价的依据，投标供应商必须提供并加盖电子公章，否则，投标文件将被认定为未实质性响应。</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以上3.2.4.1-3.2.4.2项为资格审查提供的资料，是作为对供应商资格审查、质疑身份认定的依据，响应供应商必须提供并加盖电子公章，否则，投标文件将被认定为不符合资格审查要求。</w:t>
      </w:r>
      <w:r/>
    </w:p>
    <w:p>
      <w:pPr>
        <w:ind w:firstLine="482"/>
        <w:spacing w:line="360" w:lineRule="auto"/>
        <w:tabs>
          <w:tab w:val="left" w:pos="0" w:leader="none"/>
          <w:tab w:val="left" w:pos="600" w:leader="none"/>
        </w:tabs>
        <w:rPr>
          <w:rFonts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以上3.2.5.1-3.2.5.4为符合性审查必须提供的资料，投标供应商必须提供并加盖电子公章，否则，投标将被认定为未实质性响应。</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制作电子投标文件时需与投标文件制作软件目录一一对应，将相关资料上传至相应模块。</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供应商应保证上传的投标文件完整、清晰可辨认，若因上传资料过小或模糊不清等无法辨认的都视为该资料未提供。</w:t>
      </w:r>
      <w:r/>
    </w:p>
    <w:p>
      <w:pPr>
        <w:ind w:firstLine="472"/>
        <w:spacing w:line="360" w:lineRule="auto"/>
        <w:tabs>
          <w:tab w:val="left" w:pos="540" w:leader="none"/>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如供应商投标文件中某些条款不响应招标文件提出的全部服务内容与要求，须在投标文件中逐条列出，未列出的视同响应。</w:t>
      </w:r>
      <w:r/>
    </w:p>
    <w:p>
      <w:pPr>
        <w:ind w:firstLine="482"/>
        <w:spacing w:line="360" w:lineRule="auto"/>
        <w:tabs>
          <w:tab w:val="left" w:pos="142" w:leader="none"/>
          <w:tab w:val="left" w:pos="600" w:leader="none"/>
        </w:tabs>
        <w:rPr>
          <w:rFonts w:ascii="宋体" w:hAnsi="宋体" w:eastAsia="宋体" w:cs="宋体"/>
          <w:color w:val="auto"/>
          <w:highlight w:val="none"/>
        </w:rPr>
      </w:pPr>
      <w:r>
        <w:rPr>
          <w:rFonts w:hint="eastAsia" w:ascii="宋体" w:hAnsi="宋体" w:eastAsia="宋体" w:cs="宋体"/>
          <w:b/>
          <w:color w:val="auto"/>
          <w:sz w:val="24"/>
          <w:szCs w:val="24"/>
          <w:highlight w:val="none"/>
        </w:rPr>
        <w:t xml:space="preserve">如不同供应商使用同一台电脑制作的电子</w:t>
      </w:r>
      <w:r>
        <w:rPr>
          <w:rFonts w:hint="eastAsia" w:ascii="宋体" w:hAnsi="宋体" w:eastAsia="宋体" w:cs="宋体"/>
          <w:b/>
          <w:bCs/>
          <w:color w:val="auto"/>
          <w:sz w:val="24"/>
          <w:szCs w:val="24"/>
          <w:highlight w:val="none"/>
        </w:rPr>
        <w:t xml:space="preserve">投标</w:t>
      </w:r>
      <w:r>
        <w:rPr>
          <w:rFonts w:hint="eastAsia" w:ascii="宋体" w:hAnsi="宋体" w:eastAsia="宋体" w:cs="宋体"/>
          <w:b/>
          <w:color w:val="auto"/>
          <w:sz w:val="24"/>
          <w:szCs w:val="24"/>
          <w:highlight w:val="none"/>
        </w:rPr>
        <w:t xml:space="preserve">文件的，双方“文件制作机器码”一致的，则其</w:t>
      </w:r>
      <w:r>
        <w:rPr>
          <w:rFonts w:hint="eastAsia" w:ascii="宋体" w:hAnsi="宋体" w:eastAsia="宋体" w:cs="宋体"/>
          <w:b/>
          <w:bCs/>
          <w:color w:val="auto"/>
          <w:sz w:val="24"/>
          <w:szCs w:val="24"/>
          <w:highlight w:val="none"/>
        </w:rPr>
        <w:t xml:space="preserve">投标</w:t>
      </w:r>
      <w:r>
        <w:rPr>
          <w:rFonts w:hint="eastAsia" w:ascii="宋体" w:hAnsi="宋体" w:eastAsia="宋体" w:cs="宋体"/>
          <w:b/>
          <w:color w:val="auto"/>
          <w:sz w:val="24"/>
          <w:szCs w:val="24"/>
          <w:highlight w:val="none"/>
        </w:rPr>
        <w:t xml:space="preserve">文件将被认定为无效响应。</w:t>
      </w:r>
      <w:r/>
    </w:p>
    <w:p>
      <w:pPr>
        <w:ind w:left="525"/>
        <w:spacing w:line="360" w:lineRule="auto"/>
        <w:tabs>
          <w:tab w:val="left" w:pos="142" w:leader="none"/>
          <w:tab w:val="left" w:pos="600" w:leader="none"/>
        </w:tabs>
        <w:rPr>
          <w:rFonts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3.3投标报价</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3.3.1投标报价应包括完成本招标项目全部内容的一切费用，除非合同条款中另有规定，投标人所报价格在合同实施期间不因市场变化因素而变动。</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3.3.2如果招标文件要求分标段投标的，则投标人可以根据自身经营许可范围，选择投标其中部分或者全部标段，但各标段应分别计算填写单价和总价。</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3.3.3投标人应对招标文件内所要采购的全部内容进行报价，只对其中部分内容报价的，投标无效。</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3.3.4投标报价超过招标文件中规定的预算金额或者最高限价的，或者各标的物的单价超过该项预算单价的（针对招标文件标明预算单价的项目），其投标无效。</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3.2.5一项投标内容只允许一个报价，任何有选择性投标报价的，其投标无效。</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3.3.6投标文件报价中的单价和总价全部采用人民币表示，除非另有规定。</w:t>
      </w:r>
      <w:r/>
    </w:p>
    <w:p>
      <w:pPr>
        <w:ind w:left="525"/>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3.4电子投标文件的编制与提交</w:t>
      </w:r>
      <w:r/>
    </w:p>
    <w:p>
      <w:pPr>
        <w:ind w:left="5" w:firstLine="518"/>
        <w:spacing w:line="360" w:lineRule="auto"/>
        <w:tabs>
          <w:tab w:val="left" w:pos="851" w:leader="none"/>
        </w:tabs>
        <w:rPr>
          <w:rFonts w:ascii="宋体" w:hAnsi="宋体" w:eastAsia="宋体" w:cs="宋体"/>
          <w:color w:val="auto"/>
          <w:sz w:val="24"/>
          <w:szCs w:val="24"/>
          <w:highlight w:val="none"/>
        </w:rPr>
      </w:pPr>
      <w:r/>
      <w:bookmarkStart w:id="2" w:name="_Hlk154589874"/>
      <w:r>
        <w:rPr>
          <w:rFonts w:hint="eastAsia" w:ascii="宋体" w:hAnsi="宋体" w:eastAsia="宋体" w:cs="宋体"/>
          <w:color w:val="auto"/>
          <w:sz w:val="24"/>
          <w:szCs w:val="24"/>
          <w:highlight w:val="none"/>
        </w:rPr>
        <w:t xml:space="preserve">3.4.1投标文件编制要求：本项目为网上招投标项目，请供应商插入CA 证书登录“苏采云”系统下载客户端（参与项目页面可下载客户端及客户端使用说明），在客户端编制电子投标文件并进行CA加密。操作步骤详见“苏采云”系统页面提示和《操作手册》。</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3.4.2电子投标文件递交：供应商应当按照《操作手册》指引，在投标文件提交截止时间前完成电子投标文件的上传，未按要求成功上传的投标文件视为未递交。供应商应充分考虑到网络环境、网络带宽等风险因素，如因供应商自身原因造成的电子响应文件上传不成功由供应商自行承担全部责任。</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注：（1）请供应商务必保管好编制递交电子投标文件时使用的CA，如因丢失、损坏等原因更换CA锁时，需重新制作电子投标文件并递交，否则可能无法解密，因此导致的响应失败等不利后果由供应商自行承担。</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本项目在政府采购信息发布媒体上发布了更正（补充）公告，请供应商务必在“苏采云”系统中下载更正（补充）资料，根据更正后的招标文件重新编制电子响应文件并递交，否则可能无法解密，因此导致的响应失败等不利后果由供应商自行承担。</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3.4.3投标文件未按照招标文件要求加盖CA电子公章的，响应无效。</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3.5投标文件的开启（解密）</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3.5.1线上参加（观看）开标（开启）会方式：登录苏采云系统，点击“开标大厅”，选择对应项目。</w:t>
      </w:r>
      <w:r/>
    </w:p>
    <w:p>
      <w:pPr>
        <w:ind w:left="5" w:firstLine="518"/>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3.5.2供应商应当按照《操作手册》规定，在苏采云系统规定的时间内对投标文件进行解密。等待开标流程进入“解锁环境”，点击“点击立即解密”进行标书解密，解锁完成后及时关注开标大厅、答疑澄清等提示，</w:t>
      </w:r>
      <w:r>
        <w:rPr>
          <w:rFonts w:hint="eastAsia" w:ascii="宋体" w:hAnsi="宋体" w:eastAsia="宋体" w:cs="宋体"/>
          <w:b/>
          <w:bCs/>
          <w:color w:val="auto"/>
          <w:sz w:val="24"/>
          <w:szCs w:val="24"/>
          <w:highlight w:val="none"/>
        </w:rPr>
        <w:t xml:space="preserve">否则导致的对供应商不利的后果由供应商自行承担。</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3.5.3供应商在苏采云系统规定的时间内未成功解密电子投标文件的，投标无效。</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供应商在制作、上传、解密电子标书过程中若遇到问题，请及时联系CA技术人员或“苏采云”系统客服热线，否则由此产生的后果由供应商自行负责。</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w:t>
      </w:r>
      <w:bookmarkEnd w:id="2"/>
      <w:r>
        <w:rPr>
          <w:rFonts w:hint="eastAsia" w:ascii="宋体" w:hAnsi="宋体" w:eastAsia="宋体" w:cs="宋体"/>
          <w:color w:val="auto"/>
          <w:sz w:val="24"/>
          <w:szCs w:val="24"/>
          <w:highlight w:val="none"/>
        </w:rPr>
        <w:t xml:space="preserve">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3.5.5 CA技术咨询服务电话：400-608-6099；</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电子签章技术咨询服务电话025-83633811、025-83633812、15380932027、15371015030；</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苏州市及区县“苏采云”系统使用指导与咨询：联系电话：13914088964、0512-69820854；智能客服：登录苏采云系统后，联系系统右下方智能客服图标进行咨询。 </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3.6响应文件的修改和撤回：</w:t>
      </w:r>
      <w:r/>
    </w:p>
    <w:p>
      <w:pPr>
        <w:pStyle w:val="1003"/>
        <w:ind w:firstLine="480"/>
        <w:spacing w:line="360" w:lineRule="auto"/>
        <w:rPr>
          <w:rFonts w:cs="宋体"/>
          <w:color w:val="auto"/>
          <w:highlight w:val="none"/>
        </w:rPr>
      </w:pPr>
      <w:r>
        <w:rPr>
          <w:rFonts w:hint="eastAsia" w:cs="宋体"/>
          <w:color w:val="auto"/>
          <w:highlight w:val="none"/>
        </w:rPr>
        <w:t xml:space="preserve">3.6.1供应商在提交投标文件截止时间前，可以对所递交的投标文件进行补充、修改或者撤回，具体操作方法见《操作手册》。提交投标文件截止时间后供应商不得撤回投标文件。</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4、开标和评标：</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4.1开标</w:t>
      </w:r>
      <w:r/>
    </w:p>
    <w:p>
      <w:pPr>
        <w:pStyle w:val="992"/>
        <w:spacing w:line="360" w:lineRule="auto"/>
        <w:rPr>
          <w:rFonts w:ascii="宋体" w:hAnsi="宋体" w:eastAsia="宋体" w:cs="宋体"/>
          <w:color w:val="auto"/>
          <w:sz w:val="21"/>
          <w:szCs w:val="21"/>
          <w:highlight w:val="none"/>
        </w:rPr>
      </w:pP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rPr>
        <w:t xml:space="preserve">开标由采购代理机构</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主持，邀请投标人</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参加。投标人应当按照《苏采云系统供应商操作手册》规定，</w:t>
      </w:r>
      <w:r>
        <w:rPr>
          <w:rFonts w:hint="eastAsia" w:ascii="宋体" w:hAnsi="宋体" w:eastAsia="宋体" w:cs="宋体"/>
          <w:b/>
          <w:color w:val="auto"/>
          <w:sz w:val="24"/>
          <w:szCs w:val="24"/>
          <w:highlight w:val="none"/>
        </w:rPr>
        <w:t xml:space="preserve">参加开标活动和在“苏采云”系统规定的时间内对投标文件进行解密</w:t>
      </w:r>
      <w:r>
        <w:rPr>
          <w:rFonts w:hint="eastAsia" w:ascii="宋体" w:hAnsi="宋体" w:eastAsia="宋体" w:cs="宋体"/>
          <w:color w:val="auto"/>
          <w:sz w:val="24"/>
          <w:szCs w:val="24"/>
          <w:highlight w:val="none"/>
        </w:rPr>
        <w:t xml:space="preserve">。评标委员会成员不得参加开标活动。</w:t>
      </w:r>
      <w:r/>
    </w:p>
    <w:p>
      <w:pPr>
        <w:ind w:firstLine="480"/>
        <w:spacing w:line="360" w:lineRule="auto"/>
        <w:tabs>
          <w:tab w:val="left" w:pos="142" w:leader="none"/>
          <w:tab w:val="left" w:pos="600" w:leader="none"/>
        </w:tabs>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4.1.</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开标时，由采购代理机构</w:t>
      </w:r>
      <w:r>
        <w:rPr>
          <w:rFonts w:hint="eastAsia" w:ascii="宋体" w:hAnsi="宋体" w:eastAsia="宋体" w:cs="宋体"/>
          <w:color w:val="auto"/>
          <w:sz w:val="24"/>
          <w:szCs w:val="24"/>
          <w:highlight w:val="none"/>
        </w:rPr>
        <w:t xml:space="preserve">通过“苏采云”系统在线</w:t>
      </w:r>
      <w:r>
        <w:rPr>
          <w:rFonts w:hint="eastAsia" w:ascii="宋体" w:hAnsi="宋体" w:eastAsia="宋体" w:cs="宋体"/>
          <w:color w:val="auto"/>
          <w:sz w:val="24"/>
          <w:szCs w:val="24"/>
          <w:highlight w:val="none"/>
          <w:lang w:val="zh-CN"/>
        </w:rPr>
        <w:t xml:space="preserve">宣布投标人名称、投标价格和招标文件规定的需要宣布的其他内容。</w:t>
      </w:r>
      <w:r>
        <w:rPr>
          <w:rFonts w:hint="eastAsia" w:ascii="宋体" w:hAnsi="宋体" w:eastAsia="宋体" w:cs="宋体"/>
          <w:color w:val="auto"/>
          <w:sz w:val="24"/>
          <w:szCs w:val="24"/>
          <w:highlight w:val="none"/>
        </w:rPr>
        <w:t xml:space="preserve">投标人在不见面开标系统中确认投标价格，如</w:t>
      </w:r>
      <w:r>
        <w:rPr>
          <w:rFonts w:hint="eastAsia" w:ascii="宋体" w:hAnsi="宋体" w:eastAsia="宋体" w:cs="宋体"/>
          <w:color w:val="auto"/>
          <w:sz w:val="24"/>
          <w:szCs w:val="24"/>
          <w:highlight w:val="none"/>
          <w:lang w:val="zh-CN"/>
        </w:rPr>
        <w:t xml:space="preserve">投标人未</w:t>
      </w:r>
      <w:r>
        <w:rPr>
          <w:rFonts w:hint="eastAsia" w:ascii="宋体" w:hAnsi="宋体" w:eastAsia="宋体" w:cs="宋体"/>
          <w:color w:val="auto"/>
          <w:sz w:val="24"/>
          <w:szCs w:val="24"/>
          <w:highlight w:val="none"/>
        </w:rPr>
        <w:t xml:space="preserve">在线</w:t>
      </w:r>
      <w:r>
        <w:rPr>
          <w:rFonts w:hint="eastAsia" w:ascii="宋体" w:hAnsi="宋体" w:eastAsia="宋体" w:cs="宋体"/>
          <w:color w:val="auto"/>
          <w:sz w:val="24"/>
          <w:szCs w:val="24"/>
          <w:highlight w:val="none"/>
          <w:lang w:val="zh-CN"/>
        </w:rPr>
        <w:t xml:space="preserve">参加开标</w:t>
      </w:r>
      <w:r>
        <w:rPr>
          <w:rFonts w:hint="eastAsia" w:ascii="宋体" w:hAnsi="宋体" w:eastAsia="宋体" w:cs="宋体"/>
          <w:color w:val="auto"/>
          <w:sz w:val="24"/>
          <w:szCs w:val="24"/>
          <w:highlight w:val="none"/>
        </w:rPr>
        <w:t xml:space="preserve">或未在规定时间内确认价格</w:t>
      </w:r>
      <w:r>
        <w:rPr>
          <w:rFonts w:hint="eastAsia" w:ascii="宋体" w:hAnsi="宋体" w:eastAsia="宋体" w:cs="宋体"/>
          <w:color w:val="auto"/>
          <w:sz w:val="24"/>
          <w:szCs w:val="24"/>
          <w:highlight w:val="none"/>
          <w:lang w:val="zh-CN"/>
        </w:rPr>
        <w:t xml:space="preserve">的，视同认可开标结果。</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4.2资格审查</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4.2.1公开招标采购项目开标结束后，采购人应当依法对投标人的资格进行审查，未通过资格审查的视为无效投标。</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4.2.2根据政府采购法及相关法规，以及苏州市财政局《关于印发苏州市市级政府采购信用记录查询和使用工作试行办法的通知》（苏财购（2017）11号）文件的规定，采购代理机构将对供应商进行信用查询。</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4.2.2.1查询时间：投标文件提交截止时间。</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4.2.2.2查询渠道：通过“信用中国”及“中国政府采购网” 上的信用信息查询供应商的信用记录。 </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4.2.2.4信用记录使用规则：评审小组在对供应商进行资格性审查时，应根据查询结果对供应商的不良信用记录逐项甄别确认。按照《中华人民共和国政府采购法》第二十二条规定，</w:t>
      </w:r>
      <w:r>
        <w:rPr>
          <w:rFonts w:hint="eastAsia" w:ascii="宋体" w:hAnsi="宋体" w:eastAsia="宋体" w:cs="宋体"/>
          <w:b/>
          <w:bCs/>
          <w:color w:val="auto"/>
          <w:sz w:val="24"/>
          <w:szCs w:val="24"/>
          <w:highlight w:val="none"/>
        </w:rPr>
        <w:t xml:space="preserve">信用记录属于应依法拒绝供应商参加政府采购的失信信息，存在此类失信信息的投标人的投标无效。</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4.3评标委员会</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4.3.1采购人或采购代理机构负责组织评标工作，评标委员会由采购人代表和评审专家组成，负责具体评标事务，并独立履行职责。</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4.3.2评审专家与参加采购活动的供应商存在下列利害关系之一的，应当回避：</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（一）参加采购活动前三年内，与供应商存在劳动关系，或者担任过供应商的董事、监事，或者是供应商的控股股东或实际控制人；</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（二）与供应商的法定代表人或者负责人有夫妻、直系血亲、三代以内旁系血亲或者近姻亲关系；</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（三）与供应商有其他可能影响政府采购活动公平、公正进行的关系。</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评审专家发现本人与参加采购活动的供应商有利害关系的，应当主动提出回避。采购人或者采购代理机构发现评审专家与参加采购活动的供应商有利害关系的，应当要求其回避。</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4.3.3评审专家应当遵守评审工作纪律，不得泄露评审文件、评审情况和评审中获悉的商业秘密。评标委员会在评审过程中发现供应商有行贿、提供虚假材料或者串通等违法行为的，应当及时向财政部门报告。政府采购评审专家在评审过程中受到非法干预的，应当及时向财政、监察等部门举报。</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4.3.4评标委员会成员应当按照客观、公正、审慎的原则，根据招标文件规定的评审程序、评审方法和评审标准进行独立评审。</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4.4评标</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4.4.1符合性审查</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评标委员会应当对符合资格的投标人的投标文件进行符合性审查，以确定其是否满足招标文件的实质性要求。未满足本项目实质性要求的认定为无效投标。</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4.4.2投标文件的比较和评价</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4.4.2.1评标委员会应当按照招标文件中规定的评标方法和标准，对符合性审查合格的投标文件进行商务和技术评估，综合比较与评价。</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4.4.2.2本项目采用综合评分法，即指投标文件满足招标文件全部实质性要求，且按照评审因素的量化指标评审得分最高的投标人为中标候选人的评标方法。评标方法和评分标准见第六章。</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4.4.2.3价格修正</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投标文件报价出现前后不一致的，除招标文件另有规定外，按下列规定修正：</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（一）投标文件中开标一览表（报价表）内容与投标文件中相应内容不一致的，以开标一览表（报价表）为准；</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（二）大写金额和小写金额不一致的，以大写金额为准；</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（三）单价金额小数点或者百分比有明显错位的，以开标一览表的总价为准，并修改单价；</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（四）总价金额与按单价汇总金额不一致的，以单价金额计算结果为准。</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修正后的报价按照《中华人民共和国财政部令第87号》第五十一条第二款的规定经投标人确认后产生约束力，投标人不确认的，其投标无效。</w:t>
      </w:r>
      <w:r/>
    </w:p>
    <w:p>
      <w:pPr>
        <w:ind w:left="5" w:firstLine="518"/>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4.4.2.4</w:t>
      </w:r>
      <w:r>
        <w:rPr>
          <w:rFonts w:ascii="宋体" w:hAnsi="宋体" w:eastAsia="宋体" w:cs="宋体"/>
          <w:color w:val="auto"/>
          <w:sz w:val="24"/>
          <w:szCs w:val="24"/>
          <w:highlight w:val="none"/>
        </w:rPr>
        <w:t xml:space="preserve">评审过程中出现下列情形之一的，评审委员会应当启动异常低价投标（响应）审查程序：</w:t>
      </w:r>
      <w:r/>
    </w:p>
    <w:p>
      <w:pPr>
        <w:ind w:left="5" w:firstLine="518"/>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①投标(响应)报价低于全部通过符合性审查供应商投标(响应)报价平均值50％的，即投标(响应)报价＜全部通过符合性审查供应商投标(响应)报价平均值×50％</w:t>
      </w:r>
      <w:r>
        <w:rPr>
          <w:rFonts w:ascii="宋体" w:hAnsi="宋体" w:eastAsia="宋体" w:cs="宋体"/>
          <w:color w:val="auto"/>
          <w:sz w:val="24"/>
          <w:szCs w:val="24"/>
          <w:highlight w:val="none"/>
        </w:rPr>
        <w:t xml:space="preserve">；</w:t>
      </w:r>
      <w:r/>
    </w:p>
    <w:p>
      <w:pPr>
        <w:ind w:left="5" w:firstLine="518"/>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②投标(响应)报价低于通过符合性审查的次低报价供应商投标(响应)报价50％的，即投标(响应)报价＜通过符合性审查的次低报价供应商投标(响应)报价×50％</w:t>
      </w:r>
      <w:r>
        <w:rPr>
          <w:rFonts w:ascii="宋体" w:hAnsi="宋体" w:eastAsia="宋体" w:cs="宋体"/>
          <w:color w:val="auto"/>
          <w:sz w:val="24"/>
          <w:szCs w:val="24"/>
          <w:highlight w:val="none"/>
        </w:rPr>
        <w:t xml:space="preserve">； </w:t>
      </w:r>
      <w:r/>
    </w:p>
    <w:p>
      <w:pPr>
        <w:ind w:left="5" w:firstLine="518"/>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③投标(响应)报价低于采购项目最高限价45％的，即投标(响应)报价＜采购项目最高限价×45％；</w:t>
      </w:r>
      <w:r/>
    </w:p>
    <w:p>
      <w:pPr>
        <w:ind w:left="5" w:firstLine="518"/>
        <w:spacing w:line="360" w:lineRule="auto"/>
        <w:tabs>
          <w:tab w:val="left" w:pos="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④评审委员会基于专业判断，认为供应商报价过低，有可能影响产品质量或者不能诚信履约的其他情形</w:t>
      </w:r>
      <w:r>
        <w:rPr>
          <w:rFonts w:hint="eastAsia" w:ascii="宋体" w:hAnsi="宋体" w:eastAsia="宋体" w:cs="宋体"/>
          <w:color w:val="auto"/>
          <w:sz w:val="24"/>
          <w:szCs w:val="24"/>
          <w:highlight w:val="none"/>
        </w:rPr>
        <w:t xml:space="preserve">。</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4.4.2.5启动异常低价投标审查后，</w:t>
      </w:r>
      <w:bookmarkStart w:id="3" w:name="OLE_LINK1"/>
      <w:r/>
      <w:bookmarkStart w:id="4" w:name="OLE_LINK2"/>
      <w:r>
        <w:rPr>
          <w:rFonts w:hint="eastAsia" w:ascii="宋体" w:hAnsi="宋体" w:eastAsia="宋体" w:cs="宋体"/>
          <w:color w:val="auto"/>
          <w:sz w:val="24"/>
          <w:szCs w:val="24"/>
          <w:highlight w:val="none"/>
        </w:rPr>
        <w:t xml:space="preserve">评标委员会</w:t>
      </w:r>
      <w:bookmarkEnd w:id="3"/>
      <w:r/>
      <w:bookmarkEnd w:id="4"/>
      <w:r>
        <w:rPr>
          <w:rFonts w:hint="eastAsia" w:ascii="宋体" w:hAnsi="宋体" w:eastAsia="宋体" w:cs="宋体"/>
          <w:color w:val="auto"/>
          <w:sz w:val="24"/>
          <w:szCs w:val="24"/>
          <w:highlight w:val="none"/>
        </w:rPr>
        <w:t xml:space="preserve">应当要求相关供应商在评标现场合理的时间内对投标价格作出解释，提供项目具体成本测算等与报价合理性相关的书面说明及相关证明材料</w:t>
      </w:r>
      <w:bookmarkStart w:id="5" w:name="OLE_LINK10"/>
      <w:r/>
      <w:bookmarkStart w:id="6" w:name="OLE_LINK9"/>
      <w:r>
        <w:rPr>
          <w:rFonts w:hint="eastAsia" w:ascii="宋体" w:hAnsi="宋体" w:eastAsia="宋体" w:cs="宋体"/>
          <w:color w:val="auto"/>
          <w:sz w:val="24"/>
          <w:szCs w:val="24"/>
          <w:highlight w:val="none"/>
        </w:rPr>
        <w:t xml:space="preserve">，</w:t>
      </w:r>
      <w:bookmarkEnd w:id="5"/>
      <w:r/>
      <w:bookmarkEnd w:id="6"/>
      <w:r>
        <w:rPr>
          <w:rFonts w:hint="eastAsia" w:ascii="宋体" w:hAnsi="宋体" w:eastAsia="宋体" w:cs="宋体"/>
          <w:color w:val="auto"/>
          <w:sz w:val="24"/>
          <w:szCs w:val="24"/>
          <w:highlight w:val="none"/>
        </w:rPr>
        <w:t xml:space="preserve">包括但不限于原材料成本、人工成本、制造费用等，给予相关供应商的合理时间一般不少于30分钟。其中，属于4.4.2.4第③项情形，供应商已随投标文件一并提交相关书面说明及必要的证明材料的，在评审现场可不再重复提交。</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4.4.2.6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4.4.2.7异常低价投标（响应）审查的启动原因、审查意见和审查结果应当在评审报告中记录，并随供应商提供的相关书面说明及证明材料等一并归档。</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4.4.2.6评标委员会成员对需要共同认定的事项存在争议的，应当按照少数服从多数的原则作出结论。持不同意见的评标委员会成员应当在评标报告上签署不同意见及理由，否则视为同意评标报告。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4.4.3投标的澄清</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4.4.3.1评审小组可以要求供应商对于投标文件中含义不明确、同类问题表述不一致或者有明显文字和计算错误的内容等作出必要的澄清、说明或者更正。供应商的澄清、说明或者补正不得超出投标文件的范围或者改变投标文件的实质性内容。</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4.4.3.2本项目采用线上澄清。</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4.4.3.3线上澄清答复的方式：需要供应商进行澄清、说明和更正的，评审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4.4.3.4接到评审小组澄清、说明和更正要求的供应商如未按规定做出澄清、说明和更正，其风险由供应商自行承担。</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5、废标</w:t>
      </w:r>
      <w:r/>
    </w:p>
    <w:p>
      <w:pPr>
        <w:ind w:firstLine="482"/>
        <w:spacing w:line="360" w:lineRule="auto"/>
        <w:tabs>
          <w:tab w:val="left" w:pos="142" w:leader="none"/>
          <w:tab w:val="left" w:pos="60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5.1出现下列情形之一的，应予废标：</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（一）符合专业条件的供应商或者对招标文件作实质响应的供应商不足三家的；</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（二）出现影响采购公正的违法、违规行为的；</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（三）投标人的报价均超过了采购预算，采购人不能支付的；</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（四）因重大变故，采购任务取消的。</w:t>
      </w:r>
      <w:r/>
    </w:p>
    <w:p>
      <w:pPr>
        <w:ind w:firstLine="482"/>
        <w:spacing w:line="360" w:lineRule="auto"/>
        <w:tabs>
          <w:tab w:val="left" w:pos="142" w:leader="none"/>
          <w:tab w:val="left" w:pos="60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5.2废标后，采购人应当将废标理由通知所有投标人。</w:t>
      </w:r>
      <w:r/>
    </w:p>
    <w:p>
      <w:pPr>
        <w:ind w:firstLine="482"/>
        <w:spacing w:line="360" w:lineRule="auto"/>
        <w:tabs>
          <w:tab w:val="left" w:pos="142" w:leader="none"/>
          <w:tab w:val="left" w:pos="60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6、中标</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6.1本项目评标方法采用综合评分法，即指投标文件满足招标文件全部实质性要求，且按照评审因素的量化指标评审得分最高的投标人为中标候选人的评标方法。</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6.2评标结果按评审后得分由高到低顺序排列。得分相同的，按投标报价由低到高顺序排列。得分且投标报价相同的，则由评标委员会组织抽签确定中标候选人顺序。</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6.3评标委员会在确定的中标候选人名单中按顺序确定中标单位，中标候选人并列的，按照招标文件规定的方式确定中标单位。</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6.4采购人或者采购代理机构应当自中标单位确定之日起2个工作日内将中标单位在政府采购信息媒体上发布中标公告，中标公告期限为1个工作日。</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6.5采购人或采购代理机构根据相关规定发布中标公告，中标公告发出的同时应当向中标供应商发出《中标通知书》</w:t>
      </w:r>
      <w:bookmarkStart w:id="7" w:name="_Hlk132385577"/>
      <w:r/>
      <w:bookmarkStart w:id="8" w:name="_Hlk132385599"/>
      <w:r/>
      <w:bookmarkStart w:id="9" w:name="_Hlk132389804"/>
      <w:r>
        <w:rPr>
          <w:rFonts w:hint="eastAsia" w:ascii="宋体" w:hAnsi="宋体" w:eastAsia="宋体" w:cs="宋体"/>
          <w:color w:val="auto"/>
          <w:sz w:val="24"/>
          <w:szCs w:val="24"/>
          <w:highlight w:val="none"/>
        </w:rPr>
        <w:t xml:space="preserve">。请中标供应商在中标结果公告届满之日起30日内，使用CA数字证书登录苏采云系统及时下载成交通知书。因系统存储空间有限，自中标结果公告届满之日起30日后，苏采云系统不再保证提供下载成交通知书服务，因未及时下载而造成的不利后果由成交供应商自行承担）；</w:t>
      </w:r>
      <w:bookmarkEnd w:id="7"/>
      <w:r/>
      <w:bookmarkEnd w:id="8"/>
      <w:r/>
      <w:bookmarkEnd w:id="9"/>
      <w:r>
        <w:rPr>
          <w:rFonts w:hint="eastAsia" w:ascii="宋体" w:hAnsi="宋体" w:eastAsia="宋体" w:cs="宋体"/>
          <w:color w:val="auto"/>
          <w:sz w:val="24"/>
          <w:szCs w:val="24"/>
          <w:highlight w:val="none"/>
        </w:rPr>
        <w:t xml:space="preserve">对未通过资格性审查的供应商，应当告知其未通过的原因；未中标供应商须在成交公告发出之日起2个工作日内向采购代理机构另行提供用以接收《未中标通知书》的电子邮件地址，未按时提供电子邮件地址或提供信息有误的，视为自动放弃并自行承担相应后果。</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6.6中标通知书发出后，采购人不得违法改变中标结果，中标单位无正当理由不得放弃中标。</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7、履约保证金</w:t>
      </w:r>
      <w:r/>
    </w:p>
    <w:p>
      <w:pPr>
        <w:pStyle w:val="1003"/>
        <w:ind w:firstLine="480"/>
        <w:spacing w:line="360" w:lineRule="auto"/>
        <w:rPr>
          <w:rFonts w:cs="宋体"/>
          <w:color w:val="auto"/>
          <w:highlight w:val="none"/>
        </w:rPr>
      </w:pPr>
      <w:r>
        <w:rPr>
          <w:rFonts w:hint="eastAsia" w:cs="宋体"/>
          <w:color w:val="auto"/>
          <w:highlight w:val="none"/>
        </w:rPr>
        <w:t xml:space="preserve">见第五章合同文本履约保证金条款。</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8、合同的签订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8.1采购人应当自中标通知书发出之日起15日内（最迟30日内</w:t>
      </w:r>
      <w:r>
        <w:rPr>
          <w:rFonts w:hint="eastAsia" w:ascii="宋体" w:hAnsi="宋体" w:eastAsia="宋体" w:cs="宋体"/>
          <w:color w:val="auto"/>
          <w:szCs w:val="21"/>
          <w:highlight w:val="none"/>
        </w:rPr>
        <w:t xml:space="preserve">）</w:t>
      </w:r>
      <w:r>
        <w:rPr>
          <w:rFonts w:hint="eastAsia" w:ascii="宋体" w:hAnsi="宋体" w:eastAsia="宋体" w:cs="宋体"/>
          <w:color w:val="auto"/>
          <w:sz w:val="24"/>
          <w:szCs w:val="24"/>
          <w:highlight w:val="none"/>
        </w:rPr>
        <w:t xml:space="preserve">，按照招标文件及投标文件规定与中标单位签订书面合同。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采购人不得向中标供应商提出任何不合理的要求作为签订合同的条件，不得与中标供应商私下订立背离合同实质性内容的协议。</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8.4依据《政府采购促进中小企业发展管理办法》（财库〔2020〕46号）规定，享受扶持政策获得政府采购合同的，小微企业不得将合同分包给大中型企业，中型企业不得将合同分包给大型企业。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8.5中标供应商无正当理由不得放弃中标。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9.1质疑及答复遵守《政府采购质疑和投诉办法》（中华人民共和国财政部令第94号）规定。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供应商认为招标文件、采购过程和中标、成交结果使自己的权益受到损害的，可以在知道或者应知其权益受到损害之日起七个工作日内，根据《政府采购质疑和投诉办法》（中华人民共和国财政部令第94号）以书面形式向采购人、代理机构提出质疑。采购代理机构应当在收到供应商书面质疑函后七个工作日内作出答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9.3本项目投标人应当在法定质疑期内一次性提出针对同一采购程序环节的质疑。供应商如在法定期限内对同一采购程序环节提出多次质疑的，采购代理机构、采购人将只对供应商第一次质疑作出答复。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9.4对招标文件内容质疑时，</w:t>
      </w:r>
      <w:r>
        <w:rPr>
          <w:rFonts w:hint="eastAsia" w:ascii="宋体" w:hAnsi="宋体" w:eastAsia="宋体" w:cs="宋体"/>
          <w:b/>
          <w:color w:val="auto"/>
          <w:sz w:val="24"/>
          <w:szCs w:val="24"/>
          <w:highlight w:val="none"/>
        </w:rPr>
        <w:t xml:space="preserve">需提供在苏采云系统中下载本项目招标文件的《投标供应商确认函》，未提供的视为未依照采购公告要求获取招标文件的供应商，不具备对该政府采购项目提出质疑的法定权利。</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9.5接收质疑函的方式为书面形式（当场送达或邮寄方式）</w:t>
      </w:r>
      <w:r>
        <w:rPr>
          <w:rFonts w:hint="eastAsia" w:ascii="宋体" w:hAnsi="宋体" w:eastAsia="宋体" w:cs="宋体"/>
          <w:bCs/>
          <w:color w:val="auto"/>
          <w:sz w:val="24"/>
          <w:szCs w:val="24"/>
          <w:highlight w:val="none"/>
        </w:rPr>
        <w:t xml:space="preserve">向采购人、采购代理机构提出质疑，联系人、联系电话和通讯地址等信息以招标公告中</w:t>
      </w:r>
      <w:r>
        <w:rPr>
          <w:rFonts w:hint="eastAsia" w:ascii="宋体" w:hAnsi="宋体" w:eastAsia="宋体" w:cs="宋体"/>
          <w:color w:val="auto"/>
          <w:sz w:val="24"/>
          <w:szCs w:val="24"/>
          <w:highlight w:val="none"/>
        </w:rPr>
        <w:t xml:space="preserve">对本次招标提出询问，请按以下方式联系</w:t>
      </w:r>
      <w:r>
        <w:rPr>
          <w:rFonts w:hint="eastAsia" w:ascii="宋体" w:hAnsi="宋体" w:eastAsia="宋体" w:cs="宋体"/>
          <w:bCs/>
          <w:color w:val="auto"/>
          <w:sz w:val="24"/>
          <w:szCs w:val="24"/>
          <w:highlight w:val="none"/>
        </w:rPr>
        <w:t xml:space="preserve">为准</w:t>
      </w:r>
      <w:r>
        <w:rPr>
          <w:rFonts w:hint="eastAsia" w:ascii="宋体" w:hAnsi="宋体" w:eastAsia="宋体" w:cs="宋体"/>
          <w:color w:val="auto"/>
          <w:sz w:val="24"/>
          <w:szCs w:val="24"/>
          <w:highlight w:val="none"/>
        </w:rPr>
        <w:t xml:space="preserve">。供应商质疑函范本格式请参照“苏州市政府采购”网站——“下载中心”——“</w:t>
      </w:r>
      <w:r>
        <w:rPr>
          <w:color w:val="auto"/>
          <w:highlight w:val="none"/>
        </w:rPr>
        <w:fldChar w:fldCharType="begin"/>
      </w:r>
      <w:r>
        <w:rPr>
          <w:color w:val="auto"/>
          <w:highlight w:val="none"/>
        </w:rPr>
        <w:instrText xml:space="preserve"> HYPERLINK "http://czju.suzhou.gov.cn/zfcg/html/content/20180305093615738.shtml" \t "http://czju.suzhou.gov.cn/zfcg/html/channel/_blank" \o "政府采购供应商质疑函范本" </w:instrText>
      </w:r>
      <w:r>
        <w:rPr>
          <w:color w:val="auto"/>
          <w:highlight w:val="none"/>
        </w:rPr>
        <w:fldChar w:fldCharType="separate"/>
      </w:r>
      <w:r>
        <w:rPr>
          <w:rFonts w:hint="eastAsia" w:ascii="宋体" w:hAnsi="宋体" w:eastAsia="宋体" w:cs="宋体"/>
          <w:color w:val="auto"/>
          <w:sz w:val="24"/>
          <w:szCs w:val="24"/>
          <w:highlight w:val="none"/>
        </w:rPr>
        <w:t xml:space="preserve">政府采购供应商质疑函范本</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firstLine="52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10、投标文件的有效期</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10.1投标文件的有效期自提交投标文件的截止之日起九十天，投标文件应保持有效。投标文件的有效期不明确或短于上述规定期限的，投标文件无效。</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10.2在特殊情况下，采购人可与供应商协商延长响应文件的有效期，这种要求和答复都应以书面形式进行。</w:t>
      </w:r>
      <w:r/>
    </w:p>
    <w:p>
      <w:pPr>
        <w:ind w:firstLine="52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11、代理服务费：按照最新江苏省财政厅《关于进一步规范政府采购活动相关费用管理的通知》（苏财规〔2026〕1号），本项目政府采购代理费由采购单位支付。</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11.1代理服务费以采购预算金额为基数依据，按如下规定的标准和差额定率累进法进行计算收取：</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预算金额100万元以下部分，费率为该部分预算金额的1.5％；</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预算金额100万元（含）－500万元部分，费率为该部分预算金额的1.1％；</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预算金额500万元（含）－1000万元部分，费率为该部分预算金额的0.8％；</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预算金额1000万元（含）－5000万元部分，费率为该部分预算金额的0.5％；</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预算金额5000万元以上部分，费率为该部分预算金额的0.25％。</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11.2本项目代理服务费（人民币）：40557.00元。</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11.3采购单位如果未按上述规定缴纳中标服务费，采购代理机构将保留诉讼的权利。</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11.4采购代理机构服务费账号如下：</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收款单位：苏州正杰招投标咨询服务有限公司。</w:t>
      </w:r>
      <w:r>
        <w:rPr>
          <w:rFonts w:hint="eastAsia" w:ascii="宋体" w:hAnsi="宋体" w:eastAsia="宋体" w:cs="宋体"/>
          <w:bCs/>
          <w:color w:val="auto"/>
          <w:sz w:val="24"/>
          <w:szCs w:val="24"/>
          <w:highlight w:val="none"/>
        </w:rPr>
        <w:tab/>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银行账号：89190154740002582。</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开户银行：上海浦东发展银行苏州姑苏支行。</w:t>
      </w:r>
      <w:r/>
    </w:p>
    <w:p>
      <w:pPr>
        <w:ind w:firstLine="52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12、其他事项</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12.1未尽事宜按《中华人民共和国政府采购法》及其他有关法律法规文件的规定执行。</w:t>
      </w:r>
      <w:r/>
    </w:p>
    <w:p>
      <w:pPr>
        <w:pStyle w:val="920"/>
        <w:ind w:firstLine="502"/>
        <w:jc w:val="both"/>
        <w:spacing w:line="360" w:lineRule="auto"/>
        <w:rPr>
          <w:rFonts w:ascii="宋体" w:hAnsi="宋体" w:eastAsia="宋体" w:cs="宋体"/>
          <w:b/>
          <w:bCs/>
          <w:color w:val="auto"/>
          <w:highlight w:val="none"/>
        </w:rPr>
      </w:pPr>
      <w:r>
        <w:rPr>
          <w:rFonts w:hint="eastAsia" w:ascii="宋体" w:hAnsi="宋体" w:eastAsia="宋体" w:cs="宋体"/>
          <w:color w:val="auto"/>
          <w:szCs w:val="24"/>
          <w:highlight w:val="none"/>
        </w:rPr>
        <w:br w:type="page" w:clear="all"/>
      </w:r>
      <w:r/>
    </w:p>
    <w:p>
      <w:pPr>
        <w:pStyle w:val="920"/>
        <w:ind w:firstLine="482"/>
        <w:jc w:val="center"/>
        <w:spacing w:line="360" w:lineRule="auto"/>
        <w:rPr>
          <w:rFonts w:ascii="宋体" w:hAnsi="宋体" w:eastAsia="宋体" w:cs="宋体"/>
          <w:b/>
          <w:bCs/>
          <w:color w:val="auto"/>
          <w:highlight w:val="none"/>
        </w:rPr>
      </w:pPr>
      <w:r>
        <w:rPr>
          <w:rFonts w:hint="eastAsia" w:ascii="宋体" w:hAnsi="宋体" w:eastAsia="宋体" w:cs="宋体"/>
          <w:b/>
          <w:bCs/>
          <w:color w:val="auto"/>
          <w:highlight w:val="none"/>
        </w:rPr>
        <w:t xml:space="preserve">第三章 投标文件格式</w:t>
      </w:r>
      <w:r/>
    </w:p>
    <w:p>
      <w:pPr>
        <w:pStyle w:val="993"/>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1、投标函</w:t>
      </w:r>
      <w:r/>
    </w:p>
    <w:p>
      <w:pPr>
        <w:pStyle w:val="993"/>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苏州正杰招投标咨询服务有限公司：</w:t>
      </w:r>
      <w:r/>
    </w:p>
    <w:p>
      <w:pPr>
        <w:pStyle w:val="993"/>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我们收到贵公司</w:t>
      </w:r>
      <w:r>
        <w:rPr>
          <w:rFonts w:hint="eastAsia" w:hAnsi="宋体" w:eastAsia="宋体" w:cs="宋体"/>
          <w:color w:val="auto"/>
          <w:szCs w:val="24"/>
          <w:highlight w:val="none"/>
        </w:rPr>
        <w:t xml:space="preserve">________</w:t>
      </w:r>
      <w:r>
        <w:rPr>
          <w:rFonts w:hint="eastAsia" w:hAnsi="宋体" w:eastAsia="宋体" w:cs="宋体"/>
          <w:color w:val="auto"/>
          <w:sz w:val="24"/>
          <w:szCs w:val="24"/>
          <w:highlight w:val="none"/>
        </w:rPr>
        <w:t xml:space="preserve">号招标文件，经仔细阅读和研究，我们决定参加采购活动。</w:t>
      </w:r>
      <w:r/>
    </w:p>
    <w:p>
      <w:pPr>
        <w:pStyle w:val="993"/>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1、我们愿意按照招标文件的一切要求，提供完成该项目的全部内容，我们的投标报价包括投标产品、安装辅材及其备品备件和专用工具费用、税费及包装、运至最终目的地的运输、保险、安装调试、检测验收、技术支持与培训、质保和售后服务及相关劳务等所发生的全部费用以及企业利润、税金和政策性文件规定及合同包含的所有风险、责任等各项应有费用。</w:t>
      </w:r>
      <w:r/>
    </w:p>
    <w:p>
      <w:pPr>
        <w:pStyle w:val="993"/>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2、如果我们的投标被接受，我们将严格履行招标文件中规定的每一项要求，严格履行合同的责任和义务，保证按期、按质履行合同，完成合同内容所规定的全部工作。</w:t>
      </w:r>
      <w:r/>
    </w:p>
    <w:p>
      <w:pPr>
        <w:pStyle w:val="993"/>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3、我们同意按招标文件规定，本投标书的有效期限自提交投标文件的截止之日起</w:t>
      </w:r>
      <w:r>
        <w:rPr>
          <w:rFonts w:hint="eastAsia" w:hAnsi="宋体" w:eastAsia="宋体" w:cs="宋体"/>
          <w:color w:val="auto"/>
          <w:szCs w:val="24"/>
          <w:highlight w:val="none"/>
        </w:rPr>
        <w:t xml:space="preserve">___</w:t>
      </w:r>
      <w:r>
        <w:rPr>
          <w:rFonts w:hint="eastAsia" w:hAnsi="宋体" w:eastAsia="宋体" w:cs="宋体"/>
          <w:color w:val="auto"/>
          <w:sz w:val="24"/>
          <w:szCs w:val="24"/>
          <w:highlight w:val="none"/>
        </w:rPr>
        <w:t xml:space="preserve">天。如果我们在开标后规定的投标有效期内撤回投标，我们愿承担由此造成的一切后果。</w:t>
      </w:r>
      <w:r/>
    </w:p>
    <w:p>
      <w:pPr>
        <w:pStyle w:val="993"/>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4、我们愿意提供招标文件中要求的所有资料，也同意向贵方提供贵方可能另外要求的与其投标有关的任何证据或资料，并保证所提供的资料全部是真实的、有效的，若有虚假，我们愿承担由此造成的一切后果。</w:t>
      </w:r>
      <w:r/>
    </w:p>
    <w:p>
      <w:pPr>
        <w:pStyle w:val="993"/>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5、我们认为你们有权决定中标单位，还认为你们有权接受或拒绝投标人。</w:t>
      </w:r>
      <w:r/>
    </w:p>
    <w:p>
      <w:pPr>
        <w:pStyle w:val="993"/>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6、我们愿意遵守招标公告及招标文件中所列的收费标准。</w:t>
      </w:r>
      <w:r/>
    </w:p>
    <w:p>
      <w:pPr>
        <w:pStyle w:val="993"/>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7、我们承诺本项投标文件在开标后的全过程中保持有效。我们同意中标后若不履行投标文件的内容要求和各项承诺及义务的即被视为违约，我们愿承担由此造成的一切后果。</w:t>
      </w:r>
      <w:r/>
    </w:p>
    <w:p>
      <w:pPr>
        <w:pStyle w:val="993"/>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8、与本次招标有关的通讯地址：</w:t>
      </w:r>
      <w:r/>
    </w:p>
    <w:p>
      <w:pPr>
        <w:pStyle w:val="993"/>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单位名称：                                 联系人员：</w:t>
      </w:r>
      <w:r/>
    </w:p>
    <w:p>
      <w:pPr>
        <w:pStyle w:val="993"/>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单位地址：                                 邮政编码：</w:t>
      </w:r>
      <w:r/>
    </w:p>
    <w:p>
      <w:pPr>
        <w:pStyle w:val="993"/>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联系电话：                                 传真号码：</w:t>
      </w:r>
      <w:r/>
    </w:p>
    <w:p>
      <w:pPr>
        <w:pStyle w:val="920"/>
        <w:ind w:right="42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投标人（单位盖章）：                       </w:t>
      </w:r>
      <w:r/>
    </w:p>
    <w:p>
      <w:pPr>
        <w:pStyle w:val="920"/>
        <w:ind w:right="42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法定代表人或代理人（签字或盖章）：</w:t>
      </w:r>
      <w:r/>
    </w:p>
    <w:p>
      <w:pPr>
        <w:pStyle w:val="920"/>
        <w:ind w:right="42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spacing w:line="360" w:lineRule="auto"/>
        <w:rPr>
          <w:rFonts w:ascii="宋体" w:hAnsi="宋体" w:eastAsia="宋体" w:cs="宋体"/>
          <w:bCs/>
          <w:color w:val="auto"/>
          <w:sz w:val="24"/>
          <w:szCs w:val="24"/>
          <w:highlight w:val="none"/>
        </w:rPr>
        <w:sectPr>
          <w:footerReference w:type="default" r:id="rId14"/>
          <w:footnotePr/>
          <w:endnotePr/>
          <w:type w:val="nextPage"/>
          <w:pgSz w:w="11906" w:h="16838" w:orient="portrait"/>
          <w:pgMar w:top="1134" w:right="1134" w:bottom="1134" w:left="1134" w:header="851" w:footer="992" w:gutter="0"/>
          <w:pgNumType w:start="1"/>
          <w:cols w:num="1" w:sep="0" w:space="720" w:equalWidth="1"/>
          <w:docGrid w:linePitch="360"/>
        </w:sectPr>
      </w:pPr>
      <w:r>
        <w:rPr>
          <w:rFonts w:ascii="宋体" w:hAnsi="宋体" w:eastAsia="宋体" w:cs="宋体"/>
          <w:bCs/>
          <w:color w:val="auto"/>
          <w:sz w:val="24"/>
          <w:szCs w:val="24"/>
          <w:highlight w:val="none"/>
        </w:rPr>
      </w:r>
      <w:r/>
    </w:p>
    <w:p>
      <w:pPr>
        <w:spacing w:line="360" w:lineRule="auto"/>
        <w:rPr>
          <w:rFonts w:ascii="宋体" w:hAnsi="宋体" w:eastAsia="宋体" w:cs="宋体"/>
          <w:color w:val="auto"/>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法定代表人授权委托书</w:t>
      </w:r>
      <w:r/>
    </w:p>
    <w:p>
      <w:pPr>
        <w:pStyle w:val="92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本授权委托书声明：我</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（姓名）系</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（单位名称）的法定代表人，现授权委托</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（单位名称）的</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（姓名）为我公司代理人，并以本公司的名义在</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号（项目编号）采购项目的开标、评标和合同签订过程中所签署的一切文件和处理与这有关的一切事务，我公司均予以承认。</w:t>
      </w:r>
      <w:r/>
    </w:p>
    <w:p>
      <w:pPr>
        <w:pStyle w:val="920"/>
        <w:ind w:firstLine="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    代理人在授权委托书有效期内签署的所有文件不因授权委托的撤销而失效，除非有撤销授权委托的书面通知，本授权委托书有效期自投标文件提交开始至合同履行完毕止。</w:t>
      </w:r>
      <w:r/>
    </w:p>
    <w:p>
      <w:pPr>
        <w:pStyle w:val="920"/>
        <w:ind w:firstLine="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    代理人无转委托权。特此委托。</w:t>
      </w:r>
      <w:r/>
    </w:p>
    <w:p>
      <w:pPr>
        <w:pStyle w:val="993"/>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w:t>
      </w:r>
      <w:r/>
    </w:p>
    <w:p>
      <w:pPr>
        <w:pStyle w:val="993"/>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投标人（单位盖章）：</w:t>
      </w:r>
      <w:r/>
    </w:p>
    <w:p>
      <w:pPr>
        <w:pStyle w:val="920"/>
        <w:ind w:firstLine="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    法定代表人：（签字或盖章）</w:t>
      </w:r>
      <w:r/>
    </w:p>
    <w:p>
      <w:pPr>
        <w:pStyle w:val="920"/>
        <w:ind w:firstLine="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    代理人：（签字或盖章）</w:t>
      </w:r>
      <w:r/>
    </w:p>
    <w:p>
      <w:pPr>
        <w:pStyle w:val="993"/>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日期：     年     月     日</w:t>
      </w:r>
      <w:r/>
    </w:p>
    <w:p>
      <w:pPr>
        <w:pStyle w:val="920"/>
        <w:ind w:firstLine="482"/>
        <w:spacing w:line="360" w:lineRule="auto"/>
        <w:rPr>
          <w:rFonts w:ascii="宋体" w:hAnsi="宋体" w:eastAsia="宋体" w:cs="宋体"/>
          <w:b/>
          <w:color w:val="auto"/>
          <w:szCs w:val="24"/>
          <w:highlight w:val="none"/>
        </w:rPr>
      </w:pPr>
      <w:r>
        <w:rPr>
          <w:rFonts w:ascii="宋体" w:hAnsi="宋体" w:eastAsia="宋体" w:cs="宋体"/>
          <w:b/>
          <w:color w:val="auto"/>
          <w:szCs w:val="24"/>
          <w:highlight w:val="none"/>
        </w:rPr>
      </w:r>
      <w:r/>
    </w:p>
    <w:p>
      <w:pPr>
        <w:pStyle w:val="920"/>
        <w:ind w:firstLine="482"/>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注：本授权委托书仅限于法人性质投标人投标，投标文件中必须提供法定代表人和代理人身份证复印件。非法人性质投标人投标，授权委托书格式自拟，但必须同时提供受托双方身份证复印件。</w:t>
      </w:r>
      <w:r/>
    </w:p>
    <w:p>
      <w:pPr>
        <w:pStyle w:val="955"/>
        <w:ind w:firstLine="480"/>
        <w:jc w:val="both"/>
        <w:spacing w:line="360" w:lineRule="auto"/>
        <w:rPr>
          <w:rFonts w:hint="default" w:cs="宋体"/>
          <w:color w:val="auto"/>
          <w:highlight w:val="none"/>
        </w:rPr>
      </w:pPr>
      <w:r>
        <w:rPr>
          <w:rFonts w:hint="default" w:cs="宋体"/>
          <w:color w:val="auto"/>
          <w:highlight w:val="none"/>
        </w:rPr>
      </w:r>
      <w:r/>
    </w:p>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0"/>
        <w:ind w:firstLine="0"/>
        <w:jc w:val="center"/>
        <w:spacing w:line="360" w:lineRule="auto"/>
        <w:rPr>
          <w:rFonts w:ascii="宋体" w:hAnsi="宋体" w:eastAsia="宋体" w:cs="宋体"/>
          <w:color w:val="auto"/>
          <w:szCs w:val="24"/>
          <w:highlight w:val="none"/>
        </w:rPr>
        <w:sectPr>
          <w:footnotePr/>
          <w:endnotePr/>
          <w:type w:val="nextPage"/>
          <w:pgSz w:w="11906" w:h="16838" w:orient="portrait"/>
          <w:pgMar w:top="1134" w:right="1134" w:bottom="1134" w:left="1134" w:header="851" w:footer="992" w:gutter="0"/>
          <w:pgNumType w:start="1"/>
          <w:cols w:num="1" w:sep="0" w:space="720" w:equalWidth="1"/>
          <w:docGrid w:linePitch="360"/>
        </w:sectPr>
        <w:outlineLvl w:val="1"/>
      </w:pPr>
      <w:r>
        <w:rPr>
          <w:rFonts w:ascii="宋体" w:hAnsi="宋体" w:eastAsia="宋体" w:cs="宋体"/>
          <w:color w:val="auto"/>
          <w:szCs w:val="24"/>
          <w:highlight w:val="none"/>
        </w:rPr>
      </w:r>
      <w:r/>
    </w:p>
    <w:p>
      <w:pPr>
        <w:pStyle w:val="920"/>
        <w:ind w:right="420" w:firstLine="0"/>
        <w:spacing w:line="360" w:lineRule="auto"/>
        <w:rPr>
          <w:rFonts w:ascii="宋体" w:hAnsi="宋体" w:eastAsia="宋体" w:cs="宋体"/>
          <w:bCs/>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bCs/>
          <w:color w:val="auto"/>
          <w:szCs w:val="24"/>
          <w:highlight w:val="none"/>
        </w:rPr>
        <w:t xml:space="preserve">、关于资格文件的声明函</w:t>
      </w:r>
      <w:r/>
    </w:p>
    <w:p>
      <w:pPr>
        <w:pStyle w:val="993"/>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苏州正杰招投标咨询服务有限公司：</w:t>
      </w:r>
      <w:r/>
    </w:p>
    <w:p>
      <w:pPr>
        <w:pStyle w:val="993"/>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本公司愿就由贵公司组织实施的项目编号为</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号的招标活动进行投标。本公司所提交的投标文件中所有关于投标资格的文件、证明和陈述均是真实的、准确的和有效的。若与事实情况不符，本公司愿意承担由此而产生的一切后果。</w:t>
      </w:r>
      <w:r/>
    </w:p>
    <w:p>
      <w:pPr>
        <w:pStyle w:val="993"/>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p>
      <w:pPr>
        <w:pStyle w:val="993"/>
        <w:ind w:firstLine="480"/>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投标人</w:t>
      </w:r>
      <w:r>
        <w:rPr>
          <w:rFonts w:hint="eastAsia" w:hAnsi="宋体" w:eastAsia="宋体" w:cs="宋体"/>
          <w:color w:val="auto"/>
          <w:sz w:val="24"/>
          <w:szCs w:val="24"/>
          <w:highlight w:val="none"/>
        </w:rPr>
        <w:t xml:space="preserve">（单位盖章）</w:t>
      </w:r>
      <w:r>
        <w:rPr>
          <w:rFonts w:hint="eastAsia" w:hAnsi="宋体" w:eastAsia="宋体" w:cs="宋体"/>
          <w:bCs/>
          <w:color w:val="auto"/>
          <w:sz w:val="24"/>
          <w:szCs w:val="24"/>
          <w:highlight w:val="none"/>
        </w:rPr>
        <w:t xml:space="preserve">：</w:t>
      </w:r>
      <w:r/>
    </w:p>
    <w:p>
      <w:pPr>
        <w:pStyle w:val="993"/>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    法定代表人或代理人</w:t>
      </w:r>
      <w:r>
        <w:rPr>
          <w:rFonts w:hint="eastAsia" w:hAnsi="宋体" w:eastAsia="宋体" w:cs="宋体"/>
          <w:color w:val="auto"/>
          <w:sz w:val="24"/>
          <w:szCs w:val="24"/>
          <w:highlight w:val="none"/>
        </w:rPr>
        <w:t xml:space="preserve">（签字或盖章）</w:t>
      </w:r>
      <w:r>
        <w:rPr>
          <w:rFonts w:hint="eastAsia" w:hAnsi="宋体" w:eastAsia="宋体" w:cs="宋体"/>
          <w:bCs/>
          <w:color w:val="auto"/>
          <w:sz w:val="24"/>
          <w:szCs w:val="24"/>
          <w:highlight w:val="none"/>
        </w:rPr>
        <w:t xml:space="preserve">：</w:t>
      </w:r>
      <w:r/>
    </w:p>
    <w:p>
      <w:pPr>
        <w:pStyle w:val="993"/>
        <w:ind w:firstLine="480"/>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日期：     年     月     日</w:t>
      </w:r>
      <w:r/>
    </w:p>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1007"/>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07"/>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07"/>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07"/>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0"/>
        <w:ind w:right="420"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4、开标一览表</w:t>
      </w:r>
      <w:r/>
    </w:p>
    <w:tbl>
      <w:tblPr>
        <w:tblStyle w:val="918"/>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3061"/>
        <w:gridCol w:w="2293"/>
        <w:gridCol w:w="1801"/>
        <w:gridCol w:w="1331"/>
      </w:tblGrid>
      <w:tr>
        <w:trPr>
          <w:jc w:val="center"/>
          <w:trHeight w:val="567"/>
        </w:trPr>
        <w:tc>
          <w:tcPr>
            <w:tcW w:w="1152" w:type="dxa"/>
            <w:vAlign w:val="center"/>
            <w:textDirection w:val="lrTb"/>
            <w:noWrap w:val="false"/>
          </w:tcPr>
          <w:p>
            <w:pPr>
              <w:pStyle w:val="933"/>
              <w:jc w:val="center"/>
              <w:spacing w:line="360" w:lineRule="auto"/>
              <w:rPr>
                <w:rFonts w:hAnsi="宋体" w:eastAsia="宋体" w:cs="宋体"/>
                <w:color w:val="auto"/>
                <w:sz w:val="24"/>
                <w:highlight w:val="none"/>
              </w:rPr>
            </w:pPr>
            <w:r>
              <w:rPr>
                <w:rFonts w:hint="eastAsia" w:hAnsi="宋体" w:eastAsia="宋体" w:cs="宋体"/>
                <w:color w:val="auto"/>
                <w:sz w:val="24"/>
                <w:highlight w:val="none"/>
              </w:rPr>
              <w:t xml:space="preserve">序号</w:t>
            </w:r>
            <w:r/>
          </w:p>
        </w:tc>
        <w:tc>
          <w:tcPr>
            <w:tcW w:w="3061" w:type="dxa"/>
            <w:vAlign w:val="center"/>
            <w:textDirection w:val="lrTb"/>
            <w:noWrap w:val="false"/>
          </w:tcPr>
          <w:p>
            <w:pPr>
              <w:pStyle w:val="933"/>
              <w:jc w:val="center"/>
              <w:spacing w:line="360" w:lineRule="auto"/>
              <w:rPr>
                <w:rFonts w:hAnsi="宋体" w:eastAsia="宋体" w:cs="宋体"/>
                <w:color w:val="auto"/>
                <w:sz w:val="24"/>
                <w:highlight w:val="none"/>
              </w:rPr>
            </w:pPr>
            <w:r>
              <w:rPr>
                <w:rFonts w:hint="eastAsia" w:hAnsi="宋体" w:eastAsia="宋体" w:cs="宋体"/>
                <w:color w:val="auto"/>
                <w:sz w:val="24"/>
                <w:highlight w:val="none"/>
              </w:rPr>
              <w:t xml:space="preserve">项目名称</w:t>
            </w:r>
            <w:r/>
          </w:p>
        </w:tc>
        <w:tc>
          <w:tcPr>
            <w:tcW w:w="2293" w:type="dxa"/>
            <w:vAlign w:val="center"/>
            <w:textDirection w:val="lrTb"/>
            <w:noWrap w:val="false"/>
          </w:tcPr>
          <w:p>
            <w:pPr>
              <w:pStyle w:val="933"/>
              <w:jc w:val="center"/>
              <w:spacing w:line="360" w:lineRule="auto"/>
              <w:rPr>
                <w:rFonts w:hAnsi="宋体" w:eastAsia="宋体" w:cs="宋体"/>
                <w:color w:val="auto"/>
                <w:sz w:val="24"/>
                <w:highlight w:val="none"/>
              </w:rPr>
            </w:pPr>
            <w:r>
              <w:rPr>
                <w:rFonts w:hint="eastAsia" w:hAnsi="宋体" w:eastAsia="宋体" w:cs="宋体"/>
                <w:color w:val="auto"/>
                <w:sz w:val="24"/>
                <w:highlight w:val="none"/>
              </w:rPr>
              <w:t xml:space="preserve">投标总价（元）</w:t>
            </w:r>
            <w:r/>
          </w:p>
        </w:tc>
        <w:tc>
          <w:tcPr>
            <w:tcW w:w="1801" w:type="dxa"/>
            <w:vAlign w:val="center"/>
            <w:textDirection w:val="lrTb"/>
            <w:noWrap w:val="false"/>
          </w:tcPr>
          <w:p>
            <w:pPr>
              <w:pStyle w:val="933"/>
              <w:jc w:val="center"/>
              <w:spacing w:line="360" w:lineRule="auto"/>
              <w:rPr>
                <w:rFonts w:hAnsi="宋体" w:eastAsia="宋体" w:cs="宋体"/>
                <w:color w:val="auto"/>
                <w:sz w:val="24"/>
                <w:highlight w:val="none"/>
              </w:rPr>
            </w:pPr>
            <w:r>
              <w:rPr>
                <w:rFonts w:hint="eastAsia" w:hAnsi="宋体" w:eastAsia="宋体" w:cs="宋体"/>
                <w:color w:val="auto"/>
                <w:sz w:val="24"/>
                <w:highlight w:val="none"/>
              </w:rPr>
              <w:t xml:space="preserve">合同履行期限</w:t>
            </w:r>
            <w:r/>
          </w:p>
        </w:tc>
        <w:tc>
          <w:tcPr>
            <w:tcW w:w="1331" w:type="dxa"/>
            <w:vAlign w:val="center"/>
            <w:textDirection w:val="lrTb"/>
            <w:noWrap w:val="false"/>
          </w:tcPr>
          <w:p>
            <w:pPr>
              <w:pStyle w:val="933"/>
              <w:jc w:val="center"/>
              <w:spacing w:line="360" w:lineRule="auto"/>
              <w:rPr>
                <w:rFonts w:hAnsi="宋体" w:eastAsia="宋体" w:cs="宋体"/>
                <w:color w:val="auto"/>
                <w:sz w:val="24"/>
                <w:highlight w:val="none"/>
              </w:rPr>
            </w:pPr>
            <w:r>
              <w:rPr>
                <w:rFonts w:hint="eastAsia" w:hAnsi="宋体" w:eastAsia="宋体" w:cs="宋体"/>
                <w:color w:val="auto"/>
                <w:sz w:val="24"/>
                <w:highlight w:val="none"/>
              </w:rPr>
              <w:t xml:space="preserve">备注</w:t>
            </w:r>
            <w:r/>
          </w:p>
        </w:tc>
      </w:tr>
      <w:tr>
        <w:trPr>
          <w:jc w:val="center"/>
          <w:trHeight w:val="567"/>
        </w:trPr>
        <w:tc>
          <w:tcPr>
            <w:tcW w:w="1152"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3061"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2293" w:type="dxa"/>
            <w:vAlign w:val="center"/>
            <w:textDirection w:val="lrTb"/>
            <w:noWrap w:val="false"/>
          </w:tcPr>
          <w:p>
            <w:pPr>
              <w:pStyle w:val="933"/>
              <w:jc w:val="center"/>
              <w:spacing w:line="360" w:lineRule="auto"/>
              <w:rPr>
                <w:rFonts w:hAnsi="宋体" w:eastAsia="宋体" w:cs="宋体"/>
                <w:color w:val="auto"/>
                <w:sz w:val="24"/>
                <w:highlight w:val="none"/>
              </w:rPr>
            </w:pPr>
            <w:r>
              <w:rPr>
                <w:rFonts w:hAnsi="宋体" w:eastAsia="宋体" w:cs="宋体"/>
                <w:color w:val="auto"/>
                <w:sz w:val="24"/>
                <w:highlight w:val="none"/>
              </w:rPr>
            </w:r>
            <w:r/>
          </w:p>
        </w:tc>
        <w:tc>
          <w:tcPr>
            <w:tcW w:w="1801" w:type="dxa"/>
            <w:vAlign w:val="center"/>
            <w:textDirection w:val="lrTb"/>
            <w:noWrap w:val="false"/>
          </w:tcPr>
          <w:p>
            <w:pPr>
              <w:pStyle w:val="933"/>
              <w:jc w:val="center"/>
              <w:spacing w:line="360" w:lineRule="auto"/>
              <w:rPr>
                <w:rFonts w:hAnsi="宋体" w:eastAsia="宋体" w:cs="宋体"/>
                <w:color w:val="auto"/>
                <w:sz w:val="24"/>
                <w:highlight w:val="none"/>
              </w:rPr>
            </w:pPr>
            <w:r>
              <w:rPr>
                <w:rFonts w:hAnsi="宋体" w:eastAsia="宋体" w:cs="宋体"/>
                <w:color w:val="auto"/>
                <w:sz w:val="24"/>
                <w:highlight w:val="none"/>
              </w:rPr>
            </w:r>
            <w:r/>
          </w:p>
        </w:tc>
        <w:tc>
          <w:tcPr>
            <w:tcW w:w="1331" w:type="dxa"/>
            <w:vAlign w:val="center"/>
            <w:textDirection w:val="lrTb"/>
            <w:noWrap w:val="false"/>
          </w:tcPr>
          <w:p>
            <w:pPr>
              <w:pStyle w:val="933"/>
              <w:jc w:val="center"/>
              <w:spacing w:line="360" w:lineRule="auto"/>
              <w:rPr>
                <w:rFonts w:hAnsi="宋体" w:eastAsia="宋体" w:cs="宋体"/>
                <w:color w:val="auto"/>
                <w:sz w:val="24"/>
                <w:highlight w:val="none"/>
              </w:rPr>
            </w:pPr>
            <w:r>
              <w:rPr>
                <w:rFonts w:hAnsi="宋体" w:eastAsia="宋体" w:cs="宋体"/>
                <w:color w:val="auto"/>
                <w:sz w:val="24"/>
                <w:highlight w:val="none"/>
              </w:rPr>
            </w:r>
            <w:r/>
          </w:p>
        </w:tc>
      </w:tr>
    </w:tbl>
    <w:p>
      <w:pPr>
        <w:pStyle w:val="933"/>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w:t>
      </w:r>
      <w:r/>
    </w:p>
    <w:p>
      <w:pPr>
        <w:pStyle w:val="993"/>
        <w:ind w:firstLine="480"/>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投标人</w:t>
      </w:r>
      <w:r>
        <w:rPr>
          <w:rFonts w:hint="eastAsia" w:hAnsi="宋体" w:eastAsia="宋体" w:cs="宋体"/>
          <w:color w:val="auto"/>
          <w:sz w:val="24"/>
          <w:szCs w:val="24"/>
          <w:highlight w:val="none"/>
        </w:rPr>
        <w:t xml:space="preserve">（单位盖章）</w:t>
      </w:r>
      <w:r>
        <w:rPr>
          <w:rFonts w:hint="eastAsia" w:hAnsi="宋体" w:eastAsia="宋体" w:cs="宋体"/>
          <w:bCs/>
          <w:color w:val="auto"/>
          <w:sz w:val="24"/>
          <w:szCs w:val="24"/>
          <w:highlight w:val="none"/>
        </w:rPr>
        <w:t xml:space="preserve">：</w:t>
      </w:r>
      <w:r/>
    </w:p>
    <w:p>
      <w:pPr>
        <w:pStyle w:val="993"/>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    法定代表人或代理人</w:t>
      </w:r>
      <w:r>
        <w:rPr>
          <w:rFonts w:hint="eastAsia" w:hAnsi="宋体" w:eastAsia="宋体" w:cs="宋体"/>
          <w:color w:val="auto"/>
          <w:sz w:val="24"/>
          <w:szCs w:val="24"/>
          <w:highlight w:val="none"/>
        </w:rPr>
        <w:t xml:space="preserve">（签字或盖章）</w:t>
      </w:r>
      <w:r>
        <w:rPr>
          <w:rFonts w:hint="eastAsia" w:hAnsi="宋体" w:eastAsia="宋体" w:cs="宋体"/>
          <w:bCs/>
          <w:color w:val="auto"/>
          <w:sz w:val="24"/>
          <w:szCs w:val="24"/>
          <w:highlight w:val="none"/>
        </w:rPr>
        <w:t xml:space="preserve">：</w:t>
      </w:r>
      <w:r/>
    </w:p>
    <w:p>
      <w:pPr>
        <w:pStyle w:val="993"/>
        <w:ind w:firstLine="480"/>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日期：     年     月     日</w:t>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0"/>
        <w:ind w:right="420" w:firstLine="0"/>
        <w:spacing w:line="360" w:lineRule="auto"/>
        <w:rPr>
          <w:rFonts w:ascii="宋体" w:hAnsi="宋体" w:eastAsia="宋体" w:cs="宋体"/>
          <w:color w:val="auto"/>
          <w:szCs w:val="24"/>
          <w:highlight w:val="none"/>
        </w:rPr>
      </w:pPr>
      <w:r/>
      <w:bookmarkStart w:id="10" w:name="_Toc142194269"/>
      <w:r>
        <w:rPr>
          <w:rFonts w:hint="eastAsia" w:ascii="宋体" w:hAnsi="宋体" w:eastAsia="宋体" w:cs="宋体"/>
          <w:color w:val="auto"/>
          <w:szCs w:val="24"/>
          <w:highlight w:val="none"/>
        </w:rPr>
        <w:br/>
      </w:r>
      <w:r>
        <w:rPr>
          <w:rFonts w:hint="eastAsia" w:ascii="宋体" w:hAnsi="宋体" w:eastAsia="宋体" w:cs="宋体"/>
          <w:color w:val="auto"/>
          <w:szCs w:val="24"/>
          <w:highlight w:val="none"/>
        </w:rPr>
        <w:t xml:space="preserve">5、公开分项报价表</w:t>
      </w:r>
      <w:bookmarkEnd w:id="10"/>
      <w:r/>
      <w:r/>
    </w:p>
    <w:tbl>
      <w:tblPr>
        <w:tblStyle w:val="918"/>
        <w:tblW w:w="96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3"/>
        <w:gridCol w:w="3091"/>
        <w:gridCol w:w="906"/>
        <w:gridCol w:w="906"/>
        <w:gridCol w:w="906"/>
        <w:gridCol w:w="906"/>
        <w:gridCol w:w="1846"/>
      </w:tblGrid>
      <w:tr>
        <w:trPr>
          <w:jc w:val="center"/>
          <w:trHeight w:val="567"/>
        </w:trPr>
        <w:tc>
          <w:tcPr>
            <w:tcW w:w="1093"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序号</w:t>
            </w:r>
            <w:r/>
          </w:p>
        </w:tc>
        <w:tc>
          <w:tcPr>
            <w:tcW w:w="3091"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费用条目</w:t>
            </w:r>
            <w:r/>
          </w:p>
        </w:tc>
        <w:tc>
          <w:tcPr>
            <w:tcW w:w="90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单位</w:t>
            </w:r>
            <w:r/>
          </w:p>
        </w:tc>
        <w:tc>
          <w:tcPr>
            <w:tcW w:w="90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数量</w:t>
            </w:r>
            <w:r/>
          </w:p>
        </w:tc>
        <w:tc>
          <w:tcPr>
            <w:tcW w:w="90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单价</w:t>
            </w:r>
            <w:r/>
          </w:p>
        </w:tc>
        <w:tc>
          <w:tcPr>
            <w:tcW w:w="90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总价</w:t>
            </w:r>
            <w:r/>
          </w:p>
        </w:tc>
        <w:tc>
          <w:tcPr>
            <w:tcW w:w="1846" w:type="dxa"/>
            <w:vAlign w:val="center"/>
            <w:textDirection w:val="lrTb"/>
            <w:noWrap w:val="false"/>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w:t>
            </w:r>
            <w:r/>
          </w:p>
          <w:p>
            <w:pPr>
              <w:jc w:val="center"/>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（品牌型号）</w:t>
            </w:r>
            <w:r/>
          </w:p>
        </w:tc>
      </w:tr>
      <w:tr>
        <w:trPr>
          <w:jc w:val="center"/>
          <w:trHeight w:val="567"/>
        </w:trPr>
        <w:tc>
          <w:tcPr>
            <w:tcW w:w="1093" w:type="dxa"/>
            <w:vAlign w:val="center"/>
            <w:textDirection w:val="lrTb"/>
            <w:noWrap w:val="false"/>
          </w:tcPr>
          <w:p>
            <w:pPr>
              <w:pStyle w:val="920"/>
              <w:ind w:right="21"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3091" w:type="dxa"/>
            <w:vAlign w:val="center"/>
            <w:textDirection w:val="lrTb"/>
            <w:noWrap w:val="false"/>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846" w:type="dxa"/>
            <w:vAlign w:val="center"/>
            <w:textDirection w:val="lrTb"/>
            <w:noWrap w:val="false"/>
          </w:tcPr>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567"/>
        </w:trPr>
        <w:tc>
          <w:tcPr>
            <w:tcW w:w="1093" w:type="dxa"/>
            <w:vAlign w:val="center"/>
            <w:textDirection w:val="lrTb"/>
            <w:noWrap w:val="false"/>
          </w:tcPr>
          <w:p>
            <w:pPr>
              <w:pStyle w:val="920"/>
              <w:ind w:right="21"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W w:w="3091" w:type="dxa"/>
            <w:vAlign w:val="center"/>
            <w:textDirection w:val="lrTb"/>
            <w:noWrap w:val="false"/>
          </w:tcPr>
          <w:p>
            <w:pPr>
              <w:spacing w:line="360" w:lineRule="auto"/>
              <w:rPr>
                <w:rStyle w:val="963"/>
                <w:rFonts w:ascii="宋体" w:hAnsi="宋体" w:eastAsia="宋体" w:cs="宋体"/>
                <w:color w:val="auto"/>
                <w:highlight w:val="none"/>
              </w:rPr>
            </w:pPr>
            <w:r>
              <w:rPr>
                <w:rFonts w:ascii="宋体" w:hAnsi="宋体" w:eastAsia="宋体" w:cs="宋体"/>
                <w:color w:val="auto"/>
                <w:highlight w:val="none"/>
              </w:rPr>
            </w:r>
            <w:r/>
          </w:p>
        </w:tc>
        <w:tc>
          <w:tcPr>
            <w:tcW w:w="906" w:type="dxa"/>
            <w:vAlign w:val="center"/>
            <w:textDirection w:val="lrTb"/>
            <w:noWrap w:val="false"/>
          </w:tcPr>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846" w:type="dxa"/>
            <w:vAlign w:val="center"/>
            <w:textDirection w:val="lrTb"/>
            <w:noWrap w:val="false"/>
          </w:tcPr>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567"/>
        </w:trPr>
        <w:tc>
          <w:tcPr>
            <w:tcW w:w="1093" w:type="dxa"/>
            <w:vAlign w:val="center"/>
            <w:textDirection w:val="lrTb"/>
            <w:noWrap w:val="false"/>
          </w:tcPr>
          <w:p>
            <w:pPr>
              <w:pStyle w:val="920"/>
              <w:ind w:right="21"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W w:w="3091" w:type="dxa"/>
            <w:vAlign w:val="center"/>
            <w:textDirection w:val="lrTb"/>
            <w:noWrap w:val="false"/>
          </w:tcPr>
          <w:p>
            <w:pPr>
              <w:spacing w:line="360" w:lineRule="auto"/>
              <w:rPr>
                <w:rStyle w:val="963"/>
                <w:rFonts w:ascii="宋体" w:hAnsi="宋体" w:eastAsia="宋体" w:cs="宋体"/>
                <w:color w:val="auto"/>
                <w:highlight w:val="none"/>
              </w:rPr>
            </w:pPr>
            <w:r>
              <w:rPr>
                <w:rFonts w:ascii="宋体" w:hAnsi="宋体" w:eastAsia="宋体" w:cs="宋体"/>
                <w:color w:val="auto"/>
                <w:highlight w:val="none"/>
              </w:rPr>
            </w:r>
            <w:r/>
          </w:p>
        </w:tc>
        <w:tc>
          <w:tcPr>
            <w:tcW w:w="906" w:type="dxa"/>
            <w:vAlign w:val="center"/>
            <w:textDirection w:val="lrTb"/>
            <w:noWrap w:val="false"/>
          </w:tcPr>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846" w:type="dxa"/>
            <w:vAlign w:val="center"/>
            <w:textDirection w:val="lrTb"/>
            <w:noWrap w:val="false"/>
          </w:tcPr>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567"/>
        </w:trPr>
        <w:tc>
          <w:tcPr>
            <w:tcW w:w="1093" w:type="dxa"/>
            <w:vAlign w:val="center"/>
            <w:textDirection w:val="lrTb"/>
            <w:noWrap w:val="false"/>
          </w:tcPr>
          <w:p>
            <w:pPr>
              <w:pStyle w:val="920"/>
              <w:ind w:right="21"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4</w:t>
            </w:r>
            <w:r/>
          </w:p>
        </w:tc>
        <w:tc>
          <w:tcPr>
            <w:tcW w:w="3091" w:type="dxa"/>
            <w:vAlign w:val="center"/>
            <w:textDirection w:val="lrTb"/>
            <w:noWrap w:val="false"/>
          </w:tcPr>
          <w:p>
            <w:pPr>
              <w:spacing w:line="360" w:lineRule="auto"/>
              <w:rPr>
                <w:rStyle w:val="963"/>
                <w:rFonts w:ascii="宋体" w:hAnsi="宋体" w:eastAsia="宋体" w:cs="宋体"/>
                <w:color w:val="auto"/>
                <w:highlight w:val="none"/>
              </w:rPr>
            </w:pPr>
            <w:r>
              <w:rPr>
                <w:rFonts w:ascii="宋体" w:hAnsi="宋体" w:eastAsia="宋体" w:cs="宋体"/>
                <w:color w:val="auto"/>
                <w:highlight w:val="none"/>
              </w:rPr>
            </w:r>
            <w:r/>
          </w:p>
        </w:tc>
        <w:tc>
          <w:tcPr>
            <w:tcW w:w="906" w:type="dxa"/>
            <w:vAlign w:val="center"/>
            <w:textDirection w:val="lrTb"/>
            <w:noWrap w:val="false"/>
          </w:tcPr>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846" w:type="dxa"/>
            <w:vAlign w:val="center"/>
            <w:textDirection w:val="lrTb"/>
            <w:noWrap w:val="false"/>
          </w:tcPr>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567"/>
        </w:trPr>
        <w:tc>
          <w:tcPr>
            <w:tcW w:w="1093" w:type="dxa"/>
            <w:vAlign w:val="center"/>
            <w:textDirection w:val="lrTb"/>
            <w:noWrap w:val="false"/>
          </w:tcPr>
          <w:p>
            <w:pPr>
              <w:pStyle w:val="920"/>
              <w:ind w:right="-94" w:firstLine="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tc>
        <w:tc>
          <w:tcPr>
            <w:tcW w:w="3091" w:type="dxa"/>
            <w:vAlign w:val="center"/>
            <w:textDirection w:val="lrTb"/>
            <w:noWrap w:val="false"/>
          </w:tcPr>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846" w:type="dxa"/>
            <w:vAlign w:val="center"/>
            <w:textDirection w:val="lrTb"/>
            <w:noWrap w:val="false"/>
          </w:tcPr>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567"/>
        </w:trPr>
        <w:tc>
          <w:tcPr>
            <w:gridSpan w:val="2"/>
            <w:tcW w:w="4184" w:type="dxa"/>
            <w:vAlign w:val="center"/>
            <w:textDirection w:val="lrTb"/>
            <w:noWrap w:val="false"/>
          </w:tcPr>
          <w:p>
            <w:pPr>
              <w:pStyle w:val="920"/>
              <w:ind w:right="420"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合计金额</w:t>
            </w:r>
            <w:r/>
          </w:p>
        </w:tc>
        <w:tc>
          <w:tcPr>
            <w:gridSpan w:val="5"/>
            <w:tcW w:w="5470" w:type="dxa"/>
            <w:vAlign w:val="center"/>
            <w:textDirection w:val="lrTb"/>
            <w:noWrap w:val="false"/>
          </w:tcPr>
          <w:p>
            <w:pPr>
              <w:pStyle w:val="920"/>
              <w:ind w:right="420"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人民币（大写）</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元（¥（小写）</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元）</w:t>
            </w:r>
            <w:r/>
          </w:p>
        </w:tc>
      </w:tr>
      <w:tr>
        <w:trPr>
          <w:jc w:val="center"/>
          <w:trHeight w:val="567"/>
        </w:trPr>
        <w:tc>
          <w:tcPr>
            <w:gridSpan w:val="7"/>
            <w:tcW w:w="9654" w:type="dxa"/>
            <w:vAlign w:val="center"/>
            <w:textDirection w:val="lrTb"/>
            <w:noWrap w:val="false"/>
          </w:tcPr>
          <w:p>
            <w:pPr>
              <w:pStyle w:val="920"/>
              <w:ind w:right="420" w:firstLine="0"/>
              <w:spacing w:line="360" w:lineRule="auto"/>
              <w:rPr>
                <w:rFonts w:ascii="宋体" w:hAnsi="宋体" w:eastAsia="宋体" w:cs="宋体"/>
                <w:color w:val="auto"/>
                <w:szCs w:val="24"/>
                <w:highlight w:val="none"/>
              </w:rPr>
            </w:pPr>
            <w:r>
              <w:rPr>
                <w:rFonts w:hint="eastAsia" w:ascii="宋体" w:hAnsi="宋体" w:eastAsia="宋体" w:cs="宋体"/>
                <w:bCs/>
                <w:color w:val="auto"/>
                <w:szCs w:val="21"/>
                <w:highlight w:val="none"/>
              </w:rPr>
              <w:t xml:space="preserve">本采购包中提供的符合本国产品标准的产品成本之和占该采购包提供的全部产品成本之和的比例为</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tc>
      </w:tr>
    </w:tbl>
    <w:p>
      <w:pPr>
        <w:pStyle w:val="920"/>
        <w:ind w:right="420" w:firstLine="48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0"/>
        <w:ind w:right="42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注：</w:t>
      </w:r>
      <w:r/>
    </w:p>
    <w:p>
      <w:pPr>
        <w:pStyle w:val="920"/>
        <w:ind w:right="42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1、各投标人应根据此表格式按项目分别填写报价详细清单，如表格内容不够，可自行添加。</w:t>
      </w:r>
      <w:r/>
    </w:p>
    <w:p>
      <w:pPr>
        <w:pStyle w:val="920"/>
        <w:ind w:right="42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2、投标人须对全部采购内容进行报价。如未按照本表规定提供或本表中合计金额与“开标一览表”投标总价不一致的按无效投标报价的投标文件处理。</w:t>
      </w:r>
      <w:r/>
    </w:p>
    <w:p>
      <w:pPr>
        <w:pStyle w:val="920"/>
        <w:ind w:right="420" w:firstLine="482"/>
        <w:spacing w:line="360" w:lineRule="auto"/>
        <w:rPr>
          <w:rFonts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3、本采购包中含有多种产品时，供应商未填写本采购包中提供的符合本国产品标准的产品成本之和占该采购包提供的全部产品成本之和的比例数值的，或比例数值未达到80</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4"/>
          <w:highlight w:val="none"/>
        </w:rPr>
        <w:t xml:space="preserve">的，将不享受本国产品价格评审优惠。</w:t>
      </w:r>
      <w:r/>
    </w:p>
    <w:p>
      <w:pPr>
        <w:pStyle w:val="920"/>
        <w:ind w:right="420" w:firstLine="48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93"/>
        <w:ind w:firstLine="480"/>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投标人</w:t>
      </w:r>
      <w:r>
        <w:rPr>
          <w:rFonts w:hint="eastAsia" w:hAnsi="宋体" w:eastAsia="宋体" w:cs="宋体"/>
          <w:color w:val="auto"/>
          <w:sz w:val="24"/>
          <w:szCs w:val="24"/>
          <w:highlight w:val="none"/>
        </w:rPr>
        <w:t xml:space="preserve">（单位盖章）</w:t>
      </w:r>
      <w:r>
        <w:rPr>
          <w:rFonts w:hint="eastAsia" w:hAnsi="宋体" w:eastAsia="宋体" w:cs="宋体"/>
          <w:bCs/>
          <w:color w:val="auto"/>
          <w:sz w:val="24"/>
          <w:szCs w:val="24"/>
          <w:highlight w:val="none"/>
        </w:rPr>
        <w:t xml:space="preserve">：</w:t>
      </w:r>
      <w:r/>
    </w:p>
    <w:p>
      <w:pPr>
        <w:pStyle w:val="993"/>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    法定代表人或代理人</w:t>
      </w:r>
      <w:r>
        <w:rPr>
          <w:rFonts w:hint="eastAsia" w:hAnsi="宋体" w:eastAsia="宋体" w:cs="宋体"/>
          <w:color w:val="auto"/>
          <w:sz w:val="24"/>
          <w:szCs w:val="24"/>
          <w:highlight w:val="none"/>
        </w:rPr>
        <w:t xml:space="preserve">（签字或盖章）</w:t>
      </w:r>
      <w:r>
        <w:rPr>
          <w:rFonts w:hint="eastAsia" w:hAnsi="宋体" w:eastAsia="宋体" w:cs="宋体"/>
          <w:bCs/>
          <w:color w:val="auto"/>
          <w:sz w:val="24"/>
          <w:szCs w:val="24"/>
          <w:highlight w:val="none"/>
        </w:rPr>
        <w:t xml:space="preserve">：</w:t>
      </w:r>
      <w:r/>
    </w:p>
    <w:p>
      <w:pPr>
        <w:pStyle w:val="993"/>
        <w:ind w:firstLine="480"/>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日期：     年     月     日</w:t>
      </w:r>
      <w:r/>
    </w:p>
    <w:p>
      <w:pPr>
        <w:pStyle w:val="920"/>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spacing w:line="360" w:lineRule="auto"/>
        <w:rPr>
          <w:rFonts w:ascii="宋体" w:hAnsi="宋体" w:eastAsia="宋体" w:cs="宋体"/>
          <w:color w:val="auto"/>
          <w:sz w:val="24"/>
          <w:szCs w:val="24"/>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ascii="宋体" w:hAnsi="宋体" w:eastAsia="宋体" w:cs="宋体"/>
          <w:color w:val="auto"/>
          <w:sz w:val="24"/>
          <w:szCs w:val="24"/>
          <w:highlight w:val="none"/>
        </w:rPr>
      </w:r>
      <w:r/>
    </w:p>
    <w:p>
      <w:pPr>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6、投标产品技术指标对照表</w:t>
      </w:r>
      <w:r/>
    </w:p>
    <w:tbl>
      <w:tblPr>
        <w:tblStyle w:val="918"/>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1558"/>
        <w:gridCol w:w="2266"/>
        <w:gridCol w:w="2266"/>
        <w:gridCol w:w="2316"/>
      </w:tblGrid>
      <w:tr>
        <w:trPr>
          <w:jc w:val="center"/>
          <w:trHeight w:val="567"/>
        </w:trPr>
        <w:tc>
          <w:tcPr>
            <w:tcW w:w="1232" w:type="dxa"/>
            <w:vAlign w:val="center"/>
            <w:textDirection w:val="lrTb"/>
            <w:noWrap/>
          </w:tcPr>
          <w:p>
            <w:pPr>
              <w:pStyle w:val="1007"/>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序号</w:t>
            </w:r>
            <w:r/>
          </w:p>
        </w:tc>
        <w:tc>
          <w:tcPr>
            <w:tcW w:w="1559" w:type="dxa"/>
            <w:vAlign w:val="center"/>
            <w:textDirection w:val="lrTb"/>
            <w:noWrap/>
          </w:tcPr>
          <w:p>
            <w:pPr>
              <w:pStyle w:val="1007"/>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产品名称</w:t>
            </w:r>
            <w:r/>
          </w:p>
        </w:tc>
        <w:tc>
          <w:tcPr>
            <w:tcW w:w="2268" w:type="dxa"/>
            <w:vAlign w:val="center"/>
            <w:textDirection w:val="lrTb"/>
            <w:noWrap/>
          </w:tcPr>
          <w:p>
            <w:pPr>
              <w:pStyle w:val="1007"/>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采购要求</w:t>
            </w:r>
            <w:r/>
          </w:p>
        </w:tc>
        <w:tc>
          <w:tcPr>
            <w:tcW w:w="2268" w:type="dxa"/>
            <w:vAlign w:val="center"/>
            <w:textDirection w:val="lrTb"/>
            <w:noWrap/>
          </w:tcPr>
          <w:p>
            <w:pPr>
              <w:pStyle w:val="1007"/>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投标产品技术参数</w:t>
            </w:r>
            <w:r/>
          </w:p>
        </w:tc>
        <w:tc>
          <w:tcPr>
            <w:tcW w:w="2318" w:type="dxa"/>
            <w:vAlign w:val="center"/>
            <w:textDirection w:val="lrTb"/>
            <w:noWrap/>
          </w:tcPr>
          <w:p>
            <w:pPr>
              <w:pStyle w:val="1007"/>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偏离情况说明</w:t>
            </w:r>
            <w:r/>
          </w:p>
        </w:tc>
      </w:tr>
      <w:tr>
        <w:trPr>
          <w:jc w:val="center"/>
          <w:trHeight w:val="567"/>
        </w:trPr>
        <w:tc>
          <w:tcPr>
            <w:tcW w:w="1232" w:type="dxa"/>
            <w:vAlign w:val="center"/>
            <w:textDirection w:val="lrTb"/>
            <w:noWrap/>
          </w:tcPr>
          <w:p>
            <w:pPr>
              <w:pStyle w:val="1007"/>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1</w:t>
            </w:r>
            <w:r/>
          </w:p>
        </w:tc>
        <w:tc>
          <w:tcPr>
            <w:tcW w:w="1559" w:type="dxa"/>
            <w:vAlign w:val="center"/>
            <w:textDirection w:val="lrTb"/>
            <w:noWrap/>
          </w:tcPr>
          <w:p>
            <w:pPr>
              <w:pStyle w:val="1007"/>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268" w:type="dxa"/>
            <w:vAlign w:val="center"/>
            <w:textDirection w:val="lrTb"/>
            <w:noWrap/>
          </w:tcPr>
          <w:p>
            <w:pPr>
              <w:pStyle w:val="1007"/>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268" w:type="dxa"/>
            <w:vAlign w:val="center"/>
            <w:textDirection w:val="lrTb"/>
            <w:noWrap/>
          </w:tcPr>
          <w:p>
            <w:pPr>
              <w:pStyle w:val="1007"/>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318" w:type="dxa"/>
            <w:vAlign w:val="center"/>
            <w:textDirection w:val="lrTb"/>
            <w:noWrap/>
          </w:tcPr>
          <w:p>
            <w:pPr>
              <w:pStyle w:val="1007"/>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r>
      <w:tr>
        <w:trPr>
          <w:jc w:val="center"/>
          <w:trHeight w:val="567"/>
        </w:trPr>
        <w:tc>
          <w:tcPr>
            <w:tcW w:w="1232" w:type="dxa"/>
            <w:vAlign w:val="center"/>
            <w:textDirection w:val="lrTb"/>
            <w:noWrap/>
          </w:tcPr>
          <w:p>
            <w:pPr>
              <w:pStyle w:val="1007"/>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2</w:t>
            </w:r>
            <w:r/>
          </w:p>
        </w:tc>
        <w:tc>
          <w:tcPr>
            <w:tcW w:w="1559" w:type="dxa"/>
            <w:vAlign w:val="center"/>
            <w:textDirection w:val="lrTb"/>
            <w:noWrap/>
          </w:tcPr>
          <w:p>
            <w:pPr>
              <w:pStyle w:val="1007"/>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268" w:type="dxa"/>
            <w:vAlign w:val="center"/>
            <w:textDirection w:val="lrTb"/>
            <w:noWrap/>
          </w:tcPr>
          <w:p>
            <w:pPr>
              <w:pStyle w:val="1007"/>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268" w:type="dxa"/>
            <w:vAlign w:val="center"/>
            <w:textDirection w:val="lrTb"/>
            <w:noWrap/>
          </w:tcPr>
          <w:p>
            <w:pPr>
              <w:pStyle w:val="1007"/>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318" w:type="dxa"/>
            <w:vAlign w:val="center"/>
            <w:textDirection w:val="lrTb"/>
            <w:noWrap/>
          </w:tcPr>
          <w:p>
            <w:pPr>
              <w:pStyle w:val="1007"/>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r>
      <w:tr>
        <w:trPr>
          <w:jc w:val="center"/>
          <w:trHeight w:val="567"/>
        </w:trPr>
        <w:tc>
          <w:tcPr>
            <w:tcW w:w="1232" w:type="dxa"/>
            <w:vAlign w:val="center"/>
            <w:textDirection w:val="lrTb"/>
            <w:noWrap/>
          </w:tcPr>
          <w:p>
            <w:pPr>
              <w:pStyle w:val="1007"/>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3</w:t>
            </w:r>
            <w:r/>
          </w:p>
        </w:tc>
        <w:tc>
          <w:tcPr>
            <w:tcW w:w="1559" w:type="dxa"/>
            <w:vAlign w:val="center"/>
            <w:textDirection w:val="lrTb"/>
            <w:noWrap/>
          </w:tcPr>
          <w:p>
            <w:pPr>
              <w:pStyle w:val="1007"/>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268" w:type="dxa"/>
            <w:vAlign w:val="center"/>
            <w:textDirection w:val="lrTb"/>
            <w:noWrap/>
          </w:tcPr>
          <w:p>
            <w:pPr>
              <w:pStyle w:val="1007"/>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268" w:type="dxa"/>
            <w:vAlign w:val="center"/>
            <w:textDirection w:val="lrTb"/>
            <w:noWrap/>
          </w:tcPr>
          <w:p>
            <w:pPr>
              <w:pStyle w:val="1007"/>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318" w:type="dxa"/>
            <w:vAlign w:val="center"/>
            <w:textDirection w:val="lrTb"/>
            <w:noWrap/>
          </w:tcPr>
          <w:p>
            <w:pPr>
              <w:pStyle w:val="1007"/>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r>
      <w:tr>
        <w:trPr>
          <w:jc w:val="center"/>
          <w:trHeight w:val="567"/>
        </w:trPr>
        <w:tc>
          <w:tcPr>
            <w:tcW w:w="1232" w:type="dxa"/>
            <w:vAlign w:val="center"/>
            <w:textDirection w:val="lrTb"/>
            <w:noWrap/>
          </w:tcPr>
          <w:p>
            <w:pPr>
              <w:pStyle w:val="1007"/>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4</w:t>
            </w:r>
            <w:r/>
          </w:p>
        </w:tc>
        <w:tc>
          <w:tcPr>
            <w:tcW w:w="1559" w:type="dxa"/>
            <w:vAlign w:val="center"/>
            <w:textDirection w:val="lrTb"/>
            <w:noWrap/>
          </w:tcPr>
          <w:p>
            <w:pPr>
              <w:pStyle w:val="1007"/>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268" w:type="dxa"/>
            <w:vAlign w:val="center"/>
            <w:textDirection w:val="lrTb"/>
            <w:noWrap/>
          </w:tcPr>
          <w:p>
            <w:pPr>
              <w:pStyle w:val="1007"/>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268" w:type="dxa"/>
            <w:vAlign w:val="center"/>
            <w:textDirection w:val="lrTb"/>
            <w:noWrap/>
          </w:tcPr>
          <w:p>
            <w:pPr>
              <w:pStyle w:val="1007"/>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318" w:type="dxa"/>
            <w:vAlign w:val="center"/>
            <w:textDirection w:val="lrTb"/>
            <w:noWrap/>
          </w:tcPr>
          <w:p>
            <w:pPr>
              <w:pStyle w:val="1007"/>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r>
      <w:tr>
        <w:trPr>
          <w:jc w:val="center"/>
          <w:trHeight w:val="567"/>
        </w:trPr>
        <w:tc>
          <w:tcPr>
            <w:tcW w:w="1232" w:type="dxa"/>
            <w:vAlign w:val="center"/>
            <w:textDirection w:val="lrTb"/>
            <w:noWrap/>
          </w:tcPr>
          <w:p>
            <w:pPr>
              <w:pStyle w:val="1007"/>
              <w:jc w:val="center"/>
              <w:spacing w:line="360" w:lineRule="auto"/>
              <w:rPr>
                <w:rFonts w:hAnsi="宋体" w:eastAsia="宋体" w:cs="宋体"/>
                <w:color w:val="auto"/>
                <w:sz w:val="24"/>
                <w:szCs w:val="24"/>
                <w:highlight w:val="none"/>
              </w:rPr>
            </w:pPr>
            <w:r>
              <w:rPr>
                <w:rFonts w:hint="eastAsia" w:hAnsi="宋体" w:eastAsia="宋体" w:cs="宋体"/>
                <w:bCs/>
                <w:color w:val="auto"/>
                <w:sz w:val="24"/>
                <w:szCs w:val="24"/>
                <w:highlight w:val="none"/>
              </w:rPr>
              <w:t xml:space="preserve">......</w:t>
            </w:r>
            <w:r/>
          </w:p>
        </w:tc>
        <w:tc>
          <w:tcPr>
            <w:tcW w:w="1559" w:type="dxa"/>
            <w:vAlign w:val="center"/>
            <w:textDirection w:val="lrTb"/>
            <w:noWrap/>
          </w:tcPr>
          <w:p>
            <w:pPr>
              <w:pStyle w:val="1007"/>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268" w:type="dxa"/>
            <w:vAlign w:val="center"/>
            <w:textDirection w:val="lrTb"/>
            <w:noWrap/>
          </w:tcPr>
          <w:p>
            <w:pPr>
              <w:pStyle w:val="1007"/>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268" w:type="dxa"/>
            <w:vAlign w:val="center"/>
            <w:textDirection w:val="lrTb"/>
            <w:noWrap/>
          </w:tcPr>
          <w:p>
            <w:pPr>
              <w:pStyle w:val="1007"/>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318" w:type="dxa"/>
            <w:vAlign w:val="center"/>
            <w:textDirection w:val="lrTb"/>
            <w:noWrap/>
          </w:tcPr>
          <w:p>
            <w:pPr>
              <w:pStyle w:val="1007"/>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r>
    </w:tbl>
    <w:p>
      <w:pPr>
        <w:pStyle w:val="933"/>
        <w:ind w:firstLine="480"/>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ind w:firstLine="480"/>
        <w:spacing w:line="360" w:lineRule="auto"/>
        <w:tabs>
          <w:tab w:val="left" w:pos="142" w:leader="none"/>
          <w:tab w:val="left" w:pos="60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投标人（单位盖章）：</w:t>
      </w:r>
      <w:r/>
    </w:p>
    <w:p>
      <w:pPr>
        <w:ind w:firstLine="480"/>
        <w:spacing w:line="360" w:lineRule="auto"/>
        <w:tabs>
          <w:tab w:val="left" w:pos="142" w:leader="none"/>
          <w:tab w:val="left" w:pos="60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法定代表人或代理人（签字或盖章）：</w:t>
      </w:r>
      <w:r/>
    </w:p>
    <w:p>
      <w:pPr>
        <w:ind w:firstLine="480"/>
        <w:spacing w:line="360" w:lineRule="auto"/>
        <w:tabs>
          <w:tab w:val="left" w:pos="142" w:leader="none"/>
          <w:tab w:val="left" w:pos="60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     年     月     日</w:t>
      </w:r>
      <w:r/>
    </w:p>
    <w:p>
      <w:pPr>
        <w:ind w:firstLine="480"/>
        <w:spacing w:line="360" w:lineRule="auto"/>
        <w:tabs>
          <w:tab w:val="left" w:pos="142" w:leader="none"/>
          <w:tab w:val="left" w:pos="600" w:leader="none"/>
        </w:tabs>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tabs>
          <w:tab w:val="left" w:pos="142" w:leader="none"/>
          <w:tab w:val="left" w:pos="60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w:t>
      </w:r>
      <w:r/>
    </w:p>
    <w:p>
      <w:pPr>
        <w:ind w:firstLine="480"/>
        <w:spacing w:line="360" w:lineRule="auto"/>
        <w:tabs>
          <w:tab w:val="left" w:pos="142" w:leader="none"/>
          <w:tab w:val="left" w:pos="60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投标人应在本表中对照招标文件技术要求逐项对应列出响应内容，并在“偏离情况说明”项下填写以下内容：优于的，填写“正偏离”；符合的，填写“无偏离”；低于的，填写“负偏离”。</w:t>
      </w:r>
      <w:r/>
    </w:p>
    <w:p>
      <w:pPr>
        <w:ind w:firstLine="480"/>
        <w:spacing w:line="360" w:lineRule="auto"/>
        <w:tabs>
          <w:tab w:val="left" w:pos="142" w:leader="none"/>
          <w:tab w:val="left" w:pos="60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产品与招标文件技术要求的规定有偏离的，应在此表中申明与技术要求条文的偏差和例外。未在此表中说明的，如在投标文件其他内容中已有文字说明的，则以已有文字说明为准，否则将被认为完全响应招标文件的规定，但该表不能替代投标产品对招标文件技术要求应作出的详细描述和说明。</w:t>
      </w:r>
      <w:r/>
    </w:p>
    <w:p>
      <w:pPr>
        <w:pStyle w:val="993"/>
        <w:spacing w:line="360" w:lineRule="auto"/>
        <w:rPr>
          <w:rFonts w:hAnsi="宋体" w:eastAsia="宋体" w:cs="宋体"/>
          <w:b/>
          <w:color w:val="auto"/>
          <w:sz w:val="24"/>
          <w:szCs w:val="24"/>
          <w:highlight w:val="none"/>
          <w:lang w:val="zh-CN"/>
        </w:rPr>
      </w:pPr>
      <w:r>
        <w:rPr>
          <w:rFonts w:cs="宋体"/>
          <w:b/>
          <w:bCs/>
          <w:color w:val="auto"/>
          <w:sz w:val="24"/>
          <w:szCs w:val="24"/>
          <w:highlight w:val="none"/>
        </w:rPr>
        <w:br w:type="page" w:clear="all"/>
      </w:r>
      <w:r>
        <w:rPr>
          <w:rFonts w:hint="eastAsia" w:hAnsi="宋体" w:eastAsia="宋体" w:cs="宋体"/>
          <w:color w:val="auto"/>
          <w:sz w:val="24"/>
          <w:szCs w:val="24"/>
          <w:highlight w:val="none"/>
        </w:rPr>
        <w:t xml:space="preserve">7、中小企业声明函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 号）的规定，本公司参加的</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（招标文件中明确的所属行业）行业</w:t>
      </w:r>
      <w:r>
        <w:rPr>
          <w:rFonts w:hint="eastAsia" w:ascii="宋体" w:hAnsi="宋体" w:eastAsia="宋体" w:cs="宋体"/>
          <w:color w:val="auto"/>
          <w:sz w:val="24"/>
          <w:szCs w:val="24"/>
          <w:highlight w:val="none"/>
        </w:rPr>
        <w:t xml:space="preserve">；制造商为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招标文件中明确的所属行业）行业</w:t>
      </w:r>
      <w:r>
        <w:rPr>
          <w:rFonts w:hint="eastAsia" w:ascii="宋体" w:hAnsi="宋体" w:eastAsia="宋体" w:cs="宋体"/>
          <w:color w:val="auto"/>
          <w:sz w:val="24"/>
          <w:szCs w:val="24"/>
          <w:highlight w:val="none"/>
        </w:rPr>
        <w:t xml:space="preserve">；制造商为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从业人员、营业收入、资产总额填报上一年度数据，无上一年度数据的新成立企业可不填报；</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若供应商未在此函中对（中型企业、小型企业、微型企业）明确选择，视为非中小企业，不享受中小企业扶持政策；</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若供应商提供的“中小企业声明函”内容不实的，属于提供虚假材料谋取中标、成交，依照《中华人民共和国政府采购法》等国家有关规定追究相应责任。</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ascii="宋体" w:hAnsi="宋体" w:eastAsia="宋体" w:cs="宋体"/>
          <w:b/>
          <w:color w:val="auto"/>
          <w:sz w:val="24"/>
          <w:szCs w:val="24"/>
          <w:highlight w:val="none"/>
        </w:rPr>
        <w:outlineLvl w:val="0"/>
      </w:pPr>
      <w:r>
        <w:rPr>
          <w:rFonts w:hint="eastAsia" w:ascii="宋体" w:hAnsi="宋体" w:eastAsia="宋体" w:cs="宋体"/>
          <w:color w:val="auto"/>
          <w:sz w:val="24"/>
          <w:szCs w:val="24"/>
          <w:highlight w:val="none"/>
        </w:rPr>
        <w:t xml:space="preserve">5、中标供应商为中小企业的，《中小企业声明函》将随中标结果同时公告。</w:t>
      </w: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24"/>
          <w:szCs w:val="24"/>
          <w:highlight w:val="none"/>
        </w:rPr>
        <w:t xml:space="preserve">附：中小企业划型标准规定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（一）农、林、牧、渔业。</w:t>
      </w:r>
      <w:r>
        <w:rPr>
          <w:rFonts w:hint="eastAsia" w:ascii="宋体" w:hAnsi="宋体" w:eastAsia="宋体" w:cs="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（二）工业。</w:t>
      </w:r>
      <w:r>
        <w:rPr>
          <w:rFonts w:hint="eastAsia" w:ascii="宋体" w:hAnsi="宋体" w:eastAsia="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（三）建筑业。</w:t>
      </w:r>
      <w:r>
        <w:rPr>
          <w:rFonts w:hint="eastAsia" w:ascii="宋体" w:hAnsi="宋体" w:eastAsia="宋体" w:cs="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（四）批发业。</w:t>
      </w:r>
      <w:r>
        <w:rPr>
          <w:rFonts w:hint="eastAsia" w:ascii="宋体" w:hAnsi="宋体" w:eastAsia="宋体" w:cs="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（五）零售业。</w:t>
      </w:r>
      <w:r>
        <w:rPr>
          <w:rFonts w:hint="eastAsia" w:ascii="宋体" w:hAnsi="宋体" w:eastAsia="宋体" w:cs="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（六）交通运输业。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（七）仓储业。</w:t>
      </w:r>
      <w:r>
        <w:rPr>
          <w:rFonts w:hint="eastAsia" w:ascii="宋体" w:hAnsi="宋体" w:eastAsia="宋体" w:cs="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（八）邮政业。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（九）住宿业。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（十）餐饮业。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（十一）信息传输业。</w:t>
      </w:r>
      <w:r>
        <w:rPr>
          <w:rFonts w:hint="eastAsia" w:ascii="宋体" w:hAnsi="宋体" w:eastAsia="宋体" w:cs="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（十二）软件和信息技术服务业。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（十三）房地产开发经营。</w:t>
      </w:r>
      <w:r>
        <w:rPr>
          <w:rFonts w:hint="eastAsia" w:ascii="宋体" w:hAnsi="宋体" w:eastAsia="宋体" w:cs="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（十四）物业管理。</w:t>
      </w:r>
      <w:r>
        <w:rPr>
          <w:rFonts w:hint="eastAsia" w:ascii="宋体" w:hAnsi="宋体" w:eastAsia="宋体" w:cs="宋体"/>
          <w:color w:val="auto"/>
          <w:sz w:val="24"/>
          <w:szCs w:val="24"/>
          <w:highlight w:val="none"/>
        </w:rPr>
        <w:t xml:space="preserve">从业人员1000人以下或营业收入5000万元以下的为中小微型企业。其中，从业人员</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（十五）租赁和商务服务业。</w:t>
      </w:r>
      <w:r>
        <w:rPr>
          <w:rFonts w:hint="eastAsia" w:ascii="宋体" w:hAnsi="宋体" w:eastAsia="宋体" w:cs="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（十六）其他未列明行业。</w:t>
      </w:r>
      <w:r>
        <w:rPr>
          <w:rFonts w:hint="eastAsia" w:ascii="宋体" w:hAnsi="宋体" w:eastAsia="宋体" w:cs="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spacing w:line="360" w:lineRule="auto"/>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360" w:lineRule="auto"/>
        <w:rPr>
          <w:rFonts w:ascii="宋体" w:hAnsi="宋体" w:eastAsia="宋体" w:cs="宋体"/>
          <w:b/>
          <w:bCs/>
          <w:color w:val="auto"/>
          <w:sz w:val="24"/>
          <w:szCs w:val="24"/>
          <w:highlight w:val="none"/>
        </w:rPr>
        <w:sectPr>
          <w:footnotePr/>
          <w:endnotePr/>
          <w:type w:val="nextPage"/>
          <w:pgSz w:w="11906" w:h="16838" w:orient="portrait"/>
          <w:pgMar w:top="1134" w:right="1134" w:bottom="1134" w:left="1134" w:header="851" w:footer="992" w:gutter="0"/>
          <w:cols w:num="1" w:sep="0" w:space="720" w:equalWidth="1"/>
          <w:docGrid w:linePitch="360"/>
        </w:sectPr>
        <w:outlineLvl w:val="0"/>
      </w:pPr>
      <w:r>
        <w:rPr>
          <w:rFonts w:ascii="宋体" w:hAnsi="宋体" w:eastAsia="宋体" w:cs="宋体"/>
          <w:b/>
          <w:bCs/>
          <w:color w:val="auto"/>
          <w:sz w:val="24"/>
          <w:szCs w:val="24"/>
          <w:highlight w:val="none"/>
        </w:rPr>
      </w:r>
      <w:r/>
    </w:p>
    <w:p>
      <w:pPr>
        <w:spacing w:line="360" w:lineRule="auto"/>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8、残疾人福利性单位声明函</w:t>
      </w:r>
      <w:r/>
    </w:p>
    <w:p>
      <w:pP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本单位对上述声明的真实性负责。如有虚假，将依法承担相应责任。</w:t>
      </w:r>
      <w:r/>
    </w:p>
    <w:p>
      <w:pPr>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rPr>
        <w:t xml:space="preserve">（单位公章）：</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ascii="宋体" w:hAnsi="宋体" w:eastAsia="宋体" w:cs="宋体"/>
          <w:color w:val="auto"/>
          <w:sz w:val="24"/>
          <w:szCs w:val="24"/>
          <w:highlight w:val="none"/>
        </w:rPr>
        <w:outlineLvl w:val="0"/>
      </w:pPr>
      <w:r>
        <w:rPr>
          <w:rFonts w:ascii="宋体" w:hAnsi="宋体" w:eastAsia="宋体" w:cs="宋体"/>
          <w:color w:val="auto"/>
          <w:sz w:val="24"/>
          <w:szCs w:val="24"/>
          <w:highlight w:val="none"/>
        </w:rPr>
      </w:r>
      <w:r/>
    </w:p>
    <w:p>
      <w:pPr>
        <w:spacing w:line="360" w:lineRule="auto"/>
        <w:rPr>
          <w:rFonts w:ascii="宋体" w:hAnsi="宋体" w:eastAsia="宋体" w:cs="宋体"/>
          <w:color w:val="auto"/>
          <w:sz w:val="24"/>
          <w:szCs w:val="24"/>
          <w:highlight w:val="none"/>
        </w:rPr>
        <w:sectPr>
          <w:footnotePr/>
          <w:endnotePr/>
          <w:type w:val="nextPage"/>
          <w:pgSz w:w="11906" w:h="16838" w:orient="portrait"/>
          <w:pgMar w:top="1134" w:right="1134" w:bottom="1134" w:left="1134" w:header="851" w:footer="992" w:gutter="0"/>
          <w:cols w:num="1" w:sep="0" w:space="720" w:equalWidth="1"/>
          <w:docGrid w:linePitch="360"/>
        </w:sectPr>
        <w:outlineLvl w:val="0"/>
      </w:pPr>
      <w:r>
        <w:rPr>
          <w:rFonts w:ascii="宋体" w:hAnsi="宋体" w:eastAsia="宋体" w:cs="宋体"/>
          <w:color w:val="auto"/>
          <w:sz w:val="24"/>
          <w:szCs w:val="24"/>
          <w:highlight w:val="none"/>
        </w:rPr>
      </w:r>
      <w:r/>
    </w:p>
    <w:p>
      <w:pPr>
        <w:spacing w:line="360" w:lineRule="auto"/>
        <w:rPr>
          <w:rFonts w:ascii="方正魏碑_GBK" w:hAnsi="方正魏碑_GBK"/>
          <w:color w:val="auto"/>
          <w:sz w:val="24"/>
          <w:szCs w:val="24"/>
          <w:highlight w:val="none"/>
        </w:rPr>
        <w:outlineLvl w:val="0"/>
      </w:pPr>
      <w:r>
        <w:rPr>
          <w:rFonts w:hint="eastAsia" w:ascii="宋体" w:hAnsi="宋体" w:eastAsia="宋体" w:cs="宋体"/>
          <w:color w:val="auto"/>
          <w:sz w:val="24"/>
          <w:szCs w:val="24"/>
          <w:highlight w:val="none"/>
        </w:rPr>
        <w:t xml:space="preserve">8、关于符合本国产品标准的声明函（采购包号：**）</w:t>
      </w:r>
      <w:r>
        <w:rPr>
          <w:rFonts w:ascii="方正魏碑_GBK" w:hAnsi="方正魏碑_GBK"/>
          <w:color w:val="auto"/>
          <w:sz w:val="24"/>
          <w:szCs w:val="24"/>
          <w:highlight w:val="none"/>
        </w:rPr>
        <w:t xml:space="preserve"> </w:t>
      </w:r>
      <w:r/>
    </w:p>
    <w:p>
      <w:pPr>
        <w:pStyle w:val="955"/>
        <w:ind w:firstLine="420"/>
        <w:spacing w:before="0" w:after="0" w:line="360" w:lineRule="auto"/>
        <w:rPr>
          <w:rFonts w:hint="default" w:cs="宋体"/>
          <w:color w:val="auto"/>
          <w:highlight w:val="none"/>
        </w:rPr>
      </w:pPr>
      <w:r>
        <w:rPr>
          <w:rFonts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55"/>
        <w:ind w:firstLine="420"/>
        <w:spacing w:before="0" w:after="30" w:line="360" w:lineRule="auto"/>
        <w:rPr>
          <w:rFonts w:hint="default" w:cs="宋体"/>
          <w:color w:val="auto"/>
          <w:highlight w:val="none"/>
        </w:rPr>
      </w:pP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1457325</wp:posOffset>
                </wp:positionH>
                <wp:positionV relativeFrom="paragraph">
                  <wp:posOffset>472440</wp:posOffset>
                </wp:positionV>
                <wp:extent cx="728345" cy="247650"/>
                <wp:effectExtent l="0" t="0" r="14604" b="0"/>
                <wp:wrapNone/>
                <wp:docPr id="4" name="图片 5"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C:\Users\Administrator\AppData\Local\Temp\ksohtml13132\wps25.png"/>
                        <pic:cNvPicPr>
                          <a:picLocks noChangeAspect="1"/>
                        </pic:cNvPicPr>
                        <pic:nvPr/>
                      </pic:nvPicPr>
                      <pic:blipFill>
                        <a:blip r:embed="rId1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4384;o:allowoverlap:true;o:allowincell:true;mso-position-horizontal-relative:text;margin-left:114.8pt;mso-position-horizontal:absolute;mso-position-vertical-relative:text;margin-top:37.2pt;mso-position-vertical:absolute;width:57.3pt;height:19.5pt;mso-wrap-distance-left:9.0pt;mso-wrap-distance-top:0.0pt;mso-wrap-distance-right:9.0pt;mso-wrap-distance-bottom:0.0pt;" stroked="f">
                <v:path textboxrect="0,0,0,0"/>
                <v:imagedata r:id="rId18"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424180</wp:posOffset>
                </wp:positionH>
                <wp:positionV relativeFrom="paragraph">
                  <wp:posOffset>472440</wp:posOffset>
                </wp:positionV>
                <wp:extent cx="728345" cy="247650"/>
                <wp:effectExtent l="0" t="0" r="14604" b="0"/>
                <wp:wrapNone/>
                <wp:docPr id="5" name="图片 3"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C:\Users\Administrator\AppData\Local\Temp\ksohtml13132\wps25.png"/>
                        <pic:cNvPicPr>
                          <a:picLocks noChangeAspect="1"/>
                        </pic:cNvPicPr>
                        <pic:nvPr/>
                      </pic:nvPicPr>
                      <pic:blipFill>
                        <a:blip r:embed="rId1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33.4pt;mso-position-horizontal:absolute;mso-position-vertical-relative:text;margin-top:37.2pt;mso-position-vertical:absolute;width:57.3pt;height:19.5pt;mso-wrap-distance-left:9.0pt;mso-wrap-distance-top:0.0pt;mso-wrap-distance-right:9.0pt;mso-wrap-distance-bottom:0.0pt;" stroked="f">
                <v:path textboxrect="0,0,0,0"/>
                <v:imagedata r:id="rId18"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4004945</wp:posOffset>
                </wp:positionH>
                <wp:positionV relativeFrom="paragraph">
                  <wp:posOffset>253365</wp:posOffset>
                </wp:positionV>
                <wp:extent cx="728345" cy="247650"/>
                <wp:effectExtent l="0" t="0" r="14604" b="0"/>
                <wp:wrapNone/>
                <wp:docPr id="6" name="图片 4"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C:\Users\Administrator\AppData\Local\Temp\ksohtml13132\wps25.png"/>
                        <pic:cNvPicPr>
                          <a:picLocks noChangeAspect="1"/>
                        </pic:cNvPicPr>
                        <pic:nvPr/>
                      </pic:nvPicPr>
                      <pic:blipFill>
                        <a:blip r:embed="rId1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2336;o:allowoverlap:true;o:allowincell:true;mso-position-horizontal-relative:text;margin-left:315.3pt;mso-position-horizontal:absolute;mso-position-vertical-relative:text;margin-top:19.9pt;mso-position-vertical:absolute;width:57.3pt;height:19.5pt;mso-wrap-distance-left:9.0pt;mso-wrap-distance-top:0.0pt;mso-wrap-distance-right:9.0pt;mso-wrap-distance-bottom:0.0pt;" stroked="f">
                <v:path textboxrect="0,0,0,0"/>
                <v:imagedata r:id="rId18"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2912110</wp:posOffset>
                </wp:positionH>
                <wp:positionV relativeFrom="paragraph">
                  <wp:posOffset>253365</wp:posOffset>
                </wp:positionV>
                <wp:extent cx="728345" cy="247650"/>
                <wp:effectExtent l="0" t="0" r="14604" b="0"/>
                <wp:wrapNone/>
                <wp:docPr id="7" name="图片 2"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C:\Users\Administrator\AppData\Local\Temp\ksohtml13132\wps25.png"/>
                        <pic:cNvPicPr>
                          <a:picLocks noChangeAspect="1"/>
                        </pic:cNvPicPr>
                        <pic:nvPr/>
                      </pic:nvPicPr>
                      <pic:blipFill>
                        <a:blip r:embed="rId1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1312;o:allowoverlap:true;o:allowincell:true;mso-position-horizontal-relative:text;margin-left:229.3pt;mso-position-horizontal:absolute;mso-position-vertical-relative:text;margin-top:19.9pt;mso-position-vertical:absolute;width:57.3pt;height:19.5pt;mso-wrap-distance-left:9.0pt;mso-wrap-distance-top:0.0pt;mso-wrap-distance-right:9.0pt;mso-wrap-distance-bottom:0.0pt;" stroked="f">
                <v:path textboxrect="0,0,0,0"/>
                <v:imagedata r:id="rId18"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1821180</wp:posOffset>
                </wp:positionH>
                <wp:positionV relativeFrom="paragraph">
                  <wp:posOffset>253365</wp:posOffset>
                </wp:positionV>
                <wp:extent cx="728345" cy="247650"/>
                <wp:effectExtent l="0" t="0" r="14604" b="0"/>
                <wp:wrapNone/>
                <wp:docPr id="8" name="图片 1"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C:\Users\Administrator\AppData\Local\Temp\ksohtml13132\wps25.png"/>
                        <pic:cNvPicPr>
                          <a:picLocks noChangeAspect="1"/>
                        </pic:cNvPicPr>
                        <pic:nvPr/>
                      </pic:nvPicPr>
                      <pic:blipFill>
                        <a:blip r:embed="rId1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0288;o:allowoverlap:true;o:allowincell:true;mso-position-horizontal-relative:text;margin-left:143.4pt;mso-position-horizontal:absolute;mso-position-vertical-relative:text;margin-top:19.9pt;mso-position-vertical:absolute;width:57.3pt;height:19.5pt;mso-wrap-distance-left:9.0pt;mso-wrap-distance-top:0.0pt;mso-wrap-distance-right:9.0pt;mso-wrap-distance-bottom:0.0pt;" stroked="f">
                <v:path textboxrect="0,0,0,0"/>
                <v:imagedata r:id="rId18"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4810125</wp:posOffset>
                </wp:positionH>
                <wp:positionV relativeFrom="paragraph">
                  <wp:posOffset>5715</wp:posOffset>
                </wp:positionV>
                <wp:extent cx="728345" cy="247650"/>
                <wp:effectExtent l="0" t="0" r="14604" b="0"/>
                <wp:wrapNone/>
                <wp:docPr id="9" name="图片 24"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4" descr="C:\Users\Administrator\AppData\Local\Temp\ksohtml13132\wps25.png"/>
                        <pic:cNvPicPr>
                          <a:picLocks noChangeAspect="1"/>
                        </pic:cNvPicPr>
                        <pic:nvPr/>
                      </pic:nvPicPr>
                      <pic:blipFill>
                        <a:blip r:embed="rId1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378.8pt;mso-position-horizontal:absolute;mso-position-vertical-relative:text;margin-top:0.4pt;mso-position-vertical:absolute;width:57.3pt;height:19.5pt;mso-wrap-distance-left:9.0pt;mso-wrap-distance-top:0.0pt;mso-wrap-distance-right:9.0pt;mso-wrap-distance-bottom:0.0pt;" stroked="f">
                <v:path textboxrect="0,0,0,0"/>
                <v:imagedata r:id="rId18" o:title=""/>
              </v:shape>
            </w:pict>
          </mc:Fallback>
        </mc:AlternateContent>
      </w:r>
      <w:r>
        <w:rPr>
          <w:rFonts w:cs="宋体"/>
          <w:color w:val="auto"/>
          <w:highlight w:val="none"/>
          <w:shd w:val="clear" w:color="auto" w:fill="ffffff"/>
        </w:rPr>
        <w:t xml:space="preserve">1.</w:t>
      </w:r>
      <w:r>
        <w:rPr>
          <w:rStyle w:val="1046"/>
          <w:rFonts w:hint="eastAsia" w:ascii="宋体" w:hAnsi="宋体" w:cs="宋体"/>
          <w:i w:val="0"/>
          <w:color w:val="auto"/>
          <w:highlight w:val="none"/>
          <w:u w:val="single"/>
          <w:shd w:val="clear" w:color="auto" w:fill="ffffff"/>
        </w:rPr>
        <w:t xml:space="preserve">（产品名称1）</w:t>
      </w:r>
      <w:r>
        <w:rPr>
          <w:rStyle w:val="1046"/>
          <w:rFonts w:hint="eastAsia" w:ascii="宋体" w:hAnsi="宋体" w:cs="宋体"/>
          <w:i w:val="0"/>
          <w:color w:val="auto"/>
          <w:highlight w:val="none"/>
          <w:shd w:val="clear" w:color="auto" w:fill="ffffff"/>
          <w:vertAlign w:val="superscript"/>
        </w:rPr>
        <w:t xml:space="preserve">1</w:t>
      </w:r>
      <w:r>
        <w:rPr>
          <w:rFonts w:cs="宋体"/>
          <w:color w:val="auto"/>
          <w:highlight w:val="none"/>
          <w:shd w:val="clear" w:color="auto" w:fill="ffffff"/>
        </w:rPr>
        <w:t xml:space="preserve">，生产厂为</w:t>
      </w:r>
      <w:r>
        <w:rPr>
          <w:rStyle w:val="1046"/>
          <w:rFonts w:hint="eastAsia" w:ascii="宋体" w:hAnsi="宋体" w:cs="宋体"/>
          <w:i w:val="0"/>
          <w:color w:val="auto"/>
          <w:highlight w:val="none"/>
          <w:u w:val="single"/>
          <w:shd w:val="clear" w:color="auto" w:fill="ffffff"/>
        </w:rPr>
        <w:t xml:space="preserve">（厂名）</w:t>
      </w:r>
      <w:r>
        <w:rPr>
          <w:rStyle w:val="1046"/>
          <w:rFonts w:hint="eastAsia" w:ascii="宋体" w:hAnsi="宋体" w:cs="宋体"/>
          <w:i w:val="0"/>
          <w:color w:val="auto"/>
          <w:highlight w:val="none"/>
          <w:shd w:val="clear" w:color="auto" w:fill="ffffff"/>
          <w:vertAlign w:val="superscript"/>
        </w:rPr>
        <w:t xml:space="preserve">2</w:t>
      </w:r>
      <w:r>
        <w:rPr>
          <w:rFonts w:cs="宋体"/>
          <w:color w:val="auto"/>
          <w:highlight w:val="none"/>
          <w:shd w:val="clear" w:color="auto" w:fill="ffffff"/>
        </w:rPr>
        <w:t xml:space="preserve">，厂址为</w:t>
      </w:r>
      <w:r>
        <w:rPr>
          <w:rStyle w:val="1046"/>
          <w:rFonts w:hint="eastAsia" w:ascii="宋体" w:hAnsi="宋体" w:cs="宋体"/>
          <w:i w:val="0"/>
          <w:color w:val="auto"/>
          <w:highlight w:val="none"/>
          <w:u w:val="single"/>
          <w:shd w:val="clear" w:color="auto" w:fill="ffffff"/>
        </w:rPr>
        <w:t xml:space="preserve">（生产厂址）</w:t>
      </w:r>
      <w:r>
        <w:rPr>
          <w:rFonts w:cs="宋体"/>
          <w:color w:val="auto"/>
          <w:highlight w:val="none"/>
          <w:shd w:val="clear" w:color="auto" w:fill="ffffff"/>
        </w:rPr>
        <w:t xml:space="preserve">。</w:t>
      </w:r>
      <w:r>
        <w:rPr>
          <w:rFonts w:cs="宋体"/>
          <w:color w:val="auto"/>
          <w:highlight w:val="none"/>
          <w:u w:val="single"/>
          <w:shd w:val="clear" w:color="auto" w:fill="ffffff"/>
        </w:rPr>
        <w:t xml:space="preserve"> </w:t>
      </w:r>
      <w:r>
        <w:rPr>
          <w:rStyle w:val="1046"/>
          <w:rFonts w:hint="eastAsia" w:ascii="宋体" w:hAnsi="宋体" w:cs="宋体"/>
          <w:i w:val="0"/>
          <w:color w:val="auto"/>
          <w:highlight w:val="none"/>
          <w:u w:val="single"/>
          <w:shd w:val="clear" w:color="auto" w:fill="ffffff"/>
        </w:rPr>
        <w:t xml:space="preserve">（产品名称1） </w:t>
      </w:r>
      <w:r>
        <w:rPr>
          <w:rFonts w:cs="宋体"/>
          <w:color w:val="auto"/>
          <w:highlight w:val="none"/>
          <w:shd w:val="clear" w:color="auto" w:fill="ffffff"/>
        </w:rPr>
        <w:t xml:space="preserve">的中国境内生产的组件成本占比≥</w:t>
      </w:r>
      <w:r>
        <w:rPr>
          <w:rStyle w:val="1046"/>
          <w:rFonts w:hint="eastAsia" w:ascii="宋体" w:hAnsi="宋体" w:cs="宋体"/>
          <w:i w:val="0"/>
          <w:color w:val="auto"/>
          <w:highlight w:val="none"/>
          <w:u w:val="single"/>
          <w:shd w:val="clear" w:color="auto" w:fill="ffffff"/>
        </w:rPr>
        <w:t xml:space="preserve">（规定比例）</w:t>
      </w:r>
      <w:r>
        <w:rPr>
          <w:rStyle w:val="1046"/>
          <w:rFonts w:hint="eastAsia" w:ascii="宋体" w:hAnsi="宋体" w:cs="宋体"/>
          <w:i w:val="0"/>
          <w:color w:val="auto"/>
          <w:highlight w:val="none"/>
          <w:shd w:val="clear" w:color="auto" w:fill="ffffff"/>
          <w:vertAlign w:val="superscript"/>
        </w:rPr>
        <w:t xml:space="preserve">3</w:t>
      </w:r>
      <w:r>
        <w:rPr>
          <w:rFonts w:cs="宋体"/>
          <w:color w:val="auto"/>
          <w:highlight w:val="none"/>
          <w:shd w:val="clear" w:color="auto" w:fill="ffffff"/>
        </w:rPr>
        <w:t xml:space="preserve">。</w:t>
      </w:r>
      <w:r>
        <w:rPr>
          <w:rStyle w:val="1046"/>
          <w:rFonts w:hint="eastAsia" w:ascii="宋体" w:hAnsi="宋体" w:cs="宋体"/>
          <w:i w:val="0"/>
          <w:color w:val="auto"/>
          <w:highlight w:val="none"/>
          <w:u w:val="single"/>
          <w:shd w:val="clear" w:color="auto" w:fill="ffffff"/>
        </w:rPr>
        <w:t xml:space="preserve">（产品名称1）</w:t>
      </w:r>
      <w:r>
        <w:rPr>
          <w:rFonts w:cs="宋体"/>
          <w:color w:val="auto"/>
          <w:highlight w:val="none"/>
          <w:shd w:val="clear" w:color="auto" w:fill="ffffff"/>
        </w:rPr>
        <w:t xml:space="preserve">的</w:t>
      </w:r>
      <w:r>
        <w:rPr>
          <w:rStyle w:val="1046"/>
          <w:rFonts w:hint="eastAsia" w:ascii="宋体" w:hAnsi="宋体" w:cs="宋体"/>
          <w:i w:val="0"/>
          <w:color w:val="auto"/>
          <w:highlight w:val="none"/>
          <w:u w:val="single"/>
          <w:shd w:val="clear" w:color="auto" w:fill="ffffff"/>
        </w:rPr>
        <w:t xml:space="preserve">（关键组件）</w:t>
      </w:r>
      <w:r>
        <w:rPr>
          <w:rStyle w:val="1046"/>
          <w:rFonts w:hint="eastAsia" w:ascii="宋体" w:hAnsi="宋体" w:cs="宋体"/>
          <w:i w:val="0"/>
          <w:color w:val="auto"/>
          <w:highlight w:val="none"/>
          <w:shd w:val="clear" w:color="auto" w:fill="ffffff"/>
          <w:vertAlign w:val="superscript"/>
        </w:rPr>
        <w:t xml:space="preserve">4</w:t>
      </w:r>
      <w:r>
        <w:rPr>
          <w:rFonts w:cs="宋体"/>
          <w:color w:val="auto"/>
          <w:highlight w:val="none"/>
          <w:shd w:val="clear" w:color="auto" w:fill="ffffff"/>
        </w:rPr>
        <w:t xml:space="preserve">在中国境内生产。</w:t>
      </w:r>
      <w:r>
        <w:rPr>
          <w:rStyle w:val="1046"/>
          <w:rFonts w:hint="eastAsia" w:ascii="宋体" w:hAnsi="宋体" w:cs="宋体"/>
          <w:i w:val="0"/>
          <w:color w:val="auto"/>
          <w:highlight w:val="none"/>
          <w:u w:val="single"/>
          <w:shd w:val="clear" w:color="auto" w:fill="ffffff"/>
        </w:rPr>
        <w:t xml:space="preserve">（产品名称1）</w:t>
      </w:r>
      <w:r>
        <w:rPr>
          <w:rFonts w:cs="宋体"/>
          <w:color w:val="auto"/>
          <w:highlight w:val="none"/>
          <w:shd w:val="clear" w:color="auto" w:fill="ffffff"/>
        </w:rPr>
        <w:t xml:space="preserve">的</w:t>
      </w:r>
      <w:r>
        <w:rPr>
          <w:rStyle w:val="1046"/>
          <w:rFonts w:hint="eastAsia" w:ascii="宋体" w:hAnsi="宋体" w:cs="宋体"/>
          <w:i w:val="0"/>
          <w:color w:val="auto"/>
          <w:highlight w:val="none"/>
          <w:u w:val="single"/>
          <w:shd w:val="clear" w:color="auto" w:fill="ffffff"/>
        </w:rPr>
        <w:t xml:space="preserve">（关键工序）</w:t>
      </w:r>
      <w:r>
        <w:rPr>
          <w:rStyle w:val="1046"/>
          <w:rFonts w:hint="eastAsia" w:ascii="宋体" w:hAnsi="宋体" w:cs="宋体"/>
          <w:i w:val="0"/>
          <w:color w:val="auto"/>
          <w:highlight w:val="none"/>
          <w:shd w:val="clear" w:color="auto" w:fill="ffffff"/>
          <w:vertAlign w:val="superscript"/>
        </w:rPr>
        <w:t xml:space="preserve">5</w:t>
      </w:r>
      <w:r>
        <w:rPr>
          <w:rFonts w:cs="宋体"/>
          <w:color w:val="auto"/>
          <w:highlight w:val="none"/>
          <w:shd w:val="clear" w:color="auto" w:fill="ffffff"/>
        </w:rPr>
        <w:t xml:space="preserve">在中国境内完成。</w:t>
      </w:r>
      <w:r/>
    </w:p>
    <w:p>
      <w:pPr>
        <w:pStyle w:val="955"/>
        <w:ind w:firstLine="420"/>
        <w:spacing w:before="0" w:after="30" w:line="360" w:lineRule="auto"/>
        <w:rPr>
          <w:rFonts w:hint="default" w:cs="宋体"/>
          <w:color w:val="auto"/>
          <w:highlight w:val="none"/>
        </w:rPr>
      </w:pP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728980</wp:posOffset>
                </wp:positionH>
                <wp:positionV relativeFrom="paragraph">
                  <wp:posOffset>495300</wp:posOffset>
                </wp:positionV>
                <wp:extent cx="728345" cy="247650"/>
                <wp:effectExtent l="0" t="0" r="14604" b="0"/>
                <wp:wrapNone/>
                <wp:docPr id="10" name="图片 11"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1" descr="C:\Users\Administrator\AppData\Local\Temp\ksohtml13132\wps25.png"/>
                        <pic:cNvPicPr>
                          <a:picLocks noChangeAspect="1"/>
                        </pic:cNvPicPr>
                        <pic:nvPr/>
                      </pic:nvPicPr>
                      <pic:blipFill>
                        <a:blip r:embed="rId1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70528;o:allowoverlap:true;o:allowincell:true;mso-position-horizontal-relative:text;margin-left:57.4pt;mso-position-horizontal:absolute;mso-position-vertical-relative:text;margin-top:39.0pt;mso-position-vertical:absolute;width:57.3pt;height:19.5pt;mso-wrap-distance-left:9.0pt;mso-wrap-distance-top:0.0pt;mso-wrap-distance-right:9.0pt;mso-wrap-distance-bottom:0.0pt;" stroked="f">
                <v:path textboxrect="0,0,0,0"/>
                <v:imagedata r:id="rId18"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posOffset>-130810</wp:posOffset>
                </wp:positionH>
                <wp:positionV relativeFrom="paragraph">
                  <wp:posOffset>495300</wp:posOffset>
                </wp:positionV>
                <wp:extent cx="728345" cy="247650"/>
                <wp:effectExtent l="0" t="0" r="14604" b="0"/>
                <wp:wrapNone/>
                <wp:docPr id="11" name="图片 10"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0" descr="C:\Users\Administrator\AppData\Local\Temp\ksohtml13132\wps25.png"/>
                        <pic:cNvPicPr>
                          <a:picLocks noChangeAspect="1"/>
                        </pic:cNvPicPr>
                        <pic:nvPr/>
                      </pic:nvPicPr>
                      <pic:blipFill>
                        <a:blip r:embed="rId1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9504;o:allowoverlap:true;o:allowincell:true;mso-position-horizontal-relative:margin;margin-left:-10.3pt;mso-position-horizontal:absolute;mso-position-vertical-relative:text;margin-top:39.0pt;mso-position-vertical:absolute;width:57.3pt;height:19.5pt;mso-wrap-distance-left:9.0pt;mso-wrap-distance-top:0.0pt;mso-wrap-distance-right:9.0pt;mso-wrap-distance-bottom:0.0pt;" stroked="f">
                <v:path textboxrect="0,0,0,0"/>
                <v:imagedata r:id="rId18"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3733800</wp:posOffset>
                </wp:positionH>
                <wp:positionV relativeFrom="paragraph">
                  <wp:posOffset>247650</wp:posOffset>
                </wp:positionV>
                <wp:extent cx="728345" cy="247650"/>
                <wp:effectExtent l="0" t="0" r="14604" b="0"/>
                <wp:wrapNone/>
                <wp:docPr id="12" name="图片 12"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2" descr="C:\Users\Administrator\AppData\Local\Temp\ksohtml13132\wps25.png"/>
                        <pic:cNvPicPr>
                          <a:picLocks noChangeAspect="1"/>
                        </pic:cNvPicPr>
                        <pic:nvPr/>
                      </pic:nvPicPr>
                      <pic:blipFill>
                        <a:blip r:embed="rId1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8480;o:allowoverlap:true;o:allowincell:true;mso-position-horizontal-relative:text;margin-left:294.0pt;mso-position-horizontal:absolute;mso-position-vertical-relative:text;margin-top:19.5pt;mso-position-vertical:absolute;width:57.3pt;height:19.5pt;mso-wrap-distance-left:9.0pt;mso-wrap-distance-top:0.0pt;mso-wrap-distance-right:9.0pt;mso-wrap-distance-bottom:0.0pt;" stroked="f">
                <v:path textboxrect="0,0,0,0"/>
                <v:imagedata r:id="rId18"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2616835</wp:posOffset>
                </wp:positionH>
                <wp:positionV relativeFrom="paragraph">
                  <wp:posOffset>247650</wp:posOffset>
                </wp:positionV>
                <wp:extent cx="728345" cy="247650"/>
                <wp:effectExtent l="0" t="0" r="14604" b="0"/>
                <wp:wrapNone/>
                <wp:docPr id="13" name="图片 8"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descr="C:\Users\Administrator\AppData\Local\Temp\ksohtml13132\wps25.png"/>
                        <pic:cNvPicPr>
                          <a:picLocks noChangeAspect="1"/>
                        </pic:cNvPicPr>
                        <pic:nvPr/>
                      </pic:nvPicPr>
                      <pic:blipFill>
                        <a:blip r:embed="rId1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7456;o:allowoverlap:true;o:allowincell:true;mso-position-horizontal-relative:text;margin-left:206.0pt;mso-position-horizontal:absolute;mso-position-vertical-relative:text;margin-top:19.5pt;mso-position-vertical:absolute;width:57.3pt;height:19.5pt;mso-wrap-distance-left:9.0pt;mso-wrap-distance-top:0.0pt;mso-wrap-distance-right:9.0pt;mso-wrap-distance-bottom:0.0pt;" stroked="f">
                <v:path textboxrect="0,0,0,0"/>
                <v:imagedata r:id="rId18"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1457325</wp:posOffset>
                </wp:positionH>
                <wp:positionV relativeFrom="paragraph">
                  <wp:posOffset>247650</wp:posOffset>
                </wp:positionV>
                <wp:extent cx="728345" cy="247650"/>
                <wp:effectExtent l="0" t="0" r="14604" b="0"/>
                <wp:wrapNone/>
                <wp:docPr id="14" name="图片 7"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7" descr="C:\Users\Administrator\AppData\Local\Temp\ksohtml13132\wps25.png"/>
                        <pic:cNvPicPr>
                          <a:picLocks noChangeAspect="1"/>
                        </pic:cNvPicPr>
                        <pic:nvPr/>
                      </pic:nvPicPr>
                      <pic:blipFill>
                        <a:blip r:embed="rId1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6432;o:allowoverlap:true;o:allowincell:true;mso-position-horizontal-relative:text;margin-left:114.8pt;mso-position-horizontal:absolute;mso-position-vertical-relative:text;margin-top:19.5pt;mso-position-vertical:absolute;width:57.3pt;height:19.5pt;mso-wrap-distance-left:9.0pt;mso-wrap-distance-top:0.0pt;mso-wrap-distance-right:9.0pt;mso-wrap-distance-bottom:0.0pt;" stroked="f">
                <v:path textboxrect="0,0,0,0"/>
                <v:imagedata r:id="rId18"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4686300</wp:posOffset>
                </wp:positionH>
                <wp:positionV relativeFrom="paragraph">
                  <wp:posOffset>0</wp:posOffset>
                </wp:positionV>
                <wp:extent cx="728345" cy="247650"/>
                <wp:effectExtent l="0" t="0" r="14604" b="0"/>
                <wp:wrapNone/>
                <wp:docPr id="15" name="图片 6"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6" descr="C:\Users\Administrator\AppData\Local\Temp\ksohtml13132\wps25.png"/>
                        <pic:cNvPicPr>
                          <a:picLocks noChangeAspect="1"/>
                        </pic:cNvPicPr>
                        <pic:nvPr/>
                      </pic:nvPicPr>
                      <pic:blipFill>
                        <a:blip r:embed="rId1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5408;o:allowoverlap:true;o:allowincell:true;mso-position-horizontal-relative:text;margin-left:369.0pt;mso-position-horizontal:absolute;mso-position-vertical-relative:text;margin-top:0.0pt;mso-position-vertical:absolute;width:57.3pt;height:19.5pt;mso-wrap-distance-left:9.0pt;mso-wrap-distance-top:0.0pt;mso-wrap-distance-right:9.0pt;mso-wrap-distance-bottom:0.0pt;" stroked="f">
                <v:path textboxrect="0,0,0,0"/>
                <v:imagedata r:id="rId18" o:title=""/>
              </v:shape>
            </w:pict>
          </mc:Fallback>
        </mc:AlternateContent>
      </w:r>
      <w:r>
        <w:rPr>
          <w:rFonts w:cs="宋体"/>
          <w:color w:val="auto"/>
          <w:highlight w:val="none"/>
          <w:shd w:val="clear" w:color="auto" w:fill="ffffff"/>
        </w:rPr>
        <w:t xml:space="preserve">2.</w:t>
      </w:r>
      <w:r>
        <w:rPr>
          <w:rStyle w:val="1046"/>
          <w:rFonts w:hint="eastAsia" w:ascii="宋体" w:hAnsi="宋体" w:cs="宋体"/>
          <w:i w:val="0"/>
          <w:color w:val="auto"/>
          <w:highlight w:val="none"/>
          <w:u w:val="single"/>
          <w:shd w:val="clear" w:color="auto" w:fill="ffffff"/>
        </w:rPr>
        <w:t xml:space="preserve">（产品名称2）</w:t>
      </w:r>
      <w:r>
        <w:rPr>
          <w:rFonts w:cs="宋体"/>
          <w:color w:val="auto"/>
          <w:highlight w:val="none"/>
          <w:shd w:val="clear" w:color="auto" w:fill="ffffff"/>
        </w:rPr>
        <w:t xml:space="preserve">，生产厂为</w:t>
      </w:r>
      <w:r>
        <w:rPr>
          <w:rStyle w:val="1046"/>
          <w:rFonts w:hint="eastAsia" w:ascii="宋体" w:hAnsi="宋体" w:cs="宋体"/>
          <w:i w:val="0"/>
          <w:color w:val="auto"/>
          <w:highlight w:val="none"/>
          <w:u w:val="single"/>
          <w:shd w:val="clear" w:color="auto" w:fill="ffffff"/>
        </w:rPr>
        <w:t xml:space="preserve">（厂名）</w:t>
      </w:r>
      <w:r>
        <w:rPr>
          <w:rFonts w:cs="宋体"/>
          <w:color w:val="auto"/>
          <w:highlight w:val="none"/>
          <w:shd w:val="clear" w:color="auto" w:fill="ffffff"/>
        </w:rPr>
        <w:t xml:space="preserve">，厂址为</w:t>
      </w:r>
      <w:r>
        <w:rPr>
          <w:rStyle w:val="1046"/>
          <w:rFonts w:hint="eastAsia" w:ascii="宋体" w:hAnsi="宋体" w:cs="宋体"/>
          <w:i w:val="0"/>
          <w:color w:val="auto"/>
          <w:highlight w:val="none"/>
          <w:u w:val="single"/>
          <w:shd w:val="clear" w:color="auto" w:fill="ffffff"/>
        </w:rPr>
        <w:t xml:space="preserve">（生产厂址）</w:t>
      </w:r>
      <w:r>
        <w:rPr>
          <w:rFonts w:cs="宋体"/>
          <w:color w:val="auto"/>
          <w:highlight w:val="none"/>
          <w:shd w:val="clear" w:color="auto" w:fill="ffffff"/>
        </w:rPr>
        <w:t xml:space="preserve">。</w:t>
      </w:r>
      <w:r>
        <w:rPr>
          <w:rStyle w:val="1046"/>
          <w:rFonts w:hint="eastAsia" w:ascii="宋体" w:hAnsi="宋体" w:cs="宋体"/>
          <w:i w:val="0"/>
          <w:color w:val="auto"/>
          <w:highlight w:val="none"/>
          <w:u w:val="single"/>
          <w:shd w:val="clear" w:color="auto" w:fill="ffffff"/>
        </w:rPr>
        <w:t xml:space="preserve">（产品名称2）</w:t>
      </w:r>
      <w:r>
        <w:rPr>
          <w:rFonts w:cs="宋体"/>
          <w:color w:val="auto"/>
          <w:highlight w:val="none"/>
          <w:shd w:val="clear" w:color="auto" w:fill="ffffff"/>
        </w:rPr>
        <w:t xml:space="preserve">的中国境内生产的组件成本占比≥</w:t>
      </w:r>
      <w:r>
        <w:rPr>
          <w:rStyle w:val="1046"/>
          <w:rFonts w:hint="eastAsia" w:ascii="宋体" w:hAnsi="宋体" w:cs="宋体"/>
          <w:i w:val="0"/>
          <w:color w:val="auto"/>
          <w:highlight w:val="none"/>
          <w:u w:val="single"/>
          <w:shd w:val="clear" w:color="auto" w:fill="ffffff"/>
        </w:rPr>
        <w:t xml:space="preserve">（规定比例）</w:t>
      </w:r>
      <w:r>
        <w:rPr>
          <w:rFonts w:cs="宋体"/>
          <w:color w:val="auto"/>
          <w:highlight w:val="none"/>
          <w:shd w:val="clear" w:color="auto" w:fill="ffffff"/>
        </w:rPr>
        <w:t xml:space="preserve">。</w:t>
      </w:r>
      <w:r>
        <w:rPr>
          <w:rStyle w:val="1046"/>
          <w:rFonts w:hint="eastAsia" w:ascii="宋体" w:hAnsi="宋体" w:cs="宋体"/>
          <w:i w:val="0"/>
          <w:color w:val="auto"/>
          <w:highlight w:val="none"/>
          <w:u w:val="single"/>
          <w:shd w:val="clear" w:color="auto" w:fill="ffffff"/>
        </w:rPr>
        <w:t xml:space="preserve">（产品名称2）</w:t>
      </w:r>
      <w:r>
        <w:rPr>
          <w:rFonts w:cs="宋体"/>
          <w:color w:val="auto"/>
          <w:highlight w:val="none"/>
          <w:shd w:val="clear" w:color="auto" w:fill="ffffff"/>
        </w:rPr>
        <w:t xml:space="preserve">的</w:t>
      </w:r>
      <w:r>
        <w:rPr>
          <w:rStyle w:val="1046"/>
          <w:rFonts w:hint="eastAsia" w:ascii="宋体" w:hAnsi="宋体" w:cs="宋体"/>
          <w:i w:val="0"/>
          <w:color w:val="auto"/>
          <w:highlight w:val="none"/>
          <w:u w:val="single"/>
          <w:shd w:val="clear" w:color="auto" w:fill="ffffff"/>
        </w:rPr>
        <w:t xml:space="preserve">（关键组件）</w:t>
      </w:r>
      <w:r>
        <w:rPr>
          <w:rFonts w:cs="宋体"/>
          <w:color w:val="auto"/>
          <w:highlight w:val="none"/>
          <w:shd w:val="clear" w:color="auto" w:fill="ffffff"/>
        </w:rPr>
        <w:t xml:space="preserve">在中国境内生产。</w:t>
      </w:r>
      <w:r>
        <w:rPr>
          <w:rStyle w:val="1046"/>
          <w:rFonts w:hint="eastAsia" w:ascii="宋体" w:hAnsi="宋体" w:cs="宋体"/>
          <w:i w:val="0"/>
          <w:color w:val="auto"/>
          <w:highlight w:val="none"/>
          <w:u w:val="single"/>
          <w:shd w:val="clear" w:color="auto" w:fill="ffffff"/>
        </w:rPr>
        <w:t xml:space="preserve">（产品名称1）</w:t>
      </w:r>
      <w:r>
        <w:rPr>
          <w:rFonts w:cs="宋体"/>
          <w:color w:val="auto"/>
          <w:highlight w:val="none"/>
          <w:shd w:val="clear" w:color="auto" w:fill="ffffff"/>
        </w:rPr>
        <w:t xml:space="preserve">的</w:t>
      </w:r>
      <w:r>
        <w:rPr>
          <w:rStyle w:val="1046"/>
          <w:rFonts w:hint="eastAsia" w:ascii="宋体" w:hAnsi="宋体" w:cs="宋体"/>
          <w:i w:val="0"/>
          <w:color w:val="auto"/>
          <w:highlight w:val="none"/>
          <w:u w:val="single"/>
          <w:shd w:val="clear" w:color="auto" w:fill="ffffff"/>
        </w:rPr>
        <w:t xml:space="preserve">（关键工序）</w:t>
      </w:r>
      <w:r>
        <w:rPr>
          <w:rFonts w:cs="宋体"/>
          <w:color w:val="auto"/>
          <w:highlight w:val="none"/>
          <w:shd w:val="clear" w:color="auto" w:fill="ffffff"/>
        </w:rPr>
        <w:t xml:space="preserve">在中国境内完成。</w:t>
      </w:r>
      <w:r/>
    </w:p>
    <w:p>
      <w:pPr>
        <w:pStyle w:val="955"/>
        <w:ind w:firstLine="420"/>
        <w:spacing w:before="30" w:after="30" w:line="360" w:lineRule="auto"/>
        <w:rPr>
          <w:rFonts w:hint="default" w:cs="宋体"/>
          <w:color w:val="auto"/>
          <w:highlight w:val="none"/>
        </w:rPr>
      </w:pPr>
      <w:r>
        <w:rPr>
          <w:rFonts w:cs="宋体"/>
          <w:color w:val="auto"/>
          <w:highlight w:val="none"/>
          <w:shd w:val="clear" w:color="auto" w:fill="ffffff"/>
        </w:rPr>
        <w:t xml:space="preserve">……</w:t>
      </w:r>
      <w:r/>
    </w:p>
    <w:p>
      <w:pPr>
        <w:pStyle w:val="955"/>
        <w:ind w:firstLine="420"/>
        <w:spacing w:before="30" w:after="30" w:line="360" w:lineRule="auto"/>
        <w:rPr>
          <w:rFonts w:hint="default" w:cs="宋体"/>
          <w:color w:val="auto"/>
          <w:highlight w:val="none"/>
        </w:rPr>
      </w:pPr>
      <w:r>
        <w:rPr>
          <w:rFonts w:cs="宋体"/>
          <w:color w:val="auto"/>
          <w:highlight w:val="none"/>
          <w:shd w:val="clear" w:color="auto" w:fill="ffffff"/>
        </w:rPr>
        <w:t xml:space="preserve">本公司（单位）对上述声明内容的真实性负责。如有虚假，愿承担相应法律责任。</w:t>
      </w:r>
      <w:r/>
    </w:p>
    <w:p>
      <w:pPr>
        <w:pStyle w:val="955"/>
        <w:jc w:val="right"/>
        <w:spacing w:before="30" w:after="30" w:line="360" w:lineRule="auto"/>
        <w:rPr>
          <w:rFonts w:hint="default" w:cs="宋体"/>
          <w:color w:val="auto"/>
          <w:highlight w:val="none"/>
        </w:rPr>
      </w:pPr>
      <w:r>
        <w:rPr>
          <w:rFonts w:cs="宋体"/>
          <w:color w:val="auto"/>
          <w:highlight w:val="none"/>
          <w:shd w:val="clear" w:color="auto" w:fill="ffffff"/>
        </w:rPr>
        <w:t xml:space="preserve">公司（单位）名称（盖章）：         </w:t>
      </w:r>
      <w:r/>
    </w:p>
    <w:p>
      <w:pPr>
        <w:jc w:val="cente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                                     日期：    年   月   日    </w:t>
      </w:r>
      <w:r/>
    </w:p>
    <w:p>
      <w:pPr>
        <w:ind w:firstLine="480"/>
        <w:spacing w:line="360" w:lineRule="auto"/>
        <w:rPr>
          <w:rFonts w:ascii="宋体" w:hAnsi="宋体" w:eastAsia="宋体"/>
          <w:bCs/>
          <w:color w:val="auto"/>
          <w:sz w:val="24"/>
          <w:szCs w:val="24"/>
          <w:highlight w:val="none"/>
        </w:rPr>
      </w:pPr>
      <w:r>
        <w:rPr>
          <w:rFonts w:hint="eastAsia" w:ascii="宋体" w:hAnsi="宋体" w:eastAsia="宋体" w:cs="宋体"/>
          <w:color w:val="auto"/>
          <w:sz w:val="24"/>
          <w:szCs w:val="24"/>
          <w:highlight w:val="none"/>
          <w:shd w:val="clear" w:color="auto" w:fill="ffffff"/>
        </w:rPr>
        <w:t xml:space="preserve">_</w:t>
      </w:r>
      <w:r>
        <w:rPr>
          <w:rFonts w:hint="eastAsia" w:ascii="宋体" w:hAnsi="宋体" w:eastAsia="宋体"/>
          <w:bCs/>
          <w:color w:val="auto"/>
          <w:sz w:val="24"/>
          <w:szCs w:val="24"/>
          <w:highlight w:val="none"/>
        </w:rPr>
        <w:t xml:space="preserve">_________________</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1.产品如有型号，请在“产品名称”栏一并填写。</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2.生产厂名与厂址应与生产厂营业执照载明的相关信息保持一致。</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3.该产品的中国境内生产的组件成本占比相关要求实施前，“规定比例”栏可不填，下同。</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4.该产品的关键组件要求实施前，“关键组件”栏可不填，下同。</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5.该产品的关键工序要求实施前，“关键工序”栏可不填，下同。</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6.用斜线划除的地方无需填写。</w:t>
      </w:r>
      <w:r/>
    </w:p>
    <w:p>
      <w:pPr>
        <w:spacing w:line="360" w:lineRule="auto"/>
        <w:rPr>
          <w:rFonts w:ascii="宋体" w:hAnsi="宋体" w:eastAsia="宋体" w:cs="宋体"/>
          <w:color w:val="auto"/>
          <w:sz w:val="24"/>
          <w:szCs w:val="24"/>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ascii="宋体" w:hAnsi="宋体" w:eastAsia="宋体" w:cs="宋体"/>
          <w:color w:val="auto"/>
          <w:sz w:val="24"/>
          <w:szCs w:val="24"/>
          <w:highlight w:val="none"/>
        </w:rPr>
      </w:r>
      <w:r/>
    </w:p>
    <w:p>
      <w:pPr>
        <w:jc w:val="cente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第四章 采购需求</w:t>
      </w:r>
      <w:r/>
    </w:p>
    <w:p>
      <w:pPr>
        <w:ind w:firstLine="480"/>
        <w:spacing w:line="360" w:lineRule="auto"/>
        <w:rPr>
          <w:rFonts w:ascii="宋体" w:hAnsi="宋体" w:eastAsia="宋体" w:cs="宋体"/>
          <w:color w:val="auto"/>
          <w:sz w:val="24"/>
          <w:szCs w:val="24"/>
          <w:highlight w:val="none"/>
        </w:rPr>
      </w:pPr>
      <w:r/>
      <w:bookmarkStart w:id="11" w:name="_Toc13642116"/>
      <w:r>
        <w:rPr>
          <w:rFonts w:hint="eastAsia" w:ascii="宋体" w:hAnsi="宋体" w:eastAsia="宋体" w:cs="宋体"/>
          <w:color w:val="auto"/>
          <w:sz w:val="24"/>
          <w:szCs w:val="24"/>
          <w:highlight w:val="none"/>
        </w:rPr>
        <w:t xml:space="preserve">苏州正杰招投标咨询服务有限公司受苏州博物馆的委托，就其所需的</w:t>
      </w:r>
      <w:r>
        <w:rPr>
          <w:rFonts w:hint="eastAsia" w:ascii="宋体" w:hAnsi="宋体" w:eastAsia="宋体" w:cs="宋体"/>
          <w:color w:val="auto"/>
          <w:sz w:val="24"/>
          <w:szCs w:val="24"/>
          <w:highlight w:val="none"/>
        </w:rPr>
        <w:t xml:space="preserve">苏州博物馆本馆安防设备改造项目</w:t>
      </w:r>
      <w:r>
        <w:rPr>
          <w:rFonts w:hint="eastAsia" w:ascii="宋体" w:hAnsi="宋体" w:eastAsia="宋体" w:cs="宋体"/>
          <w:color w:val="auto"/>
          <w:sz w:val="24"/>
          <w:szCs w:val="24"/>
          <w:highlight w:val="none"/>
        </w:rPr>
        <w:t xml:space="preserve">的采购进行公开招标，欢迎有资格的供应商前来参加投标。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一、项目编号：JSZC-320500-SZZJ-G2026-0028号。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bookmarkEnd w:id="11"/>
      <w:r/>
      <w:bookmarkStart w:id="12" w:name="_Toc13543213"/>
      <w:r>
        <w:rPr>
          <w:rFonts w:hint="eastAsia" w:ascii="宋体" w:hAnsi="宋体" w:eastAsia="宋体" w:cs="宋体"/>
          <w:color w:val="auto"/>
          <w:sz w:val="24"/>
          <w:szCs w:val="24"/>
          <w:highlight w:val="none"/>
        </w:rPr>
        <w:t xml:space="preserve">采购需求：</w:t>
      </w:r>
      <w:r/>
    </w:p>
    <w:p>
      <w:pPr>
        <w:ind w:firstLine="480"/>
        <w:spacing w:line="360" w:lineRule="auto"/>
        <w:tabs>
          <w:tab w:val="left" w:pos="6039"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（一）项目目标和采购内容：</w:t>
      </w:r>
      <w:r>
        <w:rPr>
          <w:rFonts w:hint="eastAsia" w:ascii="宋体" w:hAnsi="宋体" w:eastAsia="宋体" w:cs="宋体"/>
          <w:color w:val="auto"/>
          <w:sz w:val="24"/>
          <w:szCs w:val="24"/>
          <w:highlight w:val="none"/>
        </w:rPr>
        <w:tab/>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采购内容清单如下：</w:t>
      </w:r>
      <w:r/>
    </w:p>
    <w:tbl>
      <w:tblPr>
        <w:tblStyle w:val="918"/>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990"/>
        <w:gridCol w:w="1673"/>
        <w:gridCol w:w="4747"/>
        <w:gridCol w:w="765"/>
        <w:gridCol w:w="746"/>
      </w:tblGrid>
      <w:tr>
        <w:trPr>
          <w:jc w:val="center"/>
          <w:trHeight w:val="567"/>
        </w:trPr>
        <w:tc>
          <w:tcPr>
            <w:shd w:val="clear" w:color="000000" w:fill="ffffff"/>
            <w:tcW w:w="717"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序号</w:t>
            </w:r>
            <w:r/>
          </w:p>
        </w:tc>
        <w:tc>
          <w:tcPr>
            <w:shd w:val="clear" w:color="000000" w:fill="ffffff"/>
            <w:tcW w:w="990"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名称</w:t>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bookmarkStart w:id="13" w:name="_Hlk238731970"/>
            <w:r>
              <w:rPr>
                <w:rFonts w:ascii="宋体" w:hAnsi="宋体" w:eastAsia="宋体"/>
                <w:color w:val="auto"/>
                <w:sz w:val="24"/>
                <w:szCs w:val="24"/>
                <w:highlight w:val="none"/>
              </w:rPr>
              <w:t xml:space="preserve">功能及指标</w:t>
            </w:r>
            <w:r/>
          </w:p>
        </w:tc>
        <w:tc>
          <w:tcPr>
            <w:shd w:val="clear" w:color="000000" w:fill="ffffff"/>
            <w:tcW w:w="4747"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参数及要求</w:t>
            </w:r>
            <w:r/>
          </w:p>
        </w:tc>
        <w:tc>
          <w:tcPr>
            <w:shd w:val="clear" w:color="000000" w:fill="ffffff"/>
            <w:tcW w:w="765"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单位</w:t>
            </w:r>
            <w:r/>
          </w:p>
        </w:tc>
        <w:tc>
          <w:tcPr>
            <w:shd w:val="clear" w:color="000000" w:fill="ffffff"/>
            <w:tcW w:w="746"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数量</w:t>
            </w:r>
            <w:bookmarkEnd w:id="13"/>
            <w:r/>
            <w:r/>
          </w:p>
        </w:tc>
      </w:tr>
      <w:tr>
        <w:trPr>
          <w:jc w:val="center"/>
          <w:trHeight w:val="567"/>
        </w:trPr>
        <w:tc>
          <w:tcPr>
            <w:shd w:val="clear" w:color="000000" w:fill="ffffff"/>
            <w:tcW w:w="717"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p>
        </w:tc>
        <w:tc>
          <w:tcPr>
            <w:shd w:val="clear" w:color="000000" w:fill="ffffff"/>
            <w:tcW w:w="990"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同轴高清半球摄像机</w:t>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传感器类型</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≥200万像素 Progressive Scan CMOS</w:t>
            </w:r>
            <w:r/>
          </w:p>
        </w:tc>
        <w:tc>
          <w:tcPr>
            <w:shd w:val="clear" w:color="000000" w:fill="ffffff"/>
            <w:tcW w:w="765"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台</w:t>
            </w:r>
            <w:r/>
          </w:p>
        </w:tc>
        <w:tc>
          <w:tcPr>
            <w:shd w:val="clear" w:color="000000" w:fill="ffffff"/>
            <w:tcW w:w="746"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95</w:t>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视频输出</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支持同轴高清输出，并支持标清CVBS模拟输出</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最低照度</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彩色：≤0.005 Lux @（F1.2，AGC ON），0 Lux with IR</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镜头</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配置</w:t>
            </w:r>
            <w:r>
              <w:rPr>
                <w:rFonts w:ascii="宋体" w:hAnsi="宋体" w:eastAsia="宋体"/>
                <w:color w:val="auto"/>
                <w:sz w:val="24"/>
                <w:szCs w:val="24"/>
                <w:highlight w:val="none"/>
              </w:rPr>
              <w:t xml:space="preserve">2.8</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12 mm 电动变焦镜头，支持自动对焦</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日夜切换</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w:t>
            </w:r>
            <w:r>
              <w:rPr>
                <w:rFonts w:ascii="宋体" w:hAnsi="宋体" w:eastAsia="宋体"/>
                <w:color w:val="auto"/>
                <w:sz w:val="24"/>
                <w:szCs w:val="24"/>
                <w:highlight w:val="none"/>
              </w:rPr>
              <w:t xml:space="preserve">ICR红外滤片式自动切换，自动彩转黑，实现昼夜监控</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补光</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红外照射距离</w:t>
            </w:r>
            <w:r>
              <w:rPr>
                <w:rFonts w:ascii="宋体" w:hAnsi="宋体" w:eastAsia="宋体"/>
                <w:color w:val="auto"/>
                <w:sz w:val="24"/>
                <w:szCs w:val="24"/>
                <w:highlight w:val="none"/>
              </w:rPr>
              <w:t xml:space="preserve">20</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30m</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防护等级</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≥IP6</w:t>
            </w:r>
            <w:r>
              <w:rPr>
                <w:rFonts w:ascii="宋体" w:hAnsi="宋体" w:eastAsia="宋体"/>
                <w:color w:val="auto"/>
                <w:sz w:val="24"/>
                <w:szCs w:val="24"/>
                <w:highlight w:val="none"/>
              </w:rPr>
              <w:t xml:space="preserve">7</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供电方式</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w:t>
            </w:r>
            <w:r>
              <w:rPr>
                <w:rFonts w:ascii="宋体" w:hAnsi="宋体" w:eastAsia="宋体"/>
                <w:color w:val="auto"/>
                <w:sz w:val="24"/>
                <w:szCs w:val="24"/>
                <w:highlight w:val="none"/>
              </w:rPr>
              <w:t xml:space="preserve">AC24V±25</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/DC12V±25</w:t>
            </w:r>
            <w:r>
              <w:rPr>
                <w:rFonts w:hint="eastAsia" w:ascii="宋体" w:hAnsi="宋体" w:eastAsia="宋体"/>
                <w:color w:val="auto"/>
                <w:sz w:val="24"/>
                <w:szCs w:val="24"/>
                <w:highlight w:val="none"/>
              </w:rPr>
              <w:t xml:space="preserve">％</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功耗</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最大功耗：≤</w:t>
            </w:r>
            <w:r>
              <w:rPr>
                <w:rFonts w:ascii="宋体" w:hAnsi="宋体" w:eastAsia="宋体"/>
                <w:color w:val="auto"/>
                <w:sz w:val="24"/>
                <w:szCs w:val="24"/>
                <w:highlight w:val="none"/>
              </w:rPr>
              <w:t xml:space="preserve">9W</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p>
        </w:tc>
        <w:tc>
          <w:tcPr>
            <w:shd w:val="clear" w:color="000000" w:fill="ffffff"/>
            <w:tcW w:w="990"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同轴高清智能球机摄像机</w:t>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传感器类型</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≥1/2.8" Progressive Scan CMOS</w:t>
            </w:r>
            <w:r/>
          </w:p>
        </w:tc>
        <w:tc>
          <w:tcPr>
            <w:shd w:val="clear" w:color="000000" w:fill="ffffff"/>
            <w:tcW w:w="765"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台</w:t>
            </w:r>
            <w:r/>
          </w:p>
        </w:tc>
        <w:tc>
          <w:tcPr>
            <w:shd w:val="clear" w:color="000000" w:fill="ffffff"/>
            <w:tcW w:w="746"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最大图像尺寸</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≥1920×1080像素</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最低照度</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彩色：≤0.05Lux@（F1.6，AGC ON）；黑白：≤0.005Lux@（F1.6，AGC ON）；0 Lux with IR</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视频输出</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支持HDTVI/CVBS/AHD/CVI多种信号输出；HDTVI接口最大支持1920×1080@30 fps高清输出；BNC接口，支持切换为CVBS/CVI/AHD</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镜头</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4.8</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120mm，≥25倍光学变倍</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红外补光</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红外照射距离≥</w:t>
            </w:r>
            <w:r>
              <w:rPr>
                <w:rFonts w:ascii="宋体" w:hAnsi="宋体" w:eastAsia="宋体"/>
                <w:color w:val="auto"/>
                <w:sz w:val="24"/>
                <w:szCs w:val="24"/>
                <w:highlight w:val="none"/>
              </w:rPr>
              <w:t xml:space="preserve">100m</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云台范围</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水平360°连续旋转；垂直-15°～90°（自动翻转）</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智能功能</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支持3D定位、鼠标框选目标快速定位与捕捉；支持定时任务、守望、一键巡航、隐私遮蔽</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控制接口</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支持RS-485，半双工，自适应Pelco-P/Pelco-D等主流协议；支持同轴视控（符合HDTVI规范）</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同轴传输</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在1080P@25/30 fps下，普通75-3类同轴线无损传输距离≥300m</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菜单与存储</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支持OSD菜单操作；支持断电记忆，数据断电不丢失</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防护等级</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≥IP66</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供电方式</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DC12V</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电流及功耗</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DC12V，最大功耗：≤18W</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p>
        </w:tc>
        <w:tc>
          <w:tcPr>
            <w:shd w:val="clear" w:color="000000" w:fill="ffffff"/>
            <w:tcW w:w="990"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数字高清半球摄像机（核心产品）</w:t>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传感器类型</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≥1/2.7"</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Progressive Scan CMOS</w:t>
            </w:r>
            <w:r/>
          </w:p>
        </w:tc>
        <w:tc>
          <w:tcPr>
            <w:shd w:val="clear" w:color="000000" w:fill="ffffff"/>
            <w:tcW w:w="765"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台</w:t>
            </w:r>
            <w:r/>
          </w:p>
        </w:tc>
        <w:tc>
          <w:tcPr>
            <w:shd w:val="clear" w:color="000000" w:fill="ffffff"/>
            <w:tcW w:w="746"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81</w:t>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最大图像尺寸</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▲≥2688×1520像素</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最低照度</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彩色：≤0.005 Lux@（F1.2，AGC ON）；黑白：≤0.002 Lux@（F1.2，AGC ON）；0 Lux with IR</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镜头</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2.7</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13.5mm 电动变焦</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视频压缩标准</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支持H.265/H.264/MJPEG</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补光</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红外最远照射距离≥40m</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智能功能</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支持基于深度学习算法的周界防范（越界侦测、区域入侵、进入</w:t>
            </w:r>
            <w:r>
              <w:rPr>
                <w:rFonts w:ascii="宋体" w:hAnsi="宋体" w:eastAsia="宋体"/>
                <w:color w:val="auto"/>
                <w:sz w:val="24"/>
                <w:szCs w:val="24"/>
                <w:highlight w:val="none"/>
              </w:rPr>
              <w:t xml:space="preserve">/离开区域侦测）及徘徊、人员聚集、快速运动、停车、物品遗留/拿取侦测；支持智能资源模式切换</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音频</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路音频输入，≥1路音频输出，内置≥2个麦克风及≥1个扬声器</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报警</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路报警输入，≥1路报警输出</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RS-485</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≥1路RS-485接口，半双工，支持Pelco-P/Pelco-D等主流协议</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网络</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1个RJ45 10 M/100 M自适应以太网口</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电源输出</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w:t>
            </w:r>
            <w:r>
              <w:rPr>
                <w:rFonts w:ascii="宋体" w:hAnsi="宋体" w:eastAsia="宋体"/>
                <w:color w:val="auto"/>
                <w:sz w:val="24"/>
                <w:szCs w:val="24"/>
                <w:highlight w:val="none"/>
              </w:rPr>
              <w:t xml:space="preserve">DC12V，100 mA输出（可用于拾音器供电）</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协议</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支持开放型网络视频接口、</w:t>
            </w:r>
            <w:r>
              <w:rPr>
                <w:rFonts w:ascii="宋体" w:hAnsi="宋体" w:eastAsia="宋体"/>
                <w:color w:val="auto"/>
                <w:sz w:val="24"/>
                <w:szCs w:val="24"/>
                <w:highlight w:val="none"/>
              </w:rPr>
              <w:t xml:space="preserve">ISAPI、GB/T 28181等标准协议接入，支持三码流及多路取流</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防护等级</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≥IP67</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供电方式</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DC12V±20％；支持PoE（IEEE 802.3at）</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电流及功耗</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DC12V，最大功耗≤10.8W；PoE，最大功耗≤12.2W</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架构</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▲摄像机采用基于</w:t>
            </w:r>
            <w:r>
              <w:rPr>
                <w:rFonts w:ascii="宋体" w:hAnsi="宋体" w:eastAsia="宋体"/>
                <w:color w:val="auto"/>
                <w:sz w:val="24"/>
                <w:szCs w:val="24"/>
                <w:highlight w:val="none"/>
              </w:rPr>
              <w:t xml:space="preserve">transformer架构的大模型算法，内置1颗CPU、GPU、NPU一体化芯片</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AI智能编码功能</w:t>
            </w:r>
            <w:r/>
          </w:p>
        </w:tc>
        <w:tc>
          <w:tcPr>
            <w:shd w:val="clear" w:color="000000" w:fill="ffffff"/>
            <w:tcW w:w="4747" w:type="dxa"/>
            <w:vAlign w:val="center"/>
            <w:textDirection w:val="lrTb"/>
            <w:noWrap w:val="false"/>
          </w:tcPr>
          <w:p>
            <w:pPr>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▲支持大模型</w:t>
            </w:r>
            <w:r>
              <w:rPr>
                <w:rFonts w:ascii="宋体" w:hAnsi="宋体" w:eastAsia="宋体"/>
                <w:color w:val="auto"/>
                <w:sz w:val="24"/>
                <w:szCs w:val="24"/>
                <w:highlight w:val="none"/>
              </w:rPr>
              <w:t xml:space="preserve">AI编码功能，可将出现在监控场景中的保安、银行员工、押解员、行人等目标识别为人，将运钞车、小客车等目标识别为车，可保持可视场景中目标(如人、车)的图像质量，并虚化背景以降低码率和存储空间</w:t>
            </w:r>
            <w:r>
              <w:rPr>
                <w:rFonts w:hint="eastAsia" w:ascii="宋体" w:hAnsi="宋体" w:eastAsia="宋体"/>
                <w:color w:val="auto"/>
                <w:sz w:val="24"/>
                <w:szCs w:val="24"/>
                <w:highlight w:val="none"/>
                <w:lang w:eastAsia="zh-CN"/>
              </w:rPr>
              <w:t xml:space="preserve">。</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w:t>
            </w:r>
            <w:r/>
          </w:p>
        </w:tc>
        <w:tc>
          <w:tcPr>
            <w:shd w:val="clear" w:color="000000" w:fill="ffffff"/>
            <w:tcW w:w="990"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数字高清针孔摄像机</w:t>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传感器类型</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≥1/2.8" Progressive Scan CMOS</w:t>
            </w:r>
            <w:r/>
          </w:p>
        </w:tc>
        <w:tc>
          <w:tcPr>
            <w:shd w:val="clear" w:color="000000" w:fill="ffffff"/>
            <w:tcW w:w="765"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台</w:t>
            </w:r>
            <w:r/>
          </w:p>
        </w:tc>
        <w:tc>
          <w:tcPr>
            <w:shd w:val="clear" w:color="000000" w:fill="ffffff"/>
            <w:tcW w:w="746"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w:t>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最大图像尺寸</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≥1920×1080像素</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最低照度</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彩色：≤0.002Lux@（F1.2，AGC ON）</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结构</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分离式结构设计，体型小巧，多种镜头前头可选，安装方便</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镜头</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w:t>
            </w:r>
            <w:r>
              <w:rPr>
                <w:rFonts w:ascii="宋体" w:hAnsi="宋体" w:eastAsia="宋体"/>
                <w:color w:val="auto"/>
                <w:sz w:val="24"/>
                <w:szCs w:val="24"/>
                <w:highlight w:val="none"/>
              </w:rPr>
              <w:t xml:space="preserve">2.8mm/3.7mm 可选</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视频压缩标准</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支持H.265/H.264/MJPEG</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宽动态</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120dB；支持背光补偿</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音频</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1路音频输入，≥1路音频输出</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报警</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≥1路报警输入，≥1路报警输出</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SD卡扩展</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内置MicroSD卡插槽，最大支持≥256GB</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网络</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≥1个RJ45 10M/100M自适应以太网口</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RS-485</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≥1路RS-485接口，半双工，支持Pelco-P/Pelco-D等主流协议</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协议</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支持开放型网络视频接口、ISAPI、GB/T 28181等标准协议接入</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复位</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支持硬件复位</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供电方式</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DC12V±20％；支持PoE（IEEE 802.3af）</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电流及功耗</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DC12V，最大功耗≤3W；PoE，最大功耗≤3.65W</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w:t>
            </w:r>
            <w:r/>
          </w:p>
        </w:tc>
        <w:tc>
          <w:tcPr>
            <w:shd w:val="clear" w:color="000000" w:fill="ffffff"/>
            <w:tcW w:w="990"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数字高清智能球机</w:t>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传感器类型</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≥1/2.8" Progressive Scan CMOS</w:t>
            </w:r>
            <w:r/>
          </w:p>
        </w:tc>
        <w:tc>
          <w:tcPr>
            <w:shd w:val="clear" w:color="000000" w:fill="ffffff"/>
            <w:tcW w:w="765"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台</w:t>
            </w:r>
            <w:r/>
          </w:p>
        </w:tc>
        <w:tc>
          <w:tcPr>
            <w:shd w:val="clear" w:color="000000" w:fill="ffffff"/>
            <w:tcW w:w="746"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w:t>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最大图像尺寸</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≥2560×1440像素</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最低照度</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彩色：≤0.005 Lux @（F1.6，AGC ON）；黑白：≤0.001 Lux @（F1.6，AGC ON）；0 Lux with IR</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镜头</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5.5</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176 mm，≥32倍光学变倍，≥16倍数字变倍</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补光</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红外照射距离≥</w:t>
            </w:r>
            <w:r>
              <w:rPr>
                <w:rFonts w:ascii="宋体" w:hAnsi="宋体" w:eastAsia="宋体"/>
                <w:color w:val="auto"/>
                <w:sz w:val="24"/>
                <w:szCs w:val="24"/>
                <w:highlight w:val="none"/>
              </w:rPr>
              <w:t xml:space="preserve">150m</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云台范围</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水平</w:t>
            </w:r>
            <w:r>
              <w:rPr>
                <w:rFonts w:ascii="宋体" w:hAnsi="宋体" w:eastAsia="宋体"/>
                <w:color w:val="auto"/>
                <w:sz w:val="24"/>
                <w:szCs w:val="24"/>
                <w:highlight w:val="none"/>
              </w:rPr>
              <w:t xml:space="preserve">360°连续旋转；垂直-15°</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90°（自动翻转）</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视频压缩标准</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支持H.265/H.264/MJPEG</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音频</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1路音频输入，≥1路音频输出，内置≥2个麦克风及≥1个扬声器，支持双向语音对讲</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报警</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2路报警输入，≥1路报警输出</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内置麦克风</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内置≥2个麦克风</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内置扬声器</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≥1个内置扬声器（有效距离≥30m）</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SD卡扩展</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内置MicroSD卡插槽，最大支持≥512 GB</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网络</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1个RJ45 10M/100M自适应以太网口</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除雾</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内置加热玻璃，支持除雾</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供电方式</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DC36V</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电流及功耗</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最大功耗≤30W（补光灯最大功耗≤9W）</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防护等级</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≥IP66</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声光警戒功能</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支持配置人或车辆进入警戒区域后进行报警的功能</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支持平台联动弹窗报警</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支持智能跟踪功能</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w:t>
            </w:r>
            <w:r/>
          </w:p>
        </w:tc>
        <w:tc>
          <w:tcPr>
            <w:shd w:val="clear" w:color="000000" w:fill="ffffff"/>
            <w:tcW w:w="990"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数字高清鱼眼摄像机</w:t>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传感器类型</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≥1/1.8" Progressive Scan CMOS</w:t>
            </w:r>
            <w:r/>
          </w:p>
        </w:tc>
        <w:tc>
          <w:tcPr>
            <w:shd w:val="clear" w:color="000000" w:fill="ffffff"/>
            <w:tcW w:w="765"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台</w:t>
            </w:r>
            <w:r/>
          </w:p>
        </w:tc>
        <w:tc>
          <w:tcPr>
            <w:shd w:val="clear" w:color="000000" w:fill="ffffff"/>
            <w:tcW w:w="746"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w:t>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最大图像尺寸</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▲≥2560×2560像素</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最低照度</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▲彩色：≤0.01Lux@（F2.25，AGC ON）；黑白：≤0.005Lux@（F2.25，AGC ON）；0 Lux with IR</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镜头</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1.16mm鱼眼镜头，景深0.2m</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视频压缩标准</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支持H.265/H.264/MJPEG</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补光</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红外最远照射距离≥</w:t>
            </w:r>
            <w:r>
              <w:rPr>
                <w:rFonts w:ascii="宋体" w:hAnsi="宋体" w:eastAsia="宋体"/>
                <w:color w:val="auto"/>
                <w:sz w:val="24"/>
                <w:szCs w:val="24"/>
                <w:highlight w:val="none"/>
              </w:rPr>
              <w:t xml:space="preserve">15m</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全景展开</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支持多种鱼眼全景展开模式（含</w:t>
            </w:r>
            <w:r>
              <w:rPr>
                <w:rFonts w:ascii="宋体" w:hAnsi="宋体" w:eastAsia="宋体"/>
                <w:color w:val="auto"/>
                <w:sz w:val="24"/>
                <w:szCs w:val="24"/>
                <w:highlight w:val="none"/>
              </w:rPr>
              <w:t xml:space="preserve">180°/360°全景、PTZ融合等）</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音频</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1路</w:t>
            </w:r>
            <w:r>
              <w:rPr>
                <w:rFonts w:hint="eastAsia" w:ascii="宋体" w:hAnsi="宋体" w:eastAsia="宋体"/>
                <w:color w:val="auto"/>
                <w:sz w:val="24"/>
                <w:szCs w:val="24"/>
                <w:highlight w:val="none"/>
              </w:rPr>
              <w:t xml:space="preserve">音频输入，≥1路音频输出，内置≥4个麦克风及≥1个扬声器，支持全向拾音与人声增强</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报警</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2路</w:t>
            </w:r>
            <w:r>
              <w:rPr>
                <w:rFonts w:hint="eastAsia" w:ascii="宋体" w:hAnsi="宋体" w:eastAsia="宋体"/>
                <w:color w:val="auto"/>
                <w:sz w:val="24"/>
                <w:szCs w:val="24"/>
                <w:highlight w:val="none"/>
              </w:rPr>
              <w:t xml:space="preserve">报警输入，≥2路报警输出</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内置麦克风</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内置≥4个麦克风</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内置扬声器</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≥1个内置扬声器</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SD卡扩展</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内置MicroSD卡插槽，最大支持≥256GB</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网络</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1个RJ45 10M/100M/1000M自适应以太网口</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RS-485</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≥1路RS-485接口，半双工，支持Pelco-P/Pelco-D等主流协议</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协议</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支持开放型网络视频接口、ISAPI、GB/T 28181等标准协议接入，支持多路取流</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供电方式</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▲DC12V±20％，支持防反接保护；支持PoE（IEEE 802.3af）</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电流及功耗</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DC12V，最大功耗≤11.5W；PoE，最大功耗≤12.5W</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加热</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加热模块</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防护等级</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≥IP67</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热度图功能</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▲设备支持热度图功能，可将不同人数统计区域一段时间内人员变化频繁度，通过不同的冷暖色调显示出来，可生成空间和时间两张热度图进行显示。</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7</w:t>
            </w:r>
            <w:r/>
          </w:p>
        </w:tc>
        <w:tc>
          <w:tcPr>
            <w:shd w:val="clear" w:color="000000" w:fill="ffffff"/>
            <w:tcW w:w="990"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双鉴探测器</w:t>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性能</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微波+被动红外技术，内置微处理器，微波视区范围可调，双元PIR元件，比例监控电路，全功能自诊断，外壳和天花板防拆开关，自动温度补偿，抗辐射干扰，360°探测视区，探测范围：直径≥15m。</w:t>
            </w:r>
            <w:r/>
          </w:p>
        </w:tc>
        <w:tc>
          <w:tcPr>
            <w:shd w:val="clear" w:color="000000" w:fill="ffffff"/>
            <w:tcW w:w="765"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个</w:t>
            </w:r>
            <w:r/>
          </w:p>
        </w:tc>
        <w:tc>
          <w:tcPr>
            <w:shd w:val="clear" w:color="000000" w:fill="ffffff"/>
            <w:tcW w:w="746"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126</w:t>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电源要求</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10-12.9VDC；40mA，12VDC(典型)</w:t>
            </w:r>
            <w:r>
              <w:rPr>
                <w:rFonts w:hint="eastAsia" w:ascii="宋体" w:hAnsi="宋体" w:eastAsia="宋体"/>
                <w:color w:val="auto"/>
                <w:sz w:val="24"/>
                <w:szCs w:val="24"/>
                <w:highlight w:val="none"/>
              </w:rPr>
              <w:t xml:space="preserve">；</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故障输出</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集电极开路；集电极与发射器之间的电压为3V@50mA；</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报警继电器</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励磁C型(N.O./N.C.)干簧继电器，标称125mA@25VDC；</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指令输入</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启动自检；启动：0-1.5V(低电压)；不启动：5V以上(高电压)；阻抗：110K(最小)；</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微波频率</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中波段10.525GHz(USA)；</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防拆开关</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天花板和外盖防拆；A型(常闭)开关，标称：25mA/30VDC；</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工作温度</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0℃～49℃；5％～95％相对湿度，无霜；</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抗RF干扰</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30V/m，10MHz～1000MHz；</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被动红外抗白光干扰</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900Lux；</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被动红外视区</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(8′-11′透镜组合)3个360°区域；远区：36；中区：24；低区：16；俯视区：1；(12′-16′透镜组合)2个360°区域；远区：40；中区：20；俯视区：1</w:t>
            </w:r>
            <w:r>
              <w:rPr>
                <w:rFonts w:hint="eastAsia" w:ascii="宋体" w:hAnsi="宋体" w:eastAsia="宋体"/>
                <w:color w:val="auto"/>
                <w:sz w:val="24"/>
                <w:szCs w:val="24"/>
                <w:highlight w:val="none"/>
              </w:rPr>
              <w:t xml:space="preserve">。</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灵敏度</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探测视区内2-4步。</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restart"/>
            <w:textDirection w:val="lrTb"/>
            <w:noWrap w:val="false"/>
          </w:tcPr>
          <w:p>
            <w:pPr>
              <w:jc w:val="center"/>
              <w:spacing w:line="360" w:lineRule="auto"/>
              <w:rPr>
                <w:rFonts w:ascii="MS Gothic" w:hAnsi="MS Gothic" w:eastAsia="MS Gothic" w:cs="MS Gothic"/>
                <w:color w:val="auto"/>
                <w:sz w:val="24"/>
                <w:szCs w:val="24"/>
                <w:highlight w:val="none"/>
              </w:rPr>
            </w:pPr>
            <w:r>
              <w:rPr>
                <w:rFonts w:hint="eastAsia" w:ascii="宋体" w:hAnsi="宋体" w:eastAsia="宋体"/>
                <w:color w:val="auto"/>
                <w:sz w:val="24"/>
                <w:szCs w:val="24"/>
                <w:highlight w:val="none"/>
              </w:rPr>
              <w:t xml:space="preserve">8</w:t>
            </w:r>
            <w:r/>
          </w:p>
        </w:tc>
        <w:tc>
          <w:tcPr>
            <w:shd w:val="clear" w:color="000000" w:fill="ffffff"/>
            <w:tcW w:w="990" w:type="dxa"/>
            <w:vAlign w:val="center"/>
            <w:vMerge w:val="restart"/>
            <w:textDirection w:val="lrTb"/>
            <w:noWrap w:val="false"/>
          </w:tcPr>
          <w:p>
            <w:pPr>
              <w:jc w:val="center"/>
              <w:spacing w:line="360" w:lineRule="auto"/>
              <w:rPr>
                <w:rFonts w:ascii="MS Gothic" w:hAnsi="MS Gothic" w:eastAsia="MS Gothic" w:cs="MS Gothic"/>
                <w:color w:val="auto"/>
                <w:sz w:val="24"/>
                <w:szCs w:val="24"/>
                <w:highlight w:val="none"/>
              </w:rPr>
            </w:pPr>
            <w:r>
              <w:rPr>
                <w:rFonts w:hint="eastAsia" w:ascii="宋体" w:hAnsi="宋体" w:eastAsia="宋体"/>
                <w:color w:val="auto"/>
                <w:sz w:val="24"/>
                <w:szCs w:val="24"/>
                <w:highlight w:val="none"/>
              </w:rPr>
              <w:t xml:space="preserve">玻璃破碎探测器</w:t>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MS Gothic" w:hAnsi="MS Gothic" w:eastAsia="MS Gothic" w:cs="MS Gothic"/>
                <w:color w:val="auto"/>
                <w:sz w:val="24"/>
                <w:szCs w:val="24"/>
                <w:highlight w:val="none"/>
              </w:rPr>
              <w:t xml:space="preserve">‌</w:t>
            </w:r>
            <w:r>
              <w:rPr>
                <w:rFonts w:hint="eastAsia" w:ascii="宋体" w:hAnsi="宋体" w:eastAsia="宋体" w:cs="等线"/>
                <w:color w:val="auto"/>
                <w:sz w:val="24"/>
                <w:szCs w:val="24"/>
                <w:highlight w:val="none"/>
              </w:rPr>
              <w:t xml:space="preserve">探测范</w:t>
            </w:r>
            <w:r>
              <w:rPr>
                <w:rFonts w:hint="eastAsia" w:ascii="宋体" w:hAnsi="宋体" w:eastAsia="宋体"/>
                <w:color w:val="auto"/>
                <w:sz w:val="24"/>
                <w:szCs w:val="24"/>
                <w:highlight w:val="none"/>
              </w:rPr>
              <w:t xml:space="preserve">围</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圆形，最大距离7.6米，无最小距离限制。</w:t>
            </w:r>
            <w:r/>
          </w:p>
        </w:tc>
        <w:tc>
          <w:tcPr>
            <w:shd w:val="clear" w:color="000000" w:fill="ffffff"/>
            <w:tcW w:w="765"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个</w:t>
            </w:r>
            <w:r/>
          </w:p>
        </w:tc>
        <w:tc>
          <w:tcPr>
            <w:shd w:val="clear" w:color="000000" w:fill="ffffff"/>
            <w:tcW w:w="746"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30</w:t>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电源要求</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6-18VDC（12VDC时典型电流13mA，最大22mA）</w:t>
            </w:r>
            <w:r>
              <w:rPr>
                <w:rFonts w:hint="eastAsia" w:ascii="宋体" w:hAnsi="宋体" w:eastAsia="宋体"/>
                <w:color w:val="auto"/>
                <w:sz w:val="24"/>
                <w:szCs w:val="24"/>
                <w:highlight w:val="none"/>
              </w:rPr>
              <w:t xml:space="preserve">。</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灵敏度设置</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2位DIP开关，提供4档可调灵敏度</w:t>
            </w:r>
            <w:r>
              <w:rPr>
                <w:rFonts w:hint="eastAsia" w:ascii="宋体" w:hAnsi="宋体" w:eastAsia="宋体"/>
                <w:color w:val="auto"/>
                <w:sz w:val="24"/>
                <w:szCs w:val="24"/>
                <w:highlight w:val="none"/>
              </w:rPr>
              <w:t xml:space="preserve">。</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报警输出</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C型继电器触点（最大25VDC/125mA），报警持续时间约5秒。</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防拆功能</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外壳防拆+安装面防拆（最大24VDC/25mA）。</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环境适应性</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工作温度-10℃～50℃，存储温度-20℃～50℃。</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抗干扰能力</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抗静电10KV，抗辐射30V/m（10MHz-1000MHz）。</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安装方式</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吸顶或壁挂。</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9</w:t>
            </w:r>
            <w:r/>
          </w:p>
        </w:tc>
        <w:tc>
          <w:tcPr>
            <w:shd w:val="clear" w:color="000000" w:fill="ffffff"/>
            <w:tcW w:w="990"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被动红外探测器</w:t>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探测方式</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被动红外（PIR），双重屏蔽感光技术。</w:t>
            </w:r>
            <w:r/>
          </w:p>
        </w:tc>
        <w:tc>
          <w:tcPr>
            <w:shd w:val="clear" w:color="000000" w:fill="ffffff"/>
            <w:tcW w:w="765"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个</w:t>
            </w:r>
            <w:r/>
          </w:p>
        </w:tc>
        <w:tc>
          <w:tcPr>
            <w:shd w:val="clear" w:color="000000" w:fill="ffffff"/>
            <w:tcW w:w="746"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55</w:t>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覆盖范围</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12m×15m，广角</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120°</w:t>
            </w:r>
            <w:r>
              <w:rPr>
                <w:rFonts w:hint="eastAsia" w:ascii="宋体" w:hAnsi="宋体" w:eastAsia="宋体"/>
                <w:color w:val="auto"/>
                <w:sz w:val="24"/>
                <w:szCs w:val="24"/>
                <w:highlight w:val="none"/>
              </w:rPr>
              <w:t xml:space="preserve">。</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安装高度</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多级别模式最高 2.5m；防宠物模式1.2～1.5m。</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电源输入</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10.8～13.2V DC（部分资料标注9.5～13.2V）</w:t>
            </w:r>
            <w:r>
              <w:rPr>
                <w:rFonts w:hint="eastAsia" w:ascii="宋体" w:hAnsi="宋体" w:eastAsia="宋体"/>
                <w:color w:val="auto"/>
                <w:sz w:val="24"/>
                <w:szCs w:val="24"/>
                <w:highlight w:val="none"/>
              </w:rPr>
              <w:t xml:space="preserve">。</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静态电流</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25mA（最大）</w:t>
            </w:r>
            <w:r>
              <w:rPr>
                <w:rFonts w:hint="eastAsia" w:ascii="宋体" w:hAnsi="宋体" w:eastAsia="宋体"/>
                <w:color w:val="auto"/>
                <w:sz w:val="24"/>
                <w:szCs w:val="24"/>
                <w:highlight w:val="none"/>
              </w:rPr>
              <w:t xml:space="preserve">。</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报警输出</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常闭</w:t>
            </w:r>
            <w:r>
              <w:rPr>
                <w:rFonts w:ascii="宋体" w:hAnsi="宋体" w:eastAsia="宋体"/>
                <w:color w:val="auto"/>
                <w:sz w:val="24"/>
                <w:szCs w:val="24"/>
                <w:highlight w:val="none"/>
              </w:rPr>
              <w:t xml:space="preserve">/常开C型继电器，额定28VDC、0.2A最大</w:t>
            </w:r>
            <w:r>
              <w:rPr>
                <w:rFonts w:hint="eastAsia" w:ascii="宋体" w:hAnsi="宋体" w:eastAsia="宋体"/>
                <w:color w:val="auto"/>
                <w:sz w:val="24"/>
                <w:szCs w:val="24"/>
                <w:highlight w:val="none"/>
              </w:rPr>
              <w:t xml:space="preserve">。</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防拆开关</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外壳移除时触发。</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灵敏度调节</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高、中、低三档。</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探测模式</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可选“多级别”或“防宠物”（</w:t>
            </w:r>
            <w:r>
              <w:rPr>
                <w:rFonts w:ascii="宋体" w:hAnsi="宋体" w:eastAsia="宋体"/>
                <w:color w:val="auto"/>
                <w:sz w:val="24"/>
                <w:szCs w:val="24"/>
                <w:highlight w:val="none"/>
              </w:rPr>
              <w:t xml:space="preserve">18kg以下宠物免疫）</w:t>
            </w:r>
            <w:r>
              <w:rPr>
                <w:rFonts w:hint="eastAsia" w:ascii="宋体" w:hAnsi="宋体" w:eastAsia="宋体"/>
                <w:color w:val="auto"/>
                <w:sz w:val="24"/>
                <w:szCs w:val="24"/>
                <w:highlight w:val="none"/>
              </w:rPr>
              <w:t xml:space="preserve">。</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脉冲计数</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可选测试模式（1 脉冲）或正常模式（2 脉冲）。</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日夜模式</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支持光控切换（可调开关）。</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区域遮挡</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内置遮挡条，可屏蔽特定防区。</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工作温度</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-20℃～+50℃</w:t>
            </w:r>
            <w:r>
              <w:rPr>
                <w:rFonts w:hint="eastAsia" w:ascii="宋体" w:hAnsi="宋体" w:eastAsia="宋体"/>
                <w:color w:val="auto"/>
                <w:sz w:val="24"/>
                <w:szCs w:val="24"/>
                <w:highlight w:val="none"/>
              </w:rPr>
              <w:t xml:space="preserve">。</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环境湿度</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95％RH（无冷凝）</w:t>
            </w:r>
            <w:r>
              <w:rPr>
                <w:rFonts w:hint="eastAsia" w:ascii="宋体" w:hAnsi="宋体" w:eastAsia="宋体"/>
                <w:color w:val="auto"/>
                <w:sz w:val="24"/>
                <w:szCs w:val="24"/>
                <w:highlight w:val="none"/>
              </w:rPr>
              <w:t xml:space="preserve">。</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防水防尘</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stheme="majorEastAsia"/>
                <w:color w:val="auto"/>
                <w:sz w:val="24"/>
                <w:szCs w:val="24"/>
                <w:highlight w:val="none"/>
                <w:lang w:bidi="ar"/>
              </w:rPr>
              <w:t xml:space="preserve">≥</w:t>
            </w:r>
            <w:r>
              <w:rPr>
                <w:rFonts w:hint="eastAsia" w:ascii="宋体" w:hAnsi="宋体" w:eastAsia="宋体"/>
                <w:color w:val="auto"/>
                <w:sz w:val="24"/>
                <w:szCs w:val="24"/>
                <w:highlight w:val="none"/>
              </w:rPr>
              <w:t xml:space="preserve">IP54等级。</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预热时间</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约60秒。</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报警周期</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2秒（±1）</w:t>
            </w:r>
            <w:r>
              <w:rPr>
                <w:rFonts w:hint="eastAsia" w:ascii="宋体" w:hAnsi="宋体" w:eastAsia="宋体"/>
                <w:color w:val="auto"/>
                <w:sz w:val="24"/>
                <w:szCs w:val="24"/>
                <w:highlight w:val="none"/>
              </w:rPr>
              <w:t xml:space="preserve">。</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10</w:t>
            </w:r>
            <w:r/>
          </w:p>
        </w:tc>
        <w:tc>
          <w:tcPr>
            <w:shd w:val="clear" w:color="000000" w:fill="ffffff"/>
            <w:tcW w:w="990"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震动探测器</w:t>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探测方法</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振动。</w:t>
            </w:r>
            <w:r/>
          </w:p>
        </w:tc>
        <w:tc>
          <w:tcPr>
            <w:shd w:val="clear" w:color="000000" w:fill="ffffff"/>
            <w:tcW w:w="765"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个</w:t>
            </w:r>
            <w:r/>
          </w:p>
        </w:tc>
        <w:tc>
          <w:tcPr>
            <w:shd w:val="clear" w:color="000000" w:fill="ffffff"/>
            <w:tcW w:w="746"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15</w:t>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工作电压</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9V-16VDC</w:t>
            </w:r>
            <w:r>
              <w:rPr>
                <w:rFonts w:hint="eastAsia" w:ascii="宋体" w:hAnsi="宋体" w:eastAsia="宋体"/>
                <w:color w:val="auto"/>
                <w:sz w:val="24"/>
                <w:szCs w:val="24"/>
                <w:highlight w:val="none"/>
              </w:rPr>
              <w:t xml:space="preserve">。</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静态电流</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16mA</w:t>
            </w:r>
            <w:r>
              <w:rPr>
                <w:rFonts w:hint="eastAsia" w:ascii="宋体" w:hAnsi="宋体" w:eastAsia="宋体"/>
                <w:color w:val="auto"/>
                <w:sz w:val="24"/>
                <w:szCs w:val="24"/>
                <w:highlight w:val="none"/>
              </w:rPr>
              <w:t xml:space="preserve">。</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报警电流</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25mA</w:t>
            </w:r>
            <w:r>
              <w:rPr>
                <w:rFonts w:hint="eastAsia" w:ascii="宋体" w:hAnsi="宋体" w:eastAsia="宋体"/>
                <w:color w:val="auto"/>
                <w:sz w:val="24"/>
                <w:szCs w:val="24"/>
                <w:highlight w:val="none"/>
              </w:rPr>
              <w:t xml:space="preserve">。</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灵敏度</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通过AI灵敏度模式或VR旋钮+拨码开关设定。</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脉冲计数</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1，2，4，6脉冲可选</w:t>
            </w:r>
            <w:r>
              <w:rPr>
                <w:rFonts w:hint="eastAsia" w:ascii="宋体" w:hAnsi="宋体" w:eastAsia="宋体"/>
                <w:color w:val="auto"/>
                <w:sz w:val="24"/>
                <w:szCs w:val="24"/>
                <w:highlight w:val="none"/>
              </w:rPr>
              <w:t xml:space="preserve">。</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指示灯</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红色、绿色指示灯。</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锁存模式</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常规报警、首个报警、顺序锁存模式可选。</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报警输出</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常闭24DC，0.1A最大。</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防拆输出</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当外壳被移去时打开，24DC，0.1A最大。</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报警周期</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约1秒。</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工作温度</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20℃-50℃。</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环境湿度</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0-90％。</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11</w:t>
            </w:r>
            <w:r/>
          </w:p>
        </w:tc>
        <w:tc>
          <w:tcPr>
            <w:shd w:val="clear" w:color="000000" w:fill="ffffff"/>
            <w:tcW w:w="990"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总线报警主机</w:t>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设备类型</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总线式报警主机。</w:t>
            </w:r>
            <w:r/>
          </w:p>
        </w:tc>
        <w:tc>
          <w:tcPr>
            <w:shd w:val="clear" w:color="000000" w:fill="ffffff"/>
            <w:tcW w:w="765"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套</w:t>
            </w:r>
            <w:r/>
          </w:p>
        </w:tc>
        <w:tc>
          <w:tcPr>
            <w:shd w:val="clear" w:color="000000" w:fill="ffffff"/>
            <w:tcW w:w="746"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报警管理</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支持探测器</w:t>
            </w:r>
            <w:r>
              <w:rPr>
                <w:rFonts w:ascii="宋体" w:hAnsi="宋体" w:eastAsia="宋体"/>
                <w:color w:val="auto"/>
                <w:sz w:val="24"/>
                <w:szCs w:val="24"/>
                <w:highlight w:val="none"/>
              </w:rPr>
              <w:t xml:space="preserve">/紧急报警装置触发信号的接收，进行入侵/紧急报警事件管理</w:t>
            </w:r>
            <w:r>
              <w:rPr>
                <w:rFonts w:hint="eastAsia" w:ascii="宋体" w:hAnsi="宋体" w:eastAsia="宋体"/>
                <w:color w:val="auto"/>
                <w:sz w:val="24"/>
                <w:szCs w:val="24"/>
                <w:highlight w:val="none"/>
              </w:rPr>
              <w:t xml:space="preserve">。</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防区特性</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支持即时防区、延时防区、紧急防区、超时防区等场景化防区类型设置，满足细致化管理需求。</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分区管理</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支持子系统分区，对探测器进行分区管理，支持布防、撤防、消警、旁路等功能。</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报警指示</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支持报警键盘、警号、继电器联动、中心平台上报等报警事件指示功能。</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操作管理</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支持报警键盘、客户端软件、中心平台进行报警管理操作。</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联动控制</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支持报警事件联动，平台控制报警输出，实现场景化联动输出，进行个性化管理。</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操作系统</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Linux</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日志存储</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40000</w:t>
            </w:r>
            <w:r>
              <w:rPr>
                <w:rFonts w:hint="eastAsia" w:ascii="宋体" w:hAnsi="宋体" w:eastAsia="宋体"/>
                <w:color w:val="auto"/>
                <w:sz w:val="24"/>
                <w:szCs w:val="24"/>
                <w:highlight w:val="none"/>
              </w:rPr>
              <w:t xml:space="preserve">条</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系统校时</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手动校时、NTP校时</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子系统</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≥8个</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公共子系统</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板载防区</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≥8路</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扩展防区</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最大可扩展248路（其中无线防区上限为64个）</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板载警号输出</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≥1路</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板载继电器输出</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≥4路</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扩展输出</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最大可扩展252路</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键盘</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rPr>
                <w:rFonts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个</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总线中继器</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≥4个，单条总线最多2个</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遥控器</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rPr>
                <w:rFonts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个（需搭配报警键盘支持）</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卡片</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rPr>
                <w:rFonts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张（需搭配报警键盘支持）</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总线类型</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M-BUS</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总线拓扑</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手拉手</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总线距离</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2400</w:t>
            </w:r>
            <w:r>
              <w:rPr>
                <w:rFonts w:hint="eastAsia" w:ascii="宋体" w:hAnsi="宋体" w:eastAsia="宋体"/>
                <w:color w:val="auto"/>
                <w:sz w:val="24"/>
                <w:szCs w:val="24"/>
                <w:highlight w:val="none"/>
              </w:rPr>
              <w:t xml:space="preserve">m，每增加一个中继器延长2400m，单条线路最多增加2个中继器</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总线线型</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RVV2*1.5mm²</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网络协议</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SDK、NAL2300</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接口协议</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PSTN-CID</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主电源</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AC220V</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电池接口</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铅酸蓄电池接口x1</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辅电输出</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DC12V/1A</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警号接口</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≥1路</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防区输入接口</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≥8路</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报警输出接口</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≥4路</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总线接口</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≥2路</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RS-485接口</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≥1路</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网络接口</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≥1路，支持扩展</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4G模块接口</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≥1路，模块按需选配</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电话线模块接口</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≥1路，模块出厂标配</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打印机接口</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≥1路</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使用场景</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室内</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安装方式</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壁挂</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供电方式</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AC 220 V （出厂自带电源适配器转14.3V）</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额定功率</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5</w:t>
            </w:r>
            <w:r>
              <w:rPr>
                <w:rFonts w:hint="eastAsia" w:ascii="宋体" w:hAnsi="宋体" w:eastAsia="宋体"/>
                <w:color w:val="auto"/>
                <w:sz w:val="24"/>
                <w:szCs w:val="24"/>
                <w:highlight w:val="none"/>
              </w:rPr>
              <w:t xml:space="preserve">W（设备单机功率）</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最大功率</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60</w:t>
            </w:r>
            <w:r>
              <w:rPr>
                <w:rFonts w:hint="eastAsia" w:ascii="宋体" w:hAnsi="宋体" w:eastAsia="宋体"/>
                <w:color w:val="auto"/>
                <w:sz w:val="24"/>
                <w:szCs w:val="24"/>
                <w:highlight w:val="none"/>
              </w:rPr>
              <w:t xml:space="preserve">W (系统外设辅电满载)</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颜色</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白色</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外壳材质</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金属</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认证等级</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GA：4级</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12</w:t>
            </w:r>
            <w:r/>
          </w:p>
        </w:tc>
        <w:tc>
          <w:tcPr>
            <w:shd w:val="clear" w:color="000000" w:fill="ffffff"/>
            <w:tcW w:w="990"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16防区网络报警主机</w:t>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设备类型</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分线式网络报警主机</w:t>
            </w:r>
            <w:r/>
          </w:p>
        </w:tc>
        <w:tc>
          <w:tcPr>
            <w:shd w:val="clear" w:color="000000" w:fill="ffffff"/>
            <w:tcW w:w="765"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套</w:t>
            </w:r>
            <w:r/>
          </w:p>
        </w:tc>
        <w:tc>
          <w:tcPr>
            <w:shd w:val="clear" w:color="000000" w:fill="ffffff"/>
            <w:tcW w:w="746"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24</w:t>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操作系统</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嵌入式</w:t>
            </w:r>
            <w:r>
              <w:rPr>
                <w:rFonts w:ascii="宋体" w:hAnsi="宋体" w:eastAsia="宋体"/>
                <w:color w:val="auto"/>
                <w:sz w:val="24"/>
                <w:szCs w:val="24"/>
                <w:highlight w:val="none"/>
              </w:rPr>
              <w:t xml:space="preserve">Linux</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防区容量</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板载≥</w:t>
            </w:r>
            <w:r>
              <w:rPr>
                <w:rFonts w:ascii="宋体" w:hAnsi="宋体" w:eastAsia="宋体"/>
                <w:color w:val="auto"/>
                <w:sz w:val="24"/>
                <w:szCs w:val="24"/>
                <w:highlight w:val="none"/>
              </w:rPr>
              <w:t xml:space="preserve">16路防区，最大可扩展≥32路防区（其中无线防区上限32个）</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子系统</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w:t>
            </w:r>
            <w:r>
              <w:rPr>
                <w:rFonts w:ascii="宋体" w:hAnsi="宋体" w:eastAsia="宋体"/>
                <w:color w:val="auto"/>
                <w:sz w:val="24"/>
                <w:szCs w:val="24"/>
                <w:highlight w:val="none"/>
              </w:rPr>
              <w:t xml:space="preserve">8个子系统分区管理，支持布防、撤防、消警、旁路</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防区类型</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支持即时防区、延时防区、紧急防区、超时防区等场景化防区类型</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报警管理</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支持探测器/紧急报警装置触发信号接收与入侵/紧急报警事件管理</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联动控制</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支持报警事件联动，支持警号、继电器、中心平台上报等报警指示；支持平台控制报警输出</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报警输出</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板载≥1路警号输出，≥4路继电器输出，最大可扩展≥44路输出</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键盘</w:t>
            </w:r>
            <w:r>
              <w:rPr>
                <w:rFonts w:ascii="宋体" w:hAnsi="宋体" w:eastAsia="宋体"/>
                <w:color w:val="auto"/>
                <w:sz w:val="24"/>
                <w:szCs w:val="24"/>
                <w:highlight w:val="none"/>
              </w:rPr>
              <w:t xml:space="preserve">/遥控器/卡片</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支持≥32个键盘、≥32个遥控器、≥32张卡片</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日志存储</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≥40000条事件日志</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校时</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支持手动校时与NTP校时</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通信接口</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≥1路RJ45网络接口（支持扩展）；≥1路RS-485接口；≥1路电话线接口；≥1路4G模块接口</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防区</w:t>
            </w:r>
            <w:r>
              <w:rPr>
                <w:rFonts w:ascii="宋体" w:hAnsi="宋体" w:eastAsia="宋体"/>
                <w:color w:val="auto"/>
                <w:sz w:val="24"/>
                <w:szCs w:val="24"/>
                <w:highlight w:val="none"/>
              </w:rPr>
              <w:t xml:space="preserve">/警号接口</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≥16路防区输入接口，≥4路报警输出接口，≥1路警号接口</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辅电输出</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支持DC12V/1A辅电输出</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蓄电池</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支持铅酸蓄电池接口</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断网续传</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支持断网续传，离线事件恢复连接后自动重传</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协议</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支持标准网络协议及PSTN-CID接口协议接入</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供电方式</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AC220V</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功耗</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额定功率≤</w:t>
            </w:r>
            <w:r>
              <w:rPr>
                <w:rFonts w:ascii="宋体" w:hAnsi="宋体" w:eastAsia="宋体"/>
                <w:color w:val="auto"/>
                <w:sz w:val="24"/>
                <w:szCs w:val="24"/>
                <w:highlight w:val="none"/>
              </w:rPr>
              <w:t xml:space="preserve">5W，系统最大功率≤40W</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13</w:t>
            </w:r>
            <w:r/>
          </w:p>
        </w:tc>
        <w:tc>
          <w:tcPr>
            <w:shd w:val="clear" w:color="000000" w:fill="ffffff"/>
            <w:tcW w:w="990"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监视器</w:t>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显示尺寸</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43inch（物理分辨率≥1920×1080）</w:t>
            </w:r>
            <w:r/>
          </w:p>
        </w:tc>
        <w:tc>
          <w:tcPr>
            <w:shd w:val="clear" w:color="000000" w:fill="ffffff"/>
            <w:tcW w:w="765"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套</w:t>
            </w:r>
            <w:r/>
          </w:p>
        </w:tc>
        <w:tc>
          <w:tcPr>
            <w:shd w:val="clear" w:color="000000" w:fill="ffffff"/>
            <w:tcW w:w="746"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12</w:t>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屏幕类型</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像素间距≤0.49005mm</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亮度</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450cd/㎡</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对比度</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4000</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1</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可视角度</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水平≥</w:t>
            </w:r>
            <w:r>
              <w:rPr>
                <w:rFonts w:ascii="宋体" w:hAnsi="宋体" w:eastAsia="宋体"/>
                <w:color w:val="auto"/>
                <w:sz w:val="24"/>
                <w:szCs w:val="24"/>
                <w:highlight w:val="none"/>
              </w:rPr>
              <w:t xml:space="preserve">178°，垂直≥178°</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连续运行</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w:t>
            </w:r>
            <w:r>
              <w:rPr>
                <w:rFonts w:ascii="宋体" w:hAnsi="宋体" w:eastAsia="宋体"/>
                <w:color w:val="auto"/>
                <w:sz w:val="24"/>
                <w:szCs w:val="24"/>
                <w:highlight w:val="none"/>
              </w:rPr>
              <w:t xml:space="preserve">7×24 小时不间断工作</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视频输入接口</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1路VGA，≥1路HDMI 1.4，≥1路DVI，≥1路SDI，≥1路Line-in音频输入</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数据</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1路USB 2.0，≥1路RS232控制接口</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音频</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内置≥</w:t>
            </w:r>
            <w:r>
              <w:rPr>
                <w:rFonts w:ascii="宋体" w:hAnsi="宋体" w:eastAsia="宋体"/>
                <w:color w:val="auto"/>
                <w:sz w:val="24"/>
                <w:szCs w:val="24"/>
                <w:highlight w:val="none"/>
              </w:rPr>
              <w:t xml:space="preserve">2路扬声器</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电源</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AC178</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240V，50/60Hz</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功耗</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≤200W；待机功耗≤</w:t>
            </w:r>
            <w:r>
              <w:rPr>
                <w:rFonts w:ascii="宋体" w:hAnsi="宋体" w:eastAsia="宋体"/>
                <w:color w:val="auto"/>
                <w:sz w:val="24"/>
                <w:szCs w:val="24"/>
                <w:highlight w:val="none"/>
              </w:rPr>
              <w:t xml:space="preserve">0.5W</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14</w:t>
            </w:r>
            <w:r/>
          </w:p>
        </w:tc>
        <w:tc>
          <w:tcPr>
            <w:shd w:val="clear" w:color="000000" w:fill="ffffff"/>
            <w:tcW w:w="990"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电子围栏</w:t>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供电电源</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AC220V（电源适配器）、DC24V、AC24V；</w:t>
            </w:r>
            <w:r/>
          </w:p>
        </w:tc>
        <w:tc>
          <w:tcPr>
            <w:shd w:val="clear" w:color="000000" w:fill="ffffff"/>
            <w:tcW w:w="765"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套</w:t>
            </w:r>
            <w:r/>
          </w:p>
        </w:tc>
        <w:tc>
          <w:tcPr>
            <w:shd w:val="clear" w:color="000000" w:fill="ffffff"/>
            <w:tcW w:w="746"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围栏规格</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围栏总长度7</w:t>
            </w:r>
            <w:r>
              <w:rPr>
                <w:rFonts w:ascii="宋体" w:hAnsi="宋体" w:eastAsia="宋体"/>
                <w:color w:val="auto"/>
                <w:sz w:val="24"/>
                <w:szCs w:val="24"/>
                <w:highlight w:val="none"/>
              </w:rPr>
              <w:t xml:space="preserve">5</w:t>
            </w:r>
            <w:r>
              <w:rPr>
                <w:rFonts w:hint="eastAsia" w:ascii="宋体" w:hAnsi="宋体" w:eastAsia="宋体"/>
                <w:color w:val="auto"/>
                <w:sz w:val="24"/>
                <w:szCs w:val="24"/>
                <w:highlight w:val="none"/>
              </w:rPr>
              <w:t xml:space="preserve">米；多股镁铝合金线；</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使用环境</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温度-25℃- +55℃、相对湿度≤95％；</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最大功率</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15W</w:t>
            </w:r>
            <w:r>
              <w:rPr>
                <w:rFonts w:hint="eastAsia" w:ascii="宋体" w:hAnsi="宋体" w:eastAsia="宋体"/>
                <w:color w:val="auto"/>
                <w:sz w:val="24"/>
                <w:szCs w:val="24"/>
                <w:highlight w:val="none"/>
              </w:rPr>
              <w:t xml:space="preserve">；</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报警延时</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2S；</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通信接口</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RS485或网口；</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报警接口</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干节点常开、常闭触点；</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高压模式脉冲峰值</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5000-10000V；</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低压模式脉冲峰值</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500-1000v；</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脉冲频率</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信号每</w:t>
            </w:r>
            <w:r>
              <w:rPr>
                <w:rFonts w:ascii="宋体" w:hAnsi="宋体" w:eastAsia="宋体"/>
                <w:color w:val="auto"/>
                <w:sz w:val="24"/>
                <w:szCs w:val="24"/>
                <w:highlight w:val="none"/>
              </w:rPr>
              <w:t xml:space="preserve">1～1.5S一次，占空比1/10；</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脉冲持续时间</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0.1S；</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15</w:t>
            </w:r>
            <w:r/>
          </w:p>
        </w:tc>
        <w:tc>
          <w:tcPr>
            <w:shd w:val="clear" w:color="000000" w:fill="ffffff"/>
            <w:tcW w:w="990"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拾音器</w:t>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监听面积</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10平方米-150平方米</w:t>
            </w:r>
            <w:r/>
          </w:p>
        </w:tc>
        <w:tc>
          <w:tcPr>
            <w:shd w:val="clear" w:color="000000" w:fill="ffffff"/>
            <w:tcW w:w="765"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个</w:t>
            </w:r>
            <w:r/>
          </w:p>
        </w:tc>
        <w:tc>
          <w:tcPr>
            <w:shd w:val="clear" w:color="000000" w:fill="ffffff"/>
            <w:tcW w:w="746"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40</w:t>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音频传输距离</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3000米</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频率响应</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20Hz～20kHz</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灵敏度</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-30dB</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信噪比</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80dB ( 1米40dB音源) 50dB (10米40dB音源) 1KHz at 1 Pa</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指向特性</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全方向性</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动态范围</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104dB (1KHz at Max dB SPL)</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最大承受音压</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120dB SPL (1KHz</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THD 1</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输出阻抗</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600欧姆非平衡</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输出信号幅度</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2.5Vpp/-25db</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麦克风</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两只互补型高灵敏度全指向电容咪头</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保护电路</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雷击保护、电源极性反转保护</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连接方式</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电源线（红黄色）、音频（白色）、公共地（黑色）</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传输线缆</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3芯0.5mm2 RVVP屏蔽电缆传输</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电源电压</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直流稳压DC 12V，大于500米推荐15V</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电源电流</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30 mA</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工作环境温度</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—25℃～70℃</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电源</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含</w:t>
            </w:r>
            <w:r>
              <w:rPr>
                <w:rFonts w:ascii="宋体" w:hAnsi="宋体" w:eastAsia="宋体"/>
                <w:color w:val="auto"/>
                <w:sz w:val="24"/>
                <w:szCs w:val="24"/>
                <w:highlight w:val="none"/>
              </w:rPr>
              <w:t xml:space="preserve">12V专业隔离式直流稳压电源</w:t>
            </w:r>
            <w:r>
              <w:rPr>
                <w:rFonts w:hint="eastAsia" w:ascii="宋体" w:hAnsi="宋体" w:eastAsia="宋体"/>
                <w:color w:val="auto"/>
                <w:sz w:val="24"/>
                <w:szCs w:val="24"/>
                <w:highlight w:val="none"/>
              </w:rPr>
              <w:t xml:space="preserve">适配器</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16</w:t>
            </w:r>
            <w:r/>
          </w:p>
        </w:tc>
        <w:tc>
          <w:tcPr>
            <w:shd w:val="clear" w:color="000000" w:fill="ffffff"/>
            <w:tcW w:w="990"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核心交换机</w:t>
            </w:r>
            <w:r/>
          </w:p>
        </w:tc>
        <w:tc>
          <w:tcPr>
            <w:shd w:val="clear" w:color="000000" w:fill="ffffff"/>
            <w:tcW w:w="1673"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硬件要求</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交换容量≥1900T，包转发速率≥460000Mpps；</w:t>
            </w:r>
            <w:r/>
          </w:p>
        </w:tc>
        <w:tc>
          <w:tcPr>
            <w:shd w:val="clear" w:color="000000" w:fill="ffffff"/>
            <w:tcW w:w="765"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套</w:t>
            </w:r>
            <w:r/>
          </w:p>
        </w:tc>
        <w:tc>
          <w:tcPr>
            <w:shd w:val="clear" w:color="000000" w:fill="ffffff"/>
            <w:tcW w:w="746"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要求交换网板与主控引擎硬件槽位分离，独立主控引擎插槽≥2个，独立业务插槽≥8个，独立交换网板插槽≥4个；</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支持模块化风扇框≥2，风扇框同物理尺寸规格，可任意框任意安装，支持风扇框1+1冗余；风扇框内部风扇采用串联设计；</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为了满足下一代数据中心建设要求，核心交换机100G端口在负载100％的情况下每端口功率需要≤10W；</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为了满足下一代数据中心建设要求，核心交换机10G端口在负载100％的情况下每端口功率需要≤2.2W；</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▲支持光口保护电路设计，可监测光模块运行状态：即系统可即时识别光模块短路状态、并将故障模块隔离，确保其不影响其它端口和整机的正常运行；更换模块后该端口也可马上恢复正常工作状态。</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▲支持硬件层级双boot，采用两个FLASH芯片存储boot软件（系统引导程序），实现硬件级boot冗余备份，避免因FLASH芯片故障导致交换机无法启动。</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本次单台配置：主控引擎≥</w:t>
            </w:r>
            <w:r>
              <w:rPr>
                <w:rFonts w:ascii="宋体" w:hAnsi="宋体" w:eastAsia="宋体"/>
                <w:color w:val="auto"/>
                <w:sz w:val="24"/>
                <w:szCs w:val="24"/>
                <w:highlight w:val="none"/>
              </w:rPr>
              <w:t xml:space="preserve">2个，主控交换网板≥2个，通用电源模块（可以冗余，交流，1600W）≥2个，整机端口数量：≥32个万兆以太网光口(SFP+</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LC)、≥48个千兆以太网电口(RJ45)，额外包含：10G Base SFP+ 3M光纤线缆（包含两边的模块）≥1个，10KM万兆LC接口模块（1310nm）≥40个</w:t>
            </w:r>
            <w:r>
              <w:rPr>
                <w:rFonts w:hint="eastAsia" w:ascii="宋体" w:hAnsi="宋体" w:eastAsia="宋体"/>
                <w:color w:val="auto"/>
                <w:sz w:val="24"/>
                <w:szCs w:val="24"/>
                <w:highlight w:val="none"/>
              </w:rPr>
              <w:t xml:space="preserve">。</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widowControl/>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widowControl/>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restart"/>
            <w:textDirection w:val="lrTb"/>
            <w:noWrap w:val="false"/>
          </w:tcPr>
          <w:p>
            <w:pPr>
              <w:jc w:val="center"/>
              <w:spacing w:line="360"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软件要求</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N：1虚拟化：可将多台物理设备虚拟化为1台逻辑设备，虚拟组内设备具备统一的二层及三层转发表项，并可实现跨设备链路聚合。</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支持VXLAN桥模式，VXLAN路由模式，支持MP-BGP EVPN。</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支持跨设备链路聚合MLAG，支持无损升级不断流，支持MLAG快速收敛(20ms流量无丢包)，支持一致性检查，支持MLAG层组播，支持MLAG接入动态路由(OSPF、OSPFV3、BGP、BGP4+)</w:t>
            </w:r>
            <w:r>
              <w:rPr>
                <w:rFonts w:hint="eastAsia" w:ascii="宋体" w:hAnsi="宋体" w:eastAsia="宋体"/>
                <w:color w:val="auto"/>
                <w:sz w:val="24"/>
                <w:szCs w:val="24"/>
                <w:highlight w:val="none"/>
              </w:rPr>
              <w:t xml:space="preserve">。</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w:t>
            </w:r>
            <w:r>
              <w:rPr>
                <w:rFonts w:ascii="宋体" w:hAnsi="宋体" w:eastAsia="宋体"/>
                <w:color w:val="auto"/>
                <w:sz w:val="24"/>
                <w:szCs w:val="24"/>
                <w:highlight w:val="none"/>
              </w:rPr>
              <w:t xml:space="preserve">STP、 RSTP、 MSTP，支持端口聚合，支持一对一镜像、多对一镜像、一对多镜像，支持流镜像，支持SPAN、RSPAN远程镜像，支持VLAN镜像。</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支持静</w:t>
            </w:r>
            <w:r>
              <w:rPr>
                <w:rFonts w:ascii="宋体" w:hAnsi="宋体" w:eastAsia="宋体"/>
                <w:color w:val="auto"/>
                <w:sz w:val="24"/>
                <w:szCs w:val="24"/>
                <w:highlight w:val="none"/>
              </w:rPr>
              <w:t xml:space="preserve">RIP、RIPng、OSPFv2、OSPFv3、BGP、BGP4+、ISIS、ISISv6，支持等价路由、策略路由。支持GR for OSPF/IS-IS/BGP，支持手动隧道，自动隧道，ISATAP，GRE隧道。</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w:t>
            </w:r>
            <w:r>
              <w:rPr>
                <w:rFonts w:ascii="宋体" w:hAnsi="宋体" w:eastAsia="宋体"/>
                <w:color w:val="auto"/>
                <w:sz w:val="24"/>
                <w:szCs w:val="24"/>
                <w:highlight w:val="none"/>
              </w:rPr>
              <w:t xml:space="preserve">IGMPv1/v2/v3、IGMP Snooping 、PIM-DM、PIM-SM、PIM-SSM。</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支持MPLS功能，支持MPLS L3VPN，MPLS 6VPE。</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支持基础安全保护策略，提供交换机防攻击功能，在受攻击情况下，保护系统各种服务的正常运行，以及保持较低的CPU负载，从而保障了整个网络的稳定运行。</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支持全解耦的组件化操作系统，支持组件在线安装升级，组件间出现问题互相不影响。</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支持业务逻辑与状态分离，业务状态持久化处理，业务级异常从持久化状态中秒级恢复。</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支持基于</w:t>
            </w:r>
            <w:r>
              <w:rPr>
                <w:rFonts w:ascii="宋体" w:hAnsi="宋体" w:eastAsia="宋体"/>
                <w:color w:val="auto"/>
                <w:sz w:val="24"/>
                <w:szCs w:val="24"/>
                <w:highlight w:val="none"/>
              </w:rPr>
              <w:t xml:space="preserve">GRPC的Telemetry技术，实现对CPU、内存等信息的周期性采集。</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支持准入管控功能，无需收集哑终端MAC和IP地址，实现哑终端入网IP+mac绑定及终端自动上线与vlan/端口无关，即插即用。</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支持环路检查，当网络出现环路时能自动检测告警并且能够查询到环路源端口位置。</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Web认证容量支持10万并发用户。</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802.1X认证容量支持10万并发用户。</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支持MAC表项容量≥512K，ARP表项容量≥100K，IPV6 ND表项≥475K。</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支持IPv4路由容量1.5M，IPv6路由容量1M，可实现大表项板卡和其他板卡混插，不影响整机表项容量。</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Web认证容量支持30万并发用户</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802.1X认证容量支持30万并发用户</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整机认证并发上线能力1500终端/秒</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出厂预置管理软件，可实现即插即用和零配置上线；出厂预置业务模板，可通过excel批量导入或通过楼栋交换机，绑定设备区域位置，完成交换机自动上线获取正确的配置；支持自适应不同接入设备替换，同时支持端口盲插，可自适应端口接错线，端口配置自动跟随业务走。</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restart"/>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hint="eastAsia" w:ascii="宋体" w:hAnsi="宋体" w:eastAsia="宋体"/>
                <w:color w:val="auto"/>
                <w:sz w:val="24"/>
                <w:szCs w:val="24"/>
                <w:highlight w:val="none"/>
              </w:rPr>
              <w:t xml:space="preserve">17</w:t>
            </w:r>
            <w:r/>
          </w:p>
        </w:tc>
        <w:tc>
          <w:tcPr>
            <w:shd w:val="clear" w:color="000000" w:fill="ffffff"/>
            <w:tcW w:w="990" w:type="dxa"/>
            <w:vAlign w:val="center"/>
            <w:vMerge w:val="restart"/>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hint="eastAsia" w:ascii="宋体" w:hAnsi="宋体" w:eastAsia="宋体"/>
                <w:color w:val="auto"/>
                <w:sz w:val="24"/>
                <w:szCs w:val="24"/>
                <w:highlight w:val="none"/>
              </w:rPr>
              <w:t xml:space="preserve">POE交换机</w:t>
            </w:r>
            <w:r/>
          </w:p>
        </w:tc>
        <w:tc>
          <w:tcPr>
            <w:shd w:val="clear" w:color="000000" w:fill="ffffff"/>
            <w:tcW w:w="1673"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stheme="majorEastAsia"/>
                <w:color w:val="auto"/>
                <w:sz w:val="24"/>
                <w:szCs w:val="24"/>
                <w:highlight w:val="none"/>
                <w:lang w:bidi="ar"/>
              </w:rPr>
              <w:t xml:space="preserve">硬件</w:t>
            </w:r>
            <w:r>
              <w:rPr>
                <w:rFonts w:hint="eastAsia" w:ascii="宋体" w:hAnsi="宋体" w:eastAsia="宋体" w:cstheme="majorEastAsia"/>
                <w:color w:val="auto"/>
                <w:sz w:val="24"/>
                <w:szCs w:val="24"/>
                <w:highlight w:val="none"/>
                <w:lang w:bidi="ar"/>
              </w:rPr>
              <w:t xml:space="preserve">要求</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交换容量≥1.36Tbps/13.6Tbps</w:t>
            </w:r>
            <w:r/>
          </w:p>
        </w:tc>
        <w:tc>
          <w:tcPr>
            <w:shd w:val="clear" w:color="000000" w:fill="ffffff"/>
            <w:tcW w:w="765"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台</w:t>
            </w:r>
            <w:r/>
          </w:p>
        </w:tc>
        <w:tc>
          <w:tcPr>
            <w:shd w:val="clear" w:color="000000" w:fill="ffffff"/>
            <w:tcW w:w="746"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16</w:t>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转发性能≥225Mpps/770Mpps，</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固化100M/1G/2.5G 以太网端口≥24，10G/2.5G/1G SFP+光接口≥</w:t>
            </w:r>
            <w:r>
              <w:rPr>
                <w:rFonts w:ascii="宋体" w:hAnsi="宋体" w:eastAsia="宋体"/>
                <w:color w:val="auto"/>
                <w:sz w:val="24"/>
                <w:szCs w:val="24"/>
                <w:highlight w:val="none"/>
              </w:rPr>
              <w:t xml:space="preserve">4</w:t>
            </w:r>
            <w:r>
              <w:rPr>
                <w:rFonts w:hint="eastAsia" w:ascii="宋体" w:hAnsi="宋体" w:eastAsia="宋体"/>
                <w:color w:val="auto"/>
                <w:sz w:val="24"/>
                <w:szCs w:val="24"/>
                <w:highlight w:val="none"/>
              </w:rPr>
              <w:t xml:space="preserve">个；</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stheme="majorEastAsia"/>
                <w:color w:val="auto"/>
                <w:sz w:val="24"/>
                <w:szCs w:val="24"/>
                <w:highlight w:val="none"/>
                <w:lang w:bidi="ar"/>
              </w:rPr>
              <w:t xml:space="preserve">支持并实配双模块化可热插拔电源，能够插AC、DC系列不同功率的电源模块，单电源PoE输出功率≥470W，双电源PoE输出功率≥1600W；</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ascii="宋体" w:hAnsi="宋体" w:eastAsia="宋体" w:cstheme="majorEastAsia"/>
                <w:color w:val="auto"/>
                <w:sz w:val="24"/>
                <w:szCs w:val="24"/>
                <w:highlight w:val="none"/>
                <w:lang w:bidi="ar"/>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ascii="宋体" w:hAnsi="宋体" w:eastAsia="宋体" w:cstheme="majorEastAsia"/>
                <w:color w:val="auto"/>
                <w:sz w:val="24"/>
                <w:szCs w:val="24"/>
                <w:highlight w:val="none"/>
                <w:lang w:bidi="ar"/>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支持PoE/PoE+/PoE++远程供电，PoE++同时可供电端口数≥24个。</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ascii="宋体" w:hAnsi="宋体" w:eastAsia="宋体" w:cstheme="majorEastAsia"/>
                <w:color w:val="auto"/>
                <w:sz w:val="24"/>
                <w:szCs w:val="24"/>
                <w:highlight w:val="none"/>
                <w:lang w:bidi="ar"/>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ascii="宋体" w:hAnsi="宋体" w:eastAsia="宋体" w:cstheme="majorEastAsia"/>
                <w:color w:val="auto"/>
                <w:sz w:val="24"/>
                <w:szCs w:val="24"/>
                <w:highlight w:val="none"/>
                <w:lang w:bidi="ar"/>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投标产品面板自带一键查看PoE供电状态功能的PoE按钮，轻按即可查看设备当前的通信状态和供电状态。</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产品端口浪涌抗扰度≥10KV，即具备10KV的防雷能力。</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ascii="宋体" w:hAnsi="宋体" w:eastAsia="宋体" w:cstheme="majorEastAsia"/>
                <w:color w:val="auto"/>
                <w:sz w:val="24"/>
                <w:szCs w:val="24"/>
                <w:highlight w:val="none"/>
                <w:lang w:bidi="ar"/>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ascii="宋体" w:hAnsi="宋体" w:eastAsia="宋体" w:cstheme="majorEastAsia"/>
                <w:color w:val="auto"/>
                <w:sz w:val="24"/>
                <w:szCs w:val="24"/>
                <w:highlight w:val="none"/>
                <w:lang w:bidi="ar"/>
              </w:rPr>
            </w:r>
            <w:r/>
          </w:p>
        </w:tc>
        <w:tc>
          <w:tcPr>
            <w:shd w:val="clear" w:color="000000" w:fill="ffffff"/>
            <w:tcW w:w="1673"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stheme="majorEastAsia"/>
                <w:color w:val="auto"/>
                <w:sz w:val="24"/>
                <w:szCs w:val="24"/>
                <w:highlight w:val="none"/>
                <w:lang w:bidi="ar"/>
              </w:rPr>
              <w:t xml:space="preserve">软件</w:t>
            </w:r>
            <w:r>
              <w:rPr>
                <w:rFonts w:hint="eastAsia" w:ascii="宋体" w:hAnsi="宋体" w:eastAsia="宋体" w:cstheme="majorEastAsia"/>
                <w:color w:val="auto"/>
                <w:sz w:val="24"/>
                <w:szCs w:val="24"/>
                <w:highlight w:val="none"/>
                <w:lang w:bidi="ar"/>
              </w:rPr>
              <w:t xml:space="preserve">功能</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stheme="majorEastAsia"/>
                <w:color w:val="auto"/>
                <w:sz w:val="24"/>
                <w:szCs w:val="24"/>
                <w:highlight w:val="none"/>
                <w:lang w:bidi="ar"/>
              </w:rPr>
              <w:t xml:space="preserve">支持IPv4和IPv6的静态路由、RIP/RIPng、OSPFv2/OSPFv3等三层路由协议。</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ascii="宋体" w:hAnsi="宋体" w:eastAsia="宋体" w:cstheme="majorEastAsia"/>
                <w:color w:val="auto"/>
                <w:sz w:val="24"/>
                <w:szCs w:val="24"/>
                <w:highlight w:val="none"/>
                <w:lang w:bidi="ar"/>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ascii="宋体" w:hAnsi="宋体" w:eastAsia="宋体" w:cstheme="majorEastAsia"/>
                <w:color w:val="auto"/>
                <w:sz w:val="24"/>
                <w:szCs w:val="24"/>
                <w:highlight w:val="none"/>
                <w:lang w:bidi="ar"/>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stheme="majorEastAsia"/>
                <w:color w:val="auto"/>
                <w:sz w:val="24"/>
                <w:szCs w:val="24"/>
                <w:highlight w:val="none"/>
                <w:lang w:bidi="ar"/>
              </w:rPr>
              <w:t xml:space="preserve">支持RIP/RIPng、OSPFv2/OSPFv3等三层路由协议</w:t>
            </w:r>
            <w:r>
              <w:rPr>
                <w:rFonts w:hint="eastAsia" w:ascii="宋体" w:hAnsi="宋体" w:eastAsia="宋体" w:cstheme="majorEastAsia"/>
                <w:color w:val="auto"/>
                <w:sz w:val="24"/>
                <w:szCs w:val="24"/>
                <w:highlight w:val="none"/>
                <w:lang w:bidi="ar"/>
              </w:rPr>
              <w:t xml:space="preserve">。</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ascii="宋体" w:hAnsi="宋体" w:eastAsia="宋体" w:cstheme="majorEastAsia"/>
                <w:color w:val="auto"/>
                <w:sz w:val="24"/>
                <w:szCs w:val="24"/>
                <w:highlight w:val="none"/>
                <w:lang w:bidi="ar"/>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ascii="宋体" w:hAnsi="宋体" w:eastAsia="宋体" w:cstheme="majorEastAsia"/>
                <w:color w:val="auto"/>
                <w:sz w:val="24"/>
                <w:szCs w:val="24"/>
                <w:highlight w:val="none"/>
                <w:lang w:bidi="ar"/>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支持SAVI功能，可防止地址解析欺骗。</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支持CPU保护功能，能限制非法报文对CPU的攻击，保护交换机在各种环境下稳定工作。</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支持专门基础网络保护机制，支持限制用户向网络中发送数据包的速率，对有攻击行为的用户进行隔离，保证设备和整网的安全稳定运行。</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支持快速以太网链路检测协议，可快速检测链路的通断和光纤链路的单向性，并支持端口下的环路检测功能。</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支持虚拟化功能，即可将多台物理设备虚拟化为一台逻辑设备统一管理，并且链路故障的收敛时间≤200ms。</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stheme="majorEastAsia"/>
                <w:color w:val="auto"/>
                <w:sz w:val="24"/>
                <w:szCs w:val="24"/>
                <w:highlight w:val="none"/>
                <w:lang w:bidi="ar"/>
              </w:rPr>
              <w:t xml:space="preserve">支持SNMP、CLI(Telnet/Console)、RMON、SSH、Syslog、NTP/SNTP、FTP、TFTP、Web。</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ascii="宋体" w:hAnsi="宋体" w:eastAsia="宋体" w:cstheme="majorEastAsia"/>
                <w:color w:val="auto"/>
                <w:sz w:val="24"/>
                <w:szCs w:val="24"/>
                <w:highlight w:val="none"/>
                <w:lang w:bidi="ar"/>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ascii="宋体" w:hAnsi="宋体" w:eastAsia="宋体" w:cstheme="majorEastAsia"/>
                <w:color w:val="auto"/>
                <w:sz w:val="24"/>
                <w:szCs w:val="24"/>
                <w:highlight w:val="none"/>
                <w:lang w:bidi="ar"/>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stheme="majorEastAsia"/>
                <w:color w:val="auto"/>
                <w:sz w:val="24"/>
                <w:szCs w:val="24"/>
                <w:highlight w:val="none"/>
                <w:lang w:bidi="ar"/>
              </w:rPr>
              <w:t xml:space="preserve">设备自带支持云管理功能，支持一键设备发现，并在线生成交付验收报告；支持一键全网巡检操作，随时随地掌握网络健康状况，并自动生成巡检报告；支持短信认证、微信认证、web认证，支持认证页面自定义；支持一键升级、定时升级网络中的网络设备；支持分级分权功能，实现分布区域，统一管理等。</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ascii="宋体" w:hAnsi="宋体" w:eastAsia="宋体" w:cstheme="majorEastAsia"/>
                <w:color w:val="auto"/>
                <w:sz w:val="24"/>
                <w:szCs w:val="24"/>
                <w:highlight w:val="none"/>
                <w:lang w:bidi="ar"/>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ascii="宋体" w:hAnsi="宋体" w:eastAsia="宋体" w:cstheme="majorEastAsia"/>
                <w:color w:val="auto"/>
                <w:sz w:val="24"/>
                <w:szCs w:val="24"/>
                <w:highlight w:val="none"/>
                <w:lang w:bidi="ar"/>
              </w:rPr>
            </w:r>
            <w:r/>
          </w:p>
        </w:tc>
      </w:tr>
      <w:tr>
        <w:trPr>
          <w:jc w:val="center"/>
          <w:trHeight w:val="567"/>
        </w:trPr>
        <w:tc>
          <w:tcPr>
            <w:shd w:val="clear" w:color="000000" w:fill="ffffff"/>
            <w:tcW w:w="717" w:type="dxa"/>
            <w:vAlign w:val="center"/>
            <w:vMerge w:val="restart"/>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hint="eastAsia" w:ascii="宋体" w:hAnsi="宋体" w:eastAsia="宋体"/>
                <w:color w:val="auto"/>
                <w:sz w:val="24"/>
                <w:szCs w:val="24"/>
                <w:highlight w:val="none"/>
              </w:rPr>
              <w:t xml:space="preserve">18</w:t>
            </w:r>
            <w:r/>
          </w:p>
        </w:tc>
        <w:tc>
          <w:tcPr>
            <w:shd w:val="clear" w:color="000000" w:fill="ffffff"/>
            <w:tcW w:w="990" w:type="dxa"/>
            <w:vAlign w:val="center"/>
            <w:vMerge w:val="restart"/>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hint="eastAsia" w:ascii="宋体" w:hAnsi="宋体" w:eastAsia="宋体"/>
                <w:color w:val="auto"/>
                <w:sz w:val="24"/>
                <w:szCs w:val="24"/>
                <w:highlight w:val="none"/>
              </w:rPr>
              <w:t xml:space="preserve">接入交换机</w:t>
            </w:r>
            <w:r/>
          </w:p>
        </w:tc>
        <w:tc>
          <w:tcPr>
            <w:shd w:val="clear" w:color="000000" w:fill="ffffff"/>
            <w:tcW w:w="1673"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stheme="majorEastAsia"/>
                <w:color w:val="auto"/>
                <w:sz w:val="24"/>
                <w:szCs w:val="24"/>
                <w:highlight w:val="none"/>
                <w:lang w:bidi="ar"/>
              </w:rPr>
              <w:t xml:space="preserve">硬件</w:t>
            </w:r>
            <w:r>
              <w:rPr>
                <w:rFonts w:hint="eastAsia" w:ascii="宋体" w:hAnsi="宋体" w:eastAsia="宋体" w:cstheme="majorEastAsia"/>
                <w:color w:val="auto"/>
                <w:sz w:val="24"/>
                <w:szCs w:val="24"/>
                <w:highlight w:val="none"/>
                <w:lang w:bidi="ar"/>
              </w:rPr>
              <w:t xml:space="preserve">要求</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stheme="majorEastAsia"/>
                <w:color w:val="auto"/>
                <w:sz w:val="24"/>
                <w:szCs w:val="24"/>
                <w:highlight w:val="none"/>
                <w:lang w:bidi="ar"/>
              </w:rPr>
              <w:t xml:space="preserve">交换容量≥1.36Tbps/13.6Tbps。</w:t>
            </w:r>
            <w:r/>
          </w:p>
        </w:tc>
        <w:tc>
          <w:tcPr>
            <w:shd w:val="clear" w:color="000000" w:fill="ffffff"/>
            <w:tcW w:w="765" w:type="dxa"/>
            <w:vAlign w:val="center"/>
            <w:vMerge w:val="restart"/>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hint="eastAsia" w:ascii="宋体" w:hAnsi="宋体" w:eastAsia="宋体"/>
                <w:color w:val="auto"/>
                <w:sz w:val="24"/>
                <w:szCs w:val="24"/>
                <w:highlight w:val="none"/>
              </w:rPr>
              <w:t xml:space="preserve">台</w:t>
            </w:r>
            <w:r/>
          </w:p>
        </w:tc>
        <w:tc>
          <w:tcPr>
            <w:shd w:val="clear" w:color="000000" w:fill="ffffff"/>
            <w:tcW w:w="746" w:type="dxa"/>
            <w:vAlign w:val="center"/>
            <w:vMerge w:val="restart"/>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hint="eastAsia" w:ascii="宋体" w:hAnsi="宋体" w:eastAsia="宋体"/>
                <w:color w:val="auto"/>
                <w:sz w:val="24"/>
                <w:szCs w:val="24"/>
                <w:highlight w:val="none"/>
              </w:rPr>
              <w:t xml:space="preserve">8</w:t>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stheme="majorEastAsia"/>
                <w:color w:val="auto"/>
                <w:sz w:val="24"/>
                <w:szCs w:val="24"/>
                <w:highlight w:val="none"/>
                <w:lang w:bidi="ar"/>
              </w:rPr>
              <w:t xml:space="preserve">包转发率≥291Mpps/770Mpps。</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ascii="宋体" w:hAnsi="宋体" w:eastAsia="宋体" w:cstheme="majorEastAsia"/>
                <w:color w:val="auto"/>
                <w:sz w:val="24"/>
                <w:szCs w:val="24"/>
                <w:highlight w:val="none"/>
                <w:lang w:bidi="ar"/>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ascii="宋体" w:hAnsi="宋体" w:eastAsia="宋体" w:cstheme="majorEastAsia"/>
                <w:color w:val="auto"/>
                <w:sz w:val="24"/>
                <w:szCs w:val="24"/>
                <w:highlight w:val="none"/>
                <w:lang w:bidi="ar"/>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stheme="majorEastAsia"/>
                <w:color w:val="auto"/>
                <w:sz w:val="24"/>
                <w:szCs w:val="24"/>
                <w:highlight w:val="none"/>
                <w:lang w:bidi="ar"/>
              </w:rPr>
              <w:t xml:space="preserve">固化10/100/1000M以太网端口≥24个，10G/1G SFP+光接口≥4个</w:t>
            </w:r>
            <w:r>
              <w:rPr>
                <w:rFonts w:hint="eastAsia" w:ascii="宋体" w:hAnsi="宋体" w:eastAsia="宋体" w:cstheme="majorEastAsia"/>
                <w:color w:val="auto"/>
                <w:sz w:val="24"/>
                <w:szCs w:val="24"/>
                <w:highlight w:val="none"/>
                <w:lang w:bidi="ar"/>
              </w:rPr>
              <w:t xml:space="preserve">。</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ascii="宋体" w:hAnsi="宋体" w:eastAsia="宋体" w:cstheme="majorEastAsia"/>
                <w:color w:val="auto"/>
                <w:sz w:val="24"/>
                <w:szCs w:val="24"/>
                <w:highlight w:val="none"/>
                <w:lang w:bidi="ar"/>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ascii="宋体" w:hAnsi="宋体" w:eastAsia="宋体" w:cstheme="majorEastAsia"/>
                <w:color w:val="auto"/>
                <w:sz w:val="24"/>
                <w:szCs w:val="24"/>
                <w:highlight w:val="none"/>
                <w:lang w:bidi="ar"/>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stheme="majorEastAsia"/>
                <w:color w:val="auto"/>
                <w:sz w:val="24"/>
                <w:szCs w:val="24"/>
                <w:highlight w:val="none"/>
                <w:lang w:bidi="ar"/>
              </w:rPr>
              <w:t xml:space="preserve">支持并实配可拔插双模块化电源，单电源功率≥70W，实现1+1冗余。</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ascii="宋体" w:hAnsi="宋体" w:eastAsia="宋体" w:cstheme="majorEastAsia"/>
                <w:color w:val="auto"/>
                <w:sz w:val="24"/>
                <w:szCs w:val="24"/>
                <w:highlight w:val="none"/>
                <w:lang w:bidi="ar"/>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ascii="宋体" w:hAnsi="宋体" w:eastAsia="宋体" w:cstheme="majorEastAsia"/>
                <w:color w:val="auto"/>
                <w:sz w:val="24"/>
                <w:szCs w:val="24"/>
                <w:highlight w:val="none"/>
                <w:lang w:bidi="ar"/>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stheme="majorEastAsia"/>
                <w:color w:val="auto"/>
                <w:sz w:val="24"/>
                <w:szCs w:val="24"/>
                <w:highlight w:val="none"/>
                <w:lang w:bidi="ar"/>
              </w:rPr>
              <w:t xml:space="preserve">产品端口浪涌抗扰度≥10KV，即具备10KV的防雷能力。</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ascii="宋体" w:hAnsi="宋体" w:eastAsia="宋体" w:cstheme="majorEastAsia"/>
                <w:color w:val="auto"/>
                <w:sz w:val="24"/>
                <w:szCs w:val="24"/>
                <w:highlight w:val="none"/>
                <w:lang w:bidi="ar"/>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ascii="宋体" w:hAnsi="宋体" w:eastAsia="宋体" w:cstheme="majorEastAsia"/>
                <w:color w:val="auto"/>
                <w:sz w:val="24"/>
                <w:szCs w:val="24"/>
                <w:highlight w:val="none"/>
                <w:lang w:bidi="ar"/>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ascii="宋体" w:hAnsi="宋体" w:eastAsia="宋体" w:cstheme="majorEastAsia"/>
                <w:color w:val="auto"/>
                <w:sz w:val="24"/>
                <w:szCs w:val="24"/>
                <w:highlight w:val="none"/>
                <w:lang w:bidi="ar"/>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ascii="宋体" w:hAnsi="宋体" w:eastAsia="宋体" w:cstheme="majorEastAsia"/>
                <w:color w:val="auto"/>
                <w:sz w:val="24"/>
                <w:szCs w:val="24"/>
                <w:highlight w:val="none"/>
                <w:lang w:bidi="ar"/>
              </w:rPr>
            </w:r>
            <w:r/>
          </w:p>
        </w:tc>
        <w:tc>
          <w:tcPr>
            <w:shd w:val="clear" w:color="000000" w:fill="ffffff"/>
            <w:tcW w:w="1673"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stheme="majorEastAsia"/>
                <w:color w:val="auto"/>
                <w:sz w:val="24"/>
                <w:szCs w:val="24"/>
                <w:highlight w:val="none"/>
                <w:lang w:bidi="ar"/>
              </w:rPr>
              <w:t xml:space="preserve">软件</w:t>
            </w:r>
            <w:r>
              <w:rPr>
                <w:rFonts w:hint="eastAsia" w:ascii="宋体" w:hAnsi="宋体" w:eastAsia="宋体" w:cstheme="majorEastAsia"/>
                <w:color w:val="auto"/>
                <w:sz w:val="24"/>
                <w:szCs w:val="24"/>
                <w:highlight w:val="none"/>
                <w:lang w:bidi="ar"/>
              </w:rPr>
              <w:t xml:space="preserve">功能</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stheme="majorEastAsia"/>
                <w:color w:val="auto"/>
                <w:sz w:val="24"/>
                <w:szCs w:val="24"/>
                <w:highlight w:val="none"/>
                <w:lang w:bidi="ar"/>
              </w:rPr>
              <w:t xml:space="preserve">支持RIP/RIPng、OSPFv2/OSPFv3等三层路由协议。</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ascii="宋体" w:hAnsi="宋体" w:eastAsia="宋体" w:cstheme="majorEastAsia"/>
                <w:color w:val="auto"/>
                <w:sz w:val="24"/>
                <w:szCs w:val="24"/>
                <w:highlight w:val="none"/>
                <w:lang w:bidi="ar"/>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ascii="宋体" w:hAnsi="宋体" w:eastAsia="宋体" w:cstheme="majorEastAsia"/>
                <w:color w:val="auto"/>
                <w:sz w:val="24"/>
                <w:szCs w:val="24"/>
                <w:highlight w:val="none"/>
                <w:lang w:bidi="ar"/>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stheme="majorEastAsia"/>
                <w:color w:val="auto"/>
                <w:sz w:val="24"/>
                <w:szCs w:val="24"/>
                <w:highlight w:val="none"/>
                <w:lang w:bidi="ar"/>
              </w:rPr>
              <w:t xml:space="preserve">支持SAVI功能，可防止地址解析欺骗</w:t>
            </w:r>
            <w:r>
              <w:rPr>
                <w:rFonts w:hint="eastAsia" w:ascii="宋体" w:hAnsi="宋体" w:eastAsia="宋体" w:cstheme="majorEastAsia"/>
                <w:color w:val="auto"/>
                <w:sz w:val="24"/>
                <w:szCs w:val="24"/>
                <w:highlight w:val="none"/>
                <w:lang w:bidi="ar"/>
              </w:rPr>
              <w:t xml:space="preserve">。</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ascii="宋体" w:hAnsi="宋体" w:eastAsia="宋体" w:cstheme="majorEastAsia"/>
                <w:color w:val="auto"/>
                <w:sz w:val="24"/>
                <w:szCs w:val="24"/>
                <w:highlight w:val="none"/>
                <w:lang w:bidi="ar"/>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ascii="宋体" w:hAnsi="宋体" w:eastAsia="宋体" w:cstheme="majorEastAsia"/>
                <w:color w:val="auto"/>
                <w:sz w:val="24"/>
                <w:szCs w:val="24"/>
                <w:highlight w:val="none"/>
                <w:lang w:bidi="ar"/>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stheme="majorEastAsia"/>
                <w:color w:val="auto"/>
                <w:sz w:val="24"/>
                <w:szCs w:val="24"/>
                <w:highlight w:val="none"/>
                <w:lang w:bidi="ar"/>
              </w:rPr>
              <w:t xml:space="preserve">支持CPU保护功能，限制非法报文对CPU的攻击，保护交换机在各种环境下稳定工作。</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ascii="宋体" w:hAnsi="宋体" w:eastAsia="宋体" w:cstheme="majorEastAsia"/>
                <w:color w:val="auto"/>
                <w:sz w:val="24"/>
                <w:szCs w:val="24"/>
                <w:highlight w:val="none"/>
                <w:lang w:bidi="ar"/>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ascii="宋体" w:hAnsi="宋体" w:eastAsia="宋体" w:cstheme="majorEastAsia"/>
                <w:color w:val="auto"/>
                <w:sz w:val="24"/>
                <w:szCs w:val="24"/>
                <w:highlight w:val="none"/>
                <w:lang w:bidi="ar"/>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stheme="majorEastAsia"/>
                <w:color w:val="auto"/>
                <w:sz w:val="24"/>
                <w:szCs w:val="24"/>
                <w:highlight w:val="none"/>
                <w:lang w:bidi="ar"/>
              </w:rPr>
              <w:t xml:space="preserve">支持专门基础网络保护机制，支持限制用户向网络中发送数据包的速率，对有攻击行为的用户进行隔离，保证设备和整网的安全稳定运行。</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ascii="宋体" w:hAnsi="宋体" w:eastAsia="宋体" w:cstheme="majorEastAsia"/>
                <w:color w:val="auto"/>
                <w:sz w:val="24"/>
                <w:szCs w:val="24"/>
                <w:highlight w:val="none"/>
                <w:lang w:bidi="ar"/>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ascii="宋体" w:hAnsi="宋体" w:eastAsia="宋体" w:cstheme="majorEastAsia"/>
                <w:color w:val="auto"/>
                <w:sz w:val="24"/>
                <w:szCs w:val="24"/>
                <w:highlight w:val="none"/>
                <w:lang w:bidi="ar"/>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stheme="majorEastAsia"/>
                <w:color w:val="auto"/>
                <w:sz w:val="24"/>
                <w:szCs w:val="24"/>
                <w:highlight w:val="none"/>
                <w:lang w:bidi="ar"/>
              </w:rPr>
              <w:t xml:space="preserve">支持快速以太网链路检测协议，可快速检测链路的通断和光纤链路的单向性，并支持端口下的环路检测功能。</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ascii="宋体" w:hAnsi="宋体" w:eastAsia="宋体" w:cstheme="majorEastAsia"/>
                <w:color w:val="auto"/>
                <w:sz w:val="24"/>
                <w:szCs w:val="24"/>
                <w:highlight w:val="none"/>
                <w:lang w:bidi="ar"/>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ascii="宋体" w:hAnsi="宋体" w:eastAsia="宋体" w:cstheme="majorEastAsia"/>
                <w:color w:val="auto"/>
                <w:sz w:val="24"/>
                <w:szCs w:val="24"/>
                <w:highlight w:val="none"/>
                <w:lang w:bidi="ar"/>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stheme="majorEastAsia"/>
                <w:color w:val="auto"/>
                <w:sz w:val="24"/>
                <w:szCs w:val="24"/>
                <w:highlight w:val="none"/>
                <w:lang w:bidi="ar"/>
              </w:rPr>
              <w:t xml:space="preserve">支持虚拟化功能，即可将多台物理设备虚拟化为一台逻辑设备统一管理，并且链路故障的收敛时间≤50ms。</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ascii="宋体" w:hAnsi="宋体" w:eastAsia="宋体" w:cstheme="majorEastAsia"/>
                <w:color w:val="auto"/>
                <w:sz w:val="24"/>
                <w:szCs w:val="24"/>
                <w:highlight w:val="none"/>
                <w:lang w:bidi="ar"/>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ascii="宋体" w:hAnsi="宋体" w:eastAsia="宋体" w:cstheme="majorEastAsia"/>
                <w:color w:val="auto"/>
                <w:sz w:val="24"/>
                <w:szCs w:val="24"/>
                <w:highlight w:val="none"/>
                <w:lang w:bidi="ar"/>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stheme="majorEastAsia"/>
                <w:color w:val="auto"/>
                <w:sz w:val="24"/>
                <w:szCs w:val="24"/>
                <w:highlight w:val="none"/>
                <w:lang w:bidi="ar"/>
              </w:rPr>
              <w:t xml:space="preserve">可通过授权支持VxLAN、BGP EVPN</w:t>
            </w:r>
            <w:r>
              <w:rPr>
                <w:rFonts w:hint="eastAsia" w:ascii="宋体" w:hAnsi="宋体" w:eastAsia="宋体" w:cstheme="majorEastAsia"/>
                <w:color w:val="auto"/>
                <w:sz w:val="24"/>
                <w:szCs w:val="24"/>
                <w:highlight w:val="none"/>
                <w:lang w:bidi="ar"/>
              </w:rPr>
              <w:t xml:space="preserve">。</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ascii="宋体" w:hAnsi="宋体" w:eastAsia="宋体" w:cstheme="majorEastAsia"/>
                <w:color w:val="auto"/>
                <w:sz w:val="24"/>
                <w:szCs w:val="24"/>
                <w:highlight w:val="none"/>
                <w:lang w:bidi="ar"/>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ascii="宋体" w:hAnsi="宋体" w:eastAsia="宋体" w:cstheme="majorEastAsia"/>
                <w:color w:val="auto"/>
                <w:sz w:val="24"/>
                <w:szCs w:val="24"/>
                <w:highlight w:val="none"/>
                <w:lang w:bidi="ar"/>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stheme="majorEastAsia"/>
                <w:color w:val="auto"/>
                <w:sz w:val="24"/>
                <w:szCs w:val="24"/>
                <w:highlight w:val="none"/>
                <w:lang w:bidi="ar"/>
              </w:rPr>
              <w:t xml:space="preserve">支持基于GRPC的Telemetry技术，实现对CPU、内存等信息的周期性采集</w:t>
            </w:r>
            <w:r>
              <w:rPr>
                <w:rFonts w:hint="eastAsia" w:ascii="宋体" w:hAnsi="宋体" w:eastAsia="宋体" w:cstheme="majorEastAsia"/>
                <w:color w:val="auto"/>
                <w:sz w:val="24"/>
                <w:szCs w:val="24"/>
                <w:highlight w:val="none"/>
                <w:lang w:bidi="ar"/>
              </w:rPr>
              <w:t xml:space="preserve">。</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ascii="宋体" w:hAnsi="宋体" w:eastAsia="宋体" w:cstheme="majorEastAsia"/>
                <w:color w:val="auto"/>
                <w:sz w:val="24"/>
                <w:szCs w:val="24"/>
                <w:highlight w:val="none"/>
                <w:lang w:bidi="ar"/>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ascii="宋体" w:hAnsi="宋体" w:eastAsia="宋体" w:cstheme="majorEastAsia"/>
                <w:color w:val="auto"/>
                <w:sz w:val="24"/>
                <w:szCs w:val="24"/>
                <w:highlight w:val="none"/>
                <w:lang w:bidi="ar"/>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stheme="majorEastAsia"/>
                <w:color w:val="auto"/>
                <w:sz w:val="24"/>
                <w:szCs w:val="24"/>
                <w:highlight w:val="none"/>
                <w:lang w:bidi="ar"/>
              </w:rPr>
              <w:t xml:space="preserve">支持SNMP、CLI(Telnet/Console)、RMON、SSH、Syslog、NTP/SNTP、FTP、TFTP、Web。</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ascii="宋体" w:hAnsi="宋体" w:eastAsia="宋体" w:cstheme="majorEastAsia"/>
                <w:color w:val="auto"/>
                <w:sz w:val="24"/>
                <w:szCs w:val="24"/>
                <w:highlight w:val="none"/>
                <w:lang w:bidi="ar"/>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ascii="宋体" w:hAnsi="宋体" w:eastAsia="宋体" w:cstheme="majorEastAsia"/>
                <w:color w:val="auto"/>
                <w:sz w:val="24"/>
                <w:szCs w:val="24"/>
                <w:highlight w:val="none"/>
                <w:lang w:bidi="ar"/>
              </w:rPr>
            </w:r>
            <w:r/>
          </w:p>
        </w:tc>
      </w:tr>
      <w:tr>
        <w:trPr>
          <w:jc w:val="center"/>
          <w:trHeight w:val="567"/>
        </w:trPr>
        <w:tc>
          <w:tcPr>
            <w:shd w:val="clear" w:color="000000" w:fill="ffffff"/>
            <w:tcW w:w="717"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19</w:t>
            </w:r>
            <w:r/>
          </w:p>
        </w:tc>
        <w:tc>
          <w:tcPr>
            <w:shd w:val="clear" w:color="000000" w:fill="ffffff"/>
            <w:tcW w:w="990"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摄像机电源</w:t>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设备类型</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19寸AC24V机架式电源：</w:t>
            </w:r>
            <w:r/>
          </w:p>
        </w:tc>
        <w:tc>
          <w:tcPr>
            <w:shd w:val="clear" w:color="000000" w:fill="ffffff"/>
            <w:tcW w:w="765"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个</w:t>
            </w:r>
            <w:r/>
          </w:p>
        </w:tc>
        <w:tc>
          <w:tcPr>
            <w:shd w:val="clear" w:color="000000" w:fill="ffffff"/>
            <w:tcW w:w="746"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20</w:t>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整机功率</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stheme="majorEastAsia"/>
                <w:color w:val="auto"/>
                <w:sz w:val="24"/>
                <w:szCs w:val="24"/>
                <w:highlight w:val="none"/>
                <w:lang w:bidi="ar"/>
              </w:rPr>
              <w:t xml:space="preserve">≥</w:t>
            </w:r>
            <w:r>
              <w:rPr>
                <w:rFonts w:ascii="宋体" w:hAnsi="宋体" w:eastAsia="宋体"/>
                <w:color w:val="auto"/>
                <w:sz w:val="24"/>
                <w:szCs w:val="24"/>
                <w:highlight w:val="none"/>
              </w:rPr>
              <w:t xml:space="preserve">300w；</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ascii="宋体" w:hAnsi="宋体" w:eastAsia="宋体" w:cstheme="majorEastAsia"/>
                <w:color w:val="auto"/>
                <w:sz w:val="24"/>
                <w:szCs w:val="24"/>
                <w:highlight w:val="none"/>
                <w:lang w:bidi="ar"/>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ascii="宋体" w:hAnsi="宋体" w:eastAsia="宋体" w:cstheme="majorEastAsia"/>
                <w:color w:val="auto"/>
                <w:sz w:val="24"/>
                <w:szCs w:val="24"/>
                <w:highlight w:val="none"/>
                <w:lang w:bidi="ar"/>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整机电流</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stheme="majorEastAsia"/>
                <w:color w:val="auto"/>
                <w:sz w:val="24"/>
                <w:szCs w:val="24"/>
                <w:highlight w:val="none"/>
                <w:lang w:bidi="ar"/>
              </w:rPr>
              <w:t xml:space="preserve">≥</w:t>
            </w:r>
            <w:r>
              <w:rPr>
                <w:rFonts w:ascii="宋体" w:hAnsi="宋体" w:eastAsia="宋体"/>
                <w:color w:val="auto"/>
                <w:sz w:val="24"/>
                <w:szCs w:val="24"/>
                <w:highlight w:val="none"/>
              </w:rPr>
              <w:t xml:space="preserve">12.5A；</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ascii="宋体" w:hAnsi="宋体" w:eastAsia="宋体" w:cstheme="majorEastAsia"/>
                <w:color w:val="auto"/>
                <w:sz w:val="24"/>
                <w:szCs w:val="24"/>
                <w:highlight w:val="none"/>
                <w:lang w:bidi="ar"/>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ascii="宋体" w:hAnsi="宋体" w:eastAsia="宋体" w:cstheme="majorEastAsia"/>
                <w:color w:val="auto"/>
                <w:sz w:val="24"/>
                <w:szCs w:val="24"/>
                <w:highlight w:val="none"/>
                <w:lang w:bidi="ar"/>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交流输入电压范围</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AC90-AC260V60HZ；</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输出路数</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stheme="majorEastAsia"/>
                <w:color w:val="auto"/>
                <w:sz w:val="24"/>
                <w:szCs w:val="24"/>
                <w:highlight w:val="none"/>
                <w:lang w:bidi="ar"/>
              </w:rPr>
              <w:t xml:space="preserve">≥</w:t>
            </w:r>
            <w:r>
              <w:rPr>
                <w:rFonts w:ascii="宋体" w:hAnsi="宋体" w:eastAsia="宋体"/>
                <w:color w:val="auto"/>
                <w:sz w:val="24"/>
                <w:szCs w:val="24"/>
                <w:highlight w:val="none"/>
              </w:rPr>
              <w:t xml:space="preserve">10路；</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ascii="宋体" w:hAnsi="宋体" w:eastAsia="宋体" w:cstheme="majorEastAsia"/>
                <w:color w:val="auto"/>
                <w:sz w:val="24"/>
                <w:szCs w:val="24"/>
                <w:highlight w:val="none"/>
                <w:lang w:bidi="ar"/>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ascii="宋体" w:hAnsi="宋体" w:eastAsia="宋体" w:cstheme="majorEastAsia"/>
                <w:color w:val="auto"/>
                <w:sz w:val="24"/>
                <w:szCs w:val="24"/>
                <w:highlight w:val="none"/>
                <w:lang w:bidi="ar"/>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过载保护</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105％-125％恒流限制；</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过电压保护</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120％-145％关闭o/p电压；</w:t>
            </w:r>
            <w:r>
              <w:rPr>
                <w:rFonts w:hint="eastAsia" w:ascii="宋体" w:hAnsi="宋体" w:eastAsia="宋体"/>
                <w:color w:val="auto"/>
                <w:sz w:val="24"/>
                <w:szCs w:val="24"/>
                <w:highlight w:val="none"/>
              </w:rPr>
              <w:t xml:space="preserve">重新开机以恢复；</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过压保护</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110％；</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设置上升等待时间</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1500毫秒/60毫秒/满负荷10毫秒和230VAC；</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工作温度</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-40～+70℃。</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20</w:t>
            </w:r>
            <w:r/>
          </w:p>
        </w:tc>
        <w:tc>
          <w:tcPr>
            <w:shd w:val="clear" w:color="000000" w:fill="ffffff"/>
            <w:tcW w:w="990"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报警器电源</w:t>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设备类型</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19寸DC12V机架式电源</w:t>
            </w:r>
            <w:r/>
          </w:p>
        </w:tc>
        <w:tc>
          <w:tcPr>
            <w:shd w:val="clear" w:color="000000" w:fill="ffffff"/>
            <w:tcW w:w="765"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个</w:t>
            </w:r>
            <w:r/>
          </w:p>
        </w:tc>
        <w:tc>
          <w:tcPr>
            <w:shd w:val="clear" w:color="000000" w:fill="ffffff"/>
            <w:tcW w:w="746"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40</w:t>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整机功率</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stheme="majorEastAsia"/>
                <w:color w:val="auto"/>
                <w:sz w:val="24"/>
                <w:szCs w:val="24"/>
                <w:highlight w:val="none"/>
                <w:lang w:bidi="ar"/>
              </w:rPr>
              <w:t xml:space="preserve">≥</w:t>
            </w:r>
            <w:r>
              <w:rPr>
                <w:rFonts w:ascii="宋体" w:hAnsi="宋体" w:eastAsia="宋体"/>
                <w:color w:val="auto"/>
                <w:sz w:val="24"/>
                <w:szCs w:val="24"/>
                <w:highlight w:val="none"/>
              </w:rPr>
              <w:t xml:space="preserve">150w；</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ascii="宋体" w:hAnsi="宋体" w:eastAsia="宋体" w:cstheme="majorEastAsia"/>
                <w:color w:val="auto"/>
                <w:sz w:val="24"/>
                <w:szCs w:val="24"/>
                <w:highlight w:val="none"/>
                <w:lang w:bidi="ar"/>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ascii="宋体" w:hAnsi="宋体" w:eastAsia="宋体" w:cstheme="majorEastAsia"/>
                <w:color w:val="auto"/>
                <w:sz w:val="24"/>
                <w:szCs w:val="24"/>
                <w:highlight w:val="none"/>
                <w:lang w:bidi="ar"/>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整机电流</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stheme="majorEastAsia"/>
                <w:color w:val="auto"/>
                <w:sz w:val="24"/>
                <w:szCs w:val="24"/>
                <w:highlight w:val="none"/>
                <w:lang w:bidi="ar"/>
              </w:rPr>
              <w:t xml:space="preserve">≥</w:t>
            </w:r>
            <w:r>
              <w:rPr>
                <w:rFonts w:ascii="宋体" w:hAnsi="宋体" w:eastAsia="宋体"/>
                <w:color w:val="auto"/>
                <w:sz w:val="24"/>
                <w:szCs w:val="24"/>
                <w:highlight w:val="none"/>
              </w:rPr>
              <w:t xml:space="preserve">12.5A；</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ascii="宋体" w:hAnsi="宋体" w:eastAsia="宋体" w:cstheme="majorEastAsia"/>
                <w:color w:val="auto"/>
                <w:sz w:val="24"/>
                <w:szCs w:val="24"/>
                <w:highlight w:val="none"/>
                <w:lang w:bidi="ar"/>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ascii="宋体" w:hAnsi="宋体" w:eastAsia="宋体" w:cstheme="majorEastAsia"/>
                <w:color w:val="auto"/>
                <w:sz w:val="24"/>
                <w:szCs w:val="24"/>
                <w:highlight w:val="none"/>
                <w:lang w:bidi="ar"/>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交流输入电压范围</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AC90-AC260V60HZ；</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输出路数</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stheme="majorEastAsia"/>
                <w:color w:val="auto"/>
                <w:sz w:val="24"/>
                <w:szCs w:val="24"/>
                <w:highlight w:val="none"/>
                <w:lang w:bidi="ar"/>
              </w:rPr>
              <w:t xml:space="preserve">≥</w:t>
            </w:r>
            <w:r>
              <w:rPr>
                <w:rFonts w:ascii="宋体" w:hAnsi="宋体" w:eastAsia="宋体"/>
                <w:color w:val="auto"/>
                <w:sz w:val="24"/>
                <w:szCs w:val="24"/>
                <w:highlight w:val="none"/>
              </w:rPr>
              <w:t xml:space="preserve">10路；</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ascii="宋体" w:hAnsi="宋体" w:eastAsia="宋体" w:cstheme="majorEastAsia"/>
                <w:color w:val="auto"/>
                <w:sz w:val="24"/>
                <w:szCs w:val="24"/>
                <w:highlight w:val="none"/>
                <w:lang w:bidi="ar"/>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stheme="majorEastAsia"/>
                <w:color w:val="auto"/>
                <w:sz w:val="24"/>
                <w:szCs w:val="24"/>
                <w:highlight w:val="none"/>
                <w:lang w:bidi="ar"/>
              </w:rPr>
            </w:pPr>
            <w:r>
              <w:rPr>
                <w:rFonts w:ascii="宋体" w:hAnsi="宋体" w:eastAsia="宋体" w:cstheme="majorEastAsia"/>
                <w:color w:val="auto"/>
                <w:sz w:val="24"/>
                <w:szCs w:val="24"/>
                <w:highlight w:val="none"/>
                <w:lang w:bidi="ar"/>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过载保护</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105％-125％恒流限制；</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过电压保护</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120％-145％关闭o/p电压；</w:t>
            </w:r>
            <w:r>
              <w:rPr>
                <w:rFonts w:hint="eastAsia" w:ascii="宋体" w:hAnsi="宋体" w:eastAsia="宋体"/>
                <w:color w:val="auto"/>
                <w:sz w:val="24"/>
                <w:szCs w:val="24"/>
                <w:highlight w:val="none"/>
              </w:rPr>
              <w:t xml:space="preserve">重新开机以恢复；</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过压保护</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110％；</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设置上升等待时间</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1500毫秒/60毫秒/满负荷10毫秒和230VAC；</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工作温度</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-40～+70℃。</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21</w:t>
            </w:r>
            <w:r/>
          </w:p>
        </w:tc>
        <w:tc>
          <w:tcPr>
            <w:shd w:val="clear" w:color="000000" w:fill="ffffff"/>
            <w:tcW w:w="990"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无线对讲</w:t>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频率范围</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UHF：</w:t>
            </w:r>
            <w:r>
              <w:rPr>
                <w:rFonts w:ascii="宋体" w:hAnsi="宋体" w:eastAsia="宋体"/>
                <w:color w:val="auto"/>
                <w:sz w:val="24"/>
                <w:szCs w:val="24"/>
                <w:highlight w:val="none"/>
              </w:rPr>
              <w:t xml:space="preserve">400-470MHz；</w:t>
            </w:r>
            <w:r>
              <w:rPr>
                <w:rFonts w:hint="eastAsia" w:ascii="宋体" w:hAnsi="宋体" w:eastAsia="宋体"/>
                <w:color w:val="auto"/>
                <w:sz w:val="24"/>
                <w:szCs w:val="24"/>
                <w:highlight w:val="none"/>
              </w:rPr>
              <w:t xml:space="preserve"> </w:t>
            </w:r>
            <w:r/>
          </w:p>
        </w:tc>
        <w:tc>
          <w:tcPr>
            <w:shd w:val="clear" w:color="000000" w:fill="ffffff"/>
            <w:tcW w:w="765"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台</w:t>
            </w:r>
            <w:r/>
          </w:p>
        </w:tc>
        <w:tc>
          <w:tcPr>
            <w:shd w:val="clear" w:color="000000" w:fill="ffffff"/>
            <w:tcW w:w="746"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60</w:t>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信道容量</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stheme="majorEastAsia"/>
                <w:color w:val="auto"/>
                <w:sz w:val="24"/>
                <w:szCs w:val="24"/>
                <w:highlight w:val="none"/>
                <w:lang w:bidi="ar"/>
              </w:rPr>
              <w:t xml:space="preserve">≥</w:t>
            </w:r>
            <w:r>
              <w:rPr>
                <w:rFonts w:hint="eastAsia" w:ascii="宋体" w:hAnsi="宋体" w:eastAsia="宋体"/>
                <w:color w:val="auto"/>
                <w:sz w:val="24"/>
                <w:szCs w:val="24"/>
                <w:highlight w:val="none"/>
              </w:rPr>
              <w:t xml:space="preserve">512条；</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信道间隔</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12.5kHz/20kHz/25KHz；</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频率稳定度</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+0.5ppm；</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工作电压</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7.2V</w:t>
            </w:r>
            <w:r>
              <w:rPr>
                <w:rFonts w:hint="eastAsia" w:ascii="宋体" w:hAnsi="宋体" w:eastAsia="宋体"/>
                <w:color w:val="auto"/>
                <w:sz w:val="24"/>
                <w:szCs w:val="24"/>
                <w:highlight w:val="none"/>
              </w:rPr>
              <w:t xml:space="preserve">（额定）</w:t>
            </w:r>
            <w:r>
              <w:rPr>
                <w:rFonts w:ascii="宋体" w:hAnsi="宋体" w:eastAsia="宋体"/>
                <w:color w:val="auto"/>
                <w:sz w:val="24"/>
                <w:szCs w:val="24"/>
                <w:highlight w:val="none"/>
              </w:rPr>
              <w:t xml:space="preserve">；</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电池容量</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常规：≥1500mAh</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续航时间</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常规：</w:t>
            </w:r>
            <w:r>
              <w:rPr>
                <w:rFonts w:ascii="宋体" w:hAnsi="宋体" w:eastAsia="宋体" w:cstheme="majorEastAsia"/>
                <w:color w:val="auto"/>
                <w:sz w:val="24"/>
                <w:szCs w:val="24"/>
                <w:highlight w:val="none"/>
                <w:lang w:bidi="ar"/>
              </w:rPr>
              <w:t xml:space="preserve">≥</w:t>
            </w:r>
            <w:r>
              <w:rPr>
                <w:rFonts w:hint="eastAsia" w:ascii="宋体" w:hAnsi="宋体" w:eastAsia="宋体"/>
                <w:color w:val="auto"/>
                <w:sz w:val="24"/>
                <w:szCs w:val="24"/>
                <w:highlight w:val="none"/>
              </w:rPr>
              <w:t xml:space="preserve">15h</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输出功率</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常规：1-4W</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灵敏度</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模拟0.18μV(12dB SINAD)，数字0.18μV/5％ BER；</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工作温度</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-30℃～+60℃；</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防水防尘</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stheme="majorEastAsia"/>
                <w:color w:val="auto"/>
                <w:sz w:val="24"/>
                <w:szCs w:val="24"/>
                <w:highlight w:val="none"/>
                <w:lang w:bidi="ar"/>
              </w:rPr>
              <w:t xml:space="preserve">≥</w:t>
            </w:r>
            <w:r>
              <w:rPr>
                <w:rFonts w:hint="eastAsia" w:ascii="宋体" w:hAnsi="宋体" w:eastAsia="宋体"/>
                <w:color w:val="auto"/>
                <w:sz w:val="24"/>
                <w:szCs w:val="24"/>
                <w:highlight w:val="none"/>
              </w:rPr>
              <w:t xml:space="preserve">IP67；</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耳机</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附带分体式耳机</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22</w:t>
            </w:r>
            <w:r/>
          </w:p>
        </w:tc>
        <w:tc>
          <w:tcPr>
            <w:shd w:val="clear" w:color="000000" w:fill="ffffff"/>
            <w:tcW w:w="990"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巡更</w:t>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屏显</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显示地点名称、读卡情况，摔机警报、时间等信息；</w:t>
            </w:r>
            <w:r/>
          </w:p>
        </w:tc>
        <w:tc>
          <w:tcPr>
            <w:shd w:val="clear" w:color="000000" w:fill="ffffff"/>
            <w:tcW w:w="765"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套</w:t>
            </w:r>
            <w:r/>
          </w:p>
        </w:tc>
        <w:tc>
          <w:tcPr>
            <w:shd w:val="clear" w:color="000000" w:fill="ffffff"/>
            <w:tcW w:w="746"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8</w:t>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强光照明</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LED强光手电照明；</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磁吸接口</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磁吸通讯/充电更便捷、更耐用；</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自动感应</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无需按键，RFID自动感应读卡；</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振动提示</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在吵杂的环境下可让使用者，清晰感受到读卡成功；</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产品材质</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塑胶外壳+防型胶胆</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工作温度</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20℃-85℃</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存储记录</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stheme="majorEastAsia"/>
                <w:color w:val="auto"/>
                <w:sz w:val="24"/>
                <w:szCs w:val="24"/>
                <w:highlight w:val="none"/>
                <w:lang w:bidi="ar"/>
              </w:rPr>
              <w:t xml:space="preserve">≥</w:t>
            </w:r>
            <w:r>
              <w:rPr>
                <w:rFonts w:ascii="宋体" w:hAnsi="宋体" w:eastAsia="宋体"/>
                <w:color w:val="auto"/>
                <w:sz w:val="24"/>
                <w:szCs w:val="24"/>
                <w:highlight w:val="none"/>
              </w:rPr>
              <w:t xml:space="preserve">40000条</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通讯方式</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磁吸免驱USB2.0全速</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提示</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中文显示和声音</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防护等级</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stheme="majorEastAsia"/>
                <w:color w:val="auto"/>
                <w:sz w:val="24"/>
                <w:szCs w:val="24"/>
                <w:highlight w:val="none"/>
                <w:lang w:bidi="ar"/>
              </w:rPr>
              <w:t xml:space="preserve">≥</w:t>
            </w:r>
            <w:r>
              <w:rPr>
                <w:rFonts w:hint="eastAsia" w:ascii="宋体" w:hAnsi="宋体" w:eastAsia="宋体"/>
                <w:color w:val="auto"/>
                <w:sz w:val="24"/>
                <w:szCs w:val="24"/>
                <w:highlight w:val="none"/>
              </w:rPr>
              <w:t xml:space="preserve">IP68</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其他</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包含通讯座，信息钮及软件。</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23</w:t>
            </w:r>
            <w:r/>
          </w:p>
        </w:tc>
        <w:tc>
          <w:tcPr>
            <w:shd w:val="clear" w:color="000000" w:fill="ffffff"/>
            <w:tcW w:w="990"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三层核心交换机</w:t>
            </w:r>
            <w:r/>
          </w:p>
        </w:tc>
        <w:tc>
          <w:tcPr>
            <w:shd w:val="clear" w:color="000000" w:fill="ffffff"/>
            <w:tcW w:w="1673"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硬件要求</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交换容量≥1070Tbps，转发性能≥345600Mpps，以官网所列最低参数为准；</w:t>
            </w:r>
            <w:r/>
          </w:p>
        </w:tc>
        <w:tc>
          <w:tcPr>
            <w:shd w:val="clear" w:color="000000" w:fill="ffffff"/>
            <w:tcW w:w="765"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套</w:t>
            </w:r>
            <w:r/>
          </w:p>
        </w:tc>
        <w:tc>
          <w:tcPr>
            <w:shd w:val="clear" w:color="000000" w:fill="ffffff"/>
            <w:tcW w:w="746"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设备满足国产化要求，关键核心芯片应采用国产化品牌；</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采用正交CLOS架构，交换网板槽位与业务槽位互相垂直，保证独立的物理数据通道互联；</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主控板卡≥2块、独立交换网板≥4块、业务槽位数量≥6个；支持10GE、25GE、40GE、100GE、200GE以及400GE以太网端口，考虑网络未来5年扩展性及兼容性；</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软件功能</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支持四框堆叠及统一管理，支持流量负载均衡，支持跨框链路聚合冗余零丢包；</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▲支持配置文件加密，支持全端口256bits MACsec加密；</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▲支持出入方向的端口镜像，支持流镜像，支持不少于9个镜像个数；</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主控引擎支持硬件监控功能，能集中监控板卡、风扇、电源、环境等，无需单独配置硬件监控板卡；</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▲支持信元转发，跨板转发不丢包；</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支持静态路由、RIP、OSPF、IS-IS、BGP4等；</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支持静态MAC、动态MAC、黑洞MAC配置</w:t>
            </w:r>
            <w:r>
              <w:rPr>
                <w:rFonts w:ascii="宋体" w:hAnsi="宋体" w:eastAsia="宋体"/>
                <w:color w:val="auto"/>
                <w:sz w:val="24"/>
                <w:szCs w:val="24"/>
                <w:highlight w:val="none"/>
              </w:rPr>
              <w:t xml:space="preserve">；</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支持VXLAN二层交换、VXLAN三层交换、VXLAN路由交换、VXLAN网关；</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支持命令行采用分级保护方式，防止未授权用户的非法侵入，为不同级别的用户有不同的配置权限；</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支持设备在线状态监测机制，实现对包括主控引擎，背板，芯片和存储等关键元器件进行检测；</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支持配置防火墙，入侵检测，行为管理，流量控制等应用硬件插卡；</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支持热补丁功能，可在线进行补丁升级；</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支持BFD for VRRP/BGP/IS-IS/OSPF/静态路由等，实现各协议的快速故障检测机制，支持硬件BFD3ms检测间隔；</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实际配置双主控，</w:t>
            </w:r>
            <w:r>
              <w:rPr>
                <w:rFonts w:hint="eastAsia" w:ascii="宋体" w:hAnsi="宋体" w:eastAsia="宋体"/>
                <w:color w:val="auto"/>
                <w:sz w:val="24"/>
                <w:szCs w:val="24"/>
                <w:highlight w:val="none"/>
              </w:rPr>
              <w:t xml:space="preserve">双交换</w:t>
            </w:r>
            <w:r>
              <w:rPr>
                <w:rFonts w:ascii="宋体" w:hAnsi="宋体" w:eastAsia="宋体"/>
                <w:color w:val="auto"/>
                <w:sz w:val="24"/>
                <w:szCs w:val="24"/>
                <w:highlight w:val="none"/>
              </w:rPr>
              <w:t xml:space="preserve">网板、</w:t>
            </w:r>
            <w:r>
              <w:rPr>
                <w:rFonts w:hint="eastAsia" w:ascii="宋体" w:hAnsi="宋体" w:eastAsia="宋体"/>
                <w:color w:val="auto"/>
                <w:sz w:val="24"/>
                <w:szCs w:val="24"/>
                <w:highlight w:val="none"/>
              </w:rPr>
              <w:t xml:space="preserve">双</w:t>
            </w:r>
            <w:r>
              <w:rPr>
                <w:rFonts w:ascii="宋体" w:hAnsi="宋体" w:eastAsia="宋体"/>
                <w:color w:val="auto"/>
                <w:sz w:val="24"/>
                <w:szCs w:val="24"/>
                <w:highlight w:val="none"/>
              </w:rPr>
              <w:t xml:space="preserve">电源，48</w:t>
            </w:r>
            <w:r>
              <w:rPr>
                <w:rFonts w:hint="eastAsia" w:ascii="宋体" w:hAnsi="宋体" w:eastAsia="宋体"/>
                <w:color w:val="auto"/>
                <w:sz w:val="24"/>
                <w:szCs w:val="24"/>
                <w:highlight w:val="none"/>
              </w:rPr>
              <w:t xml:space="preserve">个万兆</w:t>
            </w:r>
            <w:r>
              <w:rPr>
                <w:rFonts w:ascii="宋体" w:hAnsi="宋体" w:eastAsia="宋体"/>
                <w:color w:val="auto"/>
                <w:sz w:val="24"/>
                <w:szCs w:val="24"/>
                <w:highlight w:val="none"/>
              </w:rPr>
              <w:t xml:space="preserve">光接口</w:t>
            </w: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个万兆单模光模块+</w:t>
            </w:r>
            <w:r>
              <w:rPr>
                <w:rFonts w:ascii="宋体" w:hAnsi="宋体" w:eastAsia="宋体"/>
                <w:color w:val="auto"/>
                <w:sz w:val="24"/>
                <w:szCs w:val="24"/>
                <w:highlight w:val="none"/>
              </w:rPr>
              <w:t xml:space="preserve">4</w:t>
            </w:r>
            <w:r>
              <w:rPr>
                <w:rFonts w:hint="eastAsia" w:ascii="宋体" w:hAnsi="宋体" w:eastAsia="宋体"/>
                <w:color w:val="auto"/>
                <w:sz w:val="24"/>
                <w:szCs w:val="24"/>
                <w:highlight w:val="none"/>
              </w:rPr>
              <w:t xml:space="preserve">个千兆电模块）</w:t>
            </w:r>
            <w:r>
              <w:rPr>
                <w:rFonts w:ascii="宋体" w:hAnsi="宋体" w:eastAsia="宋体"/>
                <w:color w:val="auto"/>
                <w:sz w:val="24"/>
                <w:szCs w:val="24"/>
                <w:highlight w:val="none"/>
              </w:rPr>
              <w:t xml:space="preserve">；</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24</w:t>
            </w:r>
            <w:r/>
          </w:p>
        </w:tc>
        <w:tc>
          <w:tcPr>
            <w:shd w:val="clear" w:color="000000" w:fill="ffffff"/>
            <w:tcW w:w="990"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POE接入交换机</w:t>
            </w:r>
            <w:r/>
          </w:p>
        </w:tc>
        <w:tc>
          <w:tcPr>
            <w:shd w:val="clear" w:color="000000" w:fill="ffffff"/>
            <w:tcW w:w="1673"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硬件要求</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交换容量≥672Gbps，包转发率≥171Mpps；以官网所列最低参数为准；</w:t>
            </w:r>
            <w:r/>
          </w:p>
        </w:tc>
        <w:tc>
          <w:tcPr>
            <w:shd w:val="clear" w:color="000000" w:fill="ffffff"/>
            <w:tcW w:w="765"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台</w:t>
            </w:r>
            <w:r/>
          </w:p>
        </w:tc>
        <w:tc>
          <w:tcPr>
            <w:shd w:val="clear" w:color="000000" w:fill="ffffff"/>
            <w:tcW w:w="746"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20</w:t>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提供≥24个10/100/1000BASE-T PoE+电口，≥4个1/2.5/10GE SFP+端口；</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可支持PoE供电，PoE功率≥248W；</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软件功能</w:t>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支持基于端口的VLAN，支持基于协议的VLAN；</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支持静态聚合、动态聚合、跨设备聚合</w:t>
            </w:r>
            <w:r>
              <w:rPr>
                <w:rFonts w:ascii="宋体" w:hAnsi="宋体" w:eastAsia="宋体"/>
                <w:color w:val="auto"/>
                <w:sz w:val="24"/>
                <w:szCs w:val="24"/>
                <w:highlight w:val="none"/>
              </w:rPr>
              <w:t xml:space="preserve">；</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支持IPv4/IPV6双栈管理和转发，支持静态路由协议和RIP、OSPF等路由协议，支持丰富的管理和安全特性；</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支持基础网络保护策略，支持CPU防攻击；</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支持基于802.1x动态下发QoS/ACL/VLAN；</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567"/>
        </w:trPr>
        <w:tc>
          <w:tcPr>
            <w:shd w:val="clear" w:color="000000" w:fill="ffffff"/>
            <w:tcW w:w="717"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990"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1673"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474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支持电源、风扇、温度告警；</w:t>
            </w:r>
            <w:r/>
          </w:p>
        </w:tc>
        <w:tc>
          <w:tcPr>
            <w:shd w:val="clear" w:color="000000" w:fill="ffffff"/>
            <w:tcW w:w="765"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shd w:val="clear" w:color="000000" w:fill="ffffff"/>
            <w:tcW w:w="746" w:type="dxa"/>
            <w:vAlign w:val="center"/>
            <w:vMerge w:val="continue"/>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bl>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（1）核心产品为序号3：</w:t>
      </w:r>
      <w:r>
        <w:rPr>
          <w:rFonts w:hint="eastAsia" w:ascii="宋体" w:hAnsi="宋体" w:eastAsia="宋体"/>
          <w:color w:val="auto"/>
          <w:sz w:val="24"/>
          <w:szCs w:val="24"/>
          <w:highlight w:val="none"/>
        </w:rPr>
        <w:t xml:space="preserve">数字高清半球摄像机</w:t>
      </w:r>
      <w:r>
        <w:rPr>
          <w:rFonts w:hint="eastAsia" w:ascii="宋体" w:hAnsi="宋体" w:eastAsia="宋体" w:cs="宋体"/>
          <w:color w:val="auto"/>
          <w:sz w:val="24"/>
          <w:szCs w:val="24"/>
          <w:highlight w:val="none"/>
        </w:rPr>
        <w:t xml:space="preserve">。</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（2）鉴于本次采购产品包含同轴模拟信号类设备，投</w:t>
      </w:r>
      <w:r>
        <w:rPr>
          <w:rFonts w:hint="eastAsia" w:ascii="宋体" w:hAnsi="宋体" w:eastAsia="宋体" w:cs="宋体"/>
          <w:color w:val="auto"/>
          <w:sz w:val="24"/>
          <w:szCs w:val="24"/>
          <w:highlight w:val="none"/>
        </w:rPr>
        <w:t xml:space="preserve">标人</w:t>
      </w:r>
      <w:r>
        <w:rPr>
          <w:rFonts w:hint="eastAsia" w:ascii="宋体" w:hAnsi="宋体" w:eastAsia="宋体" w:cs="宋体"/>
          <w:color w:val="auto"/>
          <w:sz w:val="24"/>
          <w:szCs w:val="24"/>
          <w:highlight w:val="none"/>
          <w:lang w:val="en-US" w:eastAsia="zh-CN"/>
        </w:rPr>
        <w:t xml:space="preserve">投标文件中</w:t>
      </w:r>
      <w:r>
        <w:rPr>
          <w:rFonts w:hint="eastAsia" w:ascii="宋体" w:hAnsi="宋体" w:eastAsia="宋体" w:cs="宋体"/>
          <w:color w:val="auto"/>
          <w:sz w:val="24"/>
          <w:szCs w:val="24"/>
          <w:highlight w:val="none"/>
        </w:rPr>
        <w:t xml:space="preserve">须承诺所供设备可与原有系统实现数据对接；项目所需的模拟信号转数字信号编码设备产生的全部费用均已包含在本次报价中，采购人无需另行支付任何费用。未提供的视为非实质性响应。</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（3）投标人负责对所投监控摄像设备（采购清单中1-6项）提供原厂保修服务，</w:t>
      </w:r>
      <w:r>
        <w:rPr>
          <w:rFonts w:hint="eastAsia" w:ascii="宋体" w:hAnsi="宋体" w:eastAsia="宋体" w:cs="宋体"/>
          <w:color w:val="auto"/>
          <w:sz w:val="24"/>
          <w:szCs w:val="24"/>
          <w:highlight w:val="none"/>
          <w:lang w:val="en-US" w:eastAsia="zh-CN"/>
        </w:rPr>
        <w:t xml:space="preserve">投标文件中必须</w:t>
      </w:r>
      <w:r>
        <w:rPr>
          <w:rFonts w:hint="eastAsia" w:ascii="宋体" w:hAnsi="宋体" w:eastAsia="宋体" w:cs="宋体"/>
          <w:color w:val="auto"/>
          <w:sz w:val="24"/>
          <w:szCs w:val="24"/>
          <w:highlight w:val="none"/>
        </w:rPr>
        <w:t xml:space="preserve">承诺在项目中标后提供原厂保修服务的承诺函，否则视为非实质性响应。</w:t>
      </w:r>
      <w:r/>
    </w:p>
    <w:p>
      <w:pPr>
        <w:pStyle w:val="991"/>
        <w:ind w:firstLine="480"/>
        <w:spacing w:line="360" w:lineRule="auto"/>
        <w:rPr>
          <w:rStyle w:val="963"/>
          <w:rFonts w:ascii="宋体" w:hAnsi="宋体" w:eastAsia="宋体" w:cs="宋体"/>
          <w:bCs/>
          <w:color w:val="auto"/>
          <w:sz w:val="24"/>
          <w:szCs w:val="24"/>
          <w:highlight w:val="none"/>
        </w:rPr>
      </w:pPr>
      <w:r>
        <w:rPr>
          <w:rStyle w:val="963"/>
          <w:rFonts w:hint="eastAsia" w:ascii="宋体" w:hAnsi="宋体" w:eastAsia="宋体" w:cs="宋体"/>
          <w:bCs/>
          <w:color w:val="auto"/>
          <w:sz w:val="24"/>
          <w:szCs w:val="24"/>
          <w:highlight w:val="none"/>
        </w:rPr>
        <w:t xml:space="preserve">（4）现场踏勘：</w:t>
      </w:r>
      <w:r/>
    </w:p>
    <w:p>
      <w:pPr>
        <w:pStyle w:val="991"/>
        <w:ind w:firstLine="480"/>
        <w:spacing w:line="360" w:lineRule="auto"/>
        <w:rPr>
          <w:rStyle w:val="963"/>
          <w:rFonts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为便于投标人实地了解项目现场情况，采购人将组织统一现场踏勘，具体信息如下：</w:t>
      </w:r>
      <w:r/>
    </w:p>
    <w:p>
      <w:pPr>
        <w:pStyle w:val="991"/>
        <w:ind w:firstLine="480"/>
        <w:spacing w:line="360" w:lineRule="auto"/>
        <w:rPr>
          <w:rStyle w:val="963"/>
          <w:rFonts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现场踏勘集合时间：2026年</w:t>
      </w:r>
      <w:r>
        <w:rPr>
          <w:rStyle w:val="963"/>
          <w:rFonts w:hint="eastAsia" w:ascii="宋体" w:hAnsi="宋体" w:eastAsia="宋体" w:cs="宋体"/>
          <w:color w:val="auto"/>
          <w:sz w:val="24"/>
          <w:szCs w:val="24"/>
          <w:highlight w:val="none"/>
          <w:u w:val="none"/>
          <w:lang w:val="en-US" w:eastAsia="zh-CN"/>
        </w:rPr>
        <w:t xml:space="preserve">9</w:t>
      </w:r>
      <w:r>
        <w:rPr>
          <w:rStyle w:val="963"/>
          <w:rFonts w:hint="eastAsia" w:ascii="宋体" w:hAnsi="宋体" w:eastAsia="宋体" w:cs="宋体"/>
          <w:color w:val="auto"/>
          <w:sz w:val="24"/>
          <w:szCs w:val="24"/>
          <w:highlight w:val="none"/>
        </w:rPr>
        <w:t xml:space="preserve">月</w:t>
      </w:r>
      <w:r>
        <w:rPr>
          <w:rStyle w:val="963"/>
          <w:rFonts w:hint="eastAsia" w:ascii="宋体" w:hAnsi="宋体" w:eastAsia="宋体" w:cs="宋体"/>
          <w:color w:val="auto"/>
          <w:sz w:val="24"/>
          <w:szCs w:val="24"/>
          <w:highlight w:val="none"/>
          <w:u w:val="none"/>
          <w:lang w:val="en-US" w:eastAsia="zh-CN"/>
        </w:rPr>
        <w:t xml:space="preserve">28</w:t>
      </w:r>
      <w:r>
        <w:rPr>
          <w:rStyle w:val="963"/>
          <w:rFonts w:hint="eastAsia" w:ascii="宋体" w:hAnsi="宋体" w:eastAsia="宋体" w:cs="宋体"/>
          <w:color w:val="auto"/>
          <w:sz w:val="24"/>
          <w:szCs w:val="24"/>
          <w:highlight w:val="none"/>
        </w:rPr>
        <w:t xml:space="preserve">日14点00分，过期过时不候。   </w:t>
      </w:r>
      <w:r/>
    </w:p>
    <w:p>
      <w:pPr>
        <w:pStyle w:val="991"/>
        <w:ind w:firstLine="480"/>
        <w:spacing w:line="360" w:lineRule="auto"/>
        <w:rPr>
          <w:rStyle w:val="963"/>
          <w:rFonts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现场踏勘集合地点： </w:t>
      </w:r>
      <w:r>
        <w:rPr>
          <w:rFonts w:hint="eastAsia" w:ascii="宋体" w:hAnsi="宋体" w:eastAsia="宋体" w:cs="宋体"/>
          <w:bCs/>
          <w:color w:val="auto"/>
          <w:sz w:val="24"/>
          <w:szCs w:val="24"/>
          <w:highlight w:val="none"/>
        </w:rPr>
        <w:t xml:space="preserve">苏州市东北街204号。</w:t>
      </w:r>
      <w:r/>
    </w:p>
    <w:p>
      <w:pPr>
        <w:pStyle w:val="991"/>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现场勘查联系方式：</w:t>
      </w:r>
      <w:r/>
    </w:p>
    <w:p>
      <w:pPr>
        <w:pStyle w:val="991"/>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 采购人：吴嘉星（电话：0512-67576020）。</w:t>
      </w:r>
      <w:r/>
    </w:p>
    <w:p>
      <w:pPr>
        <w:pStyle w:val="991"/>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 采购代理机构：徐杰、刘木兰（电话：0512-62826523、15850185744）。</w:t>
      </w:r>
      <w:r/>
    </w:p>
    <w:p>
      <w:pPr>
        <w:pStyle w:val="991"/>
        <w:ind w:firstLine="480"/>
        <w:spacing w:line="360" w:lineRule="auto"/>
        <w:rPr>
          <w:rStyle w:val="963"/>
          <w:rFonts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注：现场踏勘不要求投标人提供任何单位或个人的相关信息，投标人须在现场踏勘集合时间截止前到达现场踏勘集合地点，逾时不候，且不再重新组织现场踏勘。投标人应充分重视和仔细地进行现场踏勘，并对经现场踏勘得出的任何推论、理解和结论自行负责。投标人须承担参加现场踏勘的所有费用，并同时承担在现场勘查期间由于投标人行为所造成的人身伤害、财产损失或损坏，以及其他任何原因造成的损失、损坏或费用，投标人不得因此使采购人承担有关的责任和蒙受损失。</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（二）项目服务要求：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1、投标人须为本项目配备项目负责人1名、技术负责人1名和实施人员不少于4名，后续项目实施及</w:t>
      </w:r>
      <w:r>
        <w:rPr>
          <w:rFonts w:hint="eastAsia" w:ascii="宋体" w:hAnsi="宋体" w:eastAsia="宋体" w:cs="仿宋_GB2312"/>
          <w:color w:val="auto"/>
          <w:sz w:val="24"/>
          <w:szCs w:val="24"/>
          <w:highlight w:val="none"/>
        </w:rPr>
        <w:t xml:space="preserve">质保维护</w:t>
      </w:r>
      <w:r>
        <w:rPr>
          <w:rFonts w:hint="eastAsia" w:ascii="宋体" w:hAnsi="宋体" w:eastAsia="宋体" w:cs="宋体"/>
          <w:color w:val="auto"/>
          <w:sz w:val="24"/>
          <w:szCs w:val="24"/>
          <w:highlight w:val="none"/>
        </w:rPr>
        <w:t xml:space="preserve">过程中作现场核验。</w:t>
      </w:r>
      <w:r/>
    </w:p>
    <w:p>
      <w:pPr>
        <w:pStyle w:val="991"/>
        <w:ind w:firstLine="480"/>
        <w:spacing w:line="360" w:lineRule="auto"/>
        <w:rPr>
          <w:rStyle w:val="963"/>
          <w:rFonts w:ascii="宋体" w:hAnsi="宋体" w:eastAsia="宋体" w:cs="宋体"/>
          <w:bCs/>
          <w:color w:val="auto"/>
          <w:sz w:val="24"/>
          <w:szCs w:val="24"/>
          <w:highlight w:val="none"/>
        </w:rPr>
      </w:pPr>
      <w:r>
        <w:rPr>
          <w:rStyle w:val="963"/>
          <w:rFonts w:hint="eastAsia" w:ascii="宋体" w:hAnsi="宋体" w:eastAsia="宋体" w:cs="宋体"/>
          <w:bCs/>
          <w:color w:val="auto"/>
          <w:sz w:val="24"/>
          <w:szCs w:val="24"/>
          <w:highlight w:val="none"/>
        </w:rPr>
        <w:t xml:space="preserve">2、旧设备拆除：中标单位须负责完成本项目范围内原有监控、报警等设备的拆除工作；施工期间须做好在用安防设备、文物及展陈设施防护，保障既有安防系统连续稳定运行；拆除设备须按采购人要求清点移交或清运处置，施工垃圾全部清理，拆除产生的孔洞做好防护处理。</w:t>
      </w:r>
      <w:r/>
    </w:p>
    <w:p>
      <w:pPr>
        <w:pStyle w:val="991"/>
        <w:ind w:firstLine="480"/>
        <w:spacing w:line="360" w:lineRule="auto"/>
        <w:rPr>
          <w:rStyle w:val="963"/>
          <w:rFonts w:ascii="宋体" w:hAnsi="宋体" w:eastAsia="宋体" w:cs="宋体"/>
          <w:bCs/>
          <w:color w:val="auto"/>
          <w:sz w:val="24"/>
          <w:szCs w:val="24"/>
          <w:highlight w:val="none"/>
        </w:rPr>
      </w:pPr>
      <w:r>
        <w:rPr>
          <w:rStyle w:val="963"/>
          <w:rFonts w:hint="eastAsia" w:ascii="宋体" w:hAnsi="宋体" w:eastAsia="宋体" w:cs="宋体"/>
          <w:bCs/>
          <w:color w:val="auto"/>
          <w:sz w:val="24"/>
          <w:szCs w:val="24"/>
          <w:highlight w:val="none"/>
        </w:rPr>
        <w:t xml:space="preserve">3、设备安装调试：中标单位须负责所有本项目范围内的设备安装、线缆标识工作；完成单机调试、全系统联调，实现各子系统联动功能；负责与采购人现有平台对接</w:t>
      </w:r>
      <w:bookmarkStart w:id="14" w:name="_GoBack"/>
      <w:r/>
      <w:bookmarkEnd w:id="14"/>
      <w:r>
        <w:rPr>
          <w:rStyle w:val="963"/>
          <w:rFonts w:hint="eastAsia" w:ascii="宋体" w:hAnsi="宋体" w:eastAsia="宋体" w:cs="宋体"/>
          <w:bCs/>
          <w:color w:val="auto"/>
          <w:sz w:val="24"/>
          <w:szCs w:val="24"/>
          <w:highlight w:val="none"/>
        </w:rPr>
        <w:t xml:space="preserve">调试；完整提交竣工资料，所有建设内容须满足博物馆安防相关规范要求。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三、综合要求：</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所提供的相关货物或服务应符合国家有关标准和规范，并遵循招标文件的要求，应达到或优于采购要求，并提供详细说明。若招标要求中涉及品牌或品牌导向，则仅作参考。投标文件必须如实进行实质性响应，量化指标必须列明具体数值。投标人在其投标文件中对于招标文件已提供以及未提供的货物或服务情况均须进行完整的阐述和说明，否则其投标文件将有被拒绝的可能。</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提供的投标文件内容须真实、准确、有效，如提供虚假材料或对招标文件所要求说明的情况故意隐瞒或虚报，视为不实质性响应采购要求，其投标文件将被拒绝。已中标的将取消中标资格，并按《中华人民共和国政府采购法》第七十七条的相关办法处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3、投标人应保证</w:t>
      </w:r>
      <w:r>
        <w:rPr>
          <w:rFonts w:hint="eastAsia" w:ascii="宋体" w:hAnsi="宋体" w:eastAsia="宋体" w:cs="宋体"/>
          <w:color w:val="auto"/>
          <w:sz w:val="24"/>
          <w:szCs w:val="24"/>
          <w:highlight w:val="none"/>
          <w:lang w:val="zh-CN"/>
        </w:rPr>
        <w:t xml:space="preserve">对所提供货物</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val="zh-CN"/>
        </w:rPr>
        <w:t xml:space="preserve">服务等知识产权方面的一切产权关系负全部责任</w:t>
      </w:r>
      <w:r>
        <w:rPr>
          <w:rFonts w:hint="eastAsia" w:ascii="宋体" w:hAnsi="宋体" w:eastAsia="宋体" w:cs="宋体"/>
          <w:color w:val="auto"/>
          <w:sz w:val="24"/>
          <w:szCs w:val="24"/>
          <w:highlight w:val="none"/>
        </w:rPr>
        <w:t xml:space="preserve">，不会产生因第三方提出侵犯其专利权、商标权或其它知识产权而引起的法律和经济纠纷，如因专利权、商标权或其它知识产权而引起法律和经济纠纷，由供应商承担所有相关责任。</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需编制本项目的技术方案，包括但不限于：投标人根据采购人性质、特点及项目建设要求，结合项目现场情况的了解分析，制定安防系统改造方案；投标人根据本项目特点及使用单位现有系统实际情况，制定系统改造对接方案；投标人根据采购人单位性质（博物馆）及行业特点，制定实施方案和具体施工技术措施；投标人根据本项目特点，制定质保期内的售后服务、响应能力和技术保障措施方案。</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5、供应商拟投入本项目的团队需具有履约能力，有服务项目人员，便于项目实施。</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6、供应商需有丰富的类似项目经验等内容。</w:t>
      </w:r>
      <w:r/>
    </w:p>
    <w:p>
      <w:pPr>
        <w:pStyle w:val="919"/>
        <w:ind w:firstLine="480"/>
        <w:widowControl w:val="off"/>
        <w:rPr>
          <w:rFonts w:hAnsi="宋体" w:cs="宋体"/>
          <w:color w:val="auto"/>
          <w:szCs w:val="24"/>
          <w:highlight w:val="none"/>
        </w:rPr>
      </w:pPr>
      <w:r>
        <w:rPr>
          <w:rFonts w:hint="eastAsia" w:hAnsi="宋体" w:cs="宋体"/>
          <w:color w:val="auto"/>
          <w:szCs w:val="24"/>
          <w:highlight w:val="none"/>
        </w:rPr>
        <w:t xml:space="preserve">7、本次采购的</w:t>
      </w:r>
      <w:r>
        <w:rPr>
          <w:rFonts w:hint="eastAsia" w:hAnsi="宋体"/>
          <w:color w:val="auto"/>
          <w:szCs w:val="24"/>
          <w:highlight w:val="none"/>
        </w:rPr>
        <w:t xml:space="preserve">监视器</w:t>
      </w:r>
      <w:r>
        <w:rPr>
          <w:rFonts w:hint="eastAsia" w:hAnsi="宋体" w:cs="宋体"/>
          <w:color w:val="auto"/>
          <w:szCs w:val="24"/>
          <w:highlight w:val="none"/>
        </w:rPr>
        <w:t xml:space="preserve">属于《节能产品政府采购品目清单》范围内的政府强制采购产品，投标人须提供国家确定的认证机构出具的、处于有效期之内的节能产品认证证书复印件，否则视为非实质性响应。</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本次采购人拟采购的产品均不属于《环境标志产品政府采购品目清单》范围内优先采购的产品，供应商在投标文件中可提供环境标志产品认证证书复印件，在综合得分且投标报价均相同的情况下，则由提供证书多的供应商中标。</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投标人所投产品如属于国家认证认可监督管理委员会现行《强制性产品认证目录描述与界定表》管理的强制性认证产品，中标人在提请采购人验收时须提供上述产品的对应证书，否则采购人有权不予验收，且中标人应承担由此而引起的一切法律责任和费用。</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10、供应商在项目实施期间应无条件的接受采购人的监督管理，提出的质量问题要及时整改，整改完毕后通知采购人检查验收，合格后书面报送采购人备案。</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11、与本次采购项目有关的质量、安全问题均由中标人终生负责，相关的人员、财产责任风险均由中标人全部承担，与他人无涉。</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12、项目地点：采购人指定地点（苏州大市范围内）。</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olor w:val="auto"/>
          <w:sz w:val="24"/>
          <w:szCs w:val="24"/>
          <w:highlight w:val="none"/>
        </w:rPr>
        <w:t xml:space="preserve">13</w:t>
      </w:r>
      <w:r>
        <w:rPr>
          <w:rFonts w:hint="eastAsia" w:ascii="宋体" w:hAnsi="宋体" w:eastAsia="宋体"/>
          <w:color w:val="auto"/>
          <w:sz w:val="24"/>
          <w:szCs w:val="24"/>
          <w:highlight w:val="none"/>
          <w:lang w:val="zh-CN"/>
        </w:rPr>
        <w:t xml:space="preserve">、</w:t>
      </w:r>
      <w:r>
        <w:rPr>
          <w:rFonts w:hint="eastAsia" w:ascii="宋体" w:hAnsi="宋体" w:eastAsia="宋体"/>
          <w:color w:val="auto"/>
          <w:sz w:val="24"/>
          <w:szCs w:val="24"/>
          <w:highlight w:val="none"/>
        </w:rPr>
        <w:t xml:space="preserve">质保要求</w:t>
      </w:r>
      <w:r>
        <w:rPr>
          <w:rFonts w:hint="eastAsia" w:ascii="宋体" w:hAnsi="宋体" w:eastAsia="宋体"/>
          <w:color w:val="auto"/>
          <w:sz w:val="24"/>
          <w:szCs w:val="24"/>
          <w:highlight w:val="none"/>
          <w:lang w:val="zh-CN"/>
        </w:rPr>
        <w:t xml:space="preserve">：</w:t>
      </w:r>
      <w:r>
        <w:rPr>
          <w:rFonts w:hint="eastAsia" w:ascii="宋体" w:hAnsi="宋体" w:eastAsia="宋体"/>
          <w:color w:val="auto"/>
          <w:sz w:val="24"/>
          <w:szCs w:val="24"/>
          <w:highlight w:val="none"/>
        </w:rPr>
        <w:t xml:space="preserve">投标人须为本项目提供每周7×24小时热线和长期免费服务支持，无条件响应采购人在该项目上的时间安排和备品保障要求，投标产品整体提供不低于36个月的免费质保期</w:t>
      </w:r>
      <w:r>
        <w:rPr>
          <w:rFonts w:hint="eastAsia" w:ascii="宋体" w:hAnsi="宋体" w:eastAsia="宋体" w:cs="宋体"/>
          <w:bCs/>
          <w:color w:val="auto"/>
          <w:sz w:val="24"/>
          <w:szCs w:val="24"/>
          <w:highlight w:val="none"/>
        </w:rPr>
        <w:t xml:space="preserve">（自本项目验收合格之日起计算），以及在此期间的免费维修、维护、保养、检测和非人为原因损坏的更换服务。</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14、验收要求：标的物须符合我国最新</w:t>
      </w:r>
      <w:r>
        <w:rPr>
          <w:rFonts w:hint="eastAsia" w:ascii="宋体" w:hAnsi="宋体" w:eastAsia="宋体" w:cs="宋体"/>
          <w:color w:val="auto"/>
          <w:sz w:val="24"/>
          <w:szCs w:val="24"/>
          <w:highlight w:val="none"/>
        </w:rPr>
        <w:t xml:space="preserve">颁布的与之相关的技术规范与标准，并同时满足招标文件要求和中标人所作承诺。在中标人完成全部采购内容并交付验收时，采购人应当自标的物交付验收之日起七个工作日内组织验收，对标的物进行详细而全面的验收，并在验收通过后出具一份验收合格报告以作为采购人的验收依据，但不作为有关标的物的最终检验结果。投标人须在其投标文件中提供一份验收办法，但此标准不得对抗相关部门的验收和招标文件中的验收要求，未提供验收办法的投标文件将被视为非实质性响应。中标人对货物或服务缺陷不予更正，采购人有权另请其他单位更正，所发生的费用由中标人承担。</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15、凡涉及招标文件的补充说明和修改，均以苏州市政府采购网上公示信息为准。</w:t>
      </w:r>
      <w:r/>
    </w:p>
    <w:p>
      <w:pPr>
        <w:ind w:firstLine="480"/>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spacing w:line="360" w:lineRule="auto"/>
        <w:tabs>
          <w:tab w:val="left" w:pos="709" w:leader="none"/>
        </w:tabs>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360" w:lineRule="auto"/>
        <w:tabs>
          <w:tab w:val="left" w:pos="709" w:leader="none"/>
        </w:tabs>
        <w:rPr>
          <w:rFonts w:ascii="宋体" w:hAnsi="宋体" w:eastAsia="宋体" w:cs="宋体"/>
          <w:b/>
          <w:color w:val="auto"/>
          <w:sz w:val="24"/>
          <w:szCs w:val="24"/>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ascii="宋体" w:hAnsi="宋体" w:eastAsia="宋体" w:cs="宋体"/>
          <w:b/>
          <w:color w:val="auto"/>
          <w:sz w:val="24"/>
          <w:szCs w:val="24"/>
          <w:highlight w:val="none"/>
        </w:rPr>
      </w:r>
      <w:r/>
    </w:p>
    <w:p>
      <w:pPr>
        <w:jc w:val="center"/>
        <w:spacing w:line="360" w:lineRule="auto"/>
        <w:tabs>
          <w:tab w:val="left" w:pos="709"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第五章 合同主要条款</w:t>
      </w:r>
      <w:bookmarkEnd w:id="12"/>
      <w:r/>
      <w:r/>
    </w:p>
    <w:p>
      <w:pPr>
        <w:ind w:firstLine="482"/>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项目名称：苏州博物馆本馆安防设备改造项目</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项目编号：JSZC-320500-SZZJ-G2026-0028</w:t>
      </w:r>
      <w:r/>
    </w:p>
    <w:p>
      <w:pPr>
        <w:ind w:firstLine="482"/>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甲方（项目采购人）：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联系人： </w:t>
      </w:r>
      <w:r>
        <w:rPr>
          <w:rFonts w:hint="eastAsia" w:ascii="宋体" w:hAnsi="宋体" w:eastAsia="宋体" w:cs="宋体"/>
          <w:bCs/>
          <w:color w:val="auto"/>
          <w:sz w:val="24"/>
          <w:szCs w:val="24"/>
          <w:highlight w:val="none"/>
        </w:rPr>
        <w:tab/>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单位地址： </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乙方（中标单位）：</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联系人： </w:t>
      </w:r>
      <w:r>
        <w:rPr>
          <w:rFonts w:hint="eastAsia" w:ascii="宋体" w:hAnsi="宋体" w:eastAsia="宋体" w:cs="宋体"/>
          <w:bCs/>
          <w:color w:val="auto"/>
          <w:sz w:val="24"/>
          <w:szCs w:val="24"/>
          <w:highlight w:val="none"/>
        </w:rPr>
        <w:tab/>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单位地址： </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甲方所需</w:t>
      </w:r>
      <w:r>
        <w:rPr>
          <w:rFonts w:hint="eastAsia" w:ascii="宋体" w:hAnsi="宋体" w:eastAsia="宋体" w:cs="宋体"/>
          <w:color w:val="auto"/>
          <w:sz w:val="24"/>
          <w:szCs w:val="24"/>
          <w:highlight w:val="none"/>
          <w:u w:val="single"/>
        </w:rPr>
        <w:t xml:space="preserve">苏州博物馆本馆安防设备改造</w:t>
      </w:r>
      <w:r>
        <w:rPr>
          <w:rFonts w:hint="eastAsia" w:ascii="宋体" w:hAnsi="宋体" w:eastAsia="宋体" w:cs="宋体"/>
          <w:color w:val="auto"/>
          <w:sz w:val="24"/>
          <w:szCs w:val="24"/>
          <w:highlight w:val="none"/>
        </w:rPr>
        <w:t xml:space="preserve">项目经</w:t>
      </w:r>
      <w:r>
        <w:rPr>
          <w:rFonts w:hint="eastAsia" w:ascii="宋体" w:hAnsi="宋体" w:eastAsia="宋体" w:cs="宋体"/>
          <w:color w:val="auto"/>
          <w:sz w:val="24"/>
          <w:szCs w:val="24"/>
          <w:highlight w:val="none"/>
          <w:u w:val="single"/>
        </w:rPr>
        <w:t xml:space="preserve">苏州正杰招投标咨询服务有限公司</w:t>
      </w:r>
      <w:r>
        <w:rPr>
          <w:rFonts w:hint="eastAsia" w:ascii="宋体" w:hAnsi="宋体" w:eastAsia="宋体" w:cs="宋体"/>
          <w:color w:val="auto"/>
          <w:sz w:val="24"/>
          <w:szCs w:val="24"/>
          <w:highlight w:val="none"/>
        </w:rPr>
        <w:t xml:space="preserve">以公开招标方式进行采购，并依法确定乙方为中标</w:t>
      </w:r>
      <w:r>
        <w:rPr>
          <w:rFonts w:hint="eastAsia" w:ascii="宋体" w:hAnsi="宋体" w:eastAsia="宋体" w:cs="宋体"/>
          <w:bCs/>
          <w:color w:val="auto"/>
          <w:sz w:val="24"/>
          <w:szCs w:val="24"/>
          <w:highlight w:val="none"/>
        </w:rPr>
        <w:t xml:space="preserve">单位</w:t>
      </w:r>
      <w:r>
        <w:rPr>
          <w:rFonts w:hint="eastAsia" w:ascii="宋体" w:hAnsi="宋体" w:eastAsia="宋体" w:cs="宋体"/>
          <w:color w:val="auto"/>
          <w:sz w:val="24"/>
          <w:szCs w:val="24"/>
          <w:highlight w:val="none"/>
        </w:rPr>
        <w:t xml:space="preserve">。根据《中华人民共和国民法典》和《中华人民共和国政府采购法》等有关法律法规，为明确甲方和乙方招标过程中的权利、义务和经济责任，双方遵循平等、自愿、公平和诚实信用原则，经友好协商，同意按照下面的条款和条件订立本合同，以资共同遵守。</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一、合同文件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以下文件是构成本合同不可分割的部分：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（一）本项目招标文件；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（二）乙方投标文件；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（三）合同条款；</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（四）乙方做出的有关澄清、说明或者补正文件（若有）；</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（五）确定乙方的文件（包括但不限于中标通知书等）；</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（六）本合同附件（若有）。</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二、服务内容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本合同项下乙方所提供的清单内容为：详见招标文件中的采购需求。</w:t>
      </w:r>
      <w:r/>
    </w:p>
    <w:p>
      <w:pPr>
        <w:ind w:firstLine="482"/>
        <w:spacing w:line="360" w:lineRule="auto"/>
        <w:rPr>
          <w:rFonts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三、合同金额：</w:t>
      </w:r>
      <w:r>
        <w:rPr>
          <w:rFonts w:hint="eastAsia" w:ascii="宋体" w:hAnsi="宋体" w:eastAsia="宋体" w:cs="宋体"/>
          <w:bCs/>
          <w:color w:val="auto"/>
          <w:sz w:val="24"/>
          <w:szCs w:val="24"/>
          <w:highlight w:val="none"/>
        </w:rPr>
        <w:t xml:space="preserve"> </w:t>
      </w:r>
      <w:r/>
    </w:p>
    <w:p>
      <w:pPr>
        <w:ind w:firstLine="482"/>
        <w:spacing w:line="360" w:lineRule="auto"/>
        <w:rPr>
          <w:rFonts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合同总金额为</w:t>
      </w:r>
      <w:r>
        <w:rPr>
          <w:rFonts w:hint="eastAsia" w:ascii="宋体" w:hAnsi="宋体" w:eastAsia="宋体" w:cs="宋体"/>
          <w:b/>
          <w:color w:val="auto"/>
          <w:sz w:val="24"/>
          <w:szCs w:val="24"/>
          <w:highlight w:val="none"/>
          <w:u w:val="single"/>
        </w:rPr>
        <w:t xml:space="preserve">人民币          元，大写：        。</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金额包括投标产品、安装辅材及其备品备件和专用工具费用、税费及包装、运至最终目的地的运输、保险、安装调试、检测验收、技术支持与培训、质保和售后服务及相关劳务等所发生的全部费用以及乙方企业利润、税金和政策性文件规定及合同包含的所有风险、责任等各项应有费用。同时，除非合同条款中另有规定，否则，乙方所报价格在合同实施期间不因市场变化因素而变动。</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四、付款约定： </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1、付款步骤： </w:t>
      </w:r>
      <w:r/>
    </w:p>
    <w:p>
      <w:pPr>
        <w:numPr>
          <w:ilvl w:val="0"/>
          <w:numId w:val="0"/>
        </w:num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合同签订后甲方在15个工作日内向乙方支付合同总金额的30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预付款</w:t>
      </w:r>
      <w:r>
        <w:rPr>
          <w:rFonts w:hint="eastAsia" w:ascii="宋体" w:hAnsi="宋体" w:eastAsia="宋体" w:cs="宋体"/>
          <w:color w:val="auto"/>
          <w:sz w:val="24"/>
          <w:szCs w:val="24"/>
          <w:highlight w:val="none"/>
          <w:lang w:eastAsia="zh-CN"/>
        </w:rPr>
        <w:t xml:space="preserve">；</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待乙方全部设备按期完成供货，经甲方清点验收合格后，甲方在15个工作日内向乙方支付合同总金额的60</w:t>
      </w:r>
      <w:r>
        <w:rPr>
          <w:rFonts w:hint="eastAsia" w:ascii="宋体" w:hAnsi="宋体" w:eastAsia="宋体" w:cs="宋体"/>
          <w:color w:val="auto"/>
          <w:sz w:val="24"/>
          <w:szCs w:val="24"/>
          <w:highlight w:val="none"/>
          <w:lang w:eastAsia="zh-CN"/>
        </w:rPr>
        <w:t xml:space="preserve">％；</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项目完成全部安装、调试、运行，且无质量问题遗留后，甲方在15个工作日内向乙方支付合同总金额的10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甲方每次付款前，乙方均应当向甲方开具等额、合法的发票，并提供双方签署盖章的《苏州市政府采购合同履行验收报告》，否则甲方有权延迟付款且无须承担任何责任。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甲方按本合同约定支付完毕全部款项，不视为对乙方设备质量、安装调试质量及合同履行情况的最终认可，亦不免除乙方在质保期内应承担的质量保修责任、违约责任及赔偿责任。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质保期内，因乙方原因导致设备或项目出现质量问题的，乙方应按本合同约定履行维修、更换等义务；给甲方造成损失的，乙方仍应承担相应赔偿责任。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2、结算方法：本合同采用固定综合单价（详见乙方的投标报价），数量按实结算，如无参考单价则由甲乙双方共同确定综合单价，数量按实际发生结算。</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3、价款结算时，需提供以下资料：</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（1）足额合格的发票。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（2）由甲乙双方及采购代理机构签章的《苏州市政府采购合同履行验收报告》。</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4、付款方式：银行转帐。</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甲方根据乙方在本合同中所提供银行开户信息转账支付。 </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乙方开户名称：                </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开户银行：                                </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银行账号：             </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乙方银行账户如需变更，应至少于付款期限届满前10个工作日书面通知甲方，否则产生的一切责任、因变更引起的额外费用由乙方承担。</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五、交货履行期限、地点：</w:t>
      </w:r>
      <w:r/>
    </w:p>
    <w:p>
      <w:pPr>
        <w:ind w:firstLine="480"/>
        <w:spacing w:line="360" w:lineRule="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1、交货履行期限：</w:t>
      </w:r>
      <w:r>
        <w:rPr>
          <w:rFonts w:hint="eastAsia" w:ascii="宋体" w:hAnsi="宋体" w:eastAsia="宋体" w:cs="宋体"/>
          <w:color w:val="auto"/>
          <w:sz w:val="24"/>
          <w:szCs w:val="24"/>
          <w:highlight w:val="none"/>
        </w:rPr>
        <w:t xml:space="preserve">合同生效后45天内完成全部采购内容并交付正常使用</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2、交货地点：甲方指定地点（苏州大市范围内）。</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六、包装与运输： </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1、乙方应妥善包装货物，适合运输、防潮、防湿、防锈、耐野蛮装卸，任何由于乙方包装不善而造成的损失由乙方负责； </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2、乙方包装货物时，必须附有装箱清单。 </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乙方应自行选择适宜的运输工具及线路安排货物运输。甲方采购货物的包装、运输费用、装卸费由乙方承担，货物交付之前，货物毁损、灭失的风险由乙方承担。货物自到达甲方指定地点并装卸入库后视为交付。交付后，货物毁损、灭失的风险由甲方承担。</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七、质量保证：</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1、乙方应保证货物的生产、安装、检验检测、调试等各项技术标准，应当符合国家或行业标准。 </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2、乙方应保证提供给甲方的货物是货物生产厂商原造的，全新、未使用过的，产品质量符合国家或行业标准、招标文件所列的各项要求以及乙方在投标文件中响应的其它指标。 </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3、乙方应保证提供给甲方的货物是自带出厂质保期的，并通过货物生产厂商的出厂检验合格的，须提供质量合格证书。 </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4、乙方应保证所提供的货物经正确安装、合理操作和维护保养在其使用寿命期内具有令甲方满意的性能，并对由于合同货物的设计、工艺或材料的缺陷而发生的任何故障负责。 </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乙方应保证甲方在中国境内使用货物或货物的任何一部分时，免受第三方提出的侵犯其知识产权的诉讼。如甲方因合同货物的知识产权原因而受到第三方的索赔请求，乙方应负责处理，承担相关法律责任，并承担甲方因此发生的全部费用及损失。 </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乙方应保证其对货物的销售不损害任何第三方的合法权益和社会公众利益。任何第三方不会因乙方原因而基于所有权、抵押权、留置权或其他任何权利或事由对合同货物主张权利。如出现此类情况，乙方应负责处理，承担相关法律责任，并承担甲方因此发生的全部费用及损失。 </w:t>
      </w:r>
      <w:r/>
    </w:p>
    <w:p>
      <w:pPr>
        <w:ind w:firstLine="482"/>
        <w:spacing w:line="360" w:lineRule="auto"/>
        <w:rPr>
          <w:rFonts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八、检验与验收</w:t>
      </w:r>
      <w:r>
        <w:rPr>
          <w:rFonts w:hint="eastAsia" w:ascii="宋体" w:hAnsi="宋体" w:eastAsia="宋体" w:cs="宋体"/>
          <w:bCs/>
          <w:color w:val="auto"/>
          <w:sz w:val="24"/>
          <w:szCs w:val="24"/>
          <w:highlight w:val="none"/>
        </w:rPr>
        <w:t xml:space="preserve">： </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1、甲方有权不定期从生产原料、生产设备、工艺、环保状况、发货运输等方面进行抽查，对采购货物</w:t>
      </w:r>
      <w:r>
        <w:rPr>
          <w:rFonts w:hint="eastAsia" w:ascii="宋体" w:hAnsi="宋体" w:eastAsia="宋体" w:cs="宋体"/>
          <w:bCs/>
          <w:color w:val="auto"/>
          <w:sz w:val="24"/>
          <w:szCs w:val="24"/>
          <w:highlight w:val="none"/>
        </w:rPr>
        <w:t xml:space="preserve">的生产过程进行查看，如果发现产品质量不符合本合同约定的，甲方有权终止合同，相关损失由乙方承担。甲方将抽样检查采购货物的生产原料，查看工艺过程，企业环保相关资料、生产过程、质量保证体系、最终产品数量、保障运输防范措施等环节实施全程抽查。对生产企业不符、原材料不符或不达环保要求，生产设备不适用生产需要，生产过程环保不达标，质量监督体系缺失，生产数量不符的，用其他企业产品替代（除部分产品成交前注明除外），或进行外购半成品组装的将以违约处理，甲方将取消采购，同时乙方将承担合同总金额的10％支付违约金，并终止合同。 </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2、甲方应在所有货物安装调试完成之后一个月内组织验收，甲方应提前通知乙方检验或验收的时间地点及有关事项，若乙方未按通知参加，检验或验收可正常进行，乙方应接受检验或验收结果。 </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3、按照国家或行业标准、招标文件所列的各项要求以及乙方在投标文件中响应的其它指标，对货物的品种、规格型号、性能、质量、数量、外观以及配件等进行整体验收。 </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验收时，双方应派代表一起当场开箱验货，如发现货物短缺、质次、损坏、产地和规格不符等问题，应作详细记录由双方进行签字确认；乙方立即无条件地在三日内调换或补齐，同时由乙方承担因此而产生的一切后果。 </w:t>
      </w:r>
      <w:r/>
    </w:p>
    <w:p>
      <w:pPr>
        <w:ind w:firstLine="480"/>
        <w:spacing w:line="360" w:lineRule="auto"/>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5、乙方所供货物到达现场后，采购人有权指定相关有权部门对产品质量进行随机抽样检测，由此产生的所有费用由乙方承担，对产品进行破坏性检测后乙方须无偿补全该产品，如检测不合格，甲方有权要求整改到位，并不予结算相关费用或终止合同，相关损失和责任由成交供应商承担。</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验收结果经双方确认后，双方代表须按规定的验收项目填好《政府采购合同履行验收报告》并盖章签名。履行验收报告作为最终付款所需文件的组成部分。如双方对验收结果有分歧，则以产品质量监督部门的检验结果为准，检验费由有过失的一方支付。</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九、质保期和售后服务：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w:t>
      </w:r>
      <w:r>
        <w:rPr>
          <w:rFonts w:hint="eastAsia" w:ascii="宋体" w:hAnsi="宋体" w:eastAsia="宋体"/>
          <w:color w:val="auto"/>
          <w:sz w:val="24"/>
          <w:szCs w:val="24"/>
          <w:highlight w:val="none"/>
        </w:rPr>
        <w:t xml:space="preserve">须为本项目提供每周7天×24小时热线和长期免费服务支持，无条件响应甲方在该项目上的时间安排和备品保障要求，投标产品整体提供36个月的免费质保期</w:t>
      </w:r>
      <w:r>
        <w:rPr>
          <w:rFonts w:hint="eastAsia" w:ascii="宋体" w:hAnsi="宋体" w:eastAsia="宋体" w:cs="宋体"/>
          <w:bCs/>
          <w:color w:val="auto"/>
          <w:sz w:val="24"/>
          <w:szCs w:val="24"/>
          <w:highlight w:val="none"/>
        </w:rPr>
        <w:t xml:space="preserve">（自本项目验收合格之日起计算），以及在此期间的免费维修、维护、保养、检测和非人为原因损坏的更换服务。</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十、履约保证金：无。</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十一、管理基本要求：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1、为确保质量，乙方须安排管理人员进行监管，加强安全教育管理和质量监控。</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2、实施过程中，乙方必须采取周密的安全措施，以避免对人身和财产的损害。如因乙方原因而造成人身伤害或财产损失的，由乙方承担。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3、对于乙方工作不能及时完成，且造成较大影响的，甲方有权要求乙方承担相关违约责任。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4、质量要求：</w:t>
      </w:r>
      <w:r>
        <w:rPr>
          <w:rFonts w:hint="eastAsia" w:ascii="宋体" w:hAnsi="宋体" w:eastAsia="宋体"/>
          <w:color w:val="auto"/>
          <w:sz w:val="24"/>
          <w:szCs w:val="24"/>
          <w:highlight w:val="none"/>
        </w:rPr>
        <w:t xml:space="preserve">按相关质量验收规范合格标准</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十二、伴随服务：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1、乙方除应履行按期按量交付合格标的物的义务外，还应当提供下列服务：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（1）标的物的现场安装、启动、调试、监督（如果必须安装、调试的话）；</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（2）提供标的物组装和一般维修所必需的工具；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（3）在合同规定的期限内对所提供的标的物实行运行监督、维修服务的前提条件是该服务并不能免除乙方在质量保证期内所承担的义务；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（4）对甲方技术人员的技术指导或培训。</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2、除合同另有规定外，伴随服务的费用均已含在合同价款中，甲方不再另行支付。</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十三、违约责任：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合同一方不履行合同义务或者履行合同义务不符合约定的，应当承担继续履行、采取补救措施或赔偿损失等违约责任。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1、甲方违约责任：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（1）在合同生效后，非因乙方原因及标的物质量问题甲方要求退货的，应向乙方偿付合同价款的5％作为违约金，违约金不足以补偿损失的，乙方有权要求甲方补足。</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（2）甲方逾期支付货款的应按照逾期付款金额的每天万分之四支付逾期付款违约金，违约金总额不超过合同价款的5％。</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（3）甲方无正当理由违反合同规定，拒绝接收乙方交付的合格标的物，应当承担乙方由此造成的损失。</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2、乙方违约责任：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不能交付（逾期超过十天视为不能交付），或因乙方责任造成首次验收未能通过的，甲方有权立即终止合同，并要求乙方偿付合同总价款5％的违约金，违约金不足以补偿损失的，甲方有权要求乙方补足。</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（2）乙方逾期交付的，按照逾期交付部分价款金额的每天万分之四支付逾期付款违约金，违约金总额不超过合同价款的5％，同时承担甲方因此遭致的损失费用。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履行合同过程中，因乙方过错导致甲方被相关部门问责，或者造成负面社会影响的，甲方有权终止合同，并要求乙方承担甲方所有损失；甲方因实现本合同权利，救济而产生的费用，包括但限于律师费、诉讼费、保全费用等由乙方承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履行合同过程中，乙方对甲方提出的服务要求未及时响应的，第1次给予警告，若连续出现2次甲方有权视情况对乙方进行约谈，乙方需按要求在规定时间内进行书面答复并加盖公章，根据约谈事项的严重性额外扣款1千～1万元，如未在规定时间内进行书面答复且实际未落实采购人约谈要求的，直接扣款1千～1万元。</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3、如果出现政府采购监管部门在处理投诉事项期间，通知甲方暂停采购活动的情形，或者询问或质疑事项可能影响最终成交结果的，导致甲方中止履行合同的情形，均不视为甲方违约。</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十四、索赔：</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（一）甲方有权根据当地质量技术监督部门或其他有权部门出具的检验证明向乙方提出索赔。</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（二）在本合同规定的检验期限和质量保证期内，如果乙方对甲方提出的索赔或差异有责任，则乙方应按甲方同意的下列一种或多种方式解决索赔事宜：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同意退货，并按合同规定的货币将货款退还给甲方，并且承担由此发生的一切损失和费用，包括利息、银行手续费、运费、总包配合费、保险费、检验费、仓储费、装卸费以及为保护退回标的物所需的其他必要费用，并赔偿甲方相应损失。</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2、根据标的物的低劣程度、损坏程度以及甲方遭受损失的数额，经双方协商确定降低标的物的价格。</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如有）中扣回索赔金额，如果这些金额不足以补偿索赔金额，乙方应当对不足部分予以补偿。 </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十五、合同的解除和转让：</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1、甲方和乙方协商一致，可以解除合同。</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2、有下列情形之一，合同一方可以解除合同：</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（1）因不可抗力致使不能实现合同目的，未受不可抗力影响的一方有权解除合同； </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（2）因一方违约导致合同不能履行，另一方有权解除合同。 </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（3）一方明确表示不履行或实质上已停止履行合同或发生丧失履约能力的情形时，另一方有权解除合同。</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3、政府采购合同继续履行将损害国家利益和社会公共利益，甲方有权变更、中止或者终止、解除合同。</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乙方提交的投标材料虚假，或者乙方故意隐瞒足以导致不能中标的事实被发现的，甲方可以单方解除本合同，由此造成甲方的损失由乙方承担赔偿（包括但不限于诉讼费、合理律师费等），且乙方无权要求返还履约保证金（如有）。</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5、本合同不得以任何形式转让，否则视为乙方违约，甲方可以单方解除本合同，由此造成甲方的损失由乙方承担赔偿（包括但不限于诉讼费、合理律师费等），且乙方无权要求返还履约保证金（如有）。</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6、本合同未经甲方书面同意不得分包，否则视为乙方违约，甲方可以单方解除本合同，由此造成甲方的损失由乙方承担赔偿（包括但不限于诉讼费、合理律师费等），且乙方无权要求返还履约保证金（如有）。</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7、有权解除合同的一方，应当在违约事实或不可抗力发生之后三十天内书面通知对方以主张解除合同，合同在书面通知到达对方时解除。</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十六、不可抗力：</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1、不可抗力指下列事件：战争、动乱、瘟疫、严重火灾、洪水、地震、风暴或其他自然灾害，以及本合同各方不可预见、不可防止并不能避免或克服的一切其他因素及事件。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任何一方因不可抗力不能履行本合同规定的全部或部分义务，该方应尽快通知另一方，并须在不可抗力发生后7日内以书面形式向另一方提供详细情况报告及不可抗力对履行本合同的影响程度的说明。就上述不可抗力的发生须由受到不可抗力影响的一方负责同时提供由公证机关做出的公证证明。</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合同一方因不可抗力不能履行本合同的，应当及时通知对方，以减轻可能给对方造成的损失，并应当在不可抗力发生之日起15日内提供权威部门出具的认定不可抗力的证明。</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4、合同各方应根据不可抗力对本合同履行的影响程度，协商确定是否终止本合同，或是继续履行本合同。</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十七、保密条款：</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1、任何一方对其获知的本合同及附件中其他各方的商业秘密和国家秘密等非公开信息负有保密义务。</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此外的其他情形下，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十八、联系方式：</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合同双方发出的与本合同有关的通知或回复均应发至本合同首部载明的通讯地址，一方变更通讯地址，应自变更之日起3个工作日内，将变更后的地址通知对方。变更方不履行通知义务的，应对此造成的一切后果承担法律责任。</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3、上述发出通知、回复的费用由发出一方承担。</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十九、争议的解决：</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与本合同有关的一切争议，双方应通过友好协商解决。如果经协商不能达成协议，可以向甲方所在地有管辖权的人民法院起诉。</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二十、合同生效及其他：</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1、本合同经甲乙双方签字盖章后生效。</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合同系指本文件及其附件中的所有部分，招标文件、乙方中标的投标文件、中标通知书、乙方在招标过程中的澄清和承诺等为本合同不可缺少的组成部分。本合同履行过程中发生相关修改内容，须符合《中华人民共和国政府采购法》和相关法律法规规定；补充协议作为本合同不可分割的一部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3、本合同壹式肆份，</w:t>
      </w:r>
      <w:r>
        <w:rPr>
          <w:rFonts w:hint="eastAsia" w:ascii="宋体" w:hAnsi="宋体" w:eastAsia="宋体" w:cs="宋体"/>
          <w:color w:val="auto"/>
          <w:sz w:val="24"/>
          <w:szCs w:val="24"/>
          <w:highlight w:val="none"/>
        </w:rPr>
        <w:t xml:space="preserve">甲方壹份，乙方壹份，采购代理机构贰份，</w:t>
      </w:r>
      <w:r>
        <w:rPr>
          <w:rFonts w:hint="eastAsia" w:ascii="宋体" w:hAnsi="宋体" w:eastAsia="宋体" w:cs="宋体"/>
          <w:bCs/>
          <w:color w:val="auto"/>
          <w:sz w:val="24"/>
          <w:szCs w:val="24"/>
          <w:highlight w:val="none"/>
        </w:rPr>
        <w:t xml:space="preserve">具有同等法律效力。</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4、本合同应按照中华人民共和国的现行法律进行解释。</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jc w:val="center"/>
        <w:spacing w:line="360" w:lineRule="auto"/>
        <w:rPr>
          <w:rFonts w:ascii="宋体" w:hAnsi="宋体" w:eastAsia="宋体" w:cs="宋体"/>
          <w:b/>
          <w:color w:val="auto"/>
          <w:sz w:val="24"/>
          <w:szCs w:val="24"/>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b/>
          <w:color w:val="auto"/>
          <w:sz w:val="24"/>
          <w:szCs w:val="24"/>
          <w:highlight w:val="none"/>
        </w:rPr>
        <w:t xml:space="preserve">   </w:t>
      </w:r>
      <w:r/>
    </w:p>
    <w:p>
      <w:pPr>
        <w:jc w:val="cente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第六章 评分方法和评分标准</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一、评分方法：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1、本次招标评标采用为综合评分法，即指投标文件满足招标文件全部实质性要求，且按照评审因素的量化指标评审得分最高的投标人为中标候选人的评标方法。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2、评标委员会各成员审查每份投标文件是否实质响应了招标文件的要求，非实质性响应的投标文件将被拒绝，也不进行评审。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3、评标委员会各成员独立对每个进入打分程序的有效投标人的标书技术部分以打分的形式进行评审和评价。对评委的评分进行统计汇总时算术平均计算得分（计算结果均四舍五入保留两位小数）。</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委评审得分和投标报价得分相加为投标人的评标总得分。如出现评标总得分最高的投标人有两个或两个以上的，以投标报价较低者优先作为中标候选人；如果投标报价也相同的，则由评标委员组织以抽签方式确定。</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二、评分标准：</w:t>
      </w:r>
      <w:r/>
    </w:p>
    <w:p>
      <w:pPr>
        <w:ind w:firstLine="480"/>
        <w:spacing w:line="360" w:lineRule="auto"/>
        <w:rPr>
          <w:rFonts w:ascii="宋体" w:hAnsi="宋体" w:eastAsia="宋体" w:cs="宋体"/>
          <w:color w:val="auto"/>
          <w:highlight w:val="none"/>
        </w:rPr>
      </w:pPr>
      <w:r>
        <w:rPr>
          <w:rFonts w:hint="eastAsia" w:ascii="宋体" w:hAnsi="宋体" w:eastAsia="宋体" w:cs="宋体"/>
          <w:color w:val="auto"/>
          <w:sz w:val="24"/>
          <w:szCs w:val="24"/>
          <w:highlight w:val="none"/>
        </w:rPr>
        <w:t xml:space="preserve">总分值为100分，评审因素及各比重如下：价格分值占总分值的比重为30％（权重），技术及其他分值占总分值的比重为70％（权重）。</w:t>
      </w:r>
      <w:r/>
    </w:p>
    <w:p>
      <w:pPr>
        <w:ind w:left="-20"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（一）价格分值：30分</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第一步：投标报价不高于采购预算及最高限价的为有效报价，超出此范围的投标报价为无效报价，其投标文件不予评审，也不得标。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第二步：以满足招标文件实质性要求且投标价格最低的投标有效报价为评标基准价，其价格分为满分，即3</w:t>
      </w:r>
      <w:r>
        <w:rPr>
          <w:rFonts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rPr>
        <w:t xml:space="preserve">分。其他有效投标报价得分统一按照下列公式计算：（计算结果均四舍五入保留两位小数）</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投标报价得分＝（基准报价/投标报价）×30％×100。</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（二）技术及其他分值：49分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1、对投标产品质量情况的评价（24分）：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针对采购内容清单中列出的参数及要求，提供投标产品技术指标对照表（投标人须并对照采购内容清单参数及要求逐条列出，在投标文件中对应列出全部投标产品的技术项，并注明“无偏离”或“负偏离”，不得遗漏）。本项最高15分，其中：</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①在</w:t>
      </w:r>
      <w:r>
        <w:rPr>
          <w:rFonts w:hint="eastAsia" w:ascii="宋体" w:hAnsi="宋体" w:eastAsia="宋体" w:cs="宋体"/>
          <w:color w:val="auto"/>
          <w:sz w:val="24"/>
          <w:szCs w:val="24"/>
          <w:highlight w:val="none"/>
        </w:rPr>
        <w:t xml:space="preserve">参数及要求</w:t>
      </w:r>
      <w:r>
        <w:rPr>
          <w:rFonts w:hint="eastAsia" w:ascii="宋体" w:hAnsi="宋体" w:eastAsia="宋体" w:cs="宋体"/>
          <w:color w:val="auto"/>
          <w:sz w:val="24"/>
          <w:szCs w:val="24"/>
          <w:highlight w:val="none"/>
          <w:lang w:bidi="ar"/>
        </w:rPr>
        <w:t xml:space="preserve">中</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bidi="ar"/>
        </w:rPr>
        <w:t xml:space="preserve">标</w:t>
      </w:r>
      <w:r>
        <w:rPr>
          <w:rFonts w:hint="eastAsia" w:ascii="宋体" w:hAnsi="宋体" w:eastAsia="宋体" w:cs="宋体"/>
          <w:color w:val="auto"/>
          <w:sz w:val="24"/>
          <w:szCs w:val="24"/>
          <w:highlight w:val="none"/>
        </w:rPr>
        <w:t xml:space="preserve">项为实质性响应要求，不得偏离。</w:t>
      </w:r>
      <w:r/>
    </w:p>
    <w:p>
      <w:pPr>
        <w:ind w:firstLine="480"/>
        <w:jc w:val="left"/>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bidi="ar"/>
        </w:rPr>
        <w:t xml:space="preserve">②在</w:t>
      </w:r>
      <w:r>
        <w:rPr>
          <w:rFonts w:hint="eastAsia" w:ascii="宋体" w:hAnsi="宋体" w:eastAsia="宋体" w:cs="宋体"/>
          <w:color w:val="auto"/>
          <w:sz w:val="24"/>
          <w:szCs w:val="24"/>
          <w:highlight w:val="none"/>
        </w:rPr>
        <w:t xml:space="preserve">参数及要求</w:t>
      </w:r>
      <w:r>
        <w:rPr>
          <w:rFonts w:hint="eastAsia" w:ascii="宋体" w:hAnsi="宋体" w:eastAsia="宋体" w:cs="宋体"/>
          <w:color w:val="auto"/>
          <w:sz w:val="24"/>
          <w:szCs w:val="24"/>
          <w:highlight w:val="none"/>
          <w:lang w:bidi="ar"/>
        </w:rPr>
        <w:t xml:space="preserve">中</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bidi="ar"/>
        </w:rPr>
        <w:t xml:space="preserve">标</w:t>
      </w:r>
      <w:r>
        <w:rPr>
          <w:rFonts w:hint="eastAsia" w:ascii="宋体" w:hAnsi="宋体" w:eastAsia="宋体" w:cs="宋体"/>
          <w:color w:val="auto"/>
          <w:sz w:val="24"/>
          <w:szCs w:val="24"/>
          <w:highlight w:val="none"/>
        </w:rPr>
        <w:t xml:space="preserve">项为重要技术指标，出现一个负偏离扣1分，扣完为止；其他技术指标出现负偏离每一个扣0.5分，扣完为止。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在本项目采购内容清单清单中打“▲”的技术参数需至少提供以下任意一种证明材料：A.具有检测检验资质机构出具的检测（检验）报告；B.所投产品功能界面截图或生产制造商官网截图（附网站查询网址）；C.所投产品彩页。以上证明材料需加盖投标人公章，</w:t>
      </w:r>
      <w:r>
        <w:rPr>
          <w:rFonts w:hint="eastAsia" w:ascii="宋体" w:hAnsi="宋体" w:eastAsia="宋体" w:cs="宋体"/>
          <w:color w:val="auto"/>
          <w:sz w:val="24"/>
          <w:szCs w:val="24"/>
          <w:highlight w:val="none"/>
        </w:rPr>
        <w:t xml:space="preserve">否则不予认可，对应项不得分。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（2）重点功能视频演示（9分）：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对</w:t>
      </w:r>
      <w:r>
        <w:rPr>
          <w:rFonts w:hint="eastAsia" w:ascii="宋体" w:hAnsi="宋体" w:eastAsia="宋体" w:cs="宋体"/>
          <w:color w:val="auto"/>
          <w:sz w:val="24"/>
          <w:szCs w:val="24"/>
          <w:highlight w:val="none"/>
        </w:rPr>
        <w:t xml:space="preserve">参数及要求</w:t>
      </w:r>
      <w:r>
        <w:rPr>
          <w:rFonts w:hint="eastAsia" w:ascii="宋体" w:hAnsi="宋体" w:eastAsia="宋体" w:cs="宋体"/>
          <w:color w:val="auto"/>
          <w:sz w:val="24"/>
          <w:szCs w:val="24"/>
          <w:highlight w:val="none"/>
          <w:lang w:bidi="ar"/>
        </w:rPr>
        <w:t xml:space="preserve">中</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bidi="ar"/>
        </w:rPr>
        <w:t xml:space="preserve">标</w:t>
      </w:r>
      <w:r>
        <w:rPr>
          <w:rFonts w:hint="eastAsia" w:ascii="宋体" w:hAnsi="宋体" w:eastAsia="宋体" w:cs="宋体"/>
          <w:color w:val="auto"/>
          <w:sz w:val="24"/>
          <w:szCs w:val="24"/>
          <w:highlight w:val="none"/>
        </w:rPr>
        <w:t xml:space="preserve">项进行视频演示，要求整体演示流程应流畅不卡顿，每提供一项得3分，未提供的不得分，本项最高9分。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数字高清智能球机声光警戒功能演示：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◆①支持配置人或车辆进入警戒区域后进行报警的功能；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◆②支持平台联动弹窗报警；</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◆③支持智能跟踪功能；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上述①-③项，每项功能演示完整、过程流畅的得3分，功能演示基本完整的得2分、过程不够流畅的得1分，未提供功能演示的不得分。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A.投标人根据招标文件要求进行演示，演示时间不超过5分钟，需在“苏采云”系统演示文件入口按系统要求上传演示文件。B、单个视频附件压缩包大小不得超过50M，整体附件压缩包不得超过300M，视频文件格式建议采用MP4、MKV、MOV、AVI格式。C.演示内容确保真实且作为项目履约验收的重要参考依据。因投标人上传文件本身损坏等自身原因导致演示资料无法正常读取的视为无效演示，本项不得分，由投标人自行承担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2、对项目实施组织设计的评价（25分）：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根据采购人性质、特点及项目建设要求，结合项目现场情况的了解分析，制定安防系统改造方案，须包括但不限于：①项目需求理解与分析；②组织管理方案；③进度规划方案；④质量保障措施；⑤安全保障措施。</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方案内容完整详实，需求理解精准、分析到位，组织管理健全，进度规划科学合理，质量安全保障有力，结合实际紧密、可行性强，得8分；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方案内容较为完整，需求理解及分析基本到位，组织管理较健全，进度规划较为合理，质量安全保障较有力，基本结合实际、具一定可行性的得5分；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方案内容简单笼统，需求理解不足，组织管理不健全，进度规划不合理，质量安全保障乏力，脱离实际、可行性弱的得2分；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本项最高8分，未提供内容或与实际不符的不得分。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根据本项目特点及使用单位现有系统实际情况，制定系统改造对接方案，须包括但不限于：①前端设备替换与现有安防管理平台对接的总体技术路线及实施流程；②各对接环节（设备替换接入、平台数据迁移、网络架构适配、系统联调测试等）的具体技术措施及操作要点（含协议兼容性处理、IP地址重规划、历史数据继承、多级平台级联等）；③改造对接过程中的实施技术措施（如不停运割接、多品牌异构系统融合、原有线路利旧与扩容等）及针对性风险应对与应急回退措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方案内容完整详实，技术路线科学合理，各环节对接措施先进可行且操作要点明确，实施技术措施具体详实，风险预案完善的得7分；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方案内容较为完整，技术路线较为合理，各环节对接措施基本可行且提及主要操作要点，实施技术措施较为具体，有一定风险应对措施的得4分；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方案内容简单笼统，技术路线不合理或模糊，对接措施落后或可行性弱，无实施技术措施，无风险预案的得1分；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本项最高7分，未提供内容或与本项目实际不符的不得分。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根据采购人单位性质（博物馆）及行业特点，制定实施方案和具体施工技术措施，须包括但不限于：①旧设备拆除与新品安装的总体施工工艺流程；②各子系统（视频监控、入侵报警、门禁控制等）的改造施工技术措施及操作要点（含管线敷设、设备安装、接线调试等）；③施工重点、难点分析及针对性应对措施。</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方案内容完整详实，施工工艺流程科学合理，各子系统改造技术措施先进可行，重点难点分析到位且应对措施有力，流程标准规范的得5分；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方案内容较为完整，施工工艺流程较为合理，各子系统改造技术措施基本可行，对重点难点有一定分析及应对措施，流程基本规范的得3分；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方案内容简单笼统，施工工艺流程不合理，各子系统改造技术措施落后或可行性弱，无重点难点分析及应对措施，流程规范性不足的得1分；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本项最高5分，未提供内容或与本项目实际不符的不得分。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根据本项目特点，制定质保期内的售后服务、响应能力和技术保障措施方案，须包括但不限于：①售后服务承诺（含质保期限、服务范围、响应时效标准等）；②售后服务方式（含远程技术支持、现场服务、定期巡检、故障解决措施等）；③售后服务机构及人员配置（含机构设置、专职服务人员配备及资质等）；④备品备件供应方案（含备件储备、供应渠道、更换响应时效等）；⑤培训方案（培训目标、培训对象、培训内容、培训课时）。</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方案内容完整详实，售后承诺全面具体、响应时效明确，服务方式多样高效，机构设置合理、人员配备充足且资质优良，备品备件储备充足、供应及时，培训方案系统详尽、针对性强，流程标准规范的得5分；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方案内容较为完整，售后承诺较为具体，服务方式较为合理，机构及人员基本满足需求，备品备件供应较为及时，培训方案较为系统、有一定针对性，流程基本规范的得3分；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方案内容简单笼统，售后承诺空泛，服务方式单一，机构及人员配置不足，备品备件供应无保障，培训方案简单或缺项，流程规范性不足的得1分；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本项最高5分，未提供内容或与实际不符的不得分。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3、对项目人员配备的评价（10分）：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（1）项目经理具备：电子信息工程相关专业高级工程师职称证书的得2分；注册信息安全工程师证书得1分。本项最高3分。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（2）技术负责人具备：电子信息工程相关专业工程师职称证书的得1分；注册信息安全工程师证书的得1分；IT服务项目经理证书的得1分。本项最高3分。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（3）项目配备人员（除项目经理、技术负责人外）中具备电子信息工程相关专业中级及以上工程师职称证书的，每提供1人得1分，本项最高4分。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注：上述（1）至（3）项须在投标文件中同时提供上述人员有效期内的相关证书及由投标人为上述人员缴纳的最近一个月的社保缴费证明（须由社保部门出具并体现人员姓名）复印件，否则对应内容不得分。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4、对投标人综合情况的评价（11分）：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具备在有效期内的：质量管理体系认证证书的得1分；环境管理体系认证证书的得1分；职业健康安全管理体系认证证书的得1分；信息安全管理体系认证证书的得1分；信息技术服务管理体系认证证书的得1分。本项最高5分，上述证书覆盖范围应与本项目相关。投标文件中必须提供证书复印件及中国国家认证认可监督管理委员会网站查询页面完整截图，缺一不可，否则对应内容不得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（2）提供自2023年1月1日至今（以合同签订日期为准）由投标人独立承担的类似项目业绩资料，须同时提供对应业绩完整合同及任意一期发票复印件，每份2分，最高6分。</w:t>
      </w:r>
      <w:r/>
    </w:p>
    <w:p>
      <w:pPr>
        <w:ind w:firstLine="480"/>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评审说明：其他评审未尽事宜由评审委员会根据有关规定讨论决定。</w:t>
      </w:r>
      <w:r/>
    </w:p>
    <w:p>
      <w:pPr>
        <w:ind w:firstLine="482"/>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482"/>
        <w:spacing w:line="360" w:lineRule="auto"/>
        <w:rPr>
          <w:rFonts w:ascii="宋体" w:hAnsi="宋体" w:eastAsia="宋体" w:cs="宋体"/>
          <w:bCs/>
          <w:color w:val="auto"/>
          <w:sz w:val="24"/>
          <w:highlight w:val="none"/>
        </w:rPr>
      </w:pPr>
      <w:r>
        <w:rPr>
          <w:rFonts w:hint="eastAsia" w:ascii="宋体" w:hAnsi="宋体" w:eastAsia="宋体" w:cs="宋体"/>
          <w:b/>
          <w:color w:val="auto"/>
          <w:sz w:val="24"/>
          <w:szCs w:val="24"/>
          <w:highlight w:val="none"/>
        </w:rPr>
        <w:t xml:space="preserve">三、政府采购政策：</w:t>
      </w:r>
      <w:r/>
    </w:p>
    <w:p>
      <w:pPr>
        <w:ind w:firstLine="480"/>
        <w:spacing w:line="360" w:lineRule="auto"/>
        <w:tabs>
          <w:tab w:val="left" w:pos="287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1、针对中小型企业的评审加分：</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（1）本项目不专门面向中小企业采购。</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（3）本项目采购标的对应的中小企业划型标准规定所属行业为：</w:t>
      </w:r>
      <w:r>
        <w:rPr>
          <w:rFonts w:hint="eastAsia" w:ascii="宋体" w:hAnsi="宋体" w:eastAsia="宋体" w:cs="宋体"/>
          <w:b/>
          <w:bCs/>
          <w:color w:val="auto"/>
          <w:sz w:val="24"/>
          <w:szCs w:val="24"/>
          <w:highlight w:val="none"/>
        </w:rPr>
        <w:t xml:space="preserve">工业</w:t>
      </w:r>
      <w:r>
        <w:rPr>
          <w:rFonts w:hint="eastAsia" w:ascii="宋体" w:hAnsi="宋体" w:eastAsia="宋体" w:cs="宋体"/>
          <w:b/>
          <w:bCs/>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（4）中小企业参加政府采购活动，应当出具《政府采购促进中小企业发展管理办法》附件规定《中小企业声明函》，</w:t>
      </w:r>
      <w:r>
        <w:rPr>
          <w:rFonts w:hint="eastAsia" w:ascii="宋体" w:hAnsi="宋体" w:eastAsia="宋体" w:cs="宋体"/>
          <w:color w:val="auto"/>
          <w:sz w:val="24"/>
          <w:szCs w:val="24"/>
          <w:highlight w:val="none"/>
        </w:rPr>
        <w:t xml:space="preserve">对其报价给予20％的扣除，</w:t>
      </w:r>
      <w:r>
        <w:rPr>
          <w:rFonts w:hint="eastAsia" w:ascii="宋体" w:hAnsi="宋体" w:eastAsia="宋体" w:cs="宋体"/>
          <w:color w:val="auto"/>
          <w:sz w:val="24"/>
          <w:szCs w:val="24"/>
          <w:highlight w:val="none"/>
        </w:rPr>
        <w:t xml:space="preserve">扣除后的价格参与价格评审</w:t>
      </w:r>
      <w:r>
        <w:rPr>
          <w:rFonts w:hint="eastAsia" w:ascii="宋体" w:hAnsi="宋体" w:eastAsia="宋体" w:cs="宋体"/>
          <w:color w:val="auto"/>
          <w:sz w:val="24"/>
          <w:szCs w:val="24"/>
          <w:highlight w:val="none"/>
        </w:rPr>
        <w:t xml:space="preserve">。</w:t>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否则不得享受相关中小企业扶持政策。</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在货物采购项目中，供应商提供的货物既有中小企业制造货物，也有大型企业制造货物的，不享受《政府采购促进中小企业发展管理办法》规定的中小企业扶持政策。若供应商提供的《中小企业声明函》为虚假声明则视同提供虚假材料，按政府采购相关规定处理并报请政府监管部门给予行政处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未按本项目采购标的对应的中小企业划型标准规定所属行业承诺的《中小企业声明函》为无效《中小企业声明函》。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3、针对监狱企业的评审加分：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根据财政部、司法部《关于政府采购支持监狱企业发展有关问题的通知》（财库〔2014〕68号）的规定，对属于监狱企业的供应商给予评审加分：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对其报价给予20％的扣除，</w:t>
      </w:r>
      <w:r>
        <w:rPr>
          <w:rFonts w:hint="eastAsia" w:ascii="宋体" w:hAnsi="宋体" w:eastAsia="宋体" w:cs="宋体"/>
          <w:color w:val="auto"/>
          <w:sz w:val="24"/>
          <w:szCs w:val="24"/>
          <w:highlight w:val="none"/>
        </w:rPr>
        <w:t xml:space="preserve">扣除后的价格参与价格评审</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4、针对残疾人福利性单位的评审加分：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根据财政部、民政部、中国残疾人联合会《关于促进残疾人就业政府采购政策的通知》（财库〔2017〕141号）</w:t>
      </w:r>
      <w:r>
        <w:rPr>
          <w:rFonts w:hint="eastAsia" w:ascii="宋体" w:hAnsi="宋体" w:eastAsia="宋体" w:cs="宋体"/>
          <w:bCs/>
          <w:color w:val="auto"/>
          <w:sz w:val="24"/>
          <w:szCs w:val="24"/>
          <w:highlight w:val="none"/>
        </w:rPr>
        <w:t xml:space="preserve">的规定</w:t>
      </w:r>
      <w:r>
        <w:rPr>
          <w:rFonts w:hint="eastAsia" w:ascii="宋体" w:hAnsi="宋体" w:eastAsia="宋体" w:cs="宋体"/>
          <w:color w:val="auto"/>
          <w:sz w:val="24"/>
          <w:szCs w:val="24"/>
          <w:highlight w:val="none"/>
        </w:rPr>
        <w:t xml:space="preserve">，对属于残疾人福利性单位的供应商给予评审加分：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根据供应商提供的《残疾人福利性单位声明函》对其报价给予20％的扣除，扣除后的价格参与价格评审。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（1）供应商对上述声明的真实性负责，若供应商提供的《残疾人福利性单位声明函》与事实不符的，依照《政府采购法》第七十七条第一款的规定追究法律责任。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（2）供应商为残疾人福利性单位的，采购代理机构将随中标结果同时公告其《残疾人福利性单位声明函》，接受社会监督。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5、上述针对中小型企业、监狱企业和残疾人福利性单位的评审加分政策不重复享受。</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6、实施本国产品标准及相关政策：</w:t>
      </w:r>
      <w:r/>
    </w:p>
    <w:p>
      <w:pPr>
        <w:ind w:firstLine="422"/>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rPr>
        <w:t xml:space="preserve">根据《国务院办公厅关于在政府采购中实施本国产品标准及相关政策的通知》（国办发（2025）34号）的规定，本项目对采购本国产品给予政策支持。</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（4）本项目政府采购活动中既有本国产品又有非本国产品参与竞争的，依法对本国产品给予价格评审优惠，对本国产品的报价给予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auto"/>
          <w:sz w:val="24"/>
          <w:szCs w:val="24"/>
          <w:highlight w:val="none"/>
          <w:u w:val="single"/>
        </w:rPr>
        <w:t xml:space="preserve">80％</w:t>
      </w:r>
      <w:r>
        <w:rPr>
          <w:rFonts w:hint="eastAsia" w:ascii="宋体" w:hAnsi="宋体" w:eastAsia="宋体" w:cs="宋体"/>
          <w:color w:val="auto"/>
          <w:sz w:val="24"/>
          <w:szCs w:val="24"/>
          <w:highlight w:val="none"/>
        </w:rPr>
        <w:t xml:space="preserve">以上时（供应商需在“第三章 投标文件格式”的“公开分项报价表”中填写比例数值），依法对该供应商提供的全部产品给予价格评审优惠，即对该供应商提供的全部产品的总报价给予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w:t>
      </w:r>
      <w:r>
        <w:rPr>
          <w:rFonts w:hint="eastAsia" w:ascii="宋体" w:hAnsi="宋体" w:eastAsia="宋体" w:cs="宋体"/>
          <w:b/>
          <w:bCs/>
          <w:color w:val="auto"/>
          <w:sz w:val="24"/>
          <w:szCs w:val="24"/>
          <w:highlight w:val="none"/>
        </w:rPr>
        <w:t xml:space="preserve">供应商未填写比例数值，或比例数值未达到</w:t>
      </w:r>
      <w:r>
        <w:rPr>
          <w:rFonts w:hint="eastAsia" w:ascii="宋体" w:hAnsi="宋体" w:eastAsia="宋体" w:cs="宋体"/>
          <w:b/>
          <w:bCs/>
          <w:color w:val="auto"/>
          <w:sz w:val="24"/>
          <w:szCs w:val="24"/>
          <w:highlight w:val="none"/>
          <w:u w:val="single"/>
        </w:rPr>
        <w:t xml:space="preserve">80％</w:t>
      </w:r>
      <w:r>
        <w:rPr>
          <w:rFonts w:hint="eastAsia" w:ascii="宋体" w:hAnsi="宋体" w:eastAsia="宋体" w:cs="宋体"/>
          <w:b/>
          <w:bCs/>
          <w:color w:val="auto"/>
          <w:sz w:val="24"/>
          <w:szCs w:val="24"/>
          <w:highlight w:val="none"/>
        </w:rPr>
        <w:t xml:space="preserve">的，</w:t>
      </w:r>
      <w:r>
        <w:rPr>
          <w:rFonts w:hint="eastAsia" w:ascii="宋体" w:hAnsi="宋体" w:eastAsia="宋体" w:cs="宋体"/>
          <w:b/>
          <w:color w:val="auto"/>
          <w:sz w:val="24"/>
          <w:szCs w:val="24"/>
          <w:highlight w:val="none"/>
        </w:rPr>
        <w:t xml:space="preserve">将不享受本国产品价格评审优惠。</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（5）供应商需按照采购文件的要求提供《关于符合本国产品标准的声明函》（以下简称《声明函》）或财政部会同有关部门规定的有关证明文件的，</w:t>
      </w:r>
      <w:r>
        <w:rPr>
          <w:rFonts w:hint="eastAsia" w:ascii="宋体" w:hAnsi="宋体" w:eastAsia="宋体" w:cs="宋体"/>
          <w:b/>
          <w:color w:val="auto"/>
          <w:sz w:val="24"/>
          <w:szCs w:val="24"/>
          <w:highlight w:val="none"/>
        </w:rPr>
        <w:t xml:space="preserve">如不提供或提供不符要求的将不享受本国产品价格评审优惠。</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（6）供应商需在《声明函》中逐一、准确填写产品名称、厂名、生产厂址三项信息（《声明函》中用斜线划除的地方无需填写），</w:t>
      </w:r>
      <w:r>
        <w:rPr>
          <w:rFonts w:hint="eastAsia" w:ascii="宋体" w:hAnsi="宋体" w:eastAsia="宋体" w:cs="宋体"/>
          <w:b/>
          <w:color w:val="auto"/>
          <w:sz w:val="24"/>
          <w:szCs w:val="24"/>
          <w:highlight w:val="none"/>
        </w:rPr>
        <w:t xml:space="preserve">三项信息中任意一项未填写的视为该项产品不符合本国产品标准，不享受本国产品价格评审优惠。</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采购文件规定的，</w:t>
      </w:r>
      <w:r>
        <w:rPr>
          <w:rFonts w:hint="eastAsia" w:ascii="宋体" w:hAnsi="宋体" w:eastAsia="宋体" w:cs="宋体"/>
          <w:b/>
          <w:color w:val="auto"/>
          <w:sz w:val="24"/>
          <w:szCs w:val="24"/>
          <w:highlight w:val="none"/>
        </w:rPr>
        <w:t xml:space="preserve">供应商提供的相关产品视为不符合本国产品标准。</w:t>
      </w:r>
      <w:r/>
    </w:p>
    <w:p>
      <w:pPr>
        <w:ind w:firstLine="482"/>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right"/>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（全文完）</w:t>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方正魏碑_GBK">
    <w:panose1 w:val="020B0503020202020204"/>
  </w:font>
  <w:font w:name="等线">
    <w:panose1 w:val="02010600030101010101"/>
  </w:font>
  <w:font w:name="仿宋">
    <w:panose1 w:val="02010609060101010101"/>
  </w:font>
  <w:font w:name="Courier New">
    <w:panose1 w:val="02070309020205020404"/>
  </w:font>
  <w:font w:name="Symbol">
    <w:panose1 w:val="05050102010706020507"/>
  </w:font>
  <w:font w:name="方正仿宋简体">
    <w:panose1 w:val="020B0503020202020204"/>
  </w:font>
  <w:font w:name="Tahoma">
    <w:panose1 w:val="020B0604030504040204"/>
  </w:font>
  <w:font w:name="Calibri">
    <w:panose1 w:val="020F0502020204030204"/>
  </w:font>
  <w:font w:name="仿宋_GB2312">
    <w:panose1 w:val="02010609060101010101"/>
  </w:font>
  <w:font w:name="黑体">
    <w:panose1 w:val="02010609060101010101"/>
  </w:font>
  <w:font w:name="Cambria">
    <w:panose1 w:val="02040503050406030204"/>
  </w:font>
  <w:font w:name="楷体_GB2312">
    <w:panose1 w:val="02010609060101010101"/>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ind w:right="360" w:firstLine="342"/>
    </w:pPr>
    <w:r>
      <w:rPr>
        <w:rFonts w:hint="eastAsia"/>
      </w:rPr>
      <w:t xml:space="preserve">苏州正杰招投标咨询服务有限公司</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Style w:val="963"/>
      </w:rPr>
      <w:framePr w:wrap="around" w:vAnchor="text" w:hAnchor="margin" w:xAlign="right" w:y="1"/>
    </w:pPr>
    <w:r>
      <w:fldChar w:fldCharType="begin"/>
    </w:r>
    <w:r>
      <w:rPr>
        <w:rStyle w:val="963"/>
      </w:rPr>
      <w:instrText xml:space="preserve">PAGE  </w:instrText>
    </w:r>
    <w:r>
      <w:fldChar w:fldCharType="end"/>
    </w:r>
    <w:r/>
  </w:p>
  <w:p>
    <w:pPr>
      <w:pStyle w:val="939"/>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ind w:right="360" w:firstLine="342"/>
    </w:pPr>
    <w:r>
      <w:rPr>
        <w:rFonts w:hint="eastAsia"/>
      </w:rPr>
      <w:t xml:space="preserve">苏州正杰招投标咨询服务有限公司</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a:effectLst/>
                    </wps:spPr>
                    <wps:txbx>
                      <w:txbxContent>
                        <w:p>
                          <w:pPr>
                            <w:pStyle w:val="939"/>
                          </w:pPr>
                          <w:r>
                            <w:fldChar w:fldCharType="begin"/>
                          </w:r>
                          <w:r>
                            <w:instrText xml:space="preserve"> PAGE  \* MERGEFORMAT </w:instrText>
                          </w:r>
                          <w:r>
                            <w:fldChar w:fldCharType="separate"/>
                          </w:r>
                          <w:r>
                            <w:t xml:space="preserve">63</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39"/>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ind w:right="360"/>
      <w:rPr>
        <w:rFonts w:ascii="宋体" w:hAnsi="宋体" w:eastAsia="宋体" w:cs="宋体"/>
      </w:rPr>
    </w:pPr>
    <w:r>
      <w:rPr>
        <w:rFonts w:hint="eastAsia" w:ascii="宋体" w:hAnsi="宋体" w:eastAsia="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9"/>
                            <w:rPr>
                              <w:rFonts w:ascii="宋体" w:hAnsi="宋体" w:eastAsia="宋体" w:cs="宋体"/>
                              <w:sz w:val="21"/>
                              <w:szCs w:val="21"/>
                            </w:rPr>
                          </w:pPr>
                          <w:r>
                            <w:rPr>
                              <w:rFonts w:hint="eastAsia" w:ascii="宋体" w:hAnsi="宋体" w:eastAsia="宋体" w:cs="宋体"/>
                              <w:sz w:val="21"/>
                              <w:szCs w:val="21"/>
                            </w:rPr>
                            <w:t xml:space="preserve">第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9"/>
                      <w:rPr>
                        <w:rFonts w:ascii="宋体" w:hAnsi="宋体" w:eastAsia="宋体" w:cs="宋体"/>
                        <w:sz w:val="21"/>
                        <w:szCs w:val="21"/>
                      </w:rPr>
                    </w:pPr>
                    <w:r>
                      <w:rPr>
                        <w:rFonts w:hint="eastAsia" w:ascii="宋体" w:hAnsi="宋体" w:eastAsia="宋体" w:cs="宋体"/>
                        <w:sz w:val="21"/>
                        <w:szCs w:val="21"/>
                      </w:rPr>
                      <w:t xml:space="preserve">第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rPr>
                      <w:t xml:space="preserve"> 页</w:t>
                    </w:r>
                    <w:r/>
                  </w:p>
                </w:txbxContent>
              </v:textbox>
            </v:shape>
          </w:pict>
        </mc:Fallback>
      </mc:AlternateContent>
    </w:r>
    <w:r>
      <w:rPr>
        <w:rFonts w:hint="eastAsia" w:ascii="宋体" w:hAnsi="宋体" w:eastAsia="宋体" w:cs="宋体"/>
      </w:rPr>
      <w:t xml:space="preserve">苏州正杰招投标咨询服务有限公司</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both"/>
      <w:rPr>
        <w:rFonts w:ascii="宋体" w:hAnsi="宋体" w:eastAsia="宋体" w:cs="宋体"/>
        <w:sz w:val="21"/>
        <w:szCs w:val="21"/>
      </w:rPr>
    </w:pPr>
    <w:r>
      <w:rPr>
        <w:rFonts w:hint="eastAsia" w:ascii="宋体" w:hAnsi="宋体" w:eastAsia="宋体" w:cs="宋体"/>
        <w:sz w:val="21"/>
        <w:szCs w:val="21"/>
      </w:rPr>
      <w:t xml:space="preserve">政府采购招标文件                                      项目编号：JSZC-320500-SZZJ-G2026-0028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1277" w:hanging="567"/>
      </w:pPr>
    </w:lvl>
    <w:lvl w:ilvl="2">
      <w:start w:val="1"/>
      <w:numFmt w:val="decimal"/>
      <w:isLgl w:val="false"/>
      <w:suff w:val="tab"/>
      <w:lvlText w:val="%1.%2.%3"/>
      <w:lvlJc w:val="left"/>
      <w:pPr>
        <w:ind w:left="992"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
    <w:multiLevelType w:val="hybridMultilevel"/>
    <w:lvl w:ilvl="0">
      <w:start w:val="1"/>
      <w:numFmt w:val="decimal"/>
      <w:pStyle w:val="989"/>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pStyle w:val="912"/>
      <w:isLgl w:val="false"/>
      <w:suff w:val="tab"/>
      <w:lvlText w:val="%1.%2.%3.%4.%5"/>
      <w:lvlJc w:val="left"/>
      <w:pPr>
        <w:ind w:left="1008" w:hanging="1008"/>
        <w:tabs>
          <w:tab w:val="left" w:pos="1008" w:leader="none"/>
        </w:tabs>
      </w:pPr>
    </w:lvl>
    <w:lvl w:ilvl="5">
      <w:start w:val="1"/>
      <w:numFmt w:val="decimal"/>
      <w:pStyle w:val="913"/>
      <w:isLgl w:val="false"/>
      <w:suff w:val="tab"/>
      <w:lvlText w:val="%1.%2.%3.%4.%5.%6"/>
      <w:lvlJc w:val="left"/>
      <w:pPr>
        <w:ind w:left="1152" w:hanging="1152"/>
        <w:tabs>
          <w:tab w:val="left" w:pos="1152" w:leader="none"/>
        </w:tabs>
      </w:pPr>
    </w:lvl>
    <w:lvl w:ilvl="6">
      <w:start w:val="1"/>
      <w:numFmt w:val="decimal"/>
      <w:pStyle w:val="914"/>
      <w:isLgl w:val="false"/>
      <w:suff w:val="tab"/>
      <w:lvlText w:val="%1.%2.%3.%4.%5.%6.%7"/>
      <w:lvlJc w:val="left"/>
      <w:pPr>
        <w:ind w:left="1296" w:hanging="1296"/>
        <w:tabs>
          <w:tab w:val="left" w:pos="1296" w:leader="none"/>
        </w:tabs>
      </w:pPr>
    </w:lvl>
    <w:lvl w:ilvl="7">
      <w:start w:val="1"/>
      <w:numFmt w:val="decimal"/>
      <w:pStyle w:val="915"/>
      <w:isLgl w:val="false"/>
      <w:suff w:val="tab"/>
      <w:lvlText w:val="%1.%2.%3.%4.%5.%6.%7.%8"/>
      <w:lvlJc w:val="left"/>
      <w:pPr>
        <w:ind w:left="1440" w:hanging="1440"/>
        <w:tabs>
          <w:tab w:val="left" w:pos="1440" w:leader="none"/>
        </w:tabs>
      </w:pPr>
    </w:lvl>
    <w:lvl w:ilvl="8">
      <w:start w:val="1"/>
      <w:numFmt w:val="decimal"/>
      <w:pStyle w:val="916"/>
      <w:isLgl w:val="false"/>
      <w:suff w:val="tab"/>
      <w:lvlText w:val="%1.%2.%3.%4.%5.%6.%7.%8.%9"/>
      <w:lvlJc w:val="left"/>
      <w:pPr>
        <w:ind w:left="1584" w:hanging="1584"/>
        <w:tabs>
          <w:tab w:val="left" w:pos="1584"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6">
    <w:name w:val="Heading 1 Char"/>
    <w:basedOn w:val="917"/>
    <w:link w:val="908"/>
    <w:uiPriority w:val="9"/>
    <w:rPr>
      <w:rFonts w:ascii="Arial" w:hAnsi="Arial" w:eastAsia="Arial" w:cs="Arial"/>
      <w:sz w:val="40"/>
      <w:szCs w:val="40"/>
    </w:rPr>
  </w:style>
  <w:style w:type="character" w:styleId="757">
    <w:name w:val="Heading 2 Char"/>
    <w:basedOn w:val="917"/>
    <w:link w:val="909"/>
    <w:uiPriority w:val="9"/>
    <w:rPr>
      <w:rFonts w:ascii="Arial" w:hAnsi="Arial" w:eastAsia="Arial" w:cs="Arial"/>
      <w:sz w:val="34"/>
    </w:rPr>
  </w:style>
  <w:style w:type="character" w:styleId="758">
    <w:name w:val="Heading 3 Char"/>
    <w:basedOn w:val="917"/>
    <w:link w:val="910"/>
    <w:uiPriority w:val="9"/>
    <w:rPr>
      <w:rFonts w:ascii="Arial" w:hAnsi="Arial" w:eastAsia="Arial" w:cs="Arial"/>
      <w:sz w:val="30"/>
      <w:szCs w:val="30"/>
    </w:rPr>
  </w:style>
  <w:style w:type="character" w:styleId="759">
    <w:name w:val="Heading 4 Char"/>
    <w:basedOn w:val="917"/>
    <w:link w:val="911"/>
    <w:uiPriority w:val="9"/>
    <w:rPr>
      <w:rFonts w:ascii="Arial" w:hAnsi="Arial" w:eastAsia="Arial" w:cs="Arial"/>
      <w:b/>
      <w:bCs/>
      <w:sz w:val="26"/>
      <w:szCs w:val="26"/>
    </w:rPr>
  </w:style>
  <w:style w:type="character" w:styleId="760">
    <w:name w:val="Heading 5 Char"/>
    <w:basedOn w:val="917"/>
    <w:link w:val="912"/>
    <w:uiPriority w:val="9"/>
    <w:rPr>
      <w:rFonts w:ascii="Arial" w:hAnsi="Arial" w:eastAsia="Arial" w:cs="Arial"/>
      <w:b/>
      <w:bCs/>
      <w:sz w:val="24"/>
      <w:szCs w:val="24"/>
    </w:rPr>
  </w:style>
  <w:style w:type="character" w:styleId="761">
    <w:name w:val="Heading 6 Char"/>
    <w:basedOn w:val="917"/>
    <w:link w:val="913"/>
    <w:uiPriority w:val="9"/>
    <w:rPr>
      <w:rFonts w:ascii="Arial" w:hAnsi="Arial" w:eastAsia="Arial" w:cs="Arial"/>
      <w:b/>
      <w:bCs/>
      <w:sz w:val="22"/>
      <w:szCs w:val="22"/>
    </w:rPr>
  </w:style>
  <w:style w:type="character" w:styleId="762">
    <w:name w:val="Heading 7 Char"/>
    <w:basedOn w:val="917"/>
    <w:link w:val="914"/>
    <w:uiPriority w:val="9"/>
    <w:rPr>
      <w:rFonts w:ascii="Arial" w:hAnsi="Arial" w:eastAsia="Arial" w:cs="Arial"/>
      <w:b/>
      <w:bCs/>
      <w:i/>
      <w:iCs/>
      <w:sz w:val="22"/>
      <w:szCs w:val="22"/>
    </w:rPr>
  </w:style>
  <w:style w:type="character" w:styleId="763">
    <w:name w:val="Heading 8 Char"/>
    <w:basedOn w:val="917"/>
    <w:link w:val="915"/>
    <w:uiPriority w:val="9"/>
    <w:rPr>
      <w:rFonts w:ascii="Arial" w:hAnsi="Arial" w:eastAsia="Arial" w:cs="Arial"/>
      <w:i/>
      <w:iCs/>
      <w:sz w:val="22"/>
      <w:szCs w:val="22"/>
    </w:rPr>
  </w:style>
  <w:style w:type="character" w:styleId="764">
    <w:name w:val="Heading 9 Char"/>
    <w:basedOn w:val="917"/>
    <w:link w:val="916"/>
    <w:uiPriority w:val="9"/>
    <w:rPr>
      <w:rFonts w:ascii="Arial" w:hAnsi="Arial" w:eastAsia="Arial" w:cs="Arial"/>
      <w:i/>
      <w:iCs/>
      <w:sz w:val="21"/>
      <w:szCs w:val="21"/>
    </w:rPr>
  </w:style>
  <w:style w:type="paragraph" w:styleId="765">
    <w:name w:val="No Spacing"/>
    <w:uiPriority w:val="1"/>
    <w:qFormat/>
    <w:pPr>
      <w:spacing w:before="0" w:after="0" w:line="240" w:lineRule="auto"/>
    </w:pPr>
  </w:style>
  <w:style w:type="character" w:styleId="766">
    <w:name w:val="Title Char"/>
    <w:basedOn w:val="917"/>
    <w:link w:val="957"/>
    <w:uiPriority w:val="10"/>
    <w:rPr>
      <w:sz w:val="48"/>
      <w:szCs w:val="48"/>
    </w:rPr>
  </w:style>
  <w:style w:type="paragraph" w:styleId="767">
    <w:name w:val="Subtitle"/>
    <w:basedOn w:val="907"/>
    <w:next w:val="907"/>
    <w:link w:val="768"/>
    <w:uiPriority w:val="11"/>
    <w:qFormat/>
    <w:pPr>
      <w:spacing w:before="200" w:after="200"/>
    </w:pPr>
    <w:rPr>
      <w:sz w:val="24"/>
      <w:szCs w:val="24"/>
    </w:rPr>
  </w:style>
  <w:style w:type="character" w:styleId="768">
    <w:name w:val="Subtitle Char"/>
    <w:basedOn w:val="917"/>
    <w:link w:val="767"/>
    <w:uiPriority w:val="11"/>
    <w:rPr>
      <w:sz w:val="24"/>
      <w:szCs w:val="24"/>
    </w:rPr>
  </w:style>
  <w:style w:type="paragraph" w:styleId="769">
    <w:name w:val="Quote"/>
    <w:basedOn w:val="907"/>
    <w:next w:val="907"/>
    <w:link w:val="770"/>
    <w:uiPriority w:val="29"/>
    <w:qFormat/>
    <w:pPr>
      <w:ind w:left="720" w:right="720"/>
    </w:pPr>
    <w:rPr>
      <w:i/>
    </w:rPr>
  </w:style>
  <w:style w:type="character" w:styleId="770">
    <w:name w:val="Quote Char"/>
    <w:link w:val="769"/>
    <w:uiPriority w:val="29"/>
    <w:rPr>
      <w:i/>
    </w:rPr>
  </w:style>
  <w:style w:type="paragraph" w:styleId="771">
    <w:name w:val="Intense Quote"/>
    <w:basedOn w:val="907"/>
    <w:next w:val="907"/>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name w:val="Intense Quote Char"/>
    <w:link w:val="771"/>
    <w:uiPriority w:val="30"/>
    <w:rPr>
      <w:i/>
    </w:rPr>
  </w:style>
  <w:style w:type="character" w:styleId="773">
    <w:name w:val="Header Char"/>
    <w:basedOn w:val="917"/>
    <w:link w:val="941"/>
    <w:uiPriority w:val="99"/>
  </w:style>
  <w:style w:type="character" w:styleId="774">
    <w:name w:val="Footer Char"/>
    <w:basedOn w:val="917"/>
    <w:link w:val="939"/>
    <w:uiPriority w:val="99"/>
  </w:style>
  <w:style w:type="paragraph" w:styleId="775">
    <w:name w:val="Caption"/>
    <w:basedOn w:val="907"/>
    <w:next w:val="907"/>
    <w:uiPriority w:val="35"/>
    <w:semiHidden/>
    <w:unhideWhenUsed/>
    <w:qFormat/>
    <w:pPr>
      <w:spacing w:line="276" w:lineRule="auto"/>
    </w:pPr>
    <w:rPr>
      <w:b/>
      <w:bCs/>
      <w:color w:val="4f81bd" w:themeColor="accent1"/>
      <w:sz w:val="18"/>
      <w:szCs w:val="18"/>
    </w:rPr>
  </w:style>
  <w:style w:type="character" w:styleId="776">
    <w:name w:val="Caption Char"/>
    <w:basedOn w:val="775"/>
    <w:link w:val="939"/>
    <w:uiPriority w:val="99"/>
  </w:style>
  <w:style w:type="table" w:styleId="777">
    <w:name w:val="Table Grid Light"/>
    <w:basedOn w:val="9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8">
    <w:name w:val="Plain Table 1"/>
    <w:basedOn w:val="9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2"/>
    <w:basedOn w:val="9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3"/>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name w:val="Plain Table 4"/>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name w:val="Plain Table 5"/>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3">
    <w:name w:val="Grid Table 1 Light"/>
    <w:basedOn w:val="9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4">
    <w:name w:val="Grid Table 1 Light - Accent 1"/>
    <w:basedOn w:val="9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5">
    <w:name w:val="Grid Table 1 Light - Accent 2"/>
    <w:basedOn w:val="9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6">
    <w:name w:val="Grid Table 1 Light - Accent 3"/>
    <w:basedOn w:val="9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7">
    <w:name w:val="Grid Table 1 Light - Accent 4"/>
    <w:basedOn w:val="9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8">
    <w:name w:val="Grid Table 1 Light - Accent 5"/>
    <w:basedOn w:val="9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9">
    <w:name w:val="Grid Table 1 Light - Accent 6"/>
    <w:basedOn w:val="9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0">
    <w:name w:val="Grid Table 2"/>
    <w:basedOn w:val="9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1">
    <w:name w:val="Grid Table 2 - Accent 1"/>
    <w:basedOn w:val="9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2">
    <w:name w:val="Grid Table 2 - Accent 2"/>
    <w:basedOn w:val="9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2 - Accent 3"/>
    <w:basedOn w:val="9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2 - Accent 4"/>
    <w:basedOn w:val="9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2 - Accent 5"/>
    <w:basedOn w:val="9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6">
    <w:name w:val="Grid Table 2 - Accent 6"/>
    <w:basedOn w:val="9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7">
    <w:name w:val="Grid Table 3"/>
    <w:basedOn w:val="9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1"/>
    <w:basedOn w:val="9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2"/>
    <w:basedOn w:val="9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3"/>
    <w:basedOn w:val="9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4"/>
    <w:basedOn w:val="9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5"/>
    <w:basedOn w:val="9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6"/>
    <w:basedOn w:val="9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4"/>
    <w:basedOn w:val="9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name w:val="Grid Table 4 - Accent 1"/>
    <w:basedOn w:val="91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6">
    <w:name w:val="Grid Table 4 - Accent 2"/>
    <w:basedOn w:val="91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7">
    <w:name w:val="Grid Table 4 - Accent 3"/>
    <w:basedOn w:val="91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8">
    <w:name w:val="Grid Table 4 - Accent 4"/>
    <w:basedOn w:val="91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9">
    <w:name w:val="Grid Table 4 - Accent 5"/>
    <w:basedOn w:val="91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0">
    <w:name w:val="Grid Table 4 - Accent 6"/>
    <w:basedOn w:val="91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1">
    <w:name w:val="Grid Table 5 Dark"/>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2">
    <w:name w:val="Grid Table 5 Dark- Accent 1"/>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13">
    <w:name w:val="Grid Table 5 Dark - Accent 2"/>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14">
    <w:name w:val="Grid Table 5 Dark - Accent 3"/>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15">
    <w:name w:val="Grid Table 5 Dark- Accent 4"/>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16">
    <w:name w:val="Grid Table 5 Dark - Accent 5"/>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17">
    <w:name w:val="Grid Table 5 Dark - Accent 6"/>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18">
    <w:name w:val="Grid Table 6 Colorful"/>
    <w:basedOn w:val="9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9">
    <w:name w:val="Grid Table 6 Colorful - Accent 1"/>
    <w:basedOn w:val="91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20">
    <w:name w:val="Grid Table 6 Colorful - Accent 2"/>
    <w:basedOn w:val="9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21">
    <w:name w:val="Grid Table 6 Colorful - Accent 3"/>
    <w:basedOn w:val="91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22">
    <w:name w:val="Grid Table 6 Colorful - Accent 4"/>
    <w:basedOn w:val="9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23">
    <w:name w:val="Grid Table 6 Colorful - Accent 5"/>
    <w:basedOn w:val="91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24">
    <w:name w:val="Grid Table 6 Colorful - Accent 6"/>
    <w:basedOn w:val="91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25">
    <w:name w:val="Grid Table 7 Colorful"/>
    <w:basedOn w:val="9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6">
    <w:name w:val="Grid Table 7 Colorful - Accent 1"/>
    <w:basedOn w:val="91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7">
    <w:name w:val="Grid Table 7 Colorful - Accent 2"/>
    <w:basedOn w:val="91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8">
    <w:name w:val="Grid Table 7 Colorful - Accent 3"/>
    <w:basedOn w:val="91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9">
    <w:name w:val="Grid Table 7 Colorful - Accent 4"/>
    <w:basedOn w:val="91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0">
    <w:name w:val="Grid Table 7 Colorful - Accent 5"/>
    <w:basedOn w:val="91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1">
    <w:name w:val="Grid Table 7 Colorful - Accent 6"/>
    <w:basedOn w:val="91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2">
    <w:name w:val="List Table 1 Light"/>
    <w:basedOn w:val="9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name w:val="List Table 1 Light - Accent 1"/>
    <w:basedOn w:val="91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4">
    <w:name w:val="List Table 1 Light - Accent 2"/>
    <w:basedOn w:val="91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5">
    <w:name w:val="List Table 1 Light - Accent 3"/>
    <w:basedOn w:val="91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6">
    <w:name w:val="List Table 1 Light - Accent 4"/>
    <w:basedOn w:val="91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7">
    <w:name w:val="List Table 1 Light - Accent 5"/>
    <w:basedOn w:val="91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8">
    <w:name w:val="List Table 1 Light - Accent 6"/>
    <w:basedOn w:val="91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9">
    <w:name w:val="List Table 2"/>
    <w:basedOn w:val="9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0">
    <w:name w:val="List Table 2 - Accent 1"/>
    <w:basedOn w:val="91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1">
    <w:name w:val="List Table 2 - Accent 2"/>
    <w:basedOn w:val="91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2">
    <w:name w:val="List Table 2 - Accent 3"/>
    <w:basedOn w:val="91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3">
    <w:name w:val="List Table 2 - Accent 4"/>
    <w:basedOn w:val="91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4">
    <w:name w:val="List Table 2 - Accent 5"/>
    <w:basedOn w:val="91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5">
    <w:name w:val="List Table 2 - Accent 6"/>
    <w:basedOn w:val="91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6">
    <w:name w:val="List Table 3"/>
    <w:basedOn w:val="9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3 - Accent 1"/>
    <w:basedOn w:val="91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48">
    <w:name w:val="List Table 3 - Accent 2"/>
    <w:basedOn w:val="9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49">
    <w:name w:val="List Table 3 - Accent 3"/>
    <w:basedOn w:val="91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50">
    <w:name w:val="List Table 3 - Accent 4"/>
    <w:basedOn w:val="9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51">
    <w:name w:val="List Table 3 - Accent 5"/>
    <w:basedOn w:val="91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52">
    <w:name w:val="List Table 3 - Accent 6"/>
    <w:basedOn w:val="91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53">
    <w:name w:val="List Table 4"/>
    <w:basedOn w:val="9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4 - Accent 1"/>
    <w:basedOn w:val="91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55">
    <w:name w:val="List Table 4 - Accent 2"/>
    <w:basedOn w:val="91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56">
    <w:name w:val="List Table 4 - Accent 3"/>
    <w:basedOn w:val="91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57">
    <w:name w:val="List Table 4 - Accent 4"/>
    <w:basedOn w:val="91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58">
    <w:name w:val="List Table 4 - Accent 5"/>
    <w:basedOn w:val="91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59">
    <w:name w:val="List Table 4 - Accent 6"/>
    <w:basedOn w:val="91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60">
    <w:name w:val="List Table 5 Dark"/>
    <w:basedOn w:val="9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1"/>
    <w:basedOn w:val="91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2"/>
    <w:basedOn w:val="91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3"/>
    <w:basedOn w:val="91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4"/>
    <w:basedOn w:val="91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5"/>
    <w:basedOn w:val="91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6"/>
    <w:basedOn w:val="91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6 Colorful"/>
    <w:basedOn w:val="9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8">
    <w:name w:val="List Table 6 Colorful - Accent 1"/>
    <w:basedOn w:val="91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69">
    <w:name w:val="List Table 6 Colorful - Accent 2"/>
    <w:basedOn w:val="91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70">
    <w:name w:val="List Table 6 Colorful - Accent 3"/>
    <w:basedOn w:val="91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71">
    <w:name w:val="List Table 6 Colorful - Accent 4"/>
    <w:basedOn w:val="91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72">
    <w:name w:val="List Table 6 Colorful - Accent 5"/>
    <w:basedOn w:val="91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73">
    <w:name w:val="List Table 6 Colorful - Accent 6"/>
    <w:basedOn w:val="91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74">
    <w:name w:val="List Table 7 Colorful"/>
    <w:basedOn w:val="9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5">
    <w:name w:val="List Table 7 Colorful - Accent 1"/>
    <w:basedOn w:val="91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76">
    <w:name w:val="List Table 7 Colorful - Accent 2"/>
    <w:basedOn w:val="91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77">
    <w:name w:val="List Table 7 Colorful - Accent 3"/>
    <w:basedOn w:val="91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78">
    <w:name w:val="List Table 7 Colorful - Accent 4"/>
    <w:basedOn w:val="91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79">
    <w:name w:val="List Table 7 Colorful - Accent 5"/>
    <w:basedOn w:val="91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80">
    <w:name w:val="List Table 7 Colorful - Accent 6"/>
    <w:basedOn w:val="91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81">
    <w:name w:val="Lined - Accent"/>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Lined - Accent 1"/>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83">
    <w:name w:val="Lined - Accent 2"/>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4">
    <w:name w:val="Lined - Accent 3"/>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5">
    <w:name w:val="Lined - Accent 4"/>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6">
    <w:name w:val="Lined - Accent 5"/>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87">
    <w:name w:val="Lined - Accent 6"/>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8">
    <w:name w:val="Bordered &amp; Lined - Accent"/>
    <w:basedOn w:val="91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9">
    <w:name w:val="Bordered &amp; Lined - Accent 1"/>
    <w:basedOn w:val="91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90">
    <w:name w:val="Bordered &amp; Lined - Accent 2"/>
    <w:basedOn w:val="91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1">
    <w:name w:val="Bordered &amp; Lined - Accent 3"/>
    <w:basedOn w:val="91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2">
    <w:name w:val="Bordered &amp; Lined - Accent 4"/>
    <w:basedOn w:val="91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3">
    <w:name w:val="Bordered &amp; Lined - Accent 5"/>
    <w:basedOn w:val="91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94">
    <w:name w:val="Bordered &amp; Lined - Accent 6"/>
    <w:basedOn w:val="91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5">
    <w:name w:val="Bordered"/>
    <w:basedOn w:val="91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6">
    <w:name w:val="Bordered - Accent 1"/>
    <w:basedOn w:val="9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7">
    <w:name w:val="Bordered - Accent 2"/>
    <w:basedOn w:val="9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8">
    <w:name w:val="Bordered - Accent 3"/>
    <w:basedOn w:val="9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9">
    <w:name w:val="Bordered - Accent 4"/>
    <w:basedOn w:val="9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0">
    <w:name w:val="Bordered - Accent 5"/>
    <w:basedOn w:val="9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1">
    <w:name w:val="Bordered - Accent 6"/>
    <w:basedOn w:val="9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2">
    <w:name w:val="Footnote Text Char"/>
    <w:link w:val="946"/>
    <w:uiPriority w:val="99"/>
    <w:rPr>
      <w:sz w:val="18"/>
    </w:rPr>
  </w:style>
  <w:style w:type="paragraph" w:styleId="903">
    <w:name w:val="endnote text"/>
    <w:basedOn w:val="907"/>
    <w:link w:val="904"/>
    <w:uiPriority w:val="99"/>
    <w:semiHidden/>
    <w:unhideWhenUsed/>
    <w:pPr>
      <w:spacing w:after="0" w:line="240" w:lineRule="auto"/>
    </w:pPr>
    <w:rPr>
      <w:sz w:val="20"/>
    </w:rPr>
  </w:style>
  <w:style w:type="character" w:styleId="904">
    <w:name w:val="Endnote Text Char"/>
    <w:link w:val="903"/>
    <w:uiPriority w:val="99"/>
    <w:rPr>
      <w:sz w:val="20"/>
    </w:rPr>
  </w:style>
  <w:style w:type="character" w:styleId="905">
    <w:name w:val="endnote reference"/>
    <w:basedOn w:val="917"/>
    <w:uiPriority w:val="99"/>
    <w:semiHidden/>
    <w:unhideWhenUsed/>
    <w:rPr>
      <w:vertAlign w:val="superscript"/>
    </w:rPr>
  </w:style>
  <w:style w:type="paragraph" w:styleId="906">
    <w:name w:val="TOC Heading"/>
    <w:uiPriority w:val="39"/>
    <w:unhideWhenUsed/>
  </w:style>
  <w:style w:type="paragraph" w:styleId="907" w:default="1">
    <w:name w:val="Normal"/>
    <w:next w:val="919"/>
    <w:uiPriority w:val="0"/>
    <w:qFormat/>
    <w:pPr>
      <w:jc w:val="both"/>
      <w:widowControl w:val="off"/>
    </w:pPr>
    <w:rPr>
      <w:rFonts w:ascii="Times New Roman" w:hAnsi="Times New Roman" w:eastAsia="楷体_GB2312" w:cs="Times New Roman"/>
      <w:sz w:val="26"/>
      <w:lang w:val="en-US" w:eastAsia="zh-CN" w:bidi="ar-SA"/>
    </w:rPr>
  </w:style>
  <w:style w:type="paragraph" w:styleId="908">
    <w:name w:val="Heading 1"/>
    <w:basedOn w:val="907"/>
    <w:next w:val="907"/>
    <w:link w:val="1041"/>
    <w:uiPriority w:val="0"/>
    <w:qFormat/>
    <w:pPr>
      <w:keepLines/>
      <w:keepNext/>
      <w:spacing w:before="340" w:after="330" w:line="578" w:lineRule="auto"/>
      <w:outlineLvl w:val="0"/>
    </w:pPr>
    <w:rPr>
      <w:b/>
      <w:sz w:val="44"/>
    </w:rPr>
  </w:style>
  <w:style w:type="paragraph" w:styleId="909">
    <w:name w:val="Heading 2"/>
    <w:basedOn w:val="907"/>
    <w:next w:val="907"/>
    <w:uiPriority w:val="0"/>
    <w:qFormat/>
    <w:pPr>
      <w:jc w:val="left"/>
      <w:keepLines/>
      <w:keepNext/>
      <w:outlineLvl w:val="1"/>
    </w:pPr>
    <w:rPr>
      <w:rFonts w:ascii="宋体" w:hAnsi="宋体"/>
      <w:b/>
    </w:rPr>
  </w:style>
  <w:style w:type="paragraph" w:styleId="910">
    <w:name w:val="Heading 3"/>
    <w:basedOn w:val="907"/>
    <w:next w:val="907"/>
    <w:uiPriority w:val="0"/>
    <w:qFormat/>
    <w:pPr>
      <w:jc w:val="left"/>
      <w:keepLines/>
      <w:keepNext/>
      <w:outlineLvl w:val="2"/>
    </w:pPr>
    <w:rPr>
      <w:b/>
    </w:rPr>
  </w:style>
  <w:style w:type="paragraph" w:styleId="911">
    <w:name w:val="Heading 4"/>
    <w:basedOn w:val="907"/>
    <w:next w:val="907"/>
    <w:uiPriority w:val="9"/>
    <w:qFormat/>
    <w:pPr>
      <w:keepLines/>
      <w:keepNext/>
      <w:spacing w:before="280" w:after="290" w:line="376" w:lineRule="auto"/>
      <w:outlineLvl w:val="3"/>
    </w:pPr>
    <w:rPr>
      <w:rFonts w:ascii="Cambria" w:hAnsi="Cambria"/>
      <w:bCs/>
      <w:szCs w:val="28"/>
    </w:rPr>
  </w:style>
  <w:style w:type="paragraph" w:styleId="912">
    <w:name w:val="Heading 5"/>
    <w:basedOn w:val="907"/>
    <w:next w:val="920"/>
    <w:uiPriority w:val="0"/>
    <w:qFormat/>
    <w:pPr>
      <w:numPr>
        <w:ilvl w:val="4"/>
        <w:numId w:val="1"/>
      </w:numPr>
      <w:keepLines/>
      <w:keepNext/>
      <w:spacing w:before="280" w:after="290" w:line="376" w:lineRule="auto"/>
      <w:outlineLvl w:val="4"/>
    </w:pPr>
    <w:rPr>
      <w:rFonts w:ascii="宋体" w:eastAsia="宋体"/>
      <w:b/>
      <w:spacing w:val="-2"/>
      <w:position w:val="-6"/>
      <w:sz w:val="28"/>
    </w:rPr>
  </w:style>
  <w:style w:type="paragraph" w:styleId="913">
    <w:name w:val="Heading 6"/>
    <w:basedOn w:val="907"/>
    <w:next w:val="907"/>
    <w:uiPriority w:val="0"/>
    <w:qFormat/>
    <w:pPr>
      <w:numPr>
        <w:ilvl w:val="5"/>
        <w:numId w:val="1"/>
      </w:numPr>
      <w:keepLines/>
      <w:keepNext/>
      <w:spacing w:before="240" w:after="64" w:line="320" w:lineRule="auto"/>
      <w:outlineLvl w:val="5"/>
    </w:pPr>
    <w:rPr>
      <w:rFonts w:ascii="Arial" w:hAnsi="Arial" w:eastAsia="黑体"/>
      <w:b/>
      <w:spacing w:val="-2"/>
      <w:position w:val="-6"/>
      <w:sz w:val="24"/>
    </w:rPr>
  </w:style>
  <w:style w:type="paragraph" w:styleId="914">
    <w:name w:val="Heading 7"/>
    <w:basedOn w:val="907"/>
    <w:next w:val="920"/>
    <w:uiPriority w:val="0"/>
    <w:qFormat/>
    <w:pPr>
      <w:numPr>
        <w:ilvl w:val="6"/>
        <w:numId w:val="1"/>
      </w:numPr>
      <w:keepLines/>
      <w:keepNext/>
      <w:spacing w:before="240" w:after="64" w:line="320" w:lineRule="auto"/>
      <w:outlineLvl w:val="6"/>
    </w:pPr>
    <w:rPr>
      <w:rFonts w:ascii="宋体" w:eastAsia="宋体"/>
      <w:b/>
      <w:spacing w:val="-2"/>
      <w:position w:val="-6"/>
      <w:sz w:val="24"/>
    </w:rPr>
  </w:style>
  <w:style w:type="paragraph" w:styleId="915">
    <w:name w:val="Heading 8"/>
    <w:basedOn w:val="907"/>
    <w:next w:val="920"/>
    <w:uiPriority w:val="0"/>
    <w:qFormat/>
    <w:pPr>
      <w:numPr>
        <w:ilvl w:val="7"/>
        <w:numId w:val="1"/>
      </w:numPr>
      <w:keepLines/>
      <w:keepNext/>
      <w:spacing w:before="240" w:after="64" w:line="320" w:lineRule="auto"/>
      <w:outlineLvl w:val="7"/>
    </w:pPr>
    <w:rPr>
      <w:rFonts w:ascii="Arial" w:hAnsi="Arial" w:eastAsia="黑体"/>
      <w:spacing w:val="-2"/>
      <w:position w:val="-6"/>
      <w:sz w:val="24"/>
    </w:rPr>
  </w:style>
  <w:style w:type="paragraph" w:styleId="916">
    <w:name w:val="Heading 9"/>
    <w:basedOn w:val="907"/>
    <w:next w:val="920"/>
    <w:uiPriority w:val="0"/>
    <w:qFormat/>
    <w:pPr>
      <w:numPr>
        <w:ilvl w:val="8"/>
        <w:numId w:val="1"/>
      </w:numPr>
      <w:keepLines/>
      <w:keepNext/>
      <w:spacing w:before="240" w:after="64" w:line="320" w:lineRule="auto"/>
      <w:outlineLvl w:val="8"/>
    </w:pPr>
    <w:rPr>
      <w:rFonts w:ascii="Arial" w:hAnsi="Arial" w:eastAsia="黑体"/>
      <w:spacing w:val="-2"/>
      <w:position w:val="-6"/>
      <w:sz w:val="28"/>
    </w:rPr>
  </w:style>
  <w:style w:type="character" w:styleId="917" w:default="1">
    <w:name w:val="Default Paragraph Font"/>
    <w:uiPriority w:val="1"/>
    <w:semiHidden/>
    <w:unhideWhenUsed/>
    <w:qFormat/>
  </w:style>
  <w:style w:type="table" w:styleId="918" w:default="1">
    <w:name w:val="Normal Table"/>
    <w:uiPriority w:val="99"/>
    <w:semiHidden/>
    <w:unhideWhenUsed/>
    <w:qFormat/>
    <w:tblPr>
      <w:tblCellMar>
        <w:left w:w="108" w:type="dxa"/>
        <w:top w:w="0" w:type="dxa"/>
        <w:right w:w="108" w:type="dxa"/>
        <w:bottom w:w="0" w:type="dxa"/>
      </w:tblCellMar>
    </w:tblPr>
  </w:style>
  <w:style w:type="paragraph" w:styleId="919" w:customStyle="1">
    <w:name w:val="段"/>
    <w:next w:val="907"/>
    <w:uiPriority w:val="99"/>
    <w:qFormat/>
    <w:pPr>
      <w:ind w:firstLine="200"/>
      <w:jc w:val="both"/>
      <w:spacing w:line="360" w:lineRule="auto"/>
    </w:pPr>
    <w:rPr>
      <w:rFonts w:ascii="宋体" w:hAnsi="Calibri" w:eastAsia="宋体" w:cs="Times New Roman"/>
      <w:sz w:val="24"/>
      <w:szCs w:val="22"/>
      <w:lang w:val="en-US" w:eastAsia="zh-CN" w:bidi="ar-SA"/>
    </w:rPr>
  </w:style>
  <w:style w:type="paragraph" w:styleId="920">
    <w:name w:val="Normal Indent"/>
    <w:basedOn w:val="907"/>
    <w:next w:val="907"/>
    <w:link w:val="979"/>
    <w:uiPriority w:val="0"/>
    <w:qFormat/>
    <w:pPr>
      <w:ind w:firstLine="420"/>
      <w:jc w:val="left"/>
    </w:pPr>
    <w:rPr>
      <w:sz w:val="24"/>
    </w:rPr>
  </w:style>
  <w:style w:type="paragraph" w:styleId="921">
    <w:name w:val="toc 7"/>
    <w:basedOn w:val="907"/>
    <w:next w:val="907"/>
    <w:uiPriority w:val="0"/>
    <w:qFormat/>
    <w:pPr>
      <w:ind w:left="2520"/>
    </w:pPr>
  </w:style>
  <w:style w:type="paragraph" w:styleId="922">
    <w:name w:val="index 8"/>
    <w:basedOn w:val="907"/>
    <w:next w:val="907"/>
    <w:uiPriority w:val="0"/>
    <w:qFormat/>
    <w:pPr>
      <w:ind w:left="2940"/>
    </w:pPr>
  </w:style>
  <w:style w:type="paragraph" w:styleId="923">
    <w:name w:val="index 5"/>
    <w:basedOn w:val="907"/>
    <w:next w:val="907"/>
    <w:uiPriority w:val="0"/>
    <w:qFormat/>
    <w:pPr>
      <w:ind w:left="1680"/>
    </w:pPr>
  </w:style>
  <w:style w:type="paragraph" w:styleId="924">
    <w:name w:val="Document Map"/>
    <w:basedOn w:val="907"/>
    <w:uiPriority w:val="0"/>
    <w:qFormat/>
    <w:pPr>
      <w:shd w:val="clear" w:color="auto" w:fill="000080"/>
    </w:pPr>
  </w:style>
  <w:style w:type="paragraph" w:styleId="925">
    <w:name w:val="annotation text"/>
    <w:basedOn w:val="907"/>
    <w:link w:val="1031"/>
    <w:uiPriority w:val="0"/>
    <w:qFormat/>
    <w:pPr>
      <w:jc w:val="left"/>
    </w:pPr>
  </w:style>
  <w:style w:type="paragraph" w:styleId="926">
    <w:name w:val="index 6"/>
    <w:basedOn w:val="907"/>
    <w:next w:val="907"/>
    <w:uiPriority w:val="0"/>
    <w:qFormat/>
    <w:pPr>
      <w:ind w:left="2100"/>
    </w:pPr>
  </w:style>
  <w:style w:type="paragraph" w:styleId="927">
    <w:name w:val="Body Text"/>
    <w:basedOn w:val="907"/>
    <w:next w:val="907"/>
    <w:uiPriority w:val="0"/>
    <w:qFormat/>
    <w:pPr>
      <w:spacing w:line="400" w:lineRule="exact"/>
    </w:pPr>
    <w:rPr>
      <w:rFonts w:ascii="楷体_GB2312"/>
      <w:sz w:val="28"/>
    </w:rPr>
  </w:style>
  <w:style w:type="paragraph" w:styleId="928">
    <w:name w:val="Body Text Indent"/>
    <w:basedOn w:val="907"/>
    <w:next w:val="907"/>
    <w:uiPriority w:val="0"/>
    <w:qFormat/>
    <w:pPr>
      <w:ind w:left="570"/>
      <w:spacing w:line="520" w:lineRule="exact"/>
    </w:pPr>
    <w:rPr>
      <w:rFonts w:ascii="方正仿宋简体" w:hAnsi="创艺简仿宋" w:eastAsia="方正仿宋简体"/>
      <w:sz w:val="24"/>
    </w:rPr>
  </w:style>
  <w:style w:type="paragraph" w:styleId="929">
    <w:name w:val="List Continue"/>
    <w:basedOn w:val="907"/>
    <w:uiPriority w:val="99"/>
    <w:unhideWhenUsed/>
    <w:qFormat/>
    <w:pPr>
      <w:ind w:left="200"/>
      <w:spacing w:after="120"/>
    </w:pPr>
    <w:rPr>
      <w:rFonts w:ascii="宋体" w:hAnsi="宋体" w:cs="Symbol"/>
      <w:sz w:val="28"/>
    </w:rPr>
  </w:style>
  <w:style w:type="paragraph" w:styleId="930">
    <w:name w:val="index 4"/>
    <w:basedOn w:val="907"/>
    <w:next w:val="907"/>
    <w:uiPriority w:val="0"/>
    <w:qFormat/>
    <w:pPr>
      <w:ind w:left="1260"/>
    </w:pPr>
  </w:style>
  <w:style w:type="paragraph" w:styleId="931">
    <w:name w:val="toc 5"/>
    <w:basedOn w:val="907"/>
    <w:next w:val="907"/>
    <w:uiPriority w:val="0"/>
    <w:qFormat/>
    <w:pPr>
      <w:ind w:left="1680"/>
    </w:pPr>
  </w:style>
  <w:style w:type="paragraph" w:styleId="932">
    <w:name w:val="toc 3"/>
    <w:basedOn w:val="907"/>
    <w:next w:val="907"/>
    <w:uiPriority w:val="0"/>
    <w:qFormat/>
    <w:pPr>
      <w:ind w:left="840"/>
    </w:pPr>
  </w:style>
  <w:style w:type="paragraph" w:styleId="933">
    <w:name w:val="Plain Text"/>
    <w:basedOn w:val="907"/>
    <w:next w:val="920"/>
    <w:link w:val="983"/>
    <w:uiPriority w:val="0"/>
    <w:qFormat/>
    <w:rPr>
      <w:rFonts w:ascii="宋体" w:hAnsi="Courier New"/>
    </w:rPr>
  </w:style>
  <w:style w:type="paragraph" w:styleId="934">
    <w:name w:val="toc 8"/>
    <w:basedOn w:val="907"/>
    <w:next w:val="907"/>
    <w:uiPriority w:val="0"/>
    <w:qFormat/>
    <w:pPr>
      <w:ind w:left="2940"/>
    </w:pPr>
  </w:style>
  <w:style w:type="paragraph" w:styleId="935">
    <w:name w:val="index 3"/>
    <w:basedOn w:val="907"/>
    <w:next w:val="907"/>
    <w:uiPriority w:val="0"/>
    <w:qFormat/>
    <w:pPr>
      <w:ind w:left="840"/>
    </w:pPr>
  </w:style>
  <w:style w:type="paragraph" w:styleId="936">
    <w:name w:val="Date"/>
    <w:basedOn w:val="907"/>
    <w:next w:val="907"/>
    <w:link w:val="984"/>
    <w:uiPriority w:val="0"/>
    <w:qFormat/>
    <w:rPr>
      <w:rFonts w:ascii="宋体" w:hAnsi="宋体"/>
      <w:sz w:val="24"/>
    </w:rPr>
  </w:style>
  <w:style w:type="paragraph" w:styleId="937">
    <w:name w:val="Body Text Indent 2"/>
    <w:basedOn w:val="907"/>
    <w:uiPriority w:val="0"/>
    <w:qFormat/>
    <w:pPr>
      <w:ind w:firstLine="502"/>
      <w:spacing w:line="360" w:lineRule="auto"/>
      <w:tabs>
        <w:tab w:val="left" w:pos="0" w:leader="none"/>
      </w:tabs>
    </w:pPr>
    <w:rPr>
      <w:rFonts w:ascii="宋体" w:eastAsia="宋体"/>
      <w:b/>
      <w:bCs/>
      <w:sz w:val="24"/>
    </w:rPr>
  </w:style>
  <w:style w:type="paragraph" w:styleId="938">
    <w:name w:val="Balloon Text"/>
    <w:basedOn w:val="907"/>
    <w:uiPriority w:val="0"/>
    <w:qFormat/>
    <w:rPr>
      <w:sz w:val="18"/>
      <w:szCs w:val="18"/>
    </w:rPr>
  </w:style>
  <w:style w:type="paragraph" w:styleId="939">
    <w:name w:val="Footer"/>
    <w:basedOn w:val="907"/>
    <w:link w:val="1039"/>
    <w:uiPriority w:val="99"/>
    <w:qFormat/>
    <w:pPr>
      <w:jc w:val="left"/>
      <w:tabs>
        <w:tab w:val="center" w:pos="4153" w:leader="none"/>
        <w:tab w:val="right" w:pos="8306" w:leader="none"/>
      </w:tabs>
    </w:pPr>
    <w:rPr>
      <w:sz w:val="18"/>
    </w:rPr>
  </w:style>
  <w:style w:type="paragraph" w:styleId="940">
    <w:name w:val="envelope return"/>
    <w:basedOn w:val="907"/>
    <w:uiPriority w:val="0"/>
    <w:qFormat/>
    <w:rPr>
      <w:rFonts w:ascii="Arial" w:hAnsi="Arial"/>
    </w:rPr>
  </w:style>
  <w:style w:type="paragraph" w:styleId="941">
    <w:name w:val="Header"/>
    <w:basedOn w:val="907"/>
    <w:link w:val="1040"/>
    <w:uiPriority w:val="99"/>
    <w:qFormat/>
    <w:pPr>
      <w:jc w:val="center"/>
      <w:tabs>
        <w:tab w:val="center" w:pos="4153" w:leader="none"/>
        <w:tab w:val="right" w:pos="8306" w:leader="none"/>
      </w:tabs>
      <w:pBdr>
        <w:bottom w:val="single" w:color="auto" w:sz="6" w:space="1"/>
      </w:pBdr>
    </w:pPr>
    <w:rPr>
      <w:sz w:val="18"/>
    </w:rPr>
  </w:style>
  <w:style w:type="paragraph" w:styleId="942">
    <w:name w:val="toc 1"/>
    <w:basedOn w:val="907"/>
    <w:next w:val="907"/>
    <w:uiPriority w:val="0"/>
    <w:qFormat/>
    <w:pPr>
      <w:tabs>
        <w:tab w:val="right" w:pos="9026" w:leader="dot"/>
      </w:tabs>
    </w:pPr>
    <w:rPr>
      <w:rFonts w:ascii="宋体" w:hAnsi="宋体" w:eastAsia="宋体"/>
      <w:sz w:val="24"/>
    </w:rPr>
  </w:style>
  <w:style w:type="paragraph" w:styleId="943">
    <w:name w:val="toc 4"/>
    <w:basedOn w:val="907"/>
    <w:next w:val="907"/>
    <w:uiPriority w:val="0"/>
    <w:qFormat/>
    <w:pPr>
      <w:ind w:left="1260"/>
    </w:pPr>
  </w:style>
  <w:style w:type="paragraph" w:styleId="944">
    <w:name w:val="index heading"/>
    <w:basedOn w:val="907"/>
    <w:next w:val="945"/>
    <w:uiPriority w:val="0"/>
    <w:qFormat/>
  </w:style>
  <w:style w:type="paragraph" w:styleId="945">
    <w:name w:val="index 1"/>
    <w:basedOn w:val="907"/>
    <w:next w:val="907"/>
    <w:uiPriority w:val="0"/>
    <w:qFormat/>
  </w:style>
  <w:style w:type="paragraph" w:styleId="946">
    <w:name w:val="footnote text"/>
    <w:basedOn w:val="907"/>
    <w:uiPriority w:val="0"/>
    <w:qFormat/>
    <w:pPr>
      <w:jc w:val="left"/>
    </w:pPr>
    <w:rPr>
      <w:sz w:val="18"/>
    </w:rPr>
  </w:style>
  <w:style w:type="paragraph" w:styleId="947">
    <w:name w:val="toc 6"/>
    <w:basedOn w:val="907"/>
    <w:next w:val="907"/>
    <w:uiPriority w:val="0"/>
    <w:qFormat/>
    <w:pPr>
      <w:ind w:left="2100"/>
    </w:pPr>
  </w:style>
  <w:style w:type="paragraph" w:styleId="948">
    <w:name w:val="Body Text Indent 3"/>
    <w:basedOn w:val="907"/>
    <w:uiPriority w:val="0"/>
    <w:qFormat/>
    <w:pPr>
      <w:ind w:firstLine="617"/>
      <w:spacing w:line="360" w:lineRule="auto"/>
    </w:pPr>
    <w:rPr>
      <w:rFonts w:eastAsia="宋体"/>
      <w:sz w:val="24"/>
      <w:szCs w:val="24"/>
    </w:rPr>
  </w:style>
  <w:style w:type="paragraph" w:styleId="949">
    <w:name w:val="index 7"/>
    <w:basedOn w:val="907"/>
    <w:next w:val="907"/>
    <w:uiPriority w:val="0"/>
    <w:qFormat/>
    <w:pPr>
      <w:ind w:left="2520"/>
    </w:pPr>
  </w:style>
  <w:style w:type="paragraph" w:styleId="950">
    <w:name w:val="index 9"/>
    <w:basedOn w:val="907"/>
    <w:next w:val="907"/>
    <w:uiPriority w:val="0"/>
    <w:qFormat/>
    <w:pPr>
      <w:ind w:left="3360"/>
    </w:pPr>
  </w:style>
  <w:style w:type="paragraph" w:styleId="951">
    <w:name w:val="table of figures"/>
    <w:basedOn w:val="907"/>
    <w:next w:val="907"/>
    <w:uiPriority w:val="0"/>
    <w:qFormat/>
    <w:pPr>
      <w:ind w:left="420" w:hanging="420"/>
      <w:jc w:val="left"/>
    </w:pPr>
    <w:rPr>
      <w:smallCaps/>
      <w:sz w:val="24"/>
    </w:rPr>
  </w:style>
  <w:style w:type="paragraph" w:styleId="952">
    <w:name w:val="toc 2"/>
    <w:basedOn w:val="907"/>
    <w:next w:val="907"/>
    <w:uiPriority w:val="0"/>
    <w:qFormat/>
    <w:pPr>
      <w:ind w:left="420"/>
    </w:pPr>
  </w:style>
  <w:style w:type="paragraph" w:styleId="953">
    <w:name w:val="toc 9"/>
    <w:basedOn w:val="907"/>
    <w:next w:val="907"/>
    <w:uiPriority w:val="0"/>
    <w:qFormat/>
    <w:pPr>
      <w:ind w:left="3360"/>
    </w:pPr>
  </w:style>
  <w:style w:type="paragraph" w:styleId="954">
    <w:name w:val="HTML Preformatted"/>
    <w:basedOn w:val="90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955">
    <w:name w:val="Normal (Web)"/>
    <w:basedOn w:val="907"/>
    <w:uiPriority w:val="99"/>
    <w:qFormat/>
    <w:pPr>
      <w:jc w:val="left"/>
      <w:spacing w:before="100" w:beforeAutospacing="1" w:after="100" w:afterAutospacing="1"/>
      <w:widowControl/>
    </w:pPr>
    <w:rPr>
      <w:rFonts w:hint="eastAsia" w:ascii="宋体" w:hAnsi="宋体" w:eastAsia="宋体"/>
      <w:sz w:val="24"/>
      <w:szCs w:val="24"/>
    </w:rPr>
  </w:style>
  <w:style w:type="paragraph" w:styleId="956">
    <w:name w:val="index 2"/>
    <w:basedOn w:val="907"/>
    <w:next w:val="907"/>
    <w:uiPriority w:val="0"/>
    <w:qFormat/>
    <w:pPr>
      <w:ind w:left="420"/>
    </w:pPr>
  </w:style>
  <w:style w:type="paragraph" w:styleId="957">
    <w:name w:val="Title"/>
    <w:basedOn w:val="907"/>
    <w:next w:val="907"/>
    <w:link w:val="1042"/>
    <w:uiPriority w:val="10"/>
    <w:qFormat/>
    <w:pPr>
      <w:jc w:val="center"/>
    </w:pPr>
    <w:rPr>
      <w:rFonts w:ascii="黑体" w:hAnsi="黑体" w:eastAsia="黑体"/>
      <w:sz w:val="28"/>
      <w:szCs w:val="24"/>
    </w:rPr>
  </w:style>
  <w:style w:type="paragraph" w:styleId="958">
    <w:name w:val="annotation subject"/>
    <w:basedOn w:val="925"/>
    <w:next w:val="925"/>
    <w:uiPriority w:val="0"/>
    <w:qFormat/>
    <w:rPr>
      <w:bCs/>
    </w:rPr>
  </w:style>
  <w:style w:type="paragraph" w:styleId="959">
    <w:name w:val="Body Text First Indent"/>
    <w:basedOn w:val="927"/>
    <w:uiPriority w:val="0"/>
    <w:qFormat/>
    <w:pPr>
      <w:ind w:firstLine="420"/>
      <w:spacing w:after="120" w:line="300" w:lineRule="auto"/>
    </w:pPr>
    <w:rPr>
      <w:rFonts w:ascii="Times New Roman" w:eastAsia="宋体"/>
      <w:sz w:val="24"/>
      <w:szCs w:val="24"/>
    </w:rPr>
  </w:style>
  <w:style w:type="paragraph" w:styleId="960">
    <w:name w:val="Body Text First Indent 2"/>
    <w:basedOn w:val="928"/>
    <w:next w:val="959"/>
    <w:uiPriority w:val="99"/>
    <w:semiHidden/>
    <w:unhideWhenUsed/>
    <w:qFormat/>
    <w:pPr>
      <w:ind w:firstLine="420"/>
    </w:pPr>
  </w:style>
  <w:style w:type="table" w:styleId="961">
    <w:name w:val="Table Grid"/>
    <w:basedOn w:val="918"/>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2">
    <w:name w:val="Strong"/>
    <w:basedOn w:val="917"/>
    <w:uiPriority w:val="22"/>
    <w:qFormat/>
    <w:rPr>
      <w:b/>
      <w:bCs/>
    </w:rPr>
  </w:style>
  <w:style w:type="character" w:styleId="963">
    <w:name w:val="page number"/>
    <w:basedOn w:val="917"/>
    <w:uiPriority w:val="0"/>
    <w:qFormat/>
  </w:style>
  <w:style w:type="character" w:styleId="964">
    <w:name w:val="FollowedHyperlink"/>
    <w:basedOn w:val="917"/>
    <w:uiPriority w:val="99"/>
    <w:semiHidden/>
    <w:unhideWhenUsed/>
    <w:qFormat/>
    <w:rPr>
      <w:color w:val="333333"/>
      <w:u w:val="none"/>
    </w:rPr>
  </w:style>
  <w:style w:type="character" w:styleId="965">
    <w:name w:val="Emphasis"/>
    <w:basedOn w:val="917"/>
    <w:uiPriority w:val="20"/>
    <w:qFormat/>
  </w:style>
  <w:style w:type="character" w:styleId="966">
    <w:name w:val="HTML Definition"/>
    <w:basedOn w:val="917"/>
    <w:uiPriority w:val="99"/>
    <w:semiHidden/>
    <w:unhideWhenUsed/>
    <w:qFormat/>
  </w:style>
  <w:style w:type="character" w:styleId="967">
    <w:name w:val="HTML Typewriter"/>
    <w:basedOn w:val="917"/>
    <w:uiPriority w:val="99"/>
    <w:semiHidden/>
    <w:unhideWhenUsed/>
    <w:qFormat/>
    <w:rPr>
      <w:rFonts w:hint="default" w:ascii="monospace" w:hAnsi="monospace" w:eastAsia="monospace" w:cs="monospace"/>
      <w:sz w:val="20"/>
    </w:rPr>
  </w:style>
  <w:style w:type="character" w:styleId="968">
    <w:name w:val="HTML Acronym"/>
    <w:basedOn w:val="917"/>
    <w:uiPriority w:val="99"/>
    <w:semiHidden/>
    <w:unhideWhenUsed/>
    <w:qFormat/>
  </w:style>
  <w:style w:type="character" w:styleId="969">
    <w:name w:val="HTML Variable"/>
    <w:basedOn w:val="917"/>
    <w:uiPriority w:val="99"/>
    <w:semiHidden/>
    <w:unhideWhenUsed/>
    <w:qFormat/>
  </w:style>
  <w:style w:type="character" w:styleId="970">
    <w:name w:val="Hyperlink"/>
    <w:basedOn w:val="917"/>
    <w:uiPriority w:val="99"/>
    <w:unhideWhenUsed/>
    <w:qFormat/>
    <w:rPr>
      <w:color w:val="0000ff"/>
      <w:u w:val="none"/>
    </w:rPr>
  </w:style>
  <w:style w:type="character" w:styleId="971">
    <w:name w:val="HTML Code"/>
    <w:basedOn w:val="917"/>
    <w:uiPriority w:val="99"/>
    <w:semiHidden/>
    <w:unhideWhenUsed/>
    <w:qFormat/>
    <w:rPr>
      <w:rFonts w:hint="default" w:ascii="monospace" w:hAnsi="monospace" w:eastAsia="monospace" w:cs="monospace"/>
      <w:sz w:val="20"/>
    </w:rPr>
  </w:style>
  <w:style w:type="character" w:styleId="972">
    <w:name w:val="annotation reference"/>
    <w:uiPriority w:val="0"/>
    <w:qFormat/>
    <w:rPr>
      <w:sz w:val="21"/>
      <w:szCs w:val="21"/>
    </w:rPr>
  </w:style>
  <w:style w:type="character" w:styleId="973">
    <w:name w:val="HTML Cite"/>
    <w:basedOn w:val="917"/>
    <w:uiPriority w:val="99"/>
    <w:semiHidden/>
    <w:unhideWhenUsed/>
    <w:qFormat/>
  </w:style>
  <w:style w:type="character" w:styleId="974">
    <w:name w:val="footnote reference"/>
    <w:uiPriority w:val="0"/>
    <w:qFormat/>
    <w:rPr>
      <w:vertAlign w:val="superscript"/>
    </w:rPr>
  </w:style>
  <w:style w:type="character" w:styleId="975">
    <w:name w:val="HTML Keyboard"/>
    <w:basedOn w:val="917"/>
    <w:uiPriority w:val="99"/>
    <w:semiHidden/>
    <w:unhideWhenUsed/>
    <w:qFormat/>
    <w:rPr>
      <w:rFonts w:ascii="monospace" w:hAnsi="monospace" w:eastAsia="monospace" w:cs="monospace"/>
      <w:sz w:val="20"/>
    </w:rPr>
  </w:style>
  <w:style w:type="character" w:styleId="976">
    <w:name w:val="HTML Sample"/>
    <w:basedOn w:val="917"/>
    <w:uiPriority w:val="99"/>
    <w:semiHidden/>
    <w:unhideWhenUsed/>
    <w:qFormat/>
    <w:rPr>
      <w:rFonts w:hint="default" w:ascii="monospace" w:hAnsi="monospace" w:eastAsia="monospace" w:cs="monospace"/>
    </w:rPr>
  </w:style>
  <w:style w:type="paragraph" w:styleId="977" w:customStyle="1">
    <w:name w:val="正文1"/>
    <w:next w:val="907"/>
    <w:uiPriority w:val="0"/>
    <w:qFormat/>
    <w:pPr>
      <w:jc w:val="both"/>
      <w:spacing w:line="360" w:lineRule="atLeast"/>
      <w:widowControl w:val="off"/>
    </w:pPr>
    <w:rPr>
      <w:rFonts w:ascii="Times New Roman" w:hAnsi="Times New Roman" w:eastAsia="宋体" w:cs="Times New Roman"/>
      <w:lang w:val="en-US" w:eastAsia="zh-CN" w:bidi="ar-SA"/>
    </w:rPr>
  </w:style>
  <w:style w:type="paragraph" w:styleId="978" w:customStyle="1">
    <w:name w:val="目录 51"/>
    <w:next w:val="907"/>
    <w:uiPriority w:val="0"/>
    <w:qFormat/>
    <w:pPr>
      <w:ind w:left="1275"/>
      <w:jc w:val="both"/>
    </w:pPr>
    <w:rPr>
      <w:rFonts w:ascii="Times New Roman" w:hAnsi="Times New Roman" w:eastAsia="宋体" w:cs="Times New Roman"/>
      <w:sz w:val="21"/>
      <w:lang w:val="en-US" w:eastAsia="zh-CN" w:bidi="ar-SA"/>
    </w:rPr>
  </w:style>
  <w:style w:type="character" w:styleId="979" w:customStyle="1">
    <w:name w:val="正文缩进 字符"/>
    <w:link w:val="920"/>
    <w:uiPriority w:val="0"/>
    <w:qFormat/>
    <w:rPr>
      <w:rFonts w:eastAsia="楷体_GB2312"/>
      <w:sz w:val="24"/>
      <w:lang w:val="en-US" w:eastAsia="zh-CN" w:bidi="ar-SA"/>
    </w:rPr>
  </w:style>
  <w:style w:type="character" w:styleId="980" w:customStyle="1">
    <w:name w:val="列出段落 Char"/>
    <w:link w:val="981"/>
    <w:uiPriority w:val="0"/>
    <w:qFormat/>
    <w:rPr>
      <w:rFonts w:eastAsia="楷体_GB2312"/>
      <w:sz w:val="26"/>
      <w:lang w:val="zh-CN" w:eastAsia="zh-CN" w:bidi="ar-SA"/>
    </w:rPr>
  </w:style>
  <w:style w:type="paragraph" w:styleId="981" w:customStyle="1">
    <w:name w:val="序号"/>
    <w:basedOn w:val="907"/>
    <w:next w:val="982"/>
    <w:link w:val="980"/>
    <w:uiPriority w:val="0"/>
    <w:qFormat/>
    <w:pPr>
      <w:ind w:firstLine="420"/>
    </w:pPr>
    <w:rPr>
      <w:lang w:val="zh-CN"/>
    </w:rPr>
  </w:style>
  <w:style w:type="paragraph" w:styleId="982" w:customStyle="1">
    <w:name w:val="列表段落1"/>
    <w:basedOn w:val="907"/>
    <w:uiPriority w:val="34"/>
    <w:qFormat/>
    <w:pPr>
      <w:ind w:firstLine="420"/>
    </w:pPr>
  </w:style>
  <w:style w:type="character" w:styleId="983" w:customStyle="1">
    <w:name w:val="纯文本 字符"/>
    <w:link w:val="933"/>
    <w:uiPriority w:val="0"/>
    <w:qFormat/>
    <w:rPr>
      <w:rFonts w:ascii="宋体" w:hAnsi="Courier New" w:eastAsia="楷体_GB2312"/>
      <w:sz w:val="26"/>
      <w:lang w:val="en-US" w:eastAsia="zh-CN" w:bidi="ar-SA"/>
    </w:rPr>
  </w:style>
  <w:style w:type="character" w:styleId="984" w:customStyle="1">
    <w:name w:val="日期 字符"/>
    <w:link w:val="936"/>
    <w:uiPriority w:val="0"/>
    <w:qFormat/>
    <w:rPr>
      <w:rFonts w:ascii="宋体" w:hAnsi="宋体" w:eastAsia="楷体_GB2312"/>
      <w:sz w:val="24"/>
      <w:lang w:val="en-US" w:eastAsia="zh-CN" w:bidi="ar-SA"/>
    </w:rPr>
  </w:style>
  <w:style w:type="character" w:styleId="985" w:customStyle="1">
    <w:name w:val="表格正文 字符"/>
    <w:link w:val="986"/>
    <w:uiPriority w:val="0"/>
    <w:qFormat/>
    <w:rPr>
      <w:rFonts w:ascii="宋体" w:hAnsi="宋体" w:eastAsia="楷体_GB2312"/>
      <w:sz w:val="26"/>
      <w:szCs w:val="24"/>
      <w:lang w:val="en-US" w:eastAsia="zh-CN" w:bidi="ar-SA"/>
    </w:rPr>
  </w:style>
  <w:style w:type="paragraph" w:styleId="986" w:customStyle="1">
    <w:name w:val="表格正文"/>
    <w:basedOn w:val="907"/>
    <w:next w:val="907"/>
    <w:link w:val="985"/>
    <w:uiPriority w:val="0"/>
    <w:qFormat/>
    <w:rPr>
      <w:rFonts w:ascii="宋体" w:hAnsi="宋体"/>
      <w:szCs w:val="24"/>
    </w:rPr>
  </w:style>
  <w:style w:type="character" w:styleId="987" w:customStyle="1">
    <w:name w:val="缩进正文 字符"/>
    <w:link w:val="988"/>
    <w:uiPriority w:val="0"/>
    <w:qFormat/>
    <w:rPr>
      <w:rFonts w:ascii="Calibri" w:hAnsi="Calibri" w:eastAsia="楷体_GB2312"/>
      <w:sz w:val="26"/>
      <w:szCs w:val="24"/>
      <w:lang w:val="en-US" w:eastAsia="zh-CN" w:bidi="ar-SA"/>
    </w:rPr>
  </w:style>
  <w:style w:type="paragraph" w:styleId="988" w:customStyle="1">
    <w:name w:val="缩进正文"/>
    <w:basedOn w:val="907"/>
    <w:link w:val="987"/>
    <w:uiPriority w:val="0"/>
    <w:qFormat/>
    <w:pPr>
      <w:ind w:firstLine="200"/>
    </w:pPr>
    <w:rPr>
      <w:rFonts w:ascii="Calibri" w:hAnsi="Calibri"/>
      <w:szCs w:val="24"/>
    </w:rPr>
  </w:style>
  <w:style w:type="paragraph" w:styleId="989" w:customStyle="1">
    <w:name w:val="Char Char Char"/>
    <w:basedOn w:val="907"/>
    <w:uiPriority w:val="0"/>
    <w:qFormat/>
    <w:pPr>
      <w:numPr>
        <w:ilvl w:val="0"/>
        <w:numId w:val="1"/>
      </w:numPr>
      <w:tabs>
        <w:tab w:val="clear" w:pos="432" w:leader="none"/>
        <w:tab w:val="left" w:pos="840" w:leader="none"/>
      </w:tabs>
    </w:pPr>
    <w:rPr>
      <w:rFonts w:eastAsia="宋体"/>
      <w:sz w:val="21"/>
      <w:szCs w:val="24"/>
    </w:rPr>
  </w:style>
  <w:style w:type="paragraph" w:styleId="990" w:customStyle="1">
    <w:name w:val="Char Char Char1 Char Char Char Char"/>
    <w:basedOn w:val="907"/>
    <w:uiPriority w:val="0"/>
    <w:qFormat/>
    <w:pPr>
      <w:jc w:val="left"/>
      <w:spacing w:after="160" w:line="240" w:lineRule="exact"/>
      <w:widowControl/>
    </w:pPr>
    <w:rPr>
      <w:rFonts w:eastAsia="宋体"/>
      <w:sz w:val="24"/>
      <w:szCs w:val="24"/>
    </w:rPr>
  </w:style>
  <w:style w:type="paragraph" w:styleId="991" w:customStyle="1">
    <w:name w:val="正文 A"/>
    <w:uiPriority w:val="0"/>
    <w:qFormat/>
    <w:pPr>
      <w:jc w:val="both"/>
      <w:widowControl w:val="off"/>
    </w:pPr>
    <w:rPr>
      <w:rFonts w:ascii="Times New Roman" w:hAnsi="Arial Unicode MS" w:eastAsia="Arial Unicode MS" w:cs="Arial Unicode MS"/>
      <w:color w:val="000000"/>
      <w:sz w:val="21"/>
      <w:szCs w:val="21"/>
      <w:lang w:val="en-US" w:eastAsia="zh-CN" w:bidi="ar-SA"/>
    </w:rPr>
  </w:style>
  <w:style w:type="paragraph" w:styleId="992" w:customStyle="1">
    <w:name w:val="首行缩进"/>
    <w:basedOn w:val="907"/>
    <w:uiPriority w:val="0"/>
    <w:qFormat/>
    <w:pPr>
      <w:ind w:firstLine="480"/>
    </w:pPr>
    <w:rPr>
      <w:lang w:val="zh-CN"/>
    </w:rPr>
  </w:style>
  <w:style w:type="paragraph" w:styleId="993" w:customStyle="1">
    <w:name w:val="纯文本1"/>
    <w:basedOn w:val="907"/>
    <w:uiPriority w:val="0"/>
    <w:qFormat/>
    <w:rPr>
      <w:rFonts w:ascii="宋体" w:hAnsi="Courier New"/>
    </w:rPr>
  </w:style>
  <w:style w:type="paragraph" w:styleId="994" w:customStyle="1">
    <w:name w:val="_Style 1"/>
    <w:basedOn w:val="907"/>
    <w:uiPriority w:val="34"/>
    <w:qFormat/>
    <w:pPr>
      <w:ind w:firstLine="420"/>
      <w:spacing w:line="312" w:lineRule="auto"/>
    </w:pPr>
  </w:style>
  <w:style w:type="paragraph" w:styleId="995" w:customStyle="1">
    <w:name w:val="_Style 12"/>
    <w:basedOn w:val="924"/>
    <w:uiPriority w:val="0"/>
    <w:qFormat/>
    <w:pPr>
      <w:spacing w:line="360" w:lineRule="auto"/>
    </w:pPr>
  </w:style>
  <w:style w:type="paragraph" w:styleId="996" w:customStyle="1">
    <w:name w:val="列出段落1"/>
    <w:basedOn w:val="907"/>
    <w:uiPriority w:val="0"/>
    <w:qFormat/>
    <w:pPr>
      <w:ind w:firstLine="420"/>
    </w:pPr>
    <w:rPr>
      <w:rFonts w:ascii="Calibri" w:hAnsi="Calibri"/>
      <w:szCs w:val="21"/>
    </w:rPr>
  </w:style>
  <w:style w:type="paragraph" w:styleId="997" w:customStyle="1">
    <w:name w:val="缩进正文-"/>
    <w:basedOn w:val="907"/>
    <w:uiPriority w:val="0"/>
    <w:qFormat/>
    <w:pPr>
      <w:ind w:firstLine="200"/>
      <w:spacing w:before="100" w:beforeAutospacing="1" w:line="360" w:lineRule="auto"/>
    </w:pPr>
    <w:rPr>
      <w:rFonts w:ascii="宋体" w:hAnsi="宋体" w:eastAsia="宋体"/>
      <w:color w:val="000000"/>
      <w:sz w:val="24"/>
      <w:szCs w:val="21"/>
    </w:rPr>
  </w:style>
  <w:style w:type="paragraph" w:styleId="998" w:customStyle="1">
    <w:name w:val="*正文"/>
    <w:basedOn w:val="907"/>
    <w:uiPriority w:val="0"/>
    <w:qFormat/>
    <w:pPr>
      <w:ind w:firstLine="200"/>
      <w:spacing w:line="360" w:lineRule="auto"/>
      <w:widowControl/>
    </w:pPr>
    <w:rPr>
      <w:rFonts w:ascii="仿宋_GB2312" w:hAnsi="Calibri" w:eastAsia="仿宋_GB2312"/>
      <w:sz w:val="24"/>
      <w:szCs w:val="28"/>
    </w:rPr>
  </w:style>
  <w:style w:type="paragraph" w:styleId="999" w:customStyle="1">
    <w:name w:val="纯文本11"/>
    <w:basedOn w:val="907"/>
    <w:uiPriority w:val="99"/>
    <w:qFormat/>
    <w:rPr>
      <w:rFonts w:ascii="宋体" w:hAnsi="Courier New"/>
    </w:rPr>
  </w:style>
  <w:style w:type="paragraph" w:styleId="1000" w:customStyle="1">
    <w:name w:val="Char Char Char1 Char"/>
    <w:basedOn w:val="907"/>
    <w:uiPriority w:val="0"/>
    <w:semiHidden/>
    <w:qFormat/>
    <w:pPr>
      <w:ind w:firstLine="200"/>
      <w:spacing w:line="360" w:lineRule="auto"/>
    </w:pPr>
    <w:rPr>
      <w:rFonts w:ascii="宋体" w:hAnsi="宋体" w:cs="宋体"/>
      <w:sz w:val="24"/>
    </w:rPr>
  </w:style>
  <w:style w:type="paragraph" w:styleId="1001" w:customStyle="1">
    <w:name w:val="Char Char1 Char Char Char Char"/>
    <w:basedOn w:val="924"/>
    <w:uiPriority w:val="0"/>
    <w:qFormat/>
    <w:pPr>
      <w:spacing w:line="360" w:lineRule="auto"/>
    </w:pPr>
    <w:rPr>
      <w:rFonts w:ascii="Tahoma" w:hAnsi="Tahoma" w:eastAsia="宋体"/>
      <w:sz w:val="24"/>
      <w:szCs w:val="24"/>
    </w:rPr>
  </w:style>
  <w:style w:type="paragraph" w:styleId="1002" w:customStyle="1">
    <w:name w:val="p0"/>
    <w:basedOn w:val="907"/>
    <w:uiPriority w:val="0"/>
    <w:qFormat/>
    <w:rPr>
      <w:rFonts w:hint="eastAsia"/>
    </w:rPr>
  </w:style>
  <w:style w:type="paragraph" w:styleId="1003">
    <w:name w:val="List Paragraph"/>
    <w:basedOn w:val="907"/>
    <w:uiPriority w:val="34"/>
    <w:qFormat/>
    <w:pPr>
      <w:ind w:firstLine="420"/>
    </w:pPr>
    <w:rPr>
      <w:rFonts w:ascii="宋体" w:hAnsi="宋体" w:eastAsia="宋体"/>
      <w:sz w:val="24"/>
      <w:szCs w:val="24"/>
    </w:rPr>
  </w:style>
  <w:style w:type="paragraph" w:styleId="1004" w:customStyle="1">
    <w:name w:val="Char"/>
    <w:basedOn w:val="907"/>
    <w:uiPriority w:val="0"/>
    <w:qFormat/>
    <w:rPr>
      <w:rFonts w:ascii="Tahoma" w:hAnsi="Tahoma" w:eastAsia="宋体"/>
      <w:sz w:val="24"/>
    </w:rPr>
  </w:style>
  <w:style w:type="paragraph" w:styleId="1005" w:customStyle="1">
    <w:name w:val="列出段落2"/>
    <w:basedOn w:val="907"/>
    <w:uiPriority w:val="34"/>
    <w:qFormat/>
    <w:pPr>
      <w:ind w:firstLine="420"/>
    </w:pPr>
  </w:style>
  <w:style w:type="paragraph" w:styleId="1006" w:customStyle="1">
    <w:name w:val="纯文本12"/>
    <w:basedOn w:val="907"/>
    <w:uiPriority w:val="0"/>
    <w:qFormat/>
    <w:rPr>
      <w:rFonts w:ascii="宋体" w:hAnsi="Courier New"/>
    </w:rPr>
  </w:style>
  <w:style w:type="paragraph" w:styleId="1007" w:customStyle="1">
    <w:name w:val="纯文本2"/>
    <w:basedOn w:val="907"/>
    <w:uiPriority w:val="0"/>
    <w:qFormat/>
    <w:rPr>
      <w:rFonts w:ascii="宋体" w:hAnsi="Courier New"/>
    </w:rPr>
  </w:style>
  <w:style w:type="paragraph" w:styleId="1008" w:customStyle="1">
    <w:name w:val="Char1"/>
    <w:basedOn w:val="907"/>
    <w:uiPriority w:val="0"/>
    <w:qFormat/>
    <w:rPr>
      <w:rFonts w:ascii="Tahoma" w:hAnsi="Tahoma" w:eastAsia="宋体"/>
      <w:sz w:val="24"/>
    </w:rPr>
  </w:style>
  <w:style w:type="paragraph" w:styleId="1009" w:customStyle="1">
    <w:name w:val="表格内容"/>
    <w:basedOn w:val="907"/>
    <w:uiPriority w:val="0"/>
    <w:qFormat/>
    <w:pPr>
      <w:jc w:val="left"/>
      <w:spacing w:before="100" w:beforeAutospacing="1" w:after="100" w:afterAutospacing="1" w:line="360" w:lineRule="auto"/>
    </w:pPr>
    <w:rPr>
      <w:rFonts w:ascii="宋体" w:hAnsi="宋体" w:eastAsia="宋体"/>
      <w:bCs/>
      <w:sz w:val="21"/>
      <w:szCs w:val="21"/>
    </w:rPr>
  </w:style>
  <w:style w:type="paragraph" w:styleId="1010" w:customStyle="1">
    <w:name w:val="纯文本3"/>
    <w:basedOn w:val="907"/>
    <w:uiPriority w:val="0"/>
    <w:qFormat/>
    <w:rPr>
      <w:rFonts w:ascii="宋体" w:hAnsi="Courier New"/>
      <w:sz w:val="28"/>
    </w:rPr>
  </w:style>
  <w:style w:type="paragraph" w:styleId="1011" w:customStyle="1">
    <w:name w:val="font7"/>
    <w:basedOn w:val="907"/>
    <w:uiPriority w:val="0"/>
    <w:qFormat/>
    <w:pPr>
      <w:jc w:val="left"/>
      <w:spacing w:before="100" w:beforeAutospacing="1" w:after="100" w:afterAutospacing="1"/>
      <w:widowControl/>
    </w:pPr>
    <w:rPr>
      <w:rFonts w:eastAsia="宋体"/>
      <w:sz w:val="20"/>
    </w:rPr>
  </w:style>
  <w:style w:type="paragraph" w:styleId="1012" w:customStyle="1">
    <w:name w:val="纯文本4"/>
    <w:basedOn w:val="907"/>
    <w:uiPriority w:val="0"/>
    <w:qFormat/>
    <w:rPr>
      <w:rFonts w:ascii="宋体" w:hAnsi="Courier New"/>
    </w:rPr>
  </w:style>
  <w:style w:type="paragraph" w:styleId="1013" w:customStyle="1">
    <w:name w:val="纯文本5"/>
    <w:basedOn w:val="907"/>
    <w:uiPriority w:val="0"/>
    <w:qFormat/>
    <w:rPr>
      <w:rFonts w:ascii="宋体" w:hAnsi="Courier New"/>
      <w:sz w:val="28"/>
    </w:rPr>
  </w:style>
  <w:style w:type="paragraph" w:styleId="1014" w:customStyle="1">
    <w:name w:val="Default"/>
    <w:uiPriority w:val="0"/>
    <w:qFormat/>
    <w:pPr>
      <w:widowControl w:val="off"/>
    </w:pPr>
    <w:rPr>
      <w:rFonts w:ascii="宋体" w:hAnsi="Calibri" w:eastAsia="宋体" w:cs="宋体"/>
      <w:color w:val="000000"/>
      <w:sz w:val="24"/>
      <w:szCs w:val="24"/>
      <w:lang w:val="en-US" w:eastAsia="zh-CN" w:bidi="ar-SA"/>
    </w:rPr>
  </w:style>
  <w:style w:type="character" w:styleId="1015" w:customStyle="1">
    <w:name w:val="font171"/>
    <w:basedOn w:val="917"/>
    <w:uiPriority w:val="0"/>
    <w:qFormat/>
    <w:rPr>
      <w:rFonts w:hint="eastAsia" w:ascii="宋体" w:hAnsi="宋体" w:eastAsia="宋体" w:cs="宋体"/>
      <w:b/>
      <w:bCs/>
      <w:color w:val="000000"/>
      <w:sz w:val="36"/>
      <w:szCs w:val="36"/>
      <w:u w:val="none"/>
    </w:rPr>
  </w:style>
  <w:style w:type="character" w:styleId="1016" w:customStyle="1">
    <w:name w:val="font41"/>
    <w:basedOn w:val="917"/>
    <w:uiPriority w:val="0"/>
    <w:qFormat/>
    <w:rPr>
      <w:rFonts w:hint="default" w:ascii="Times New Roman" w:hAnsi="Times New Roman" w:cs="Times New Roman"/>
      <w:b/>
      <w:bCs/>
      <w:color w:val="000000"/>
      <w:sz w:val="36"/>
      <w:szCs w:val="36"/>
      <w:u w:val="none"/>
    </w:rPr>
  </w:style>
  <w:style w:type="character" w:styleId="1017" w:customStyle="1">
    <w:name w:val="font101"/>
    <w:basedOn w:val="917"/>
    <w:uiPriority w:val="0"/>
    <w:qFormat/>
    <w:rPr>
      <w:rFonts w:hint="eastAsia" w:ascii="宋体" w:hAnsi="宋体" w:eastAsia="宋体" w:cs="宋体"/>
      <w:b/>
      <w:bCs/>
      <w:color w:val="000000"/>
      <w:sz w:val="24"/>
      <w:szCs w:val="24"/>
      <w:u w:val="none"/>
    </w:rPr>
  </w:style>
  <w:style w:type="character" w:styleId="1018" w:customStyle="1">
    <w:name w:val="font91"/>
    <w:basedOn w:val="917"/>
    <w:uiPriority w:val="0"/>
    <w:qFormat/>
    <w:rPr>
      <w:rFonts w:hint="default" w:ascii="Times New Roman" w:hAnsi="Times New Roman" w:cs="Times New Roman"/>
      <w:b/>
      <w:bCs/>
      <w:color w:val="000000"/>
      <w:sz w:val="24"/>
      <w:szCs w:val="24"/>
      <w:u w:val="none"/>
    </w:rPr>
  </w:style>
  <w:style w:type="character" w:styleId="1019" w:customStyle="1">
    <w:name w:val="font121"/>
    <w:basedOn w:val="917"/>
    <w:uiPriority w:val="0"/>
    <w:qFormat/>
    <w:rPr>
      <w:rFonts w:hint="eastAsia" w:ascii="宋体" w:hAnsi="宋体" w:eastAsia="宋体" w:cs="宋体"/>
      <w:color w:val="000000"/>
      <w:sz w:val="24"/>
      <w:szCs w:val="24"/>
      <w:u w:val="none"/>
    </w:rPr>
  </w:style>
  <w:style w:type="character" w:styleId="1020" w:customStyle="1">
    <w:name w:val="font61"/>
    <w:basedOn w:val="917"/>
    <w:uiPriority w:val="0"/>
    <w:qFormat/>
    <w:rPr>
      <w:rFonts w:hint="default" w:ascii="Times New Roman" w:hAnsi="Times New Roman" w:cs="Times New Roman"/>
      <w:color w:val="000000"/>
      <w:sz w:val="24"/>
      <w:szCs w:val="24"/>
      <w:u w:val="none"/>
    </w:rPr>
  </w:style>
  <w:style w:type="character" w:styleId="1021" w:customStyle="1">
    <w:name w:val="font151"/>
    <w:basedOn w:val="917"/>
    <w:uiPriority w:val="0"/>
    <w:qFormat/>
    <w:rPr>
      <w:rFonts w:ascii="宋体" w:hAnsi="宋体" w:eastAsia="宋体" w:cs="宋体"/>
      <w:color w:val="000000"/>
      <w:sz w:val="24"/>
      <w:szCs w:val="24"/>
      <w:u w:val="none"/>
    </w:rPr>
  </w:style>
  <w:style w:type="paragraph" w:styleId="1022" w:customStyle="1">
    <w:name w:val="正文_1_0"/>
    <w:uiPriority w:val="99"/>
    <w:qFormat/>
    <w:pPr>
      <w:jc w:val="both"/>
      <w:widowControl w:val="off"/>
    </w:pPr>
    <w:rPr>
      <w:rFonts w:ascii="Calibri" w:hAnsi="Calibri" w:eastAsia="宋体" w:cs="Times New Roman"/>
      <w:sz w:val="21"/>
      <w:szCs w:val="22"/>
      <w:lang w:val="en-US" w:eastAsia="zh-CN" w:bidi="ar-SA"/>
    </w:rPr>
  </w:style>
  <w:style w:type="paragraph" w:styleId="1023" w:customStyle="1">
    <w:name w:val="msolistparagraph"/>
    <w:basedOn w:val="907"/>
    <w:uiPriority w:val="0"/>
    <w:qFormat/>
    <w:pPr>
      <w:ind w:firstLine="420"/>
    </w:pPr>
    <w:rPr>
      <w:szCs w:val="21"/>
    </w:rPr>
  </w:style>
  <w:style w:type="paragraph" w:styleId="1024" w:customStyle="1">
    <w:name w:val="Table Paragraph"/>
    <w:basedOn w:val="907"/>
    <w:uiPriority w:val="1"/>
    <w:qFormat/>
    <w:rPr>
      <w:rFonts w:ascii="宋体" w:hAnsi="宋体" w:cs="宋体"/>
      <w:lang w:val="zh-CN" w:bidi="zh-CN"/>
    </w:rPr>
  </w:style>
  <w:style w:type="character" w:styleId="1025" w:customStyle="1">
    <w:name w:val="font21"/>
    <w:basedOn w:val="917"/>
    <w:uiPriority w:val="0"/>
    <w:qFormat/>
    <w:rPr>
      <w:rFonts w:hint="eastAsia" w:ascii="仿宋" w:hAnsi="仿宋" w:eastAsia="仿宋" w:cs="仿宋"/>
      <w:color w:val="000000"/>
      <w:sz w:val="22"/>
      <w:szCs w:val="22"/>
      <w:u w:val="none"/>
    </w:rPr>
  </w:style>
  <w:style w:type="character" w:styleId="1026" w:customStyle="1">
    <w:name w:val="font71"/>
    <w:basedOn w:val="917"/>
    <w:uiPriority w:val="0"/>
    <w:qFormat/>
    <w:rPr>
      <w:rFonts w:hint="eastAsia" w:ascii="宋体" w:hAnsi="宋体" w:eastAsia="宋体" w:cs="宋体"/>
      <w:color w:val="000000"/>
      <w:sz w:val="22"/>
      <w:szCs w:val="22"/>
      <w:u w:val="none"/>
    </w:rPr>
  </w:style>
  <w:style w:type="character" w:styleId="1027" w:customStyle="1">
    <w:name w:val="font01"/>
    <w:basedOn w:val="917"/>
    <w:uiPriority w:val="0"/>
    <w:qFormat/>
    <w:rPr>
      <w:rFonts w:hint="eastAsia" w:ascii="宋体" w:hAnsi="宋体" w:eastAsia="宋体" w:cs="宋体"/>
      <w:color w:val="000000"/>
      <w:sz w:val="22"/>
      <w:szCs w:val="22"/>
      <w:u w:val="none"/>
    </w:rPr>
  </w:style>
  <w:style w:type="character" w:styleId="1028" w:customStyle="1">
    <w:name w:val="font11"/>
    <w:basedOn w:val="917"/>
    <w:uiPriority w:val="0"/>
    <w:qFormat/>
    <w:rPr>
      <w:rFonts w:hint="eastAsia" w:ascii="宋体" w:hAnsi="宋体" w:eastAsia="宋体" w:cs="宋体"/>
      <w:color w:val="ff0000"/>
      <w:sz w:val="22"/>
      <w:szCs w:val="22"/>
      <w:u w:val="none"/>
    </w:rPr>
  </w:style>
  <w:style w:type="character" w:styleId="1029" w:customStyle="1">
    <w:name w:val="font31"/>
    <w:basedOn w:val="917"/>
    <w:uiPriority w:val="0"/>
    <w:qFormat/>
    <w:rPr>
      <w:rFonts w:hint="eastAsia" w:ascii="宋体" w:hAnsi="宋体" w:eastAsia="宋体" w:cs="宋体"/>
      <w:color w:val="ff0000"/>
      <w:sz w:val="22"/>
      <w:szCs w:val="22"/>
      <w:u w:val="none"/>
    </w:rPr>
  </w:style>
  <w:style w:type="paragraph" w:styleId="1030" w:customStyle="1">
    <w:name w:val="p2"/>
    <w:basedOn w:val="907"/>
    <w:uiPriority w:val="0"/>
    <w:qFormat/>
    <w:pPr>
      <w:spacing w:before="100" w:beforeAutospacing="1" w:after="100" w:afterAutospacing="1"/>
    </w:pPr>
    <w:rPr>
      <w:rFonts w:ascii="宋体" w:hAnsi="宋体"/>
      <w:sz w:val="24"/>
      <w:szCs w:val="24"/>
    </w:rPr>
  </w:style>
  <w:style w:type="character" w:styleId="1031" w:customStyle="1">
    <w:name w:val="批注文字 字符"/>
    <w:link w:val="925"/>
    <w:uiPriority w:val="0"/>
    <w:qFormat/>
    <w:rPr>
      <w:rFonts w:eastAsia="楷体_GB2312"/>
      <w:sz w:val="26"/>
    </w:rPr>
  </w:style>
  <w:style w:type="character" w:styleId="1032" w:customStyle="1">
    <w:name w:val="NormalCharacter"/>
    <w:link w:val="1033"/>
    <w:uiPriority w:val="0"/>
    <w:qFormat/>
    <w:rPr>
      <w:sz w:val="20"/>
      <w:szCs w:val="20"/>
    </w:rPr>
  </w:style>
  <w:style w:type="paragraph" w:styleId="1033" w:customStyle="1">
    <w:name w:val="UserStyle_4"/>
    <w:basedOn w:val="907"/>
    <w:link w:val="1032"/>
    <w:uiPriority w:val="99"/>
    <w:qFormat/>
    <w:rPr>
      <w:sz w:val="20"/>
    </w:rPr>
  </w:style>
  <w:style w:type="character" w:styleId="1034" w:customStyle="1">
    <w:name w:val="hover"/>
    <w:basedOn w:val="917"/>
    <w:uiPriority w:val="0"/>
    <w:qFormat/>
    <w:rPr>
      <w:color w:val="2590eb"/>
    </w:rPr>
  </w:style>
  <w:style w:type="character" w:styleId="1035" w:customStyle="1">
    <w:name w:val="hover1"/>
    <w:basedOn w:val="917"/>
    <w:uiPriority w:val="0"/>
    <w:qFormat/>
  </w:style>
  <w:style w:type="character" w:styleId="1036" w:customStyle="1">
    <w:name w:val="hover2"/>
    <w:basedOn w:val="917"/>
    <w:uiPriority w:val="0"/>
    <w:qFormat/>
    <w:rPr>
      <w:color w:val="2590eb"/>
    </w:rPr>
  </w:style>
  <w:style w:type="character" w:styleId="1037" w:customStyle="1">
    <w:name w:val="15"/>
    <w:basedOn w:val="917"/>
    <w:uiPriority w:val="0"/>
    <w:qFormat/>
  </w:style>
  <w:style w:type="paragraph" w:styleId="1038" w:customStyle="1">
    <w:name w:val="p"/>
    <w:basedOn w:val="907"/>
    <w:uiPriority w:val="0"/>
    <w:qFormat/>
    <w:pPr>
      <w:jc w:val="left"/>
      <w:spacing w:before="100" w:beforeAutospacing="1" w:after="100" w:afterAutospacing="1"/>
      <w:widowControl/>
    </w:pPr>
    <w:rPr>
      <w:rFonts w:ascii="宋体" w:hAnsi="宋体" w:eastAsia="宋体" w:cs="宋体"/>
      <w:sz w:val="24"/>
      <w:szCs w:val="24"/>
    </w:rPr>
  </w:style>
  <w:style w:type="character" w:styleId="1039" w:customStyle="1">
    <w:name w:val="页脚 字符"/>
    <w:basedOn w:val="917"/>
    <w:link w:val="939"/>
    <w:uiPriority w:val="99"/>
    <w:qFormat/>
    <w:rPr>
      <w:rFonts w:eastAsia="楷体_GB2312"/>
      <w:sz w:val="18"/>
    </w:rPr>
  </w:style>
  <w:style w:type="character" w:styleId="1040" w:customStyle="1">
    <w:name w:val="页眉 字符"/>
    <w:basedOn w:val="917"/>
    <w:link w:val="941"/>
    <w:uiPriority w:val="99"/>
    <w:qFormat/>
    <w:rPr>
      <w:rFonts w:eastAsia="楷体_GB2312"/>
      <w:sz w:val="18"/>
    </w:rPr>
  </w:style>
  <w:style w:type="character" w:styleId="1041" w:customStyle="1">
    <w:name w:val="标题 1 字符"/>
    <w:link w:val="908"/>
    <w:uiPriority w:val="0"/>
    <w:qFormat/>
    <w:rPr>
      <w:rFonts w:eastAsia="楷体_GB2312"/>
      <w:b/>
      <w:sz w:val="44"/>
    </w:rPr>
  </w:style>
  <w:style w:type="character" w:styleId="1042" w:customStyle="1">
    <w:name w:val="标题 字符"/>
    <w:basedOn w:val="917"/>
    <w:link w:val="957"/>
    <w:uiPriority w:val="10"/>
    <w:qFormat/>
    <w:rPr>
      <w:rFonts w:ascii="黑体" w:hAnsi="黑体" w:eastAsia="黑体"/>
      <w:sz w:val="28"/>
      <w:szCs w:val="24"/>
    </w:rPr>
  </w:style>
  <w:style w:type="paragraph" w:styleId="1043" w:customStyle="1">
    <w:name w:val="UserStyle_780"/>
    <w:basedOn w:val="907"/>
    <w:uiPriority w:val="0"/>
    <w:qFormat/>
    <w:rPr>
      <w:rFonts w:ascii="宋体" w:hAnsi="Courier New"/>
      <w:sz w:val="28"/>
      <w:szCs w:val="24"/>
    </w:rPr>
  </w:style>
  <w:style w:type="paragraph" w:styleId="1044" w:customStyle="1">
    <w:name w:val="修订1"/>
    <w:hidden/>
    <w:uiPriority w:val="99"/>
    <w:semiHidden/>
    <w:qFormat/>
    <w:rPr>
      <w:rFonts w:ascii="Times New Roman" w:hAnsi="Times New Roman" w:eastAsia="楷体_GB2312" w:cs="Times New Roman"/>
      <w:sz w:val="26"/>
      <w:lang w:val="en-US" w:eastAsia="zh-CN" w:bidi="ar-SA"/>
    </w:rPr>
  </w:style>
  <w:style w:type="paragraph" w:styleId="1045" w:customStyle="1">
    <w:name w:val="修订2"/>
    <w:hidden/>
    <w:uiPriority w:val="99"/>
    <w:unhideWhenUsed/>
    <w:qFormat/>
    <w:rPr>
      <w:rFonts w:ascii="Times New Roman" w:hAnsi="Times New Roman" w:eastAsia="楷体_GB2312" w:cs="Times New Roman"/>
      <w:sz w:val="26"/>
      <w:lang w:val="en-US" w:eastAsia="zh-CN" w:bidi="ar-SA"/>
    </w:rPr>
  </w:style>
  <w:style w:type="character" w:styleId="1046" w:customStyle="1">
    <w:name w:val="16"/>
    <w:basedOn w:val="917"/>
    <w:uiPriority w:val="0"/>
    <w:qFormat/>
    <w:rPr>
      <w:rFonts w:hint="default" w:ascii="Times New Roman" w:hAnsi="Times New Roman" w:cs="Times New Roman"/>
      <w:i/>
    </w:rPr>
  </w:style>
  <w:style w:type="numbering" w:styleId="10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1C3A554-1112-4FD0-BC7E-588FAB29DDB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shen</dc:creator>
  <cp:lastModifiedBy>沈鹰</cp:lastModifiedBy>
  <cp:revision>5</cp:revision>
  <dcterms:created xsi:type="dcterms:W3CDTF">2026-09-04T08:47:00Z</dcterms:created>
  <dcterms:modified xsi:type="dcterms:W3CDTF">2026-09-17T05:54:03Z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4776267A04CD4191B30640D8CD414117_13</vt:lpwstr>
  </property>
  <property fmtid="{D5CDD505-2E9C-101B-9397-08002B2CF9AE}" pid="4" name="KSOTemplateDocerSaveRecord">
    <vt:lpwstr>eyJoZGlkIjoiZTg1ZjBiYjczODk3ZDAxZTcxNzhmZTc1ZjVmOWU3NDAiLCJ1c2VySWQiOiI0MTgxMDg2MzUifQ==</vt:lpwstr>
  </property>
</Properties>
</file>