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5"/>
        <w:ind w:firstLine="0"/>
        <w:rPr>
          <w:rFonts w:hint="eastAsia" w:eastAsia="黑体"/>
          <w:b/>
          <w:bCs/>
          <w:color w:val="000000"/>
          <w:sz w:val="84"/>
        </w:rPr>
      </w:pPr>
      <w:r>
        <w:rPr>
          <w:rFonts w:hint="eastAsia" w:eastAsia="黑体"/>
          <w:b/>
          <w:bCs/>
          <w:color w:val="000000"/>
          <w:sz w:val="84"/>
        </w:rPr>
      </w:r>
      <w:r/>
    </w:p>
    <w:p>
      <w:pPr>
        <w:pStyle w:val="995"/>
        <w:ind w:firstLine="0"/>
        <w:jc w:val="center"/>
        <w:rPr>
          <w:rFonts w:hint="eastAsia" w:eastAsia="黑体"/>
          <w:b/>
          <w:bCs/>
          <w:color w:val="000000"/>
          <w:sz w:val="84"/>
        </w:rPr>
      </w:pPr>
      <w:r>
        <w:rPr>
          <w:rFonts w:hint="eastAsia" w:eastAsia="黑体"/>
          <w:b/>
          <w:bCs/>
          <w:color w:val="000000"/>
          <w:sz w:val="84"/>
        </w:rPr>
        <w:t xml:space="preserve">招　标　文　件</w:t>
      </w:r>
      <w:r/>
    </w:p>
    <w:p>
      <w:pPr>
        <w:pStyle w:val="995"/>
        <w:ind w:firstLine="0"/>
        <w:rPr>
          <w:rFonts w:hint="eastAsia"/>
          <w:b/>
          <w:bCs/>
          <w:color w:val="000000"/>
          <w:sz w:val="32"/>
        </w:rPr>
      </w:pPr>
      <w:r>
        <w:rPr>
          <w:rFonts w:hint="eastAsia"/>
          <w:b/>
          <w:bCs/>
          <w:color w:val="000000"/>
          <w:sz w:val="32"/>
        </w:rPr>
      </w:r>
      <w:r/>
    </w:p>
    <w:p>
      <w:pPr>
        <w:pStyle w:val="995"/>
        <w:ind w:firstLine="0"/>
        <w:rPr>
          <w:rFonts w:hint="eastAsia"/>
          <w:b/>
          <w:bCs/>
          <w:color w:val="000000"/>
          <w:sz w:val="32"/>
        </w:rPr>
      </w:pPr>
      <w:r>
        <w:rPr>
          <w:rFonts w:hint="eastAsia"/>
          <w:b/>
          <w:bCs/>
          <w:color w:val="000000"/>
          <w:sz w:val="32"/>
        </w:rPr>
      </w:r>
      <w:r/>
    </w:p>
    <w:p>
      <w:pPr>
        <w:pStyle w:val="995"/>
        <w:ind w:firstLine="0"/>
        <w:rPr>
          <w:rFonts w:hint="eastAsia"/>
          <w:b/>
          <w:bCs/>
          <w:color w:val="000000"/>
          <w:sz w:val="32"/>
        </w:rPr>
      </w:pPr>
      <w:r>
        <w:rPr>
          <w:rFonts w:hint="eastAsia"/>
          <w:b/>
          <w:bCs/>
          <w:color w:val="000000"/>
          <w:sz w:val="32"/>
        </w:rPr>
      </w:r>
      <w:r/>
    </w:p>
    <w:p>
      <w:pPr>
        <w:pStyle w:val="995"/>
        <w:ind w:firstLine="0"/>
        <w:jc w:val="center"/>
        <w:rPr>
          <w:rFonts w:hint="eastAsia"/>
          <w:b/>
          <w:bCs/>
          <w:color w:val="000000"/>
          <w:sz w:val="32"/>
        </w:rPr>
      </w:pPr>
      <w:r>
        <w:rPr>
          <w:rFonts w:hint="eastAsia"/>
          <w:b/>
          <w:bCs/>
          <w:color w:val="000000"/>
          <w:sz w:val="32"/>
        </w:rPr>
        <w:t xml:space="preserve">项目名称：</w:t>
      </w:r>
      <w:r>
        <w:rPr>
          <w:b/>
          <w:bCs/>
          <w:color w:val="000000"/>
          <w:sz w:val="32"/>
        </w:rPr>
        <w:t xml:space="preserve">“江苏数字广电”项目</w:t>
      </w:r>
      <w:r>
        <w:rPr>
          <w:rFonts w:hint="eastAsia"/>
          <w:b/>
          <w:bCs/>
          <w:color w:val="000000"/>
          <w:sz w:val="32"/>
        </w:rPr>
      </w:r>
      <w:r/>
    </w:p>
    <w:p>
      <w:pPr>
        <w:pStyle w:val="995"/>
        <w:ind w:firstLine="0"/>
        <w:jc w:val="center"/>
        <w:rPr>
          <w:b/>
          <w:color w:val="000000"/>
          <w:sz w:val="30"/>
          <w:szCs w:val="30"/>
        </w:rPr>
      </w:pPr>
      <w:r>
        <w:rPr>
          <w:rFonts w:hint="eastAsia"/>
          <w:b/>
          <w:bCs/>
          <w:color w:val="000000"/>
          <w:sz w:val="32"/>
        </w:rPr>
        <w:t xml:space="preserve">采购编号：</w:t>
      </w:r>
      <w:r>
        <w:rPr>
          <w:b/>
          <w:bCs/>
          <w:color w:val="000000"/>
          <w:sz w:val="32"/>
        </w:rPr>
        <w:t xml:space="preserve">JSZC-320000-SCZX-G2026-0461</w:t>
      </w:r>
      <w:r>
        <w:rPr>
          <w:b/>
          <w:color w:val="000000"/>
          <w:sz w:val="30"/>
          <w:szCs w:val="30"/>
        </w:rPr>
      </w:r>
      <w:r/>
    </w:p>
    <w:p>
      <w:pPr>
        <w:pStyle w:val="907"/>
        <w:ind w:left="2811" w:hanging="2811"/>
        <w:jc w:val="center"/>
        <w:rPr>
          <w:rFonts w:hint="eastAsia"/>
          <w:b/>
          <w:color w:val="000000"/>
          <w:sz w:val="28"/>
          <w:szCs w:val="28"/>
        </w:rPr>
      </w:pPr>
      <w:r>
        <w:rPr>
          <w:rFonts w:hint="eastAsia"/>
          <w:b/>
          <w:color w:val="000000"/>
          <w:sz w:val="28"/>
          <w:szCs w:val="28"/>
        </w:rPr>
      </w:r>
      <w:r/>
    </w:p>
    <w:p>
      <w:pPr>
        <w:pStyle w:val="907"/>
        <w:ind w:left="2409" w:hanging="2409"/>
        <w:jc w:val="center"/>
        <w:rPr>
          <w:rFonts w:hint="eastAsia"/>
          <w:b/>
          <w:color w:val="000000"/>
          <w:sz w:val="24"/>
          <w:szCs w:val="24"/>
        </w:rPr>
      </w:pPr>
      <w:r>
        <w:rPr>
          <w:rFonts w:hint="eastAsia"/>
          <w:b/>
          <w:color w:val="000000"/>
          <w:sz w:val="24"/>
          <w:szCs w:val="24"/>
        </w:rPr>
      </w:r>
      <w:r/>
    </w:p>
    <w:p>
      <w:pPr>
        <w:pStyle w:val="995"/>
        <w:ind w:firstLine="0"/>
        <w:spacing w:before="0" w:after="0"/>
        <w:rPr>
          <w:rFonts w:hint="eastAsia" w:ascii="宋体" w:hAnsi="宋体"/>
          <w:color w:val="000000"/>
        </w:rPr>
      </w:pPr>
      <w:r>
        <w:rPr>
          <w:rFonts w:hint="eastAsia" w:ascii="宋体" w:hAnsi="宋体"/>
          <w:color w:val="000000"/>
        </w:rPr>
      </w:r>
      <w:r/>
    </w:p>
    <w:p>
      <w:pPr>
        <w:pStyle w:val="995"/>
        <w:ind w:firstLine="0"/>
        <w:spacing w:before="0" w:after="0"/>
        <w:rPr>
          <w:rFonts w:hint="eastAsia" w:ascii="宋体" w:hAnsi="宋体"/>
          <w:color w:val="000000"/>
        </w:rPr>
      </w:pPr>
      <w:r>
        <w:rPr>
          <w:rFonts w:hint="eastAsia" w:ascii="宋体" w:hAnsi="宋体"/>
          <w:color w:val="000000"/>
        </w:rPr>
      </w:r>
      <w:r/>
    </w:p>
    <w:p>
      <w:pPr>
        <w:pStyle w:val="995"/>
        <w:ind w:firstLine="0"/>
        <w:spacing w:before="0" w:after="0"/>
        <w:rPr>
          <w:rFonts w:hint="eastAsia" w:ascii="宋体" w:hAnsi="宋体"/>
          <w:color w:val="000000"/>
        </w:rPr>
      </w:pPr>
      <w:r>
        <w:rPr>
          <w:rFonts w:hint="eastAsia" w:ascii="宋体" w:hAnsi="宋体"/>
          <w:color w:val="000000"/>
        </w:rPr>
      </w:r>
      <w:r/>
    </w:p>
    <w:p>
      <w:pPr>
        <w:pStyle w:val="995"/>
        <w:ind w:firstLine="0"/>
        <w:spacing w:before="0" w:after="0"/>
        <w:rPr>
          <w:rFonts w:hint="eastAsia" w:ascii="宋体" w:hAnsi="宋体"/>
          <w:color w:val="000000"/>
        </w:rPr>
      </w:pPr>
      <w:r>
        <w:rPr>
          <w:rFonts w:hint="eastAsia" w:ascii="宋体" w:hAnsi="宋体"/>
          <w:color w:val="000000"/>
        </w:rPr>
      </w:r>
      <w:r/>
    </w:p>
    <w:p>
      <w:pPr>
        <w:pStyle w:val="995"/>
        <w:ind w:firstLine="0"/>
        <w:spacing w:before="0" w:after="0"/>
        <w:rPr>
          <w:rFonts w:hint="eastAsia" w:ascii="宋体" w:hAnsi="宋体"/>
          <w:color w:val="000000"/>
        </w:rPr>
      </w:pPr>
      <w:r>
        <w:rPr>
          <w:rFonts w:hint="eastAsia" w:ascii="宋体" w:hAnsi="宋体"/>
          <w:color w:val="000000"/>
        </w:rPr>
      </w:r>
      <w:r/>
    </w:p>
    <w:p>
      <w:pPr>
        <w:pStyle w:val="995"/>
        <w:ind w:firstLine="0"/>
        <w:spacing w:before="0" w:after="0"/>
        <w:rPr>
          <w:rFonts w:hint="eastAsia" w:ascii="宋体" w:hAnsi="宋体"/>
          <w:color w:val="000000"/>
        </w:rPr>
      </w:pPr>
      <w:r>
        <w:rPr>
          <w:rFonts w:hint="eastAsia" w:ascii="宋体" w:hAnsi="宋体"/>
          <w:color w:val="000000"/>
        </w:rPr>
      </w:r>
      <w:r/>
    </w:p>
    <w:p>
      <w:pPr>
        <w:pStyle w:val="995"/>
        <w:ind w:firstLine="0"/>
        <w:spacing w:before="0" w:after="0"/>
        <w:rPr>
          <w:rFonts w:hint="eastAsia" w:ascii="宋体" w:hAnsi="宋体"/>
          <w:color w:val="000000"/>
        </w:rPr>
      </w:pPr>
      <w:r>
        <w:rPr>
          <w:rFonts w:hint="eastAsia" w:ascii="宋体" w:hAnsi="宋体"/>
          <w:color w:val="000000"/>
        </w:rPr>
      </w:r>
      <w:r/>
    </w:p>
    <w:p>
      <w:pPr>
        <w:pStyle w:val="995"/>
        <w:ind w:firstLine="0"/>
        <w:jc w:val="center"/>
        <w:rPr>
          <w:rFonts w:hint="eastAsia"/>
          <w:b/>
          <w:bCs/>
          <w:color w:val="000000"/>
          <w:sz w:val="32"/>
        </w:rPr>
      </w:pPr>
      <w:r>
        <w:rPr>
          <w:rFonts w:hint="eastAsia"/>
          <w:b/>
          <w:bCs/>
          <w:color w:val="000000"/>
          <w:sz w:val="32"/>
        </w:rPr>
        <w:t xml:space="preserve">江苏省政府采购中心</w:t>
      </w:r>
      <w:r/>
    </w:p>
    <w:p>
      <w:pPr>
        <w:pStyle w:val="995"/>
        <w:ind w:firstLine="0"/>
        <w:jc w:val="center"/>
        <w:rPr>
          <w:rFonts w:hint="eastAsia"/>
          <w:b/>
          <w:bCs/>
          <w:color w:val="000000"/>
          <w:sz w:val="32"/>
        </w:rPr>
      </w:pPr>
      <w:r>
        <w:rPr>
          <w:rFonts w:hint="eastAsia"/>
          <w:b/>
          <w:bCs/>
          <w:color w:val="000000"/>
          <w:sz w:val="32"/>
        </w:rPr>
        <w:t xml:space="preserve">2026年9月</w:t>
      </w:r>
      <w:r/>
    </w:p>
    <w:p>
      <w:pPr>
        <w:pStyle w:val="995"/>
        <w:ind w:firstLine="0"/>
        <w:rPr>
          <w:rFonts w:hint="eastAsia"/>
          <w:color w:val="000000"/>
          <w:u w:val="single"/>
        </w:rPr>
      </w:pPr>
      <w:r>
        <w:rPr>
          <w:rFonts w:hint="eastAsia"/>
          <w:color w:val="000000"/>
        </w:rPr>
        <w:t xml:space="preserve">                        </w:t>
      </w:r>
      <w:r>
        <w:rPr>
          <w:rFonts w:hint="eastAsia"/>
          <w:color w:val="000000"/>
          <w:u w:val="single"/>
        </w:rPr>
      </w:r>
      <w:r/>
    </w:p>
    <w:p>
      <w:pPr>
        <w:pStyle w:val="995"/>
        <w:ind w:firstLine="0"/>
        <w:jc w:val="center"/>
        <w:rPr>
          <w:rFonts w:hint="eastAsia"/>
          <w:color w:val="000000"/>
        </w:rPr>
      </w:pPr>
      <w:r>
        <w:rPr>
          <w:rFonts w:hint="eastAsia"/>
          <w:color w:val="000000"/>
        </w:rPr>
      </w:r>
      <w:r/>
    </w:p>
    <w:p>
      <w:pPr>
        <w:pStyle w:val="907"/>
        <w:jc w:val="center"/>
        <w:spacing w:line="480" w:lineRule="auto"/>
        <w:rPr>
          <w:rFonts w:hint="eastAsia" w:ascii="黑体" w:hAnsi="Arial" w:eastAsia="黑体"/>
          <w:b/>
          <w:color w:val="000000"/>
          <w:sz w:val="44"/>
        </w:rPr>
        <w:outlineLvl w:val="0"/>
      </w:pPr>
      <w:r>
        <w:rPr>
          <w:color w:val="000000"/>
        </w:rPr>
        <w:br w:type="page" w:clear="all"/>
      </w:r>
      <w:bookmarkStart w:id="0" w:name="_Toc120614210"/>
      <w:r/>
      <w:bookmarkStart w:id="1" w:name="_Toc20823272"/>
      <w:r/>
      <w:bookmarkStart w:id="2" w:name="_Toc479757206"/>
      <w:r/>
      <w:bookmarkStart w:id="3" w:name="_Toc523127445"/>
      <w:r/>
      <w:bookmarkStart w:id="4" w:name="_Toc513029200"/>
      <w:r/>
      <w:bookmarkStart w:id="5" w:name="_Toc16938516"/>
      <w:r>
        <w:rPr>
          <w:rFonts w:hint="eastAsia"/>
          <w:color w:val="000000"/>
        </w:rPr>
        <w:t xml:space="preserve"> </w:t>
      </w:r>
      <w:r>
        <w:rPr>
          <w:rFonts w:hint="eastAsia" w:ascii="黑体" w:hAnsi="Arial" w:eastAsia="黑体"/>
          <w:b/>
          <w:color w:val="000000"/>
          <w:sz w:val="44"/>
        </w:rPr>
        <w:t xml:space="preserve">总  目  录</w:t>
      </w:r>
      <w:r/>
    </w:p>
    <w:p>
      <w:pPr>
        <w:pStyle w:val="907"/>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907"/>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……………………………………3</w:t>
      </w:r>
      <w:r/>
    </w:p>
    <w:p>
      <w:pPr>
        <w:pStyle w:val="907"/>
        <w:numPr>
          <w:ilvl w:val="0"/>
          <w:numId w:val="4"/>
        </w:numPr>
        <w:spacing w:line="480" w:lineRule="auto"/>
        <w:tabs>
          <w:tab w:val="left" w:pos="1440" w:leader="none"/>
        </w:tabs>
        <w:rPr>
          <w:rFonts w:hint="eastAsia" w:ascii="黑体" w:hAnsi="Showcard Gothic" w:eastAsia="黑体"/>
          <w:color w:val="000000"/>
          <w:sz w:val="32"/>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rPr>
        <w:t xml:space="preserve">…………………………………6</w:t>
      </w:r>
      <w:r/>
    </w:p>
    <w:p>
      <w:pPr>
        <w:pStyle w:val="907"/>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16  </w:t>
      </w:r>
      <w:r/>
    </w:p>
    <w:p>
      <w:pPr>
        <w:pStyle w:val="907"/>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……………………………………19</w:t>
      </w:r>
      <w:r/>
    </w:p>
    <w:p>
      <w:pPr>
        <w:pStyle w:val="907"/>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………………………36</w:t>
      </w:r>
      <w:r/>
    </w:p>
    <w:p>
      <w:pPr>
        <w:pStyle w:val="907"/>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………………………………43</w:t>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8"/>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ascii="Segoe UI" w:hAnsi="Segoe UI" w:cs="Segoe UI"/>
          <w:color w:val="000000"/>
          <w:sz w:val="23"/>
          <w:szCs w:val="23"/>
          <w:shd w:val="clear" w:color="auto" w:fill="ffffff"/>
        </w:rPr>
        <w:t xml:space="preserve">江苏省广播电视局</w:t>
      </w:r>
      <w:r>
        <w:rPr>
          <w:rFonts w:hint="eastAsia" w:ascii="宋体" w:hAnsi="宋体"/>
          <w:color w:val="000000"/>
          <w:sz w:val="24"/>
          <w:szCs w:val="24"/>
        </w:rPr>
        <w:t xml:space="preserve">的委托，江苏省政府采购中心就</w:t>
      </w:r>
      <w:r>
        <w:rPr>
          <w:rFonts w:ascii="宋体" w:hAnsi="宋体"/>
          <w:color w:val="000000"/>
          <w:sz w:val="24"/>
          <w:szCs w:val="24"/>
        </w:rPr>
        <w:t xml:space="preserve">“江苏数字广电”项目</w:t>
      </w:r>
      <w:r>
        <w:rPr>
          <w:rFonts w:hint="eastAsia" w:ascii="宋体" w:hAnsi="宋体"/>
          <w:color w:val="000000"/>
          <w:sz w:val="24"/>
          <w:szCs w:val="24"/>
        </w:rPr>
        <w:t xml:space="preserve">(</w:t>
      </w:r>
      <w:r>
        <w:rPr>
          <w:rFonts w:ascii="Segoe UI" w:hAnsi="Segoe UI" w:cs="Segoe UI"/>
          <w:color w:val="000000"/>
          <w:sz w:val="23"/>
          <w:szCs w:val="23"/>
          <w:shd w:val="clear" w:color="auto" w:fill="ffffff"/>
        </w:rPr>
        <w:t xml:space="preserve">JSZC-320000-SCZX-G2026-0461</w:t>
      </w:r>
      <w:r>
        <w:rPr>
          <w:rFonts w:hint="eastAsia" w:ascii="宋体" w:hAnsi="宋体"/>
          <w:color w:val="000000"/>
          <w:sz w:val="24"/>
          <w:szCs w:val="24"/>
        </w:rPr>
        <w:t xml:space="preserve">)项目进行公开招标采购，欢迎符合条件的供应商投标。</w:t>
      </w:r>
      <w:r>
        <w:rPr>
          <w:rFonts w:ascii="宋体" w:hAnsi="宋体"/>
          <w:color w:val="000000"/>
          <w:sz w:val="24"/>
          <w:szCs w:val="24"/>
        </w:rPr>
      </w:r>
      <w:r/>
    </w:p>
    <w:p>
      <w:pPr>
        <w:pStyle w:val="907"/>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07"/>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ascii="宋体" w:hAnsi="宋体"/>
          <w:color w:val="000000"/>
          <w:sz w:val="24"/>
          <w:szCs w:val="24"/>
        </w:rPr>
        <w:t xml:space="preserve">“江苏数字广电”项目</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招标文件，并于2026</w:t>
      </w:r>
      <w:r>
        <w:rPr>
          <w:rFonts w:hint="eastAsia" w:ascii="宋体" w:hAnsi="宋体"/>
          <w:bCs/>
          <w:color w:val="000000"/>
          <w:sz w:val="24"/>
          <w:szCs w:val="24"/>
          <w:u w:val="single"/>
        </w:rPr>
        <w:t xml:space="preserve">年10月14日9点30分（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910"/>
        <w:ind w:firstLine="498"/>
        <w:spacing w:before="145" w:after="145" w:line="400" w:lineRule="exact"/>
        <w:rPr>
          <w:color w:val="000000"/>
        </w:rPr>
      </w:pPr>
      <w:r/>
      <w:bookmarkStart w:id="6" w:name="_Toc38985263"/>
      <w:r/>
      <w:bookmarkStart w:id="7" w:name="_Toc35393790"/>
      <w:r/>
      <w:bookmarkStart w:id="8" w:name="_Toc35393621"/>
      <w:r/>
      <w:bookmarkStart w:id="9" w:name="_Toc28359002"/>
      <w:r/>
      <w:bookmarkStart w:id="10" w:name="_Toc28359079"/>
      <w:r/>
      <w:bookmarkStart w:id="11" w:name="_Hlk24379207"/>
      <w:r>
        <w:rPr>
          <w:rFonts w:hint="eastAsia"/>
          <w:color w:val="000000"/>
        </w:rPr>
        <w:t xml:space="preserve">一、项目基本情况</w:t>
      </w:r>
      <w:bookmarkEnd w:id="6"/>
      <w:r/>
      <w:bookmarkEnd w:id="7"/>
      <w:r/>
      <w:bookmarkEnd w:id="8"/>
      <w:r/>
      <w:bookmarkEnd w:id="9"/>
      <w:r/>
      <w:bookmarkEnd w:id="10"/>
      <w:r>
        <w:rPr>
          <w:color w:val="000000"/>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1.采购编号：</w:t>
      </w:r>
      <w:r>
        <w:rPr>
          <w:rFonts w:ascii="Segoe UI" w:hAnsi="Segoe UI" w:cs="Segoe UI"/>
          <w:color w:val="000000"/>
          <w:sz w:val="23"/>
          <w:szCs w:val="23"/>
          <w:shd w:val="clear" w:color="auto" w:fill="ffffff"/>
        </w:rPr>
        <w:t xml:space="preserve">JSZC-320000-SCZX-G2026-0461</w:t>
      </w:r>
      <w:r>
        <w:rPr>
          <w:rFonts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r>
        <w:rPr>
          <w:rFonts w:ascii="宋体" w:hAnsi="宋体"/>
          <w:color w:val="000000"/>
          <w:sz w:val="24"/>
          <w:szCs w:val="24"/>
        </w:rPr>
        <w:t xml:space="preserve">“江苏数字广电”项目</w:t>
      </w:r>
      <w:r/>
    </w:p>
    <w:p>
      <w:pPr>
        <w:pStyle w:val="907"/>
        <w:ind w:firstLine="480"/>
        <w:spacing w:line="400" w:lineRule="exact"/>
        <w:rPr>
          <w:rFonts w:ascii="宋体" w:hAnsi="宋体"/>
          <w:color w:val="000000"/>
          <w:sz w:val="24"/>
          <w:szCs w:val="24"/>
        </w:rPr>
      </w:pPr>
      <w:r/>
      <w:bookmarkEnd w:id="11"/>
      <w:r>
        <w:rPr>
          <w:rFonts w:hint="eastAsia" w:ascii="宋体" w:hAnsi="宋体"/>
          <w:color w:val="000000"/>
          <w:sz w:val="24"/>
          <w:szCs w:val="24"/>
        </w:rPr>
        <w:t xml:space="preserve">3.预算金额：</w:t>
      </w:r>
      <w:r>
        <w:rPr>
          <w:rFonts w:ascii="宋体" w:hAnsi="宋体"/>
          <w:color w:val="000000"/>
          <w:sz w:val="24"/>
          <w:szCs w:val="24"/>
        </w:rPr>
        <w:t xml:space="preserve">1,258.55 万元</w:t>
      </w:r>
      <w:r/>
    </w:p>
    <w:p>
      <w:pPr>
        <w:pStyle w:val="907"/>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4.最高限价：</w:t>
      </w:r>
      <w:r>
        <w:rPr>
          <w:rFonts w:ascii="宋体" w:hAnsi="宋体"/>
          <w:color w:val="000000"/>
          <w:sz w:val="24"/>
          <w:szCs w:val="24"/>
        </w:rPr>
        <w:t xml:space="preserve">1,258.55 万元</w:t>
      </w:r>
      <w:r>
        <w:rPr>
          <w:rFonts w:hint="eastAsia" w:ascii="宋体" w:hAnsi="宋体" w:cs="宋体"/>
          <w:color w:val="000000"/>
          <w:sz w:val="24"/>
          <w:szCs w:val="24"/>
        </w:rPr>
      </w:r>
      <w:r/>
    </w:p>
    <w:p>
      <w:pPr>
        <w:pStyle w:val="907"/>
        <w:ind w:firstLine="480"/>
        <w:spacing w:line="400" w:lineRule="exact"/>
        <w:rPr>
          <w:rFonts w:ascii="宋体" w:hAnsi="宋体" w:cs="宋体"/>
          <w:color w:val="000000"/>
          <w:sz w:val="24"/>
          <w:szCs w:val="24"/>
        </w:rPr>
      </w:pPr>
      <w:r>
        <w:rPr>
          <w:rFonts w:hint="eastAsia" w:ascii="宋体" w:hAnsi="宋体"/>
          <w:color w:val="000000"/>
          <w:sz w:val="24"/>
          <w:szCs w:val="24"/>
        </w:rPr>
        <w:t xml:space="preserve">5.采购需求（简介）：包括但不限于：建设一体化平台、机构与企业管理应用系统、内容生产服务与审核应用系统等13套定制化软件子系统，9个业务数据主题库，编制8套标准规范，开展数据治理服务，推动大数据、人工智能等新技术应用，助力我省广电行业数字化转型。</w:t>
      </w:r>
      <w:r>
        <w:rPr>
          <w:rFonts w:hint="eastAsia" w:ascii="宋体" w:hAnsi="宋体" w:cs="宋体"/>
          <w:color w:val="000000"/>
          <w:sz w:val="24"/>
          <w:szCs w:val="24"/>
        </w:rPr>
        <w:t xml:space="preserve">（详细内容见本招标文件第四章） </w:t>
      </w:r>
      <w:r>
        <w:rPr>
          <w:rFonts w:ascii="宋体" w:hAnsi="宋体" w:cs="宋体"/>
          <w:color w:val="000000"/>
          <w:sz w:val="24"/>
          <w:szCs w:val="24"/>
        </w:rPr>
      </w:r>
      <w:r/>
    </w:p>
    <w:p>
      <w:pPr>
        <w:pStyle w:val="907"/>
        <w:ind w:firstLine="480"/>
        <w:spacing w:line="400" w:lineRule="exact"/>
        <w:rPr>
          <w:rFonts w:hint="eastAsia" w:ascii="宋体" w:hAnsi="宋体"/>
          <w:color w:val="000000"/>
          <w:sz w:val="24"/>
          <w:szCs w:val="24"/>
          <w:u w:val="single"/>
        </w:rPr>
      </w:pPr>
      <w:r>
        <w:rPr>
          <w:rFonts w:hint="eastAsia" w:ascii="宋体" w:hAnsi="宋体"/>
          <w:color w:val="000000"/>
          <w:sz w:val="24"/>
          <w:szCs w:val="24"/>
        </w:rPr>
        <w:t xml:space="preserve">6.合同履行期限：自合同签订生效之日起，建设期为14个月，免费运维期为24个月。</w:t>
      </w:r>
      <w:r>
        <w:rPr>
          <w:rFonts w:hint="eastAsia" w:ascii="宋体" w:hAnsi="宋体"/>
          <w:color w:val="000000"/>
          <w:sz w:val="24"/>
          <w:szCs w:val="24"/>
          <w:u w:val="single"/>
        </w:rPr>
      </w:r>
      <w:r/>
    </w:p>
    <w:p>
      <w:pPr>
        <w:pStyle w:val="910"/>
        <w:ind w:firstLine="498"/>
        <w:spacing w:before="145" w:after="145" w:line="400" w:lineRule="exact"/>
        <w:rPr>
          <w:color w:val="000000"/>
        </w:rPr>
      </w:pPr>
      <w:r/>
      <w:bookmarkStart w:id="12" w:name="_Toc28359080"/>
      <w:r/>
      <w:bookmarkStart w:id="13" w:name="_Toc35393622"/>
      <w:r/>
      <w:bookmarkStart w:id="14" w:name="_Toc35393791"/>
      <w:r/>
      <w:bookmarkStart w:id="15" w:name="_Toc38985264"/>
      <w:r/>
      <w:bookmarkStart w:id="16" w:name="_Toc28359003"/>
      <w:r>
        <w:rPr>
          <w:rFonts w:hint="eastAsia"/>
          <w:color w:val="000000"/>
        </w:rPr>
        <w:t xml:space="preserve">二、申请人的资格要求：</w:t>
      </w:r>
      <w:bookmarkEnd w:id="12"/>
      <w:r/>
      <w:bookmarkEnd w:id="13"/>
      <w:r/>
      <w:bookmarkEnd w:id="14"/>
      <w:r/>
      <w:bookmarkEnd w:id="15"/>
      <w:r/>
      <w:bookmarkEnd w:id="16"/>
      <w:r>
        <w:rPr>
          <w:color w:val="000000"/>
        </w:rPr>
      </w:r>
      <w:r/>
    </w:p>
    <w:p>
      <w:pPr>
        <w:pStyle w:val="907"/>
        <w:ind w:firstLine="480"/>
        <w:spacing w:line="400" w:lineRule="exact"/>
        <w:rPr>
          <w:rFonts w:hint="eastAsia" w:ascii="宋体" w:hAnsi="宋体"/>
          <w:color w:val="000000"/>
          <w:sz w:val="24"/>
          <w:szCs w:val="24"/>
        </w:rPr>
      </w:pPr>
      <w:r/>
      <w:bookmarkStart w:id="17" w:name="_Toc35393792"/>
      <w:r/>
      <w:bookmarkStart w:id="18" w:name="_Toc38985265"/>
      <w:r/>
      <w:bookmarkStart w:id="19" w:name="_Toc35393623"/>
      <w:r/>
      <w:bookmarkStart w:id="20" w:name="_Toc28359004"/>
      <w:r/>
      <w:bookmarkStart w:id="21"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rPr>
          <w:rFonts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907"/>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3.落实政府采购政策需满足的资格要求：无</w:t>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4.本项目不接受联合</w:t>
      </w:r>
      <w:r>
        <w:rPr>
          <w:rFonts w:ascii="宋体" w:hAnsi="宋体"/>
          <w:color w:val="000000"/>
          <w:sz w:val="24"/>
          <w:szCs w:val="24"/>
        </w:rPr>
        <w:t xml:space="preserve">体投标</w:t>
      </w:r>
      <w:r>
        <w:rPr>
          <w:rFonts w:hint="eastAsia" w:ascii="宋体" w:hAnsi="宋体"/>
          <w:color w:val="000000"/>
          <w:sz w:val="24"/>
          <w:szCs w:val="24"/>
        </w:rPr>
        <w:t xml:space="preserve">。</w:t>
      </w:r>
      <w:r>
        <w:rPr>
          <w:rFonts w:ascii="宋体" w:hAnsi="宋体"/>
          <w:color w:val="000000"/>
          <w:sz w:val="24"/>
          <w:szCs w:val="24"/>
        </w:rPr>
      </w:r>
      <w:r/>
    </w:p>
    <w:p>
      <w:pPr>
        <w:pStyle w:val="907"/>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rPr>
          <w:rFonts w:ascii="宋体" w:hAnsi="宋体"/>
          <w:color w:val="000000"/>
          <w:sz w:val="24"/>
          <w:szCs w:val="24"/>
        </w:rPr>
      </w:r>
      <w:r/>
    </w:p>
    <w:p>
      <w:pPr>
        <w:pStyle w:val="907"/>
        <w:spacing w:line="400" w:lineRule="exact"/>
        <w:rPr>
          <w:rFonts w:ascii="宋体" w:hAnsi="宋体"/>
          <w:color w:val="000000"/>
          <w:sz w:val="24"/>
          <w:szCs w:val="24"/>
        </w:rPr>
      </w:pPr>
      <w:r>
        <w:rPr>
          <w:rFonts w:hint="eastAsia" w:ascii="宋体" w:hAnsi="宋体"/>
          <w:color w:val="000000"/>
          <w:sz w:val="24"/>
          <w:szCs w:val="24"/>
        </w:rPr>
        <w:t xml:space="preserve">     无</w:t>
      </w:r>
      <w:r>
        <w:rPr>
          <w:rFonts w:ascii="宋体" w:hAnsi="宋体"/>
          <w:color w:val="000000"/>
          <w:sz w:val="24"/>
          <w:szCs w:val="24"/>
        </w:rPr>
      </w:r>
      <w:r/>
    </w:p>
    <w:p>
      <w:pPr>
        <w:pStyle w:val="907"/>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907"/>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07"/>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910"/>
        <w:ind w:firstLine="498"/>
        <w:spacing w:before="145" w:after="145" w:line="400" w:lineRule="exact"/>
        <w:rPr>
          <w:color w:val="000000"/>
        </w:rPr>
      </w:pPr>
      <w:r/>
      <w:bookmarkEnd w:id="17"/>
      <w:r/>
      <w:bookmarkEnd w:id="18"/>
      <w:r/>
      <w:bookmarkEnd w:id="19"/>
      <w:r/>
      <w:bookmarkEnd w:id="20"/>
      <w:r/>
      <w:bookmarkEnd w:id="21"/>
      <w:r/>
      <w:bookmarkStart w:id="22" w:name="_Toc28359005"/>
      <w:r/>
      <w:bookmarkStart w:id="23" w:name="_Toc28359082"/>
      <w:r/>
      <w:bookmarkStart w:id="24" w:name="_Toc35393624"/>
      <w:r/>
      <w:bookmarkStart w:id="25" w:name="_Toc38985266"/>
      <w:r/>
      <w:bookmarkStart w:id="26" w:name="_Toc35393793"/>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Pr>
          <w:color w:val="000000"/>
        </w:rPr>
      </w:r>
      <w:r/>
    </w:p>
    <w:p>
      <w:pPr>
        <w:pStyle w:val="907"/>
        <w:ind w:firstLine="480"/>
        <w:spacing w:line="400" w:lineRule="exact"/>
        <w:rPr>
          <w:rFonts w:ascii="宋体" w:hAnsi="宋体"/>
          <w:bCs/>
          <w:color w:val="000000"/>
          <w:sz w:val="24"/>
          <w:szCs w:val="24"/>
          <w:u w:val="single"/>
        </w:rPr>
      </w:pPr>
      <w:r>
        <w:rPr>
          <w:rFonts w:hint="eastAsia" w:ascii="宋体" w:hAnsi="宋体"/>
          <w:bCs/>
          <w:color w:val="000000"/>
          <w:sz w:val="24"/>
          <w:szCs w:val="24"/>
          <w:u w:val="single"/>
        </w:rPr>
        <w:t xml:space="preserve">1.2026年10月14日9点30分</w:t>
      </w:r>
      <w:r>
        <w:rPr>
          <w:rFonts w:hint="eastAsia" w:ascii="宋体" w:hAnsi="宋体"/>
          <w:bCs/>
          <w:color w:val="000000"/>
          <w:sz w:val="24"/>
          <w:szCs w:val="24"/>
        </w:rPr>
        <w:t xml:space="preserve">（北京时间）</w:t>
      </w:r>
      <w:r>
        <w:rPr>
          <w:rFonts w:ascii="宋体" w:hAnsi="宋体"/>
          <w:bCs/>
          <w:color w:val="000000"/>
          <w:sz w:val="24"/>
          <w:szCs w:val="24"/>
          <w:u w:val="single"/>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rPr>
          <w:rFonts w:ascii="宋体" w:hAnsi="宋体"/>
          <w:color w:val="000000"/>
          <w:sz w:val="24"/>
          <w:szCs w:val="24"/>
        </w:rPr>
      </w:r>
      <w:r/>
    </w:p>
    <w:p>
      <w:pPr>
        <w:pStyle w:val="907"/>
        <w:ind w:firstLine="498"/>
        <w:keepLines/>
        <w:keepNext/>
        <w:spacing w:before="145" w:after="145" w:line="360" w:lineRule="auto"/>
        <w:rPr>
          <w:b/>
          <w:bCs/>
          <w:color w:val="000000"/>
          <w:sz w:val="32"/>
          <w:szCs w:val="32"/>
        </w:rPr>
        <w:outlineLvl w:val="2"/>
      </w:pPr>
      <w:r/>
      <w:bookmarkStart w:id="27" w:name="_Toc28359007"/>
      <w:r/>
      <w:bookmarkStart w:id="28" w:name="_Toc35393794"/>
      <w:r/>
      <w:bookmarkStart w:id="29" w:name="_Toc38985267"/>
      <w:r/>
      <w:bookmarkStart w:id="30" w:name="_Toc35393625"/>
      <w:r/>
      <w:bookmarkStart w:id="31" w:name="_Toc28359084"/>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907"/>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910"/>
        <w:ind w:firstLine="498"/>
        <w:spacing w:before="145" w:after="145" w:line="400" w:lineRule="exact"/>
        <w:rPr>
          <w:color w:val="000000"/>
        </w:rPr>
      </w:pPr>
      <w:r/>
      <w:bookmarkStart w:id="32" w:name="_Toc35393626"/>
      <w:r/>
      <w:bookmarkStart w:id="33" w:name="_Toc38985268"/>
      <w:r/>
      <w:bookmarkStart w:id="34" w:name="_Toc35393795"/>
      <w:r>
        <w:rPr>
          <w:rFonts w:hint="eastAsia"/>
          <w:color w:val="000000"/>
        </w:rPr>
        <w:t xml:space="preserve">六、其他补充事宜</w:t>
      </w:r>
      <w:bookmarkEnd w:id="32"/>
      <w:r/>
      <w:bookmarkEnd w:id="33"/>
      <w:r/>
      <w:bookmarkEnd w:id="34"/>
      <w:r>
        <w:rPr>
          <w:color w:val="000000"/>
        </w:rPr>
      </w:r>
      <w:r/>
    </w:p>
    <w:p>
      <w:pPr>
        <w:pStyle w:val="907"/>
        <w:ind w:firstLine="480"/>
        <w:spacing w:line="400" w:lineRule="exact"/>
        <w:rPr>
          <w:rFonts w:ascii="宋体" w:hAnsi="宋体" w:cs="宋体"/>
          <w:b/>
          <w:bCs/>
          <w:color w:val="000000"/>
          <w:sz w:val="24"/>
          <w:szCs w:val="24"/>
        </w:rPr>
      </w:pPr>
      <w:r>
        <w:rPr>
          <w:rFonts w:hint="eastAsia" w:ascii="宋体" w:hAnsi="宋体" w:cs="宋体"/>
          <w:b/>
          <w:bCs/>
          <w:color w:val="000000"/>
          <w:sz w:val="24"/>
          <w:szCs w:val="24"/>
        </w:rPr>
      </w:r>
      <w:r>
        <w:rPr>
          <w:rFonts w:hint="eastAsia" w:ascii="宋体" w:hAnsi="宋体" w:cs="宋体"/>
          <w:b/>
          <w:bCs/>
          <w:color w:val="000000"/>
          <w:sz w:val="24"/>
          <w:szCs w:val="24"/>
        </w:rPr>
        <w:t xml:space="preserve">现场踏勘时间：2026年9月30日上午9点。地点：南京市中山东路132号13楼会议室。联系人：王梓，电话：15062230925。</w:t>
      </w:r>
      <w:r>
        <w:rPr>
          <w:rFonts w:hint="eastAsia" w:ascii="宋体" w:hAnsi="宋体" w:cs="宋体"/>
          <w:b/>
          <w:bCs/>
          <w:color w:val="000000"/>
          <w:sz w:val="24"/>
          <w:szCs w:val="24"/>
        </w:rPr>
      </w:r>
      <w:r>
        <w:rPr>
          <w:b/>
          <w:bCs/>
        </w:rPr>
      </w:r>
    </w:p>
    <w:p>
      <w:pPr>
        <w:pStyle w:val="910"/>
        <w:ind w:firstLine="498"/>
        <w:spacing w:before="145" w:after="145" w:line="400" w:lineRule="exact"/>
        <w:rPr>
          <w:color w:val="000000"/>
        </w:rPr>
      </w:pPr>
      <w:r/>
      <w:bookmarkStart w:id="35" w:name="_Toc38985269"/>
      <w:r/>
      <w:bookmarkStart w:id="36" w:name="_Toc28359085"/>
      <w:r/>
      <w:bookmarkStart w:id="37" w:name="_Toc35393627"/>
      <w:r/>
      <w:bookmarkStart w:id="38" w:name="_Toc35393796"/>
      <w:r/>
      <w:bookmarkStart w:id="39" w:name="_Toc28359008"/>
      <w:r>
        <w:rPr>
          <w:rFonts w:hint="eastAsia"/>
          <w:color w:val="000000"/>
        </w:rPr>
        <w:t xml:space="preserve">七、本次招标联系方式</w:t>
      </w:r>
      <w:bookmarkEnd w:id="35"/>
      <w:r/>
      <w:bookmarkEnd w:id="36"/>
      <w:r/>
      <w:bookmarkEnd w:id="37"/>
      <w:r/>
      <w:bookmarkEnd w:id="38"/>
      <w:r/>
      <w:bookmarkEnd w:id="39"/>
      <w:r>
        <w:rPr>
          <w:color w:val="000000"/>
        </w:rPr>
      </w:r>
      <w:r/>
    </w:p>
    <w:p>
      <w:pPr>
        <w:pStyle w:val="907"/>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907"/>
        <w:ind w:left="1079" w:hanging="30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江苏省广播电视局</w:t>
      </w:r>
      <w:r>
        <w:rPr>
          <w:rFonts w:ascii="宋体" w:hAnsi="宋体"/>
          <w:color w:val="000000"/>
          <w:sz w:val="24"/>
          <w:szCs w:val="24"/>
        </w:rPr>
      </w:r>
      <w:r/>
    </w:p>
    <w:p>
      <w:pPr>
        <w:pStyle w:val="907"/>
        <w:ind w:left="1079" w:hanging="300"/>
        <w:jc w:val="left"/>
        <w:spacing w:line="400" w:lineRule="exact"/>
        <w:rPr>
          <w:rFonts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szCs w:val="24"/>
          <w:u w:val="single"/>
        </w:rPr>
        <w:t xml:space="preserve">南京市中山东路132号</w:t>
      </w:r>
      <w:r>
        <w:rPr>
          <w:rFonts w:ascii="宋体" w:hAnsi="宋体"/>
          <w:color w:val="000000"/>
          <w:sz w:val="24"/>
          <w:szCs w:val="24"/>
        </w:rPr>
      </w:r>
      <w:r/>
    </w:p>
    <w:p>
      <w:pPr>
        <w:pStyle w:val="907"/>
        <w:ind w:left="1079" w:hanging="30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王梓</w:t>
      </w:r>
      <w:r>
        <w:rPr>
          <w:rFonts w:ascii="宋体" w:hAnsi="宋体"/>
          <w:color w:val="000000"/>
          <w:sz w:val="24"/>
          <w:szCs w:val="24"/>
        </w:rPr>
      </w:r>
      <w:r/>
    </w:p>
    <w:p>
      <w:pPr>
        <w:pStyle w:val="907"/>
        <w:ind w:left="1079" w:hanging="30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15062230925</w:t>
      </w:r>
      <w:r>
        <w:rPr>
          <w:rFonts w:hint="eastAsia" w:ascii="宋体" w:hAnsi="宋体"/>
          <w:color w:val="000000"/>
          <w:sz w:val="24"/>
          <w:szCs w:val="24"/>
        </w:rPr>
      </w:r>
      <w:r/>
    </w:p>
    <w:p>
      <w:pPr>
        <w:pStyle w:val="907"/>
        <w:ind w:left="1079" w:hanging="30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r>
        <w:rPr>
          <w:rFonts w:ascii="宋体" w:hAnsi="宋体"/>
          <w:color w:val="000000"/>
          <w:sz w:val="24"/>
          <w:szCs w:val="24"/>
        </w:rPr>
      </w:r>
      <w:r/>
    </w:p>
    <w:p>
      <w:pPr>
        <w:pStyle w:val="907"/>
        <w:ind w:firstLine="72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南京市汉中门大街145号省政务中心二期3楼南区</w:t>
      </w:r>
      <w:r>
        <w:rPr>
          <w:rFonts w:ascii="宋体" w:hAnsi="宋体"/>
          <w:color w:val="000000"/>
          <w:sz w:val="24"/>
          <w:szCs w:val="24"/>
        </w:rPr>
      </w:r>
      <w:r/>
    </w:p>
    <w:p>
      <w:pPr>
        <w:pStyle w:val="907"/>
        <w:ind w:firstLine="720"/>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张倩、许滢</w:t>
      </w:r>
      <w:r>
        <w:rPr>
          <w:rFonts w:ascii="宋体" w:hAnsi="宋体"/>
          <w:color w:val="000000"/>
          <w:sz w:val="24"/>
          <w:szCs w:val="24"/>
        </w:rPr>
      </w:r>
      <w:r/>
    </w:p>
    <w:p>
      <w:pPr>
        <w:pStyle w:val="907"/>
        <w:ind w:firstLine="720"/>
        <w:spacing w:line="400" w:lineRule="exact"/>
        <w:rPr>
          <w:rFonts w:ascii="宋体" w:hAnsi="宋体"/>
          <w:color w:val="000000"/>
          <w:sz w:val="24"/>
          <w:szCs w:val="24"/>
        </w:rPr>
      </w:pPr>
      <w:r>
        <w:rPr>
          <w:rFonts w:hint="eastAsia" w:ascii="宋体" w:hAnsi="宋体"/>
          <w:color w:val="000000"/>
          <w:sz w:val="24"/>
          <w:szCs w:val="24"/>
        </w:rPr>
        <w:t xml:space="preserve">联系方式：</w:t>
      </w:r>
      <w:bookmarkStart w:id="42" w:name="_Toc28359087"/>
      <w:r/>
      <w:bookmarkStart w:id="43" w:name="_Toc28359010"/>
      <w:r>
        <w:rPr>
          <w:rFonts w:ascii="宋体" w:hAnsi="宋体"/>
          <w:color w:val="000000"/>
          <w:sz w:val="24"/>
          <w:szCs w:val="24"/>
          <w:u w:val="single"/>
        </w:rPr>
        <w:t xml:space="preserve">025-83668527</w:t>
      </w:r>
      <w:r>
        <w:rPr>
          <w:rFonts w:ascii="宋体" w:hAnsi="宋体"/>
          <w:color w:val="000000"/>
          <w:sz w:val="24"/>
          <w:szCs w:val="24"/>
        </w:rPr>
      </w:r>
      <w:r/>
    </w:p>
    <w:p>
      <w:pPr>
        <w:pStyle w:val="910"/>
        <w:ind w:firstLine="498"/>
        <w:spacing w:before="145" w:after="145" w:line="400" w:lineRule="exact"/>
        <w:rPr>
          <w:color w:val="000000"/>
        </w:rPr>
      </w:pPr>
      <w:r/>
      <w:bookmarkEnd w:id="42"/>
      <w:r/>
      <w:bookmarkEnd w:id="43"/>
      <w:r>
        <w:rPr>
          <w:rFonts w:hint="eastAsia"/>
          <w:color w:val="000000"/>
        </w:rPr>
        <w:t xml:space="preserve">八、其他</w:t>
      </w:r>
      <w:r>
        <w:rPr>
          <w:color w:val="000000"/>
        </w:rPr>
      </w:r>
      <w:r/>
    </w:p>
    <w:p>
      <w:pPr>
        <w:pStyle w:val="907"/>
        <w:ind w:firstLine="480"/>
        <w:rPr>
          <w:rFonts w:hint="eastAsia"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p>
    <w:p>
      <w:pPr>
        <w:pStyle w:val="907"/>
        <w:ind w:firstLine="480"/>
        <w:rPr>
          <w:rFonts w:hint="eastAsia" w:ascii="宋体" w:hAnsi="宋体" w:cs="宋体"/>
          <w:color w:val="000000"/>
          <w:sz w:val="24"/>
          <w:szCs w:val="24"/>
        </w:rPr>
      </w:pPr>
      <w:r>
        <w:rPr>
          <w:rFonts w:hint="eastAsia" w:ascii="宋体" w:hAnsi="宋体" w:cs="宋体"/>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907"/>
        <w:ind w:firstLine="480"/>
        <w:rPr>
          <w:rFonts w:hint="eastAsia"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2.有关本次招标的事项若存在变动或修改，敬请及时关注江苏省政府采购中心在“江苏政府采购网”发布的更正公告。</w:t>
      </w:r>
      <w:r/>
    </w:p>
    <w:p>
      <w:pPr>
        <w:pStyle w:val="907"/>
        <w:ind w:firstLine="480"/>
        <w:rPr>
          <w:rFonts w:hint="eastAsia" w:ascii="宋体" w:hAnsi="宋体" w:cs="宋体"/>
          <w:color w:val="000000"/>
          <w:sz w:val="24"/>
          <w:szCs w:val="24"/>
        </w:rPr>
      </w:pPr>
      <w:r>
        <w:rPr>
          <w:rFonts w:hint="eastAsia" w:ascii="宋体" w:hAnsi="宋体" w:cs="宋体"/>
          <w:color w:val="000000"/>
          <w:sz w:val="24"/>
          <w:szCs w:val="24"/>
        </w:rPr>
        <w:t xml:space="preserve">3.本次招标不收取投标保证金。</w:t>
      </w:r>
      <w:r/>
    </w:p>
    <w:p>
      <w:pPr>
        <w:pStyle w:val="907"/>
        <w:ind w:right="840"/>
        <w:rPr>
          <w:rFonts w:hint="eastAsia" w:ascii="宋体" w:hAnsi="宋体"/>
          <w:color w:val="000000"/>
          <w:sz w:val="24"/>
          <w:szCs w:val="24"/>
        </w:rPr>
      </w:pPr>
      <w:r>
        <w:rPr>
          <w:rFonts w:hint="eastAsia" w:ascii="宋体" w:hAnsi="宋体"/>
          <w:color w:val="000000"/>
          <w:sz w:val="24"/>
          <w:szCs w:val="24"/>
        </w:rPr>
      </w:r>
      <w:r/>
    </w:p>
    <w:p>
      <w:pPr>
        <w:pStyle w:val="907"/>
        <w:ind w:right="840"/>
        <w:rPr>
          <w:rFonts w:hint="eastAsia" w:ascii="宋体" w:hAnsi="宋体"/>
          <w:color w:val="000000"/>
          <w:sz w:val="24"/>
          <w:szCs w:val="24"/>
        </w:rPr>
      </w:pPr>
      <w:r>
        <w:rPr>
          <w:rFonts w:hint="eastAsia" w:ascii="宋体" w:hAnsi="宋体"/>
          <w:color w:val="000000"/>
          <w:sz w:val="24"/>
          <w:szCs w:val="24"/>
        </w:rPr>
      </w:r>
      <w:r/>
    </w:p>
    <w:p>
      <w:pPr>
        <w:pStyle w:val="907"/>
        <w:ind w:right="840"/>
        <w:rPr>
          <w:rFonts w:hint="eastAsia" w:ascii="宋体" w:hAnsi="宋体"/>
          <w:color w:val="000000"/>
          <w:sz w:val="24"/>
          <w:szCs w:val="24"/>
        </w:rPr>
      </w:pPr>
      <w:r>
        <w:rPr>
          <w:rFonts w:hint="eastAsia" w:ascii="宋体" w:hAnsi="宋体"/>
          <w:color w:val="000000"/>
          <w:sz w:val="24"/>
          <w:szCs w:val="24"/>
        </w:rPr>
      </w:r>
      <w:r/>
    </w:p>
    <w:p>
      <w:pPr>
        <w:pStyle w:val="907"/>
        <w:ind w:right="840"/>
        <w:rPr>
          <w:rFonts w:hint="eastAsia" w:ascii="宋体" w:hAnsi="宋体"/>
          <w:color w:val="000000"/>
          <w:sz w:val="24"/>
          <w:szCs w:val="24"/>
        </w:rPr>
      </w:pPr>
      <w:r>
        <w:rPr>
          <w:rFonts w:hint="eastAsia" w:ascii="宋体" w:hAnsi="宋体"/>
          <w:color w:val="000000"/>
          <w:sz w:val="24"/>
          <w:szCs w:val="24"/>
        </w:rPr>
      </w:r>
      <w:r/>
    </w:p>
    <w:p>
      <w:pPr>
        <w:pStyle w:val="907"/>
        <w:ind w:right="840"/>
        <w:rPr>
          <w:rFonts w:hint="eastAsia" w:ascii="宋体" w:hAnsi="宋体"/>
          <w:color w:val="000000"/>
          <w:sz w:val="24"/>
          <w:szCs w:val="24"/>
        </w:rPr>
      </w:pPr>
      <w:r>
        <w:rPr>
          <w:rFonts w:hint="eastAsia" w:ascii="宋体" w:hAnsi="宋体"/>
          <w:color w:val="000000"/>
          <w:sz w:val="24"/>
          <w:szCs w:val="24"/>
        </w:rPr>
      </w:r>
      <w:r/>
    </w:p>
    <w:p>
      <w:pPr>
        <w:pStyle w:val="907"/>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07"/>
        <w:ind w:right="840"/>
        <w:rPr>
          <w:rFonts w:hint="eastAsia" w:ascii="宋体" w:hAnsi="宋体"/>
          <w:color w:val="000000"/>
          <w:sz w:val="24"/>
          <w:szCs w:val="24"/>
        </w:rPr>
      </w:pPr>
      <w:r>
        <w:rPr>
          <w:rFonts w:hint="eastAsia" w:ascii="宋体" w:hAnsi="宋体"/>
          <w:color w:val="000000"/>
          <w:sz w:val="24"/>
          <w:szCs w:val="24"/>
        </w:rPr>
      </w:r>
      <w:r/>
    </w:p>
    <w:p>
      <w:pPr>
        <w:pStyle w:val="907"/>
        <w:ind w:right="840"/>
        <w:rPr>
          <w:rFonts w:hint="eastAsia" w:ascii="宋体" w:hAnsi="宋体"/>
          <w:color w:val="000000"/>
          <w:sz w:val="24"/>
          <w:szCs w:val="24"/>
        </w:rPr>
      </w:pPr>
      <w:r>
        <w:rPr>
          <w:rFonts w:hint="eastAsia" w:ascii="宋体" w:hAnsi="宋体"/>
          <w:color w:val="000000"/>
          <w:sz w:val="24"/>
          <w:szCs w:val="24"/>
        </w:rPr>
      </w:r>
      <w:r/>
    </w:p>
    <w:p>
      <w:pPr>
        <w:pStyle w:val="907"/>
        <w:ind w:right="840"/>
        <w:rPr>
          <w:rFonts w:hint="eastAsia" w:ascii="宋体" w:hAnsi="宋体"/>
          <w:color w:val="000000"/>
          <w:sz w:val="24"/>
          <w:szCs w:val="24"/>
        </w:rPr>
      </w:pPr>
      <w:r>
        <w:rPr>
          <w:rFonts w:hint="eastAsia" w:ascii="宋体" w:hAnsi="宋体"/>
          <w:color w:val="000000"/>
          <w:sz w:val="24"/>
          <w:szCs w:val="24"/>
        </w:rPr>
      </w:r>
      <w:r/>
    </w:p>
    <w:p>
      <w:pPr>
        <w:pStyle w:val="907"/>
        <w:ind w:right="840"/>
        <w:rPr>
          <w:rFonts w:hint="eastAsia" w:ascii="宋体" w:hAnsi="宋体"/>
          <w:color w:val="000000"/>
          <w:sz w:val="24"/>
          <w:szCs w:val="24"/>
        </w:rPr>
      </w:pPr>
      <w:r>
        <w:rPr>
          <w:rFonts w:hint="eastAsia" w:ascii="宋体" w:hAnsi="宋体"/>
          <w:color w:val="000000"/>
          <w:sz w:val="24"/>
          <w:szCs w:val="24"/>
        </w:rPr>
      </w:r>
      <w:r/>
    </w:p>
    <w:p>
      <w:pPr>
        <w:pStyle w:val="907"/>
        <w:ind w:right="840"/>
        <w:rPr>
          <w:rFonts w:hint="eastAsia" w:ascii="宋体" w:hAnsi="宋体"/>
          <w:color w:val="000000"/>
          <w:sz w:val="24"/>
          <w:szCs w:val="24"/>
        </w:rPr>
      </w:pPr>
      <w:r>
        <w:rPr>
          <w:rFonts w:hint="eastAsia" w:ascii="宋体" w:hAnsi="宋体"/>
          <w:color w:val="000000"/>
          <w:sz w:val="24"/>
          <w:szCs w:val="24"/>
        </w:rPr>
      </w:r>
      <w:r/>
    </w:p>
    <w:p>
      <w:pPr>
        <w:pStyle w:val="907"/>
        <w:ind w:right="840"/>
        <w:rPr>
          <w:rFonts w:hint="eastAsia" w:ascii="宋体" w:hAnsi="宋体"/>
          <w:color w:val="000000"/>
          <w:sz w:val="24"/>
          <w:szCs w:val="24"/>
        </w:rPr>
      </w:pPr>
      <w:r>
        <w:rPr>
          <w:rFonts w:hint="eastAsia" w:ascii="宋体" w:hAnsi="宋体"/>
          <w:color w:val="000000"/>
          <w:sz w:val="24"/>
          <w:szCs w:val="24"/>
        </w:rPr>
      </w:r>
      <w:r/>
    </w:p>
    <w:p>
      <w:pPr>
        <w:pStyle w:val="909"/>
        <w:ind w:firstLine="2429"/>
        <w:jc w:val="both"/>
        <w:spacing w:line="400" w:lineRule="exact"/>
        <w:rPr>
          <w:rFonts w:hint="eastAsia" w:ascii="黑体" w:eastAsia="黑体"/>
          <w:b w:val="0"/>
          <w:bCs w:val="0"/>
          <w:color w:val="000000"/>
        </w:rPr>
      </w:pPr>
      <w:r/>
      <w:bookmarkStart w:id="44" w:name="_Toc120614211"/>
      <w:r>
        <w:rPr>
          <w:rFonts w:hint="eastAsia" w:ascii="黑体" w:eastAsia="黑体"/>
          <w:color w:val="000000"/>
        </w:rPr>
        <w:t xml:space="preserve">第二章  </w:t>
      </w:r>
      <w:bookmarkEnd w:id="1"/>
      <w:r/>
      <w:bookmarkEnd w:id="2"/>
      <w:r/>
      <w:bookmarkEnd w:id="3"/>
      <w:r/>
      <w:bookmarkEnd w:id="4"/>
      <w:r/>
      <w:bookmarkEnd w:id="5"/>
      <w:r/>
      <w:bookmarkEnd w:id="44"/>
      <w:r/>
      <w:bookmarkStart w:id="45" w:name="_Toc513029202"/>
      <w:r/>
      <w:bookmarkStart w:id="46" w:name="_Toc120614213"/>
      <w:r/>
      <w:bookmarkStart w:id="47" w:name="_Toc20823274"/>
      <w:r/>
      <w:bookmarkStart w:id="48" w:name="_Toc16938518"/>
      <w:r>
        <w:rPr>
          <w:rFonts w:hint="eastAsia" w:ascii="黑体" w:eastAsia="黑体"/>
          <w:color w:val="000000"/>
        </w:rPr>
        <w:t xml:space="preserve">投标人须知</w:t>
      </w:r>
      <w:bookmarkEnd w:id="45"/>
      <w:r/>
      <w:bookmarkEnd w:id="46"/>
      <w:r/>
      <w:bookmarkEnd w:id="47"/>
      <w:r/>
      <w:bookmarkEnd w:id="48"/>
      <w:r>
        <w:rPr>
          <w:rFonts w:hint="eastAsia" w:ascii="黑体" w:eastAsia="黑体"/>
          <w:b w:val="0"/>
          <w:bCs w:val="0"/>
          <w:color w:val="000000"/>
        </w:rPr>
      </w:r>
      <w:r/>
    </w:p>
    <w:p>
      <w:pPr>
        <w:pStyle w:val="910"/>
        <w:ind w:firstLine="498"/>
        <w:spacing w:before="145" w:after="145" w:line="400" w:lineRule="exact"/>
        <w:rPr>
          <w:rFonts w:hint="eastAsia"/>
          <w:color w:val="000000"/>
        </w:rPr>
      </w:pPr>
      <w:r/>
      <w:bookmarkStart w:id="49" w:name="_Toc16938519"/>
      <w:r/>
      <w:bookmarkStart w:id="50" w:name="_Toc120614214"/>
      <w:r/>
      <w:bookmarkStart w:id="51" w:name="_Toc20823275"/>
      <w:r/>
      <w:bookmarkStart w:id="52" w:name="_Toc513029203"/>
      <w:r>
        <w:rPr>
          <w:rFonts w:hint="eastAsia"/>
          <w:color w:val="000000"/>
        </w:rPr>
        <w:t xml:space="preserve">一、总则</w:t>
      </w:r>
      <w:bookmarkEnd w:id="49"/>
      <w:r/>
      <w:bookmarkEnd w:id="50"/>
      <w:r/>
      <w:bookmarkEnd w:id="51"/>
      <w:r/>
      <w:bookmarkEnd w:id="52"/>
      <w:r>
        <w:rPr>
          <w:rFonts w:hint="eastAsia"/>
          <w:color w:val="000000"/>
        </w:rPr>
      </w:r>
      <w:r/>
    </w:p>
    <w:p>
      <w:pPr>
        <w:pStyle w:val="911"/>
        <w:ind w:firstLine="420"/>
        <w:spacing w:before="0" w:after="0" w:line="400" w:lineRule="exact"/>
        <w:rPr>
          <w:rFonts w:hint="eastAsia"/>
          <w:b w:val="0"/>
          <w:bCs w:val="0"/>
          <w:color w:val="00000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Pr>
          <w:rFonts w:hint="eastAsia"/>
          <w:b w:val="0"/>
          <w:bCs w:val="0"/>
          <w:color w:val="000000"/>
        </w:rPr>
      </w:r>
      <w:r/>
    </w:p>
    <w:p>
      <w:pPr>
        <w:pStyle w:val="907"/>
        <w:ind w:firstLine="480"/>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911"/>
        <w:ind w:firstLine="420"/>
        <w:spacing w:before="0" w:after="0" w:line="400" w:lineRule="exact"/>
        <w:rPr>
          <w:rFonts w:hint="eastAsia"/>
          <w:b w:val="0"/>
          <w:bCs w:val="0"/>
          <w:color w:val="000000"/>
        </w:rPr>
      </w:pPr>
      <w:r/>
      <w:bookmarkStart w:id="58" w:name="_Toc513029205"/>
      <w:r/>
      <w:bookmarkStart w:id="59" w:name="_Toc16938521"/>
      <w:r/>
      <w:bookmarkStart w:id="60" w:name="_Toc20823277"/>
      <w:r>
        <w:rPr>
          <w:rFonts w:hint="eastAsia"/>
          <w:b w:val="0"/>
          <w:bCs w:val="0"/>
          <w:color w:val="000000"/>
        </w:rPr>
        <w:t xml:space="preserve">2、合格的投标人</w:t>
      </w:r>
      <w:bookmarkEnd w:id="58"/>
      <w:r/>
      <w:bookmarkEnd w:id="59"/>
      <w:r/>
      <w:bookmarkEnd w:id="60"/>
      <w:r>
        <w:rPr>
          <w:rFonts w:hint="eastAsia"/>
          <w:b w:val="0"/>
          <w:bCs w:val="0"/>
          <w:color w:val="000000"/>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911"/>
        <w:ind w:firstLine="422"/>
        <w:spacing w:before="0" w:after="0" w:line="400" w:lineRule="exact"/>
        <w:rPr>
          <w:rFonts w:hint="eastAsia" w:cs="Arial"/>
          <w:color w:val="000000"/>
          <w:lang w:eastAsia="zh-CN"/>
        </w:rPr>
      </w:pPr>
      <w:r/>
      <w:bookmarkStart w:id="61" w:name="_Toc16938522"/>
      <w:r/>
      <w:bookmarkStart w:id="62" w:name="_Toc20823278"/>
      <w:r/>
      <w:bookmarkStart w:id="63" w:name="_Toc513029206"/>
      <w:r>
        <w:rPr>
          <w:rFonts w:hint="eastAsia" w:cs="Arial"/>
          <w:color w:val="000000"/>
        </w:rPr>
        <w:t xml:space="preserve">3、适用法律</w:t>
      </w:r>
      <w:bookmarkEnd w:id="61"/>
      <w:r/>
      <w:bookmarkEnd w:id="62"/>
      <w:r/>
      <w:bookmarkEnd w:id="63"/>
      <w:r>
        <w:rPr>
          <w:rFonts w:hint="eastAsia" w:cs="Arial"/>
          <w:color w:val="000000"/>
          <w:lang w:eastAsia="zh-CN"/>
        </w:rPr>
        <w:t xml:space="preserve">和标准</w:t>
      </w:r>
      <w:r/>
    </w:p>
    <w:p>
      <w:pPr>
        <w:pStyle w:val="907"/>
        <w:ind w:firstLine="420"/>
        <w:spacing w:line="400" w:lineRule="exact"/>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907"/>
        <w:ind w:firstLine="420"/>
        <w:spacing w:line="400" w:lineRule="exact"/>
        <w:rPr>
          <w:rFonts w:hint="eastAsia" w:ascii="宋体" w:hAnsi="宋体"/>
          <w:color w:val="000000"/>
          <w:sz w:val="24"/>
        </w:rPr>
      </w:pPr>
      <w:r/>
      <w:bookmarkStart w:id="64" w:name="_Toc16938523"/>
      <w:r/>
      <w:bookmarkStart w:id="65" w:name="_Toc20823279"/>
      <w:r/>
      <w:bookmarkStart w:id="66" w:name="_Toc462564067"/>
      <w:r/>
      <w:bookmarkStart w:id="67" w:name="_Toc513029207"/>
      <w:r>
        <w:rPr>
          <w:rFonts w:hint="eastAsia" w:ascii="宋体" w:hAnsi="宋体"/>
          <w:color w:val="000000"/>
          <w:sz w:val="24"/>
        </w:rPr>
        <w:t xml:space="preserve">3.2 在本项目政府采购活动过程中，如果所执行的标准有更新的，按照最新标准执行。</w:t>
      </w:r>
      <w:r/>
    </w:p>
    <w:p>
      <w:pPr>
        <w:pStyle w:val="911"/>
        <w:ind w:firstLine="420"/>
        <w:spacing w:before="0" w:after="0" w:line="400" w:lineRule="exact"/>
        <w:rPr>
          <w:rFonts w:hint="eastAsia"/>
          <w:b w:val="0"/>
          <w:bCs w:val="0"/>
          <w:color w:val="000000"/>
        </w:rPr>
      </w:pPr>
      <w:r>
        <w:rPr>
          <w:rFonts w:hint="eastAsia"/>
          <w:b w:val="0"/>
          <w:bCs w:val="0"/>
          <w:color w:val="000000"/>
        </w:rPr>
        <w:t xml:space="preserve">4、投标费用</w:t>
      </w:r>
      <w:bookmarkEnd w:id="64"/>
      <w:r/>
      <w:bookmarkEnd w:id="65"/>
      <w:r/>
      <w:bookmarkEnd w:id="66"/>
      <w:r/>
      <w:bookmarkEnd w:id="67"/>
      <w:r>
        <w:rPr>
          <w:rFonts w:hint="eastAsia"/>
          <w:b w:val="0"/>
          <w:bCs w:val="0"/>
          <w:color w:val="000000"/>
        </w:rPr>
      </w:r>
      <w:r/>
    </w:p>
    <w:p>
      <w:pPr>
        <w:pStyle w:val="907"/>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907"/>
        <w:ind w:firstLine="480"/>
        <w:spacing w:line="400" w:lineRule="exact"/>
        <w:rPr>
          <w:rFonts w:hint="eastAsia" w:ascii="宋体" w:hAnsi="宋体"/>
          <w:color w:val="000000"/>
          <w:sz w:val="24"/>
        </w:rPr>
      </w:pPr>
      <w:r>
        <w:rPr>
          <w:rFonts w:hint="eastAsia" w:ascii="宋体" w:hAnsi="宋体"/>
          <w:color w:val="000000"/>
          <w:sz w:val="24"/>
        </w:rPr>
        <w:t xml:space="preserve">4.2本次招标采购中心和采购人不收取标书工本费与中标服务费。</w:t>
      </w:r>
      <w:r/>
    </w:p>
    <w:p>
      <w:pPr>
        <w:pStyle w:val="911"/>
        <w:ind w:firstLine="602"/>
        <w:spacing w:before="0" w:after="0" w:line="40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pStyle w:val="90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910"/>
        <w:ind w:firstLine="321"/>
        <w:spacing w:before="145" w:after="145" w:line="400" w:lineRule="exact"/>
        <w:rPr>
          <w:rFonts w:hint="eastAsia"/>
          <w:color w:val="000000"/>
        </w:rPr>
      </w:pPr>
      <w:r/>
      <w:bookmarkStart w:id="68" w:name="_Toc20823281"/>
      <w:r/>
      <w:bookmarkStart w:id="69" w:name="_Toc513029209"/>
      <w:r/>
      <w:bookmarkStart w:id="70" w:name="_Toc120614215"/>
      <w:r/>
      <w:bookmarkStart w:id="71" w:name="_Toc16938525"/>
      <w:r>
        <w:rPr>
          <w:rFonts w:hint="eastAsia"/>
          <w:color w:val="000000"/>
        </w:rPr>
        <w:t xml:space="preserve">二、招标文件</w:t>
      </w:r>
      <w:bookmarkEnd w:id="68"/>
      <w:r/>
      <w:bookmarkEnd w:id="69"/>
      <w:r/>
      <w:bookmarkEnd w:id="70"/>
      <w:r/>
      <w:bookmarkEnd w:id="71"/>
      <w:r>
        <w:rPr>
          <w:rFonts w:hint="eastAsia"/>
          <w:color w:val="000000"/>
        </w:rPr>
      </w:r>
      <w:r/>
    </w:p>
    <w:p>
      <w:pPr>
        <w:pStyle w:val="911"/>
        <w:ind w:firstLine="420"/>
        <w:spacing w:before="0" w:after="0" w:line="400" w:lineRule="exact"/>
        <w:rPr>
          <w:rFonts w:hint="eastAsia"/>
          <w:b w:val="0"/>
          <w:bCs w:val="0"/>
          <w:color w:val="000000"/>
        </w:rPr>
      </w:pPr>
      <w:r/>
      <w:bookmarkStart w:id="72" w:name="_Toc513029210"/>
      <w:r/>
      <w:bookmarkStart w:id="73" w:name="_Toc16938526"/>
      <w:r/>
      <w:bookmarkStart w:id="74" w:name="_Toc20823282"/>
      <w:r>
        <w:rPr>
          <w:rFonts w:hint="eastAsia"/>
          <w:b w:val="0"/>
          <w:bCs w:val="0"/>
          <w:color w:val="000000"/>
        </w:rPr>
        <w:t xml:space="preserve">6、招标文件构成</w:t>
      </w:r>
      <w:bookmarkEnd w:id="72"/>
      <w:r/>
      <w:bookmarkEnd w:id="73"/>
      <w:r/>
      <w:bookmarkEnd w:id="74"/>
      <w:r>
        <w:rPr>
          <w:rFonts w:hint="eastAsia"/>
          <w:b w:val="0"/>
          <w:bCs w:val="0"/>
          <w:color w:val="000000"/>
        </w:rPr>
      </w:r>
      <w:r/>
    </w:p>
    <w:p>
      <w:pPr>
        <w:pStyle w:val="907"/>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pStyle w:val="90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0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90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90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90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p>
    <w:p>
      <w:pPr>
        <w:pStyle w:val="90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pStyle w:val="907"/>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请仔细检查招标文件是否齐全，如有缺漏请立即与采购中心联系解决。</w:t>
      </w:r>
      <w:r/>
    </w:p>
    <w:p>
      <w:pPr>
        <w:pStyle w:val="907"/>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1"/>
        <w:ind w:firstLine="560"/>
        <w:spacing w:before="0" w:after="0" w:line="400" w:lineRule="exact"/>
        <w:rPr>
          <w:rFonts w:hint="eastAsia"/>
          <w:b w:val="0"/>
          <w:bCs w:val="0"/>
          <w:color w:val="000000"/>
        </w:rPr>
      </w:pPr>
      <w:r/>
      <w:bookmarkStart w:id="75" w:name="_Toc20823284"/>
      <w:r/>
      <w:bookmarkStart w:id="76" w:name="_Toc462564071"/>
      <w:r/>
      <w:bookmarkStart w:id="77" w:name="_Toc513029212"/>
      <w:r/>
      <w:bookmarkStart w:id="78" w:name="_Toc16938528"/>
      <w:r>
        <w:rPr>
          <w:b w:val="0"/>
          <w:bCs w:val="0"/>
          <w:color w:val="000000"/>
        </w:rPr>
        <w:t xml:space="preserve">7</w:t>
      </w:r>
      <w:r>
        <w:rPr>
          <w:rFonts w:hint="eastAsia"/>
          <w:b w:val="0"/>
          <w:bCs w:val="0"/>
          <w:color w:val="000000"/>
        </w:rPr>
        <w:t xml:space="preserve">、招标文件的修改</w:t>
      </w:r>
      <w:bookmarkEnd w:id="75"/>
      <w:r/>
      <w:bookmarkEnd w:id="76"/>
      <w:r/>
      <w:bookmarkEnd w:id="77"/>
      <w:r/>
      <w:bookmarkEnd w:id="78"/>
      <w:r>
        <w:rPr>
          <w:rFonts w:hint="eastAsia"/>
          <w:b w:val="0"/>
          <w:bCs w:val="0"/>
          <w:color w:val="000000"/>
        </w:rPr>
      </w:r>
      <w:r/>
    </w:p>
    <w:p>
      <w:pPr>
        <w:pStyle w:val="907"/>
        <w:ind w:firstLine="480"/>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，采购中心可以对招标文件进行修改。</w:t>
      </w:r>
      <w:r/>
    </w:p>
    <w:p>
      <w:pPr>
        <w:pStyle w:val="907"/>
        <w:ind w:firstLine="480"/>
        <w:spacing w:line="400" w:lineRule="exact"/>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rPr>
          <w:rFonts w:hint="eastAsia" w:ascii="宋体" w:hAnsi="Arial"/>
          <w:color w:val="000000"/>
          <w:sz w:val="28"/>
        </w:rPr>
      </w:r>
      <w:r/>
    </w:p>
    <w:p>
      <w:pPr>
        <w:pStyle w:val="907"/>
        <w:ind w:firstLine="480"/>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910"/>
        <w:ind w:firstLine="482"/>
        <w:spacing w:before="145" w:after="145" w:line="400" w:lineRule="exact"/>
        <w:rPr>
          <w:rFonts w:hint="eastAsia"/>
          <w:color w:val="000000"/>
        </w:rPr>
      </w:pPr>
      <w:r/>
      <w:bookmarkStart w:id="79" w:name="_Toc513029213"/>
      <w:r/>
      <w:bookmarkStart w:id="80" w:name="_Toc462564072"/>
      <w:r/>
      <w:bookmarkStart w:id="81" w:name="_Toc16938529"/>
      <w:r/>
      <w:bookmarkStart w:id="82" w:name="_Toc120614216"/>
      <w:r/>
      <w:bookmarkStart w:id="83" w:name="_Toc20823285"/>
      <w:r>
        <w:rPr>
          <w:rFonts w:hint="eastAsia"/>
          <w:color w:val="000000"/>
        </w:rPr>
        <w:t xml:space="preserve">三、投标文件的编制</w:t>
      </w:r>
      <w:bookmarkEnd w:id="79"/>
      <w:r/>
      <w:bookmarkEnd w:id="80"/>
      <w:r/>
      <w:bookmarkEnd w:id="81"/>
      <w:r/>
      <w:bookmarkEnd w:id="82"/>
      <w:r/>
      <w:bookmarkEnd w:id="83"/>
      <w:r>
        <w:rPr>
          <w:rFonts w:hint="eastAsia"/>
          <w:color w:val="000000"/>
        </w:rPr>
      </w:r>
      <w:r/>
    </w:p>
    <w:p>
      <w:pPr>
        <w:pStyle w:val="911"/>
        <w:ind w:firstLine="560"/>
        <w:spacing w:before="0" w:after="0" w:line="400" w:lineRule="exact"/>
        <w:rPr>
          <w:rFonts w:hint="eastAsia"/>
          <w:bCs w:val="0"/>
          <w:color w:val="000000"/>
        </w:rPr>
      </w:pPr>
      <w:r/>
      <w:bookmarkStart w:id="84" w:name="_Toc462564073"/>
      <w:r/>
      <w:bookmarkStart w:id="85" w:name="_Toc513029214"/>
      <w:r/>
      <w:bookmarkStart w:id="86" w:name="_Toc16938530"/>
      <w:r/>
      <w:bookmarkStart w:id="87" w:name="_Toc20823286"/>
      <w:r>
        <w:rPr>
          <w:b w:val="0"/>
          <w:bCs w:val="0"/>
          <w:color w:val="000000"/>
        </w:rPr>
        <w:t xml:space="preserve">8</w:t>
      </w:r>
      <w:r>
        <w:rPr>
          <w:rFonts w:hint="eastAsia"/>
          <w:b w:val="0"/>
          <w:bCs w:val="0"/>
          <w:color w:val="000000"/>
        </w:rPr>
        <w:t xml:space="preserve">、投标文件的语言及度量衡单位</w:t>
      </w:r>
      <w:bookmarkEnd w:id="84"/>
      <w:r/>
      <w:bookmarkEnd w:id="85"/>
      <w:r/>
      <w:bookmarkEnd w:id="86"/>
      <w:r/>
      <w:bookmarkEnd w:id="87"/>
      <w:r>
        <w:rPr>
          <w:rFonts w:hint="eastAsia"/>
          <w:bCs w:val="0"/>
          <w:color w:val="000000"/>
        </w:rPr>
      </w:r>
      <w:r/>
    </w:p>
    <w:p>
      <w:pPr>
        <w:pStyle w:val="907"/>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投标人提交的投标文件以及投标人与采购中心就有关投标的所有来往通知、函件和文件均应使用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pStyle w:val="907"/>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911"/>
        <w:ind w:firstLine="420"/>
        <w:spacing w:before="0" w:after="0" w:line="400" w:lineRule="exact"/>
        <w:rPr>
          <w:rFonts w:hint="eastAsia"/>
          <w:b w:val="0"/>
          <w:bCs w:val="0"/>
          <w:color w:val="000000"/>
        </w:rPr>
      </w:pPr>
      <w:r/>
      <w:bookmarkStart w:id="88" w:name="_Toc16938531"/>
      <w:r/>
      <w:bookmarkStart w:id="89" w:name="_Toc20823287"/>
      <w:r/>
      <w:bookmarkStart w:id="90" w:name="_Toc462564074"/>
      <w:r/>
      <w:bookmarkStart w:id="91" w:name="_Toc513029215"/>
      <w:r>
        <w:rPr>
          <w:b w:val="0"/>
          <w:bCs w:val="0"/>
          <w:color w:val="000000"/>
        </w:rPr>
        <w:t xml:space="preserve">9</w:t>
      </w:r>
      <w:r>
        <w:rPr>
          <w:rFonts w:hint="eastAsia"/>
          <w:b w:val="0"/>
          <w:bCs w:val="0"/>
          <w:color w:val="000000"/>
        </w:rPr>
        <w:t xml:space="preserve">、投标文件构成</w:t>
      </w:r>
      <w:bookmarkEnd w:id="88"/>
      <w:r/>
      <w:bookmarkEnd w:id="89"/>
      <w:r/>
      <w:bookmarkEnd w:id="90"/>
      <w:r/>
      <w:bookmarkEnd w:id="91"/>
      <w:r>
        <w:rPr>
          <w:rFonts w:hint="eastAsia"/>
          <w:b w:val="0"/>
          <w:bCs w:val="0"/>
          <w:color w:val="000000"/>
        </w:rPr>
      </w:r>
      <w:r/>
    </w:p>
    <w:p>
      <w:pPr>
        <w:pStyle w:val="907"/>
        <w:ind w:firstLine="480"/>
        <w:spacing w:line="400" w:lineRule="exact"/>
        <w:rPr>
          <w:rFonts w:hint="eastAsia" w:ascii="宋体" w:hAnsi="宋体"/>
          <w:color w:val="000000"/>
          <w:sz w:val="24"/>
        </w:rPr>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rPr>
        <w:t xml:space="preserve">、投标分项报价表、技术要求响应及偏离表、商务要求响应及偏离表、其他证明文件、投标函、开标一览表等部分。</w:t>
      </w:r>
      <w:r/>
    </w:p>
    <w:p>
      <w:pPr>
        <w:pStyle w:val="907"/>
        <w:ind w:firstLine="480"/>
        <w:spacing w:line="400" w:lineRule="exact"/>
        <w:rPr>
          <w:rFonts w:hint="eastAsia" w:ascii="宋体" w:hAnsi="宋体"/>
          <w:color w:val="000000"/>
          <w:sz w:val="24"/>
        </w:rPr>
      </w:pPr>
      <w:r>
        <w:rPr>
          <w:rFonts w:ascii="宋体" w:hAnsi="宋体"/>
          <w:color w:val="000000"/>
          <w:sz w:val="24"/>
        </w:rPr>
        <w:t xml:space="preserve">9</w:t>
      </w:r>
      <w:r>
        <w:rPr>
          <w:rFonts w:hint="eastAsia" w:ascii="宋体" w:hAnsi="宋体"/>
          <w:color w:val="000000"/>
          <w:sz w:val="24"/>
        </w:rPr>
        <w:t xml:space="preserve">.2 如标书制作工具中格式和内容与“江苏政府采购网”发布的招标文件不一致，请以“江苏政府采购网”发布的招标文件为准。</w:t>
      </w:r>
      <w:r/>
    </w:p>
    <w:p>
      <w:pPr>
        <w:pStyle w:val="911"/>
        <w:ind w:firstLine="420"/>
        <w:spacing w:before="0" w:after="0" w:line="400" w:lineRule="exact"/>
        <w:rPr>
          <w:rFonts w:hint="eastAsia"/>
          <w:b w:val="0"/>
          <w:bCs w:val="0"/>
          <w:color w:val="000000"/>
        </w:rPr>
      </w:pPr>
      <w:r/>
      <w:bookmarkStart w:id="92" w:name="_Hlt26668975"/>
      <w:r/>
      <w:bookmarkEnd w:id="92"/>
      <w:r/>
      <w:bookmarkStart w:id="93" w:name="_Hlt26954838"/>
      <w:r/>
      <w:bookmarkEnd w:id="93"/>
      <w:r/>
      <w:bookmarkStart w:id="94" w:name="_Hlt26670360"/>
      <w:r/>
      <w:bookmarkEnd w:id="94"/>
      <w:r/>
      <w:bookmarkStart w:id="95" w:name="_Toc513029219"/>
      <w:r/>
      <w:bookmarkStart w:id="96" w:name="_Toc49090509"/>
      <w:r/>
      <w:bookmarkStart w:id="97" w:name="_Toc14577357"/>
      <w:r/>
      <w:bookmarkStart w:id="98" w:name="_Toc513029216"/>
      <w:r/>
      <w:bookmarkStart w:id="99" w:name="_Toc14577354"/>
      <w:r/>
      <w:bookmarkStart w:id="100" w:name="_Toc49090507"/>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5"/>
      <w:r/>
      <w:bookmarkEnd w:id="96"/>
      <w:r/>
      <w:bookmarkEnd w:id="97"/>
      <w:r>
        <w:rPr>
          <w:rFonts w:hint="eastAsia"/>
          <w:b w:val="0"/>
          <w:bCs w:val="0"/>
          <w:color w:val="000000"/>
        </w:rPr>
      </w:r>
      <w:r/>
    </w:p>
    <w:p>
      <w:pPr>
        <w:pStyle w:val="907"/>
        <w:spacing w:line="400" w:lineRule="exact"/>
        <w:rPr>
          <w:rFonts w:hint="eastAsia" w:ascii="宋体" w:hAnsi="宋体"/>
          <w:color w:val="000000"/>
          <w:sz w:val="24"/>
          <w:szCs w:val="24"/>
        </w:rPr>
      </w:pPr>
      <w:r/>
      <w:bookmarkEnd w:id="98"/>
      <w:r/>
      <w:bookmarkEnd w:id="99"/>
      <w:r/>
      <w:bookmarkEnd w:id="100"/>
      <w:r/>
      <w:bookmarkStart w:id="101" w:name="_Toc14577355"/>
      <w:r/>
      <w:bookmarkStart w:id="102"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投标人应按照法律、法规、规章和规范性文件以及招标文件要求提交证明文件，证明其及投标标的符合招标文件规定。</w:t>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911"/>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1"/>
      <w:r/>
      <w:bookmarkStart w:id="103" w:name="_Hlt26670373"/>
      <w:r/>
      <w:bookmarkEnd w:id="103"/>
      <w:r>
        <w:rPr>
          <w:rFonts w:hint="eastAsia"/>
          <w:b w:val="0"/>
          <w:bCs w:val="0"/>
          <w:color w:val="000000"/>
        </w:rPr>
        <w:t xml:space="preserve">表</w:t>
      </w:r>
      <w:bookmarkEnd w:id="102"/>
      <w:r>
        <w:rPr>
          <w:rFonts w:hint="eastAsia"/>
          <w:b w:val="0"/>
          <w:bCs w:val="0"/>
          <w:color w:val="000000"/>
        </w:rPr>
      </w:r>
      <w:r/>
    </w:p>
    <w:p>
      <w:pPr>
        <w:pStyle w:val="907"/>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4" w:name="_Hlt26954840"/>
      <w:r/>
      <w:bookmarkEnd w:id="104"/>
      <w:r>
        <w:rPr>
          <w:rFonts w:hint="eastAsia" w:ascii="宋体" w:hAnsi="宋体"/>
          <w:color w:val="000000"/>
          <w:sz w:val="24"/>
        </w:rPr>
        <w:t xml:space="preserve">标人按照招标文件规定格式填报投标分项报价表</w:t>
      </w:r>
      <w:bookmarkStart w:id="105" w:name="_Hlt26670399"/>
      <w:r/>
      <w:bookmarkEnd w:id="105"/>
      <w:r>
        <w:rPr>
          <w:rFonts w:hint="eastAsia" w:ascii="宋体" w:hAnsi="宋体"/>
          <w:color w:val="000000"/>
          <w:sz w:val="24"/>
        </w:rPr>
        <w:t xml:space="preserve">。</w:t>
      </w:r>
      <w:r>
        <w:rPr>
          <w:rFonts w:hint="eastAsia" w:ascii="宋体" w:hAnsi="宋体"/>
          <w:bCs/>
          <w:color w:val="000000"/>
          <w:sz w:val="24"/>
        </w:rPr>
      </w:r>
      <w:r/>
    </w:p>
    <w:p>
      <w:pPr>
        <w:pStyle w:val="907"/>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911"/>
        <w:ind w:firstLine="420"/>
        <w:spacing w:before="0" w:after="0" w:line="400" w:lineRule="exact"/>
        <w:rPr>
          <w:rFonts w:hint="eastAsia"/>
          <w:b w:val="0"/>
          <w:bCs w:val="0"/>
          <w:color w:val="000000"/>
        </w:rPr>
      </w:pPr>
      <w:r/>
      <w:bookmarkStart w:id="106" w:name="_Hlt26954842"/>
      <w:r/>
      <w:bookmarkEnd w:id="106"/>
      <w:r/>
      <w:bookmarkStart w:id="107" w:name="_Hlt26954844"/>
      <w:r/>
      <w:bookmarkEnd w:id="107"/>
      <w:r/>
      <w:bookmarkStart w:id="108" w:name="_Hlt26670403"/>
      <w:r/>
      <w:bookmarkEnd w:id="108"/>
      <w:r/>
      <w:bookmarkStart w:id="109" w:name="_Hlt26954848"/>
      <w:r/>
      <w:bookmarkEnd w:id="109"/>
      <w:r/>
      <w:bookmarkStart w:id="110" w:name="_Hlt26670486"/>
      <w:r/>
      <w:bookmarkEnd w:id="110"/>
      <w:r/>
      <w:bookmarkStart w:id="111" w:name="_Hlt26670482"/>
      <w:r/>
      <w:bookmarkEnd w:id="111"/>
      <w:r/>
      <w:bookmarkStart w:id="112" w:name="_Hlt26668983"/>
      <w:r/>
      <w:bookmarkEnd w:id="112"/>
      <w:r/>
      <w:bookmarkStart w:id="113" w:name="_Hlt26670425"/>
      <w:r/>
      <w:bookmarkEnd w:id="113"/>
      <w:r/>
      <w:bookmarkStart w:id="114" w:name="_Hlt26954731"/>
      <w:r/>
      <w:bookmarkEnd w:id="114"/>
      <w:r/>
      <w:bookmarkStart w:id="115" w:name="_Hlt26954846"/>
      <w:r/>
      <w:bookmarkEnd w:id="115"/>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pStyle w:val="907"/>
        <w:ind w:firstLine="480"/>
        <w:spacing w:line="400" w:lineRule="exact"/>
        <w:rPr>
          <w:rFonts w:hint="eastAsia"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pStyle w:val="907"/>
        <w:ind w:firstLine="480"/>
        <w:spacing w:line="400" w:lineRule="exact"/>
        <w:rPr>
          <w:rFonts w:hint="eastAsia" w:ascii="宋体" w:hAnsi="Arial" w:cs="宋体"/>
          <w:color w:val="000000"/>
          <w:sz w:val="24"/>
          <w:lang w:val="zh-CN"/>
        </w:rPr>
      </w:pPr>
      <w:r/>
      <w:bookmarkStart w:id="116" w:name="_Toc49090510"/>
      <w:r/>
      <w:bookmarkStart w:id="117" w:name="_Toc14577359"/>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911"/>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pStyle w:val="907"/>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pStyle w:val="907"/>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r>
        <w:rPr>
          <w:rFonts w:hint="eastAsia" w:ascii="宋体" w:hAnsi="宋体"/>
          <w:color w:val="000000"/>
          <w:sz w:val="24"/>
        </w:rPr>
      </w:r>
      <w:r/>
    </w:p>
    <w:p>
      <w:pPr>
        <w:pStyle w:val="911"/>
        <w:ind w:firstLine="420"/>
        <w:spacing w:before="0" w:after="0" w:line="400" w:lineRule="exact"/>
        <w:rPr>
          <w:rFonts w:hint="eastAsia"/>
          <w:b w:val="0"/>
          <w:bCs w:val="0"/>
          <w:color w:val="000000"/>
        </w:rPr>
      </w:pPr>
      <w:r/>
      <w:bookmarkEnd w:id="116"/>
      <w:r/>
      <w:bookmarkEnd w:id="117"/>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1"/>
      <w:r/>
      <w:bookmarkEnd w:id="122"/>
      <w:r>
        <w:rPr>
          <w:rFonts w:hint="eastAsia"/>
          <w:b w:val="0"/>
          <w:bCs w:val="0"/>
          <w:color w:val="000000"/>
        </w:rPr>
      </w:r>
      <w:r/>
    </w:p>
    <w:p>
      <w:pPr>
        <w:pStyle w:val="907"/>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投标有效期为采购中心规定的开标之日后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911"/>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pStyle w:val="907"/>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910"/>
        <w:ind w:firstLine="482"/>
        <w:spacing w:before="145" w:after="145" w:line="400" w:lineRule="exact"/>
        <w:rPr>
          <w:rFonts w:hint="eastAsia"/>
          <w:color w:val="000000"/>
        </w:rPr>
      </w:pPr>
      <w:r/>
      <w:bookmarkStart w:id="123" w:name="_Hlt26954852"/>
      <w:r/>
      <w:bookmarkEnd w:id="123"/>
      <w:r/>
      <w:bookmarkStart w:id="124" w:name="_Hlt26954739"/>
      <w:r/>
      <w:bookmarkEnd w:id="124"/>
      <w:r/>
      <w:bookmarkStart w:id="125" w:name="_Toc16938540"/>
      <w:r/>
      <w:bookmarkStart w:id="126" w:name="_Toc120614217"/>
      <w:r/>
      <w:bookmarkStart w:id="127" w:name="_Toc20823296"/>
      <w:r/>
      <w:bookmarkStart w:id="128" w:name="_Toc513029224"/>
      <w:r>
        <w:rPr>
          <w:rFonts w:hint="eastAsia"/>
          <w:color w:val="000000"/>
        </w:rPr>
        <w:t xml:space="preserve">四、投标文件的递交</w:t>
      </w:r>
      <w:bookmarkEnd w:id="125"/>
      <w:r/>
      <w:bookmarkEnd w:id="126"/>
      <w:r/>
      <w:bookmarkEnd w:id="127"/>
      <w:r/>
      <w:bookmarkEnd w:id="128"/>
      <w:r>
        <w:rPr>
          <w:rFonts w:hint="eastAsia"/>
          <w:color w:val="000000"/>
        </w:rPr>
      </w:r>
      <w:r/>
    </w:p>
    <w:p>
      <w:pPr>
        <w:pStyle w:val="911"/>
        <w:ind w:firstLine="560"/>
        <w:spacing w:before="0" w:after="0" w:line="400" w:lineRule="exact"/>
        <w:rPr>
          <w:rFonts w:hint="eastAsia" w:ascii="黑体"/>
          <w:b w:val="0"/>
          <w:bCs w:val="0"/>
          <w:color w:val="000000"/>
        </w:rPr>
      </w:pPr>
      <w:r/>
      <w:bookmarkStart w:id="129" w:name="_Toc462564084"/>
      <w:r/>
      <w:bookmarkStart w:id="130" w:name="_Toc16938541"/>
      <w:r/>
      <w:bookmarkStart w:id="131" w:name="_Toc20823297"/>
      <w:r/>
      <w:bookmarkStart w:id="132" w:name="_Toc513029225"/>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ascii="黑体"/>
          <w:b w:val="0"/>
          <w:bCs w:val="0"/>
          <w:color w:val="000000"/>
        </w:rPr>
        <w:t xml:space="preserve">投标文件</w:t>
      </w:r>
      <w:bookmarkEnd w:id="129"/>
      <w:r/>
      <w:bookmarkEnd w:id="130"/>
      <w:r/>
      <w:bookmarkEnd w:id="131"/>
      <w:r/>
      <w:bookmarkEnd w:id="132"/>
      <w:r>
        <w:rPr>
          <w:rFonts w:hint="eastAsia" w:ascii="黑体"/>
          <w:b w:val="0"/>
          <w:bCs w:val="0"/>
          <w:color w:val="000000"/>
        </w:rPr>
        <w:t xml:space="preserve">的递交</w:t>
      </w:r>
      <w:r/>
    </w:p>
    <w:p>
      <w:pPr>
        <w:pStyle w:val="907"/>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电子投标文件的递交</w:t>
      </w:r>
      <w:r/>
    </w:p>
    <w:p>
      <w:pPr>
        <w:ind w:firstLine="480"/>
        <w:spacing w:line="400" w:lineRule="exact"/>
        <w:rPr>
          <w:rFonts w:hint="eastAsia" w:ascii="宋体" w:hAnsi="宋体"/>
          <w:bCs/>
          <w:color w:val="000000"/>
          <w:sz w:val="24"/>
        </w:rPr>
      </w:pPr>
      <w:r>
        <w:rPr>
          <w:rFonts w:hint="eastAsia" w:ascii="宋体" w:hAnsi="宋体"/>
          <w:color w:val="000000"/>
          <w:sz w:val="24"/>
          <w:szCs w:val="24"/>
        </w:rPr>
        <w:t xml:space="preserve">投标人应当按照《操作手册》规定，在投标截止时间前</w:t>
      </w:r>
      <w:r>
        <w:rPr>
          <w:rFonts w:hint="eastAsia" w:ascii="宋体" w:hAnsi="宋体"/>
          <w:color w:val="000000"/>
          <w:sz w:val="24"/>
          <w:szCs w:val="24"/>
        </w:rPr>
        <w:t xml:space="preserve">制作</w:t>
      </w:r>
      <w:r>
        <w:rPr>
          <w:rFonts w:hint="eastAsia" w:ascii="宋体" w:hAnsi="宋体"/>
          <w:color w:val="000000"/>
          <w:sz w:val="24"/>
          <w:szCs w:val="24"/>
        </w:rPr>
        <w:t xml:space="preserve">并上传电子投标文件。</w:t>
      </w:r>
      <w:bookmarkStart w:id="133" w:name="_Toc20823298"/>
      <w:r/>
      <w:bookmarkStart w:id="134" w:name="_Toc513029226"/>
      <w:r/>
      <w:bookmarkStart w:id="135" w:name="_Toc16938542"/>
      <w:r>
        <w:rPr>
          <w:rFonts w:hint="eastAsia" w:ascii="宋体" w:hAnsi="宋体"/>
          <w:bCs/>
          <w:color w:val="000000"/>
          <w:sz w:val="24"/>
        </w:rPr>
      </w:r>
      <w:r/>
    </w:p>
    <w:p>
      <w:pPr>
        <w:pStyle w:val="911"/>
        <w:ind w:firstLine="420"/>
        <w:spacing w:line="400" w:lineRule="exact"/>
        <w:rPr>
          <w:rFonts w:hint="eastAsia"/>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3"/>
      <w:r/>
      <w:bookmarkEnd w:id="134"/>
      <w:r/>
      <w:bookmarkEnd w:id="135"/>
      <w:r>
        <w:rPr>
          <w:rFonts w:hint="eastAsia"/>
          <w:b w:val="0"/>
          <w:color w:val="000000"/>
        </w:rPr>
        <w:t xml:space="preserve">时间</w:t>
      </w:r>
      <w:r/>
    </w:p>
    <w:p>
      <w:pPr>
        <w:pStyle w:val="907"/>
        <w:ind w:firstLine="480"/>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投标人上传电子投标文件的时间不得迟于招标公告中规定的投标截止时间。</w:t>
      </w:r>
      <w:r/>
    </w:p>
    <w:p>
      <w:pPr>
        <w:pStyle w:val="907"/>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pStyle w:val="907"/>
        <w:ind w:firstLine="480"/>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11"/>
        <w:ind w:firstLine="420"/>
        <w:spacing w:before="0" w:after="0" w:line="400" w:lineRule="exact"/>
        <w:rPr>
          <w:rFonts w:hint="eastAsia"/>
          <w:b w:val="0"/>
          <w:bCs w:val="0"/>
          <w:color w:val="000000"/>
        </w:rPr>
      </w:pPr>
      <w:r/>
      <w:bookmarkStart w:id="136" w:name="_Toc20823299"/>
      <w:r/>
      <w:bookmarkStart w:id="137" w:name="_Toc16938543"/>
      <w:r/>
      <w:bookmarkStart w:id="138" w:name="_Toc513029227"/>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6"/>
      <w:r/>
      <w:bookmarkEnd w:id="137"/>
      <w:r/>
      <w:bookmarkEnd w:id="138"/>
      <w:r>
        <w:rPr>
          <w:rFonts w:hint="eastAsia"/>
          <w:b w:val="0"/>
          <w:bCs w:val="0"/>
          <w:color w:val="000000"/>
        </w:rPr>
        <w:t xml:space="preserve">的拒收</w:t>
      </w:r>
      <w:r/>
    </w:p>
    <w:p>
      <w:pPr>
        <w:pStyle w:val="907"/>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rPr>
        <w:t xml:space="preserve">采购中心拒绝接收在其规定的投标截止时间后上传的任何投标文件。</w:t>
      </w:r>
      <w:r/>
    </w:p>
    <w:p>
      <w:pPr>
        <w:pStyle w:val="911"/>
        <w:ind w:firstLine="420"/>
        <w:spacing w:before="0" w:after="0" w:line="400" w:lineRule="exact"/>
        <w:rPr>
          <w:rFonts w:hint="eastAsia"/>
          <w:b w:val="0"/>
          <w:bCs w:val="0"/>
          <w:color w:val="000000"/>
        </w:rPr>
      </w:pPr>
      <w:r/>
      <w:bookmarkStart w:id="139" w:name="_Toc16938544"/>
      <w:r/>
      <w:bookmarkStart w:id="140" w:name="_Toc20823300"/>
      <w:r/>
      <w:bookmarkStart w:id="141" w:name="_Toc513029228"/>
      <w:r>
        <w:rPr>
          <w:b w:val="0"/>
          <w:bCs w:val="0"/>
          <w:color w:val="000000"/>
        </w:rPr>
        <w:t xml:space="preserve">19</w:t>
      </w:r>
      <w:r>
        <w:rPr>
          <w:rFonts w:hint="eastAsia"/>
          <w:b w:val="0"/>
          <w:bCs w:val="0"/>
          <w:color w:val="000000"/>
        </w:rPr>
        <w:t xml:space="preserve">、投标文件的撤回和修改</w:t>
      </w:r>
      <w:bookmarkEnd w:id="139"/>
      <w:r/>
      <w:bookmarkEnd w:id="140"/>
      <w:r/>
      <w:bookmarkEnd w:id="141"/>
      <w:r>
        <w:rPr>
          <w:rFonts w:hint="eastAsia"/>
          <w:b w:val="0"/>
          <w:bCs w:val="0"/>
          <w:color w:val="000000"/>
        </w:rPr>
      </w:r>
      <w:r/>
    </w:p>
    <w:p>
      <w:pPr>
        <w:pStyle w:val="907"/>
        <w:ind w:firstLine="480"/>
        <w:spacing w:line="400" w:lineRule="exact"/>
        <w:rPr>
          <w:rFonts w:hint="eastAsia" w:ascii="宋体" w:hAnsi="宋体"/>
          <w:color w:val="000000"/>
          <w:sz w:val="24"/>
        </w:rPr>
      </w:pPr>
      <w:r>
        <w:rPr>
          <w:rFonts w:hint="eastAsia" w:ascii="宋体" w:hAnsi="宋体"/>
          <w:color w:val="000000"/>
          <w:sz w:val="24"/>
        </w:rPr>
        <w:t xml:space="preserve">19.1 投标文件的撤回</w:t>
      </w:r>
      <w:r/>
    </w:p>
    <w:p>
      <w:pPr>
        <w:pStyle w:val="907"/>
        <w:ind w:firstLine="480"/>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pStyle w:val="907"/>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pStyle w:val="907"/>
        <w:ind w:firstLine="480"/>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p>
    <w:p>
      <w:pPr>
        <w:pStyle w:val="907"/>
        <w:ind w:firstLine="480"/>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pStyle w:val="907"/>
        <w:ind w:firstLine="480"/>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pStyle w:val="907"/>
        <w:ind w:firstLine="480"/>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910"/>
        <w:ind w:firstLine="482"/>
        <w:spacing w:before="145" w:after="145" w:line="400" w:lineRule="exact"/>
        <w:rPr>
          <w:rFonts w:hint="eastAsia"/>
          <w:color w:val="000000"/>
        </w:rPr>
      </w:pPr>
      <w:r/>
      <w:bookmarkStart w:id="142" w:name="_Toc513029229"/>
      <w:r/>
      <w:bookmarkStart w:id="143" w:name="_Toc16938545"/>
      <w:r/>
      <w:bookmarkStart w:id="144" w:name="_Toc120614218"/>
      <w:r/>
      <w:bookmarkStart w:id="145" w:name="_Toc20823301"/>
      <w:r>
        <w:rPr>
          <w:rFonts w:hint="eastAsia"/>
          <w:color w:val="000000"/>
        </w:rPr>
        <w:t xml:space="preserve">五、开标与评标</w:t>
      </w:r>
      <w:bookmarkEnd w:id="142"/>
      <w:r/>
      <w:bookmarkEnd w:id="143"/>
      <w:r/>
      <w:bookmarkEnd w:id="144"/>
      <w:r/>
      <w:bookmarkEnd w:id="145"/>
      <w:r>
        <w:rPr>
          <w:rFonts w:hint="eastAsia"/>
          <w:color w:val="000000"/>
        </w:rPr>
      </w:r>
      <w:r/>
    </w:p>
    <w:p>
      <w:pPr>
        <w:pStyle w:val="911"/>
        <w:ind w:firstLine="420"/>
        <w:spacing w:before="0" w:after="0" w:line="400" w:lineRule="exact"/>
        <w:rPr>
          <w:rFonts w:hint="eastAsia"/>
          <w:b w:val="0"/>
          <w:bCs w:val="0"/>
          <w:color w:val="000000"/>
        </w:rPr>
      </w:pPr>
      <w:r/>
      <w:bookmarkStart w:id="146" w:name="_Toc513029230"/>
      <w:r/>
      <w:bookmarkStart w:id="147" w:name="_Toc16938546"/>
      <w:r/>
      <w:bookmarkStart w:id="148" w:name="_Toc20823302"/>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6"/>
      <w:r/>
      <w:bookmarkEnd w:id="147"/>
      <w:r/>
      <w:bookmarkEnd w:id="148"/>
      <w:r>
        <w:rPr>
          <w:rFonts w:hint="eastAsia"/>
          <w:b w:val="0"/>
          <w:bCs w:val="0"/>
          <w:color w:val="000000"/>
        </w:rPr>
      </w:r>
      <w:r/>
    </w:p>
    <w:p>
      <w:pPr>
        <w:pStyle w:val="907"/>
        <w:ind w:firstLine="480"/>
        <w:spacing w:line="400" w:lineRule="exact"/>
        <w:rPr>
          <w:rFonts w:hint="eastAsia"/>
          <w:color w:val="000000"/>
        </w:rPr>
      </w:pPr>
      <w:r>
        <w:rPr>
          <w:rFonts w:hint="eastAsia" w:ascii="宋体" w:hAnsi="宋体"/>
          <w:color w:val="000000"/>
          <w:sz w:val="24"/>
        </w:rPr>
        <w:t xml:space="preserve">20.1</w:t>
      </w:r>
      <w:r>
        <w:rPr>
          <w:rFonts w:hint="eastAsia" w:ascii="宋体" w:hAnsi="宋体"/>
          <w:bCs/>
          <w:color w:val="000000"/>
          <w:sz w:val="24"/>
        </w:rPr>
        <w:t xml:space="preserve"> 采购中心将在招标公告中规定的时间和地点组织公开开标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color w:val="000000"/>
        </w:rPr>
      </w:r>
      <w:r/>
    </w:p>
    <w:p>
      <w:pPr>
        <w:pStyle w:val="90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pStyle w:val="907"/>
        <w:ind w:firstLine="480"/>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rPr>
          <w:rFonts w:hint="eastAsia"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color w:val="000000"/>
          <w:sz w:val="24"/>
          <w:szCs w:val="24"/>
        </w:rPr>
      </w:r>
      <w:r/>
    </w:p>
    <w:p>
      <w:pPr>
        <w:pStyle w:val="911"/>
        <w:ind w:firstLine="420"/>
        <w:spacing w:before="0" w:after="0" w:line="400" w:lineRule="exact"/>
        <w:rPr>
          <w:rFonts w:hint="eastAsia"/>
          <w:b w:val="0"/>
          <w:bCs w:val="0"/>
          <w:color w:val="000000"/>
        </w:rPr>
      </w:pPr>
      <w:r/>
      <w:bookmarkStart w:id="149" w:name="_Toc513029231"/>
      <w:r/>
      <w:bookmarkStart w:id="150" w:name="_Toc20823303"/>
      <w:r/>
      <w:bookmarkStart w:id="151" w:name="_Toc16938547"/>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pStyle w:val="907"/>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rPr>
          <w:rFonts w:hint="eastAsia" w:ascii="宋体" w:hAnsi="宋体"/>
          <w:b/>
          <w:color w:val="000000"/>
          <w:sz w:val="24"/>
          <w:szCs w:val="24"/>
        </w:rPr>
      </w:r>
      <w:r/>
    </w:p>
    <w:p>
      <w:pPr>
        <w:pStyle w:val="907"/>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评标委员会由采购人代表和有关技术、经济等方面的专家组成，且人员构成符合政府采购有关规定。</w:t>
      </w:r>
      <w:r/>
    </w:p>
    <w:p>
      <w:pPr>
        <w:pStyle w:val="907"/>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.3评标委员会独立工作，负责评审所有投标文件并确定中标侯选人。</w:t>
      </w:r>
      <w:r/>
    </w:p>
    <w:p>
      <w:pPr>
        <w:pStyle w:val="911"/>
        <w:ind w:firstLine="420"/>
        <w:spacing w:before="0" w:after="0" w:line="400" w:lineRule="exact"/>
        <w:rPr>
          <w:rFonts w:hint="eastAsia"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r/>
    </w:p>
    <w:p>
      <w:pPr>
        <w:pStyle w:val="907"/>
        <w:ind w:firstLine="480"/>
        <w:spacing w:line="400" w:lineRule="exact"/>
        <w:rPr>
          <w:rFonts w:hint="eastAsia" w:ascii="宋体" w:hAnsi="宋体"/>
          <w:bCs/>
          <w:color w:val="000000"/>
          <w:sz w:val="24"/>
        </w:rPr>
      </w:pPr>
      <w:r/>
      <w:bookmarkEnd w:id="149"/>
      <w:r/>
      <w:bookmarkEnd w:id="150"/>
      <w:r/>
      <w:bookmarkEnd w:id="151"/>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凡是与审查、澄清、评价和比较投标的有关资料以及授标建议等，采购人、评委、采购中心均不得向投标人或与评标无关的其他人员透露。</w:t>
      </w:r>
      <w:r/>
    </w:p>
    <w:p>
      <w:pPr>
        <w:pStyle w:val="907"/>
        <w:ind w:firstLine="480"/>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911"/>
        <w:ind w:firstLine="420"/>
        <w:spacing w:before="0" w:after="0" w:line="400" w:lineRule="exact"/>
        <w:rPr>
          <w:rFonts w:hint="eastAsia"/>
          <w:b w:val="0"/>
          <w:bCs w:val="0"/>
          <w:color w:val="000000"/>
        </w:rPr>
      </w:pPr>
      <w:r/>
      <w:bookmarkStart w:id="152" w:name="_Toc16938548"/>
      <w:r/>
      <w:bookmarkStart w:id="153" w:name="_Toc20823304"/>
      <w:r/>
      <w:bookmarkStart w:id="154" w:name="_Toc513029232"/>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2"/>
      <w:r/>
      <w:bookmarkEnd w:id="153"/>
      <w:r/>
      <w:bookmarkEnd w:id="154"/>
      <w:r>
        <w:rPr>
          <w:rFonts w:hint="eastAsia"/>
          <w:b w:val="0"/>
          <w:bCs w:val="0"/>
          <w:color w:val="000000"/>
        </w:rPr>
      </w:r>
      <w:r/>
    </w:p>
    <w:p>
      <w:pPr>
        <w:pStyle w:val="907"/>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评标期间，评标委员会对投标文件中含义不明确、同类问题表述不一致或者有明显文字和计算错误的内容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07"/>
        <w:spacing w:line="400" w:lineRule="exact"/>
        <w:rPr>
          <w:rFonts w:hint="eastAsia" w:ascii="宋体" w:hAnsi="宋体"/>
          <w:color w:val="000000"/>
          <w:sz w:val="24"/>
          <w:szCs w:val="24"/>
        </w:rPr>
      </w:pPr>
      <w:r>
        <w:rPr>
          <w:rFonts w:hint="eastAsia" w:ascii="宋体" w:hAnsi="宋体"/>
          <w:color w:val="000000"/>
          <w:sz w:val="24"/>
          <w:szCs w:val="24"/>
        </w:rPr>
        <w:t xml:space="preserve">    23.3 接到评标委员会澄清、说明和补正要求的投标人如未按规定做出澄清、说明和补正，其风险由投标人自行承担。</w:t>
      </w:r>
      <w:r/>
    </w:p>
    <w:p>
      <w:pPr>
        <w:pStyle w:val="911"/>
        <w:ind w:firstLine="420"/>
        <w:spacing w:before="0" w:after="0" w:line="400" w:lineRule="exact"/>
        <w:rPr>
          <w:rFonts w:hint="eastAsia"/>
          <w:b w:val="0"/>
          <w:bCs w:val="0"/>
          <w:color w:val="000000"/>
        </w:rPr>
      </w:pPr>
      <w:r/>
      <w:bookmarkStart w:id="155" w:name="_Toc16938549"/>
      <w:r/>
      <w:bookmarkStart w:id="156" w:name="_Toc513029233"/>
      <w:r/>
      <w:bookmarkStart w:id="157" w:name="_Toc20823305"/>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5"/>
      <w:r/>
      <w:bookmarkEnd w:id="156"/>
      <w:r/>
      <w:bookmarkEnd w:id="157"/>
      <w:r>
        <w:rPr>
          <w:rFonts w:hint="eastAsia"/>
          <w:b w:val="0"/>
          <w:bCs w:val="0"/>
          <w:color w:val="000000"/>
        </w:rPr>
      </w:r>
      <w:r/>
    </w:p>
    <w:p>
      <w:pPr>
        <w:pStyle w:val="907"/>
        <w:ind w:firstLine="480"/>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pStyle w:val="907"/>
        <w:ind w:firstLine="480"/>
        <w:spacing w:line="40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资格审查：依据法律法规和招标文件的规定，由采购人对投标文件中的资格证明文件进行审查。资格审查的结论，采购人以书面形式向评标委员会进行反馈。</w:t>
      </w:r>
      <w:r/>
    </w:p>
    <w:p>
      <w:pPr>
        <w:pStyle w:val="907"/>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采购人在进行资格性审查的同时，将在“信用中国”网站（www.creditchina.gov.cn）查询投标人的信用记录，以确定投标人是否具备投标资格,查询结果留存并归档。</w:t>
      </w:r>
      <w:r/>
    </w:p>
    <w:p>
      <w:pPr>
        <w:pStyle w:val="907"/>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07"/>
        <w:ind w:firstLine="480"/>
        <w:spacing w:line="400" w:lineRule="exact"/>
        <w:rPr>
          <w:rFonts w:hint="eastAsia" w:ascii="宋体" w:hAnsi="宋体"/>
          <w:bCs/>
          <w:color w:val="000000"/>
          <w:sz w:val="24"/>
        </w:rPr>
      </w:pPr>
      <w:r>
        <w:rPr>
          <w:rFonts w:hint="eastAsia" w:ascii="宋体" w:hAnsi="宋体"/>
          <w:bCs/>
          <w:color w:val="000000"/>
          <w:sz w:val="24"/>
        </w:rPr>
        <w:t xml:space="preserve">24.1.2 符合性审查：依据招标文件的规定，由评标委员会从投标文件的有效性、完整性和对招标文件的响应程度进行审查，以确定是否对招标文件的实质性要求作出响应。</w:t>
      </w:r>
      <w:r/>
    </w:p>
    <w:p>
      <w:pPr>
        <w:pStyle w:val="907"/>
        <w:ind w:firstLine="480"/>
        <w:spacing w:line="400" w:lineRule="exact"/>
        <w:rPr>
          <w:rFonts w:hint="eastAsia" w:ascii="宋体" w:hAnsi="宋体"/>
          <w:bCs/>
          <w:color w:val="000000"/>
          <w:sz w:val="24"/>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未通过资格审查或符合性审查的投标人，采购中心将在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w:t>
      </w:r>
      <w:r>
        <w:rPr>
          <w:rFonts w:hint="eastAsia" w:ascii="宋体" w:hAnsi="宋体"/>
          <w:bCs/>
          <w:color w:val="000000"/>
          <w:sz w:val="24"/>
        </w:rPr>
        <w:t xml:space="preserve">采购</w:t>
      </w:r>
      <w:r>
        <w:rPr>
          <w:rFonts w:ascii="宋体" w:hAnsi="宋体"/>
          <w:bCs/>
          <w:color w:val="000000"/>
          <w:sz w:val="24"/>
        </w:rPr>
        <w:t xml:space="preserve">中心将不再告知未通过资格审查和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ascii="宋体" w:hAnsi="宋体"/>
          <w:bCs/>
          <w:color w:val="000000"/>
          <w:sz w:val="24"/>
        </w:rPr>
      </w:r>
      <w:r/>
    </w:p>
    <w:p>
      <w:pPr>
        <w:pStyle w:val="907"/>
        <w:ind w:firstLine="480"/>
        <w:spacing w:line="400" w:lineRule="exact"/>
        <w:rPr>
          <w:rFonts w:hint="eastAsia" w:ascii="宋体" w:hAnsi="宋体"/>
          <w:color w:val="000000"/>
          <w:sz w:val="24"/>
        </w:rPr>
      </w:pPr>
      <w:r>
        <w:rPr>
          <w:rFonts w:hint="eastAsia" w:ascii="宋体" w:hAnsi="宋体"/>
          <w:color w:val="000000"/>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907"/>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907"/>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color w:val="000000"/>
          <w:sz w:val="24"/>
        </w:rPr>
      </w:r>
      <w:r/>
    </w:p>
    <w:p>
      <w:pPr>
        <w:pStyle w:val="907"/>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评标委员会将对确定为实质性响应的投标进行进一步审核，确定其是否有计算上或累加上的算术错误，修正错误的原则如下：</w:t>
      </w:r>
      <w:r/>
    </w:p>
    <w:p>
      <w:pPr>
        <w:pStyle w:val="907"/>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907"/>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907"/>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907"/>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pStyle w:val="907"/>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pStyle w:val="907"/>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评标委员会将按上述修正错误的方法调整投标文件中的投标报价，并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color w:val="000000"/>
          <w:sz w:val="24"/>
        </w:rPr>
      </w:r>
      <w:r/>
    </w:p>
    <w:p>
      <w:pPr>
        <w:pStyle w:val="907"/>
        <w:ind w:firstLine="420"/>
        <w:spacing w:line="400" w:lineRule="exact"/>
        <w:rPr>
          <w:rFonts w:ascii="宋体" w:hAnsi="宋体"/>
          <w:color w:val="000000"/>
          <w:sz w:val="24"/>
        </w:rPr>
      </w:pPr>
      <w:r/>
      <w:bookmarkStart w:id="158" w:name="_Toc513029234"/>
      <w:r/>
      <w:bookmarkStart w:id="159" w:name="_Toc20823306"/>
      <w:r/>
      <w:bookmarkStart w:id="160" w:name="_Toc16938550"/>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rPr>
          <w:rFonts w:ascii="宋体" w:hAnsi="宋体"/>
          <w:color w:val="000000"/>
          <w:sz w:val="24"/>
        </w:rPr>
      </w:r>
      <w:r/>
    </w:p>
    <w:p>
      <w:pPr>
        <w:pStyle w:val="907"/>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 异常低价投标审查</w:t>
      </w:r>
      <w:r/>
    </w:p>
    <w:p>
      <w:pPr>
        <w:pStyle w:val="907"/>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24.7.1 评标过程中出现下列情形之一的，评标委员会应当启动异常低价投标审查程序：</w:t>
      </w:r>
      <w:r/>
    </w:p>
    <w:p>
      <w:pPr>
        <w:pStyle w:val="907"/>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（1）投标报价低于全部通过符合性审查供应商投标报价平均值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pStyle w:val="907"/>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（2）投标报价低于通过符合性审查的次低报价供应商投标报价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pStyle w:val="907"/>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r>
      <w:r>
        <w:rPr>
          <w:rFonts w:hint="eastAsia" w:ascii="方正魏碑_GBK" w:hAnsi="方正魏碑_GBK" w:eastAsia="方正魏碑_GBK" w:cs="方正魏碑_GBK"/>
          <w:color w:val="000000"/>
          <w:sz w:val="24"/>
        </w:rPr>
        <w:t xml:space="preserve">（3）投标报价低于采购项目最高限价65%的，即投标报价&lt;采购项目最高限价×65%；</w:t>
      </w:r>
      <w:r>
        <w:rPr>
          <w:rFonts w:hint="eastAsia" w:ascii="方正魏碑_GBK" w:hAnsi="方正魏碑_GBK" w:eastAsia="方正魏碑_GBK" w:cs="方正魏碑_GBK"/>
          <w:color w:val="000000"/>
          <w:sz w:val="24"/>
        </w:rPr>
      </w:r>
      <w:r/>
    </w:p>
    <w:p>
      <w:pPr>
        <w:pStyle w:val="907"/>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（4）评标委员会基于专业判断，认为供应商报价过低，有可能影响产品质量或者不能诚信履约的其他情形。</w:t>
      </w:r>
      <w:r/>
    </w:p>
    <w:p>
      <w:pPr>
        <w:pStyle w:val="907"/>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907"/>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11"/>
        <w:ind w:firstLine="420"/>
        <w:spacing w:before="0" w:after="0" w:line="400" w:lineRule="exact"/>
        <w:rPr>
          <w:rFonts w:hint="eastAsia"/>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8"/>
      <w:r/>
      <w:bookmarkEnd w:id="159"/>
      <w:r/>
      <w:bookmarkEnd w:id="160"/>
      <w:r>
        <w:rPr>
          <w:rFonts w:hint="eastAsia"/>
          <w:b w:val="0"/>
          <w:bCs w:val="0"/>
          <w:color w:val="000000"/>
        </w:rPr>
        <w:t xml:space="preserve">无效投标条款和废标条款</w:t>
      </w:r>
      <w:r/>
    </w:p>
    <w:p>
      <w:pPr>
        <w:pStyle w:val="907"/>
        <w:ind w:left="479"/>
        <w:spacing w:line="400" w:lineRule="exact"/>
        <w:rPr>
          <w:rFonts w:hint="eastAsia" w:ascii="宋体" w:hAnsi="宋体"/>
          <w:bCs/>
          <w:color w:val="000000"/>
          <w:sz w:val="24"/>
        </w:rPr>
      </w:pPr>
      <w:r/>
      <w:bookmarkStart w:id="161" w:name="_Toc20823307"/>
      <w:r/>
      <w:bookmarkStart w:id="162" w:name="_Toc16938551"/>
      <w:r/>
      <w:bookmarkStart w:id="163" w:name="_Toc513029235"/>
      <w:r>
        <w:rPr>
          <w:rFonts w:hint="eastAsia" w:ascii="宋体" w:hAnsi="宋体"/>
          <w:bCs/>
          <w:color w:val="000000"/>
          <w:sz w:val="24"/>
        </w:rPr>
        <w:t xml:space="preserve">25.1无效投标条款</w:t>
      </w:r>
      <w:r/>
    </w:p>
    <w:p>
      <w:pPr>
        <w:pStyle w:val="907"/>
        <w:ind w:firstLine="480"/>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pStyle w:val="907"/>
        <w:ind w:firstLine="480"/>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p>
    <w:p>
      <w:pPr>
        <w:pStyle w:val="907"/>
        <w:ind w:left="479"/>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pStyle w:val="907"/>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p>
    <w:p>
      <w:pPr>
        <w:pStyle w:val="907"/>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p>
    <w:p>
      <w:pPr>
        <w:pStyle w:val="907"/>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rPr>
          <w:rFonts w:hint="eastAsia" w:ascii="宋体" w:hAnsi="宋体"/>
          <w:bCs/>
          <w:i/>
          <w:color w:val="000000"/>
          <w:sz w:val="24"/>
          <w:u w:val="single"/>
        </w:rPr>
      </w:r>
      <w:r/>
    </w:p>
    <w:p>
      <w:pPr>
        <w:pStyle w:val="907"/>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hint="eastAsia" w:ascii="宋体" w:hAnsi="宋体"/>
          <w:bCs/>
          <w:i/>
          <w:color w:val="000000"/>
          <w:sz w:val="24"/>
          <w:u w:val="single"/>
        </w:rPr>
      </w:r>
      <w:r/>
    </w:p>
    <w:p>
      <w:pPr>
        <w:pStyle w:val="907"/>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7"/>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p>
    <w:p>
      <w:pPr>
        <w:pStyle w:val="907"/>
        <w:ind w:firstLine="48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25.1.10评标委员会按照本招标文件规定对投标人进行异常低价投标审查后，认为投标人不能证明其报价合理性的。</w:t>
      </w:r>
      <w:r/>
    </w:p>
    <w:p>
      <w:pPr>
        <w:pStyle w:val="907"/>
        <w:ind w:firstLine="480"/>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pStyle w:val="907"/>
        <w:ind w:firstLine="480"/>
        <w:spacing w:line="400" w:lineRule="exact"/>
        <w:rPr>
          <w:rFonts w:hint="eastAsia" w:ascii="宋体" w:hAnsi="宋体"/>
          <w:bCs/>
          <w:color w:val="000000"/>
          <w:sz w:val="24"/>
        </w:rPr>
      </w:pPr>
      <w:r>
        <w:rPr>
          <w:rFonts w:hint="eastAsia" w:ascii="宋体" w:hAnsi="宋体"/>
          <w:bCs/>
          <w:color w:val="000000"/>
          <w:sz w:val="24"/>
        </w:rPr>
        <w:t xml:space="preserve">25.1.12 投标人所提供的服务不符合招标文件中所列国家强制性标准的。</w:t>
      </w:r>
      <w:r/>
    </w:p>
    <w:p>
      <w:pPr>
        <w:pStyle w:val="907"/>
        <w:ind w:firstLine="480"/>
        <w:spacing w:line="400" w:lineRule="exact"/>
        <w:rPr>
          <w:rFonts w:hint="eastAsia" w:ascii="宋体" w:hAnsi="宋体"/>
          <w:bCs/>
          <w:color w:val="000000"/>
          <w:sz w:val="24"/>
        </w:rPr>
      </w:pPr>
      <w:r>
        <w:rPr>
          <w:rFonts w:hint="eastAsia" w:ascii="宋体" w:hAnsi="宋体"/>
          <w:bCs/>
          <w:color w:val="000000"/>
          <w:sz w:val="24"/>
        </w:rPr>
        <w:t xml:space="preserve">25.1.13其他法律、法规及本招标文件规定的属无效投标的情形。</w:t>
      </w:r>
      <w:r/>
    </w:p>
    <w:p>
      <w:pPr>
        <w:pStyle w:val="907"/>
        <w:ind w:left="479"/>
        <w:spacing w:line="400" w:lineRule="exact"/>
        <w:rPr>
          <w:rFonts w:hint="eastAsia" w:ascii="宋体" w:hAnsi="宋体"/>
          <w:bCs/>
          <w:color w:val="000000"/>
          <w:sz w:val="24"/>
        </w:rPr>
      </w:pPr>
      <w:r>
        <w:rPr>
          <w:rFonts w:hint="eastAsia" w:ascii="宋体" w:hAnsi="宋体"/>
          <w:bCs/>
          <w:color w:val="000000"/>
          <w:sz w:val="24"/>
        </w:rPr>
        <w:t xml:space="preserve">25.2废标条款</w:t>
      </w:r>
      <w:r/>
    </w:p>
    <w:p>
      <w:pPr>
        <w:pStyle w:val="907"/>
        <w:ind w:left="479"/>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pStyle w:val="907"/>
        <w:ind w:left="479"/>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p>
    <w:p>
      <w:pPr>
        <w:pStyle w:val="907"/>
        <w:ind w:left="479"/>
        <w:spacing w:line="400" w:lineRule="exact"/>
        <w:rPr>
          <w:rFonts w:ascii="宋体" w:hAnsi="宋体"/>
          <w:bCs/>
          <w:color w:val="000000"/>
          <w:sz w:val="24"/>
        </w:rPr>
      </w:pPr>
      <w:r>
        <w:rPr>
          <w:rFonts w:hint="eastAsia" w:ascii="宋体" w:hAnsi="宋体"/>
          <w:bCs/>
          <w:color w:val="000000"/>
          <w:sz w:val="24"/>
        </w:rPr>
        <w:t xml:space="preserve">25.2.4评标委员会认定招标文件存在歧义、重大缺陷导致评审工作无法进行。</w:t>
      </w:r>
      <w:r>
        <w:rPr>
          <w:rFonts w:ascii="宋体" w:hAnsi="宋体"/>
          <w:bCs/>
          <w:color w:val="000000"/>
          <w:sz w:val="24"/>
        </w:rPr>
      </w:r>
      <w:r/>
    </w:p>
    <w:p>
      <w:pPr>
        <w:pStyle w:val="907"/>
        <w:ind w:left="479"/>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rPr>
          <w:rFonts w:ascii="宋体" w:hAnsi="宋体"/>
          <w:bCs/>
          <w:color w:val="000000"/>
          <w:sz w:val="24"/>
        </w:rPr>
        <w:t xml:space="preserve">。</w:t>
      </w:r>
      <w:r>
        <w:rPr>
          <w:rFonts w:hint="eastAsia" w:ascii="宋体" w:hAnsi="宋体"/>
          <w:bCs/>
          <w:color w:val="000000"/>
          <w:sz w:val="24"/>
        </w:rPr>
      </w:r>
      <w:r/>
    </w:p>
    <w:p>
      <w:pPr>
        <w:pStyle w:val="907"/>
        <w:ind w:left="479"/>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pStyle w:val="907"/>
        <w:ind w:firstLine="480"/>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910"/>
        <w:ind w:firstLine="482"/>
        <w:spacing w:before="145" w:after="145" w:line="400" w:lineRule="exact"/>
        <w:rPr>
          <w:rFonts w:hint="eastAsia"/>
          <w:color w:val="000000"/>
        </w:rPr>
      </w:pPr>
      <w:r/>
      <w:bookmarkStart w:id="164" w:name="_Toc120614219"/>
      <w:r>
        <w:rPr>
          <w:rFonts w:hint="eastAsia"/>
          <w:color w:val="000000"/>
        </w:rPr>
        <w:t xml:space="preserve">六、</w:t>
      </w:r>
      <w:bookmarkEnd w:id="161"/>
      <w:r/>
      <w:bookmarkEnd w:id="162"/>
      <w:r/>
      <w:bookmarkEnd w:id="163"/>
      <w:r>
        <w:rPr>
          <w:rFonts w:hint="eastAsia"/>
          <w:color w:val="000000"/>
        </w:rPr>
        <w:t xml:space="preserve">定标</w:t>
      </w:r>
      <w:bookmarkEnd w:id="164"/>
      <w:r>
        <w:rPr>
          <w:rFonts w:hint="eastAsia"/>
          <w:color w:val="000000"/>
        </w:rPr>
      </w:r>
      <w:r/>
    </w:p>
    <w:p>
      <w:pPr>
        <w:pStyle w:val="911"/>
        <w:ind w:firstLine="600"/>
        <w:spacing w:before="0" w:after="0" w:line="400" w:lineRule="exact"/>
        <w:rPr>
          <w:rFonts w:hint="eastAsia" w:ascii="黑体" w:hAnsi="宋体"/>
          <w:b w:val="0"/>
          <w:color w:val="000000"/>
          <w:sz w:val="30"/>
          <w:szCs w:val="30"/>
        </w:rPr>
      </w:pPr>
      <w:r/>
      <w:bookmarkStart w:id="165" w:name="_Toc513029238"/>
      <w:r/>
      <w:bookmarkStart w:id="166" w:name="_Toc20823310"/>
      <w:r/>
      <w:bookmarkStart w:id="167" w:name="_Toc16938554"/>
      <w:r>
        <w:rPr>
          <w:rFonts w:hint="eastAsia" w:ascii="黑体" w:hAnsi="宋体"/>
          <w:b w:val="0"/>
          <w:color w:val="000000"/>
          <w:sz w:val="30"/>
          <w:szCs w:val="30"/>
        </w:rPr>
        <w:t xml:space="preserve">2</w:t>
      </w:r>
      <w:r>
        <w:rPr>
          <w:rFonts w:ascii="黑体" w:hAnsi="宋体"/>
          <w:b w:val="0"/>
          <w:color w:val="000000"/>
          <w:sz w:val="30"/>
          <w:szCs w:val="30"/>
        </w:rPr>
        <w:t xml:space="preserve">6</w:t>
      </w:r>
      <w:r>
        <w:rPr>
          <w:rFonts w:hint="eastAsia" w:ascii="黑体" w:hAnsi="宋体"/>
          <w:b w:val="0"/>
          <w:color w:val="000000"/>
          <w:sz w:val="30"/>
          <w:szCs w:val="30"/>
        </w:rPr>
        <w:t xml:space="preserve">、</w:t>
      </w:r>
      <w:bookmarkEnd w:id="165"/>
      <w:r>
        <w:rPr>
          <w:rFonts w:hint="eastAsia" w:ascii="黑体" w:hAnsi="宋体"/>
          <w:b w:val="0"/>
          <w:color w:val="000000"/>
          <w:sz w:val="30"/>
          <w:szCs w:val="30"/>
        </w:rPr>
        <w:t xml:space="preserve">确定</w:t>
      </w:r>
      <w:bookmarkEnd w:id="166"/>
      <w:r/>
      <w:bookmarkEnd w:id="167"/>
      <w:r>
        <w:rPr>
          <w:rFonts w:hint="eastAsia" w:ascii="黑体" w:hAnsi="宋体"/>
          <w:b w:val="0"/>
          <w:color w:val="000000"/>
          <w:sz w:val="30"/>
          <w:szCs w:val="30"/>
        </w:rPr>
        <w:t xml:space="preserve">中标单位</w:t>
      </w:r>
      <w:r/>
    </w:p>
    <w:p>
      <w:pPr>
        <w:pStyle w:val="907"/>
        <w:ind w:firstLine="480"/>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p>
    <w:p>
      <w:pPr>
        <w:pStyle w:val="907"/>
        <w:ind w:firstLine="480"/>
        <w:spacing w:line="400" w:lineRule="exact"/>
        <w:rPr>
          <w:rFonts w:hint="eastAsia" w:ascii="宋体" w:hAnsi="宋体"/>
          <w:bCs/>
          <w:color w:val="000000"/>
          <w:sz w:val="24"/>
        </w:rPr>
      </w:pPr>
      <w:r>
        <w:rPr>
          <w:rFonts w:hint="eastAsia" w:ascii="宋体" w:hAnsi="宋体"/>
          <w:bCs/>
          <w:color w:val="000000"/>
          <w:sz w:val="24"/>
        </w:rPr>
        <w:t xml:space="preserve">26.2 采购人应根据评标委员会推荐的中标候选人确定中标供应商。</w:t>
      </w:r>
      <w:r/>
    </w:p>
    <w:p>
      <w:pPr>
        <w:pStyle w:val="90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rPr>
        <w:t xml:space="preserve">采购中心将在“江苏政府采购网”发布中标公告，公告期限为1个工作日。</w:t>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26.4.2向采购人、采购中心行贿或者提供其他不正当利益的。</w:t>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26.4.3属于本文件规定的无效条件，但在评标过程中又未被评标委员会发现的。</w:t>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p>
    <w:p>
      <w:pPr>
        <w:pStyle w:val="907"/>
        <w:ind w:firstLine="480"/>
        <w:spacing w:line="400" w:lineRule="exact"/>
        <w:rPr>
          <w:rFonts w:ascii="宋体" w:hAnsi="宋体"/>
          <w:color w:val="000000"/>
          <w:sz w:val="24"/>
          <w:szCs w:val="24"/>
        </w:rPr>
      </w:pPr>
      <w:r/>
      <w:bookmarkStart w:id="168" w:name="_Toc200451960"/>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.5.1不同投标人的投标文件由同一单位或者个人编制。</w:t>
      </w:r>
      <w:r>
        <w:rPr>
          <w:rFonts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.5.2不同投标人委托同一单位或者个人办理投标事宜。</w:t>
      </w:r>
      <w:r>
        <w:rPr>
          <w:rFonts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.5.3 不同投标人的投标文件载明的项目管理成员或者联系人员为同一人。</w:t>
      </w:r>
      <w:r>
        <w:rPr>
          <w:rFonts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.5.4不同投标人的投标文件异常一致或者投标报价呈规律性差异。</w:t>
      </w:r>
      <w:r>
        <w:rPr>
          <w:rFonts w:ascii="宋体" w:hAnsi="宋体"/>
          <w:color w:val="000000"/>
          <w:sz w:val="24"/>
          <w:szCs w:val="24"/>
        </w:rPr>
      </w:r>
      <w:r/>
    </w:p>
    <w:p>
      <w:pPr>
        <w:pStyle w:val="911"/>
        <w:ind w:firstLine="600"/>
        <w:spacing w:before="0" w:after="0" w:line="400" w:lineRule="exact"/>
        <w:rPr>
          <w:rFonts w:hint="eastAsia" w:ascii="黑体" w:hAnsi="宋体"/>
          <w:b w:val="0"/>
          <w:color w:val="000000"/>
          <w:sz w:val="30"/>
          <w:szCs w:val="30"/>
        </w:rPr>
      </w:pPr>
      <w:r>
        <w:rPr>
          <w:rFonts w:hint="eastAsia" w:ascii="黑体" w:hAnsi="宋体"/>
          <w:b w:val="0"/>
          <w:color w:val="000000"/>
          <w:sz w:val="30"/>
          <w:szCs w:val="30"/>
        </w:rPr>
        <w:t xml:space="preserve">2</w:t>
      </w:r>
      <w:r>
        <w:rPr>
          <w:rFonts w:ascii="黑体" w:hAnsi="宋体"/>
          <w:b w:val="0"/>
          <w:color w:val="000000"/>
          <w:sz w:val="30"/>
          <w:szCs w:val="30"/>
        </w:rPr>
        <w:t xml:space="preserve">7</w:t>
      </w:r>
      <w:r>
        <w:rPr>
          <w:rFonts w:hint="eastAsia" w:ascii="黑体" w:hAnsi="宋体"/>
          <w:b w:val="0"/>
          <w:color w:val="000000"/>
          <w:sz w:val="30"/>
          <w:szCs w:val="30"/>
        </w:rPr>
        <w:t xml:space="preserve">、质疑处理</w:t>
      </w:r>
      <w:bookmarkEnd w:id="168"/>
      <w:r>
        <w:rPr>
          <w:rFonts w:hint="eastAsia" w:ascii="黑体" w:hAnsi="宋体"/>
          <w:b w:val="0"/>
          <w:color w:val="000000"/>
          <w:sz w:val="30"/>
          <w:szCs w:val="30"/>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27.1 提出质疑的供应商应当是参与所质疑项目采购活动的供应商。潜在供应商依法获取其可质疑的采购文件的，可以对采购文件提出质疑。</w:t>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27.2.1对可以质疑的采购文件提出质疑的，为收到采购文件之日或者采购文件公告期限届满之日；</w:t>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27.2.2对采购过程提出质疑的，为各采购程序环节结束之日；</w:t>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27.2.3对中标或者成交结果提出质疑的，为中标或者成交结果公告期限届满之日。</w:t>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采购人及采购中心只接收以纸质原件形式送达的质疑,建议供应商尽量通过邮寄方式提交质疑（采购人和采购中心不接受无快递运单号的快递）。</w:t>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采购中心质疑接收部门为质疑处理科（快递运单上的收件人填写“质疑处理科”即可），联系地址：南京市汉中门大街145号省政务中心二期3楼南区3029室，联系电话：025-83668531。</w:t>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 以下情形的质疑不予受理</w:t>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27.5.5供应商组成联合体参加投标，联合体中任何一方或多方未按要求签字、盖章、加盖公章的质疑。</w:t>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11"/>
        <w:ind w:firstLine="600"/>
        <w:spacing w:before="0" w:after="0" w:line="400" w:lineRule="exact"/>
        <w:rPr>
          <w:rFonts w:hint="eastAsia" w:ascii="黑体" w:hAnsi="宋体"/>
          <w:b w:val="0"/>
          <w:color w:val="000000"/>
          <w:sz w:val="30"/>
          <w:szCs w:val="30"/>
        </w:rPr>
      </w:pPr>
      <w:r>
        <w:rPr>
          <w:rFonts w:hint="eastAsia" w:ascii="黑体" w:hAnsi="宋体"/>
          <w:b w:val="0"/>
          <w:color w:val="000000"/>
          <w:sz w:val="30"/>
          <w:szCs w:val="30"/>
        </w:rPr>
        <w:t xml:space="preserve">2</w:t>
      </w:r>
      <w:r>
        <w:rPr>
          <w:rFonts w:ascii="黑体" w:hAnsi="宋体"/>
          <w:b w:val="0"/>
          <w:color w:val="000000"/>
          <w:sz w:val="30"/>
          <w:szCs w:val="30"/>
        </w:rPr>
        <w:t xml:space="preserve">8</w:t>
      </w:r>
      <w:r>
        <w:rPr>
          <w:rFonts w:hint="eastAsia" w:ascii="黑体" w:hAnsi="宋体"/>
          <w:b w:val="0"/>
          <w:color w:val="000000"/>
          <w:sz w:val="30"/>
          <w:szCs w:val="30"/>
        </w:rPr>
        <w:t xml:space="preserve">、中标通知书</w:t>
      </w:r>
      <w:r/>
    </w:p>
    <w:p>
      <w:pPr>
        <w:pStyle w:val="907"/>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07"/>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10"/>
        <w:spacing w:before="145" w:after="145" w:line="400" w:lineRule="exact"/>
        <w:rPr>
          <w:rFonts w:hint="eastAsia"/>
          <w:color w:val="000000"/>
        </w:rPr>
      </w:pPr>
      <w:r/>
      <w:bookmarkStart w:id="169" w:name="_Toc120614220"/>
      <w:r/>
      <w:bookmarkStart w:id="170" w:name="_Toc16938552"/>
      <w:r/>
      <w:bookmarkStart w:id="171" w:name="_Toc20823308"/>
      <w:r/>
      <w:bookmarkStart w:id="172" w:name="_Toc513029236"/>
      <w:r>
        <w:rPr>
          <w:rFonts w:hint="eastAsia"/>
          <w:color w:val="000000"/>
        </w:rPr>
        <w:t xml:space="preserve">七、授予合同</w:t>
      </w:r>
      <w:bookmarkEnd w:id="169"/>
      <w:r>
        <w:rPr>
          <w:rFonts w:hint="eastAsia"/>
          <w:color w:val="000000"/>
        </w:rPr>
      </w:r>
      <w:r/>
    </w:p>
    <w:p>
      <w:pPr>
        <w:pStyle w:val="911"/>
        <w:ind w:firstLine="600"/>
        <w:spacing w:before="0" w:after="0" w:line="400" w:lineRule="exact"/>
        <w:rPr>
          <w:rFonts w:hint="eastAsia" w:ascii="黑体" w:hAnsi="宋体"/>
          <w:b w:val="0"/>
          <w:color w:val="000000"/>
          <w:sz w:val="30"/>
          <w:szCs w:val="30"/>
        </w:rPr>
      </w:pPr>
      <w:r/>
      <w:bookmarkEnd w:id="170"/>
      <w:r/>
      <w:bookmarkEnd w:id="171"/>
      <w:r/>
      <w:bookmarkEnd w:id="172"/>
      <w:r/>
      <w:bookmarkStart w:id="173" w:name="_Toc20823309"/>
      <w:r/>
      <w:bookmarkStart w:id="174" w:name="_Toc513029237"/>
      <w:r/>
      <w:bookmarkStart w:id="175" w:name="_Toc16938553"/>
      <w:r>
        <w:rPr>
          <w:rFonts w:ascii="黑体" w:hAnsi="宋体"/>
          <w:b w:val="0"/>
          <w:color w:val="000000"/>
          <w:sz w:val="30"/>
          <w:szCs w:val="30"/>
        </w:rPr>
        <w:t xml:space="preserve">29</w:t>
      </w:r>
      <w:r>
        <w:rPr>
          <w:rFonts w:hint="eastAsia" w:ascii="黑体" w:hAnsi="宋体"/>
          <w:b w:val="0"/>
          <w:color w:val="000000"/>
          <w:sz w:val="30"/>
          <w:szCs w:val="30"/>
        </w:rPr>
        <w:t xml:space="preserve">、签订合同</w:t>
      </w:r>
      <w:r/>
    </w:p>
    <w:p>
      <w:pPr>
        <w:pStyle w:val="907"/>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pStyle w:val="907"/>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pStyle w:val="907"/>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11"/>
        <w:ind w:firstLine="600"/>
        <w:spacing w:before="0" w:after="0" w:line="400" w:lineRule="exact"/>
        <w:rPr>
          <w:rFonts w:hint="eastAsia" w:ascii="黑体" w:hAnsi="宋体"/>
          <w:b w:val="0"/>
          <w:color w:val="000000"/>
          <w:sz w:val="30"/>
          <w:szCs w:val="30"/>
        </w:rPr>
      </w:pPr>
      <w:r>
        <w:rPr>
          <w:rFonts w:hint="eastAsia" w:ascii="黑体" w:hAnsi="宋体"/>
          <w:b w:val="0"/>
          <w:color w:val="000000"/>
          <w:sz w:val="30"/>
          <w:szCs w:val="30"/>
        </w:rPr>
        <w:t xml:space="preserve">3</w:t>
      </w:r>
      <w:r>
        <w:rPr>
          <w:rFonts w:ascii="黑体" w:hAnsi="宋体"/>
          <w:b w:val="0"/>
          <w:color w:val="000000"/>
          <w:sz w:val="30"/>
          <w:szCs w:val="30"/>
        </w:rPr>
        <w:t xml:space="preserve">0</w:t>
      </w:r>
      <w:r>
        <w:rPr>
          <w:rFonts w:hint="eastAsia" w:ascii="黑体" w:hAnsi="宋体"/>
          <w:b w:val="0"/>
          <w:color w:val="000000"/>
          <w:sz w:val="30"/>
          <w:szCs w:val="30"/>
        </w:rPr>
        <w:t xml:space="preserve">、服务（包含与服务相关的货物）的追加</w:t>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911"/>
        <w:ind w:firstLine="600"/>
        <w:spacing w:before="0" w:after="0" w:line="400" w:lineRule="exact"/>
        <w:rPr>
          <w:rFonts w:ascii="黑体" w:hAnsi="宋体"/>
          <w:b w:val="0"/>
          <w:color w:val="000000"/>
          <w:sz w:val="30"/>
          <w:szCs w:val="30"/>
        </w:rPr>
      </w:pPr>
      <w:r/>
      <w:bookmarkEnd w:id="173"/>
      <w:r/>
      <w:bookmarkEnd w:id="174"/>
      <w:r/>
      <w:bookmarkEnd w:id="175"/>
      <w:r/>
      <w:bookmarkStart w:id="176" w:name="_Toc479757207"/>
      <w:r/>
      <w:bookmarkStart w:id="177" w:name="_Toc120614221"/>
      <w:r/>
      <w:bookmarkStart w:id="178" w:name="_Toc16938558"/>
      <w:r/>
      <w:bookmarkStart w:id="179" w:name="_Toc20823314"/>
      <w:r/>
      <w:bookmarkStart w:id="180" w:name="_Toc513029242"/>
      <w:r>
        <w:rPr>
          <w:rFonts w:hint="eastAsia" w:ascii="黑体" w:hAnsi="宋体"/>
          <w:b w:val="0"/>
          <w:color w:val="000000"/>
          <w:sz w:val="30"/>
          <w:szCs w:val="30"/>
        </w:rPr>
        <w:t xml:space="preserve">3</w:t>
      </w:r>
      <w:r>
        <w:rPr>
          <w:rFonts w:ascii="黑体" w:hAnsi="宋体"/>
          <w:b w:val="0"/>
          <w:color w:val="000000"/>
          <w:sz w:val="30"/>
          <w:szCs w:val="30"/>
        </w:rPr>
        <w:t xml:space="preserve">1</w:t>
      </w:r>
      <w:r>
        <w:rPr>
          <w:rFonts w:hint="eastAsia" w:ascii="黑体" w:hAnsi="宋体"/>
          <w:b w:val="0"/>
          <w:color w:val="000000"/>
          <w:sz w:val="30"/>
          <w:szCs w:val="30"/>
        </w:rPr>
        <w:t xml:space="preserve">、政府采购履约资金扶持政策</w:t>
      </w:r>
      <w:r>
        <w:rPr>
          <w:rFonts w:ascii="黑体" w:hAnsi="宋体"/>
          <w:b w:val="0"/>
          <w:color w:val="000000"/>
          <w:sz w:val="30"/>
          <w:szCs w:val="30"/>
        </w:rPr>
      </w:r>
      <w:r/>
    </w:p>
    <w:p>
      <w:pPr>
        <w:pStyle w:val="922"/>
        <w:spacing w:line="400" w:lineRule="exact"/>
        <w:rPr>
          <w:rFonts w:hint="eastAsia" w:ascii="宋体" w:hAnsi="宋体"/>
          <w:bCs/>
          <w:color w:val="000000"/>
          <w:sz w:val="24"/>
        </w:rPr>
      </w:pPr>
      <w:r>
        <w:rPr>
          <w:rFonts w:hint="eastAsia" w:ascii="宋体" w:hAnsi="宋体"/>
          <w:bCs/>
          <w:color w:val="000000"/>
          <w:sz w:val="24"/>
        </w:rPr>
        <w:t xml:space="preserve">中标供应商可凭政府采购合同办理融资贷款，详情请见江苏政府采购网“政采贷”专栏。</w:t>
      </w:r>
      <w:r/>
    </w:p>
    <w:p>
      <w:pPr>
        <w:pStyle w:val="922"/>
        <w:ind w:firstLine="0"/>
        <w:spacing w:line="400" w:lineRule="exact"/>
        <w:rPr>
          <w:rFonts w:hint="eastAsia" w:ascii="宋体" w:hAnsi="宋体"/>
          <w:color w:val="000000"/>
          <w:sz w:val="24"/>
          <w:szCs w:val="24"/>
        </w:rPr>
      </w:pPr>
      <w:r>
        <w:rPr>
          <w:rFonts w:hint="eastAsia" w:ascii="宋体" w:hAnsi="宋体"/>
          <w:bCs/>
          <w:color w:val="000000"/>
          <w:sz w:val="24"/>
        </w:rPr>
      </w:r>
      <w:r>
        <w:rPr>
          <w:rFonts w:hint="eastAsia" w:ascii="宋体" w:hAnsi="宋体"/>
          <w:bCs/>
          <w:color w:val="000000"/>
          <w:sz w:val="24"/>
        </w:rPr>
      </w:r>
      <w:r/>
    </w:p>
    <w:p>
      <w:pPr>
        <w:pStyle w:val="922"/>
        <w:ind w:firstLine="0"/>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22"/>
        <w:ind w:firstLine="0"/>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22"/>
        <w:ind w:firstLine="0"/>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22"/>
        <w:ind w:firstLine="0"/>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22"/>
        <w:ind w:firstLine="0"/>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22"/>
        <w:ind w:firstLine="0"/>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22"/>
        <w:ind w:firstLine="0"/>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22"/>
        <w:ind w:firstLine="0"/>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22"/>
        <w:ind w:firstLine="0"/>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22"/>
        <w:ind w:firstLine="0"/>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22"/>
        <w:ind w:firstLine="0"/>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22"/>
        <w:ind w:firstLine="0"/>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22"/>
        <w:ind w:firstLine="0"/>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22"/>
        <w:ind w:firstLine="0"/>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22"/>
        <w:ind w:firstLine="0"/>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22"/>
        <w:ind w:firstLine="0"/>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22"/>
        <w:ind w:firstLine="0"/>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22"/>
        <w:ind w:firstLine="0"/>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22"/>
        <w:ind w:firstLine="0"/>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22"/>
        <w:ind w:firstLine="0"/>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22"/>
        <w:ind w:firstLine="0"/>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22"/>
        <w:ind w:firstLine="0"/>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22"/>
        <w:ind w:firstLine="0"/>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22"/>
        <w:ind w:firstLine="0"/>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22"/>
        <w:ind w:firstLine="0"/>
        <w:spacing w:line="400" w:lineRule="exact"/>
        <w:rPr>
          <w:rFonts w:hint="eastAsia" w:ascii="宋体" w:hAnsi="宋体"/>
          <w:color w:val="000000"/>
          <w:sz w:val="24"/>
          <w:szCs w:val="24"/>
        </w:rPr>
      </w:pPr>
      <w:r>
        <w:rPr>
          <w:rFonts w:hint="eastAsia" w:ascii="宋体" w:hAnsi="宋体"/>
          <w:bCs/>
          <w:color w:val="000000"/>
          <w:sz w:val="24"/>
        </w:rPr>
      </w:r>
      <w:r/>
    </w:p>
    <w:p>
      <w:pPr>
        <w:pStyle w:val="908"/>
        <w:rPr>
          <w:rFonts w:hint="eastAsia" w:ascii="黑体" w:eastAsia="黑体"/>
          <w:bCs/>
          <w:color w:val="000000"/>
          <w:sz w:val="44"/>
          <w:lang w:eastAsia="zh-CN"/>
        </w:rPr>
      </w:pPr>
      <w:r/>
      <w:bookmarkEnd w:id="176"/>
      <w:r/>
      <w:bookmarkEnd w:id="177"/>
      <w:r/>
      <w:bookmarkEnd w:id="178"/>
      <w:r/>
      <w:bookmarkEnd w:id="179"/>
      <w:r/>
      <w:bookmarkEnd w:id="180"/>
      <w:r/>
      <w:bookmarkStart w:id="181" w:name="_Hlt16619369"/>
      <w:r/>
      <w:bookmarkEnd w:id="181"/>
      <w:r/>
      <w:bookmarkStart w:id="182" w:name="_Toc120614244"/>
      <w:r/>
      <w:bookmarkStart w:id="183" w:name="_Toc20823346"/>
      <w:r/>
      <w:bookmarkStart w:id="184" w:name="_Toc479757211"/>
      <w:r/>
      <w:bookmarkStart w:id="185" w:name="_Toc462564139"/>
      <w:r/>
      <w:bookmarkStart w:id="186" w:name="_Hlt16619350"/>
      <w:r/>
      <w:bookmarkStart w:id="187" w:name="_Toc16938590"/>
      <w:r>
        <w:rPr>
          <w:rFonts w:hint="eastAsia" w:ascii="黑体" w:eastAsia="黑体"/>
          <w:bCs/>
          <w:color w:val="000000"/>
          <w:sz w:val="44"/>
        </w:rPr>
        <w:t xml:space="preserve">第三章  合同文本</w:t>
      </w:r>
      <w:bookmarkStart w:id="188" w:name="_Toc20823315"/>
      <w:r/>
      <w:bookmarkStart w:id="189" w:name="_Toc513029243"/>
      <w:r/>
      <w:bookmarkStart w:id="190" w:name="_Toc16938559"/>
      <w:r>
        <w:rPr>
          <w:rFonts w:hint="eastAsia" w:ascii="黑体" w:eastAsia="黑体"/>
          <w:bCs/>
          <w:color w:val="000000"/>
          <w:sz w:val="44"/>
          <w:lang w:eastAsia="zh-CN"/>
        </w:rPr>
      </w:r>
      <w:r/>
    </w:p>
    <w:p>
      <w:pPr>
        <w:pStyle w:val="907"/>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907"/>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“江苏数字广电”项目</w:t>
      </w:r>
      <w:r>
        <w:rPr>
          <w:rFonts w:ascii="宋体" w:hAnsi="宋体" w:cs="Courier New"/>
          <w:color w:val="000000"/>
          <w:sz w:val="24"/>
          <w:szCs w:val="24"/>
        </w:rPr>
        <w:t xml:space="preserve">                </w:t>
      </w:r>
      <w:r/>
    </w:p>
    <w:p>
      <w:pPr>
        <w:pStyle w:val="907"/>
        <w:spacing w:before="120" w:after="120"/>
        <w:rPr>
          <w:rFonts w:ascii="宋体" w:hAnsi="宋体" w:cs="Courier New"/>
          <w:color w:val="00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JSZC-320000-SCZX-G2026-0461</w:t>
      </w:r>
      <w:r>
        <w:rPr>
          <w:rFonts w:ascii="宋体" w:hAnsi="宋体" w:cs="Courier New"/>
          <w:color w:val="000000"/>
          <w:sz w:val="24"/>
          <w:szCs w:val="24"/>
        </w:rPr>
        <w:t xml:space="preserve">             </w:t>
      </w:r>
      <w:r/>
    </w:p>
    <w:p>
      <w:pPr>
        <w:pStyle w:val="907"/>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rPr>
          <w:rFonts w:hint="eastAsia" w:ascii="宋体" w:hAnsi="宋体" w:cs="Courier New"/>
          <w:color w:val="000000"/>
          <w:sz w:val="24"/>
          <w:szCs w:val="24"/>
        </w:rPr>
      </w:r>
      <w:r/>
    </w:p>
    <w:p>
      <w:pPr>
        <w:pStyle w:val="946"/>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w:t>
      </w:r>
      <w:r>
        <w:rPr>
          <w:rFonts w:hint="eastAsia" w:hAnsi="宋体"/>
          <w:color w:val="000000"/>
          <w:sz w:val="24"/>
          <w:szCs w:val="24"/>
          <w:lang w:val="en-US" w:eastAsia="zh-CN"/>
        </w:rPr>
        <w:t xml:space="preserve">江苏省广播电视局</w:t>
      </w:r>
      <w:r>
        <w:rPr>
          <w:rFonts w:hAnsi="宋体"/>
          <w:color w:val="000000"/>
          <w:sz w:val="24"/>
          <w:szCs w:val="24"/>
        </w:rPr>
      </w:r>
      <w:r/>
    </w:p>
    <w:p>
      <w:pPr>
        <w:pStyle w:val="946"/>
        <w:spacing w:before="120" w:after="120"/>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rPr>
          <w:rFonts w:hint="eastAsia" w:hAnsi="宋体"/>
          <w:color w:val="000000"/>
          <w:sz w:val="24"/>
          <w:szCs w:val="24"/>
        </w:rPr>
      </w:r>
      <w:r/>
    </w:p>
    <w:p>
      <w:pPr>
        <w:pStyle w:val="946"/>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江苏省政府采购中心</w:t>
      </w:r>
      <w:r>
        <w:rPr>
          <w:rFonts w:hint="eastAsia" w:hAnsi="宋体" w:cs="Courier New"/>
          <w:color w:val="000000"/>
          <w:sz w:val="24"/>
          <w:szCs w:val="24"/>
          <w:u w:val="single"/>
          <w:lang w:val="en-US" w:eastAsia="zh-CN"/>
        </w:rPr>
        <w:t xml:space="preserve">江苏数字广电</w:t>
      </w:r>
      <w:r>
        <w:rPr>
          <w:rFonts w:hAnsi="宋体"/>
          <w:color w:val="000000"/>
          <w:sz w:val="24"/>
          <w:szCs w:val="24"/>
        </w:rPr>
        <w:t xml:space="preserve">项目公开招标的结果，签署本合同。</w:t>
      </w:r>
      <w:r>
        <w:rPr>
          <w:rFonts w:hAnsi="宋体"/>
          <w:b/>
          <w:color w:val="000000"/>
          <w:sz w:val="24"/>
          <w:szCs w:val="24"/>
        </w:rPr>
      </w:r>
      <w:r/>
    </w:p>
    <w:p>
      <w:pPr>
        <w:pStyle w:val="946"/>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946"/>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rPr>
          <w:rFonts w:hint="eastAsia" w:hAnsi="宋体" w:cs="Courier New"/>
          <w:color w:val="000000"/>
          <w:sz w:val="24"/>
          <w:szCs w:val="24"/>
          <w:lang w:val="en-US" w:eastAsia="zh-CN"/>
        </w:rPr>
        <w:t xml:space="preserve">江苏数字广电</w:t>
      </w:r>
      <w:r>
        <w:rPr>
          <w:rFonts w:hAnsi="宋体"/>
          <w:color w:val="000000"/>
          <w:sz w:val="24"/>
          <w:szCs w:val="24"/>
        </w:rPr>
      </w:r>
      <w:r/>
    </w:p>
    <w:p>
      <w:pPr>
        <w:pStyle w:val="946"/>
        <w:spacing w:before="120" w:after="120"/>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lang w:val="en-US" w:eastAsia="zh-CN"/>
        </w:rPr>
        <w:t xml:space="preserve"> </w:t>
      </w:r>
      <w:r>
        <w:rPr>
          <w:rFonts w:hint="eastAsia" w:hAnsi="宋体"/>
          <w:color w:val="000000"/>
          <w:sz w:val="24"/>
          <w:szCs w:val="24"/>
        </w:rPr>
        <w:t xml:space="preserve">标的质量：</w:t>
      </w:r>
      <w:r>
        <w:rPr>
          <w:rFonts w:hint="eastAsia" w:hAnsi="宋体" w:cs="宋体"/>
          <w:color w:val="000000"/>
          <w:sz w:val="24"/>
        </w:rPr>
        <w:t xml:space="preserve">落实“一部门一系统”要求，深度整合业务系统，</w:t>
      </w:r>
      <w:r>
        <w:rPr>
          <w:rFonts w:hint="eastAsia" w:hAnsi="宋体"/>
          <w:color w:val="000000"/>
          <w:sz w:val="24"/>
          <w:szCs w:val="24"/>
        </w:rPr>
        <w:t xml:space="preserve">新建包括一体化平台、机构与企业管理应用系统、内容生产服务与审核应用系统等相关系统模块，</w:t>
      </w:r>
      <w:r>
        <w:rPr>
          <w:rFonts w:hint="eastAsia" w:hAnsi="宋体"/>
          <w:color w:val="000000"/>
          <w:sz w:val="24"/>
          <w:szCs w:val="24"/>
          <w:lang w:val="en-US" w:eastAsia="zh-CN"/>
        </w:rPr>
        <w:t xml:space="preserve">建设业务数据主题库，编制标准规范，开展数据治理服务，推动大数据、人工智能等新技术应用，助力我省广电行业数字化转型</w:t>
      </w:r>
      <w:r>
        <w:rPr>
          <w:rFonts w:hint="eastAsia" w:hAnsi="宋体"/>
          <w:color w:val="000000"/>
          <w:sz w:val="24"/>
          <w:szCs w:val="24"/>
        </w:rPr>
        <w:t xml:space="preserve">。</w:t>
      </w:r>
      <w:r>
        <w:rPr>
          <w:rFonts w:hint="eastAsia" w:hAnsi="宋体" w:cs="宋体"/>
          <w:color w:val="000000"/>
          <w:sz w:val="24"/>
        </w:rPr>
        <w:t xml:space="preserve">具体内容详见“</w:t>
      </w:r>
      <w:r>
        <w:rPr>
          <w:rFonts w:hint="eastAsia" w:hAnsi="宋体" w:cs="宋体"/>
          <w:color w:val="000000"/>
          <w:sz w:val="24"/>
          <w:lang w:val="en-US" w:eastAsia="zh-CN"/>
        </w:rPr>
        <w:t xml:space="preserve">江苏数字广电</w:t>
      </w:r>
      <w:r>
        <w:rPr>
          <w:rFonts w:hint="eastAsia" w:hAnsi="宋体" w:cs="宋体"/>
          <w:color w:val="000000"/>
          <w:sz w:val="24"/>
        </w:rPr>
        <w:t xml:space="preserve">”采购文件（项目编号</w:t>
      </w:r>
      <w:r>
        <w:rPr>
          <w:rFonts w:hint="eastAsia" w:hAnsi="宋体" w:cs="Courier New"/>
          <w:color w:val="000000"/>
          <w:sz w:val="24"/>
          <w:szCs w:val="24"/>
          <w:lang w:val="en-US" w:eastAsia="zh-CN"/>
        </w:rPr>
        <w:t xml:space="preserve">JSZC-320000-SCZX-G2026-0461</w:t>
      </w:r>
      <w:r>
        <w:rPr>
          <w:rFonts w:hint="eastAsia" w:hAnsi="宋体" w:cs="宋体"/>
          <w:color w:val="000000"/>
          <w:sz w:val="24"/>
        </w:rPr>
        <w:t xml:space="preserve">）。</w:t>
      </w:r>
      <w:r>
        <w:rPr>
          <w:rFonts w:hint="eastAsia" w:hAnsi="宋体"/>
          <w:color w:val="000000"/>
          <w:sz w:val="24"/>
          <w:szCs w:val="24"/>
        </w:rPr>
      </w:r>
      <w:r/>
    </w:p>
    <w:p>
      <w:pPr>
        <w:pStyle w:val="946"/>
        <w:spacing w:before="120" w:after="120"/>
        <w:rPr>
          <w:rFonts w:hAnsi="宋体"/>
          <w:color w:val="000000"/>
          <w:sz w:val="24"/>
          <w:szCs w:val="24"/>
          <w:lang w:val="en-US" w:eastAsia="zh-CN"/>
        </w:rPr>
      </w:pPr>
      <w:r>
        <w:rPr>
          <w:rFonts w:hint="eastAsia" w:hAnsi="宋体"/>
          <w:color w:val="000000"/>
          <w:sz w:val="24"/>
          <w:szCs w:val="24"/>
        </w:rPr>
        <w:t xml:space="preserve">1.3 标的数量（规模）：</w:t>
      </w:r>
      <w:r>
        <w:rPr>
          <w:rFonts w:hint="eastAsia" w:hAnsi="宋体"/>
          <w:color w:val="000000"/>
          <w:sz w:val="24"/>
          <w:szCs w:val="24"/>
          <w:lang w:val="en-US" w:eastAsia="zh-CN"/>
        </w:rPr>
        <w:t xml:space="preserve">定制化软件子系统13套、标准规范8份、数据治理服务1套</w:t>
      </w:r>
      <w:r>
        <w:rPr>
          <w:rFonts w:hAnsi="宋体"/>
          <w:color w:val="000000"/>
          <w:sz w:val="24"/>
          <w:szCs w:val="24"/>
          <w:lang w:val="en-US" w:eastAsia="zh-CN"/>
        </w:rPr>
      </w:r>
      <w:r/>
    </w:p>
    <w:p>
      <w:pPr>
        <w:pStyle w:val="946"/>
        <w:spacing w:before="120" w:after="120"/>
        <w:rPr>
          <w:rFonts w:hAnsi="宋体"/>
          <w:color w:val="000000"/>
          <w:sz w:val="24"/>
          <w:szCs w:val="24"/>
          <w:lang w:val="en-US" w:eastAsia="zh-CN"/>
        </w:rPr>
      </w:pPr>
      <w:r>
        <w:rPr>
          <w:rFonts w:hint="eastAsia" w:hAnsi="宋体"/>
          <w:color w:val="000000"/>
          <w:sz w:val="24"/>
          <w:szCs w:val="24"/>
        </w:rPr>
        <w:t xml:space="preserve">1.4 履行时间（期限）：</w:t>
      </w:r>
      <w:bookmarkStart w:id="191" w:name="OLE_LINK20"/>
      <w:r>
        <w:rPr>
          <w:rFonts w:hint="eastAsia" w:hAnsi="宋体"/>
          <w:color w:val="000000"/>
          <w:sz w:val="24"/>
          <w:szCs w:val="24"/>
        </w:rPr>
        <w:t xml:space="preserve">自合同签订生效之日起</w:t>
      </w:r>
      <w:r>
        <w:rPr>
          <w:rFonts w:hint="eastAsia" w:hAnsi="宋体"/>
          <w:color w:val="000000"/>
          <w:sz w:val="24"/>
          <w:szCs w:val="24"/>
          <w:lang w:eastAsia="zh-CN"/>
        </w:rPr>
        <w:t xml:space="preserve">，</w:t>
      </w:r>
      <w:r>
        <w:rPr>
          <w:rFonts w:hint="eastAsia" w:hAnsi="宋体"/>
          <w:color w:val="000000"/>
          <w:sz w:val="24"/>
          <w:szCs w:val="24"/>
          <w:lang w:val="en-US" w:eastAsia="zh-CN"/>
        </w:rPr>
        <w:t xml:space="preserve">建设期为14个月，免费运维期为24个月</w:t>
      </w:r>
      <w:r>
        <w:rPr>
          <w:rFonts w:hint="eastAsia" w:hAnsi="宋体"/>
          <w:color w:val="000000"/>
          <w:sz w:val="24"/>
          <w:szCs w:val="24"/>
        </w:rPr>
        <w:t xml:space="preserve">。</w:t>
      </w:r>
      <w:bookmarkEnd w:id="191"/>
      <w:r>
        <w:rPr>
          <w:rFonts w:hAnsi="宋体"/>
          <w:color w:val="000000"/>
          <w:sz w:val="24"/>
          <w:szCs w:val="24"/>
          <w:lang w:val="en-US" w:eastAsia="zh-CN"/>
        </w:rPr>
      </w:r>
      <w:r/>
    </w:p>
    <w:p>
      <w:pPr>
        <w:pStyle w:val="946"/>
        <w:spacing w:before="120" w:after="120"/>
        <w:rPr>
          <w:rFonts w:hint="eastAsia" w:hAnsi="宋体"/>
          <w:color w:val="000000"/>
          <w:sz w:val="24"/>
          <w:szCs w:val="24"/>
          <w:lang w:val="en-US" w:eastAsia="zh-CN"/>
        </w:rPr>
      </w:pPr>
      <w:r>
        <w:rPr>
          <w:rFonts w:hint="eastAsia" w:hAnsi="宋体"/>
          <w:color w:val="000000"/>
          <w:sz w:val="24"/>
          <w:szCs w:val="24"/>
        </w:rPr>
        <w:t xml:space="preserve">1.5 履行地点：甲方指定地点</w:t>
      </w:r>
      <w:r>
        <w:rPr>
          <w:rFonts w:hint="eastAsia" w:hAnsi="宋体"/>
          <w:color w:val="000000"/>
          <w:sz w:val="24"/>
          <w:szCs w:val="24"/>
          <w:lang w:eastAsia="zh-CN"/>
        </w:rPr>
        <w:t xml:space="preserve">。</w:t>
      </w:r>
      <w:r>
        <w:rPr>
          <w:rFonts w:hint="eastAsia" w:hAnsi="宋体"/>
          <w:color w:val="000000"/>
          <w:sz w:val="24"/>
          <w:szCs w:val="24"/>
          <w:lang w:val="en-US" w:eastAsia="zh-CN"/>
        </w:rPr>
      </w:r>
      <w:r/>
    </w:p>
    <w:p>
      <w:pPr>
        <w:pStyle w:val="946"/>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履行方式：甲方指定方式。</w:t>
      </w:r>
      <w:r>
        <w:rPr>
          <w:rFonts w:hAnsi="宋体"/>
          <w:color w:val="000000"/>
          <w:sz w:val="24"/>
          <w:szCs w:val="24"/>
        </w:rPr>
      </w:r>
      <w:r/>
    </w:p>
    <w:p>
      <w:pPr>
        <w:pStyle w:val="946"/>
        <w:spacing w:before="120" w:after="120"/>
        <w:rPr>
          <w:rFonts w:hAnsi="宋体"/>
          <w:b/>
          <w:color w:val="000000"/>
          <w:sz w:val="24"/>
          <w:szCs w:val="24"/>
        </w:rPr>
      </w:pPr>
      <w:r>
        <w:rPr>
          <w:rFonts w:hAnsi="宋体"/>
          <w:b/>
          <w:color w:val="000000"/>
          <w:sz w:val="24"/>
          <w:szCs w:val="24"/>
        </w:rPr>
        <w:t xml:space="preserve">二、合同金额</w:t>
      </w:r>
      <w:r/>
    </w:p>
    <w:p>
      <w:pPr>
        <w:pStyle w:val="946"/>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946"/>
        <w:spacing w:before="120" w:after="120"/>
        <w:rPr>
          <w:rFonts w:hAnsi="宋体"/>
          <w:b/>
          <w:color w:val="000000"/>
          <w:sz w:val="24"/>
          <w:szCs w:val="24"/>
        </w:rPr>
      </w:pPr>
      <w:r>
        <w:rPr>
          <w:rFonts w:hAnsi="宋体"/>
          <w:b/>
          <w:color w:val="000000"/>
          <w:sz w:val="24"/>
          <w:szCs w:val="24"/>
        </w:rPr>
        <w:t xml:space="preserve">三、技术资料</w:t>
      </w:r>
      <w:r/>
    </w:p>
    <w:p>
      <w:pPr>
        <w:pStyle w:val="946"/>
        <w:ind w:left="410" w:hanging="410"/>
        <w:spacing w:before="120" w:after="120"/>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rPr>
          <w:rFonts w:hint="eastAsia" w:hAnsi="宋体"/>
          <w:color w:val="000000"/>
          <w:sz w:val="24"/>
          <w:szCs w:val="24"/>
        </w:rPr>
      </w:r>
      <w:r/>
    </w:p>
    <w:p>
      <w:pPr>
        <w:pStyle w:val="946"/>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6"/>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946"/>
        <w:ind w:left="408" w:hanging="408"/>
        <w:spacing w:before="120" w:after="120"/>
        <w:rPr>
          <w:rFonts w:hint="eastAsia" w:hAnsi="宋体"/>
          <w:color w:val="000000"/>
          <w:sz w:val="24"/>
          <w:szCs w:val="24"/>
        </w:rPr>
      </w:pPr>
      <w:r>
        <w:rPr>
          <w:rFonts w:hAnsi="宋体"/>
          <w:color w:val="000000"/>
          <w:sz w:val="24"/>
          <w:szCs w:val="24"/>
        </w:rPr>
        <w:t xml:space="preserve">4.1</w:t>
      </w:r>
      <w:r>
        <w:rPr>
          <w:rFonts w:hint="eastAsia" w:hAnsi="宋体"/>
          <w:color w:val="000000"/>
          <w:sz w:val="24"/>
          <w:szCs w:val="24"/>
        </w:rPr>
        <w:t xml:space="preserve">本项目定制化开发的软件版权归</w:t>
      </w:r>
      <w:r>
        <w:rPr>
          <w:rFonts w:hint="eastAsia" w:hAnsi="宋体"/>
          <w:color w:val="000000"/>
          <w:sz w:val="24"/>
          <w:szCs w:val="24"/>
          <w:lang w:val="en-US" w:eastAsia="zh-CN"/>
        </w:rPr>
        <w:t xml:space="preserve">甲方</w:t>
      </w:r>
      <w:r>
        <w:rPr>
          <w:rFonts w:hint="eastAsia" w:hAnsi="宋体"/>
          <w:color w:val="000000"/>
          <w:sz w:val="24"/>
          <w:szCs w:val="24"/>
        </w:rPr>
        <w:t xml:space="preserve">所有。</w:t>
      </w:r>
      <w:r>
        <w:rPr>
          <w:rFonts w:hAnsi="宋体"/>
          <w:color w:val="000000"/>
          <w:sz w:val="24"/>
          <w:szCs w:val="24"/>
        </w:rPr>
        <w:t xml:space="preserve">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46"/>
        <w:spacing w:before="120" w:after="120"/>
        <w:rPr>
          <w:rFonts w:hAnsi="宋体"/>
          <w:color w:val="000000"/>
          <w:sz w:val="24"/>
          <w:szCs w:val="24"/>
          <w:u w:val="single"/>
        </w:rPr>
      </w:pPr>
      <w:r>
        <w:rPr>
          <w:rFonts w:hAnsi="宋体"/>
          <w:b/>
          <w:color w:val="000000"/>
          <w:sz w:val="24"/>
          <w:szCs w:val="24"/>
        </w:rPr>
        <w:t xml:space="preserve">五、产权担保</w:t>
      </w:r>
      <w:r>
        <w:rPr>
          <w:rFonts w:hAnsi="宋体"/>
          <w:color w:val="000000"/>
          <w:sz w:val="24"/>
          <w:szCs w:val="24"/>
          <w:u w:val="single"/>
        </w:rPr>
      </w:r>
      <w:r/>
    </w:p>
    <w:p>
      <w:pPr>
        <w:pStyle w:val="946"/>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rPr>
          <w:rFonts w:hAnsi="宋体"/>
          <w:color w:val="000000"/>
          <w:sz w:val="24"/>
          <w:szCs w:val="24"/>
          <w:u w:val="single"/>
        </w:rPr>
      </w:r>
      <w:r/>
    </w:p>
    <w:p>
      <w:pPr>
        <w:pStyle w:val="946"/>
        <w:ind w:left="410" w:hanging="410"/>
        <w:spacing w:before="120" w:after="120"/>
        <w:rPr>
          <w:rFonts w:hAnsi="宋体"/>
          <w:b/>
          <w:color w:val="000000"/>
          <w:sz w:val="24"/>
          <w:szCs w:val="24"/>
        </w:rPr>
      </w:pPr>
      <w:r>
        <w:rPr>
          <w:rFonts w:hAnsi="宋体"/>
          <w:b/>
          <w:color w:val="000000"/>
          <w:sz w:val="24"/>
          <w:szCs w:val="24"/>
        </w:rPr>
        <w:t xml:space="preserve">六、履约保证金</w:t>
      </w:r>
      <w:r/>
    </w:p>
    <w:p>
      <w:pPr>
        <w:pStyle w:val="946"/>
        <w:ind w:left="408" w:hanging="408"/>
        <w:spacing w:before="120" w:after="120"/>
        <w:rPr>
          <w:rFonts w:hint="eastAsia" w:hAnsi="宋体"/>
          <w:color w:val="000000"/>
          <w:sz w:val="24"/>
          <w:szCs w:val="24"/>
        </w:rPr>
      </w:pPr>
      <w:r>
        <w:rPr>
          <w:rFonts w:hAnsi="宋体"/>
          <w:color w:val="000000"/>
          <w:sz w:val="24"/>
          <w:szCs w:val="24"/>
        </w:rPr>
        <w:t xml:space="preserve">6.1 乙方交纳人民币</w:t>
      </w:r>
      <w:r>
        <w:rPr>
          <w:rFonts w:hint="eastAsia" w:hAnsi="宋体"/>
          <w:color w:val="000000"/>
          <w:sz w:val="24"/>
          <w:szCs w:val="24"/>
          <w:u w:val="single"/>
          <w:lang w:val="en-US" w:eastAsia="zh-CN"/>
        </w:rPr>
        <w:t xml:space="preserve">100万</w:t>
      </w:r>
      <w:r>
        <w:rPr>
          <w:rFonts w:hAnsi="宋体"/>
          <w:color w:val="000000"/>
          <w:sz w:val="24"/>
          <w:szCs w:val="24"/>
        </w:rPr>
        <w:t xml:space="preserve">元作为本合同的履约保证金。</w:t>
      </w:r>
      <w:r>
        <w:rPr>
          <w:rFonts w:hint="eastAsia" w:hAnsi="宋体"/>
          <w:color w:val="000000"/>
          <w:sz w:val="24"/>
          <w:szCs w:val="24"/>
        </w:rPr>
        <w:t xml:space="preserve">（</w:t>
      </w:r>
      <w:r>
        <w:rPr>
          <w:rFonts w:hint="eastAsia" w:hAnsi="宋体"/>
          <w:color w:val="000000"/>
          <w:sz w:val="24"/>
          <w:szCs w:val="24"/>
          <w:lang w:val="en-US" w:eastAsia="zh-CN"/>
        </w:rPr>
        <w:t xml:space="preserve">如中标额不超过1000万，按照中标额的10%计算</w:t>
      </w:r>
      <w:r>
        <w:rPr>
          <w:rFonts w:hint="eastAsia" w:hAnsi="宋体"/>
          <w:color w:val="000000"/>
          <w:sz w:val="24"/>
          <w:szCs w:val="24"/>
        </w:rPr>
        <w:t xml:space="preserve">）</w:t>
      </w:r>
      <w:r/>
    </w:p>
    <w:p>
      <w:pPr>
        <w:pStyle w:val="946"/>
        <w:ind w:left="408" w:hanging="408"/>
        <w:spacing w:before="120" w:after="120"/>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946"/>
        <w:ind w:left="408" w:hanging="408"/>
        <w:spacing w:before="120" w:after="120"/>
        <w:rPr>
          <w:rFonts w:hAnsi="宋体"/>
          <w:color w:val="000000"/>
          <w:sz w:val="24"/>
          <w:szCs w:val="24"/>
          <w:lang w:val="en-US" w:eastAsia="zh-CN"/>
        </w:rPr>
      </w:pPr>
      <w:r>
        <w:rPr>
          <w:rFonts w:hint="eastAsia" w:hAnsi="宋体"/>
          <w:color w:val="000000"/>
          <w:sz w:val="24"/>
          <w:szCs w:val="24"/>
        </w:rPr>
        <w:t xml:space="preserve">6.2.1履约保证金退还方式：</w:t>
      </w:r>
      <w:r>
        <w:rPr>
          <w:rFonts w:hint="eastAsia" w:hAnsi="宋体"/>
          <w:color w:val="000000"/>
          <w:sz w:val="24"/>
          <w:szCs w:val="24"/>
          <w:lang w:val="en-US" w:eastAsia="zh-CN"/>
        </w:rPr>
        <w:t xml:space="preserve">按照</w:t>
      </w:r>
      <w:r>
        <w:rPr>
          <w:rFonts w:hint="eastAsia" w:hAnsi="宋体"/>
          <w:color w:val="000000"/>
          <w:sz w:val="24"/>
          <w:szCs w:val="24"/>
        </w:rPr>
        <w:t xml:space="preserve">交纳</w:t>
      </w:r>
      <w:r>
        <w:rPr>
          <w:rFonts w:hint="eastAsia" w:hAnsi="宋体"/>
          <w:color w:val="000000"/>
          <w:sz w:val="24"/>
          <w:szCs w:val="24"/>
          <w:lang w:val="en-US" w:eastAsia="zh-CN"/>
        </w:rPr>
        <w:t xml:space="preserve">履约保证金的方式退还。</w:t>
      </w:r>
      <w:r>
        <w:rPr>
          <w:rFonts w:hAnsi="宋体"/>
          <w:color w:val="000000"/>
          <w:sz w:val="24"/>
          <w:szCs w:val="24"/>
          <w:lang w:val="en-US" w:eastAsia="zh-CN"/>
        </w:rPr>
      </w:r>
      <w:r/>
    </w:p>
    <w:p>
      <w:pPr>
        <w:pStyle w:val="946"/>
        <w:ind w:left="408" w:hanging="408"/>
        <w:spacing w:before="120" w:after="120"/>
        <w:rPr>
          <w:rFonts w:hint="eastAsia" w:hAnsi="宋体"/>
          <w:color w:val="000000"/>
          <w:sz w:val="24"/>
          <w:szCs w:val="24"/>
          <w:lang w:eastAsia="zh-CN"/>
        </w:rPr>
      </w:pPr>
      <w:r>
        <w:rPr>
          <w:rFonts w:hint="eastAsia" w:hAnsi="宋体"/>
          <w:color w:val="000000"/>
          <w:sz w:val="24"/>
          <w:szCs w:val="24"/>
        </w:rPr>
        <w:t xml:space="preserve">6.2.2履约保证金退还时间：</w:t>
      </w:r>
      <w:r>
        <w:rPr>
          <w:rFonts w:hint="eastAsia" w:hAnsi="宋体"/>
          <w:color w:val="000000"/>
          <w:sz w:val="24"/>
          <w:szCs w:val="24"/>
          <w:lang w:val="en-US" w:eastAsia="zh-CN"/>
        </w:rPr>
        <w:t xml:space="preserve">免费运维期结束</w:t>
      </w:r>
      <w:r>
        <w:rPr>
          <w:rFonts w:hint="eastAsia" w:hAnsi="宋体"/>
          <w:color w:val="000000"/>
          <w:sz w:val="24"/>
          <w:szCs w:val="24"/>
          <w:lang w:eastAsia="zh-CN"/>
        </w:rPr>
        <w:t xml:space="preserve">。</w:t>
      </w:r>
      <w:r/>
    </w:p>
    <w:p>
      <w:pPr>
        <w:pStyle w:val="946"/>
        <w:ind w:left="408" w:hanging="408"/>
        <w:spacing w:before="120" w:after="120"/>
        <w:rPr>
          <w:rFonts w:hint="eastAsia" w:hAnsi="宋体"/>
          <w:color w:val="000000"/>
          <w:sz w:val="24"/>
          <w:szCs w:val="24"/>
          <w:lang w:eastAsia="zh-CN"/>
        </w:rPr>
      </w:pPr>
      <w:r>
        <w:rPr>
          <w:rFonts w:hint="eastAsia" w:hAnsi="宋体"/>
          <w:color w:val="000000"/>
          <w:sz w:val="24"/>
          <w:szCs w:val="24"/>
        </w:rPr>
        <w:t xml:space="preserve">6.2.3履约保证金退还条件：</w:t>
      </w:r>
      <w:r>
        <w:rPr>
          <w:rFonts w:hint="eastAsia" w:hAnsi="宋体"/>
          <w:color w:val="000000"/>
          <w:sz w:val="24"/>
          <w:szCs w:val="24"/>
          <w:lang w:val="en-US" w:eastAsia="zh-CN"/>
        </w:rPr>
        <w:t xml:space="preserve">全面履行招标文件全部条款</w:t>
      </w:r>
      <w:r>
        <w:rPr>
          <w:rFonts w:hint="eastAsia" w:hAnsi="宋体"/>
          <w:color w:val="000000"/>
          <w:sz w:val="24"/>
          <w:szCs w:val="24"/>
          <w:lang w:eastAsia="zh-CN"/>
        </w:rPr>
        <w:t xml:space="preserve">。</w:t>
      </w:r>
      <w:r/>
    </w:p>
    <w:p>
      <w:pPr>
        <w:pStyle w:val="946"/>
        <w:ind w:left="408" w:hanging="408"/>
        <w:spacing w:before="120" w:after="120"/>
        <w:rPr>
          <w:rFonts w:hint="eastAsia" w:hAnsi="宋体"/>
          <w:color w:val="000000"/>
          <w:sz w:val="24"/>
          <w:szCs w:val="24"/>
          <w:lang w:val="en-US" w:eastAsia="zh-CN"/>
        </w:rPr>
      </w:pPr>
      <w:r>
        <w:rPr>
          <w:rFonts w:hint="eastAsia" w:hAnsi="宋体"/>
          <w:color w:val="000000"/>
          <w:sz w:val="24"/>
          <w:szCs w:val="24"/>
        </w:rPr>
        <w:t xml:space="preserve">6.2.4履约保证金不予退还的情形：</w:t>
      </w:r>
      <w:r>
        <w:rPr>
          <w:rFonts w:hint="eastAsia" w:hAnsi="宋体"/>
          <w:color w:val="000000"/>
          <w:sz w:val="24"/>
          <w:szCs w:val="24"/>
          <w:lang w:val="en-US" w:eastAsia="zh-CN"/>
        </w:rPr>
        <w:t xml:space="preserve">未全面履行招标文件全部条款</w:t>
      </w:r>
      <w:r>
        <w:rPr>
          <w:rFonts w:hint="eastAsia" w:hAnsi="宋体"/>
          <w:color w:val="000000"/>
          <w:sz w:val="24"/>
          <w:szCs w:val="24"/>
          <w:lang w:eastAsia="zh-CN"/>
        </w:rPr>
        <w:t xml:space="preserve">。</w:t>
      </w:r>
      <w:r>
        <w:rPr>
          <w:rFonts w:hint="eastAsia" w:hAnsi="宋体"/>
          <w:color w:val="000000"/>
          <w:sz w:val="24"/>
          <w:szCs w:val="24"/>
          <w:lang w:val="en-US" w:eastAsia="zh-CN"/>
        </w:rPr>
      </w:r>
      <w:r/>
    </w:p>
    <w:p>
      <w:pPr>
        <w:pStyle w:val="907"/>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907"/>
        <w:spacing w:before="145" w:after="145"/>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pStyle w:val="907"/>
        <w:spacing w:before="145" w:after="145"/>
        <w:rPr>
          <w:rFonts w:hint="eastAsia" w:ascii="宋体" w:hAnsi="宋体"/>
          <w:color w:val="000000"/>
          <w:sz w:val="24"/>
          <w:szCs w:val="24"/>
        </w:rPr>
      </w:pPr>
      <w:r>
        <w:rPr>
          <w:rFonts w:hint="eastAsia" w:ascii="宋体" w:hAnsi="宋体"/>
          <w:color w:val="000000"/>
          <w:sz w:val="24"/>
          <w:szCs w:val="24"/>
        </w:rPr>
        <w:t xml:space="preserve">7.2乙方不得将合同标的的主体或关键性工作分包给他人履行。</w:t>
      </w:r>
      <w:r/>
    </w:p>
    <w:p>
      <w:pPr>
        <w:pStyle w:val="907"/>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rPr>
          <w:rFonts w:ascii="宋体" w:hAnsi="宋体" w:eastAsia="仿宋_GB2312"/>
          <w:color w:val="000000"/>
          <w:sz w:val="24"/>
          <w:szCs w:val="24"/>
        </w:rPr>
      </w:r>
      <w:r/>
    </w:p>
    <w:p>
      <w:pPr>
        <w:pStyle w:val="946"/>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pStyle w:val="907"/>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pStyle w:val="907"/>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.1.1 预付款支付时间：合同签订后10个工作日内，甲方支付合同额的40%。</w:t>
      </w:r>
      <w:r/>
    </w:p>
    <w:p>
      <w:pPr>
        <w:pStyle w:val="907"/>
        <w:spacing w:before="145" w:after="145"/>
        <w:rPr>
          <w:rFonts w:ascii="宋体" w:hAnsi="宋体"/>
          <w:color w:val="000000"/>
          <w:sz w:val="24"/>
          <w:szCs w:val="24"/>
        </w:rPr>
      </w:pPr>
      <w:r>
        <w:rPr>
          <w:rFonts w:hint="eastAsia" w:ascii="宋体" w:hAnsi="宋体"/>
          <w:color w:val="000000"/>
          <w:sz w:val="24"/>
          <w:szCs w:val="24"/>
        </w:rPr>
        <w:t xml:space="preserve">8.1.2 进度款支付时间：初验合格后，甲方支付合同额的40%。</w:t>
      </w:r>
      <w:r>
        <w:rPr>
          <w:rFonts w:ascii="宋体" w:hAnsi="宋体"/>
          <w:color w:val="000000"/>
          <w:sz w:val="24"/>
          <w:szCs w:val="24"/>
        </w:rPr>
      </w:r>
      <w:r/>
    </w:p>
    <w:p>
      <w:pPr>
        <w:pStyle w:val="907"/>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.1.3 尾款支付时间：项目通过竣工终验后，甲方支付合同额的20%。</w:t>
      </w:r>
      <w:r/>
    </w:p>
    <w:p>
      <w:pPr>
        <w:pStyle w:val="907"/>
        <w:spacing w:before="145" w:after="145"/>
        <w:rPr>
          <w:rFonts w:ascii="宋体" w:hAnsi="宋体"/>
          <w:color w:val="000000"/>
          <w:sz w:val="24"/>
          <w:szCs w:val="24"/>
        </w:rPr>
      </w:pPr>
      <w:r>
        <w:rPr>
          <w:rFonts w:hint="eastAsia" w:ascii="宋体" w:hAnsi="宋体"/>
          <w:color w:val="000000"/>
          <w:sz w:val="24"/>
          <w:szCs w:val="24"/>
        </w:rPr>
        <w:t xml:space="preserve">8.1.4 支付款项前，乙方需提供相应等额合法发票。</w:t>
      </w:r>
      <w:r>
        <w:rPr>
          <w:rFonts w:ascii="宋体" w:hAnsi="宋体"/>
          <w:color w:val="000000"/>
          <w:sz w:val="24"/>
          <w:szCs w:val="24"/>
        </w:rPr>
      </w:r>
      <w:r/>
    </w:p>
    <w:p>
      <w:pPr>
        <w:pStyle w:val="907"/>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907"/>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946"/>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946"/>
        <w:ind w:left="480" w:hanging="480"/>
        <w:spacing w:before="120" w:after="120"/>
        <w:rPr>
          <w:rFonts w:hint="eastAsia" w:hAnsi="宋体"/>
          <w:color w:val="000000"/>
          <w:sz w:val="24"/>
          <w:szCs w:val="24"/>
        </w:rPr>
      </w:pPr>
      <w:r>
        <w:rPr>
          <w:rFonts w:hint="eastAsia" w:hAnsi="宋体"/>
          <w:color w:val="000000"/>
          <w:sz w:val="24"/>
          <w:szCs w:val="24"/>
        </w:rPr>
        <w:t xml:space="preserve">10.1 甲方依法组织履约验收工作。乙方须在指定时间内完成本项目所有内容，提交对应的交付物，包括但不限于定制开发部分源代码和软件工具以及相关技术文档材料，积极配合完成项目初验、技术验收、项目终验等。</w:t>
      </w:r>
      <w:r/>
    </w:p>
    <w:p>
      <w:pPr>
        <w:pStyle w:val="946"/>
        <w:ind w:left="480" w:hanging="480"/>
        <w:spacing w:before="120" w:after="120"/>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甲方在组织履约验收前，将根据项目特点制定验收方案，明确履约验收的时间、方式、程序等内容，并可对服务期内的服务实施情况进行考核，考核情况和服务效果</w:t>
      </w:r>
      <w:r>
        <w:rPr>
          <w:rFonts w:hint="eastAsia" w:hAnsi="宋体"/>
          <w:color w:val="000000"/>
          <w:sz w:val="24"/>
          <w:szCs w:val="24"/>
          <w:lang w:val="en-US" w:eastAsia="zh-CN"/>
        </w:rPr>
        <w:t xml:space="preserve">作为</w:t>
      </w:r>
      <w:r>
        <w:rPr>
          <w:rFonts w:hint="eastAsia" w:hAnsi="宋体"/>
          <w:color w:val="000000"/>
          <w:sz w:val="24"/>
          <w:szCs w:val="24"/>
        </w:rPr>
        <w:t xml:space="preserve">验收</w:t>
      </w:r>
      <w:r>
        <w:rPr>
          <w:rFonts w:hint="eastAsia" w:hAnsi="宋体"/>
          <w:color w:val="000000"/>
          <w:sz w:val="24"/>
          <w:szCs w:val="24"/>
          <w:lang w:val="en-US" w:eastAsia="zh-CN"/>
        </w:rPr>
        <w:t xml:space="preserve">的重要内容</w:t>
      </w:r>
      <w:r>
        <w:rPr>
          <w:rFonts w:hint="eastAsia" w:hAnsi="宋体"/>
          <w:color w:val="000000"/>
          <w:sz w:val="24"/>
          <w:szCs w:val="24"/>
        </w:rPr>
        <w:t xml:space="preserve">。乙方应根据验收方案内容做好相应配合工作。</w:t>
      </w:r>
      <w:r/>
    </w:p>
    <w:p>
      <w:pPr>
        <w:pStyle w:val="946"/>
        <w:ind w:left="480" w:hanging="480"/>
        <w:spacing w:before="120" w:after="120"/>
        <w:rPr>
          <w:rFonts w:hAnsi="宋体"/>
          <w:color w:val="000000"/>
          <w:sz w:val="24"/>
          <w:szCs w:val="24"/>
          <w:lang w:val="en-US" w:eastAsia="zh-CN"/>
        </w:rPr>
      </w:pPr>
      <w:r>
        <w:rPr>
          <w:rFonts w:hint="eastAsia" w:hAnsi="宋体"/>
          <w:color w:val="000000"/>
          <w:sz w:val="24"/>
          <w:szCs w:val="24"/>
        </w:rPr>
        <w:t xml:space="preserve">10.</w:t>
      </w:r>
      <w:r>
        <w:rPr>
          <w:rFonts w:hint="eastAsia" w:hAnsi="宋体"/>
          <w:color w:val="000000"/>
          <w:sz w:val="24"/>
          <w:szCs w:val="24"/>
          <w:lang w:val="en-US" w:eastAsia="zh-CN"/>
        </w:rPr>
        <w:t xml:space="preserve">3</w:t>
      </w:r>
      <w:r>
        <w:rPr>
          <w:rFonts w:hint="eastAsia" w:hAnsi="宋体"/>
          <w:color w:val="000000"/>
          <w:sz w:val="24"/>
          <w:szCs w:val="24"/>
        </w:rPr>
        <w:t xml:space="preserve"> 甲方</w:t>
      </w:r>
      <w:r>
        <w:rPr>
          <w:rFonts w:hint="eastAsia" w:hAnsi="宋体"/>
          <w:color w:val="000000"/>
          <w:sz w:val="24"/>
          <w:szCs w:val="24"/>
          <w:lang w:val="en-US" w:eastAsia="zh-CN"/>
        </w:rPr>
        <w:t xml:space="preserve">可以</w:t>
      </w:r>
      <w:r>
        <w:rPr>
          <w:rFonts w:hint="eastAsia" w:hAnsi="宋体"/>
          <w:color w:val="000000"/>
          <w:sz w:val="24"/>
          <w:szCs w:val="24"/>
        </w:rPr>
        <w:t xml:space="preserve">邀请参加本项目的其他供应商或第三方专业机构及专家参与</w:t>
      </w:r>
      <w:r>
        <w:rPr>
          <w:rFonts w:hint="eastAsia" w:hAnsi="宋体"/>
          <w:color w:val="000000"/>
          <w:sz w:val="24"/>
          <w:szCs w:val="24"/>
          <w:lang w:val="en-US" w:eastAsia="zh-CN"/>
        </w:rPr>
        <w:t xml:space="preserve">项目验收</w:t>
      </w:r>
      <w:r>
        <w:rPr>
          <w:rFonts w:hint="eastAsia" w:hAnsi="宋体"/>
          <w:color w:val="000000"/>
          <w:sz w:val="24"/>
          <w:szCs w:val="24"/>
        </w:rPr>
        <w:t xml:space="preserve">。</w:t>
      </w:r>
      <w:r>
        <w:rPr>
          <w:rFonts w:hAnsi="宋体"/>
          <w:color w:val="000000"/>
          <w:sz w:val="24"/>
          <w:szCs w:val="24"/>
          <w:lang w:val="en-US" w:eastAsia="zh-CN"/>
        </w:rPr>
      </w:r>
      <w:r/>
    </w:p>
    <w:p>
      <w:pPr>
        <w:pStyle w:val="946"/>
        <w:ind w:left="480" w:hanging="480"/>
        <w:spacing w:before="120" w:after="120"/>
        <w:rPr>
          <w:rFonts w:hint="eastAsia" w:hAnsi="宋体"/>
          <w:color w:val="000000"/>
          <w:sz w:val="24"/>
          <w:szCs w:val="24"/>
        </w:rPr>
      </w:pPr>
      <w:r>
        <w:rPr>
          <w:rFonts w:hint="eastAsia" w:hAnsi="宋体"/>
          <w:color w:val="000000"/>
          <w:sz w:val="24"/>
          <w:szCs w:val="24"/>
        </w:rPr>
        <w:t xml:space="preserve">10.</w:t>
      </w:r>
      <w:r>
        <w:rPr>
          <w:rFonts w:hint="eastAsia" w:hAnsi="宋体"/>
          <w:color w:val="000000"/>
          <w:sz w:val="24"/>
          <w:szCs w:val="24"/>
          <w:lang w:val="en-US" w:eastAsia="zh-CN"/>
        </w:rPr>
        <w:t xml:space="preserve">4</w:t>
      </w:r>
      <w:r>
        <w:rPr>
          <w:rFonts w:hint="eastAsia" w:hAnsi="宋体"/>
          <w:color w:val="000000"/>
          <w:sz w:val="24"/>
          <w:szCs w:val="24"/>
        </w:rPr>
        <w:t xml:space="preserve">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履约验收的各项资料存档备查。</w:t>
      </w:r>
      <w:r/>
    </w:p>
    <w:p>
      <w:pPr>
        <w:pStyle w:val="946"/>
        <w:ind w:left="480" w:hanging="480"/>
        <w:spacing w:before="120" w:after="120"/>
        <w:rPr>
          <w:rFonts w:hint="eastAsia" w:hAnsi="宋体"/>
          <w:color w:val="000000"/>
          <w:sz w:val="24"/>
          <w:szCs w:val="24"/>
        </w:rPr>
      </w:pPr>
      <w:r>
        <w:rPr>
          <w:rFonts w:hint="eastAsia" w:hAnsi="宋体"/>
          <w:color w:val="000000"/>
          <w:sz w:val="24"/>
          <w:szCs w:val="24"/>
        </w:rPr>
        <w:t xml:space="preserve">10.</w:t>
      </w:r>
      <w:r>
        <w:rPr>
          <w:rFonts w:hint="eastAsia" w:hAnsi="宋体"/>
          <w:color w:val="000000"/>
          <w:sz w:val="24"/>
          <w:szCs w:val="24"/>
          <w:lang w:val="en-US" w:eastAsia="zh-CN"/>
        </w:rPr>
        <w:t xml:space="preserve">5</w:t>
      </w:r>
      <w:r>
        <w:rPr>
          <w:rFonts w:hint="eastAsia" w:hAnsi="宋体"/>
          <w:color w:val="000000"/>
          <w:sz w:val="24"/>
          <w:szCs w:val="24"/>
        </w:rPr>
        <w:t xml:space="preserve">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pStyle w:val="946"/>
        <w:ind w:left="480" w:hanging="480"/>
        <w:spacing w:before="120" w:after="120"/>
        <w:rPr>
          <w:rFonts w:hAnsi="宋体"/>
          <w:color w:val="000000"/>
          <w:sz w:val="24"/>
          <w:szCs w:val="24"/>
          <w:lang w:val="en-US" w:eastAsia="zh-CN"/>
        </w:rPr>
      </w:pPr>
      <w:r>
        <w:rPr>
          <w:rFonts w:hint="eastAsia" w:hAnsi="宋体"/>
          <w:color w:val="000000"/>
          <w:sz w:val="24"/>
          <w:szCs w:val="24"/>
          <w:lang w:val="en-US" w:eastAsia="zh-CN"/>
        </w:rPr>
        <w:t xml:space="preserve">10.6 免费运维期满后，甲方根据乙方履约情况退还履约保证金。</w:t>
      </w:r>
      <w:r>
        <w:rPr>
          <w:rFonts w:hAnsi="宋体"/>
          <w:color w:val="000000"/>
          <w:sz w:val="24"/>
          <w:szCs w:val="24"/>
          <w:lang w:val="en-US" w:eastAsia="zh-CN"/>
        </w:rPr>
      </w:r>
      <w:r/>
    </w:p>
    <w:p>
      <w:pPr>
        <w:pStyle w:val="946"/>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946"/>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w:t>
      </w:r>
      <w:r>
        <w:rPr>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730250</wp:posOffset>
                </wp:positionH>
                <wp:positionV relativeFrom="paragraph">
                  <wp:posOffset>79375</wp:posOffset>
                </wp:positionV>
                <wp:extent cx="305435" cy="8128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305435" cy="8128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flip:y;visibility:visible;" from="57.5pt,6.2pt" to="81.5pt,12.6pt" filled="f" strokecolor="#000000"/>
            </w:pict>
          </mc:Fallback>
        </mc:AlternateContent>
      </w:r>
      <w:r>
        <w:rPr>
          <w:rFonts w:hint="eastAsia" w:hAnsi="宋体"/>
          <w:color w:val="000000"/>
          <w:sz w:val="24"/>
          <w:szCs w:val="24"/>
        </w:rPr>
        <w:t xml:space="preserve">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946"/>
        <w:ind w:left="410" w:hanging="410"/>
        <w:spacing w:before="120" w:after="120"/>
        <w:rPr>
          <w:rFonts w:hAnsi="宋体"/>
          <w:color w:val="000000"/>
          <w:sz w:val="24"/>
          <w:szCs w:val="24"/>
        </w:rPr>
      </w:pPr>
      <w:r>
        <w:rPr>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5067300</wp:posOffset>
                </wp:positionH>
                <wp:positionV relativeFrom="paragraph">
                  <wp:posOffset>50800</wp:posOffset>
                </wp:positionV>
                <wp:extent cx="305435" cy="8128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305435" cy="8128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8241;mso-wrap-distance-left:9.0pt;mso-wrap-distance-top:0.0pt;mso-wrap-distance-right:9.0pt;mso-wrap-distance-bottom:0.0pt;flip:y;visibility:visible;" from="399.0pt,4.0pt" to="423.1pt,10.4pt" filled="f" strokecolor="#000000"/>
            </w:pict>
          </mc:Fallback>
        </mc:AlternateContent>
      </w: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946"/>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lang w:val="en-US" w:eastAsia="zh-CN"/>
        </w:rPr>
        <w:t xml:space="preserve">5%</w:t>
      </w:r>
      <w:r>
        <w:rPr>
          <w:rFonts w:hAnsi="宋体"/>
          <w:color w:val="000000"/>
          <w:sz w:val="24"/>
          <w:szCs w:val="24"/>
        </w:rPr>
        <w:t xml:space="preserve">的违约金，如造成甲方损失超过违约金的，超出部分由乙方继续承担赔偿责任。 </w:t>
      </w:r>
      <w:r/>
    </w:p>
    <w:p>
      <w:pPr>
        <w:pStyle w:val="946"/>
        <w:ind w:left="410" w:hanging="410"/>
        <w:spacing w:before="120" w:after="120"/>
        <w:rPr>
          <w:rFonts w:hAnsi="宋体"/>
          <w:color w:val="000000"/>
          <w:sz w:val="24"/>
          <w:szCs w:val="24"/>
          <w:lang w:val="en-US" w:eastAsia="zh-CN"/>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rPr>
          <w:rFonts w:hAnsi="宋体"/>
          <w:color w:val="000000"/>
          <w:sz w:val="24"/>
          <w:szCs w:val="24"/>
          <w:lang w:val="en-US" w:eastAsia="zh-CN"/>
        </w:rPr>
      </w:r>
      <w:r/>
    </w:p>
    <w:p>
      <w:pPr>
        <w:pStyle w:val="946"/>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946"/>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946"/>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946"/>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946"/>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rPr>
          <w:rFonts w:hAnsi="宋体"/>
          <w:b/>
          <w:color w:val="000000"/>
          <w:sz w:val="24"/>
          <w:szCs w:val="24"/>
        </w:rPr>
      </w:r>
      <w:r/>
    </w:p>
    <w:p>
      <w:pPr>
        <w:pStyle w:val="946"/>
        <w:spacing w:before="120" w:after="120"/>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946"/>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946"/>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946"/>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946"/>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946"/>
        <w:ind w:left="480" w:hanging="480"/>
        <w:spacing w:before="120" w:after="120" w:line="0" w:lineRule="atLeast"/>
        <w:rPr>
          <w:rFonts w:hAnsi="宋体"/>
          <w:color w:val="000000"/>
          <w:sz w:val="24"/>
          <w:szCs w:val="24"/>
        </w:rPr>
      </w:pPr>
      <w:r>
        <w:rPr>
          <w:rFonts w:hAnsi="宋体"/>
          <w:color w:val="000000"/>
          <w:sz w:val="24"/>
          <w:szCs w:val="24"/>
        </w:rPr>
        <w:t xml:space="preserve">  甲方：</w:t>
      </w:r>
      <w:r>
        <w:rPr>
          <w:rFonts w:hint="eastAsia" w:hAnsi="宋体"/>
          <w:color w:val="000000"/>
          <w:sz w:val="24"/>
          <w:szCs w:val="24"/>
          <w:lang w:val="en-US" w:eastAsia="zh-CN"/>
        </w:rPr>
        <w:t xml:space="preserve">江苏省广播电视局</w:t>
      </w:r>
      <w:r>
        <w:rPr>
          <w:rFonts w:hAnsi="宋体"/>
          <w:color w:val="000000"/>
          <w:sz w:val="24"/>
          <w:szCs w:val="24"/>
        </w:rPr>
        <w:t xml:space="preserve">        乙方： </w:t>
      </w:r>
      <w:r/>
    </w:p>
    <w:p>
      <w:pPr>
        <w:pStyle w:val="946"/>
        <w:spacing w:before="120" w:after="120" w:line="0" w:lineRule="atLeast"/>
        <w:rPr>
          <w:rFonts w:hAnsi="宋体"/>
          <w:color w:val="000000"/>
          <w:sz w:val="24"/>
          <w:szCs w:val="24"/>
        </w:rPr>
      </w:pPr>
      <w:r>
        <w:rPr>
          <w:rFonts w:hAnsi="宋体"/>
          <w:color w:val="000000"/>
          <w:sz w:val="24"/>
          <w:szCs w:val="24"/>
        </w:rPr>
        <w:t xml:space="preserve">  地址：</w:t>
      </w:r>
      <w:r>
        <w:rPr>
          <w:rFonts w:hint="eastAsia" w:hAnsi="宋体"/>
          <w:color w:val="000000"/>
          <w:sz w:val="24"/>
          <w:szCs w:val="24"/>
          <w:lang w:val="en-US" w:eastAsia="zh-CN"/>
        </w:rPr>
        <w:t xml:space="preserve">南京市中山东路132号</w:t>
      </w:r>
      <w:r>
        <w:rPr>
          <w:rFonts w:hAnsi="宋体"/>
          <w:color w:val="000000"/>
          <w:sz w:val="24"/>
          <w:szCs w:val="24"/>
        </w:rPr>
        <w:t xml:space="preserve">   </w:t>
      </w:r>
      <w:r>
        <w:rPr>
          <w:rFonts w:hint="eastAsia" w:hAnsi="宋体"/>
          <w:color w:val="000000"/>
          <w:sz w:val="24"/>
          <w:szCs w:val="24"/>
        </w:rPr>
        <w:t xml:space="preserve"> </w:t>
      </w:r>
      <w:r>
        <w:rPr>
          <w:rFonts w:hAnsi="宋体"/>
          <w:color w:val="000000"/>
          <w:sz w:val="24"/>
          <w:szCs w:val="24"/>
        </w:rPr>
        <w:t xml:space="preserve">地址： </w:t>
      </w:r>
      <w:r/>
    </w:p>
    <w:p>
      <w:pPr>
        <w:pStyle w:val="946"/>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946"/>
        <w:ind w:firstLine="240"/>
        <w:spacing w:before="120" w:after="120" w:line="0" w:lineRule="atLeast"/>
        <w:rPr>
          <w:rFonts w:hint="eastAsia"/>
          <w:color w:val="000000"/>
        </w:rPr>
      </w:pPr>
      <w:r>
        <w:rPr>
          <w:rFonts w:hint="eastAsia" w:hAnsi="宋体"/>
          <w:color w:val="000000"/>
          <w:sz w:val="24"/>
          <w:szCs w:val="24"/>
        </w:rPr>
        <w:t xml:space="preserve">联系电话：                    联系电话：          </w:t>
      </w:r>
      <w:r>
        <w:rPr>
          <w:rFonts w:hint="eastAsia"/>
          <w:color w:val="000000"/>
        </w:rPr>
      </w:r>
      <w:r/>
    </w:p>
    <w:p>
      <w:pPr>
        <w:pStyle w:val="946"/>
        <w:jc w:val="center"/>
        <w:spacing w:before="120" w:after="120" w:line="0" w:lineRule="atLeast"/>
        <w:rPr>
          <w:color w:val="000000"/>
        </w:rPr>
      </w:pPr>
      <w:r>
        <w:rPr>
          <w:rFonts w:hint="eastAsia"/>
          <w:color w:val="000000"/>
        </w:rPr>
        <w:t xml:space="preserve">                                         </w:t>
      </w:r>
      <w:r>
        <w:rPr>
          <w:rFonts w:hint="eastAsia"/>
          <w:color w:val="000000"/>
          <w:sz w:val="24"/>
          <w:szCs w:val="24"/>
        </w:rPr>
        <w:t xml:space="preserve"> </w:t>
      </w:r>
      <w:r>
        <w:rPr>
          <w:color w:val="000000"/>
        </w:rPr>
      </w:r>
      <w:r/>
    </w:p>
    <w:p>
      <w:pPr>
        <w:pStyle w:val="946"/>
        <w:jc w:val="center"/>
        <w:spacing w:before="120" w:after="120" w:line="0" w:lineRule="atLeast"/>
        <w:rPr>
          <w:rFonts w:hAnsi="宋体"/>
          <w:color w:val="000000"/>
          <w:sz w:val="24"/>
          <w:szCs w:val="24"/>
          <w:lang w:eastAsia="zh-CN"/>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188"/>
      <w:r/>
      <w:bookmarkEnd w:id="189"/>
      <w:r/>
      <w:bookmarkEnd w:id="190"/>
      <w:r>
        <w:rPr>
          <w:rFonts w:ascii="黑体" w:eastAsia="黑体"/>
          <w:bCs/>
          <w:color w:val="000000"/>
          <w:sz w:val="44"/>
        </w:rPr>
        <w:br w:type="page" w:clear="all"/>
      </w:r>
      <w:r>
        <w:rPr>
          <w:rFonts w:hint="eastAsia" w:ascii="黑体" w:eastAsia="黑体"/>
          <w:bCs/>
          <w:color w:val="000000"/>
          <w:sz w:val="44"/>
        </w:rPr>
        <w:t xml:space="preserve">第</w:t>
      </w:r>
      <w:bookmarkEnd w:id="186"/>
      <w:r>
        <w:rPr>
          <w:rFonts w:hint="eastAsia" w:ascii="黑体" w:eastAsia="黑体"/>
          <w:bCs/>
          <w:color w:val="000000"/>
          <w:sz w:val="44"/>
        </w:rPr>
        <w:t xml:space="preserve">四章 采购需求</w:t>
      </w:r>
      <w:bookmarkEnd w:id="182"/>
      <w:r/>
      <w:bookmarkEnd w:id="183"/>
      <w:r/>
      <w:bookmarkEnd w:id="187"/>
      <w:r/>
      <w:bookmarkStart w:id="192" w:name="_Toc49090575"/>
      <w:r/>
      <w:bookmarkStart w:id="193" w:name="_Toc26554093"/>
      <w:r/>
      <w:bookmarkStart w:id="194" w:name="_Toc178262578"/>
      <w:r>
        <w:rPr>
          <w:rFonts w:hAnsi="宋体"/>
          <w:color w:val="000000"/>
          <w:sz w:val="24"/>
          <w:szCs w:val="24"/>
          <w:lang w:eastAsia="zh-CN"/>
        </w:rPr>
      </w:r>
      <w:r/>
    </w:p>
    <w:p>
      <w:pPr>
        <w:pStyle w:val="1021"/>
        <w:jc w:val="left"/>
        <w:rPr>
          <w:rFonts w:ascii="Times New Roman" w:eastAsia="宋体"/>
          <w:b/>
          <w:bCs/>
          <w:color w:val="000000"/>
        </w:rPr>
      </w:pPr>
      <w:r>
        <w:rPr>
          <w:rFonts w:ascii="Times New Roman" w:eastAsia="宋体"/>
          <w:b/>
          <w:bCs/>
          <w:color w:val="000000"/>
        </w:rPr>
        <w:t xml:space="preserve">一、采购标的清单</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736"/>
        <w:gridCol w:w="3342"/>
        <w:gridCol w:w="606"/>
        <w:gridCol w:w="737"/>
        <w:gridCol w:w="3012"/>
      </w:tblGrid>
      <w:tr>
        <w:trPr>
          <w:trHeight w:val="20"/>
          <w:tblHeader/>
        </w:trPr>
        <w:tc>
          <w:tcPr>
            <w:tcW w:w="736" w:type="dxa"/>
            <w:vAlign w:val="center"/>
            <w:textDirection w:val="lrTb"/>
            <w:noWrap w:val="false"/>
          </w:tcPr>
          <w:p>
            <w:pPr>
              <w:pStyle w:val="1027"/>
              <w:rPr>
                <w:color w:val="000000"/>
              </w:rPr>
            </w:pPr>
            <w:r>
              <w:rPr>
                <w:color w:val="000000"/>
              </w:rPr>
              <w:t xml:space="preserve">序号</w:t>
            </w:r>
            <w:r/>
          </w:p>
        </w:tc>
        <w:tc>
          <w:tcPr>
            <w:tcW w:w="736" w:type="dxa"/>
            <w:vAlign w:val="center"/>
            <w:textDirection w:val="lrTb"/>
            <w:noWrap w:val="false"/>
          </w:tcPr>
          <w:p>
            <w:pPr>
              <w:pStyle w:val="1027"/>
              <w:rPr>
                <w:color w:val="000000"/>
              </w:rPr>
            </w:pPr>
            <w:r>
              <w:rPr>
                <w:color w:val="000000"/>
              </w:rPr>
              <w:t xml:space="preserve">类别</w:t>
            </w:r>
            <w:r/>
          </w:p>
        </w:tc>
        <w:tc>
          <w:tcPr>
            <w:tcW w:w="3342" w:type="dxa"/>
            <w:vAlign w:val="center"/>
            <w:textDirection w:val="lrTb"/>
            <w:noWrap w:val="false"/>
          </w:tcPr>
          <w:p>
            <w:pPr>
              <w:pStyle w:val="1027"/>
              <w:rPr>
                <w:color w:val="000000"/>
              </w:rPr>
            </w:pPr>
            <w:r>
              <w:rPr>
                <w:color w:val="000000"/>
              </w:rPr>
              <w:t xml:space="preserve">名称</w:t>
            </w:r>
            <w:r/>
          </w:p>
        </w:tc>
        <w:tc>
          <w:tcPr>
            <w:tcW w:w="606" w:type="dxa"/>
            <w:vAlign w:val="center"/>
            <w:textDirection w:val="lrTb"/>
            <w:noWrap w:val="false"/>
          </w:tcPr>
          <w:p>
            <w:pPr>
              <w:pStyle w:val="1027"/>
              <w:rPr>
                <w:color w:val="000000"/>
              </w:rPr>
            </w:pPr>
            <w:r>
              <w:rPr>
                <w:color w:val="000000"/>
              </w:rPr>
              <w:t xml:space="preserve">数量</w:t>
            </w:r>
            <w:r/>
          </w:p>
        </w:tc>
        <w:tc>
          <w:tcPr>
            <w:tcW w:w="737" w:type="dxa"/>
            <w:vAlign w:val="center"/>
            <w:textDirection w:val="lrTb"/>
            <w:noWrap w:val="false"/>
          </w:tcPr>
          <w:p>
            <w:pPr>
              <w:pStyle w:val="1027"/>
              <w:rPr>
                <w:color w:val="000000"/>
              </w:rPr>
            </w:pPr>
            <w:r>
              <w:rPr>
                <w:color w:val="000000"/>
              </w:rPr>
              <w:t xml:space="preserve">单位</w:t>
            </w:r>
            <w:r/>
          </w:p>
        </w:tc>
        <w:tc>
          <w:tcPr>
            <w:tcW w:w="3012" w:type="dxa"/>
            <w:vAlign w:val="center"/>
            <w:textDirection w:val="lrTb"/>
            <w:noWrap w:val="false"/>
          </w:tcPr>
          <w:p>
            <w:pPr>
              <w:pStyle w:val="1027"/>
              <w:rPr>
                <w:color w:val="000000"/>
              </w:rPr>
            </w:pPr>
            <w:r>
              <w:rPr>
                <w:color w:val="000000"/>
              </w:rPr>
              <w:t xml:space="preserve">对应中小企业划分标准所属行业</w:t>
            </w:r>
            <w:r/>
          </w:p>
        </w:tc>
      </w:tr>
      <w:tr>
        <w:trPr>
          <w:cantSplit/>
          <w:trHeight w:val="20"/>
        </w:trPr>
        <w:tc>
          <w:tcPr>
            <w:tcW w:w="736" w:type="dxa"/>
            <w:vAlign w:val="center"/>
            <w:textDirection w:val="lrTb"/>
            <w:noWrap w:val="false"/>
          </w:tcPr>
          <w:p>
            <w:pPr>
              <w:pStyle w:val="1027"/>
              <w:numPr>
                <w:ilvl w:val="0"/>
                <w:numId w:val="5"/>
              </w:numPr>
              <w:rPr>
                <w:color w:val="000000"/>
              </w:rPr>
            </w:pPr>
            <w:r>
              <w:rPr>
                <w:color w:val="000000"/>
              </w:rPr>
            </w:r>
            <w:r/>
          </w:p>
        </w:tc>
        <w:tc>
          <w:tcPr>
            <w:tcW w:w="736" w:type="dxa"/>
            <w:vAlign w:val="center"/>
            <w:vMerge w:val="restart"/>
            <w:textDirection w:val="lrTb"/>
            <w:noWrap w:val="false"/>
          </w:tcPr>
          <w:p>
            <w:pPr>
              <w:pStyle w:val="1027"/>
              <w:rPr>
                <w:color w:val="000000"/>
              </w:rPr>
            </w:pPr>
            <w:r>
              <w:rPr>
                <w:color w:val="000000"/>
              </w:rPr>
              <w:t xml:space="preserve">软件</w:t>
            </w:r>
            <w:r/>
          </w:p>
        </w:tc>
        <w:tc>
          <w:tcPr>
            <w:tcW w:w="3342" w:type="dxa"/>
            <w:vAlign w:val="center"/>
            <w:textDirection w:val="lrTb"/>
            <w:noWrap w:val="false"/>
          </w:tcPr>
          <w:p>
            <w:pPr>
              <w:pStyle w:val="1027"/>
              <w:rPr>
                <w:color w:val="000000"/>
              </w:rPr>
            </w:pPr>
            <w:r>
              <w:rPr>
                <w:rFonts w:hint="eastAsia"/>
                <w:color w:val="000000"/>
              </w:rPr>
              <w:t xml:space="preserve">一体化平台</w:t>
            </w:r>
            <w:r>
              <w:rPr>
                <w:color w:val="000000"/>
              </w:rPr>
            </w:r>
            <w:r/>
          </w:p>
        </w:tc>
        <w:tc>
          <w:tcPr>
            <w:tcW w:w="606" w:type="dxa"/>
            <w:vAlign w:val="center"/>
            <w:textDirection w:val="lrTb"/>
            <w:noWrap w:val="false"/>
          </w:tcPr>
          <w:p>
            <w:pPr>
              <w:pStyle w:val="1027"/>
              <w:rPr>
                <w:color w:val="000000"/>
              </w:rPr>
            </w:pPr>
            <w:r>
              <w:rPr>
                <w:color w:val="000000"/>
              </w:rPr>
              <w:t xml:space="preserve">1</w:t>
            </w:r>
            <w:r/>
          </w:p>
        </w:tc>
        <w:tc>
          <w:tcPr>
            <w:tcW w:w="737" w:type="dxa"/>
            <w:vAlign w:val="center"/>
            <w:textDirection w:val="lrTb"/>
            <w:noWrap w:val="false"/>
          </w:tcPr>
          <w:p>
            <w:pPr>
              <w:pStyle w:val="1027"/>
              <w:rPr>
                <w:color w:val="000000"/>
              </w:rPr>
            </w:pPr>
            <w:r>
              <w:rPr>
                <w:color w:val="000000"/>
              </w:rPr>
              <w:t xml:space="preserve">套</w:t>
            </w:r>
            <w:r/>
          </w:p>
        </w:tc>
        <w:tc>
          <w:tcPr>
            <w:tcW w:w="3012" w:type="dxa"/>
            <w:vAlign w:val="center"/>
            <w:textDirection w:val="lrTb"/>
            <w:noWrap w:val="false"/>
          </w:tcPr>
          <w:p>
            <w:pPr>
              <w:pStyle w:val="1027"/>
              <w:rPr>
                <w:color w:val="000000"/>
              </w:rPr>
            </w:pPr>
            <w:r>
              <w:rPr>
                <w:color w:val="000000"/>
              </w:rPr>
              <w:t xml:space="preserve">软件和信息技术服务业</w:t>
            </w:r>
            <w:r/>
          </w:p>
        </w:tc>
      </w:tr>
      <w:tr>
        <w:trPr>
          <w:cantSplit/>
          <w:trHeight w:val="20"/>
        </w:trPr>
        <w:tc>
          <w:tcPr>
            <w:tcW w:w="736" w:type="dxa"/>
            <w:vAlign w:val="center"/>
            <w:textDirection w:val="lrTb"/>
            <w:noWrap w:val="false"/>
          </w:tcPr>
          <w:p>
            <w:pPr>
              <w:pStyle w:val="1027"/>
              <w:numPr>
                <w:ilvl w:val="0"/>
                <w:numId w:val="5"/>
              </w:numPr>
              <w:rPr>
                <w:color w:val="000000"/>
              </w:rPr>
            </w:pPr>
            <w:r>
              <w:rPr>
                <w:color w:val="000000"/>
              </w:rPr>
            </w:r>
            <w:r/>
          </w:p>
        </w:tc>
        <w:tc>
          <w:tcPr>
            <w:tcW w:w="736" w:type="dxa"/>
            <w:vAlign w:val="center"/>
            <w:vMerge w:val="continue"/>
            <w:textDirection w:val="lrTb"/>
            <w:noWrap w:val="false"/>
          </w:tcPr>
          <w:p>
            <w:pPr>
              <w:pStyle w:val="1027"/>
              <w:rPr>
                <w:color w:val="000000"/>
              </w:rPr>
            </w:pPr>
            <w:r>
              <w:rPr>
                <w:color w:val="000000"/>
              </w:rPr>
            </w:r>
            <w:r/>
          </w:p>
        </w:tc>
        <w:tc>
          <w:tcPr>
            <w:tcW w:w="3342" w:type="dxa"/>
            <w:vAlign w:val="center"/>
            <w:textDirection w:val="lrTb"/>
            <w:noWrap w:val="false"/>
          </w:tcPr>
          <w:p>
            <w:pPr>
              <w:pStyle w:val="1027"/>
              <w:rPr>
                <w:color w:val="000000"/>
              </w:rPr>
            </w:pPr>
            <w:r>
              <w:rPr>
                <w:rFonts w:hint="eastAsia"/>
                <w:color w:val="000000"/>
              </w:rPr>
              <w:t xml:space="preserve">机构与企业管理应用系统</w:t>
            </w:r>
            <w:r>
              <w:rPr>
                <w:color w:val="000000"/>
              </w:rPr>
            </w:r>
            <w:r/>
          </w:p>
        </w:tc>
        <w:tc>
          <w:tcPr>
            <w:tcW w:w="606" w:type="dxa"/>
            <w:vAlign w:val="center"/>
            <w:textDirection w:val="lrTb"/>
            <w:noWrap w:val="false"/>
          </w:tcPr>
          <w:p>
            <w:pPr>
              <w:pStyle w:val="1027"/>
              <w:rPr>
                <w:color w:val="000000"/>
              </w:rPr>
            </w:pPr>
            <w:r>
              <w:rPr>
                <w:color w:val="000000"/>
              </w:rPr>
              <w:t xml:space="preserve">1</w:t>
            </w:r>
            <w:r/>
          </w:p>
        </w:tc>
        <w:tc>
          <w:tcPr>
            <w:tcW w:w="737" w:type="dxa"/>
            <w:vAlign w:val="center"/>
            <w:textDirection w:val="lrTb"/>
            <w:noWrap w:val="false"/>
          </w:tcPr>
          <w:p>
            <w:pPr>
              <w:pStyle w:val="1027"/>
              <w:rPr>
                <w:color w:val="000000"/>
              </w:rPr>
            </w:pPr>
            <w:r>
              <w:rPr>
                <w:color w:val="000000"/>
              </w:rPr>
              <w:t xml:space="preserve">套</w:t>
            </w:r>
            <w:r/>
          </w:p>
        </w:tc>
        <w:tc>
          <w:tcPr>
            <w:tcW w:w="3012" w:type="dxa"/>
            <w:vAlign w:val="center"/>
            <w:textDirection w:val="lrTb"/>
            <w:noWrap w:val="false"/>
          </w:tcPr>
          <w:p>
            <w:pPr>
              <w:pStyle w:val="1027"/>
              <w:rPr>
                <w:color w:val="000000"/>
              </w:rPr>
            </w:pPr>
            <w:r>
              <w:rPr>
                <w:color w:val="000000"/>
              </w:rPr>
              <w:t xml:space="preserve">软件和信息技术服务业</w:t>
            </w:r>
            <w:r/>
          </w:p>
        </w:tc>
      </w:tr>
      <w:tr>
        <w:trPr>
          <w:cantSplit/>
          <w:trHeight w:val="20"/>
        </w:trPr>
        <w:tc>
          <w:tcPr>
            <w:tcW w:w="736" w:type="dxa"/>
            <w:vAlign w:val="center"/>
            <w:textDirection w:val="lrTb"/>
            <w:noWrap w:val="false"/>
          </w:tcPr>
          <w:p>
            <w:pPr>
              <w:pStyle w:val="1027"/>
              <w:numPr>
                <w:ilvl w:val="0"/>
                <w:numId w:val="5"/>
              </w:numPr>
              <w:rPr>
                <w:color w:val="000000"/>
              </w:rPr>
            </w:pPr>
            <w:r>
              <w:rPr>
                <w:color w:val="000000"/>
              </w:rPr>
            </w:r>
            <w:r/>
          </w:p>
        </w:tc>
        <w:tc>
          <w:tcPr>
            <w:tcW w:w="736" w:type="dxa"/>
            <w:vAlign w:val="center"/>
            <w:vMerge w:val="continue"/>
            <w:textDirection w:val="lrTb"/>
            <w:noWrap w:val="false"/>
          </w:tcPr>
          <w:p>
            <w:pPr>
              <w:pStyle w:val="1027"/>
              <w:rPr>
                <w:color w:val="000000"/>
              </w:rPr>
            </w:pPr>
            <w:r>
              <w:rPr>
                <w:color w:val="000000"/>
              </w:rPr>
            </w:r>
            <w:r/>
          </w:p>
        </w:tc>
        <w:tc>
          <w:tcPr>
            <w:tcW w:w="3342" w:type="dxa"/>
            <w:vAlign w:val="center"/>
            <w:textDirection w:val="lrTb"/>
            <w:noWrap w:val="false"/>
          </w:tcPr>
          <w:p>
            <w:pPr>
              <w:pStyle w:val="1027"/>
              <w:jc w:val="both"/>
              <w:rPr>
                <w:color w:val="000000"/>
              </w:rPr>
            </w:pPr>
            <w:r>
              <w:rPr>
                <w:rFonts w:hint="eastAsia"/>
                <w:color w:val="000000"/>
              </w:rPr>
              <w:t xml:space="preserve">内容生产服务与审核应用系统</w:t>
            </w:r>
            <w:r>
              <w:rPr>
                <w:color w:val="000000"/>
              </w:rPr>
            </w:r>
            <w:r/>
          </w:p>
        </w:tc>
        <w:tc>
          <w:tcPr>
            <w:tcW w:w="606" w:type="dxa"/>
            <w:vAlign w:val="center"/>
            <w:textDirection w:val="lrTb"/>
            <w:noWrap w:val="false"/>
          </w:tcPr>
          <w:p>
            <w:pPr>
              <w:pStyle w:val="1027"/>
              <w:rPr>
                <w:color w:val="000000"/>
              </w:rPr>
            </w:pPr>
            <w:r>
              <w:rPr>
                <w:color w:val="000000"/>
              </w:rPr>
              <w:t xml:space="preserve">1</w:t>
            </w:r>
            <w:r/>
          </w:p>
        </w:tc>
        <w:tc>
          <w:tcPr>
            <w:tcW w:w="737" w:type="dxa"/>
            <w:vAlign w:val="center"/>
            <w:textDirection w:val="lrTb"/>
            <w:noWrap w:val="false"/>
          </w:tcPr>
          <w:p>
            <w:pPr>
              <w:pStyle w:val="1027"/>
              <w:rPr>
                <w:color w:val="000000"/>
              </w:rPr>
            </w:pPr>
            <w:r>
              <w:rPr>
                <w:color w:val="000000"/>
              </w:rPr>
              <w:t xml:space="preserve">套</w:t>
            </w:r>
            <w:r/>
          </w:p>
        </w:tc>
        <w:tc>
          <w:tcPr>
            <w:tcW w:w="3012" w:type="dxa"/>
            <w:vAlign w:val="center"/>
            <w:textDirection w:val="lrTb"/>
            <w:noWrap w:val="false"/>
          </w:tcPr>
          <w:p>
            <w:pPr>
              <w:pStyle w:val="1027"/>
              <w:rPr>
                <w:color w:val="000000"/>
              </w:rPr>
            </w:pPr>
            <w:r>
              <w:rPr>
                <w:color w:val="000000"/>
              </w:rPr>
              <w:t xml:space="preserve">软件和信息技术服务业</w:t>
            </w:r>
            <w:r/>
          </w:p>
        </w:tc>
      </w:tr>
      <w:tr>
        <w:trPr>
          <w:cantSplit/>
          <w:trHeight w:val="20"/>
        </w:trPr>
        <w:tc>
          <w:tcPr>
            <w:tcW w:w="736" w:type="dxa"/>
            <w:vAlign w:val="center"/>
            <w:textDirection w:val="lrTb"/>
            <w:noWrap w:val="false"/>
          </w:tcPr>
          <w:p>
            <w:pPr>
              <w:pStyle w:val="1027"/>
              <w:numPr>
                <w:ilvl w:val="0"/>
                <w:numId w:val="5"/>
              </w:numPr>
              <w:rPr>
                <w:color w:val="000000"/>
              </w:rPr>
            </w:pPr>
            <w:r>
              <w:rPr>
                <w:color w:val="000000"/>
              </w:rPr>
            </w:r>
            <w:r/>
          </w:p>
        </w:tc>
        <w:tc>
          <w:tcPr>
            <w:tcW w:w="736" w:type="dxa"/>
            <w:vAlign w:val="center"/>
            <w:vMerge w:val="continue"/>
            <w:textDirection w:val="lrTb"/>
            <w:noWrap w:val="false"/>
          </w:tcPr>
          <w:p>
            <w:pPr>
              <w:pStyle w:val="1027"/>
              <w:rPr>
                <w:color w:val="000000"/>
              </w:rPr>
            </w:pPr>
            <w:r>
              <w:rPr>
                <w:color w:val="000000"/>
              </w:rPr>
            </w:r>
            <w:r/>
          </w:p>
        </w:tc>
        <w:tc>
          <w:tcPr>
            <w:tcW w:w="3342" w:type="dxa"/>
            <w:vAlign w:val="center"/>
            <w:textDirection w:val="lrTb"/>
            <w:noWrap w:val="false"/>
          </w:tcPr>
          <w:p>
            <w:pPr>
              <w:pStyle w:val="1027"/>
              <w:rPr>
                <w:color w:val="000000"/>
              </w:rPr>
            </w:pPr>
            <w:r>
              <w:rPr>
                <w:rFonts w:hint="eastAsia"/>
                <w:color w:val="000000"/>
              </w:rPr>
              <w:t xml:space="preserve">节目剧片播出监管应用系统</w:t>
            </w:r>
            <w:r>
              <w:rPr>
                <w:color w:val="000000"/>
              </w:rPr>
            </w:r>
            <w:r/>
          </w:p>
        </w:tc>
        <w:tc>
          <w:tcPr>
            <w:tcW w:w="606" w:type="dxa"/>
            <w:vAlign w:val="center"/>
            <w:textDirection w:val="lrTb"/>
            <w:noWrap w:val="false"/>
          </w:tcPr>
          <w:p>
            <w:pPr>
              <w:pStyle w:val="1027"/>
              <w:rPr>
                <w:color w:val="000000"/>
              </w:rPr>
            </w:pPr>
            <w:r>
              <w:rPr>
                <w:color w:val="000000"/>
              </w:rPr>
              <w:t xml:space="preserve">1</w:t>
            </w:r>
            <w:r/>
          </w:p>
        </w:tc>
        <w:tc>
          <w:tcPr>
            <w:tcW w:w="737" w:type="dxa"/>
            <w:vAlign w:val="center"/>
            <w:textDirection w:val="lrTb"/>
            <w:noWrap w:val="false"/>
          </w:tcPr>
          <w:p>
            <w:pPr>
              <w:pStyle w:val="1027"/>
              <w:rPr>
                <w:color w:val="000000"/>
              </w:rPr>
            </w:pPr>
            <w:r>
              <w:rPr>
                <w:color w:val="000000"/>
              </w:rPr>
              <w:t xml:space="preserve">套</w:t>
            </w:r>
            <w:r/>
          </w:p>
        </w:tc>
        <w:tc>
          <w:tcPr>
            <w:tcW w:w="3012" w:type="dxa"/>
            <w:vAlign w:val="center"/>
            <w:textDirection w:val="lrTb"/>
            <w:noWrap w:val="false"/>
          </w:tcPr>
          <w:p>
            <w:pPr>
              <w:pStyle w:val="1027"/>
              <w:rPr>
                <w:color w:val="000000"/>
              </w:rPr>
            </w:pPr>
            <w:r>
              <w:rPr>
                <w:color w:val="000000"/>
              </w:rPr>
              <w:t xml:space="preserve">软件和信息技术服务业</w:t>
            </w:r>
            <w:r/>
          </w:p>
        </w:tc>
      </w:tr>
      <w:tr>
        <w:trPr>
          <w:cantSplit/>
          <w:trHeight w:val="20"/>
        </w:trPr>
        <w:tc>
          <w:tcPr>
            <w:tcW w:w="736" w:type="dxa"/>
            <w:vAlign w:val="center"/>
            <w:textDirection w:val="lrTb"/>
            <w:noWrap w:val="false"/>
          </w:tcPr>
          <w:p>
            <w:pPr>
              <w:pStyle w:val="1027"/>
              <w:numPr>
                <w:ilvl w:val="0"/>
                <w:numId w:val="5"/>
              </w:numPr>
              <w:rPr>
                <w:color w:val="000000"/>
              </w:rPr>
            </w:pPr>
            <w:r>
              <w:rPr>
                <w:color w:val="000000"/>
              </w:rPr>
            </w:r>
            <w:r/>
          </w:p>
        </w:tc>
        <w:tc>
          <w:tcPr>
            <w:tcW w:w="736" w:type="dxa"/>
            <w:vAlign w:val="center"/>
            <w:vMerge w:val="continue"/>
            <w:textDirection w:val="lrTb"/>
            <w:noWrap w:val="false"/>
          </w:tcPr>
          <w:p>
            <w:pPr>
              <w:pStyle w:val="1027"/>
              <w:rPr>
                <w:color w:val="000000"/>
              </w:rPr>
            </w:pPr>
            <w:r>
              <w:rPr>
                <w:color w:val="000000"/>
              </w:rPr>
            </w:r>
            <w:r/>
          </w:p>
        </w:tc>
        <w:tc>
          <w:tcPr>
            <w:tcW w:w="3342" w:type="dxa"/>
            <w:vAlign w:val="center"/>
            <w:textDirection w:val="lrTb"/>
            <w:noWrap w:val="false"/>
          </w:tcPr>
          <w:p>
            <w:pPr>
              <w:pStyle w:val="1027"/>
              <w:rPr>
                <w:color w:val="000000"/>
              </w:rPr>
            </w:pPr>
            <w:r>
              <w:rPr>
                <w:rFonts w:hint="eastAsia"/>
                <w:color w:val="000000"/>
              </w:rPr>
              <w:t xml:space="preserve">科技与产业管理应用系统</w:t>
            </w:r>
            <w:r>
              <w:rPr>
                <w:color w:val="000000"/>
              </w:rPr>
            </w:r>
            <w:r/>
          </w:p>
        </w:tc>
        <w:tc>
          <w:tcPr>
            <w:tcW w:w="606" w:type="dxa"/>
            <w:vAlign w:val="center"/>
            <w:textDirection w:val="lrTb"/>
            <w:noWrap w:val="false"/>
          </w:tcPr>
          <w:p>
            <w:pPr>
              <w:pStyle w:val="1027"/>
              <w:rPr>
                <w:color w:val="000000"/>
              </w:rPr>
            </w:pPr>
            <w:r>
              <w:rPr>
                <w:color w:val="000000"/>
              </w:rPr>
              <w:t xml:space="preserve">1</w:t>
            </w:r>
            <w:r/>
          </w:p>
        </w:tc>
        <w:tc>
          <w:tcPr>
            <w:tcW w:w="737" w:type="dxa"/>
            <w:vAlign w:val="center"/>
            <w:textDirection w:val="lrTb"/>
            <w:noWrap w:val="false"/>
          </w:tcPr>
          <w:p>
            <w:pPr>
              <w:pStyle w:val="1027"/>
              <w:rPr>
                <w:color w:val="000000"/>
              </w:rPr>
            </w:pPr>
            <w:r>
              <w:rPr>
                <w:color w:val="000000"/>
              </w:rPr>
              <w:t xml:space="preserve">套</w:t>
            </w:r>
            <w:r/>
          </w:p>
        </w:tc>
        <w:tc>
          <w:tcPr>
            <w:tcW w:w="3012" w:type="dxa"/>
            <w:vAlign w:val="center"/>
            <w:textDirection w:val="lrTb"/>
            <w:noWrap w:val="false"/>
          </w:tcPr>
          <w:p>
            <w:pPr>
              <w:pStyle w:val="1027"/>
              <w:rPr>
                <w:color w:val="000000"/>
              </w:rPr>
            </w:pPr>
            <w:r>
              <w:rPr>
                <w:color w:val="000000"/>
              </w:rPr>
              <w:t xml:space="preserve">软件和信息技术服务业</w:t>
            </w:r>
            <w:r/>
          </w:p>
        </w:tc>
      </w:tr>
      <w:tr>
        <w:trPr>
          <w:cantSplit/>
          <w:trHeight w:val="20"/>
        </w:trPr>
        <w:tc>
          <w:tcPr>
            <w:tcW w:w="736" w:type="dxa"/>
            <w:vAlign w:val="center"/>
            <w:textDirection w:val="lrTb"/>
            <w:noWrap w:val="false"/>
          </w:tcPr>
          <w:p>
            <w:pPr>
              <w:pStyle w:val="1027"/>
              <w:numPr>
                <w:ilvl w:val="0"/>
                <w:numId w:val="5"/>
              </w:numPr>
              <w:rPr>
                <w:color w:val="000000"/>
              </w:rPr>
            </w:pPr>
            <w:r>
              <w:rPr>
                <w:color w:val="000000"/>
              </w:rPr>
            </w:r>
            <w:r/>
          </w:p>
        </w:tc>
        <w:tc>
          <w:tcPr>
            <w:tcW w:w="736" w:type="dxa"/>
            <w:vAlign w:val="center"/>
            <w:vMerge w:val="continue"/>
            <w:textDirection w:val="lrTb"/>
            <w:noWrap w:val="false"/>
          </w:tcPr>
          <w:p>
            <w:pPr>
              <w:pStyle w:val="1027"/>
              <w:rPr>
                <w:color w:val="000000"/>
              </w:rPr>
            </w:pPr>
            <w:r>
              <w:rPr>
                <w:color w:val="000000"/>
              </w:rPr>
            </w:r>
            <w:r/>
          </w:p>
        </w:tc>
        <w:tc>
          <w:tcPr>
            <w:tcW w:w="3342" w:type="dxa"/>
            <w:vAlign w:val="center"/>
            <w:textDirection w:val="lrTb"/>
            <w:noWrap w:val="false"/>
          </w:tcPr>
          <w:p>
            <w:pPr>
              <w:pStyle w:val="1027"/>
              <w:rPr>
                <w:color w:val="000000"/>
              </w:rPr>
            </w:pPr>
            <w:r>
              <w:rPr>
                <w:rFonts w:hint="eastAsia"/>
                <w:color w:val="000000"/>
              </w:rPr>
              <w:t xml:space="preserve">公共服务管理应用系统</w:t>
            </w:r>
            <w:r>
              <w:rPr>
                <w:color w:val="000000"/>
              </w:rPr>
            </w:r>
            <w:r/>
          </w:p>
        </w:tc>
        <w:tc>
          <w:tcPr>
            <w:tcW w:w="606" w:type="dxa"/>
            <w:vAlign w:val="center"/>
            <w:textDirection w:val="lrTb"/>
            <w:noWrap w:val="false"/>
          </w:tcPr>
          <w:p>
            <w:pPr>
              <w:pStyle w:val="1027"/>
              <w:rPr>
                <w:color w:val="000000"/>
              </w:rPr>
            </w:pPr>
            <w:r>
              <w:rPr>
                <w:color w:val="000000"/>
              </w:rPr>
              <w:t xml:space="preserve">1</w:t>
            </w:r>
            <w:r/>
          </w:p>
        </w:tc>
        <w:tc>
          <w:tcPr>
            <w:tcW w:w="737" w:type="dxa"/>
            <w:vAlign w:val="center"/>
            <w:textDirection w:val="lrTb"/>
            <w:noWrap w:val="false"/>
          </w:tcPr>
          <w:p>
            <w:pPr>
              <w:pStyle w:val="1027"/>
              <w:rPr>
                <w:color w:val="000000"/>
              </w:rPr>
            </w:pPr>
            <w:r>
              <w:rPr>
                <w:color w:val="000000"/>
              </w:rPr>
              <w:t xml:space="preserve">套</w:t>
            </w:r>
            <w:r/>
          </w:p>
        </w:tc>
        <w:tc>
          <w:tcPr>
            <w:tcW w:w="3012" w:type="dxa"/>
            <w:vAlign w:val="center"/>
            <w:textDirection w:val="lrTb"/>
            <w:noWrap w:val="false"/>
          </w:tcPr>
          <w:p>
            <w:pPr>
              <w:pStyle w:val="1027"/>
              <w:rPr>
                <w:color w:val="000000"/>
              </w:rPr>
            </w:pPr>
            <w:r>
              <w:rPr>
                <w:color w:val="000000"/>
              </w:rPr>
              <w:t xml:space="preserve">软件和信息技术服务业</w:t>
            </w:r>
            <w:r/>
          </w:p>
        </w:tc>
      </w:tr>
      <w:tr>
        <w:trPr>
          <w:cantSplit/>
          <w:trHeight w:val="20"/>
        </w:trPr>
        <w:tc>
          <w:tcPr>
            <w:tcW w:w="736" w:type="dxa"/>
            <w:vAlign w:val="center"/>
            <w:textDirection w:val="lrTb"/>
            <w:noWrap w:val="false"/>
          </w:tcPr>
          <w:p>
            <w:pPr>
              <w:pStyle w:val="1027"/>
              <w:numPr>
                <w:ilvl w:val="0"/>
                <w:numId w:val="5"/>
              </w:numPr>
              <w:rPr>
                <w:color w:val="000000"/>
              </w:rPr>
            </w:pPr>
            <w:r>
              <w:rPr>
                <w:color w:val="000000"/>
              </w:rPr>
            </w:r>
            <w:r/>
          </w:p>
        </w:tc>
        <w:tc>
          <w:tcPr>
            <w:tcW w:w="736" w:type="dxa"/>
            <w:vAlign w:val="center"/>
            <w:vMerge w:val="continue"/>
            <w:textDirection w:val="lrTb"/>
            <w:noWrap w:val="false"/>
          </w:tcPr>
          <w:p>
            <w:pPr>
              <w:pStyle w:val="1027"/>
              <w:rPr>
                <w:color w:val="000000"/>
              </w:rPr>
            </w:pPr>
            <w:r>
              <w:rPr>
                <w:color w:val="000000"/>
              </w:rPr>
            </w:r>
            <w:r/>
          </w:p>
        </w:tc>
        <w:tc>
          <w:tcPr>
            <w:tcW w:w="3342" w:type="dxa"/>
            <w:vAlign w:val="center"/>
            <w:textDirection w:val="lrTb"/>
            <w:noWrap w:val="false"/>
          </w:tcPr>
          <w:p>
            <w:pPr>
              <w:pStyle w:val="1027"/>
              <w:rPr>
                <w:color w:val="000000"/>
              </w:rPr>
            </w:pPr>
            <w:r>
              <w:rPr>
                <w:rFonts w:hint="eastAsia"/>
                <w:color w:val="000000"/>
              </w:rPr>
              <w:t xml:space="preserve">人才与专家管理应用系统</w:t>
            </w:r>
            <w:r>
              <w:rPr>
                <w:color w:val="000000"/>
              </w:rPr>
            </w:r>
            <w:r/>
          </w:p>
        </w:tc>
        <w:tc>
          <w:tcPr>
            <w:tcW w:w="606" w:type="dxa"/>
            <w:vAlign w:val="center"/>
            <w:textDirection w:val="lrTb"/>
            <w:noWrap w:val="false"/>
          </w:tcPr>
          <w:p>
            <w:pPr>
              <w:pStyle w:val="1027"/>
              <w:rPr>
                <w:color w:val="000000"/>
              </w:rPr>
            </w:pPr>
            <w:r>
              <w:rPr>
                <w:color w:val="000000"/>
              </w:rPr>
              <w:t xml:space="preserve">1</w:t>
            </w:r>
            <w:r/>
          </w:p>
        </w:tc>
        <w:tc>
          <w:tcPr>
            <w:tcW w:w="737" w:type="dxa"/>
            <w:vAlign w:val="center"/>
            <w:textDirection w:val="lrTb"/>
            <w:noWrap w:val="false"/>
          </w:tcPr>
          <w:p>
            <w:pPr>
              <w:pStyle w:val="1027"/>
              <w:rPr>
                <w:color w:val="000000"/>
              </w:rPr>
            </w:pPr>
            <w:r>
              <w:rPr>
                <w:color w:val="000000"/>
              </w:rPr>
              <w:t xml:space="preserve">套</w:t>
            </w:r>
            <w:r/>
          </w:p>
        </w:tc>
        <w:tc>
          <w:tcPr>
            <w:tcW w:w="3012" w:type="dxa"/>
            <w:vAlign w:val="center"/>
            <w:textDirection w:val="lrTb"/>
            <w:noWrap w:val="false"/>
          </w:tcPr>
          <w:p>
            <w:pPr>
              <w:pStyle w:val="1027"/>
              <w:rPr>
                <w:color w:val="000000"/>
              </w:rPr>
            </w:pPr>
            <w:r>
              <w:rPr>
                <w:color w:val="000000"/>
              </w:rPr>
              <w:t xml:space="preserve">软件和信息技术服务业</w:t>
            </w:r>
            <w:r/>
          </w:p>
        </w:tc>
      </w:tr>
      <w:tr>
        <w:trPr>
          <w:cantSplit/>
          <w:trHeight w:val="20"/>
        </w:trPr>
        <w:tc>
          <w:tcPr>
            <w:tcW w:w="736" w:type="dxa"/>
            <w:vAlign w:val="center"/>
            <w:textDirection w:val="lrTb"/>
            <w:noWrap w:val="false"/>
          </w:tcPr>
          <w:p>
            <w:pPr>
              <w:pStyle w:val="1027"/>
              <w:numPr>
                <w:ilvl w:val="0"/>
                <w:numId w:val="5"/>
              </w:numPr>
              <w:rPr>
                <w:color w:val="000000"/>
              </w:rPr>
            </w:pPr>
            <w:r>
              <w:rPr>
                <w:color w:val="000000"/>
              </w:rPr>
            </w:r>
            <w:r/>
          </w:p>
        </w:tc>
        <w:tc>
          <w:tcPr>
            <w:tcW w:w="736" w:type="dxa"/>
            <w:vAlign w:val="center"/>
            <w:vMerge w:val="continue"/>
            <w:textDirection w:val="lrTb"/>
            <w:noWrap w:val="false"/>
          </w:tcPr>
          <w:p>
            <w:pPr>
              <w:pStyle w:val="1027"/>
              <w:rPr>
                <w:color w:val="000000"/>
              </w:rPr>
            </w:pPr>
            <w:r>
              <w:rPr>
                <w:color w:val="000000"/>
              </w:rPr>
            </w:r>
            <w:r/>
          </w:p>
        </w:tc>
        <w:tc>
          <w:tcPr>
            <w:tcW w:w="3342" w:type="dxa"/>
            <w:vAlign w:val="center"/>
            <w:textDirection w:val="lrTb"/>
            <w:noWrap w:val="false"/>
          </w:tcPr>
          <w:p>
            <w:pPr>
              <w:pStyle w:val="1027"/>
              <w:rPr>
                <w:color w:val="000000"/>
              </w:rPr>
            </w:pPr>
            <w:r>
              <w:rPr>
                <w:rFonts w:hint="eastAsia"/>
                <w:color w:val="000000"/>
              </w:rPr>
              <w:t xml:space="preserve">推优评奖管理应用系统</w:t>
            </w:r>
            <w:r>
              <w:rPr>
                <w:color w:val="000000"/>
              </w:rPr>
            </w:r>
            <w:r/>
          </w:p>
        </w:tc>
        <w:tc>
          <w:tcPr>
            <w:tcW w:w="606" w:type="dxa"/>
            <w:vAlign w:val="center"/>
            <w:textDirection w:val="lrTb"/>
            <w:noWrap w:val="false"/>
          </w:tcPr>
          <w:p>
            <w:pPr>
              <w:pStyle w:val="1027"/>
              <w:rPr>
                <w:color w:val="000000"/>
              </w:rPr>
            </w:pPr>
            <w:r>
              <w:rPr>
                <w:color w:val="000000"/>
              </w:rPr>
              <w:t xml:space="preserve">1</w:t>
            </w:r>
            <w:r/>
          </w:p>
        </w:tc>
        <w:tc>
          <w:tcPr>
            <w:tcW w:w="737" w:type="dxa"/>
            <w:vAlign w:val="center"/>
            <w:textDirection w:val="lrTb"/>
            <w:noWrap w:val="false"/>
          </w:tcPr>
          <w:p>
            <w:pPr>
              <w:pStyle w:val="1027"/>
              <w:rPr>
                <w:color w:val="000000"/>
              </w:rPr>
            </w:pPr>
            <w:r>
              <w:rPr>
                <w:color w:val="000000"/>
              </w:rPr>
              <w:t xml:space="preserve">套</w:t>
            </w:r>
            <w:r/>
          </w:p>
        </w:tc>
        <w:tc>
          <w:tcPr>
            <w:tcW w:w="3012" w:type="dxa"/>
            <w:vAlign w:val="center"/>
            <w:textDirection w:val="lrTb"/>
            <w:noWrap w:val="false"/>
          </w:tcPr>
          <w:p>
            <w:pPr>
              <w:pStyle w:val="1027"/>
              <w:rPr>
                <w:color w:val="000000"/>
              </w:rPr>
            </w:pPr>
            <w:r>
              <w:rPr>
                <w:color w:val="000000"/>
              </w:rPr>
              <w:t xml:space="preserve">软件和信息技术服务业</w:t>
            </w:r>
            <w:r/>
          </w:p>
        </w:tc>
      </w:tr>
      <w:tr>
        <w:trPr>
          <w:cantSplit/>
          <w:trHeight w:val="20"/>
        </w:trPr>
        <w:tc>
          <w:tcPr>
            <w:tcW w:w="736" w:type="dxa"/>
            <w:vAlign w:val="center"/>
            <w:textDirection w:val="lrTb"/>
            <w:noWrap w:val="false"/>
          </w:tcPr>
          <w:p>
            <w:pPr>
              <w:pStyle w:val="1027"/>
              <w:numPr>
                <w:ilvl w:val="0"/>
                <w:numId w:val="5"/>
              </w:numPr>
              <w:rPr>
                <w:color w:val="000000"/>
              </w:rPr>
            </w:pPr>
            <w:r>
              <w:rPr>
                <w:color w:val="000000"/>
              </w:rPr>
            </w:r>
            <w:r/>
          </w:p>
        </w:tc>
        <w:tc>
          <w:tcPr>
            <w:tcW w:w="736" w:type="dxa"/>
            <w:vAlign w:val="center"/>
            <w:vMerge w:val="continue"/>
            <w:textDirection w:val="lrTb"/>
            <w:noWrap w:val="false"/>
          </w:tcPr>
          <w:p>
            <w:pPr>
              <w:pStyle w:val="1027"/>
              <w:rPr>
                <w:color w:val="000000"/>
              </w:rPr>
            </w:pPr>
            <w:r>
              <w:rPr>
                <w:color w:val="000000"/>
              </w:rPr>
            </w:r>
            <w:r/>
          </w:p>
        </w:tc>
        <w:tc>
          <w:tcPr>
            <w:tcW w:w="3342" w:type="dxa"/>
            <w:vAlign w:val="center"/>
            <w:textDirection w:val="lrTb"/>
            <w:noWrap w:val="false"/>
          </w:tcPr>
          <w:p>
            <w:pPr>
              <w:pStyle w:val="1027"/>
              <w:rPr>
                <w:color w:val="000000"/>
              </w:rPr>
            </w:pPr>
            <w:r>
              <w:rPr>
                <w:rFonts w:hint="eastAsia"/>
                <w:color w:val="000000"/>
              </w:rPr>
              <w:t xml:space="preserve">省局机关办公应用系统（完善）</w:t>
            </w:r>
            <w:r>
              <w:rPr>
                <w:color w:val="000000"/>
              </w:rPr>
            </w:r>
            <w:r/>
          </w:p>
        </w:tc>
        <w:tc>
          <w:tcPr>
            <w:tcW w:w="606" w:type="dxa"/>
            <w:vAlign w:val="center"/>
            <w:textDirection w:val="lrTb"/>
            <w:noWrap w:val="false"/>
          </w:tcPr>
          <w:p>
            <w:pPr>
              <w:pStyle w:val="1027"/>
              <w:rPr>
                <w:color w:val="000000"/>
              </w:rPr>
            </w:pPr>
            <w:r>
              <w:rPr>
                <w:color w:val="000000"/>
              </w:rPr>
              <w:t xml:space="preserve">1</w:t>
            </w:r>
            <w:r/>
          </w:p>
        </w:tc>
        <w:tc>
          <w:tcPr>
            <w:tcW w:w="737" w:type="dxa"/>
            <w:vAlign w:val="center"/>
            <w:textDirection w:val="lrTb"/>
            <w:noWrap w:val="false"/>
          </w:tcPr>
          <w:p>
            <w:pPr>
              <w:pStyle w:val="1027"/>
              <w:rPr>
                <w:color w:val="000000"/>
              </w:rPr>
            </w:pPr>
            <w:r>
              <w:rPr>
                <w:color w:val="000000"/>
              </w:rPr>
              <w:t xml:space="preserve">套</w:t>
            </w:r>
            <w:r/>
          </w:p>
        </w:tc>
        <w:tc>
          <w:tcPr>
            <w:tcW w:w="3012" w:type="dxa"/>
            <w:vAlign w:val="center"/>
            <w:textDirection w:val="lrTb"/>
            <w:noWrap w:val="false"/>
          </w:tcPr>
          <w:p>
            <w:pPr>
              <w:pStyle w:val="1027"/>
              <w:rPr>
                <w:color w:val="000000"/>
              </w:rPr>
            </w:pPr>
            <w:r>
              <w:rPr>
                <w:color w:val="000000"/>
              </w:rPr>
              <w:t xml:space="preserve">软件和信息技术服务业</w:t>
            </w:r>
            <w:r/>
          </w:p>
        </w:tc>
      </w:tr>
      <w:tr>
        <w:trPr>
          <w:cantSplit/>
          <w:trHeight w:val="20"/>
        </w:trPr>
        <w:tc>
          <w:tcPr>
            <w:tcW w:w="736" w:type="dxa"/>
            <w:vAlign w:val="center"/>
            <w:textDirection w:val="lrTb"/>
            <w:noWrap w:val="false"/>
          </w:tcPr>
          <w:p>
            <w:pPr>
              <w:pStyle w:val="1027"/>
              <w:numPr>
                <w:ilvl w:val="0"/>
                <w:numId w:val="5"/>
              </w:numPr>
              <w:rPr>
                <w:color w:val="000000"/>
              </w:rPr>
            </w:pPr>
            <w:r>
              <w:rPr>
                <w:color w:val="000000"/>
              </w:rPr>
            </w:r>
            <w:r/>
          </w:p>
        </w:tc>
        <w:tc>
          <w:tcPr>
            <w:tcW w:w="736" w:type="dxa"/>
            <w:vAlign w:val="center"/>
            <w:vMerge w:val="continue"/>
            <w:textDirection w:val="lrTb"/>
            <w:noWrap w:val="false"/>
          </w:tcPr>
          <w:p>
            <w:pPr>
              <w:pStyle w:val="1027"/>
              <w:rPr>
                <w:color w:val="000000"/>
              </w:rPr>
            </w:pPr>
            <w:r>
              <w:rPr>
                <w:color w:val="000000"/>
              </w:rPr>
            </w:r>
            <w:r/>
          </w:p>
        </w:tc>
        <w:tc>
          <w:tcPr>
            <w:tcW w:w="3342" w:type="dxa"/>
            <w:vAlign w:val="center"/>
            <w:textDirection w:val="lrTb"/>
            <w:noWrap w:val="false"/>
          </w:tcPr>
          <w:p>
            <w:pPr>
              <w:pStyle w:val="1027"/>
              <w:rPr>
                <w:color w:val="000000"/>
              </w:rPr>
            </w:pPr>
            <w:r>
              <w:rPr>
                <w:rFonts w:hint="eastAsia"/>
                <w:color w:val="000000"/>
              </w:rPr>
              <w:t xml:space="preserve">政务服务平台（完善）</w:t>
            </w:r>
            <w:r>
              <w:rPr>
                <w:color w:val="000000"/>
              </w:rPr>
            </w:r>
            <w:r/>
          </w:p>
        </w:tc>
        <w:tc>
          <w:tcPr>
            <w:tcW w:w="606" w:type="dxa"/>
            <w:vAlign w:val="center"/>
            <w:textDirection w:val="lrTb"/>
            <w:noWrap w:val="false"/>
          </w:tcPr>
          <w:p>
            <w:pPr>
              <w:pStyle w:val="1027"/>
              <w:rPr>
                <w:color w:val="000000"/>
              </w:rPr>
            </w:pPr>
            <w:r>
              <w:rPr>
                <w:color w:val="000000"/>
              </w:rPr>
              <w:t xml:space="preserve">1</w:t>
            </w:r>
            <w:r/>
          </w:p>
        </w:tc>
        <w:tc>
          <w:tcPr>
            <w:tcW w:w="737" w:type="dxa"/>
            <w:vAlign w:val="center"/>
            <w:textDirection w:val="lrTb"/>
            <w:noWrap w:val="false"/>
          </w:tcPr>
          <w:p>
            <w:pPr>
              <w:pStyle w:val="1027"/>
              <w:rPr>
                <w:color w:val="000000"/>
              </w:rPr>
            </w:pPr>
            <w:r>
              <w:rPr>
                <w:color w:val="000000"/>
              </w:rPr>
              <w:t xml:space="preserve">套</w:t>
            </w:r>
            <w:r/>
          </w:p>
        </w:tc>
        <w:tc>
          <w:tcPr>
            <w:tcW w:w="3012" w:type="dxa"/>
            <w:vAlign w:val="center"/>
            <w:textDirection w:val="lrTb"/>
            <w:noWrap w:val="false"/>
          </w:tcPr>
          <w:p>
            <w:pPr>
              <w:pStyle w:val="1027"/>
              <w:rPr>
                <w:color w:val="000000"/>
              </w:rPr>
            </w:pPr>
            <w:r>
              <w:rPr>
                <w:color w:val="000000"/>
              </w:rPr>
              <w:t xml:space="preserve">软件和信息技术服务业</w:t>
            </w:r>
            <w:r/>
          </w:p>
        </w:tc>
      </w:tr>
      <w:tr>
        <w:trPr>
          <w:cantSplit/>
          <w:trHeight w:val="20"/>
        </w:trPr>
        <w:tc>
          <w:tcPr>
            <w:tcW w:w="736" w:type="dxa"/>
            <w:vAlign w:val="center"/>
            <w:textDirection w:val="lrTb"/>
            <w:noWrap w:val="false"/>
          </w:tcPr>
          <w:p>
            <w:pPr>
              <w:pStyle w:val="1027"/>
              <w:numPr>
                <w:ilvl w:val="0"/>
                <w:numId w:val="5"/>
              </w:numPr>
              <w:rPr>
                <w:color w:val="000000"/>
              </w:rPr>
            </w:pPr>
            <w:r>
              <w:rPr>
                <w:color w:val="000000"/>
              </w:rPr>
            </w:r>
            <w:r/>
          </w:p>
        </w:tc>
        <w:tc>
          <w:tcPr>
            <w:tcW w:w="736" w:type="dxa"/>
            <w:vAlign w:val="center"/>
            <w:vMerge w:val="continue"/>
            <w:textDirection w:val="lrTb"/>
            <w:noWrap w:val="false"/>
          </w:tcPr>
          <w:p>
            <w:pPr>
              <w:pStyle w:val="1027"/>
              <w:rPr>
                <w:color w:val="000000"/>
              </w:rPr>
            </w:pPr>
            <w:r>
              <w:rPr>
                <w:color w:val="000000"/>
              </w:rPr>
            </w:r>
            <w:r/>
          </w:p>
        </w:tc>
        <w:tc>
          <w:tcPr>
            <w:tcW w:w="3342" w:type="dxa"/>
            <w:vAlign w:val="center"/>
            <w:textDirection w:val="lrTb"/>
            <w:noWrap w:val="false"/>
          </w:tcPr>
          <w:p>
            <w:pPr>
              <w:pStyle w:val="1027"/>
              <w:rPr>
                <w:color w:val="000000"/>
              </w:rPr>
            </w:pPr>
            <w:r>
              <w:rPr>
                <w:rFonts w:hint="eastAsia"/>
                <w:color w:val="000000"/>
              </w:rPr>
              <w:t xml:space="preserve">广电小苏智能服务助手</w:t>
            </w:r>
            <w:r>
              <w:rPr>
                <w:color w:val="000000"/>
              </w:rPr>
            </w:r>
            <w:r/>
          </w:p>
        </w:tc>
        <w:tc>
          <w:tcPr>
            <w:tcW w:w="606" w:type="dxa"/>
            <w:vAlign w:val="center"/>
            <w:textDirection w:val="lrTb"/>
            <w:noWrap w:val="false"/>
          </w:tcPr>
          <w:p>
            <w:pPr>
              <w:pStyle w:val="1027"/>
              <w:rPr>
                <w:color w:val="000000"/>
              </w:rPr>
            </w:pPr>
            <w:r>
              <w:rPr>
                <w:color w:val="000000"/>
              </w:rPr>
              <w:t xml:space="preserve">1</w:t>
            </w:r>
            <w:r/>
          </w:p>
        </w:tc>
        <w:tc>
          <w:tcPr>
            <w:tcW w:w="737" w:type="dxa"/>
            <w:vAlign w:val="center"/>
            <w:textDirection w:val="lrTb"/>
            <w:noWrap w:val="false"/>
          </w:tcPr>
          <w:p>
            <w:pPr>
              <w:pStyle w:val="1027"/>
              <w:rPr>
                <w:color w:val="000000"/>
              </w:rPr>
            </w:pPr>
            <w:r>
              <w:rPr>
                <w:color w:val="000000"/>
              </w:rPr>
              <w:t xml:space="preserve">套</w:t>
            </w:r>
            <w:r/>
          </w:p>
        </w:tc>
        <w:tc>
          <w:tcPr>
            <w:tcW w:w="3012" w:type="dxa"/>
            <w:vAlign w:val="center"/>
            <w:textDirection w:val="lrTb"/>
            <w:noWrap w:val="false"/>
          </w:tcPr>
          <w:p>
            <w:pPr>
              <w:pStyle w:val="1027"/>
              <w:rPr>
                <w:color w:val="000000"/>
              </w:rPr>
            </w:pPr>
            <w:r>
              <w:rPr>
                <w:color w:val="000000"/>
              </w:rPr>
              <w:t xml:space="preserve">软件和信息技术服务业</w:t>
            </w:r>
            <w:r/>
          </w:p>
        </w:tc>
      </w:tr>
      <w:tr>
        <w:trPr>
          <w:cantSplit/>
          <w:trHeight w:val="20"/>
        </w:trPr>
        <w:tc>
          <w:tcPr>
            <w:tcW w:w="736" w:type="dxa"/>
            <w:vAlign w:val="center"/>
            <w:textDirection w:val="lrTb"/>
            <w:noWrap w:val="false"/>
          </w:tcPr>
          <w:p>
            <w:pPr>
              <w:pStyle w:val="1027"/>
              <w:numPr>
                <w:ilvl w:val="0"/>
                <w:numId w:val="5"/>
              </w:numPr>
              <w:rPr>
                <w:color w:val="000000"/>
              </w:rPr>
            </w:pPr>
            <w:r>
              <w:rPr>
                <w:color w:val="000000"/>
              </w:rPr>
            </w:r>
            <w:r/>
          </w:p>
        </w:tc>
        <w:tc>
          <w:tcPr>
            <w:tcW w:w="736" w:type="dxa"/>
            <w:vAlign w:val="center"/>
            <w:vMerge w:val="continue"/>
            <w:textDirection w:val="lrTb"/>
            <w:noWrap w:val="false"/>
          </w:tcPr>
          <w:p>
            <w:pPr>
              <w:pStyle w:val="1027"/>
              <w:rPr>
                <w:color w:val="000000"/>
              </w:rPr>
            </w:pPr>
            <w:r>
              <w:rPr>
                <w:color w:val="000000"/>
              </w:rPr>
            </w:r>
            <w:r/>
          </w:p>
        </w:tc>
        <w:tc>
          <w:tcPr>
            <w:tcW w:w="3342" w:type="dxa"/>
            <w:vAlign w:val="center"/>
            <w:textDirection w:val="lrTb"/>
            <w:noWrap w:val="false"/>
          </w:tcPr>
          <w:p>
            <w:pPr>
              <w:pStyle w:val="1027"/>
              <w:rPr>
                <w:color w:val="000000"/>
              </w:rPr>
            </w:pPr>
            <w:r>
              <w:rPr>
                <w:rFonts w:hint="eastAsia"/>
                <w:color w:val="000000"/>
              </w:rPr>
              <w:t xml:space="preserve">数据分析与决策支撑系统</w:t>
            </w:r>
            <w:r>
              <w:rPr>
                <w:color w:val="000000"/>
              </w:rPr>
            </w:r>
            <w:r/>
          </w:p>
        </w:tc>
        <w:tc>
          <w:tcPr>
            <w:tcW w:w="606" w:type="dxa"/>
            <w:vAlign w:val="center"/>
            <w:textDirection w:val="lrTb"/>
            <w:noWrap w:val="false"/>
          </w:tcPr>
          <w:p>
            <w:pPr>
              <w:pStyle w:val="1027"/>
              <w:rPr>
                <w:color w:val="000000"/>
              </w:rPr>
            </w:pPr>
            <w:r>
              <w:rPr>
                <w:color w:val="000000"/>
              </w:rPr>
              <w:t xml:space="preserve">1</w:t>
            </w:r>
            <w:r/>
          </w:p>
        </w:tc>
        <w:tc>
          <w:tcPr>
            <w:tcW w:w="737" w:type="dxa"/>
            <w:vAlign w:val="center"/>
            <w:textDirection w:val="lrTb"/>
            <w:noWrap w:val="false"/>
          </w:tcPr>
          <w:p>
            <w:pPr>
              <w:pStyle w:val="1027"/>
              <w:rPr>
                <w:color w:val="000000"/>
              </w:rPr>
            </w:pPr>
            <w:r>
              <w:rPr>
                <w:color w:val="000000"/>
              </w:rPr>
              <w:t xml:space="preserve">套</w:t>
            </w:r>
            <w:r/>
          </w:p>
        </w:tc>
        <w:tc>
          <w:tcPr>
            <w:tcW w:w="3012" w:type="dxa"/>
            <w:vAlign w:val="center"/>
            <w:textDirection w:val="lrTb"/>
            <w:noWrap w:val="false"/>
          </w:tcPr>
          <w:p>
            <w:pPr>
              <w:pStyle w:val="1027"/>
              <w:rPr>
                <w:color w:val="000000"/>
              </w:rPr>
            </w:pPr>
            <w:r>
              <w:rPr>
                <w:color w:val="000000"/>
              </w:rPr>
              <w:t xml:space="preserve">软件和信息技术服务业</w:t>
            </w:r>
            <w:r/>
          </w:p>
        </w:tc>
      </w:tr>
      <w:tr>
        <w:trPr>
          <w:cantSplit/>
          <w:trHeight w:val="20"/>
        </w:trPr>
        <w:tc>
          <w:tcPr>
            <w:tcW w:w="736" w:type="dxa"/>
            <w:vAlign w:val="center"/>
            <w:textDirection w:val="lrTb"/>
            <w:noWrap w:val="false"/>
          </w:tcPr>
          <w:p>
            <w:pPr>
              <w:pStyle w:val="1027"/>
              <w:numPr>
                <w:ilvl w:val="0"/>
                <w:numId w:val="5"/>
              </w:numPr>
              <w:rPr>
                <w:color w:val="000000"/>
              </w:rPr>
            </w:pPr>
            <w:r>
              <w:rPr>
                <w:color w:val="000000"/>
              </w:rPr>
            </w:r>
            <w:r/>
          </w:p>
        </w:tc>
        <w:tc>
          <w:tcPr>
            <w:tcW w:w="736" w:type="dxa"/>
            <w:vAlign w:val="center"/>
            <w:vMerge w:val="continue"/>
            <w:textDirection w:val="lrTb"/>
            <w:noWrap w:val="false"/>
          </w:tcPr>
          <w:p>
            <w:pPr>
              <w:pStyle w:val="1027"/>
              <w:rPr>
                <w:color w:val="000000"/>
              </w:rPr>
            </w:pPr>
            <w:r>
              <w:rPr>
                <w:color w:val="000000"/>
              </w:rPr>
            </w:r>
            <w:r/>
          </w:p>
        </w:tc>
        <w:tc>
          <w:tcPr>
            <w:tcW w:w="3342" w:type="dxa"/>
            <w:vAlign w:val="center"/>
            <w:textDirection w:val="lrTb"/>
            <w:noWrap w:val="false"/>
          </w:tcPr>
          <w:p>
            <w:pPr>
              <w:pStyle w:val="1027"/>
              <w:rPr>
                <w:color w:val="000000"/>
              </w:rPr>
            </w:pPr>
            <w:r>
              <w:rPr>
                <w:rFonts w:hint="eastAsia"/>
                <w:color w:val="000000"/>
              </w:rPr>
              <w:t xml:space="preserve">应用支撑系统</w:t>
            </w:r>
            <w:r>
              <w:rPr>
                <w:color w:val="000000"/>
              </w:rPr>
            </w:r>
            <w:r/>
          </w:p>
        </w:tc>
        <w:tc>
          <w:tcPr>
            <w:tcW w:w="606" w:type="dxa"/>
            <w:vAlign w:val="center"/>
            <w:textDirection w:val="lrTb"/>
            <w:noWrap w:val="false"/>
          </w:tcPr>
          <w:p>
            <w:pPr>
              <w:pStyle w:val="1027"/>
              <w:rPr>
                <w:color w:val="000000"/>
              </w:rPr>
            </w:pPr>
            <w:r>
              <w:rPr>
                <w:color w:val="000000"/>
              </w:rPr>
              <w:t xml:space="preserve">1</w:t>
            </w:r>
            <w:r/>
          </w:p>
        </w:tc>
        <w:tc>
          <w:tcPr>
            <w:tcW w:w="737" w:type="dxa"/>
            <w:vAlign w:val="center"/>
            <w:textDirection w:val="lrTb"/>
            <w:noWrap w:val="false"/>
          </w:tcPr>
          <w:p>
            <w:pPr>
              <w:pStyle w:val="1027"/>
              <w:rPr>
                <w:color w:val="000000"/>
              </w:rPr>
            </w:pPr>
            <w:r>
              <w:rPr>
                <w:color w:val="000000"/>
              </w:rPr>
              <w:t xml:space="preserve">套</w:t>
            </w:r>
            <w:r/>
          </w:p>
        </w:tc>
        <w:tc>
          <w:tcPr>
            <w:tcW w:w="3012" w:type="dxa"/>
            <w:vAlign w:val="center"/>
            <w:textDirection w:val="lrTb"/>
            <w:noWrap w:val="false"/>
          </w:tcPr>
          <w:p>
            <w:pPr>
              <w:pStyle w:val="1027"/>
              <w:rPr>
                <w:color w:val="000000"/>
              </w:rPr>
            </w:pPr>
            <w:r>
              <w:rPr>
                <w:color w:val="000000"/>
              </w:rPr>
              <w:t xml:space="preserve">软件和信息技术服务业</w:t>
            </w:r>
            <w:r/>
          </w:p>
        </w:tc>
      </w:tr>
      <w:tr>
        <w:trPr>
          <w:trHeight w:val="20"/>
        </w:trPr>
        <w:tc>
          <w:tcPr>
            <w:tcW w:w="736" w:type="dxa"/>
            <w:vAlign w:val="center"/>
            <w:textDirection w:val="lrTb"/>
            <w:noWrap w:val="false"/>
          </w:tcPr>
          <w:p>
            <w:pPr>
              <w:pStyle w:val="1027"/>
              <w:numPr>
                <w:ilvl w:val="0"/>
                <w:numId w:val="5"/>
              </w:numPr>
              <w:rPr>
                <w:color w:val="000000"/>
              </w:rPr>
            </w:pPr>
            <w:r>
              <w:rPr>
                <w:color w:val="000000"/>
              </w:rPr>
            </w:r>
            <w:r/>
          </w:p>
        </w:tc>
        <w:tc>
          <w:tcPr>
            <w:tcW w:w="736" w:type="dxa"/>
            <w:vAlign w:val="center"/>
            <w:textDirection w:val="lrTb"/>
            <w:noWrap w:val="false"/>
          </w:tcPr>
          <w:p>
            <w:pPr>
              <w:pStyle w:val="1027"/>
              <w:rPr>
                <w:color w:val="000000"/>
              </w:rPr>
            </w:pPr>
            <w:r>
              <w:rPr>
                <w:rFonts w:hint="eastAsia"/>
                <w:color w:val="000000"/>
              </w:rPr>
              <w:t xml:space="preserve">标准规范</w:t>
            </w:r>
            <w:r>
              <w:rPr>
                <w:color w:val="000000"/>
              </w:rPr>
            </w:r>
            <w:r/>
          </w:p>
        </w:tc>
        <w:tc>
          <w:tcPr>
            <w:tcW w:w="3342" w:type="dxa"/>
            <w:vAlign w:val="center"/>
            <w:textDirection w:val="lrTb"/>
            <w:noWrap w:val="false"/>
          </w:tcPr>
          <w:p>
            <w:pPr>
              <w:pStyle w:val="1027"/>
              <w:rPr>
                <w:color w:val="000000"/>
              </w:rPr>
            </w:pPr>
            <w:r>
              <w:rPr>
                <w:rFonts w:ascii="宋体" w:hAnsi="宋体" w:cs="宋体"/>
                <w:color w:val="000000"/>
              </w:rPr>
              <w:t xml:space="preserve">标准规范编制</w:t>
            </w:r>
            <w:r>
              <w:rPr>
                <w:color w:val="000000"/>
              </w:rPr>
            </w:r>
            <w:r/>
          </w:p>
        </w:tc>
        <w:tc>
          <w:tcPr>
            <w:tcW w:w="606" w:type="dxa"/>
            <w:vAlign w:val="center"/>
            <w:textDirection w:val="lrTb"/>
            <w:noWrap w:val="false"/>
          </w:tcPr>
          <w:p>
            <w:pPr>
              <w:pStyle w:val="1027"/>
              <w:rPr>
                <w:color w:val="000000"/>
              </w:rPr>
            </w:pPr>
            <w:r>
              <w:rPr>
                <w:rFonts w:hint="eastAsia"/>
                <w:color w:val="000000"/>
              </w:rPr>
              <w:t xml:space="preserve">8</w:t>
            </w:r>
            <w:r>
              <w:rPr>
                <w:color w:val="000000"/>
              </w:rPr>
            </w:r>
            <w:r/>
          </w:p>
        </w:tc>
        <w:tc>
          <w:tcPr>
            <w:tcW w:w="737" w:type="dxa"/>
            <w:vAlign w:val="center"/>
            <w:textDirection w:val="lrTb"/>
            <w:noWrap w:val="false"/>
          </w:tcPr>
          <w:p>
            <w:pPr>
              <w:pStyle w:val="1027"/>
              <w:rPr>
                <w:color w:val="000000"/>
              </w:rPr>
            </w:pPr>
            <w:r>
              <w:rPr>
                <w:rFonts w:hint="eastAsia"/>
                <w:color w:val="000000"/>
              </w:rPr>
              <w:t xml:space="preserve">份</w:t>
            </w:r>
            <w:r>
              <w:rPr>
                <w:color w:val="000000"/>
              </w:rPr>
            </w:r>
            <w:r/>
          </w:p>
        </w:tc>
        <w:tc>
          <w:tcPr>
            <w:tcW w:w="3012" w:type="dxa"/>
            <w:vAlign w:val="center"/>
            <w:textDirection w:val="lrTb"/>
            <w:noWrap w:val="false"/>
          </w:tcPr>
          <w:p>
            <w:pPr>
              <w:pStyle w:val="1027"/>
              <w:rPr>
                <w:color w:val="000000"/>
              </w:rPr>
            </w:pPr>
            <w:r>
              <w:rPr>
                <w:color w:val="000000"/>
              </w:rPr>
              <w:t xml:space="preserve">软件和信息技术服务业</w:t>
            </w:r>
            <w:r/>
          </w:p>
        </w:tc>
      </w:tr>
      <w:tr>
        <w:trPr>
          <w:trHeight w:val="20"/>
        </w:trPr>
        <w:tc>
          <w:tcPr>
            <w:tcW w:w="736" w:type="dxa"/>
            <w:vAlign w:val="center"/>
            <w:textDirection w:val="lrTb"/>
            <w:noWrap w:val="false"/>
          </w:tcPr>
          <w:p>
            <w:pPr>
              <w:pStyle w:val="1027"/>
              <w:numPr>
                <w:ilvl w:val="0"/>
                <w:numId w:val="5"/>
              </w:numPr>
              <w:rPr>
                <w:color w:val="000000"/>
              </w:rPr>
            </w:pPr>
            <w:r>
              <w:rPr>
                <w:color w:val="000000"/>
              </w:rPr>
            </w:r>
            <w:r/>
          </w:p>
        </w:tc>
        <w:tc>
          <w:tcPr>
            <w:tcW w:w="736" w:type="dxa"/>
            <w:vAlign w:val="center"/>
            <w:textDirection w:val="lrTb"/>
            <w:noWrap w:val="false"/>
          </w:tcPr>
          <w:p>
            <w:pPr>
              <w:pStyle w:val="1027"/>
              <w:rPr>
                <w:color w:val="000000"/>
              </w:rPr>
            </w:pPr>
            <w:r>
              <w:rPr>
                <w:rFonts w:hint="eastAsia"/>
                <w:color w:val="000000"/>
              </w:rPr>
              <w:t xml:space="preserve">数据治理</w:t>
            </w:r>
            <w:r>
              <w:rPr>
                <w:color w:val="000000"/>
              </w:rPr>
            </w:r>
            <w:r/>
          </w:p>
        </w:tc>
        <w:tc>
          <w:tcPr>
            <w:tcW w:w="3342" w:type="dxa"/>
            <w:vAlign w:val="center"/>
            <w:textDirection w:val="lrTb"/>
            <w:noWrap w:val="false"/>
          </w:tcPr>
          <w:p>
            <w:pPr>
              <w:pStyle w:val="1027"/>
              <w:rPr>
                <w:rFonts w:ascii="宋体" w:hAnsi="宋体" w:cs="宋体"/>
                <w:color w:val="000000"/>
              </w:rPr>
            </w:pPr>
            <w:r>
              <w:rPr>
                <w:rFonts w:hint="eastAsia" w:ascii="宋体" w:hAnsi="宋体" w:cs="宋体"/>
                <w:color w:val="000000"/>
              </w:rPr>
              <w:t xml:space="preserve">数据治理服务</w:t>
            </w:r>
            <w:r>
              <w:rPr>
                <w:rFonts w:ascii="宋体" w:hAnsi="宋体" w:cs="宋体"/>
                <w:color w:val="000000"/>
              </w:rPr>
            </w:r>
            <w:r/>
          </w:p>
        </w:tc>
        <w:tc>
          <w:tcPr>
            <w:tcW w:w="606" w:type="dxa"/>
            <w:vAlign w:val="center"/>
            <w:textDirection w:val="lrTb"/>
            <w:noWrap w:val="false"/>
          </w:tcPr>
          <w:p>
            <w:pPr>
              <w:pStyle w:val="1027"/>
              <w:rPr>
                <w:color w:val="000000"/>
              </w:rPr>
            </w:pPr>
            <w:r>
              <w:rPr>
                <w:rFonts w:hint="eastAsia"/>
                <w:color w:val="000000"/>
              </w:rPr>
              <w:t xml:space="preserve">1</w:t>
            </w:r>
            <w:r>
              <w:rPr>
                <w:color w:val="000000"/>
              </w:rPr>
            </w:r>
            <w:r/>
          </w:p>
        </w:tc>
        <w:tc>
          <w:tcPr>
            <w:tcW w:w="737" w:type="dxa"/>
            <w:vAlign w:val="center"/>
            <w:textDirection w:val="lrTb"/>
            <w:noWrap w:val="false"/>
          </w:tcPr>
          <w:p>
            <w:pPr>
              <w:pStyle w:val="1027"/>
              <w:rPr>
                <w:color w:val="000000"/>
              </w:rPr>
            </w:pPr>
            <w:r>
              <w:rPr>
                <w:rFonts w:hint="eastAsia"/>
                <w:color w:val="000000"/>
              </w:rPr>
              <w:t xml:space="preserve">套</w:t>
            </w:r>
            <w:r>
              <w:rPr>
                <w:color w:val="000000"/>
              </w:rPr>
            </w:r>
            <w:r/>
          </w:p>
        </w:tc>
        <w:tc>
          <w:tcPr>
            <w:tcW w:w="3012" w:type="dxa"/>
            <w:vAlign w:val="center"/>
            <w:textDirection w:val="lrTb"/>
            <w:noWrap w:val="false"/>
          </w:tcPr>
          <w:p>
            <w:pPr>
              <w:pStyle w:val="1027"/>
              <w:rPr>
                <w:color w:val="000000"/>
              </w:rPr>
            </w:pPr>
            <w:r>
              <w:rPr>
                <w:color w:val="000000"/>
              </w:rPr>
              <w:t xml:space="preserve">软件和信息技术服务业</w:t>
            </w:r>
            <w:r/>
          </w:p>
        </w:tc>
      </w:tr>
    </w:tbl>
    <w:p>
      <w:pPr>
        <w:pStyle w:val="907"/>
        <w:spacing w:line="400" w:lineRule="exact"/>
        <w:rPr>
          <w:rFonts w:ascii="宋体" w:hAnsi="宋体"/>
          <w:color w:val="000000"/>
          <w:sz w:val="24"/>
          <w:szCs w:val="24"/>
        </w:rPr>
      </w:pPr>
      <w:r>
        <w:rPr>
          <w:rFonts w:hint="eastAsia" w:ascii="宋体" w:hAnsi="宋体"/>
          <w:color w:val="000000"/>
          <w:sz w:val="24"/>
          <w:szCs w:val="24"/>
        </w:rPr>
        <w:t xml:space="preserve">项目属性：</w:t>
      </w:r>
      <w:r>
        <w:rPr>
          <w:rFonts w:hint="eastAsia" w:ascii="宋体" w:hAnsi="宋体"/>
          <w:b/>
          <w:bCs/>
          <w:color w:val="000000"/>
          <w:sz w:val="24"/>
          <w:szCs w:val="24"/>
        </w:rPr>
        <w:t xml:space="preserve">服务类项目</w:t>
      </w:r>
      <w:r>
        <w:rPr>
          <w:rFonts w:hint="eastAsia" w:ascii="宋体" w:hAnsi="宋体"/>
          <w:color w:val="000000"/>
          <w:sz w:val="24"/>
          <w:szCs w:val="24"/>
        </w:rPr>
        <w:t xml:space="preserve">。</w:t>
      </w:r>
      <w:r>
        <w:rPr>
          <w:rFonts w:ascii="宋体" w:hAnsi="宋体"/>
          <w:color w:val="000000"/>
          <w:sz w:val="24"/>
          <w:szCs w:val="24"/>
        </w:rPr>
      </w:r>
      <w:r/>
    </w:p>
    <w:p>
      <w:pPr>
        <w:pStyle w:val="907"/>
        <w:spacing w:line="400" w:lineRule="exact"/>
        <w:rPr>
          <w:b/>
          <w:bCs/>
          <w:color w:val="000000"/>
          <w:sz w:val="24"/>
          <w:szCs w:val="22"/>
        </w:rPr>
      </w:pPr>
      <w:r>
        <w:rPr>
          <w:rFonts w:hint="eastAsia" w:ascii="宋体" w:hAnsi="宋体"/>
          <w:color w:val="000000"/>
          <w:sz w:val="24"/>
          <w:szCs w:val="24"/>
        </w:rPr>
        <w:t xml:space="preserve">进口</w:t>
      </w:r>
      <w:r>
        <w:rPr>
          <w:rFonts w:ascii="宋体" w:hAnsi="宋体"/>
          <w:color w:val="000000"/>
          <w:sz w:val="24"/>
          <w:szCs w:val="24"/>
        </w:rPr>
        <w:t xml:space="preserve">产品</w:t>
      </w:r>
      <w:r>
        <w:rPr>
          <w:rFonts w:hint="eastAsia" w:ascii="宋体" w:hAnsi="宋体"/>
          <w:color w:val="000000"/>
          <w:sz w:val="24"/>
          <w:szCs w:val="24"/>
        </w:rPr>
        <w:t xml:space="preserve">投标：</w:t>
      </w:r>
      <w:r>
        <w:rPr>
          <w:b/>
          <w:bCs/>
          <w:color w:val="000000"/>
          <w:sz w:val="24"/>
          <w:szCs w:val="22"/>
        </w:rPr>
        <w:t xml:space="preserve">本项目不接受进口产品投标</w:t>
      </w:r>
      <w:r>
        <w:rPr>
          <w:rFonts w:hint="eastAsia"/>
          <w:b/>
          <w:bCs/>
          <w:color w:val="000000"/>
          <w:sz w:val="24"/>
          <w:szCs w:val="22"/>
        </w:rPr>
        <w:t xml:space="preserve">。</w:t>
      </w:r>
      <w:r>
        <w:rPr>
          <w:b/>
          <w:bCs/>
          <w:color w:val="000000"/>
          <w:sz w:val="24"/>
          <w:szCs w:val="22"/>
        </w:rPr>
      </w:r>
      <w:r/>
    </w:p>
    <w:p>
      <w:pPr>
        <w:pStyle w:val="907"/>
        <w:spacing w:line="560" w:lineRule="exact"/>
        <w:rPr>
          <w:rFonts w:hint="eastAsia" w:ascii="方正魏碑_GBK" w:hAnsi="方正魏碑_GBK" w:eastAsia="方正魏碑_GBK" w:cs="方正魏碑_GBK"/>
          <w:b/>
          <w:color w:val="000000"/>
          <w:sz w:val="24"/>
          <w:szCs w:val="24"/>
        </w:rPr>
      </w:pPr>
      <w:r>
        <w:rPr>
          <w:rFonts w:hint="eastAsia" w:ascii="方正魏碑_GBK" w:hAnsi="方正魏碑_GBK" w:eastAsia="方正魏碑_GBK" w:cs="方正魏碑_GBK"/>
          <w:b/>
          <w:color w:val="000000"/>
          <w:sz w:val="24"/>
          <w:szCs w:val="24"/>
        </w:rPr>
        <w:t xml:space="preserve">政府采购中实施本国产品标准及相关政策</w:t>
      </w:r>
      <w:r/>
    </w:p>
    <w:p>
      <w:pPr>
        <w:pStyle w:val="907"/>
        <w:ind w:firstLine="480"/>
        <w:spacing w:line="400" w:lineRule="exact"/>
        <w:rPr>
          <w:rFonts w:hint="eastAsia"/>
          <w:bCs/>
          <w:color w:val="000000"/>
          <w:sz w:val="24"/>
          <w:szCs w:val="24"/>
          <w:lang w:val="zh-CN"/>
        </w:rPr>
      </w:pPr>
      <w:r>
        <w:rPr>
          <w:rFonts w:hint="eastAsia"/>
          <w:bCs/>
          <w:color w:val="000000"/>
          <w:sz w:val="24"/>
          <w:szCs w:val="24"/>
          <w:lang w:val="zh-CN"/>
        </w:rPr>
        <w:t xml:space="preserve">1.根据《国务院办公厅关于在政府采购中实施本国产品标准及相关政策的通知》（国办发〔2025〕34号）规定，本项目对采购本国产品给予政策支持，具体内容见招标文件“第五章 评标方法与评标标准”。</w:t>
      </w:r>
      <w:r/>
    </w:p>
    <w:p>
      <w:pPr>
        <w:pStyle w:val="907"/>
        <w:ind w:firstLine="480"/>
        <w:spacing w:line="400" w:lineRule="exact"/>
        <w:rPr>
          <w:rFonts w:hint="eastAsia"/>
          <w:bCs/>
          <w:color w:val="000000"/>
          <w:sz w:val="24"/>
          <w:szCs w:val="24"/>
          <w:lang w:val="zh-CN"/>
        </w:rPr>
      </w:pPr>
      <w:r>
        <w:rPr>
          <w:rFonts w:hint="eastAsia"/>
          <w:bCs/>
          <w:color w:val="000000"/>
          <w:sz w:val="24"/>
          <w:szCs w:val="24"/>
          <w:lang w:val="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07"/>
        <w:ind w:firstLine="480"/>
        <w:spacing w:line="400" w:lineRule="exact"/>
        <w:rPr>
          <w:rFonts w:hint="eastAsia"/>
          <w:bCs/>
          <w:color w:val="000000"/>
          <w:sz w:val="24"/>
          <w:szCs w:val="24"/>
          <w:lang w:val="zh-CN"/>
        </w:rPr>
      </w:pPr>
      <w:r>
        <w:rPr>
          <w:rFonts w:hint="eastAsia"/>
          <w:bCs/>
          <w:color w:val="000000"/>
          <w:sz w:val="24"/>
          <w:szCs w:val="24"/>
          <w:lang w:val="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07"/>
        <w:spacing w:line="560" w:lineRule="exact"/>
        <w:rPr>
          <w:rFonts w:hint="eastAsia" w:ascii="宋体" w:hAnsi="宋体"/>
          <w:b/>
          <w:bCs/>
          <w:color w:val="000000"/>
          <w:sz w:val="28"/>
          <w:szCs w:val="28"/>
        </w:rPr>
      </w:pP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或加*号条款为实质性要求。</w:t>
      </w:r>
      <w:r>
        <w:rPr>
          <w:rFonts w:hint="eastAsia" w:ascii="宋体" w:hAnsi="宋体"/>
          <w:b/>
          <w:bCs/>
          <w:color w:val="000000"/>
          <w:sz w:val="28"/>
          <w:szCs w:val="28"/>
        </w:rPr>
      </w:r>
      <w:r/>
    </w:p>
    <w:p>
      <w:pPr>
        <w:pStyle w:val="907"/>
        <w:rPr>
          <w:color w:val="000000"/>
        </w:rPr>
      </w:pPr>
      <w:r>
        <w:rPr>
          <w:color w:val="000000"/>
        </w:rPr>
      </w:r>
      <w:r/>
    </w:p>
    <w:p>
      <w:pPr>
        <w:pStyle w:val="1021"/>
        <w:jc w:val="left"/>
        <w:rPr>
          <w:rFonts w:ascii="Times New Roman" w:eastAsia="宋体"/>
          <w:b/>
          <w:bCs/>
          <w:color w:val="000000"/>
        </w:rPr>
      </w:pPr>
      <w:r/>
      <w:bookmarkEnd w:id="194"/>
      <w:r/>
      <w:bookmarkStart w:id="195" w:name="_Toc178262586"/>
      <w:r>
        <w:rPr>
          <w:rFonts w:ascii="Times New Roman" w:eastAsia="宋体"/>
          <w:b/>
          <w:bCs/>
          <w:color w:val="000000"/>
        </w:rPr>
        <w:t xml:space="preserve">二、技术要求</w:t>
      </w:r>
      <w:r/>
    </w:p>
    <w:p>
      <w:pPr>
        <w:pStyle w:val="907"/>
        <w:ind w:firstLine="480"/>
        <w:spacing w:line="400" w:lineRule="exact"/>
        <w:rPr>
          <w:bCs/>
          <w:color w:val="000000"/>
          <w:sz w:val="24"/>
          <w:szCs w:val="24"/>
          <w:lang w:val="zh-CN"/>
        </w:rPr>
      </w:pPr>
      <w:r>
        <w:rPr>
          <w:rFonts w:hint="eastAsia"/>
          <w:bCs/>
          <w:color w:val="000000"/>
          <w:sz w:val="24"/>
          <w:szCs w:val="24"/>
          <w:lang w:val="zh-CN"/>
        </w:rPr>
        <w:t xml:space="preserve">技术要求是指对采购标的功能和质量要求，包括软件系统的设计、研发、</w:t>
      </w:r>
      <w:r>
        <w:rPr>
          <w:rFonts w:hint="eastAsia"/>
          <w:bCs/>
          <w:color w:val="000000"/>
          <w:sz w:val="24"/>
          <w:szCs w:val="24"/>
        </w:rPr>
        <w:t xml:space="preserve">部署</w:t>
      </w:r>
      <w:r>
        <w:rPr>
          <w:rFonts w:hint="eastAsia"/>
          <w:bCs/>
          <w:color w:val="000000"/>
          <w:sz w:val="24"/>
          <w:szCs w:val="24"/>
          <w:lang w:val="zh-CN"/>
        </w:rPr>
        <w:t xml:space="preserve">、测试、运维，</w:t>
      </w:r>
      <w:r>
        <w:rPr>
          <w:rFonts w:hint="eastAsia"/>
          <w:bCs/>
          <w:color w:val="000000"/>
          <w:sz w:val="24"/>
          <w:szCs w:val="24"/>
        </w:rPr>
        <w:t xml:space="preserve">标准规范编制和数据治理</w:t>
      </w:r>
      <w:r>
        <w:rPr>
          <w:rFonts w:hint="eastAsia"/>
          <w:bCs/>
          <w:color w:val="000000"/>
          <w:sz w:val="24"/>
          <w:szCs w:val="24"/>
          <w:lang w:val="zh-CN"/>
        </w:rPr>
        <w:t xml:space="preserve">等服务内容和标准。其中打▲号为重要指标，</w:t>
      </w:r>
      <w:r>
        <w:rPr>
          <w:rFonts w:hint="eastAsia"/>
          <w:bCs/>
          <w:color w:val="000000"/>
          <w:sz w:val="24"/>
          <w:szCs w:val="24"/>
        </w:rPr>
        <w:t xml:space="preserve">应答必须提供相关证明材料</w:t>
      </w:r>
      <w:r>
        <w:rPr>
          <w:rFonts w:hint="eastAsia"/>
          <w:b/>
          <w:bCs/>
          <w:color w:val="000000"/>
          <w:sz w:val="24"/>
        </w:rPr>
        <w:t xml:space="preserve">。</w:t>
      </w:r>
      <w:r>
        <w:rPr>
          <w:bCs/>
          <w:color w:val="000000"/>
          <w:sz w:val="24"/>
          <w:szCs w:val="24"/>
          <w:lang w:val="zh-CN"/>
        </w:rPr>
      </w:r>
      <w:r/>
    </w:p>
    <w:p>
      <w:pPr>
        <w:pStyle w:val="1023"/>
        <w:numPr>
          <w:ilvl w:val="2"/>
          <w:numId w:val="6"/>
        </w:numPr>
        <w:jc w:val="left"/>
        <w:spacing w:before="0" w:after="0" w:line="360" w:lineRule="auto"/>
        <w:tabs>
          <w:tab w:val="left" w:pos="0" w:leader="none"/>
        </w:tabs>
        <w:rPr>
          <w:rFonts w:ascii="Times New Roman" w:hAnsi="Times New Roman" w:eastAsia="宋体"/>
          <w:color w:val="000000"/>
          <w:sz w:val="24"/>
          <w:szCs w:val="24"/>
        </w:rPr>
      </w:pPr>
      <w:r/>
      <w:bookmarkStart w:id="196" w:name="_Toc65222083"/>
      <w:r/>
      <w:bookmarkStart w:id="197" w:name="_Toc2091"/>
      <w:r/>
      <w:bookmarkStart w:id="198" w:name="_Toc55391738"/>
      <w:r>
        <w:rPr>
          <w:rFonts w:ascii="Times New Roman" w:hAnsi="Times New Roman" w:eastAsia="宋体"/>
          <w:color w:val="000000"/>
          <w:sz w:val="24"/>
          <w:szCs w:val="24"/>
        </w:rPr>
        <w:t xml:space="preserve">总体建设</w:t>
      </w:r>
      <w:bookmarkEnd w:id="196"/>
      <w:r/>
      <w:bookmarkEnd w:id="197"/>
      <w:r/>
      <w:bookmarkEnd w:id="198"/>
      <w:r>
        <w:rPr>
          <w:rFonts w:ascii="Times New Roman" w:hAnsi="Times New Roman" w:eastAsia="宋体"/>
          <w:color w:val="000000"/>
          <w:sz w:val="24"/>
          <w:szCs w:val="24"/>
        </w:rPr>
        <w:t xml:space="preserve">要求</w:t>
      </w:r>
      <w:r/>
    </w:p>
    <w:p>
      <w:pPr>
        <w:pStyle w:val="1025"/>
        <w:numPr>
          <w:ilvl w:val="3"/>
          <w:numId w:val="6"/>
        </w:numPr>
        <w:jc w:val="left"/>
        <w:spacing w:before="0" w:after="0" w:line="360" w:lineRule="auto"/>
        <w:widowControl/>
        <w:rPr>
          <w:color w:val="000000"/>
          <w:sz w:val="24"/>
          <w:szCs w:val="24"/>
        </w:rPr>
      </w:pPr>
      <w:r>
        <w:rPr>
          <w:rFonts w:hint="eastAsia"/>
          <w:color w:val="000000"/>
          <w:sz w:val="24"/>
          <w:szCs w:val="24"/>
        </w:rPr>
        <w:t xml:space="preserve">总体架构</w:t>
      </w:r>
      <w:r>
        <w:rPr>
          <w:color w:val="000000"/>
          <w:sz w:val="24"/>
          <w:szCs w:val="24"/>
        </w:rPr>
      </w:r>
      <w:r/>
    </w:p>
    <w:p>
      <w:pPr>
        <w:pStyle w:val="907"/>
        <w:ind w:firstLine="480"/>
        <w:spacing w:line="400" w:lineRule="exact"/>
        <w:rPr>
          <w:bCs/>
          <w:color w:val="000000"/>
          <w:sz w:val="24"/>
          <w:szCs w:val="24"/>
          <w:highlight w:val="yellow"/>
        </w:rPr>
      </w:pPr>
      <w:r>
        <w:rPr>
          <w:rFonts w:hint="eastAsia"/>
          <w:bCs/>
          <w:color w:val="000000"/>
          <w:sz w:val="24"/>
          <w:szCs w:val="24"/>
          <w:lang w:val="zh-CN"/>
        </w:rPr>
        <w:t xml:space="preserve">本项目</w:t>
      </w:r>
      <w:r>
        <w:rPr>
          <w:rFonts w:hint="eastAsia"/>
          <w:bCs/>
          <w:color w:val="000000"/>
          <w:sz w:val="24"/>
          <w:szCs w:val="24"/>
        </w:rPr>
        <w:t xml:space="preserve">新建包括一体化平台、机构与企业管理应用系统、内容生产服务与审核应用系统等相关系统模块</w:t>
      </w:r>
      <w:r>
        <w:rPr>
          <w:rFonts w:hint="eastAsia"/>
          <w:bCs/>
          <w:color w:val="000000"/>
          <w:sz w:val="24"/>
          <w:szCs w:val="24"/>
          <w:lang w:val="zh-CN"/>
        </w:rPr>
        <w:t xml:space="preserve">，</w:t>
      </w:r>
      <w:r>
        <w:rPr>
          <w:rFonts w:hint="eastAsia"/>
          <w:bCs/>
          <w:color w:val="000000"/>
          <w:sz w:val="24"/>
          <w:szCs w:val="24"/>
        </w:rPr>
        <w:t xml:space="preserve">并</w:t>
      </w:r>
      <w:r>
        <w:rPr>
          <w:rFonts w:hint="eastAsia"/>
          <w:bCs/>
          <w:color w:val="000000"/>
          <w:sz w:val="24"/>
          <w:szCs w:val="24"/>
          <w:lang w:val="zh-CN"/>
        </w:rPr>
        <w:t xml:space="preserve">依托省政务云构建分层解耦的技术架构，通过统一复用公共能力避免重复建设，确保新旧系统的协同运行。系统全面支持PC Web端、移动端及可视化大屏等多终端适配，实现界面交互与实际业务场景的深度融合。</w:t>
      </w:r>
      <w:r>
        <w:rPr>
          <w:bCs/>
          <w:color w:val="000000"/>
          <w:sz w:val="24"/>
          <w:szCs w:val="24"/>
          <w:highlight w:val="yellow"/>
        </w:rPr>
      </w:r>
      <w:r/>
    </w:p>
    <w:p>
      <w:pPr>
        <w:pStyle w:val="907"/>
        <w:ind w:firstLine="480"/>
        <w:spacing w:line="400" w:lineRule="exact"/>
        <w:rPr>
          <w:bCs/>
          <w:color w:val="000000"/>
          <w:sz w:val="24"/>
          <w:szCs w:val="24"/>
          <w:lang w:val="zh-CN"/>
        </w:rPr>
      </w:pPr>
      <w:r>
        <w:rPr>
          <w:bCs/>
          <w:color w:val="000000"/>
          <w:sz w:val="24"/>
          <w:szCs w:val="24"/>
          <w:lang w:val="zh-CN"/>
        </w:rPr>
        <w:t xml:space="preserve">中标方应对总体逻辑架构、网络安全架构、应用部署架构</w:t>
      </w:r>
      <w:r>
        <w:rPr>
          <w:rFonts w:hint="eastAsia"/>
          <w:bCs/>
          <w:color w:val="000000"/>
          <w:sz w:val="24"/>
          <w:szCs w:val="24"/>
          <w:lang w:val="zh-CN"/>
        </w:rPr>
        <w:t xml:space="preserve">、</w:t>
      </w:r>
      <w:r>
        <w:rPr>
          <w:rFonts w:hint="eastAsia"/>
          <w:bCs/>
          <w:color w:val="000000"/>
          <w:sz w:val="24"/>
          <w:szCs w:val="24"/>
        </w:rPr>
        <w:t xml:space="preserve">用户体系及权限</w:t>
      </w:r>
      <w:r>
        <w:rPr>
          <w:bCs/>
          <w:color w:val="000000"/>
          <w:sz w:val="24"/>
          <w:szCs w:val="24"/>
          <w:lang w:val="zh-CN"/>
        </w:rPr>
        <w:t xml:space="preserve">等进行详细设计和说明，充分考虑功能、业务、网络、安全等各方面因素，达到安全、高效、先进、易用、可扩展的目标。</w:t>
      </w:r>
      <w:r/>
    </w:p>
    <w:p>
      <w:pPr>
        <w:pStyle w:val="907"/>
        <w:ind w:firstLine="480"/>
        <w:spacing w:line="400" w:lineRule="exact"/>
        <w:rPr>
          <w:bCs/>
          <w:color w:val="000000"/>
          <w:sz w:val="24"/>
          <w:szCs w:val="24"/>
          <w:highlight w:val="yellow"/>
          <w:lang w:val="zh-CN"/>
        </w:rPr>
      </w:pPr>
      <w:r>
        <w:rPr>
          <w:bCs/>
          <w:color w:val="000000"/>
          <w:sz w:val="24"/>
          <w:szCs w:val="24"/>
          <w:highlight w:val="yellow"/>
          <w:lang w:val="zh-CN"/>
        </w:rPr>
      </w:r>
      <w:r/>
    </w:p>
    <w:p>
      <w:pPr>
        <w:pStyle w:val="1025"/>
        <w:numPr>
          <w:ilvl w:val="3"/>
          <w:numId w:val="6"/>
        </w:numPr>
        <w:jc w:val="left"/>
        <w:spacing w:before="0" w:after="0" w:line="360" w:lineRule="auto"/>
        <w:widowControl/>
        <w:rPr>
          <w:color w:val="000000"/>
          <w:sz w:val="24"/>
          <w:szCs w:val="24"/>
        </w:rPr>
      </w:pPr>
      <w:r>
        <w:rPr>
          <w:rFonts w:hint="eastAsia"/>
          <w:color w:val="000000"/>
          <w:sz w:val="24"/>
          <w:szCs w:val="24"/>
        </w:rPr>
        <w:t xml:space="preserve">平台建设</w:t>
      </w:r>
      <w:r>
        <w:rPr>
          <w:color w:val="000000"/>
          <w:sz w:val="24"/>
          <w:szCs w:val="24"/>
        </w:rPr>
      </w:r>
      <w:r/>
    </w:p>
    <w:p>
      <w:pPr>
        <w:pStyle w:val="907"/>
        <w:ind w:firstLine="480"/>
        <w:spacing w:line="400" w:lineRule="exact"/>
        <w:rPr>
          <w:bCs/>
          <w:color w:val="000000"/>
        </w:rPr>
      </w:pPr>
      <w:r>
        <w:rPr>
          <w:bCs/>
          <w:color w:val="000000"/>
          <w:sz w:val="24"/>
          <w:szCs w:val="24"/>
        </w:rPr>
        <w:t xml:space="preserve">本项目为</w:t>
      </w:r>
      <w:r>
        <w:rPr>
          <w:rFonts w:hint="eastAsia"/>
          <w:bCs/>
          <w:color w:val="000000"/>
          <w:sz w:val="24"/>
          <w:szCs w:val="24"/>
        </w:rPr>
        <w:t xml:space="preserve">软件平台建设类</w:t>
      </w:r>
      <w:r>
        <w:rPr>
          <w:bCs/>
          <w:color w:val="000000"/>
          <w:sz w:val="24"/>
          <w:szCs w:val="24"/>
        </w:rPr>
        <w:t xml:space="preserve">项目，</w:t>
      </w:r>
      <w:r>
        <w:rPr>
          <w:rFonts w:hint="eastAsia"/>
          <w:bCs/>
          <w:color w:val="000000"/>
          <w:sz w:val="24"/>
          <w:szCs w:val="24"/>
        </w:rPr>
        <w:t xml:space="preserve">中标人</w:t>
      </w:r>
      <w:r>
        <w:rPr>
          <w:bCs/>
          <w:color w:val="000000"/>
          <w:sz w:val="24"/>
          <w:szCs w:val="24"/>
        </w:rPr>
        <w:t xml:space="preserve">需承担整体兜底责任，</w:t>
      </w:r>
      <w:r>
        <w:rPr>
          <w:rFonts w:hint="eastAsia"/>
          <w:bCs/>
          <w:color w:val="000000"/>
          <w:sz w:val="24"/>
          <w:szCs w:val="24"/>
          <w:lang w:val="zh-CN"/>
        </w:rPr>
        <w:t xml:space="preserve">负责</w:t>
      </w:r>
      <w:r>
        <w:rPr>
          <w:rFonts w:hint="eastAsia"/>
          <w:bCs/>
          <w:color w:val="000000"/>
          <w:sz w:val="24"/>
          <w:szCs w:val="24"/>
        </w:rPr>
        <w:t xml:space="preserve">本</w:t>
      </w:r>
      <w:r>
        <w:rPr>
          <w:rFonts w:hint="eastAsia"/>
          <w:bCs/>
          <w:color w:val="000000"/>
          <w:sz w:val="24"/>
          <w:szCs w:val="24"/>
          <w:lang w:val="zh-CN"/>
        </w:rPr>
        <w:t xml:space="preserve">项目</w:t>
      </w:r>
      <w:r>
        <w:rPr>
          <w:rFonts w:hint="eastAsia"/>
          <w:bCs/>
          <w:color w:val="000000"/>
          <w:sz w:val="24"/>
          <w:szCs w:val="24"/>
        </w:rPr>
        <w:t xml:space="preserve">的建设实施</w:t>
      </w:r>
      <w:r>
        <w:rPr>
          <w:rFonts w:hint="eastAsia"/>
          <w:bCs/>
          <w:color w:val="000000"/>
          <w:sz w:val="24"/>
          <w:szCs w:val="24"/>
          <w:lang w:val="zh-CN"/>
        </w:rPr>
        <w:t xml:space="preserve">与统一运维，承担全部对接、联调、数据适配工作，确保各应用系统安全、稳定地接入一体化平台。系统通过统一身份认证、消息待办及组织权限管理，实现了多终端的互联互通与高效协同。</w:t>
      </w:r>
      <w:r>
        <w:rPr>
          <w:bCs/>
          <w:color w:val="000000"/>
        </w:rPr>
      </w:r>
      <w:r/>
    </w:p>
    <w:p>
      <w:pPr>
        <w:pStyle w:val="907"/>
        <w:ind w:firstLine="480"/>
        <w:spacing w:line="400" w:lineRule="exact"/>
        <w:rPr>
          <w:b/>
          <w:color w:val="000000"/>
          <w:sz w:val="24"/>
          <w:szCs w:val="24"/>
          <w:lang w:val="zh-CN"/>
        </w:rPr>
      </w:pPr>
      <w:r>
        <w:rPr>
          <w:b/>
          <w:color w:val="000000"/>
          <w:sz w:val="24"/>
          <w:szCs w:val="24"/>
          <w:lang w:val="zh-CN"/>
        </w:rPr>
        <w:t xml:space="preserve">▲本项目的一体化平台应具备统一身份认证能力，支持接入应用系统统一用户认证，并支持用户一次登录后访问其已授权的应用系统，无需重复登录。</w:t>
      </w:r>
      <w:r>
        <w:rPr>
          <w:rFonts w:hint="eastAsia"/>
          <w:b/>
          <w:color w:val="000000"/>
          <w:sz w:val="24"/>
          <w:szCs w:val="24"/>
          <w:lang w:val="zh-CN"/>
        </w:rPr>
        <w:t xml:space="preserve">（</w:t>
      </w:r>
      <w:r>
        <w:rPr>
          <w:b/>
          <w:color w:val="000000"/>
          <w:sz w:val="24"/>
          <w:szCs w:val="24"/>
          <w:lang w:val="zh-CN"/>
        </w:rPr>
        <w:t xml:space="preserve">投标人提供</w:t>
      </w:r>
      <w:r>
        <w:rPr>
          <w:rFonts w:hint="eastAsia"/>
          <w:b/>
          <w:color w:val="000000"/>
          <w:sz w:val="24"/>
          <w:szCs w:val="24"/>
          <w:lang w:val="zh-CN"/>
        </w:rPr>
        <w:t xml:space="preserve">的软件界面截图应至少包含：一体化平台</w:t>
      </w:r>
      <w:r>
        <w:rPr>
          <w:b/>
          <w:color w:val="000000"/>
          <w:sz w:val="24"/>
          <w:szCs w:val="24"/>
          <w:lang w:val="zh-CN"/>
        </w:rPr>
        <w:t xml:space="preserve">登录界面、应用</w:t>
      </w:r>
      <w:r>
        <w:rPr>
          <w:rFonts w:hint="eastAsia"/>
          <w:b/>
          <w:color w:val="000000"/>
          <w:sz w:val="24"/>
          <w:szCs w:val="24"/>
          <w:lang w:val="zh-CN"/>
        </w:rPr>
        <w:t xml:space="preserve">聚合</w:t>
      </w:r>
      <w:r>
        <w:rPr>
          <w:b/>
          <w:color w:val="000000"/>
          <w:sz w:val="24"/>
          <w:szCs w:val="24"/>
          <w:lang w:val="zh-CN"/>
        </w:rPr>
        <w:t xml:space="preserve">管理</w:t>
      </w:r>
      <w:r>
        <w:rPr>
          <w:rFonts w:hint="eastAsia"/>
          <w:b/>
          <w:color w:val="000000"/>
          <w:sz w:val="24"/>
          <w:szCs w:val="24"/>
          <w:lang w:val="zh-CN"/>
        </w:rPr>
        <w:t xml:space="preserve">界面，并加盖投标人公章）</w:t>
      </w:r>
      <w:r>
        <w:rPr>
          <w:b/>
          <w:color w:val="000000"/>
          <w:sz w:val="24"/>
          <w:szCs w:val="24"/>
          <w:lang w:val="zh-CN"/>
        </w:rPr>
      </w:r>
      <w:r/>
    </w:p>
    <w:p>
      <w:pPr>
        <w:pStyle w:val="907"/>
        <w:ind w:firstLine="480"/>
        <w:spacing w:line="400" w:lineRule="exact"/>
        <w:rPr>
          <w:bCs/>
          <w:color w:val="000000"/>
          <w:sz w:val="24"/>
          <w:szCs w:val="24"/>
          <w:lang w:val="zh-CN"/>
        </w:rPr>
      </w:pPr>
      <w:r>
        <w:rPr>
          <w:bCs/>
          <w:color w:val="000000"/>
          <w:sz w:val="24"/>
          <w:szCs w:val="24"/>
          <w:lang w:val="zh-CN"/>
        </w:rPr>
        <w:t xml:space="preserve">本项目的一体化平台应具备统一消息和待办集成能力，支持汇聚各接入应用系统的消息及待办事项，至少展示事项来源、事项标题、接收时间和办理状态，并支持从统一待办页面跳转至对应业务系统办理。</w:t>
      </w:r>
      <w:r/>
    </w:p>
    <w:p>
      <w:pPr>
        <w:pStyle w:val="907"/>
        <w:ind w:firstLine="480"/>
        <w:spacing w:line="400" w:lineRule="exact"/>
        <w:rPr>
          <w:bCs/>
          <w:color w:val="000000"/>
          <w:sz w:val="24"/>
          <w:szCs w:val="24"/>
          <w:lang w:val="zh-CN"/>
        </w:rPr>
      </w:pPr>
      <w:r>
        <w:rPr>
          <w:bCs/>
          <w:color w:val="000000"/>
          <w:sz w:val="24"/>
          <w:szCs w:val="24"/>
          <w:lang w:val="zh-CN"/>
        </w:rPr>
        <w:t xml:space="preserve">本项目的一体化平台应具备统一组织和权限管理能力，支持组织机构、用户、角色及应用访问权限的集中管理，并支持向接入应用系统同步组织和用户信息。</w:t>
      </w:r>
      <w:r/>
    </w:p>
    <w:p>
      <w:pPr>
        <w:pStyle w:val="1025"/>
        <w:numPr>
          <w:ilvl w:val="3"/>
          <w:numId w:val="6"/>
        </w:numPr>
        <w:jc w:val="left"/>
        <w:spacing w:before="0" w:after="0" w:line="360" w:lineRule="auto"/>
        <w:widowControl/>
        <w:rPr>
          <w:bCs w:val="0"/>
          <w:color w:val="000000"/>
          <w:sz w:val="24"/>
          <w:szCs w:val="24"/>
          <w:lang w:val="zh-CN"/>
        </w:rPr>
      </w:pPr>
      <w:r>
        <w:rPr>
          <w:rFonts w:hint="eastAsia"/>
          <w:bCs w:val="0"/>
          <w:color w:val="000000"/>
          <w:sz w:val="24"/>
          <w:szCs w:val="24"/>
          <w:lang w:val="zh-CN"/>
        </w:rPr>
        <w:t xml:space="preserve">数据与接口</w:t>
      </w:r>
      <w:r>
        <w:rPr>
          <w:bCs w:val="0"/>
          <w:color w:val="000000"/>
          <w:sz w:val="24"/>
          <w:szCs w:val="24"/>
          <w:lang w:val="zh-CN"/>
        </w:rPr>
      </w:r>
      <w:r/>
    </w:p>
    <w:p>
      <w:pPr>
        <w:pStyle w:val="907"/>
        <w:ind w:firstLine="480"/>
        <w:spacing w:line="400" w:lineRule="exact"/>
        <w:rPr>
          <w:bCs/>
          <w:color w:val="000000"/>
          <w:sz w:val="24"/>
          <w:szCs w:val="24"/>
          <w:lang w:val="zh-CN"/>
        </w:rPr>
      </w:pPr>
      <w:r>
        <w:rPr>
          <w:rFonts w:hint="eastAsia"/>
          <w:bCs/>
          <w:color w:val="000000"/>
          <w:sz w:val="24"/>
          <w:szCs w:val="24"/>
        </w:rPr>
        <w:t xml:space="preserve">通过构建全流程数据治理体系，实现数据资源统一汇聚、规范管理、质量提升和共享利用。通过建设九大主题库和数据服务能力，提升数据资源利用水平和跨业务协同能力。</w:t>
      </w:r>
      <w:r>
        <w:rPr>
          <w:bCs/>
          <w:color w:val="000000"/>
          <w:sz w:val="24"/>
          <w:szCs w:val="24"/>
          <w:lang w:val="zh-CN"/>
        </w:rPr>
      </w:r>
      <w:r/>
    </w:p>
    <w:p>
      <w:pPr>
        <w:pStyle w:val="907"/>
        <w:ind w:firstLine="480"/>
        <w:spacing w:line="400" w:lineRule="exact"/>
        <w:rPr>
          <w:bCs/>
          <w:color w:val="000000"/>
          <w:sz w:val="24"/>
          <w:szCs w:val="24"/>
          <w:lang w:val="zh-CN"/>
        </w:rPr>
      </w:pPr>
      <w:r>
        <w:rPr>
          <w:rFonts w:hint="eastAsia"/>
          <w:bCs/>
          <w:color w:val="000000"/>
          <w:sz w:val="24"/>
          <w:szCs w:val="24"/>
          <w:lang w:val="zh-CN"/>
        </w:rPr>
        <w:t xml:space="preserve">系统通过统一接口管理机制与HTTPS、Token鉴权等多重防护，确保接口调用的安全、规范与可审计。同时，依托统一的数据交换标准与全过程追溯能力，</w:t>
      </w:r>
      <w:r>
        <w:rPr>
          <w:rFonts w:hint="eastAsia"/>
          <w:bCs/>
          <w:color w:val="000000"/>
          <w:sz w:val="24"/>
          <w:szCs w:val="24"/>
        </w:rPr>
        <w:t xml:space="preserve">确保</w:t>
      </w:r>
      <w:r>
        <w:rPr>
          <w:rFonts w:hint="eastAsia"/>
          <w:bCs/>
          <w:color w:val="000000"/>
          <w:sz w:val="24"/>
          <w:szCs w:val="24"/>
          <w:lang w:val="zh-CN"/>
        </w:rPr>
        <w:t xml:space="preserve">跨系统数据的一致性、完整性，并全面支撑数据治理体系的建设。</w:t>
      </w:r>
      <w:r>
        <w:rPr>
          <w:bCs/>
          <w:color w:val="000000"/>
          <w:sz w:val="24"/>
          <w:szCs w:val="24"/>
          <w:lang w:val="zh-CN"/>
        </w:rPr>
      </w:r>
      <w:r/>
    </w:p>
    <w:p>
      <w:pPr>
        <w:pStyle w:val="1025"/>
        <w:numPr>
          <w:ilvl w:val="3"/>
          <w:numId w:val="6"/>
        </w:numPr>
        <w:jc w:val="left"/>
        <w:spacing w:before="0" w:after="0" w:line="360" w:lineRule="auto"/>
        <w:widowControl/>
        <w:rPr>
          <w:bCs w:val="0"/>
          <w:color w:val="000000"/>
          <w:sz w:val="24"/>
          <w:szCs w:val="24"/>
          <w:lang w:val="zh-CN"/>
        </w:rPr>
      </w:pPr>
      <w:r>
        <w:rPr>
          <w:rFonts w:hint="eastAsia"/>
          <w:bCs w:val="0"/>
          <w:color w:val="000000"/>
          <w:sz w:val="24"/>
          <w:szCs w:val="24"/>
        </w:rPr>
        <w:t xml:space="preserve">国产化</w:t>
      </w:r>
      <w:r>
        <w:rPr>
          <w:rFonts w:hint="eastAsia"/>
          <w:bCs w:val="0"/>
          <w:color w:val="000000"/>
          <w:sz w:val="24"/>
          <w:szCs w:val="24"/>
          <w:lang w:val="zh-CN"/>
        </w:rPr>
        <w:t xml:space="preserve">与部署</w:t>
      </w:r>
      <w:r>
        <w:rPr>
          <w:bCs w:val="0"/>
          <w:color w:val="000000"/>
          <w:sz w:val="24"/>
          <w:szCs w:val="24"/>
          <w:lang w:val="zh-CN"/>
        </w:rPr>
      </w:r>
      <w:r/>
    </w:p>
    <w:p>
      <w:pPr>
        <w:pStyle w:val="907"/>
        <w:ind w:firstLine="480"/>
        <w:spacing w:line="400" w:lineRule="exact"/>
        <w:rPr>
          <w:bCs/>
          <w:color w:val="000000"/>
          <w:sz w:val="24"/>
          <w:szCs w:val="24"/>
          <w:lang w:val="zh-CN"/>
        </w:rPr>
      </w:pPr>
      <w:r>
        <w:rPr>
          <w:rFonts w:hint="eastAsia"/>
          <w:bCs/>
          <w:color w:val="000000"/>
          <w:sz w:val="24"/>
          <w:szCs w:val="24"/>
          <w:lang w:val="zh-CN"/>
        </w:rPr>
        <w:t xml:space="preserve">系统依托省政务云进行高可用部署，确保业务的连续稳定运行。系统应适配本项目实际采用的国产化软硬件环境</w:t>
      </w:r>
      <w:r>
        <w:rPr>
          <w:rFonts w:hint="eastAsia"/>
          <w:bCs/>
          <w:color w:val="000000"/>
          <w:sz w:val="24"/>
          <w:szCs w:val="24"/>
        </w:rPr>
        <w:t xml:space="preserve">并</w:t>
      </w:r>
      <w:r>
        <w:rPr>
          <w:rFonts w:hint="eastAsia"/>
          <w:bCs/>
          <w:color w:val="000000"/>
          <w:sz w:val="24"/>
          <w:szCs w:val="24"/>
          <w:lang w:val="zh-CN"/>
        </w:rPr>
        <w:t xml:space="preserve">采用</w:t>
      </w:r>
      <w:r>
        <w:rPr>
          <w:rFonts w:hint="eastAsia"/>
          <w:bCs/>
          <w:color w:val="000000"/>
          <w:sz w:val="24"/>
          <w:szCs w:val="24"/>
        </w:rPr>
        <w:t xml:space="preserve">主流</w:t>
      </w:r>
      <w:r>
        <w:rPr>
          <w:rFonts w:hint="eastAsia"/>
          <w:bCs/>
          <w:color w:val="000000"/>
          <w:sz w:val="24"/>
          <w:szCs w:val="24"/>
          <w:lang w:val="zh-CN"/>
        </w:rPr>
        <w:t xml:space="preserve">的开发框架和开发平台，为后续的扩展、</w:t>
      </w:r>
      <w:r>
        <w:rPr>
          <w:rFonts w:hint="eastAsia"/>
          <w:bCs/>
          <w:color w:val="000000"/>
          <w:sz w:val="24"/>
          <w:szCs w:val="24"/>
        </w:rPr>
        <w:t xml:space="preserve">升级、</w:t>
      </w:r>
      <w:r>
        <w:rPr>
          <w:rFonts w:hint="eastAsia"/>
          <w:bCs/>
          <w:color w:val="000000"/>
          <w:sz w:val="24"/>
          <w:szCs w:val="24"/>
          <w:lang w:val="zh-CN"/>
        </w:rPr>
        <w:t xml:space="preserve">迁移提供良好的兼容性支撑。</w:t>
      </w:r>
      <w:r>
        <w:rPr>
          <w:bCs/>
          <w:color w:val="000000"/>
          <w:sz w:val="24"/>
          <w:szCs w:val="24"/>
          <w:lang w:val="zh-CN"/>
        </w:rPr>
      </w:r>
      <w:r/>
    </w:p>
    <w:p>
      <w:pPr>
        <w:pStyle w:val="1025"/>
        <w:numPr>
          <w:ilvl w:val="3"/>
          <w:numId w:val="6"/>
        </w:numPr>
        <w:jc w:val="left"/>
        <w:spacing w:before="0" w:after="0" w:line="360" w:lineRule="auto"/>
        <w:widowControl/>
        <w:rPr>
          <w:bCs w:val="0"/>
          <w:color w:val="000000"/>
          <w:sz w:val="24"/>
          <w:szCs w:val="24"/>
          <w:lang w:val="zh-CN"/>
        </w:rPr>
      </w:pPr>
      <w:r>
        <w:rPr>
          <w:rFonts w:hint="eastAsia"/>
          <w:bCs w:val="0"/>
          <w:color w:val="000000"/>
          <w:sz w:val="24"/>
          <w:szCs w:val="24"/>
          <w:lang w:val="zh-CN"/>
        </w:rPr>
        <w:t xml:space="preserve">性能与可靠性</w:t>
      </w:r>
      <w:r>
        <w:rPr>
          <w:bCs w:val="0"/>
          <w:color w:val="000000"/>
          <w:sz w:val="24"/>
          <w:szCs w:val="24"/>
          <w:lang w:val="zh-CN"/>
        </w:rPr>
      </w:r>
      <w:r/>
    </w:p>
    <w:p>
      <w:pPr>
        <w:pStyle w:val="907"/>
        <w:ind w:firstLine="480"/>
        <w:spacing w:line="400" w:lineRule="exact"/>
        <w:rPr>
          <w:bCs/>
          <w:color w:val="000000"/>
          <w:sz w:val="24"/>
          <w:szCs w:val="24"/>
        </w:rPr>
      </w:pPr>
      <w:r>
        <w:rPr>
          <w:rFonts w:hint="eastAsia"/>
          <w:bCs/>
          <w:color w:val="000000"/>
          <w:sz w:val="24"/>
          <w:szCs w:val="24"/>
          <w:lang w:val="zh-CN"/>
        </w:rPr>
        <w:t xml:space="preserve">系统</w:t>
      </w:r>
      <w:r>
        <w:rPr>
          <w:rFonts w:hint="eastAsia"/>
          <w:bCs/>
          <w:color w:val="000000"/>
          <w:sz w:val="24"/>
          <w:szCs w:val="24"/>
        </w:rPr>
        <w:t xml:space="preserve">满足500人的并发响应能力，普通页面访问、表单提交、信息查询等在线交互业务整体响应时间不超过3秒。</w:t>
      </w:r>
      <w:r>
        <w:rPr>
          <w:bCs/>
          <w:color w:val="000000"/>
          <w:sz w:val="24"/>
          <w:szCs w:val="24"/>
        </w:rPr>
      </w:r>
      <w:r/>
    </w:p>
    <w:p>
      <w:pPr>
        <w:pStyle w:val="907"/>
        <w:ind w:firstLine="480"/>
        <w:spacing w:line="400" w:lineRule="exact"/>
        <w:rPr>
          <w:bCs/>
          <w:color w:val="000000"/>
          <w:sz w:val="24"/>
          <w:szCs w:val="24"/>
        </w:rPr>
      </w:pPr>
      <w:r>
        <w:rPr>
          <w:rFonts w:hint="eastAsia"/>
          <w:bCs/>
          <w:color w:val="000000"/>
          <w:sz w:val="24"/>
          <w:szCs w:val="24"/>
        </w:rPr>
        <w:t xml:space="preserve">用户平时业务处理平均</w:t>
      </w:r>
      <w:r>
        <w:rPr>
          <w:rFonts w:hint="eastAsia"/>
          <w:bCs/>
          <w:color w:val="000000"/>
          <w:sz w:val="24"/>
          <w:szCs w:val="24"/>
          <w:lang w:val="zh-CN"/>
        </w:rPr>
        <w:t xml:space="preserve">响应</w:t>
      </w:r>
      <w:r>
        <w:rPr>
          <w:rFonts w:hint="eastAsia"/>
          <w:bCs/>
          <w:color w:val="000000"/>
          <w:sz w:val="24"/>
          <w:szCs w:val="24"/>
        </w:rPr>
        <w:t xml:space="preserve">时间不超过2秒</w:t>
      </w:r>
      <w:r>
        <w:rPr>
          <w:rFonts w:hint="eastAsia"/>
          <w:bCs/>
          <w:color w:val="000000"/>
          <w:sz w:val="24"/>
          <w:szCs w:val="24"/>
          <w:lang w:val="zh-CN"/>
        </w:rPr>
        <w:t xml:space="preserve">，</w:t>
      </w:r>
      <w:r>
        <w:rPr>
          <w:rFonts w:hint="eastAsia"/>
          <w:bCs/>
          <w:color w:val="000000"/>
          <w:sz w:val="24"/>
          <w:szCs w:val="24"/>
        </w:rPr>
        <w:t xml:space="preserve">峰值响应时间不超过5秒。</w:t>
      </w:r>
      <w:r>
        <w:rPr>
          <w:bCs/>
          <w:color w:val="000000"/>
          <w:sz w:val="24"/>
          <w:szCs w:val="24"/>
        </w:rPr>
      </w:r>
      <w:r/>
    </w:p>
    <w:p>
      <w:pPr>
        <w:pStyle w:val="907"/>
        <w:ind w:firstLine="480"/>
        <w:spacing w:line="400" w:lineRule="exact"/>
        <w:rPr>
          <w:bCs/>
          <w:color w:val="000000"/>
          <w:sz w:val="24"/>
          <w:szCs w:val="24"/>
        </w:rPr>
      </w:pPr>
      <w:r>
        <w:rPr>
          <w:rFonts w:hint="eastAsia"/>
          <w:bCs/>
          <w:color w:val="000000"/>
          <w:sz w:val="24"/>
          <w:szCs w:val="24"/>
          <w:lang w:val="zh-CN"/>
        </w:rPr>
        <w:t xml:space="preserve">支持大文件分片续传与视频异步处理，并具备满足未来业务增长的横向扩展能力。</w:t>
      </w:r>
      <w:r>
        <w:rPr>
          <w:rFonts w:hint="eastAsia"/>
          <w:bCs/>
          <w:color w:val="000000"/>
          <w:sz w:val="24"/>
          <w:szCs w:val="24"/>
        </w:rPr>
        <w:t xml:space="preserve">单个分片上传请求响应时间不超过3秒，实时反映视频上传进度、速度、剩余时间及异常提示，页面交互响应时间不超过3秒，视频文件基础校验不超过5秒。</w:t>
      </w:r>
      <w:r>
        <w:rPr>
          <w:bCs/>
          <w:color w:val="000000"/>
          <w:sz w:val="24"/>
          <w:szCs w:val="24"/>
        </w:rPr>
      </w:r>
      <w:r/>
    </w:p>
    <w:p>
      <w:pPr>
        <w:pStyle w:val="907"/>
        <w:ind w:firstLine="480"/>
        <w:spacing w:line="400" w:lineRule="exact"/>
        <w:rPr>
          <w:bCs/>
          <w:color w:val="000000"/>
          <w:sz w:val="24"/>
          <w:szCs w:val="24"/>
        </w:rPr>
      </w:pPr>
      <w:r>
        <w:rPr>
          <w:rFonts w:hint="eastAsia"/>
          <w:bCs/>
          <w:color w:val="000000"/>
          <w:sz w:val="24"/>
          <w:szCs w:val="24"/>
        </w:rPr>
        <w:t xml:space="preserve">支持大文件传输与存储，大文件上传支持大于10GB，文件断点续传重试成功率大于99.99%，文件预览打开时间不超过3秒，图片缩略图加载不超过5秒。</w:t>
      </w:r>
      <w:r>
        <w:rPr>
          <w:bCs/>
          <w:color w:val="000000"/>
          <w:sz w:val="24"/>
          <w:szCs w:val="24"/>
        </w:rPr>
      </w:r>
      <w:r/>
    </w:p>
    <w:p>
      <w:pPr>
        <w:pStyle w:val="907"/>
        <w:ind w:firstLine="480"/>
        <w:spacing w:line="400" w:lineRule="exact"/>
        <w:rPr>
          <w:bCs/>
          <w:i/>
          <w:iCs/>
          <w:color w:val="000000"/>
          <w:sz w:val="24"/>
          <w:szCs w:val="24"/>
          <w:u w:val="single"/>
          <w:lang w:val="zh-CN"/>
        </w:rPr>
      </w:pPr>
      <w:r>
        <w:rPr>
          <w:rFonts w:hint="eastAsia"/>
          <w:bCs/>
          <w:color w:val="000000"/>
          <w:sz w:val="24"/>
          <w:szCs w:val="24"/>
          <w:lang w:val="zh-CN"/>
        </w:rPr>
        <w:t xml:space="preserve">同时，系统拥有完善的统一监控与可维护机制，</w:t>
      </w:r>
      <w:r>
        <w:rPr>
          <w:rFonts w:hint="eastAsia"/>
          <w:b/>
          <w:color w:val="000000"/>
          <w:sz w:val="24"/>
          <w:szCs w:val="24"/>
          <w:lang w:val="zh-CN"/>
        </w:rPr>
        <w:t xml:space="preserve">▲支持7×24小时连续运行，全年可用率不低于99.99%，</w:t>
      </w:r>
      <w:r>
        <w:rPr>
          <w:rFonts w:hint="eastAsia"/>
          <w:b/>
          <w:color w:val="000000"/>
          <w:sz w:val="24"/>
          <w:szCs w:val="24"/>
        </w:rPr>
        <w:t xml:space="preserve">平均故障修复时间不超过1小时，</w:t>
      </w:r>
      <w:r>
        <w:rPr>
          <w:rFonts w:hint="eastAsia"/>
          <w:b/>
          <w:color w:val="000000"/>
          <w:sz w:val="24"/>
          <w:szCs w:val="24"/>
          <w:lang w:val="zh-CN"/>
        </w:rPr>
        <w:t xml:space="preserve">确保整体的高稳定与高可靠性。（投标人需提供承诺函，并加盖投标人公章）</w:t>
      </w:r>
      <w:r>
        <w:rPr>
          <w:bCs/>
          <w:i/>
          <w:iCs/>
          <w:color w:val="000000"/>
          <w:sz w:val="24"/>
          <w:szCs w:val="24"/>
          <w:u w:val="single"/>
          <w:lang w:val="zh-CN"/>
        </w:rPr>
      </w:r>
      <w:r/>
    </w:p>
    <w:p>
      <w:pPr>
        <w:pStyle w:val="1025"/>
        <w:numPr>
          <w:ilvl w:val="3"/>
          <w:numId w:val="6"/>
        </w:numPr>
        <w:jc w:val="left"/>
        <w:spacing w:before="0" w:after="0" w:line="360" w:lineRule="auto"/>
        <w:widowControl/>
        <w:rPr>
          <w:bCs w:val="0"/>
          <w:color w:val="000000"/>
          <w:sz w:val="24"/>
          <w:szCs w:val="24"/>
          <w:lang w:val="zh-CN"/>
        </w:rPr>
      </w:pPr>
      <w:r>
        <w:rPr>
          <w:rFonts w:hint="eastAsia"/>
          <w:bCs w:val="0"/>
          <w:color w:val="000000"/>
          <w:sz w:val="24"/>
          <w:szCs w:val="24"/>
          <w:lang w:val="zh-CN"/>
        </w:rPr>
        <w:t xml:space="preserve">系统运维</w:t>
      </w:r>
      <w:r>
        <w:rPr>
          <w:bCs w:val="0"/>
          <w:color w:val="000000"/>
          <w:sz w:val="24"/>
          <w:szCs w:val="24"/>
          <w:lang w:val="zh-CN"/>
        </w:rPr>
      </w:r>
      <w:r/>
    </w:p>
    <w:p>
      <w:pPr>
        <w:pStyle w:val="907"/>
        <w:ind w:firstLine="480"/>
        <w:spacing w:line="400" w:lineRule="exact"/>
        <w:rPr>
          <w:bCs/>
          <w:color w:val="000000"/>
          <w:sz w:val="24"/>
          <w:szCs w:val="24"/>
          <w:lang w:val="zh-CN"/>
        </w:rPr>
      </w:pPr>
      <w:r>
        <w:rPr>
          <w:rFonts w:hint="eastAsia"/>
          <w:bCs/>
          <w:color w:val="000000"/>
          <w:sz w:val="24"/>
          <w:szCs w:val="24"/>
          <w:lang w:val="zh-CN"/>
        </w:rPr>
        <w:t xml:space="preserve">系统全面接入统一运维工单体系，实现全链路日志的留存，严格按照省政务云要求落实数据备份与恢复验证，</w:t>
      </w:r>
      <w:r>
        <w:rPr>
          <w:rFonts w:hint="eastAsia"/>
          <w:bCs/>
          <w:color w:val="000000"/>
          <w:sz w:val="24"/>
          <w:szCs w:val="24"/>
        </w:rPr>
        <w:t xml:space="preserve">确保</w:t>
      </w:r>
      <w:r>
        <w:rPr>
          <w:rFonts w:hint="eastAsia"/>
          <w:bCs/>
          <w:color w:val="000000"/>
          <w:sz w:val="24"/>
          <w:szCs w:val="24"/>
          <w:lang w:val="zh-CN"/>
        </w:rPr>
        <w:t xml:space="preserve">业务的连续性与可追溯性。</w:t>
      </w:r>
      <w:r>
        <w:rPr>
          <w:bCs/>
          <w:color w:val="000000"/>
          <w:sz w:val="24"/>
          <w:szCs w:val="24"/>
          <w:lang w:val="zh-CN"/>
        </w:rPr>
      </w:r>
      <w:r/>
    </w:p>
    <w:p>
      <w:pPr>
        <w:pStyle w:val="1025"/>
        <w:numPr>
          <w:ilvl w:val="3"/>
          <w:numId w:val="6"/>
        </w:numPr>
        <w:jc w:val="left"/>
        <w:spacing w:before="0" w:after="0" w:line="360" w:lineRule="auto"/>
        <w:widowControl/>
        <w:rPr>
          <w:bCs w:val="0"/>
          <w:color w:val="000000"/>
          <w:sz w:val="24"/>
          <w:szCs w:val="24"/>
          <w:lang w:val="zh-CN"/>
        </w:rPr>
      </w:pPr>
      <w:r>
        <w:rPr>
          <w:rFonts w:hint="eastAsia"/>
          <w:bCs w:val="0"/>
          <w:color w:val="000000"/>
          <w:sz w:val="24"/>
          <w:szCs w:val="24"/>
          <w:lang w:val="zh-CN"/>
        </w:rPr>
        <w:t xml:space="preserve">实施与验收</w:t>
      </w:r>
      <w:r>
        <w:rPr>
          <w:bCs w:val="0"/>
          <w:color w:val="000000"/>
          <w:sz w:val="24"/>
          <w:szCs w:val="24"/>
          <w:lang w:val="zh-CN"/>
        </w:rPr>
      </w:r>
      <w:r/>
    </w:p>
    <w:p>
      <w:pPr>
        <w:pStyle w:val="907"/>
        <w:ind w:firstLine="480"/>
        <w:spacing w:line="400" w:lineRule="exact"/>
        <w:rPr>
          <w:bCs/>
          <w:color w:val="000000"/>
          <w:sz w:val="24"/>
          <w:szCs w:val="24"/>
          <w:lang w:val="zh-CN"/>
        </w:rPr>
      </w:pPr>
      <w:r>
        <w:rPr>
          <w:rFonts w:hint="eastAsia"/>
          <w:bCs/>
          <w:color w:val="000000"/>
          <w:sz w:val="24"/>
          <w:szCs w:val="24"/>
          <w:lang w:val="zh-CN"/>
        </w:rPr>
        <w:t xml:space="preserve">投标人负责从需求调研、设计开发到全链路测试的完整交付，并配合第三方完成各项测试与验收追溯。同时，系统需制定严密的数据迁移方案，面向各类角色提供全面的培训与文档支持，确保项目平稳落地与高效运维。</w:t>
      </w:r>
      <w:r>
        <w:rPr>
          <w:bCs/>
          <w:color w:val="000000"/>
          <w:sz w:val="24"/>
          <w:szCs w:val="24"/>
          <w:lang w:val="zh-CN"/>
        </w:rPr>
      </w:r>
      <w:r/>
    </w:p>
    <w:p>
      <w:pPr>
        <w:pStyle w:val="1025"/>
        <w:numPr>
          <w:ilvl w:val="3"/>
          <w:numId w:val="6"/>
        </w:numPr>
        <w:jc w:val="left"/>
        <w:spacing w:before="0" w:after="0" w:line="360" w:lineRule="auto"/>
        <w:widowControl/>
        <w:rPr>
          <w:bCs w:val="0"/>
          <w:color w:val="000000"/>
          <w:sz w:val="24"/>
          <w:szCs w:val="24"/>
          <w:lang w:val="zh-CN"/>
        </w:rPr>
      </w:pPr>
      <w:r>
        <w:rPr>
          <w:rFonts w:hint="eastAsia"/>
          <w:bCs w:val="0"/>
          <w:color w:val="000000"/>
          <w:sz w:val="24"/>
          <w:szCs w:val="24"/>
        </w:rPr>
        <w:t xml:space="preserve">安全系统建设</w:t>
      </w:r>
      <w:r>
        <w:rPr>
          <w:bCs w:val="0"/>
          <w:color w:val="000000"/>
          <w:sz w:val="24"/>
          <w:szCs w:val="24"/>
          <w:lang w:val="zh-CN"/>
        </w:rPr>
      </w:r>
      <w:r/>
    </w:p>
    <w:p>
      <w:pPr>
        <w:pStyle w:val="907"/>
        <w:ind w:firstLine="480"/>
        <w:spacing w:line="400" w:lineRule="exact"/>
        <w:rPr>
          <w:bCs/>
          <w:color w:val="000000"/>
          <w:sz w:val="24"/>
          <w:szCs w:val="24"/>
        </w:rPr>
      </w:pPr>
      <w:r>
        <w:rPr>
          <w:rFonts w:hint="eastAsia"/>
          <w:bCs/>
          <w:color w:val="000000"/>
          <w:sz w:val="24"/>
          <w:szCs w:val="24"/>
        </w:rPr>
        <w:t xml:space="preserve">本项目建设应符合三级等级保护、三级密码评估及网络安全、数据安全相关要求。</w:t>
      </w:r>
      <w:r>
        <w:rPr>
          <w:bCs/>
          <w:color w:val="000000"/>
          <w:sz w:val="24"/>
          <w:szCs w:val="24"/>
        </w:rPr>
      </w:r>
      <w:r/>
    </w:p>
    <w:p>
      <w:pPr>
        <w:pStyle w:val="1023"/>
        <w:numPr>
          <w:ilvl w:val="2"/>
          <w:numId w:val="6"/>
        </w:numPr>
        <w:jc w:val="left"/>
        <w:spacing w:before="0" w:after="0" w:line="360" w:lineRule="auto"/>
        <w:tabs>
          <w:tab w:val="left" w:pos="0" w:leader="none"/>
        </w:tabs>
        <w:rPr>
          <w:rFonts w:ascii="Times New Roman" w:hAnsi="Times New Roman" w:eastAsia="宋体"/>
          <w:color w:val="000000"/>
          <w:sz w:val="24"/>
          <w:szCs w:val="24"/>
        </w:rPr>
      </w:pPr>
      <w:r>
        <w:rPr>
          <w:rFonts w:hint="eastAsia" w:ascii="Times New Roman" w:hAnsi="Times New Roman" w:eastAsia="宋体"/>
          <w:color w:val="000000"/>
          <w:sz w:val="24"/>
          <w:szCs w:val="24"/>
        </w:rPr>
        <w:t xml:space="preserve">功能性要求</w:t>
      </w:r>
      <w:r>
        <w:rPr>
          <w:rFonts w:ascii="Times New Roman" w:hAnsi="Times New Roman" w:eastAsia="宋体"/>
          <w:color w:val="000000"/>
          <w:sz w:val="24"/>
          <w:szCs w:val="24"/>
        </w:rPr>
      </w:r>
      <w:r/>
    </w:p>
    <w:p>
      <w:pPr>
        <w:pStyle w:val="1025"/>
        <w:numPr>
          <w:ilvl w:val="3"/>
          <w:numId w:val="6"/>
        </w:numPr>
        <w:jc w:val="left"/>
        <w:spacing w:before="0" w:after="0" w:line="360" w:lineRule="auto"/>
        <w:widowControl/>
        <w:rPr>
          <w:color w:val="000000"/>
          <w:sz w:val="24"/>
          <w:szCs w:val="24"/>
        </w:rPr>
      </w:pPr>
      <w:r/>
      <w:bookmarkStart w:id="199" w:name="_Toc232428451"/>
      <w:r>
        <w:rPr>
          <w:rFonts w:hint="eastAsia"/>
          <w:color w:val="000000"/>
          <w:sz w:val="24"/>
          <w:szCs w:val="24"/>
        </w:rPr>
        <w:t xml:space="preserve">一体化平台</w:t>
      </w:r>
      <w:bookmarkEnd w:id="199"/>
      <w:r>
        <w:rPr>
          <w:color w:val="000000"/>
          <w:sz w:val="24"/>
          <w:szCs w:val="24"/>
        </w:rPr>
      </w:r>
      <w:r/>
    </w:p>
    <w:p>
      <w:pPr>
        <w:pStyle w:val="907"/>
        <w:ind w:firstLine="480"/>
        <w:spacing w:line="400" w:lineRule="exact"/>
        <w:rPr>
          <w:bCs/>
          <w:color w:val="000000"/>
          <w:sz w:val="24"/>
          <w:szCs w:val="24"/>
          <w:lang w:val="zh-CN"/>
        </w:rPr>
      </w:pPr>
      <w:r/>
      <w:bookmarkStart w:id="200" w:name="_Toc218592765"/>
      <w:r>
        <w:rPr>
          <w:rFonts w:hint="eastAsia"/>
          <w:bCs/>
          <w:color w:val="000000"/>
          <w:sz w:val="24"/>
          <w:szCs w:val="24"/>
          <w:lang w:val="zh-CN"/>
        </w:rPr>
        <w:t xml:space="preserve">江苏数字广电一体化平台旨在</w:t>
      </w:r>
      <w:r>
        <w:rPr>
          <w:rFonts w:hint="eastAsia"/>
          <w:bCs/>
          <w:color w:val="000000"/>
          <w:sz w:val="24"/>
          <w:szCs w:val="24"/>
        </w:rPr>
        <w:t xml:space="preserve">打破信息孤岛、</w:t>
      </w:r>
      <w:r>
        <w:rPr>
          <w:rFonts w:hint="eastAsia"/>
          <w:bCs/>
          <w:color w:val="000000"/>
          <w:sz w:val="24"/>
          <w:szCs w:val="24"/>
          <w:lang w:val="zh-CN"/>
        </w:rPr>
        <w:t xml:space="preserve">整合分散系统资源，实现“一次登录、全系统畅游”的统一入口与协同办公。</w:t>
      </w:r>
      <w:r>
        <w:rPr>
          <w:bCs/>
          <w:color w:val="000000"/>
          <w:sz w:val="24"/>
          <w:szCs w:val="24"/>
          <w:lang w:val="zh-CN"/>
        </w:rPr>
      </w:r>
      <w:r/>
    </w:p>
    <w:p>
      <w:pPr>
        <w:pStyle w:val="1025"/>
        <w:numPr>
          <w:ilvl w:val="0"/>
          <w:numId w:val="7"/>
        </w:numPr>
        <w:ind w:left="0" w:firstLine="0"/>
        <w:jc w:val="left"/>
        <w:spacing w:before="0" w:after="0" w:line="400" w:lineRule="exact"/>
        <w:widowControl/>
        <w:rPr>
          <w:bCs w:val="0"/>
          <w:color w:val="000000"/>
          <w:sz w:val="24"/>
          <w:szCs w:val="24"/>
        </w:rPr>
        <w:outlineLvl w:val="3"/>
      </w:pPr>
      <w:r/>
      <w:bookmarkEnd w:id="200"/>
      <w:r/>
      <w:bookmarkStart w:id="201" w:name="_Toc22868"/>
      <w:r>
        <w:rPr>
          <w:rFonts w:hint="eastAsia"/>
          <w:bCs w:val="0"/>
          <w:color w:val="000000"/>
          <w:sz w:val="24"/>
          <w:szCs w:val="24"/>
        </w:rPr>
        <w:t xml:space="preserve">网页</w:t>
      </w:r>
      <w:r>
        <w:rPr>
          <w:bCs w:val="0"/>
          <w:color w:val="000000"/>
          <w:sz w:val="24"/>
          <w:szCs w:val="24"/>
        </w:rPr>
        <w:t xml:space="preserve">端</w:t>
      </w:r>
      <w:bookmarkEnd w:id="201"/>
      <w:r>
        <w:rPr>
          <w:rFonts w:hint="eastAsia"/>
          <w:bCs w:val="0"/>
          <w:color w:val="000000"/>
          <w:sz w:val="24"/>
          <w:szCs w:val="24"/>
        </w:rPr>
        <w:t xml:space="preserve">需求</w:t>
      </w:r>
      <w:r>
        <w:rPr>
          <w:bCs w:val="0"/>
          <w:color w:val="000000"/>
          <w:sz w:val="24"/>
          <w:szCs w:val="24"/>
        </w:rPr>
      </w:r>
      <w:r/>
    </w:p>
    <w:p>
      <w:pPr>
        <w:pStyle w:val="907"/>
        <w:ind w:firstLine="480"/>
        <w:spacing w:line="400" w:lineRule="exact"/>
        <w:rPr>
          <w:bCs/>
          <w:color w:val="000000"/>
          <w:sz w:val="24"/>
          <w:szCs w:val="24"/>
          <w:lang w:val="zh-CN"/>
        </w:rPr>
      </w:pPr>
      <w:r>
        <w:rPr>
          <w:rFonts w:hint="eastAsia"/>
          <w:bCs/>
          <w:color w:val="000000"/>
          <w:sz w:val="24"/>
          <w:szCs w:val="24"/>
          <w:lang w:val="zh-CN"/>
        </w:rPr>
        <w:t xml:space="preserve">建设互联网桌面端统一工作入口，提供</w:t>
      </w:r>
      <w:r>
        <w:rPr>
          <w:rFonts w:hint="eastAsia"/>
          <w:bCs/>
          <w:color w:val="000000"/>
          <w:sz w:val="24"/>
          <w:szCs w:val="24"/>
        </w:rPr>
        <w:t xml:space="preserve">包括但不限于：</w:t>
      </w:r>
      <w:r>
        <w:rPr>
          <w:rFonts w:hint="eastAsia"/>
          <w:bCs/>
          <w:color w:val="000000"/>
          <w:sz w:val="24"/>
          <w:szCs w:val="24"/>
          <w:lang w:val="zh-CN"/>
        </w:rPr>
        <w:t xml:space="preserve">统一的用户管理体系和登录验证服务，实现</w:t>
      </w:r>
      <w:r>
        <w:rPr>
          <w:rFonts w:hint="eastAsia"/>
          <w:bCs/>
          <w:color w:val="000000"/>
          <w:sz w:val="24"/>
          <w:szCs w:val="24"/>
        </w:rPr>
        <w:t xml:space="preserve">统一</w:t>
      </w:r>
      <w:r>
        <w:rPr>
          <w:rFonts w:hint="eastAsia"/>
          <w:bCs/>
          <w:color w:val="000000"/>
          <w:sz w:val="24"/>
          <w:szCs w:val="24"/>
          <w:lang w:val="zh-CN"/>
        </w:rPr>
        <w:t xml:space="preserve">身份认证、单点登录、签到考勤、身份管理及集中审计等功能；在统一门户中集中展示个人待办事项、局内新闻动态等信息，汇聚行政审批、科技产业管理、节目和内容监管等各业务系统关键数据，满足工作人员对各信息系统便捷使用及安全性管控的需求，最终实现一次登录、全局统览、跨系统无缝访问。</w:t>
      </w:r>
      <w:r>
        <w:rPr>
          <w:bCs/>
          <w:color w:val="000000"/>
          <w:sz w:val="24"/>
          <w:szCs w:val="24"/>
          <w:lang w:val="zh-CN"/>
        </w:rPr>
      </w:r>
      <w:r/>
    </w:p>
    <w:p>
      <w:pPr>
        <w:pStyle w:val="1025"/>
        <w:numPr>
          <w:ilvl w:val="0"/>
          <w:numId w:val="7"/>
        </w:numPr>
        <w:ind w:left="0" w:firstLine="0"/>
        <w:jc w:val="left"/>
        <w:spacing w:before="0" w:after="0" w:line="400" w:lineRule="exact"/>
        <w:widowControl/>
        <w:rPr>
          <w:bCs w:val="0"/>
          <w:color w:val="000000"/>
          <w:sz w:val="24"/>
          <w:szCs w:val="24"/>
        </w:rPr>
        <w:outlineLvl w:val="3"/>
      </w:pPr>
      <w:r>
        <w:rPr>
          <w:rFonts w:hint="eastAsia"/>
          <w:bCs w:val="0"/>
          <w:color w:val="000000"/>
          <w:sz w:val="24"/>
          <w:szCs w:val="24"/>
        </w:rPr>
        <w:t xml:space="preserve">移动端（数字广电APP）需求</w:t>
      </w:r>
      <w:r>
        <w:rPr>
          <w:bCs w:val="0"/>
          <w:color w:val="000000"/>
          <w:sz w:val="24"/>
          <w:szCs w:val="24"/>
        </w:rPr>
      </w:r>
      <w:r/>
    </w:p>
    <w:p>
      <w:pPr>
        <w:pStyle w:val="907"/>
        <w:ind w:firstLine="480"/>
        <w:spacing w:line="400" w:lineRule="exact"/>
        <w:rPr>
          <w:bCs/>
          <w:color w:val="000000"/>
          <w:sz w:val="24"/>
          <w:szCs w:val="24"/>
          <w:lang w:val="zh-CN"/>
        </w:rPr>
      </w:pPr>
      <w:r>
        <w:rPr>
          <w:rFonts w:hint="eastAsia"/>
          <w:bCs/>
          <w:color w:val="000000"/>
          <w:sz w:val="24"/>
          <w:szCs w:val="24"/>
          <w:lang w:val="zh-CN"/>
        </w:rPr>
        <w:t xml:space="preserve">建设数字广电APP，总体采用“统一入口、模块化集成、数据互通”的设计理念，与一体化平台网页端共用统一认证、用户管理、权限管理等基础能力，提供</w:t>
      </w:r>
      <w:r>
        <w:rPr>
          <w:rFonts w:hint="eastAsia"/>
          <w:bCs/>
          <w:color w:val="000000"/>
          <w:sz w:val="24"/>
          <w:szCs w:val="24"/>
        </w:rPr>
        <w:t xml:space="preserve">包括但不限于：</w:t>
      </w:r>
      <w:r>
        <w:rPr>
          <w:rFonts w:hint="eastAsia"/>
          <w:bCs/>
          <w:color w:val="000000"/>
          <w:sz w:val="24"/>
          <w:szCs w:val="24"/>
          <w:lang w:val="zh-CN"/>
        </w:rPr>
        <w:t xml:space="preserve">PC端与移动端数据同步及业务协同；客户端应聚焦移动场景下高频、轻量、即时性的业务需求，对网页端核心功能进行移动端适配优化，提供运维工单、协同工作日历等移动特色功能；</w:t>
      </w:r>
      <w:r>
        <w:rPr>
          <w:rFonts w:hint="eastAsia"/>
          <w:bCs/>
          <w:color w:val="000000"/>
          <w:sz w:val="24"/>
          <w:szCs w:val="24"/>
        </w:rPr>
        <w:t xml:space="preserve">设置首页、业务查询、苏服拍、我的等底部Tab导航，</w:t>
      </w:r>
      <w:r>
        <w:rPr>
          <w:rFonts w:hint="eastAsia"/>
          <w:bCs/>
          <w:color w:val="000000"/>
          <w:sz w:val="24"/>
          <w:szCs w:val="24"/>
          <w:lang w:val="zh-CN"/>
        </w:rPr>
        <w:t xml:space="preserve">确保各业务功能在移动端的可用性与完整性。</w:t>
      </w:r>
      <w:r>
        <w:rPr>
          <w:bCs/>
          <w:color w:val="000000"/>
          <w:sz w:val="24"/>
          <w:szCs w:val="24"/>
          <w:lang w:val="zh-CN"/>
        </w:rPr>
      </w:r>
      <w:r/>
    </w:p>
    <w:p>
      <w:pPr>
        <w:pStyle w:val="1025"/>
        <w:numPr>
          <w:ilvl w:val="3"/>
          <w:numId w:val="6"/>
        </w:numPr>
        <w:jc w:val="left"/>
        <w:spacing w:before="0" w:after="0" w:line="360" w:lineRule="auto"/>
        <w:widowControl/>
        <w:rPr>
          <w:color w:val="000000"/>
          <w:sz w:val="24"/>
          <w:szCs w:val="24"/>
        </w:rPr>
      </w:pPr>
      <w:r/>
      <w:bookmarkStart w:id="202" w:name="_Toc232428452"/>
      <w:r>
        <w:rPr>
          <w:rFonts w:hint="eastAsia"/>
          <w:color w:val="000000"/>
          <w:sz w:val="24"/>
          <w:szCs w:val="24"/>
        </w:rPr>
        <w:t xml:space="preserve">机构与企业管理应用系统</w:t>
      </w:r>
      <w:bookmarkEnd w:id="202"/>
      <w:r>
        <w:rPr>
          <w:color w:val="000000"/>
          <w:sz w:val="24"/>
          <w:szCs w:val="24"/>
        </w:rPr>
      </w:r>
      <w:r/>
    </w:p>
    <w:p>
      <w:pPr>
        <w:pStyle w:val="907"/>
        <w:ind w:firstLine="480"/>
        <w:spacing w:line="400" w:lineRule="exact"/>
        <w:rPr>
          <w:bCs/>
          <w:color w:val="000000"/>
          <w:sz w:val="24"/>
          <w:szCs w:val="24"/>
          <w:lang w:val="zh-CN"/>
        </w:rPr>
      </w:pPr>
      <w:r>
        <w:rPr>
          <w:rFonts w:hint="eastAsia"/>
          <w:bCs/>
          <w:color w:val="000000"/>
          <w:sz w:val="24"/>
          <w:szCs w:val="24"/>
          <w:lang w:val="zh-CN"/>
        </w:rPr>
        <w:t xml:space="preserve">提供机构信息管理功能，涵盖播出机构、传输机构和制作机构的基础信息维护及播出机构年度运营评估数据管理。提供</w:t>
      </w:r>
      <w:r>
        <w:rPr>
          <w:rFonts w:hint="eastAsia"/>
          <w:bCs/>
          <w:color w:val="000000"/>
          <w:sz w:val="24"/>
          <w:szCs w:val="24"/>
        </w:rPr>
        <w:t xml:space="preserve">包括但不限于：</w:t>
      </w:r>
      <w:r>
        <w:rPr>
          <w:rFonts w:hint="eastAsia"/>
          <w:bCs/>
          <w:color w:val="000000"/>
          <w:sz w:val="24"/>
          <w:szCs w:val="24"/>
          <w:lang w:val="zh-CN"/>
        </w:rPr>
        <w:t xml:space="preserve">播出机构和传输机构信息支持信息</w:t>
      </w:r>
      <w:r>
        <w:rPr>
          <w:rFonts w:hint="eastAsia"/>
          <w:bCs/>
          <w:color w:val="000000"/>
          <w:sz w:val="24"/>
          <w:szCs w:val="24"/>
        </w:rPr>
        <w:t xml:space="preserve">维护</w:t>
      </w:r>
      <w:r>
        <w:rPr>
          <w:rFonts w:hint="eastAsia"/>
          <w:bCs/>
          <w:color w:val="000000"/>
          <w:sz w:val="24"/>
          <w:szCs w:val="24"/>
          <w:lang w:val="zh-CN"/>
        </w:rPr>
        <w:t xml:space="preserve">及表格批量导入导出；制作机构信息支持通过Excel批量导入，并对新增、变更、延续注册及注销等信息进行维护；播出机构</w:t>
      </w:r>
      <w:r>
        <w:rPr>
          <w:rFonts w:hint="eastAsia"/>
          <w:bCs/>
          <w:color w:val="000000"/>
          <w:sz w:val="24"/>
          <w:szCs w:val="24"/>
        </w:rPr>
        <w:t xml:space="preserve">频道和节目</w:t>
      </w:r>
      <w:r>
        <w:rPr>
          <w:rFonts w:hint="eastAsia"/>
          <w:bCs/>
          <w:color w:val="000000"/>
          <w:sz w:val="24"/>
          <w:szCs w:val="24"/>
          <w:lang w:val="zh-CN"/>
        </w:rPr>
        <w:t xml:space="preserve">评估数据支持通过对接中国视听大数据、上传文件方式进行导入更新，统一存储至行业资讯库，并按授权范围实行分级查看；系统对各类信息及评估数据的变更全过程统一留痕，支持操作记录查询与追溯，确保数据准确、及时、安全、可追溯。</w:t>
      </w:r>
      <w:r>
        <w:rPr>
          <w:bCs/>
          <w:color w:val="000000"/>
          <w:sz w:val="24"/>
          <w:szCs w:val="24"/>
          <w:lang w:val="zh-CN"/>
        </w:rPr>
      </w:r>
      <w:r/>
    </w:p>
    <w:p>
      <w:pPr>
        <w:pStyle w:val="1025"/>
        <w:numPr>
          <w:ilvl w:val="3"/>
          <w:numId w:val="6"/>
        </w:numPr>
        <w:jc w:val="left"/>
        <w:spacing w:before="0" w:after="0" w:line="360" w:lineRule="auto"/>
        <w:widowControl/>
        <w:rPr>
          <w:color w:val="000000"/>
          <w:sz w:val="24"/>
          <w:szCs w:val="24"/>
        </w:rPr>
      </w:pPr>
      <w:r/>
      <w:bookmarkStart w:id="203" w:name="_Toc232428453"/>
      <w:r>
        <w:rPr>
          <w:rFonts w:hint="eastAsia"/>
          <w:color w:val="000000"/>
          <w:sz w:val="24"/>
          <w:szCs w:val="24"/>
        </w:rPr>
        <w:t xml:space="preserve">内容生产服务与审核应用系统</w:t>
      </w:r>
      <w:bookmarkEnd w:id="203"/>
      <w:r>
        <w:rPr>
          <w:color w:val="000000"/>
          <w:sz w:val="24"/>
          <w:szCs w:val="24"/>
        </w:rPr>
      </w:r>
      <w:r/>
    </w:p>
    <w:p>
      <w:pPr>
        <w:pStyle w:val="935"/>
        <w:ind w:firstLine="480"/>
        <w:spacing w:line="400" w:lineRule="exact"/>
        <w:rPr>
          <w:bCs/>
          <w:color w:val="000000"/>
          <w:sz w:val="24"/>
          <w:szCs w:val="24"/>
          <w:lang w:val="zh-CN"/>
        </w:rPr>
      </w:pPr>
      <w:r>
        <w:rPr>
          <w:rFonts w:hint="eastAsia"/>
          <w:bCs/>
          <w:color w:val="000000"/>
          <w:sz w:val="24"/>
          <w:szCs w:val="24"/>
          <w:lang w:val="zh-CN"/>
        </w:rPr>
        <w:t xml:space="preserve">建设内容生产与审核服务</w:t>
      </w:r>
      <w:r>
        <w:rPr>
          <w:rFonts w:hint="eastAsia"/>
          <w:bCs/>
          <w:color w:val="000000"/>
          <w:sz w:val="24"/>
          <w:szCs w:val="24"/>
        </w:rPr>
        <w:t xml:space="preserve">系统</w:t>
      </w:r>
      <w:r>
        <w:rPr>
          <w:rFonts w:hint="eastAsia"/>
          <w:bCs/>
          <w:color w:val="000000"/>
          <w:sz w:val="24"/>
          <w:szCs w:val="24"/>
          <w:lang w:val="zh-CN"/>
        </w:rPr>
        <w:t xml:space="preserve">，构建</w:t>
      </w:r>
      <w:r>
        <w:rPr>
          <w:rFonts w:hint="eastAsia"/>
          <w:bCs/>
          <w:color w:val="000000"/>
          <w:sz w:val="24"/>
          <w:szCs w:val="24"/>
        </w:rPr>
        <w:t xml:space="preserve">视频内容上传-专家评审-智能审核调用-结果管理-统计分析的全流程业务支撑和</w:t>
      </w:r>
      <w:r>
        <w:rPr>
          <w:rFonts w:hint="eastAsia"/>
          <w:bCs/>
          <w:color w:val="000000"/>
          <w:sz w:val="24"/>
          <w:szCs w:val="24"/>
          <w:lang w:val="zh-CN"/>
        </w:rPr>
        <w:t xml:space="preserve">综合管</w:t>
      </w:r>
      <w:r>
        <w:rPr>
          <w:rFonts w:hint="eastAsia"/>
          <w:bCs/>
          <w:color w:val="000000"/>
          <w:sz w:val="24"/>
          <w:szCs w:val="24"/>
        </w:rPr>
        <w:t xml:space="preserve">理</w:t>
      </w:r>
      <w:r>
        <w:rPr>
          <w:rFonts w:hint="eastAsia"/>
          <w:bCs/>
          <w:color w:val="000000"/>
          <w:sz w:val="24"/>
          <w:szCs w:val="24"/>
          <w:lang w:val="zh-CN"/>
        </w:rPr>
        <w:t xml:space="preserve">体系。提供</w:t>
      </w:r>
      <w:r>
        <w:rPr>
          <w:rFonts w:hint="eastAsia"/>
          <w:bCs/>
          <w:color w:val="000000"/>
          <w:sz w:val="24"/>
          <w:szCs w:val="24"/>
        </w:rPr>
        <w:t xml:space="preserve">包括但不限于：</w:t>
      </w:r>
      <w:r>
        <w:rPr>
          <w:rFonts w:hint="eastAsia"/>
          <w:bCs/>
          <w:color w:val="000000"/>
          <w:sz w:val="24"/>
          <w:szCs w:val="24"/>
          <w:lang w:val="zh-CN"/>
        </w:rPr>
        <w:t xml:space="preserve">通过对接总局接口实现剧片备案数据的自动获取、归档</w:t>
      </w:r>
      <w:r>
        <w:rPr>
          <w:rFonts w:hint="eastAsia"/>
          <w:bCs/>
          <w:color w:val="000000"/>
          <w:sz w:val="24"/>
          <w:szCs w:val="24"/>
        </w:rPr>
        <w:t xml:space="preserve">并建立剧片目录</w:t>
      </w:r>
      <w:r>
        <w:rPr>
          <w:rFonts w:hint="eastAsia"/>
          <w:bCs/>
          <w:color w:val="000000"/>
          <w:sz w:val="24"/>
          <w:szCs w:val="24"/>
          <w:lang w:val="zh-CN"/>
        </w:rPr>
        <w:t xml:space="preserve">；</w:t>
      </w:r>
      <w:r>
        <w:rPr>
          <w:rFonts w:hint="eastAsia"/>
          <w:bCs/>
          <w:color w:val="000000"/>
          <w:sz w:val="24"/>
          <w:szCs w:val="24"/>
        </w:rPr>
        <w:t xml:space="preserve">支持机构登记并自动关联证号、剧片目录信息及上传视频资源分类管理；实现审核任务创建、专家抽取、AI审核能力调</w:t>
      </w:r>
      <w:r>
        <w:rPr>
          <w:rFonts w:hint="eastAsia"/>
          <w:bCs/>
          <w:color w:val="000000"/>
          <w:sz w:val="24"/>
          <w:szCs w:val="24"/>
          <w:lang w:val="zh-CN"/>
        </w:rPr>
        <w:t xml:space="preserve">用（对接第三方审核服务平台）到审</w:t>
      </w:r>
      <w:r>
        <w:rPr>
          <w:rFonts w:hint="eastAsia"/>
          <w:bCs/>
          <w:color w:val="000000"/>
          <w:sz w:val="24"/>
          <w:szCs w:val="24"/>
        </w:rPr>
        <w:t xml:space="preserve">片进度及结果的全流程管理；支持审核数据汇总分析，形成易发问题数据库；</w:t>
      </w:r>
      <w:r>
        <w:rPr>
          <w:rFonts w:hint="eastAsia"/>
          <w:bCs/>
          <w:color w:val="000000"/>
          <w:sz w:val="24"/>
          <w:szCs w:val="24"/>
          <w:lang w:val="zh-CN"/>
        </w:rPr>
        <w:t xml:space="preserve">对重点剧片实施从申报到进度跟踪的闭环管理与风险预警；建立围绕专家履职、审核质量及流程效能的多维度统计分析体系，支持</w:t>
      </w:r>
      <w:r>
        <w:rPr>
          <w:rFonts w:hint="eastAsia"/>
          <w:bCs/>
          <w:color w:val="000000"/>
          <w:sz w:val="24"/>
          <w:szCs w:val="24"/>
        </w:rPr>
        <w:t xml:space="preserve">剧片审核数量、进度、能效等</w:t>
      </w:r>
      <w:r>
        <w:rPr>
          <w:rFonts w:hint="eastAsia"/>
          <w:bCs/>
          <w:color w:val="000000"/>
          <w:sz w:val="24"/>
          <w:szCs w:val="24"/>
          <w:lang w:val="zh-CN"/>
        </w:rPr>
        <w:t xml:space="preserve">可视化展示；</w:t>
      </w:r>
      <w:r>
        <w:rPr>
          <w:rFonts w:hint="eastAsia"/>
          <w:bCs/>
          <w:color w:val="000000"/>
          <w:sz w:val="24"/>
          <w:szCs w:val="24"/>
        </w:rPr>
        <w:t xml:space="preserve">支持对接剧片审批系统形成从备案、成片审核到审批的全流程自动信息关联。</w:t>
      </w:r>
      <w:r>
        <w:rPr>
          <w:rFonts w:hint="eastAsia"/>
          <w:bCs/>
          <w:color w:val="000000"/>
          <w:sz w:val="24"/>
          <w:szCs w:val="24"/>
          <w:lang w:val="zh-CN"/>
        </w:rPr>
        <w:t xml:space="preserve">此外，系统应将核心查询功能集成至移动端APP，通过统一接入与消息对接，全面提升内容审核业务的规范性、协同效率与移动化服务水平。</w:t>
      </w:r>
      <w:r>
        <w:rPr>
          <w:bCs/>
          <w:color w:val="000000"/>
          <w:sz w:val="24"/>
          <w:szCs w:val="24"/>
          <w:lang w:val="zh-CN"/>
        </w:rPr>
      </w:r>
      <w:r/>
    </w:p>
    <w:p>
      <w:pPr>
        <w:pStyle w:val="1025"/>
        <w:numPr>
          <w:ilvl w:val="3"/>
          <w:numId w:val="6"/>
        </w:numPr>
        <w:jc w:val="left"/>
        <w:spacing w:before="0" w:after="0" w:line="360" w:lineRule="auto"/>
        <w:widowControl/>
        <w:rPr>
          <w:color w:val="000000"/>
          <w:sz w:val="24"/>
          <w:szCs w:val="24"/>
        </w:rPr>
      </w:pPr>
      <w:r/>
      <w:bookmarkStart w:id="204" w:name="_Toc232428454"/>
      <w:r>
        <w:rPr>
          <w:rFonts w:hint="eastAsia"/>
          <w:color w:val="000000"/>
          <w:sz w:val="24"/>
          <w:szCs w:val="24"/>
        </w:rPr>
        <w:t xml:space="preserve">节目剧片播出监管应用系统</w:t>
      </w:r>
      <w:bookmarkEnd w:id="204"/>
      <w:r>
        <w:rPr>
          <w:color w:val="000000"/>
          <w:sz w:val="24"/>
          <w:szCs w:val="24"/>
        </w:rPr>
      </w:r>
      <w:r/>
    </w:p>
    <w:p>
      <w:pPr>
        <w:pStyle w:val="1000"/>
        <w:numPr>
          <w:ilvl w:val="1"/>
          <w:numId w:val="8"/>
        </w:numPr>
        <w:ind w:left="884" w:hanging="442"/>
        <w:jc w:val="both"/>
        <w:spacing w:line="400" w:lineRule="exact"/>
        <w:widowControl w:val="off"/>
        <w:rPr>
          <w:bCs/>
          <w:color w:val="000000"/>
          <w:lang w:val="zh-CN"/>
        </w:rPr>
        <w:outlineLvl w:val="3"/>
      </w:pPr>
      <w:r>
        <w:rPr>
          <w:rFonts w:hint="eastAsia"/>
          <w:bCs/>
          <w:color w:val="000000"/>
          <w:lang w:val="zh-CN"/>
        </w:rPr>
        <w:t xml:space="preserve">视听监管可视化</w:t>
      </w:r>
      <w:r>
        <w:rPr>
          <w:rFonts w:hint="eastAsia"/>
          <w:bCs/>
          <w:color w:val="000000"/>
        </w:rPr>
        <w:t xml:space="preserve">模块</w:t>
      </w:r>
      <w:r>
        <w:rPr>
          <w:bCs/>
          <w:color w:val="000000"/>
          <w:lang w:val="zh-CN"/>
        </w:rPr>
      </w:r>
      <w:r/>
    </w:p>
    <w:p>
      <w:pPr>
        <w:pStyle w:val="907"/>
        <w:ind w:firstLine="480"/>
        <w:spacing w:line="400" w:lineRule="exact"/>
        <w:rPr>
          <w:bCs/>
          <w:color w:val="000000"/>
          <w:sz w:val="24"/>
          <w:szCs w:val="24"/>
          <w:lang w:val="zh-CN"/>
        </w:rPr>
      </w:pPr>
      <w:r>
        <w:rPr>
          <w:rFonts w:hint="eastAsia"/>
          <w:bCs/>
          <w:color w:val="000000"/>
          <w:sz w:val="24"/>
          <w:szCs w:val="24"/>
        </w:rPr>
        <w:t xml:space="preserve">依托现有广播电视监测监管系统和新媒体监测监管系统，</w:t>
      </w:r>
      <w:r>
        <w:rPr>
          <w:rFonts w:hint="eastAsia"/>
          <w:bCs/>
          <w:color w:val="000000"/>
          <w:sz w:val="24"/>
          <w:szCs w:val="24"/>
          <w:lang w:val="zh-CN"/>
        </w:rPr>
        <w:t xml:space="preserve">提供</w:t>
      </w:r>
      <w:r>
        <w:rPr>
          <w:rFonts w:hint="eastAsia"/>
          <w:bCs/>
          <w:color w:val="000000"/>
          <w:sz w:val="24"/>
          <w:szCs w:val="24"/>
        </w:rPr>
        <w:t xml:space="preserve">包括但不限于：</w:t>
      </w:r>
      <w:r>
        <w:rPr>
          <w:rFonts w:hint="eastAsia"/>
          <w:bCs/>
          <w:color w:val="000000"/>
          <w:sz w:val="24"/>
          <w:szCs w:val="24"/>
          <w:lang w:val="zh-CN"/>
        </w:rPr>
        <w:t xml:space="preserve">可视化大屏展示功能，</w:t>
      </w:r>
      <w:r>
        <w:rPr>
          <w:rFonts w:hint="eastAsia"/>
          <w:b/>
          <w:color w:val="000000"/>
          <w:sz w:val="24"/>
          <w:szCs w:val="24"/>
          <w:lang w:val="zh-CN"/>
        </w:rPr>
        <w:t xml:space="preserve">▲集中展示全省广播电视播出态势及网络视听机构运营与违规情况（投标人须提供</w:t>
      </w:r>
      <w:r>
        <w:rPr>
          <w:rFonts w:hint="eastAsia"/>
          <w:b/>
          <w:color w:val="000000"/>
          <w:sz w:val="24"/>
          <w:szCs w:val="24"/>
        </w:rPr>
        <w:t xml:space="preserve">该</w:t>
      </w:r>
      <w:r>
        <w:rPr>
          <w:rFonts w:hint="eastAsia"/>
          <w:b/>
          <w:color w:val="000000"/>
          <w:sz w:val="24"/>
          <w:szCs w:val="24"/>
          <w:lang w:val="zh-CN"/>
        </w:rPr>
        <w:t xml:space="preserve">系统的可视化大屏功能界面截图，截图应体现广播电视播出态势、网络视听机构运营情况和违规情况等展示内容，并加盖投标人公章）</w:t>
      </w:r>
      <w:r>
        <w:rPr>
          <w:rFonts w:hint="eastAsia"/>
          <w:bCs/>
          <w:color w:val="000000"/>
          <w:sz w:val="24"/>
          <w:szCs w:val="24"/>
          <w:lang w:val="zh-CN"/>
        </w:rPr>
        <w:t xml:space="preserve">，辅助监管人员实时掌握行业动态；依托核心数据管理单元对监测数据进行统一导入与维护，确保前台展示数据的准确性、完整性与可追溯性。</w:t>
      </w:r>
      <w:r>
        <w:rPr>
          <w:bCs/>
          <w:color w:val="000000"/>
          <w:sz w:val="24"/>
          <w:szCs w:val="24"/>
          <w:lang w:val="zh-CN"/>
        </w:rPr>
      </w:r>
      <w:r/>
    </w:p>
    <w:p>
      <w:pPr>
        <w:pStyle w:val="1000"/>
        <w:numPr>
          <w:ilvl w:val="1"/>
          <w:numId w:val="8"/>
        </w:numPr>
        <w:ind w:left="884" w:hanging="442"/>
        <w:jc w:val="both"/>
        <w:spacing w:line="400" w:lineRule="exact"/>
        <w:widowControl w:val="off"/>
        <w:rPr>
          <w:bCs/>
          <w:color w:val="000000"/>
          <w:lang w:val="zh-CN"/>
        </w:rPr>
        <w:outlineLvl w:val="3"/>
      </w:pPr>
      <w:r>
        <w:rPr>
          <w:rFonts w:hint="eastAsia"/>
          <w:bCs/>
          <w:color w:val="000000"/>
          <w:lang w:val="zh-CN"/>
        </w:rPr>
        <w:t xml:space="preserve">视听节目评议管理</w:t>
      </w:r>
      <w:r>
        <w:rPr>
          <w:rFonts w:hint="eastAsia"/>
          <w:bCs/>
          <w:color w:val="000000"/>
        </w:rPr>
        <w:t xml:space="preserve">模块</w:t>
      </w:r>
      <w:r>
        <w:rPr>
          <w:bCs/>
          <w:color w:val="000000"/>
          <w:lang w:val="zh-CN"/>
        </w:rPr>
      </w:r>
      <w:r/>
    </w:p>
    <w:p>
      <w:pPr>
        <w:pStyle w:val="907"/>
        <w:ind w:firstLine="480"/>
        <w:spacing w:line="400" w:lineRule="exact"/>
        <w:rPr>
          <w:bCs/>
          <w:color w:val="000000"/>
          <w:sz w:val="24"/>
          <w:szCs w:val="24"/>
          <w:lang w:val="zh-CN"/>
        </w:rPr>
      </w:pPr>
      <w:r>
        <w:rPr>
          <w:rFonts w:hint="eastAsia"/>
          <w:bCs/>
          <w:color w:val="000000"/>
          <w:sz w:val="24"/>
          <w:szCs w:val="24"/>
          <w:lang w:val="zh-CN"/>
        </w:rPr>
        <w:t xml:space="preserve">提供节目内容评议管理</w:t>
      </w:r>
      <w:r>
        <w:rPr>
          <w:rFonts w:hint="eastAsia"/>
          <w:bCs/>
          <w:color w:val="000000"/>
          <w:sz w:val="24"/>
          <w:szCs w:val="24"/>
        </w:rPr>
        <w:t xml:space="preserve">模块</w:t>
      </w:r>
      <w:r>
        <w:rPr>
          <w:rFonts w:hint="eastAsia"/>
          <w:bCs/>
          <w:color w:val="000000"/>
          <w:sz w:val="24"/>
          <w:szCs w:val="24"/>
          <w:lang w:val="zh-CN"/>
        </w:rPr>
        <w:t xml:space="preserve">，实现从节目</w:t>
      </w:r>
      <w:r>
        <w:rPr>
          <w:rFonts w:hint="eastAsia"/>
          <w:bCs/>
          <w:color w:val="000000"/>
          <w:sz w:val="24"/>
          <w:szCs w:val="24"/>
        </w:rPr>
        <w:t xml:space="preserve">查看</w:t>
      </w:r>
      <w:r>
        <w:rPr>
          <w:rFonts w:hint="eastAsia"/>
          <w:bCs/>
          <w:color w:val="000000"/>
          <w:sz w:val="24"/>
          <w:szCs w:val="24"/>
          <w:lang w:val="zh-CN"/>
        </w:rPr>
        <w:t xml:space="preserve">、在线评议、稿件</w:t>
      </w:r>
      <w:r>
        <w:rPr>
          <w:rFonts w:hint="eastAsia"/>
          <w:bCs/>
          <w:color w:val="000000"/>
          <w:sz w:val="24"/>
          <w:szCs w:val="24"/>
        </w:rPr>
        <w:t xml:space="preserve">撰写、来稿</w:t>
      </w:r>
      <w:r>
        <w:rPr>
          <w:rFonts w:hint="eastAsia"/>
          <w:bCs/>
          <w:color w:val="000000"/>
          <w:sz w:val="24"/>
          <w:szCs w:val="24"/>
          <w:lang w:val="zh-CN"/>
        </w:rPr>
        <w:t xml:space="preserve">审核、期刊生成</w:t>
      </w:r>
      <w:r>
        <w:rPr>
          <w:rFonts w:hint="eastAsia"/>
          <w:bCs/>
          <w:color w:val="000000"/>
          <w:sz w:val="24"/>
          <w:szCs w:val="24"/>
        </w:rPr>
        <w:t xml:space="preserve">到统计分析</w:t>
      </w:r>
      <w:r>
        <w:rPr>
          <w:rFonts w:hint="eastAsia"/>
          <w:bCs/>
          <w:color w:val="000000"/>
          <w:sz w:val="24"/>
          <w:szCs w:val="24"/>
          <w:lang w:val="zh-CN"/>
        </w:rPr>
        <w:t xml:space="preserve">的全流程闭环管理。提供</w:t>
      </w:r>
      <w:r>
        <w:rPr>
          <w:rFonts w:hint="eastAsia"/>
          <w:bCs/>
          <w:color w:val="000000"/>
          <w:sz w:val="24"/>
          <w:szCs w:val="24"/>
        </w:rPr>
        <w:t xml:space="preserve">包括但不限于：支撑节目在线评议和稿件管理及分析的节目评议流程，</w:t>
      </w:r>
      <w:r>
        <w:rPr>
          <w:rFonts w:hint="eastAsia"/>
          <w:bCs/>
          <w:color w:val="000000"/>
          <w:sz w:val="24"/>
          <w:szCs w:val="24"/>
          <w:lang w:val="zh-CN"/>
        </w:rPr>
        <w:t xml:space="preserve">结合语音识别与违规词库</w:t>
      </w:r>
      <w:r>
        <w:rPr>
          <w:rFonts w:hint="eastAsia"/>
          <w:bCs/>
          <w:color w:val="000000"/>
          <w:sz w:val="24"/>
          <w:szCs w:val="24"/>
        </w:rPr>
        <w:t xml:space="preserve">规则</w:t>
      </w:r>
      <w:r>
        <w:rPr>
          <w:rFonts w:hint="eastAsia"/>
          <w:bCs/>
          <w:color w:val="000000"/>
          <w:sz w:val="24"/>
          <w:szCs w:val="24"/>
          <w:lang w:val="zh-CN"/>
        </w:rPr>
        <w:t xml:space="preserve">确保问题精准检测与闭环处置；全面覆盖评议员管理、</w:t>
      </w:r>
      <w:r>
        <w:rPr>
          <w:rFonts w:hint="eastAsia"/>
          <w:bCs/>
          <w:color w:val="000000"/>
          <w:sz w:val="24"/>
          <w:szCs w:val="24"/>
        </w:rPr>
        <w:t xml:space="preserve">评议节目设置和审核任务发布管理等</w:t>
      </w:r>
      <w:r>
        <w:rPr>
          <w:rFonts w:hint="eastAsia"/>
          <w:bCs/>
          <w:color w:val="000000"/>
          <w:sz w:val="24"/>
          <w:szCs w:val="24"/>
          <w:lang w:val="zh-CN"/>
        </w:rPr>
        <w:t xml:space="preserve">基础配置及系统权限管理，支持多维度统计分析与灵活规则配置，为评议工作调度、专家评价及成果归档提供坚实支撑；建立规范的劳务费核算与发放机制，做到核算有依据、审批有流程、发放有记录，有效满足系统运行监控与安全审计要求。</w:t>
      </w:r>
      <w:r>
        <w:rPr>
          <w:bCs/>
          <w:color w:val="000000"/>
          <w:sz w:val="24"/>
          <w:szCs w:val="24"/>
          <w:lang w:val="zh-CN"/>
        </w:rPr>
      </w:r>
      <w:r/>
    </w:p>
    <w:p>
      <w:pPr>
        <w:pStyle w:val="1025"/>
        <w:numPr>
          <w:ilvl w:val="3"/>
          <w:numId w:val="6"/>
        </w:numPr>
        <w:jc w:val="left"/>
        <w:spacing w:before="0" w:after="0" w:line="360" w:lineRule="auto"/>
        <w:widowControl/>
        <w:rPr>
          <w:color w:val="000000"/>
          <w:sz w:val="24"/>
          <w:szCs w:val="24"/>
        </w:rPr>
      </w:pPr>
      <w:r/>
      <w:bookmarkStart w:id="205" w:name="_Toc232428455"/>
      <w:r>
        <w:rPr>
          <w:rFonts w:hint="eastAsia"/>
          <w:color w:val="000000"/>
          <w:sz w:val="24"/>
          <w:szCs w:val="24"/>
        </w:rPr>
        <w:t xml:space="preserve">科技与产业管理应用系统</w:t>
      </w:r>
      <w:bookmarkEnd w:id="205"/>
      <w:r>
        <w:rPr>
          <w:color w:val="000000"/>
          <w:sz w:val="24"/>
          <w:szCs w:val="24"/>
        </w:rPr>
      </w:r>
      <w:r/>
    </w:p>
    <w:p>
      <w:pPr>
        <w:pStyle w:val="1000"/>
        <w:numPr>
          <w:ilvl w:val="1"/>
          <w:numId w:val="9"/>
        </w:numPr>
        <w:ind w:left="884" w:hanging="442"/>
        <w:jc w:val="both"/>
        <w:spacing w:line="400" w:lineRule="exact"/>
        <w:widowControl w:val="off"/>
        <w:rPr>
          <w:bCs/>
          <w:color w:val="000000"/>
          <w:lang w:val="zh-CN"/>
        </w:rPr>
        <w:outlineLvl w:val="3"/>
      </w:pPr>
      <w:r>
        <w:rPr>
          <w:rFonts w:hint="eastAsia"/>
          <w:bCs/>
          <w:color w:val="000000"/>
          <w:lang w:val="zh-CN"/>
        </w:rPr>
        <w:t xml:space="preserve">实验室专项管理</w:t>
      </w:r>
      <w:r>
        <w:rPr>
          <w:rFonts w:hint="eastAsia"/>
          <w:bCs/>
          <w:color w:val="000000"/>
        </w:rPr>
        <w:t xml:space="preserve">模块</w:t>
      </w:r>
      <w:r>
        <w:rPr>
          <w:bCs/>
          <w:color w:val="000000"/>
          <w:lang w:val="zh-CN"/>
        </w:rPr>
      </w:r>
      <w:r/>
    </w:p>
    <w:p>
      <w:pPr>
        <w:pStyle w:val="907"/>
        <w:ind w:firstLine="480"/>
        <w:spacing w:line="400" w:lineRule="exact"/>
        <w:rPr>
          <w:bCs/>
          <w:color w:val="000000"/>
          <w:sz w:val="24"/>
          <w:szCs w:val="24"/>
          <w:lang w:val="zh-CN"/>
        </w:rPr>
      </w:pPr>
      <w:r>
        <w:rPr>
          <w:rFonts w:hint="eastAsia"/>
          <w:bCs/>
          <w:color w:val="000000"/>
          <w:sz w:val="24"/>
          <w:szCs w:val="24"/>
          <w:lang w:val="zh-CN"/>
        </w:rPr>
        <w:t xml:space="preserve">建设实验室综合管理</w:t>
      </w:r>
      <w:r>
        <w:rPr>
          <w:rFonts w:hint="eastAsia"/>
          <w:bCs/>
          <w:color w:val="000000"/>
          <w:sz w:val="24"/>
          <w:szCs w:val="24"/>
        </w:rPr>
        <w:t xml:space="preserve">模块</w:t>
      </w:r>
      <w:r>
        <w:rPr>
          <w:rFonts w:hint="eastAsia"/>
          <w:bCs/>
          <w:color w:val="000000"/>
          <w:sz w:val="24"/>
          <w:szCs w:val="24"/>
          <w:lang w:val="zh-CN"/>
        </w:rPr>
        <w:t xml:space="preserve">，实现从申报评审、运行评估、问题整改到科技课题</w:t>
      </w:r>
      <w:r>
        <w:rPr>
          <w:rFonts w:hint="eastAsia"/>
          <w:bCs/>
          <w:color w:val="000000"/>
          <w:sz w:val="24"/>
          <w:szCs w:val="24"/>
        </w:rPr>
        <w:t xml:space="preserve">、实验资源管理</w:t>
      </w:r>
      <w:r>
        <w:rPr>
          <w:rFonts w:hint="eastAsia"/>
          <w:bCs/>
          <w:color w:val="000000"/>
          <w:sz w:val="24"/>
          <w:szCs w:val="24"/>
          <w:lang w:val="zh-CN"/>
        </w:rPr>
        <w:t xml:space="preserve">的全周期闭环管</w:t>
      </w:r>
      <w:r>
        <w:rPr>
          <w:rFonts w:hint="eastAsia"/>
          <w:bCs/>
          <w:color w:val="000000"/>
          <w:sz w:val="24"/>
          <w:szCs w:val="24"/>
        </w:rPr>
        <w:t xml:space="preserve">理</w:t>
      </w:r>
      <w:r>
        <w:rPr>
          <w:rFonts w:hint="eastAsia"/>
          <w:bCs/>
          <w:color w:val="000000"/>
          <w:sz w:val="24"/>
          <w:szCs w:val="24"/>
          <w:lang w:val="zh-CN"/>
        </w:rPr>
        <w:t xml:space="preserve">。提供</w:t>
      </w:r>
      <w:r>
        <w:rPr>
          <w:rFonts w:hint="eastAsia"/>
          <w:bCs/>
          <w:color w:val="000000"/>
          <w:sz w:val="24"/>
          <w:szCs w:val="24"/>
        </w:rPr>
        <w:t xml:space="preserve">包括</w:t>
      </w:r>
      <w:r>
        <w:rPr>
          <w:rFonts w:hint="eastAsia"/>
          <w:bCs/>
          <w:color w:val="000000"/>
          <w:sz w:val="24"/>
          <w:szCs w:val="24"/>
          <w:lang w:val="zh-CN"/>
        </w:rPr>
        <w:t xml:space="preserve">但不限于：通过智能匹配模板提高申报的规范性，通过可视化跟踪申报进程的展示及预警；依托自定义指标体系与自动评分机制实现评估结果、问题整改与经费拨付的科学联动；将整改事项分解为子任务进行实时预警，有效验证整改效果；在资源与成果管理方面，对实验室场地、仪器设备及IT算力资源进行统一登记，提升综合利用效率；支持决策分析、</w:t>
      </w:r>
      <w:r>
        <w:rPr>
          <w:rFonts w:hint="eastAsia"/>
          <w:bCs/>
          <w:color w:val="000000"/>
          <w:sz w:val="24"/>
          <w:szCs w:val="24"/>
        </w:rPr>
        <w:t xml:space="preserve">数据分析、</w:t>
      </w:r>
      <w:r>
        <w:rPr>
          <w:rFonts w:hint="eastAsia"/>
          <w:bCs/>
          <w:color w:val="000000"/>
          <w:sz w:val="24"/>
          <w:szCs w:val="24"/>
          <w:lang w:val="zh-CN"/>
        </w:rPr>
        <w:t xml:space="preserve">成果转化效益分析</w:t>
      </w:r>
      <w:r>
        <w:rPr>
          <w:rFonts w:hint="eastAsia"/>
          <w:bCs/>
          <w:color w:val="000000"/>
          <w:sz w:val="24"/>
          <w:szCs w:val="24"/>
        </w:rPr>
        <w:t xml:space="preserve">及可视化</w:t>
      </w:r>
      <w:r>
        <w:rPr>
          <w:rFonts w:hint="eastAsia"/>
          <w:bCs/>
          <w:color w:val="000000"/>
          <w:sz w:val="24"/>
          <w:szCs w:val="24"/>
          <w:lang w:val="zh-CN"/>
        </w:rPr>
        <w:t xml:space="preserve">，</w:t>
      </w:r>
      <w:r>
        <w:rPr>
          <w:rFonts w:hint="eastAsia"/>
          <w:bCs/>
          <w:color w:val="000000"/>
          <w:sz w:val="24"/>
          <w:szCs w:val="24"/>
        </w:rPr>
        <w:t xml:space="preserve">通过</w:t>
      </w:r>
      <w:r>
        <w:rPr>
          <w:rFonts w:hint="eastAsia"/>
          <w:bCs/>
          <w:color w:val="000000"/>
          <w:sz w:val="24"/>
          <w:szCs w:val="24"/>
          <w:lang w:val="zh-CN"/>
        </w:rPr>
        <w:t xml:space="preserve">多维统计与模型配置，为实验室运行与绩效评估提供数据支撑；通过统一的操作日志记录与多维查询功能实现全过程可追溯与安全审计，并支持将部分查询与进度跟踪功能集成至移动端APP，通过统一认证与单点登录机制，在有效降低开发成本的同时，全面保障实验室管理的规范化、智能化与长效化。</w:t>
      </w:r>
      <w:r>
        <w:rPr>
          <w:bCs/>
          <w:color w:val="000000"/>
          <w:sz w:val="24"/>
          <w:szCs w:val="24"/>
          <w:lang w:val="zh-CN"/>
        </w:rPr>
      </w:r>
      <w:r/>
    </w:p>
    <w:p>
      <w:pPr>
        <w:pStyle w:val="1000"/>
        <w:numPr>
          <w:ilvl w:val="1"/>
          <w:numId w:val="9"/>
        </w:numPr>
        <w:ind w:left="884" w:hanging="442"/>
        <w:jc w:val="both"/>
        <w:spacing w:line="400" w:lineRule="exact"/>
        <w:widowControl w:val="off"/>
        <w:rPr>
          <w:bCs/>
          <w:color w:val="000000"/>
          <w:lang w:val="zh-CN"/>
        </w:rPr>
        <w:outlineLvl w:val="3"/>
      </w:pPr>
      <w:r>
        <w:rPr>
          <w:rFonts w:hint="eastAsia"/>
          <w:bCs/>
          <w:color w:val="000000"/>
          <w:lang w:val="zh-CN"/>
        </w:rPr>
        <w:t xml:space="preserve">产业集聚区管理</w:t>
      </w:r>
      <w:r>
        <w:rPr>
          <w:rFonts w:hint="eastAsia"/>
          <w:bCs/>
          <w:color w:val="000000"/>
        </w:rPr>
        <w:t xml:space="preserve">模块</w:t>
      </w:r>
      <w:r>
        <w:rPr>
          <w:bCs/>
          <w:color w:val="000000"/>
          <w:lang w:val="zh-CN"/>
        </w:rPr>
      </w:r>
      <w:r/>
    </w:p>
    <w:p>
      <w:pPr>
        <w:pStyle w:val="907"/>
        <w:ind w:firstLine="480"/>
        <w:spacing w:line="400" w:lineRule="exact"/>
        <w:rPr>
          <w:bCs/>
          <w:color w:val="000000"/>
          <w:sz w:val="24"/>
          <w:szCs w:val="24"/>
          <w:lang w:val="zh-CN"/>
        </w:rPr>
      </w:pPr>
      <w:r>
        <w:rPr>
          <w:rFonts w:hint="eastAsia"/>
          <w:bCs/>
          <w:color w:val="000000"/>
          <w:sz w:val="24"/>
          <w:szCs w:val="24"/>
          <w:lang w:val="zh-CN"/>
        </w:rPr>
        <w:t xml:space="preserve">建设产业集聚区管理</w:t>
      </w:r>
      <w:r>
        <w:rPr>
          <w:rFonts w:hint="eastAsia"/>
          <w:bCs/>
          <w:color w:val="000000"/>
          <w:sz w:val="24"/>
          <w:szCs w:val="24"/>
        </w:rPr>
        <w:t xml:space="preserve">模块</w:t>
      </w:r>
      <w:r>
        <w:rPr>
          <w:rFonts w:hint="eastAsia"/>
          <w:bCs/>
          <w:color w:val="000000"/>
          <w:sz w:val="24"/>
          <w:szCs w:val="24"/>
          <w:lang w:val="zh-CN"/>
        </w:rPr>
        <w:t xml:space="preserve">，构建从数据采集、核验、评估到应用的闭环管理机制，</w:t>
      </w:r>
      <w:r>
        <w:rPr>
          <w:rFonts w:hint="eastAsia"/>
          <w:bCs/>
          <w:color w:val="000000"/>
          <w:sz w:val="24"/>
          <w:szCs w:val="24"/>
        </w:rPr>
        <w:t xml:space="preserve">实现集聚区运行情况的动态掌握和科学评价。</w:t>
      </w:r>
      <w:r>
        <w:rPr>
          <w:rFonts w:hint="eastAsia"/>
          <w:bCs/>
          <w:color w:val="000000"/>
          <w:sz w:val="24"/>
          <w:szCs w:val="24"/>
          <w:lang w:val="zh-CN"/>
        </w:rPr>
        <w:t xml:space="preserve">提供</w:t>
      </w:r>
      <w:r>
        <w:rPr>
          <w:rFonts w:hint="eastAsia"/>
          <w:bCs/>
          <w:color w:val="000000"/>
          <w:sz w:val="24"/>
          <w:szCs w:val="24"/>
        </w:rPr>
        <w:t xml:space="preserve">包括但不限于：</w:t>
      </w:r>
      <w:r>
        <w:rPr>
          <w:rFonts w:hint="eastAsia"/>
          <w:bCs/>
          <w:color w:val="000000"/>
          <w:sz w:val="24"/>
          <w:szCs w:val="24"/>
          <w:lang w:val="zh-CN"/>
        </w:rPr>
        <w:t xml:space="preserve">支持集聚区名录的动态维护与年度数据的规范化填报；通过灵活配置评估工作流与指标体系，基于多源数据比对进行精准核验与绩效评估，</w:t>
      </w:r>
      <w:r>
        <w:rPr>
          <w:rFonts w:hint="eastAsia"/>
          <w:bCs/>
          <w:color w:val="000000"/>
          <w:sz w:val="24"/>
          <w:szCs w:val="24"/>
        </w:rPr>
        <w:t xml:space="preserve">实现评估过程</w:t>
      </w:r>
      <w:r>
        <w:rPr>
          <w:rFonts w:hint="eastAsia"/>
          <w:bCs/>
          <w:color w:val="000000"/>
          <w:sz w:val="24"/>
          <w:szCs w:val="24"/>
          <w:lang w:val="zh-CN"/>
        </w:rPr>
        <w:t xml:space="preserve">标准化、</w:t>
      </w:r>
      <w:r>
        <w:rPr>
          <w:rFonts w:hint="eastAsia"/>
          <w:bCs/>
          <w:color w:val="000000"/>
          <w:sz w:val="24"/>
          <w:szCs w:val="24"/>
        </w:rPr>
        <w:t xml:space="preserve">结果可量化和分析可追溯，</w:t>
      </w:r>
      <w:r>
        <w:rPr>
          <w:rFonts w:hint="eastAsia"/>
          <w:bCs/>
          <w:color w:val="000000"/>
          <w:sz w:val="24"/>
          <w:szCs w:val="24"/>
          <w:lang w:val="zh-CN"/>
        </w:rPr>
        <w:t xml:space="preserve">并将评估结果与扶持资金的分配、使用及绩效跟踪紧密联动；提供多维度的统计分析功能，为主管部门实时掌握集聚区发展态势、识别短板及制定科学决策提供有力的数据支撑。</w:t>
      </w:r>
      <w:r>
        <w:rPr>
          <w:bCs/>
          <w:color w:val="000000"/>
          <w:sz w:val="24"/>
          <w:szCs w:val="24"/>
          <w:lang w:val="zh-CN"/>
        </w:rPr>
      </w:r>
      <w:r/>
    </w:p>
    <w:p>
      <w:pPr>
        <w:pStyle w:val="1000"/>
        <w:numPr>
          <w:ilvl w:val="1"/>
          <w:numId w:val="9"/>
        </w:numPr>
        <w:ind w:left="884" w:hanging="442"/>
        <w:jc w:val="both"/>
        <w:spacing w:line="400" w:lineRule="exact"/>
        <w:widowControl w:val="off"/>
        <w:rPr>
          <w:bCs/>
          <w:color w:val="000000"/>
          <w:lang w:val="zh-CN" w:eastAsia="zh-CN"/>
        </w:rPr>
        <w:outlineLvl w:val="3"/>
      </w:pPr>
      <w:r>
        <w:rPr>
          <w:rFonts w:hint="eastAsia"/>
          <w:bCs/>
          <w:color w:val="000000"/>
          <w:lang w:eastAsia="zh-CN"/>
        </w:rPr>
        <w:t xml:space="preserve">扶持项目和专项</w:t>
      </w:r>
      <w:r>
        <w:rPr>
          <w:rFonts w:hint="eastAsia"/>
          <w:bCs/>
          <w:color w:val="000000"/>
          <w:lang w:val="zh-CN" w:eastAsia="zh-CN"/>
        </w:rPr>
        <w:t xml:space="preserve">资金绩效管理</w:t>
      </w:r>
      <w:r>
        <w:rPr>
          <w:rFonts w:hint="eastAsia"/>
          <w:bCs/>
          <w:color w:val="000000"/>
          <w:lang w:eastAsia="zh-CN"/>
        </w:rPr>
        <w:t xml:space="preserve">模块</w:t>
      </w:r>
      <w:r>
        <w:rPr>
          <w:bCs/>
          <w:color w:val="000000"/>
          <w:lang w:val="zh-CN" w:eastAsia="zh-CN"/>
        </w:rPr>
      </w:r>
      <w:r/>
    </w:p>
    <w:p>
      <w:pPr>
        <w:pStyle w:val="907"/>
        <w:ind w:firstLine="480"/>
        <w:spacing w:line="400" w:lineRule="exact"/>
        <w:rPr>
          <w:bCs/>
          <w:color w:val="000000"/>
          <w:sz w:val="24"/>
          <w:szCs w:val="24"/>
        </w:rPr>
      </w:pPr>
      <w:r>
        <w:rPr>
          <w:rFonts w:hint="eastAsia"/>
          <w:bCs/>
          <w:color w:val="000000"/>
          <w:sz w:val="24"/>
          <w:szCs w:val="24"/>
        </w:rPr>
        <w:t xml:space="preserve">建设扶持项目和专项资金绩效管理模块，实现内容创作、公共服务及平台载体三类项目从申报单位、业务处室管理到绩效评估的全流程闭环管理。</w:t>
      </w:r>
      <w:r>
        <w:rPr>
          <w:rFonts w:hint="eastAsia"/>
          <w:bCs/>
          <w:color w:val="000000"/>
          <w:sz w:val="24"/>
          <w:szCs w:val="24"/>
          <w:lang w:val="zh-CN"/>
        </w:rPr>
        <w:t xml:space="preserve">提供</w:t>
      </w:r>
      <w:r>
        <w:rPr>
          <w:rFonts w:hint="eastAsia"/>
          <w:bCs/>
          <w:color w:val="000000"/>
          <w:sz w:val="24"/>
          <w:szCs w:val="24"/>
        </w:rPr>
        <w:t xml:space="preserve">包括但不限于：针对三类不同项目，实现从材料申报、前置审查、专家评审、实地考察、扶持建议、会议决策、扶持共识到资金合同及绩效评价的规范化与留痕管理，并支持过程留痕、风险标识与超期预警。同时，系统应具备完善的资料归档与一键打包能力，并支持将核心查询与进度跟踪功能集成至移动端APP，通过统一认证实现便捷访问，全面提升专项资金项目管理的精细化、智能化与协同效率。</w:t>
      </w:r>
      <w:r>
        <w:rPr>
          <w:bCs/>
          <w:color w:val="000000"/>
          <w:sz w:val="24"/>
          <w:szCs w:val="24"/>
        </w:rPr>
      </w:r>
      <w:r/>
    </w:p>
    <w:p>
      <w:pPr>
        <w:pStyle w:val="1000"/>
        <w:numPr>
          <w:ilvl w:val="1"/>
          <w:numId w:val="9"/>
        </w:numPr>
        <w:ind w:left="884" w:hanging="442"/>
        <w:jc w:val="both"/>
        <w:spacing w:line="400" w:lineRule="exact"/>
        <w:widowControl w:val="off"/>
        <w:rPr>
          <w:bCs/>
          <w:color w:val="000000"/>
          <w:lang w:val="zh-CN" w:eastAsia="zh-CN"/>
        </w:rPr>
        <w:outlineLvl w:val="3"/>
      </w:pPr>
      <w:r>
        <w:rPr>
          <w:rFonts w:hint="eastAsia"/>
          <w:bCs/>
          <w:color w:val="000000"/>
          <w:lang w:val="zh-CN" w:eastAsia="zh-CN"/>
        </w:rPr>
        <w:t xml:space="preserve">苏服拍视听产业服务</w:t>
      </w:r>
      <w:r>
        <w:rPr>
          <w:rFonts w:hint="eastAsia"/>
          <w:bCs/>
          <w:color w:val="000000"/>
          <w:lang w:eastAsia="zh-CN"/>
        </w:rPr>
        <w:t xml:space="preserve">模块</w:t>
      </w:r>
      <w:r>
        <w:rPr>
          <w:bCs/>
          <w:color w:val="000000"/>
          <w:lang w:val="zh-CN" w:eastAsia="zh-CN"/>
        </w:rPr>
      </w:r>
      <w:r/>
    </w:p>
    <w:p>
      <w:pPr>
        <w:pStyle w:val="907"/>
        <w:ind w:firstLine="480"/>
        <w:spacing w:line="400" w:lineRule="exact"/>
        <w:rPr>
          <w:bCs/>
          <w:color w:val="000000"/>
          <w:sz w:val="24"/>
          <w:szCs w:val="24"/>
          <w:lang w:val="zh-CN"/>
        </w:rPr>
      </w:pPr>
      <w:r>
        <w:rPr>
          <w:rFonts w:hint="eastAsia"/>
          <w:bCs/>
          <w:color w:val="000000"/>
          <w:sz w:val="24"/>
          <w:szCs w:val="24"/>
          <w:lang w:val="zh-CN"/>
        </w:rPr>
        <w:t xml:space="preserve">建设“苏服拍”管理</w:t>
      </w:r>
      <w:r>
        <w:rPr>
          <w:rFonts w:hint="eastAsia"/>
          <w:bCs/>
          <w:color w:val="000000"/>
          <w:sz w:val="24"/>
          <w:szCs w:val="24"/>
        </w:rPr>
        <w:t xml:space="preserve">模块</w:t>
      </w:r>
      <w:r>
        <w:rPr>
          <w:rFonts w:hint="eastAsia"/>
          <w:bCs/>
          <w:color w:val="000000"/>
          <w:sz w:val="24"/>
          <w:szCs w:val="24"/>
          <w:lang w:val="zh-CN"/>
        </w:rPr>
        <w:t xml:space="preserve">，实现对省、市及</w:t>
      </w:r>
      <w:r>
        <w:rPr>
          <w:rFonts w:hint="eastAsia"/>
          <w:bCs/>
          <w:color w:val="000000"/>
          <w:sz w:val="24"/>
          <w:szCs w:val="24"/>
        </w:rPr>
        <w:t xml:space="preserve">产业集聚区的</w:t>
      </w:r>
      <w:r>
        <w:rPr>
          <w:rFonts w:hint="eastAsia"/>
          <w:bCs/>
          <w:color w:val="000000"/>
          <w:sz w:val="24"/>
          <w:szCs w:val="24"/>
          <w:lang w:val="zh-CN"/>
        </w:rPr>
        <w:t xml:space="preserve">各级广电视听文艺创作资源的统一</w:t>
      </w:r>
      <w:r>
        <w:rPr>
          <w:rFonts w:hint="eastAsia"/>
          <w:bCs/>
          <w:color w:val="000000"/>
          <w:sz w:val="24"/>
          <w:szCs w:val="24"/>
        </w:rPr>
        <w:t xml:space="preserve">汇聚</w:t>
      </w:r>
      <w:r>
        <w:rPr>
          <w:rFonts w:hint="eastAsia"/>
          <w:bCs/>
          <w:color w:val="000000"/>
          <w:sz w:val="24"/>
          <w:szCs w:val="24"/>
          <w:lang w:val="zh-CN"/>
        </w:rPr>
        <w:t xml:space="preserve">与服务。提供</w:t>
      </w:r>
      <w:r>
        <w:rPr>
          <w:rFonts w:hint="eastAsia"/>
          <w:bCs/>
          <w:color w:val="000000"/>
          <w:sz w:val="24"/>
          <w:szCs w:val="24"/>
        </w:rPr>
        <w:t xml:space="preserve">包括但不限于：</w:t>
      </w:r>
      <w:r>
        <w:rPr>
          <w:rFonts w:hint="eastAsia"/>
          <w:bCs/>
          <w:color w:val="000000"/>
          <w:sz w:val="24"/>
          <w:szCs w:val="24"/>
          <w:lang w:val="zh-CN"/>
        </w:rPr>
        <w:t xml:space="preserve">移动端以首页为统一入口，集成AI搜索、VR沉浸式浏览及多维度检索功能，集中展示取景佳地、苏产精品、特色题材、</w:t>
      </w:r>
      <w:r>
        <w:rPr>
          <w:rFonts w:hint="eastAsia"/>
          <w:bCs/>
          <w:color w:val="000000"/>
          <w:sz w:val="24"/>
          <w:szCs w:val="24"/>
        </w:rPr>
        <w:t xml:space="preserve">生态伙伴、</w:t>
      </w:r>
      <w:r>
        <w:rPr>
          <w:rFonts w:hint="eastAsia"/>
          <w:bCs/>
          <w:color w:val="000000"/>
          <w:sz w:val="24"/>
          <w:szCs w:val="24"/>
          <w:lang w:val="zh-CN"/>
        </w:rPr>
        <w:t xml:space="preserve">惠利</w:t>
      </w:r>
      <w:r>
        <w:rPr>
          <w:rFonts w:hint="eastAsia"/>
          <w:bCs/>
          <w:color w:val="000000"/>
          <w:sz w:val="24"/>
          <w:szCs w:val="24"/>
        </w:rPr>
        <w:t xml:space="preserve">举措、</w:t>
      </w:r>
      <w:r>
        <w:rPr>
          <w:rFonts w:hint="eastAsia"/>
          <w:bCs/>
          <w:color w:val="000000"/>
          <w:sz w:val="24"/>
          <w:szCs w:val="24"/>
          <w:lang w:val="zh-CN"/>
        </w:rPr>
        <w:t xml:space="preserve">政策</w:t>
      </w:r>
      <w:r>
        <w:rPr>
          <w:rFonts w:hint="eastAsia"/>
          <w:bCs/>
          <w:color w:val="000000"/>
          <w:sz w:val="24"/>
          <w:szCs w:val="24"/>
        </w:rPr>
        <w:t xml:space="preserve">法规</w:t>
      </w:r>
      <w:r>
        <w:rPr>
          <w:rFonts w:hint="eastAsia"/>
          <w:bCs/>
          <w:color w:val="000000"/>
          <w:sz w:val="24"/>
          <w:szCs w:val="24"/>
          <w:lang w:val="zh-CN"/>
        </w:rPr>
        <w:t xml:space="preserve">等核心内容，为行业机构及个人提供一站式资源查询与互动服务。管理端应具备全流程内容运营能力，支持</w:t>
      </w:r>
      <w:r>
        <w:rPr>
          <w:rFonts w:hint="eastAsia"/>
          <w:bCs/>
          <w:color w:val="000000"/>
          <w:sz w:val="24"/>
          <w:szCs w:val="24"/>
        </w:rPr>
        <w:t xml:space="preserve">各类资源</w:t>
      </w:r>
      <w:r>
        <w:rPr>
          <w:rFonts w:hint="eastAsia"/>
          <w:bCs/>
          <w:color w:val="000000"/>
          <w:sz w:val="24"/>
          <w:szCs w:val="24"/>
          <w:lang w:val="zh-CN"/>
        </w:rPr>
        <w:t xml:space="preserve">信息的</w:t>
      </w:r>
      <w:r>
        <w:rPr>
          <w:rFonts w:hint="eastAsia"/>
          <w:bCs/>
          <w:color w:val="000000"/>
          <w:sz w:val="24"/>
          <w:szCs w:val="24"/>
        </w:rPr>
        <w:t xml:space="preserve">上传、</w:t>
      </w:r>
      <w:r>
        <w:rPr>
          <w:rFonts w:hint="eastAsia"/>
          <w:bCs/>
          <w:color w:val="000000"/>
          <w:sz w:val="24"/>
          <w:szCs w:val="24"/>
          <w:lang w:val="zh-CN"/>
        </w:rPr>
        <w:t xml:space="preserve">多级审核、发布与维护；</w:t>
      </w:r>
      <w:r>
        <w:rPr>
          <w:rFonts w:hint="eastAsia"/>
          <w:bCs/>
          <w:color w:val="000000"/>
          <w:sz w:val="24"/>
          <w:szCs w:val="24"/>
        </w:rPr>
        <w:t xml:space="preserve">围绕各业务模块运行数据、资源标签、用户行为进行汇总分析，</w:t>
      </w:r>
      <w:r>
        <w:rPr>
          <w:rFonts w:hint="eastAsia"/>
          <w:bCs/>
          <w:color w:val="000000"/>
          <w:sz w:val="24"/>
          <w:szCs w:val="24"/>
          <w:lang w:val="zh-CN"/>
        </w:rPr>
        <w:t xml:space="preserve">并建设资源分析看板与综合数据驾驶舱，</w:t>
      </w:r>
      <w:r>
        <w:rPr>
          <w:rFonts w:hint="eastAsia"/>
          <w:bCs/>
          <w:color w:val="000000"/>
          <w:sz w:val="24"/>
          <w:szCs w:val="24"/>
        </w:rPr>
        <w:t xml:space="preserve">支持多维数据可视化展示及下钻穿透查询</w:t>
      </w:r>
      <w:r>
        <w:rPr>
          <w:rFonts w:hint="eastAsia"/>
          <w:bCs/>
          <w:color w:val="000000"/>
          <w:sz w:val="24"/>
          <w:szCs w:val="24"/>
          <w:lang w:val="zh-CN"/>
        </w:rPr>
        <w:t xml:space="preserve">。同时，对接统一身份认证与消息待办等基础服务，全面实现内容运</w:t>
      </w:r>
      <w:r>
        <w:rPr>
          <w:rFonts w:hint="eastAsia"/>
          <w:bCs/>
          <w:color w:val="000000"/>
          <w:sz w:val="24"/>
          <w:szCs w:val="24"/>
        </w:rPr>
        <w:t xml:space="preserve">维</w:t>
      </w:r>
      <w:r>
        <w:rPr>
          <w:rFonts w:hint="eastAsia"/>
          <w:bCs/>
          <w:color w:val="000000"/>
          <w:sz w:val="24"/>
          <w:szCs w:val="24"/>
          <w:lang w:val="zh-CN"/>
        </w:rPr>
        <w:t xml:space="preserve">、数据分析与平台协同的高效管理。</w:t>
      </w:r>
      <w:r>
        <w:rPr>
          <w:bCs/>
          <w:color w:val="000000"/>
          <w:sz w:val="24"/>
          <w:szCs w:val="24"/>
          <w:lang w:val="zh-CN"/>
        </w:rPr>
      </w:r>
      <w:r/>
    </w:p>
    <w:p>
      <w:pPr>
        <w:pStyle w:val="1025"/>
        <w:numPr>
          <w:ilvl w:val="3"/>
          <w:numId w:val="6"/>
        </w:numPr>
        <w:jc w:val="left"/>
        <w:spacing w:before="0" w:after="0" w:line="360" w:lineRule="auto"/>
        <w:widowControl/>
        <w:rPr>
          <w:color w:val="000000"/>
          <w:sz w:val="24"/>
          <w:szCs w:val="24"/>
        </w:rPr>
      </w:pPr>
      <w:r/>
      <w:bookmarkStart w:id="206" w:name="_Toc232428456"/>
      <w:r>
        <w:rPr>
          <w:rFonts w:hint="eastAsia"/>
          <w:color w:val="000000"/>
          <w:sz w:val="24"/>
          <w:szCs w:val="24"/>
        </w:rPr>
        <w:t xml:space="preserve">公共服务管理应用系统</w:t>
      </w:r>
      <w:bookmarkEnd w:id="206"/>
      <w:r>
        <w:rPr>
          <w:color w:val="000000"/>
          <w:sz w:val="24"/>
          <w:szCs w:val="24"/>
        </w:rPr>
      </w:r>
      <w:r/>
    </w:p>
    <w:p>
      <w:pPr>
        <w:pStyle w:val="1000"/>
        <w:numPr>
          <w:ilvl w:val="1"/>
          <w:numId w:val="10"/>
        </w:numPr>
        <w:ind w:left="884" w:hanging="442"/>
        <w:jc w:val="both"/>
        <w:spacing w:line="400" w:lineRule="exact"/>
        <w:widowControl w:val="off"/>
        <w:rPr>
          <w:bCs/>
          <w:color w:val="000000"/>
          <w:lang w:val="zh-CN" w:eastAsia="zh-CN"/>
        </w:rPr>
        <w:outlineLvl w:val="3"/>
      </w:pPr>
      <w:r>
        <w:rPr>
          <w:rFonts w:hint="eastAsia"/>
          <w:bCs/>
          <w:color w:val="000000"/>
          <w:lang w:val="zh-CN" w:eastAsia="zh-CN"/>
        </w:rPr>
        <w:t xml:space="preserve">江苏省视听节目共享服务平台</w:t>
      </w:r>
      <w:r>
        <w:rPr>
          <w:bCs/>
          <w:color w:val="000000"/>
          <w:lang w:val="zh-CN" w:eastAsia="zh-CN"/>
        </w:rPr>
      </w:r>
      <w:r/>
    </w:p>
    <w:p>
      <w:pPr>
        <w:pStyle w:val="907"/>
        <w:ind w:firstLine="480"/>
        <w:spacing w:line="400" w:lineRule="exact"/>
        <w:rPr>
          <w:bCs/>
          <w:color w:val="000000"/>
          <w:sz w:val="24"/>
          <w:szCs w:val="24"/>
          <w:lang w:val="zh-CN"/>
        </w:rPr>
      </w:pPr>
      <w:r/>
      <w:bookmarkStart w:id="207" w:name="系统功能设计"/>
      <w:r>
        <w:rPr>
          <w:rFonts w:hint="eastAsia"/>
          <w:bCs/>
          <w:color w:val="000000"/>
          <w:sz w:val="24"/>
          <w:szCs w:val="24"/>
        </w:rPr>
        <w:t xml:space="preserve">依托现有</w:t>
      </w:r>
      <w:r>
        <w:rPr>
          <w:rFonts w:hint="eastAsia"/>
          <w:bCs/>
          <w:color w:val="000000"/>
          <w:sz w:val="24"/>
          <w:szCs w:val="24"/>
          <w:lang w:val="zh-CN"/>
        </w:rPr>
        <w:t xml:space="preserve">省视听节目共享服务平台，</w:t>
      </w:r>
      <w:r>
        <w:rPr>
          <w:rFonts w:hint="eastAsia"/>
          <w:bCs/>
          <w:color w:val="000000"/>
          <w:sz w:val="24"/>
          <w:szCs w:val="24"/>
        </w:rPr>
        <w:t xml:space="preserve">构建覆盖节目共享全流程和运营管理全过程的功能体系。</w:t>
      </w:r>
      <w:r>
        <w:rPr>
          <w:rFonts w:hint="eastAsia"/>
          <w:bCs/>
          <w:color w:val="000000"/>
          <w:sz w:val="24"/>
          <w:szCs w:val="24"/>
          <w:lang w:val="zh-CN"/>
        </w:rPr>
        <w:t xml:space="preserve">提供</w:t>
      </w:r>
      <w:r>
        <w:rPr>
          <w:rFonts w:hint="eastAsia"/>
          <w:bCs/>
          <w:color w:val="000000"/>
          <w:sz w:val="24"/>
          <w:szCs w:val="24"/>
        </w:rPr>
        <w:t xml:space="preserve">包括但不限于：</w:t>
      </w:r>
      <w:r>
        <w:rPr>
          <w:rFonts w:hint="eastAsia"/>
          <w:bCs/>
          <w:color w:val="000000"/>
          <w:sz w:val="24"/>
          <w:szCs w:val="24"/>
          <w:lang w:val="zh-CN"/>
        </w:rPr>
        <w:t xml:space="preserve">支持多级分类管理、资源录入、</w:t>
      </w:r>
      <w:r>
        <w:rPr>
          <w:rFonts w:hint="eastAsia"/>
          <w:bCs/>
          <w:color w:val="000000"/>
          <w:sz w:val="24"/>
          <w:szCs w:val="24"/>
        </w:rPr>
        <w:t xml:space="preserve">发布</w:t>
      </w:r>
      <w:r>
        <w:rPr>
          <w:rFonts w:hint="eastAsia"/>
          <w:bCs/>
          <w:color w:val="000000"/>
          <w:sz w:val="24"/>
          <w:szCs w:val="24"/>
          <w:lang w:val="zh-CN"/>
        </w:rPr>
        <w:t xml:space="preserve">审核及管理</w:t>
      </w:r>
      <w:r>
        <w:rPr>
          <w:rFonts w:hint="eastAsia"/>
          <w:bCs/>
          <w:color w:val="000000"/>
          <w:sz w:val="24"/>
          <w:szCs w:val="24"/>
        </w:rPr>
        <w:t xml:space="preserve">等功能，建设科普内容分类体系和标签规范；</w:t>
      </w:r>
      <w:r>
        <w:rPr>
          <w:rFonts w:hint="eastAsia"/>
          <w:b/>
          <w:color w:val="000000"/>
          <w:sz w:val="24"/>
          <w:szCs w:val="24"/>
          <w:lang w:val="zh-CN"/>
        </w:rPr>
        <w:t xml:space="preserve">▲融合AI技术，通过场景识别、语音转写等能力实现智能编目与动态栏目生成，并建立严格的版权全生命周期管控机制（投标人须提供</w:t>
      </w:r>
      <w:r>
        <w:rPr>
          <w:rFonts w:hint="eastAsia"/>
          <w:b/>
          <w:color w:val="000000"/>
          <w:sz w:val="24"/>
          <w:szCs w:val="24"/>
        </w:rPr>
        <w:t xml:space="preserve">该</w:t>
      </w:r>
      <w:r>
        <w:rPr>
          <w:rFonts w:hint="eastAsia"/>
          <w:b/>
          <w:color w:val="000000"/>
          <w:sz w:val="24"/>
          <w:szCs w:val="24"/>
          <w:lang w:val="zh-CN"/>
        </w:rPr>
        <w:t xml:space="preserve">系统相关功能界面截图，截图应清晰体现AI辅助功能：人脸识别、智能标签、人工标注、语音识别、字幕识别；智能编目：编目信息、封面截图、基础信息、媒体属性等功能，并加盖投标人公章）</w:t>
      </w:r>
      <w:r>
        <w:rPr>
          <w:rFonts w:hint="eastAsia"/>
          <w:bCs/>
          <w:color w:val="000000"/>
          <w:sz w:val="24"/>
          <w:szCs w:val="24"/>
          <w:lang w:val="zh-CN"/>
        </w:rPr>
        <w:t xml:space="preserve">；打通与数字广电平台的标准接口，实现核心业务数据的双向互联互通与协同管控；在运营激励与分发层面，建立灵活的积分体系，支持对发布、下载及播出行为进行动态规则配置与自动核算，并配套评估任务管理与多维数据分析展示；提供专用下载优化工具以提升传输效率，并支持系列化节目的</w:t>
      </w:r>
      <w:r>
        <w:rPr>
          <w:rFonts w:hint="eastAsia"/>
          <w:bCs/>
          <w:color w:val="000000"/>
          <w:sz w:val="24"/>
          <w:szCs w:val="24"/>
        </w:rPr>
        <w:t xml:space="preserve">智能</w:t>
      </w:r>
      <w:r>
        <w:rPr>
          <w:rFonts w:hint="eastAsia"/>
          <w:bCs/>
          <w:color w:val="000000"/>
          <w:sz w:val="24"/>
          <w:szCs w:val="24"/>
          <w:lang w:val="zh-CN"/>
        </w:rPr>
        <w:t xml:space="preserve">快速聚合与多端门户推荐，全面提升全省视听资源的共享效率、运营智能化水平及决策支撑能力。</w:t>
      </w:r>
      <w:r>
        <w:rPr>
          <w:bCs/>
          <w:color w:val="000000"/>
          <w:sz w:val="24"/>
          <w:szCs w:val="24"/>
          <w:lang w:val="zh-CN"/>
        </w:rPr>
      </w:r>
      <w:r/>
    </w:p>
    <w:p>
      <w:pPr>
        <w:pStyle w:val="1000"/>
        <w:numPr>
          <w:ilvl w:val="1"/>
          <w:numId w:val="10"/>
        </w:numPr>
        <w:ind w:left="884" w:hanging="442"/>
        <w:jc w:val="both"/>
        <w:spacing w:line="400" w:lineRule="exact"/>
        <w:widowControl w:val="off"/>
        <w:rPr>
          <w:bCs/>
          <w:color w:val="000000"/>
          <w:lang w:val="zh-CN" w:eastAsia="zh-CN"/>
        </w:rPr>
        <w:outlineLvl w:val="3"/>
      </w:pPr>
      <w:r/>
      <w:bookmarkEnd w:id="207"/>
      <w:r>
        <w:rPr>
          <w:rFonts w:hint="eastAsia"/>
          <w:bCs/>
          <w:color w:val="000000"/>
          <w:lang w:val="zh-CN" w:eastAsia="zh-CN"/>
        </w:rPr>
        <w:t xml:space="preserve">智慧广电乡村工程监测和应急广播调度</w:t>
      </w:r>
      <w:r>
        <w:rPr>
          <w:rFonts w:hint="eastAsia"/>
          <w:bCs/>
          <w:color w:val="000000"/>
          <w:lang w:eastAsia="zh-CN"/>
        </w:rPr>
        <w:t xml:space="preserve">数据接入</w:t>
      </w:r>
      <w:r>
        <w:rPr>
          <w:bCs/>
          <w:color w:val="000000"/>
          <w:lang w:val="zh-CN" w:eastAsia="zh-CN"/>
        </w:rPr>
      </w:r>
      <w:r/>
    </w:p>
    <w:p>
      <w:pPr>
        <w:pStyle w:val="907"/>
        <w:ind w:firstLine="480"/>
        <w:spacing w:line="400" w:lineRule="exact"/>
        <w:rPr>
          <w:b/>
          <w:color w:val="000000"/>
          <w:sz w:val="24"/>
          <w:szCs w:val="24"/>
          <w:lang w:val="zh-CN"/>
        </w:rPr>
      </w:pPr>
      <w:r>
        <w:rPr>
          <w:rFonts w:hint="eastAsia"/>
          <w:bCs/>
          <w:color w:val="000000"/>
          <w:sz w:val="24"/>
          <w:szCs w:val="24"/>
        </w:rPr>
        <w:t xml:space="preserve">依托现有省智慧广电乡村工程平台和应急广播平台，提供包括但不限于：建设数据接入能力，集中展示智慧广电乡村工程访问量、内容更新量和优质内容轮播，展示</w:t>
      </w:r>
      <w:r>
        <w:rPr>
          <w:rFonts w:hint="eastAsia"/>
          <w:bCs/>
          <w:color w:val="000000"/>
          <w:sz w:val="24"/>
          <w:szCs w:val="24"/>
          <w:lang w:val="zh-CN"/>
        </w:rPr>
        <w:t xml:space="preserve">应急广播平台终端运行及应急</w:t>
      </w:r>
      <w:r>
        <w:rPr>
          <w:rFonts w:hint="eastAsia"/>
          <w:bCs/>
          <w:color w:val="000000"/>
          <w:sz w:val="24"/>
          <w:szCs w:val="24"/>
        </w:rPr>
        <w:t xml:space="preserve">信息</w:t>
      </w:r>
      <w:r>
        <w:rPr>
          <w:rFonts w:hint="eastAsia"/>
          <w:bCs/>
          <w:color w:val="000000"/>
          <w:sz w:val="24"/>
          <w:szCs w:val="24"/>
          <w:lang w:val="zh-CN"/>
        </w:rPr>
        <w:t xml:space="preserve">播发情况，依托核心数据管理单元对</w:t>
      </w:r>
      <w:r>
        <w:rPr>
          <w:rFonts w:hint="eastAsia"/>
          <w:bCs/>
          <w:color w:val="000000"/>
          <w:sz w:val="24"/>
          <w:szCs w:val="24"/>
        </w:rPr>
        <w:t xml:space="preserve">相关</w:t>
      </w:r>
      <w:r>
        <w:rPr>
          <w:rFonts w:hint="eastAsia"/>
          <w:bCs/>
          <w:color w:val="000000"/>
          <w:sz w:val="24"/>
          <w:szCs w:val="24"/>
          <w:lang w:val="zh-CN"/>
        </w:rPr>
        <w:t xml:space="preserve">数据进行统一导入与维护，有效保障展示数据的准确性、完整性与可追溯性</w:t>
      </w:r>
      <w:r>
        <w:rPr>
          <w:b/>
          <w:color w:val="000000"/>
          <w:sz w:val="24"/>
          <w:szCs w:val="24"/>
          <w:lang w:val="zh-CN"/>
        </w:rPr>
      </w:r>
      <w:r/>
    </w:p>
    <w:p>
      <w:pPr>
        <w:pStyle w:val="1025"/>
        <w:numPr>
          <w:ilvl w:val="3"/>
          <w:numId w:val="6"/>
        </w:numPr>
        <w:jc w:val="left"/>
        <w:spacing w:before="0" w:after="0" w:line="360" w:lineRule="auto"/>
        <w:widowControl/>
        <w:rPr>
          <w:color w:val="000000"/>
          <w:sz w:val="24"/>
          <w:szCs w:val="24"/>
        </w:rPr>
      </w:pPr>
      <w:r/>
      <w:bookmarkStart w:id="208" w:name="_Toc232428457"/>
      <w:r>
        <w:rPr>
          <w:rFonts w:hint="eastAsia"/>
          <w:color w:val="000000"/>
          <w:sz w:val="24"/>
          <w:szCs w:val="24"/>
        </w:rPr>
        <w:t xml:space="preserve">人才与专家管理应用系统</w:t>
      </w:r>
      <w:bookmarkEnd w:id="208"/>
      <w:r>
        <w:rPr>
          <w:color w:val="000000"/>
          <w:sz w:val="24"/>
          <w:szCs w:val="24"/>
        </w:rPr>
      </w:r>
      <w:r/>
    </w:p>
    <w:p>
      <w:pPr>
        <w:pStyle w:val="1000"/>
        <w:numPr>
          <w:ilvl w:val="0"/>
          <w:numId w:val="11"/>
        </w:numPr>
        <w:ind w:left="884" w:hanging="442"/>
        <w:jc w:val="both"/>
        <w:spacing w:line="400" w:lineRule="exact"/>
        <w:widowControl w:val="off"/>
        <w:rPr>
          <w:bCs/>
          <w:color w:val="000000"/>
          <w:lang w:val="zh-CN"/>
        </w:rPr>
        <w:outlineLvl w:val="3"/>
      </w:pPr>
      <w:r>
        <w:rPr>
          <w:rFonts w:hint="eastAsia"/>
          <w:bCs/>
          <w:color w:val="000000"/>
          <w:lang w:val="zh-CN"/>
        </w:rPr>
        <w:t xml:space="preserve">人才管理</w:t>
      </w:r>
      <w:r>
        <w:rPr>
          <w:rFonts w:hint="eastAsia"/>
          <w:bCs/>
          <w:color w:val="000000"/>
        </w:rPr>
        <w:t xml:space="preserve">模块</w:t>
      </w:r>
      <w:r>
        <w:rPr>
          <w:bCs/>
          <w:color w:val="000000"/>
          <w:lang w:val="zh-CN"/>
        </w:rPr>
      </w:r>
      <w:r/>
    </w:p>
    <w:p>
      <w:pPr>
        <w:pStyle w:val="907"/>
        <w:ind w:firstLine="480"/>
        <w:spacing w:line="400" w:lineRule="exact"/>
        <w:rPr>
          <w:bCs/>
          <w:color w:val="000000"/>
          <w:sz w:val="24"/>
          <w:szCs w:val="24"/>
        </w:rPr>
      </w:pPr>
      <w:r>
        <w:rPr>
          <w:rFonts w:hint="eastAsia"/>
          <w:bCs/>
          <w:color w:val="000000"/>
          <w:sz w:val="24"/>
          <w:szCs w:val="24"/>
        </w:rPr>
        <w:t xml:space="preserve">建设人才与职称评审管理模块，实现人才从申报、评选、公示到评审结果的全流程闭环管理。</w:t>
      </w:r>
      <w:r>
        <w:rPr>
          <w:rFonts w:hint="eastAsia"/>
          <w:bCs/>
          <w:color w:val="000000"/>
          <w:sz w:val="24"/>
          <w:szCs w:val="24"/>
          <w:lang w:val="zh-CN"/>
        </w:rPr>
        <w:t xml:space="preserve">提供</w:t>
      </w:r>
      <w:r>
        <w:rPr>
          <w:rFonts w:hint="eastAsia"/>
          <w:bCs/>
          <w:color w:val="000000"/>
          <w:sz w:val="24"/>
          <w:szCs w:val="24"/>
        </w:rPr>
        <w:t xml:space="preserve">包括但不限于：</w:t>
      </w:r>
      <w:r>
        <w:rPr>
          <w:b/>
          <w:color w:val="000000"/>
          <w:sz w:val="24"/>
          <w:szCs w:val="24"/>
        </w:rPr>
        <w:t xml:space="preserve">▲支持</w:t>
      </w:r>
      <w:r>
        <w:rPr>
          <w:rFonts w:hint="eastAsia"/>
          <w:b/>
          <w:color w:val="000000"/>
          <w:sz w:val="24"/>
          <w:szCs w:val="24"/>
        </w:rPr>
        <w:t xml:space="preserve">行业单位或</w:t>
      </w:r>
      <w:r>
        <w:rPr>
          <w:b/>
          <w:color w:val="000000"/>
          <w:sz w:val="24"/>
          <w:szCs w:val="24"/>
        </w:rPr>
        <w:t xml:space="preserve">专业人员按照人才类型及申报要求开展人才申报，填报基本信息、工作经历、技能特长、获奖情况等申报材料；支持申报信息的查询和提交，并支持历史申报记录、申报结果及获奖情况查询和导出（提供人才申报信息填写、申报记录及申报结果查询等功能截图</w:t>
      </w:r>
      <w:r>
        <w:rPr>
          <w:rFonts w:hint="eastAsia"/>
          <w:b/>
          <w:color w:val="000000"/>
          <w:sz w:val="24"/>
          <w:szCs w:val="24"/>
        </w:rPr>
        <w:t xml:space="preserve">，</w:t>
      </w:r>
      <w:r>
        <w:rPr>
          <w:rFonts w:hint="eastAsia"/>
          <w:b/>
          <w:color w:val="000000"/>
          <w:sz w:val="24"/>
          <w:szCs w:val="24"/>
          <w:lang w:val="zh-CN"/>
        </w:rPr>
        <w:t xml:space="preserve">并加盖投标人公章</w:t>
      </w:r>
      <w:r>
        <w:rPr>
          <w:b/>
          <w:color w:val="000000"/>
          <w:sz w:val="24"/>
          <w:szCs w:val="24"/>
        </w:rPr>
        <w:t xml:space="preserve">）</w:t>
      </w:r>
      <w:r>
        <w:rPr>
          <w:rFonts w:hint="eastAsia"/>
          <w:b/>
          <w:color w:val="000000"/>
          <w:sz w:val="24"/>
          <w:szCs w:val="24"/>
        </w:rPr>
        <w:t xml:space="preserve">；</w:t>
      </w:r>
      <w:r>
        <w:rPr>
          <w:rFonts w:hint="eastAsia"/>
          <w:bCs/>
          <w:color w:val="000000"/>
          <w:sz w:val="24"/>
          <w:szCs w:val="24"/>
        </w:rPr>
        <w:t xml:space="preserve">通过与人社厅数据对接，支持自动同步初审信息、灵活配置面试流程及专家分配，并高效完成综合评审与结果反馈；同时，将核心查询功能集成至移动端APP，通过统一认证与单点登录机制，在大幅降低开发成本的同时，实现人才管理的便捷化与移动化。</w:t>
      </w:r>
      <w:r>
        <w:rPr>
          <w:bCs/>
          <w:color w:val="000000"/>
          <w:sz w:val="24"/>
          <w:szCs w:val="24"/>
        </w:rPr>
      </w:r>
      <w:r/>
    </w:p>
    <w:p>
      <w:pPr>
        <w:pStyle w:val="1000"/>
        <w:numPr>
          <w:ilvl w:val="0"/>
          <w:numId w:val="11"/>
        </w:numPr>
        <w:ind w:left="884" w:hanging="442"/>
        <w:jc w:val="both"/>
        <w:spacing w:line="400" w:lineRule="exact"/>
        <w:widowControl w:val="off"/>
        <w:rPr>
          <w:bCs/>
          <w:color w:val="000000"/>
          <w:lang w:val="zh-CN"/>
        </w:rPr>
        <w:outlineLvl w:val="3"/>
      </w:pPr>
      <w:r>
        <w:rPr>
          <w:rFonts w:hint="eastAsia"/>
          <w:bCs/>
          <w:color w:val="000000"/>
        </w:rPr>
        <w:t xml:space="preserve">评审</w:t>
      </w:r>
      <w:r>
        <w:rPr>
          <w:rFonts w:hint="eastAsia"/>
          <w:bCs/>
          <w:color w:val="000000"/>
          <w:lang w:val="zh-CN"/>
        </w:rPr>
        <w:t xml:space="preserve">专家管理</w:t>
      </w:r>
      <w:r>
        <w:rPr>
          <w:rFonts w:hint="eastAsia"/>
          <w:bCs/>
          <w:color w:val="000000"/>
        </w:rPr>
        <w:t xml:space="preserve">模块</w:t>
      </w:r>
      <w:r>
        <w:rPr>
          <w:bCs/>
          <w:color w:val="000000"/>
          <w:lang w:val="zh-CN"/>
        </w:rPr>
      </w:r>
      <w:r/>
    </w:p>
    <w:p>
      <w:pPr>
        <w:pStyle w:val="907"/>
        <w:ind w:firstLine="480"/>
        <w:spacing w:line="400" w:lineRule="exact"/>
        <w:rPr>
          <w:bCs/>
          <w:color w:val="000000"/>
          <w:sz w:val="24"/>
          <w:szCs w:val="24"/>
          <w:lang w:val="zh-CN"/>
        </w:rPr>
      </w:pPr>
      <w:r>
        <w:rPr>
          <w:rFonts w:hint="eastAsia"/>
          <w:bCs/>
          <w:color w:val="000000"/>
          <w:sz w:val="24"/>
          <w:szCs w:val="24"/>
          <w:lang w:val="zh-CN"/>
        </w:rPr>
        <w:t xml:space="preserve">建设</w:t>
      </w:r>
      <w:r>
        <w:rPr>
          <w:rFonts w:hint="eastAsia"/>
          <w:bCs/>
          <w:color w:val="000000"/>
          <w:sz w:val="24"/>
          <w:szCs w:val="24"/>
        </w:rPr>
        <w:t xml:space="preserve">评审</w:t>
      </w:r>
      <w:r>
        <w:rPr>
          <w:rFonts w:hint="eastAsia"/>
          <w:bCs/>
          <w:color w:val="000000"/>
          <w:sz w:val="24"/>
          <w:szCs w:val="24"/>
          <w:lang w:val="zh-CN"/>
        </w:rPr>
        <w:t xml:space="preserve">专家管理</w:t>
      </w:r>
      <w:r>
        <w:rPr>
          <w:rFonts w:hint="eastAsia"/>
          <w:bCs/>
          <w:color w:val="000000"/>
          <w:sz w:val="24"/>
          <w:szCs w:val="24"/>
        </w:rPr>
        <w:t xml:space="preserve">模块</w:t>
      </w:r>
      <w:r>
        <w:rPr>
          <w:rFonts w:hint="eastAsia"/>
          <w:bCs/>
          <w:color w:val="000000"/>
          <w:sz w:val="24"/>
          <w:szCs w:val="24"/>
          <w:lang w:val="zh-CN"/>
        </w:rPr>
        <w:t xml:space="preserve">，实现从专家入库、出库动态调整到日常维护的全周期闭环管</w:t>
      </w:r>
      <w:r>
        <w:rPr>
          <w:rFonts w:hint="eastAsia"/>
          <w:bCs/>
          <w:color w:val="000000"/>
          <w:sz w:val="24"/>
          <w:szCs w:val="24"/>
        </w:rPr>
        <w:t xml:space="preserve">理</w:t>
      </w:r>
      <w:r>
        <w:rPr>
          <w:rFonts w:hint="eastAsia"/>
          <w:bCs/>
          <w:color w:val="000000"/>
          <w:sz w:val="24"/>
          <w:szCs w:val="24"/>
          <w:lang w:val="zh-CN"/>
        </w:rPr>
        <w:t xml:space="preserve">。提供</w:t>
      </w:r>
      <w:r>
        <w:rPr>
          <w:rFonts w:hint="eastAsia"/>
          <w:bCs/>
          <w:color w:val="000000"/>
          <w:sz w:val="24"/>
          <w:szCs w:val="24"/>
        </w:rPr>
        <w:t xml:space="preserve">包括但不限于：</w:t>
      </w:r>
      <w:r>
        <w:rPr>
          <w:rFonts w:hint="eastAsia"/>
          <w:bCs/>
          <w:color w:val="000000"/>
          <w:sz w:val="24"/>
          <w:szCs w:val="24"/>
          <w:lang w:val="zh-CN"/>
        </w:rPr>
        <w:t xml:space="preserve">支持通过处室推荐、上会审议完成专家入库，并针对超龄、主动退出或考核不合格等</w:t>
      </w:r>
      <w:r>
        <w:rPr>
          <w:rFonts w:hint="eastAsia"/>
          <w:bCs/>
          <w:color w:val="000000"/>
          <w:sz w:val="24"/>
          <w:szCs w:val="24"/>
        </w:rPr>
        <w:t xml:space="preserve">出库规则和流程</w:t>
      </w:r>
      <w:r>
        <w:rPr>
          <w:rFonts w:hint="eastAsia"/>
          <w:bCs/>
          <w:color w:val="000000"/>
          <w:sz w:val="24"/>
          <w:szCs w:val="24"/>
          <w:lang w:val="zh-CN"/>
        </w:rPr>
        <w:t xml:space="preserve">进行规范的出库调整；</w:t>
      </w:r>
      <w:r>
        <w:rPr>
          <w:rFonts w:hint="eastAsia"/>
          <w:bCs/>
          <w:color w:val="000000"/>
          <w:sz w:val="24"/>
          <w:szCs w:val="24"/>
        </w:rPr>
        <w:t xml:space="preserve">对专家进行</w:t>
      </w:r>
      <w:r>
        <w:rPr>
          <w:rFonts w:hint="eastAsia"/>
          <w:bCs/>
          <w:color w:val="000000"/>
          <w:sz w:val="24"/>
          <w:szCs w:val="24"/>
          <w:lang w:val="zh-CN"/>
        </w:rPr>
        <w:t xml:space="preserve">多维</w:t>
      </w:r>
      <w:r>
        <w:rPr>
          <w:rFonts w:hint="eastAsia"/>
          <w:bCs/>
          <w:color w:val="000000"/>
          <w:sz w:val="24"/>
          <w:szCs w:val="24"/>
        </w:rPr>
        <w:t xml:space="preserve">度分类管理并</w:t>
      </w:r>
      <w:r>
        <w:rPr>
          <w:rFonts w:hint="eastAsia"/>
          <w:bCs/>
          <w:color w:val="000000"/>
          <w:sz w:val="24"/>
          <w:szCs w:val="24"/>
          <w:lang w:val="zh-CN"/>
        </w:rPr>
        <w:t xml:space="preserve">自动生成专家画像；支持根据项目需求按类别、领域等条件进行随机抽取</w:t>
      </w:r>
      <w:r>
        <w:rPr>
          <w:rFonts w:hint="eastAsia"/>
          <w:bCs/>
          <w:color w:val="000000"/>
          <w:sz w:val="24"/>
          <w:szCs w:val="24"/>
        </w:rPr>
        <w:t xml:space="preserve">专家</w:t>
      </w:r>
      <w:r>
        <w:rPr>
          <w:rFonts w:hint="eastAsia"/>
          <w:bCs/>
          <w:color w:val="000000"/>
          <w:sz w:val="24"/>
          <w:szCs w:val="24"/>
          <w:lang w:val="zh-CN"/>
        </w:rPr>
        <w:t xml:space="preserve">，并自动汇聚业务评审</w:t>
      </w:r>
      <w:r>
        <w:rPr>
          <w:rFonts w:hint="eastAsia"/>
          <w:bCs/>
          <w:color w:val="000000"/>
          <w:sz w:val="24"/>
          <w:szCs w:val="24"/>
        </w:rPr>
        <w:t xml:space="preserve">评价及</w:t>
      </w:r>
      <w:r>
        <w:rPr>
          <w:rFonts w:hint="eastAsia"/>
          <w:bCs/>
          <w:color w:val="000000"/>
          <w:sz w:val="24"/>
          <w:szCs w:val="24"/>
          <w:lang w:val="zh-CN"/>
        </w:rPr>
        <w:t xml:space="preserve">记录；</w:t>
      </w:r>
      <w:r>
        <w:rPr>
          <w:rFonts w:hint="eastAsia"/>
          <w:bCs/>
          <w:color w:val="000000"/>
          <w:sz w:val="24"/>
          <w:szCs w:val="24"/>
        </w:rPr>
        <w:t xml:space="preserve">按评审项目、计费规则实现评审费用支出管理；</w:t>
      </w:r>
      <w:r>
        <w:rPr>
          <w:rFonts w:hint="eastAsia"/>
          <w:bCs/>
          <w:color w:val="000000"/>
          <w:sz w:val="24"/>
          <w:szCs w:val="24"/>
          <w:lang w:val="zh-CN"/>
        </w:rPr>
        <w:t xml:space="preserve">支持多维度评价与统计分析，为专家履职档案的建立及后续精准选用提供科学依据；将核心查询功能集成至移动端APP，有效提升专家管理的便捷性与协同效率。</w:t>
      </w:r>
      <w:r>
        <w:rPr>
          <w:bCs/>
          <w:color w:val="000000"/>
          <w:sz w:val="24"/>
          <w:szCs w:val="24"/>
          <w:lang w:val="zh-CN"/>
        </w:rPr>
      </w:r>
      <w:r/>
    </w:p>
    <w:p>
      <w:pPr>
        <w:pStyle w:val="907"/>
        <w:ind w:firstLine="480"/>
        <w:spacing w:line="400" w:lineRule="exact"/>
        <w:rPr>
          <w:b/>
          <w:color w:val="000000"/>
          <w:sz w:val="24"/>
          <w:szCs w:val="24"/>
          <w:lang w:val="zh-CN"/>
        </w:rPr>
      </w:pPr>
      <w:r>
        <w:rPr>
          <w:rFonts w:hint="eastAsia"/>
          <w:b/>
          <w:color w:val="000000"/>
          <w:sz w:val="24"/>
          <w:szCs w:val="24"/>
          <w:lang w:val="zh-CN"/>
        </w:rPr>
        <w:t xml:space="preserve">▲系统应支持由相关处室填报和推荐待入库专家，登记专家基本信息及技能标签等信息；支持查询本处室历史填报记录，查看专家详情；支持待入库专家名单导出，并将审议确认通过的专家转入正式专家库。（投标人须提供待入库专家填报、申请记录、专家详情及入库处理等功能截图，并加盖投标人公章）</w:t>
      </w:r>
      <w:r>
        <w:rPr>
          <w:b/>
          <w:color w:val="000000"/>
          <w:sz w:val="24"/>
          <w:szCs w:val="24"/>
          <w:lang w:val="zh-CN"/>
        </w:rPr>
      </w:r>
      <w:r/>
    </w:p>
    <w:p>
      <w:pPr>
        <w:pStyle w:val="907"/>
        <w:ind w:firstLine="480"/>
        <w:spacing w:line="400" w:lineRule="exact"/>
        <w:rPr>
          <w:b/>
          <w:color w:val="000000"/>
          <w:sz w:val="24"/>
          <w:szCs w:val="24"/>
          <w:lang w:val="zh-CN"/>
        </w:rPr>
      </w:pPr>
      <w:r>
        <w:rPr>
          <w:rFonts w:hint="eastAsia"/>
          <w:b/>
          <w:color w:val="000000"/>
          <w:sz w:val="24"/>
          <w:szCs w:val="24"/>
          <w:lang w:val="zh-CN"/>
        </w:rPr>
        <w:t xml:space="preserve">▲系统应支持相关处室根据项目需要提交专家抽取请求，支持条件组合设置抽取要求，并支持随机抽取、排名抽取等抽取方式。同一项目应支持根据实际需要多次发起抽取。【投标人须提供专家抽取请求、抽取条件（按照专家分库、地区、行业、类别、级别、职称、职务、技能标签、历史选中次数、参与项目次数、拒绝次数、审核质量等级、工作效率及合规性等级）及抽取方式配置（配置项目名称、项目类型、需求处室及所需专家人数</w:t>
      </w:r>
      <w:r>
        <w:rPr>
          <w:rFonts w:hint="eastAsia"/>
          <w:b/>
          <w:color w:val="000000"/>
          <w:sz w:val="24"/>
          <w:szCs w:val="24"/>
        </w:rPr>
        <w:t xml:space="preserve">等</w:t>
      </w:r>
      <w:r>
        <w:rPr>
          <w:rFonts w:hint="eastAsia"/>
          <w:b/>
          <w:color w:val="000000"/>
          <w:sz w:val="24"/>
          <w:szCs w:val="24"/>
          <w:lang w:val="zh-CN"/>
        </w:rPr>
        <w:t xml:space="preserve">）功能截图，并加盖投标人公章】</w:t>
      </w:r>
      <w:r>
        <w:rPr>
          <w:b/>
          <w:color w:val="000000"/>
          <w:sz w:val="24"/>
          <w:szCs w:val="24"/>
          <w:lang w:val="zh-CN"/>
        </w:rPr>
      </w:r>
      <w:r/>
    </w:p>
    <w:p>
      <w:pPr>
        <w:pStyle w:val="1025"/>
        <w:numPr>
          <w:ilvl w:val="3"/>
          <w:numId w:val="6"/>
        </w:numPr>
        <w:jc w:val="left"/>
        <w:spacing w:before="0" w:after="0" w:line="360" w:lineRule="auto"/>
        <w:widowControl/>
        <w:rPr>
          <w:color w:val="000000"/>
          <w:sz w:val="24"/>
          <w:szCs w:val="24"/>
        </w:rPr>
      </w:pPr>
      <w:r/>
      <w:bookmarkStart w:id="209" w:name="_Toc232428458"/>
      <w:r>
        <w:rPr>
          <w:rFonts w:hint="eastAsia"/>
          <w:color w:val="000000"/>
          <w:sz w:val="24"/>
          <w:szCs w:val="24"/>
        </w:rPr>
        <w:t xml:space="preserve">推优评奖管理应用系统</w:t>
      </w:r>
      <w:bookmarkEnd w:id="209"/>
      <w:r>
        <w:rPr>
          <w:color w:val="000000"/>
          <w:sz w:val="24"/>
          <w:szCs w:val="24"/>
        </w:rPr>
      </w:r>
      <w:r/>
    </w:p>
    <w:p>
      <w:pPr>
        <w:pStyle w:val="907"/>
        <w:ind w:firstLine="480"/>
        <w:spacing w:line="400" w:lineRule="exact"/>
        <w:rPr>
          <w:bCs/>
          <w:color w:val="000000"/>
          <w:sz w:val="24"/>
          <w:szCs w:val="24"/>
          <w:lang w:val="zh-CN"/>
        </w:rPr>
      </w:pPr>
      <w:r>
        <w:rPr>
          <w:rFonts w:hint="eastAsia"/>
          <w:bCs/>
          <w:color w:val="000000"/>
          <w:sz w:val="24"/>
          <w:szCs w:val="24"/>
          <w:lang w:val="zh-CN"/>
        </w:rPr>
        <w:t xml:space="preserve">建设推优评奖管理</w:t>
      </w:r>
      <w:r>
        <w:rPr>
          <w:rFonts w:hint="eastAsia"/>
          <w:bCs/>
          <w:color w:val="000000"/>
          <w:sz w:val="24"/>
          <w:szCs w:val="24"/>
        </w:rPr>
        <w:t xml:space="preserve">系统</w:t>
      </w:r>
      <w:r>
        <w:rPr>
          <w:rFonts w:hint="eastAsia"/>
          <w:bCs/>
          <w:color w:val="000000"/>
          <w:sz w:val="24"/>
          <w:szCs w:val="24"/>
          <w:lang w:val="zh-CN"/>
        </w:rPr>
        <w:t xml:space="preserve">，实现从奖项模板配置、征集报名、初审、专家评审到结果审批、公示及上报的全流程闭环管</w:t>
      </w:r>
      <w:r>
        <w:rPr>
          <w:rFonts w:hint="eastAsia"/>
          <w:bCs/>
          <w:color w:val="000000"/>
          <w:sz w:val="24"/>
          <w:szCs w:val="24"/>
        </w:rPr>
        <w:t xml:space="preserve">理</w:t>
      </w:r>
      <w:r>
        <w:rPr>
          <w:rFonts w:hint="eastAsia"/>
          <w:bCs/>
          <w:color w:val="000000"/>
          <w:sz w:val="24"/>
          <w:szCs w:val="24"/>
          <w:lang w:val="zh-CN"/>
        </w:rPr>
        <w:t xml:space="preserve">。提供</w:t>
      </w:r>
      <w:r>
        <w:rPr>
          <w:rFonts w:hint="eastAsia"/>
          <w:bCs/>
          <w:color w:val="000000"/>
          <w:sz w:val="24"/>
          <w:szCs w:val="24"/>
        </w:rPr>
        <w:t xml:space="preserve">包括但不限于：</w:t>
      </w:r>
      <w:r>
        <w:rPr>
          <w:rFonts w:hint="eastAsia"/>
          <w:bCs/>
          <w:color w:val="000000"/>
          <w:sz w:val="24"/>
          <w:szCs w:val="24"/>
          <w:lang w:val="zh-CN"/>
        </w:rPr>
        <w:t xml:space="preserve">通过统一维护奖项类型、报名表单及证书模板，提升评选工作的规范性与便捷性；支持灵活设置征集规则与奖项等级，并深度</w:t>
      </w:r>
      <w:r>
        <w:rPr>
          <w:rFonts w:hint="eastAsia"/>
          <w:bCs/>
          <w:color w:val="000000"/>
          <w:sz w:val="24"/>
          <w:szCs w:val="24"/>
        </w:rPr>
        <w:t xml:space="preserve">贯通</w:t>
      </w:r>
      <w:r>
        <w:rPr>
          <w:rFonts w:hint="eastAsia"/>
          <w:bCs/>
          <w:color w:val="000000"/>
          <w:sz w:val="24"/>
          <w:szCs w:val="24"/>
          <w:lang w:val="zh-CN"/>
        </w:rPr>
        <w:t xml:space="preserve">专家管理系统，实现专家的随机抽取、在线打分及评审进度跟踪。在结果管理方面，支持多级审批、公示意见反馈与结果调整，并具备符合总局要求的奖项上报与证书生成发放能力，同时须提供证书真伪二维码验证功能。此外，系统应构建多维度的统计分析体系，支持对报名、获奖及趋势数据进行可视化分析，并将核心查询功能集成至移动端APP，全面提升推优评奖业务的数字化、智能化与协同效率。</w:t>
      </w:r>
      <w:r>
        <w:rPr>
          <w:bCs/>
          <w:color w:val="000000"/>
          <w:sz w:val="24"/>
          <w:szCs w:val="24"/>
          <w:lang w:val="zh-CN"/>
        </w:rPr>
      </w:r>
      <w:r/>
    </w:p>
    <w:p>
      <w:pPr>
        <w:pStyle w:val="907"/>
        <w:ind w:firstLine="480"/>
        <w:spacing w:line="400" w:lineRule="exact"/>
        <w:rPr>
          <w:b/>
          <w:color w:val="000000"/>
          <w:sz w:val="24"/>
          <w:szCs w:val="24"/>
          <w:lang w:val="zh-CN"/>
        </w:rPr>
      </w:pPr>
      <w:r>
        <w:rPr>
          <w:rFonts w:hint="eastAsia"/>
          <w:b/>
          <w:color w:val="000000"/>
          <w:sz w:val="24"/>
          <w:szCs w:val="24"/>
          <w:lang w:val="zh-CN"/>
        </w:rPr>
        <w:t xml:space="preserve">▲系统应支持对推优评奖征集活动进行统一配置和管理，支持征集活动状态管理，并支持征集活动列表查询及详情查看。【投标人须提供征集信息配置，可设置征集名称、活动介绍、发布单位、联系人、奖项类型及证书模板等信息、活动状态管理（支持新增、修改、删除、启用、暂停和撤销）及征集详情等功能截图，并加盖投标人公章】</w:t>
      </w:r>
      <w:r>
        <w:rPr>
          <w:b/>
          <w:color w:val="000000"/>
          <w:sz w:val="24"/>
          <w:szCs w:val="24"/>
          <w:lang w:val="zh-CN"/>
        </w:rPr>
      </w:r>
      <w:r/>
    </w:p>
    <w:p>
      <w:pPr>
        <w:pStyle w:val="907"/>
        <w:ind w:firstLine="480"/>
        <w:spacing w:line="400" w:lineRule="exact"/>
        <w:rPr>
          <w:b/>
          <w:color w:val="000000"/>
          <w:sz w:val="24"/>
          <w:szCs w:val="24"/>
          <w:lang w:val="zh-CN"/>
        </w:rPr>
      </w:pPr>
      <w:r>
        <w:rPr>
          <w:rFonts w:hint="eastAsia"/>
          <w:b/>
          <w:color w:val="000000"/>
          <w:sz w:val="24"/>
          <w:szCs w:val="24"/>
          <w:lang w:val="zh-CN"/>
        </w:rPr>
        <w:t xml:space="preserve">▲系统应支持各地市广电管理部门、相关参评单位及个人在线参与推优评奖活动。征集活动发布后，系统应根据报名条件向符合要求的用户开放参评入口，支持用户查询征集活动、查看活动详情、填写参评材料、上传相关附件，并对参评信息进行暂存、修改、删除和提交。（投标人须提供征集活动查询、参评材料填写、附件上传及提交记录等功能截图，并加盖投标人公章）</w:t>
      </w:r>
      <w:r>
        <w:rPr>
          <w:b/>
          <w:color w:val="000000"/>
          <w:sz w:val="24"/>
          <w:szCs w:val="24"/>
          <w:lang w:val="zh-CN"/>
        </w:rPr>
      </w:r>
      <w:r/>
    </w:p>
    <w:p>
      <w:pPr>
        <w:pStyle w:val="1025"/>
        <w:numPr>
          <w:ilvl w:val="3"/>
          <w:numId w:val="6"/>
        </w:numPr>
        <w:jc w:val="left"/>
        <w:spacing w:before="0" w:after="0" w:line="360" w:lineRule="auto"/>
        <w:widowControl/>
        <w:rPr>
          <w:bCs w:val="0"/>
          <w:color w:val="000000"/>
          <w:sz w:val="24"/>
          <w:szCs w:val="24"/>
          <w:lang w:val="zh-CN"/>
        </w:rPr>
      </w:pPr>
      <w:r/>
      <w:bookmarkStart w:id="210" w:name="_Toc232428459"/>
      <w:r>
        <w:rPr>
          <w:rFonts w:hint="eastAsia"/>
          <w:color w:val="000000"/>
          <w:sz w:val="24"/>
          <w:szCs w:val="24"/>
        </w:rPr>
        <w:t xml:space="preserve">省局机关办公应用系统</w:t>
      </w:r>
      <w:bookmarkEnd w:id="210"/>
      <w:r>
        <w:rPr>
          <w:bCs w:val="0"/>
          <w:color w:val="000000"/>
          <w:sz w:val="24"/>
          <w:szCs w:val="24"/>
          <w:lang w:val="zh-CN"/>
        </w:rPr>
      </w:r>
      <w:r/>
    </w:p>
    <w:p>
      <w:pPr>
        <w:pStyle w:val="1000"/>
        <w:numPr>
          <w:ilvl w:val="0"/>
          <w:numId w:val="12"/>
        </w:numPr>
        <w:ind w:left="884" w:hanging="442"/>
        <w:jc w:val="both"/>
        <w:spacing w:line="400" w:lineRule="exact"/>
        <w:widowControl w:val="off"/>
        <w:rPr>
          <w:bCs/>
          <w:color w:val="000000"/>
          <w:lang w:val="zh-CN" w:eastAsia="zh-CN"/>
        </w:rPr>
        <w:outlineLvl w:val="3"/>
      </w:pPr>
      <w:r>
        <w:rPr>
          <w:rFonts w:hint="eastAsia"/>
          <w:bCs/>
          <w:color w:val="000000"/>
          <w:lang w:val="zh-CN" w:eastAsia="zh-CN"/>
        </w:rPr>
        <w:t xml:space="preserve">OA办公系统-电子档案（成品软件）</w:t>
      </w:r>
      <w:r>
        <w:rPr>
          <w:bCs/>
          <w:color w:val="000000"/>
          <w:lang w:val="zh-CN" w:eastAsia="zh-CN"/>
        </w:rPr>
      </w:r>
      <w:r/>
    </w:p>
    <w:p>
      <w:pPr>
        <w:pStyle w:val="907"/>
        <w:ind w:firstLine="480"/>
        <w:spacing w:line="400" w:lineRule="exact"/>
        <w:rPr>
          <w:bCs/>
          <w:color w:val="000000"/>
          <w:sz w:val="24"/>
          <w:szCs w:val="24"/>
          <w:lang w:val="zh-CN"/>
        </w:rPr>
      </w:pPr>
      <w:r>
        <w:rPr>
          <w:rFonts w:hint="eastAsia"/>
          <w:bCs/>
          <w:color w:val="000000"/>
          <w:sz w:val="24"/>
          <w:szCs w:val="24"/>
          <w:lang w:val="zh-CN"/>
        </w:rPr>
        <w:t xml:space="preserve">建设档案管理</w:t>
      </w:r>
      <w:r>
        <w:rPr>
          <w:rFonts w:hint="eastAsia"/>
          <w:bCs/>
          <w:color w:val="000000"/>
          <w:sz w:val="24"/>
          <w:szCs w:val="24"/>
        </w:rPr>
        <w:t xml:space="preserve">模块</w:t>
      </w:r>
      <w:r>
        <w:rPr>
          <w:rFonts w:hint="eastAsia"/>
          <w:bCs/>
          <w:color w:val="000000"/>
          <w:sz w:val="24"/>
          <w:szCs w:val="24"/>
          <w:lang w:val="zh-CN"/>
        </w:rPr>
        <w:t xml:space="preserve">，构建覆盖档案全生命周期的数字化管理闭环。提供</w:t>
      </w:r>
      <w:r>
        <w:rPr>
          <w:rFonts w:hint="eastAsia"/>
          <w:bCs/>
          <w:color w:val="000000"/>
          <w:sz w:val="24"/>
          <w:szCs w:val="24"/>
        </w:rPr>
        <w:t xml:space="preserve">包括但不限于：</w:t>
      </w:r>
      <w:r>
        <w:rPr>
          <w:rFonts w:hint="eastAsia"/>
          <w:bCs/>
          <w:color w:val="000000"/>
          <w:sz w:val="24"/>
          <w:szCs w:val="24"/>
          <w:lang w:val="zh-CN"/>
        </w:rPr>
        <w:t xml:space="preserve">采用双门户设计，分别满足业务人员高效处理事务与管理员保障系统运行的需求，并支持通过标准接口、离线导入、批量导入及扫描</w:t>
      </w:r>
      <w:r>
        <w:rPr>
          <w:rFonts w:hint="eastAsia"/>
          <w:bCs/>
          <w:color w:val="000000"/>
          <w:sz w:val="24"/>
          <w:szCs w:val="24"/>
        </w:rPr>
        <w:t xml:space="preserve">上传</w:t>
      </w:r>
      <w:r>
        <w:rPr>
          <w:rFonts w:hint="eastAsia"/>
          <w:bCs/>
          <w:color w:val="000000"/>
          <w:sz w:val="24"/>
          <w:szCs w:val="24"/>
          <w:lang w:val="zh-CN"/>
        </w:rPr>
        <w:t xml:space="preserve">等多种方式实现档案的高效采集；提供灵活的组卷、</w:t>
      </w:r>
      <w:r>
        <w:rPr>
          <w:rFonts w:hint="eastAsia"/>
          <w:bCs/>
          <w:color w:val="000000"/>
          <w:sz w:val="24"/>
          <w:szCs w:val="24"/>
        </w:rPr>
        <w:t xml:space="preserve">关联</w:t>
      </w:r>
      <w:r>
        <w:rPr>
          <w:rFonts w:hint="eastAsia"/>
          <w:bCs/>
          <w:color w:val="000000"/>
          <w:sz w:val="24"/>
          <w:szCs w:val="24"/>
          <w:lang w:val="zh-CN"/>
        </w:rPr>
        <w:t xml:space="preserve">、</w:t>
      </w:r>
      <w:r>
        <w:rPr>
          <w:rFonts w:hint="eastAsia"/>
          <w:bCs/>
          <w:color w:val="000000"/>
          <w:sz w:val="24"/>
          <w:szCs w:val="24"/>
        </w:rPr>
        <w:t xml:space="preserve">校验和</w:t>
      </w:r>
      <w:r>
        <w:rPr>
          <w:rFonts w:hint="eastAsia"/>
          <w:bCs/>
          <w:color w:val="000000"/>
          <w:sz w:val="24"/>
          <w:szCs w:val="24"/>
          <w:lang w:val="zh-CN"/>
        </w:rPr>
        <w:t xml:space="preserve">四性检测，</w:t>
      </w:r>
      <w:r>
        <w:rPr>
          <w:rFonts w:hint="eastAsia"/>
          <w:bCs/>
          <w:color w:val="000000"/>
          <w:sz w:val="24"/>
          <w:szCs w:val="24"/>
        </w:rPr>
        <w:t xml:space="preserve">确保档案整理的规范性；支持档案多方式移交、退回、</w:t>
      </w:r>
      <w:r>
        <w:rPr>
          <w:rFonts w:hint="eastAsia"/>
          <w:bCs/>
          <w:color w:val="000000"/>
          <w:sz w:val="24"/>
          <w:szCs w:val="24"/>
          <w:lang w:val="zh-CN"/>
        </w:rPr>
        <w:t xml:space="preserve">鉴定及销毁功能，结合实体库房的精细化定位与出入库管理，确保档案</w:t>
      </w:r>
      <w:r>
        <w:rPr>
          <w:rFonts w:hint="eastAsia"/>
          <w:bCs/>
          <w:color w:val="000000"/>
          <w:sz w:val="24"/>
          <w:szCs w:val="24"/>
        </w:rPr>
        <w:t xml:space="preserve">管理</w:t>
      </w:r>
      <w:r>
        <w:rPr>
          <w:rFonts w:hint="eastAsia"/>
          <w:bCs/>
          <w:color w:val="000000"/>
          <w:sz w:val="24"/>
          <w:szCs w:val="24"/>
          <w:lang w:val="zh-CN"/>
        </w:rPr>
        <w:t xml:space="preserve">的规范与安全；具备全文检索与在线借阅审批能力，支持电子与实体档案的安全利用及全量记录追溯，自动生成符合规范的统计年报，全面提升档案管理的智能化水平与服务效能。</w:t>
      </w:r>
      <w:r>
        <w:rPr>
          <w:bCs/>
          <w:color w:val="000000"/>
          <w:sz w:val="24"/>
          <w:szCs w:val="24"/>
          <w:lang w:val="zh-CN"/>
        </w:rPr>
      </w:r>
      <w:r/>
    </w:p>
    <w:p>
      <w:pPr>
        <w:pStyle w:val="1000"/>
        <w:numPr>
          <w:ilvl w:val="0"/>
          <w:numId w:val="12"/>
        </w:numPr>
        <w:ind w:left="884" w:hanging="442"/>
        <w:jc w:val="both"/>
        <w:spacing w:line="400" w:lineRule="exact"/>
        <w:widowControl w:val="off"/>
        <w:rPr>
          <w:bCs/>
          <w:color w:val="000000"/>
          <w:lang w:val="zh-CN" w:eastAsia="zh-CN"/>
        </w:rPr>
        <w:outlineLvl w:val="3"/>
      </w:pPr>
      <w:r>
        <w:rPr>
          <w:rFonts w:hint="eastAsia"/>
          <w:bCs/>
          <w:color w:val="000000"/>
          <w:lang w:val="zh-CN" w:eastAsia="zh-CN"/>
        </w:rPr>
        <w:t xml:space="preserve">OA办公系统-离退休干部管理</w:t>
      </w:r>
      <w:r>
        <w:rPr>
          <w:rFonts w:hint="eastAsia"/>
          <w:bCs/>
          <w:color w:val="000000"/>
          <w:lang w:eastAsia="zh-CN"/>
        </w:rPr>
        <w:t xml:space="preserve">模块</w:t>
      </w:r>
      <w:r>
        <w:rPr>
          <w:bCs/>
          <w:color w:val="000000"/>
          <w:lang w:val="zh-CN" w:eastAsia="zh-CN"/>
        </w:rPr>
      </w:r>
      <w:r/>
    </w:p>
    <w:p>
      <w:pPr>
        <w:pStyle w:val="907"/>
        <w:ind w:firstLine="480"/>
        <w:spacing w:line="400" w:lineRule="exact"/>
        <w:rPr>
          <w:b/>
          <w:color w:val="000000"/>
          <w:sz w:val="24"/>
          <w:szCs w:val="24"/>
          <w:lang w:val="zh-CN"/>
        </w:rPr>
      </w:pPr>
      <w:r>
        <w:rPr>
          <w:rFonts w:hint="eastAsia"/>
          <w:bCs/>
          <w:color w:val="000000"/>
          <w:sz w:val="24"/>
          <w:szCs w:val="24"/>
        </w:rPr>
        <w:t xml:space="preserve">依托现有的OA办公系统，</w:t>
      </w:r>
      <w:r>
        <w:rPr>
          <w:rFonts w:hint="eastAsia"/>
          <w:bCs/>
          <w:color w:val="000000"/>
          <w:sz w:val="24"/>
          <w:szCs w:val="24"/>
          <w:lang w:val="zh-CN"/>
        </w:rPr>
        <w:t xml:space="preserve">构建覆盖离退休人员档案管理、状态变更和服务管理的数字化</w:t>
      </w:r>
      <w:r>
        <w:rPr>
          <w:rFonts w:hint="eastAsia"/>
          <w:bCs/>
          <w:color w:val="000000"/>
          <w:sz w:val="24"/>
          <w:szCs w:val="24"/>
        </w:rPr>
        <w:t xml:space="preserve">服务能力</w:t>
      </w:r>
      <w:r>
        <w:rPr>
          <w:rFonts w:hint="eastAsia"/>
          <w:bCs/>
          <w:color w:val="000000"/>
          <w:sz w:val="24"/>
          <w:szCs w:val="24"/>
          <w:lang w:val="zh-CN"/>
        </w:rPr>
        <w:t xml:space="preserve">。提供</w:t>
      </w:r>
      <w:r>
        <w:rPr>
          <w:rFonts w:hint="eastAsia"/>
          <w:bCs/>
          <w:color w:val="000000"/>
          <w:sz w:val="24"/>
          <w:szCs w:val="24"/>
        </w:rPr>
        <w:t xml:space="preserve">包括但不限于：</w:t>
      </w:r>
      <w:r>
        <w:rPr>
          <w:rFonts w:hint="eastAsia"/>
          <w:bCs/>
          <w:color w:val="000000"/>
          <w:sz w:val="24"/>
          <w:szCs w:val="24"/>
          <w:lang w:val="zh-CN"/>
        </w:rPr>
        <w:t xml:space="preserve">支持按照组织机构、人员类别、时间范围和服务类型等</w:t>
      </w:r>
      <w:r>
        <w:rPr>
          <w:rFonts w:hint="eastAsia"/>
          <w:bCs/>
          <w:color w:val="000000"/>
          <w:sz w:val="24"/>
          <w:szCs w:val="24"/>
        </w:rPr>
        <w:t xml:space="preserve">多维度</w:t>
      </w:r>
      <w:r>
        <w:rPr>
          <w:rFonts w:hint="eastAsia"/>
          <w:bCs/>
          <w:color w:val="000000"/>
          <w:sz w:val="24"/>
          <w:szCs w:val="24"/>
          <w:lang w:val="zh-CN"/>
        </w:rPr>
        <w:t xml:space="preserve">条件对服务覆盖率、帮扶资金分布及志愿服务成效等数据开展统计分析，为离退休人员管理工作决策提供数据支撑。</w:t>
      </w:r>
      <w:r>
        <w:rPr>
          <w:b/>
          <w:color w:val="000000"/>
          <w:sz w:val="24"/>
          <w:szCs w:val="24"/>
          <w:lang w:val="zh-CN"/>
        </w:rPr>
      </w:r>
      <w:r/>
    </w:p>
    <w:p>
      <w:pPr>
        <w:pStyle w:val="1000"/>
        <w:numPr>
          <w:ilvl w:val="0"/>
          <w:numId w:val="12"/>
        </w:numPr>
        <w:ind w:left="884" w:hanging="442"/>
        <w:jc w:val="both"/>
        <w:spacing w:line="400" w:lineRule="exact"/>
        <w:widowControl w:val="off"/>
        <w:rPr>
          <w:bCs/>
          <w:color w:val="000000"/>
          <w:lang w:val="zh-CN"/>
        </w:rPr>
        <w:outlineLvl w:val="3"/>
      </w:pPr>
      <w:r>
        <w:rPr>
          <w:rFonts w:hint="eastAsia"/>
          <w:bCs/>
          <w:color w:val="000000"/>
          <w:lang w:val="zh-CN"/>
        </w:rPr>
        <w:t xml:space="preserve">OA办公系统-其他</w:t>
      </w:r>
      <w:r>
        <w:rPr>
          <w:rFonts w:hint="eastAsia"/>
          <w:bCs/>
          <w:color w:val="000000"/>
        </w:rPr>
        <w:t xml:space="preserve">模块</w:t>
      </w:r>
      <w:r>
        <w:rPr>
          <w:bCs/>
          <w:color w:val="000000"/>
          <w:lang w:val="zh-CN"/>
        </w:rPr>
      </w:r>
      <w:r/>
    </w:p>
    <w:p>
      <w:pPr>
        <w:pStyle w:val="907"/>
        <w:ind w:firstLine="480"/>
        <w:spacing w:line="400" w:lineRule="exact"/>
        <w:rPr>
          <w:bCs/>
          <w:color w:val="000000"/>
          <w:sz w:val="24"/>
          <w:szCs w:val="24"/>
          <w:lang w:val="zh-CN"/>
        </w:rPr>
      </w:pPr>
      <w:r>
        <w:rPr>
          <w:rFonts w:hint="eastAsia"/>
          <w:bCs/>
          <w:color w:val="000000"/>
          <w:sz w:val="24"/>
          <w:szCs w:val="24"/>
        </w:rPr>
        <w:t xml:space="preserve">依托现有的OA办公系统，</w:t>
      </w:r>
      <w:r>
        <w:rPr>
          <w:rFonts w:hint="eastAsia"/>
          <w:bCs/>
          <w:color w:val="000000"/>
          <w:sz w:val="24"/>
          <w:szCs w:val="24"/>
          <w:lang w:val="zh-CN"/>
        </w:rPr>
        <w:t xml:space="preserve">集成电子发票审核、绩效评估、内部预算及采购管理四大核心模块，实现财务与行政业务的数字化闭环。提供</w:t>
      </w:r>
      <w:r>
        <w:rPr>
          <w:rFonts w:hint="eastAsia"/>
          <w:bCs/>
          <w:color w:val="000000"/>
          <w:sz w:val="24"/>
          <w:szCs w:val="24"/>
        </w:rPr>
        <w:t xml:space="preserve">包括但不限于：</w:t>
      </w:r>
      <w:r>
        <w:rPr>
          <w:rFonts w:hint="eastAsia"/>
          <w:bCs/>
          <w:color w:val="000000"/>
          <w:sz w:val="24"/>
          <w:szCs w:val="24"/>
          <w:lang w:val="zh-CN"/>
        </w:rPr>
        <w:t xml:space="preserve">通过电子发票的自动解析、真伪查验与归档，提升票据管理的规范性与审核效率；依托多源数据整合与灵活的指标配置，实现绩效评估的全过程管理与决策支持。同时，支持年度预算的在线填报、多级审批与自动汇总，并覆盖从采购申请到招投标、合同签订的全流程管控，有效提升内部资源配置的透明度与业务执行的规范性。</w:t>
      </w:r>
      <w:r>
        <w:rPr>
          <w:bCs/>
          <w:color w:val="000000"/>
          <w:sz w:val="24"/>
          <w:szCs w:val="24"/>
          <w:lang w:val="zh-CN"/>
        </w:rPr>
      </w:r>
      <w:r/>
    </w:p>
    <w:p>
      <w:pPr>
        <w:pStyle w:val="907"/>
        <w:ind w:firstLine="480"/>
        <w:spacing w:line="400" w:lineRule="exact"/>
        <w:rPr>
          <w:b/>
          <w:color w:val="000000"/>
          <w:sz w:val="24"/>
          <w:szCs w:val="24"/>
          <w:lang w:val="zh-CN"/>
        </w:rPr>
      </w:pPr>
      <w:r>
        <w:rPr>
          <w:rFonts w:hint="eastAsia"/>
          <w:b/>
          <w:color w:val="000000"/>
          <w:sz w:val="24"/>
          <w:szCs w:val="24"/>
          <w:lang w:val="zh-CN"/>
        </w:rPr>
        <w:t xml:space="preserve">▲系统应支持以离退休人员为核心建立“一人一档”，统一归集人员基础信息、状态变更信息，以及走访慰问、困难帮扶、活动参与和干部疗养等服务记录；支持去世人员信息登记、人员状态变更、相关事项办理、材料归档、办理进度及办理结果留痕，并能够自动形成个人服务履历和相关工作台账。（投标人须提供系统相关功能界面截图，截图应清晰体现“一人一档”、走访慰问记录、个人服务记录、慰问品发放功能，并加盖投标人公章）</w:t>
      </w:r>
      <w:r>
        <w:rPr>
          <w:b/>
          <w:color w:val="000000"/>
          <w:sz w:val="24"/>
          <w:szCs w:val="24"/>
          <w:lang w:val="zh-CN"/>
        </w:rPr>
      </w:r>
      <w:r/>
    </w:p>
    <w:p>
      <w:pPr>
        <w:pStyle w:val="1025"/>
        <w:numPr>
          <w:ilvl w:val="3"/>
          <w:numId w:val="6"/>
        </w:numPr>
        <w:jc w:val="left"/>
        <w:spacing w:before="0" w:after="0" w:line="360" w:lineRule="auto"/>
        <w:widowControl/>
        <w:rPr>
          <w:color w:val="000000"/>
          <w:sz w:val="24"/>
          <w:szCs w:val="24"/>
        </w:rPr>
      </w:pPr>
      <w:r/>
      <w:bookmarkStart w:id="211" w:name="_Toc232428460"/>
      <w:r>
        <w:rPr>
          <w:rFonts w:hint="eastAsia"/>
          <w:color w:val="000000"/>
          <w:sz w:val="24"/>
          <w:szCs w:val="24"/>
        </w:rPr>
        <w:t xml:space="preserve">政务服务平台</w:t>
      </w:r>
      <w:bookmarkEnd w:id="211"/>
      <w:r>
        <w:rPr>
          <w:color w:val="000000"/>
          <w:sz w:val="24"/>
          <w:szCs w:val="24"/>
        </w:rPr>
      </w:r>
      <w:r/>
    </w:p>
    <w:p>
      <w:pPr>
        <w:pStyle w:val="907"/>
        <w:ind w:firstLine="480"/>
        <w:spacing w:line="400" w:lineRule="exact"/>
        <w:rPr>
          <w:bCs/>
          <w:color w:val="000000"/>
          <w:sz w:val="24"/>
          <w:szCs w:val="24"/>
        </w:rPr>
      </w:pPr>
      <w:r>
        <w:rPr>
          <w:rFonts w:hint="eastAsia"/>
          <w:bCs/>
          <w:color w:val="000000"/>
          <w:sz w:val="24"/>
          <w:szCs w:val="24"/>
        </w:rPr>
        <w:t xml:space="preserve">依托现有的政务服务系统，建设集电子档案归档、移动端服务和审批办理于一体的政务服务能力。</w:t>
      </w:r>
      <w:r>
        <w:rPr>
          <w:rFonts w:hint="eastAsia"/>
          <w:bCs/>
          <w:color w:val="000000"/>
          <w:sz w:val="24"/>
          <w:szCs w:val="24"/>
          <w:lang w:val="zh-CN"/>
        </w:rPr>
        <w:t xml:space="preserve">提供</w:t>
      </w:r>
      <w:r>
        <w:rPr>
          <w:rFonts w:hint="eastAsia"/>
          <w:bCs/>
          <w:color w:val="000000"/>
          <w:sz w:val="24"/>
          <w:szCs w:val="24"/>
        </w:rPr>
        <w:t xml:space="preserve">包括但不限于：通过预归档移交中枢，实现电子文件从数据抓取到安全移交的规范化闭环；依托“掌上办”集成统一身份认证与电子证照，支持涉企事项全流程在线办理、查询与评价，并与数字广电平台APP、苏服办APP集成联动；建立连接省局与国家广电总局的跨层级审批协同体系，运用智能表单、OCR及电子签名等技术，实现审批事项的全流程网办与数据共享，有效保障业务的高效协同与全程可追溯。</w:t>
      </w:r>
      <w:r>
        <w:rPr>
          <w:bCs/>
          <w:color w:val="000000"/>
          <w:sz w:val="24"/>
          <w:szCs w:val="24"/>
        </w:rPr>
      </w:r>
      <w:r/>
    </w:p>
    <w:p>
      <w:pPr>
        <w:pStyle w:val="1025"/>
        <w:numPr>
          <w:ilvl w:val="3"/>
          <w:numId w:val="6"/>
        </w:numPr>
        <w:jc w:val="left"/>
        <w:spacing w:before="0" w:after="0" w:line="360" w:lineRule="auto"/>
        <w:widowControl/>
        <w:rPr>
          <w:color w:val="000000"/>
          <w:sz w:val="24"/>
          <w:szCs w:val="24"/>
        </w:rPr>
      </w:pPr>
      <w:r/>
      <w:bookmarkStart w:id="212" w:name="_Toc232428461"/>
      <w:r/>
      <w:bookmarkStart w:id="213" w:name="OLE_LINK28"/>
      <w:r/>
      <w:bookmarkStart w:id="214" w:name="OLE_LINK3"/>
      <w:r>
        <w:rPr>
          <w:color w:val="000000"/>
          <w:sz w:val="24"/>
          <w:szCs w:val="24"/>
        </w:rPr>
        <w:t xml:space="preserve">广电小苏智能服务助手</w:t>
      </w:r>
      <w:bookmarkEnd w:id="212"/>
      <w:r>
        <w:rPr>
          <w:color w:val="000000"/>
          <w:sz w:val="24"/>
          <w:szCs w:val="24"/>
        </w:rPr>
      </w:r>
      <w:r/>
    </w:p>
    <w:p>
      <w:pPr>
        <w:pStyle w:val="907"/>
        <w:ind w:firstLine="480"/>
        <w:spacing w:line="400" w:lineRule="exact"/>
        <w:rPr>
          <w:b/>
          <w:color w:val="000000"/>
          <w:sz w:val="24"/>
          <w:szCs w:val="24"/>
        </w:rPr>
      </w:pPr>
      <w:r>
        <w:rPr>
          <w:rFonts w:hint="eastAsia"/>
          <w:bCs/>
          <w:color w:val="000000"/>
          <w:sz w:val="24"/>
          <w:szCs w:val="24"/>
        </w:rPr>
        <w:t xml:space="preserve">基于省级统一人工智能能力，建设广电行业知识库和规则库，实现智能问答、智能问数、智慧产业服务、智能导航、智能审批等能力。</w:t>
      </w:r>
      <w:r>
        <w:rPr>
          <w:rFonts w:hint="eastAsia"/>
          <w:bCs/>
          <w:color w:val="000000"/>
          <w:sz w:val="24"/>
          <w:szCs w:val="24"/>
          <w:lang w:val="zh-CN"/>
        </w:rPr>
        <w:t xml:space="preserve">提供</w:t>
      </w:r>
      <w:r>
        <w:rPr>
          <w:rFonts w:hint="eastAsia"/>
          <w:bCs/>
          <w:color w:val="000000"/>
          <w:sz w:val="24"/>
          <w:szCs w:val="24"/>
        </w:rPr>
        <w:t xml:space="preserve">包括但不限于：</w:t>
      </w:r>
      <w:r>
        <w:rPr>
          <w:bCs/>
          <w:color w:val="000000"/>
          <w:sz w:val="24"/>
          <w:szCs w:val="24"/>
        </w:rPr>
        <w:t xml:space="preserve">依托省数据局MaaS平台，按照平台提供的标准接口接入经采购人授权使用的大模型服务，包括DeepSeek、通义千问等模型；支持模型服务配置、模型选择与切换、接口调用及调用结果展示，并具备OCR和语音识别等通用AI能力，形成标准化、可扩展的智能能力支撑底座</w:t>
      </w:r>
      <w:r>
        <w:rPr>
          <w:rFonts w:hint="eastAsia"/>
          <w:bCs/>
          <w:color w:val="000000"/>
          <w:sz w:val="24"/>
          <w:szCs w:val="24"/>
        </w:rPr>
        <w:t xml:space="preserve">；建立从文档到知识的基于文档权限的分层管理体系，支持用户对文档解析、知识提取和检索过程进行干预，并具备可视化看板以实时监控知识提取过程，跟踪知识质量和效果，实现文档提取解析、知识库构建、知识检索能力。</w:t>
      </w:r>
      <w:r>
        <w:rPr>
          <w:b/>
          <w:color w:val="000000"/>
          <w:sz w:val="24"/>
          <w:szCs w:val="24"/>
        </w:rPr>
      </w:r>
      <w:r/>
    </w:p>
    <w:p>
      <w:pPr>
        <w:pStyle w:val="907"/>
        <w:ind w:firstLine="480"/>
        <w:spacing w:line="400" w:lineRule="exact"/>
        <w:rPr>
          <w:b/>
          <w:color w:val="000000"/>
          <w:sz w:val="24"/>
          <w:szCs w:val="24"/>
        </w:rPr>
      </w:pPr>
      <w:r>
        <w:rPr>
          <w:rFonts w:hint="eastAsia"/>
          <w:b/>
          <w:color w:val="000000"/>
          <w:sz w:val="24"/>
          <w:szCs w:val="24"/>
        </w:rPr>
        <w:t xml:space="preserve">▲知识探索体系构建：投标人须对所有大模型输出内容实现知识来源的完整追溯，支持查看知识点引用链条及其所属知识结构，允许用户对知识点进行拓展查看与准确度标注。（投标人须提供系统能力截图佐证，并加盖投标人公章）</w:t>
      </w:r>
      <w:r>
        <w:rPr>
          <w:b/>
          <w:color w:val="000000"/>
          <w:sz w:val="24"/>
          <w:szCs w:val="24"/>
        </w:rPr>
      </w:r>
      <w:r/>
    </w:p>
    <w:p>
      <w:pPr>
        <w:pStyle w:val="907"/>
        <w:ind w:firstLine="480"/>
        <w:spacing w:line="400" w:lineRule="exact"/>
        <w:rPr>
          <w:b/>
          <w:color w:val="000000"/>
          <w:sz w:val="24"/>
          <w:szCs w:val="24"/>
        </w:rPr>
      </w:pPr>
      <w:r>
        <w:rPr>
          <w:b/>
          <w:color w:val="000000"/>
          <w:sz w:val="24"/>
          <w:szCs w:val="24"/>
        </w:rPr>
      </w:r>
      <w:r/>
    </w:p>
    <w:p>
      <w:pPr>
        <w:pStyle w:val="1025"/>
        <w:numPr>
          <w:ilvl w:val="3"/>
          <w:numId w:val="6"/>
        </w:numPr>
        <w:jc w:val="left"/>
        <w:spacing w:before="0" w:after="0" w:line="360" w:lineRule="auto"/>
        <w:widowControl/>
        <w:rPr>
          <w:color w:val="000000"/>
          <w:sz w:val="24"/>
          <w:szCs w:val="24"/>
        </w:rPr>
      </w:pPr>
      <w:r/>
      <w:bookmarkEnd w:id="213"/>
      <w:r/>
      <w:bookmarkEnd w:id="214"/>
      <w:r/>
      <w:bookmarkStart w:id="215" w:name="_Toc232428462"/>
      <w:r>
        <w:rPr>
          <w:rFonts w:hint="eastAsia"/>
          <w:color w:val="000000"/>
          <w:sz w:val="24"/>
          <w:szCs w:val="24"/>
        </w:rPr>
        <w:t xml:space="preserve">数据分析与决策支撑系统</w:t>
      </w:r>
      <w:bookmarkEnd w:id="215"/>
      <w:r>
        <w:rPr>
          <w:color w:val="000000"/>
          <w:sz w:val="24"/>
          <w:szCs w:val="24"/>
        </w:rPr>
      </w:r>
      <w:r/>
    </w:p>
    <w:p>
      <w:pPr>
        <w:pStyle w:val="907"/>
        <w:ind w:firstLine="480"/>
        <w:spacing w:line="400" w:lineRule="exact"/>
        <w:rPr>
          <w:bCs/>
          <w:color w:val="000000"/>
          <w:sz w:val="24"/>
          <w:szCs w:val="24"/>
        </w:rPr>
      </w:pPr>
      <w:r>
        <w:rPr>
          <w:rFonts w:hint="eastAsia"/>
          <w:bCs/>
          <w:color w:val="000000"/>
          <w:sz w:val="24"/>
          <w:szCs w:val="24"/>
          <w:lang w:val="zh-CN"/>
        </w:rPr>
        <w:t xml:space="preserve">建设数据分析与决策支撑系统，面向</w:t>
      </w:r>
      <w:r>
        <w:rPr>
          <w:rFonts w:hint="eastAsia"/>
          <w:bCs/>
          <w:color w:val="000000"/>
          <w:sz w:val="24"/>
          <w:szCs w:val="24"/>
        </w:rPr>
        <w:t xml:space="preserve">全</w:t>
      </w:r>
      <w:r>
        <w:rPr>
          <w:rFonts w:hint="eastAsia"/>
          <w:bCs/>
          <w:color w:val="000000"/>
          <w:sz w:val="24"/>
          <w:szCs w:val="24"/>
          <w:lang w:val="zh-CN"/>
        </w:rPr>
        <w:t xml:space="preserve">省广播电视行业管理需求，围绕“数据汇聚、分析展示、辅助决策”的总体思路，构建统一的数据分析与可视化平台。提供</w:t>
      </w:r>
      <w:r>
        <w:rPr>
          <w:rFonts w:hint="eastAsia"/>
          <w:bCs/>
          <w:color w:val="000000"/>
          <w:sz w:val="24"/>
          <w:szCs w:val="24"/>
        </w:rPr>
        <w:t xml:space="preserve">包括但不限于：</w:t>
      </w:r>
      <w:r>
        <w:rPr>
          <w:rFonts w:hint="eastAsia"/>
          <w:bCs/>
          <w:color w:val="000000"/>
          <w:sz w:val="24"/>
          <w:szCs w:val="24"/>
          <w:lang w:val="zh-CN"/>
        </w:rPr>
        <w:t xml:space="preserve">依托数据支撑平台和主题数据库，对各业务系统数据进行统一整合和治理加工，通过多维度分析和图形化展示，全面反映行业运行态势、业务开展情况及管理成效，</w:t>
      </w:r>
      <w:r>
        <w:rPr>
          <w:rFonts w:hint="eastAsia"/>
          <w:bCs/>
          <w:color w:val="000000"/>
          <w:sz w:val="24"/>
          <w:szCs w:val="24"/>
        </w:rPr>
        <w:t xml:space="preserve">主要实现</w:t>
      </w:r>
      <w:r>
        <w:rPr>
          <w:bCs/>
          <w:color w:val="000000"/>
          <w:sz w:val="24"/>
          <w:szCs w:val="24"/>
          <w:lang w:val="zh-CN"/>
        </w:rPr>
        <w:t xml:space="preserve">决策分析</w:t>
      </w:r>
      <w:r>
        <w:rPr>
          <w:rFonts w:hint="eastAsia"/>
          <w:bCs/>
          <w:color w:val="000000"/>
          <w:sz w:val="24"/>
          <w:szCs w:val="24"/>
          <w:lang w:val="zh-CN"/>
        </w:rPr>
        <w:t xml:space="preserve">、</w:t>
      </w:r>
      <w:r>
        <w:rPr>
          <w:bCs/>
          <w:color w:val="000000"/>
          <w:sz w:val="24"/>
          <w:szCs w:val="24"/>
          <w:lang w:val="zh-CN"/>
        </w:rPr>
        <w:t xml:space="preserve">调度指挥</w:t>
      </w:r>
      <w:r>
        <w:rPr>
          <w:rFonts w:hint="eastAsia"/>
          <w:bCs/>
          <w:color w:val="000000"/>
          <w:sz w:val="24"/>
          <w:szCs w:val="24"/>
          <w:lang w:val="zh-CN"/>
        </w:rPr>
        <w:t xml:space="preserve">、</w:t>
      </w:r>
      <w:r>
        <w:rPr>
          <w:bCs/>
          <w:color w:val="000000"/>
          <w:sz w:val="24"/>
          <w:szCs w:val="24"/>
          <w:lang w:val="zh-CN"/>
        </w:rPr>
        <w:t xml:space="preserve">数据治理</w:t>
      </w:r>
      <w:r>
        <w:rPr>
          <w:rFonts w:hint="eastAsia"/>
          <w:bCs/>
          <w:color w:val="000000"/>
          <w:sz w:val="24"/>
          <w:szCs w:val="24"/>
          <w:lang w:val="zh-CN"/>
        </w:rPr>
        <w:t xml:space="preserve">、</w:t>
      </w:r>
      <w:r>
        <w:rPr>
          <w:bCs/>
          <w:color w:val="000000"/>
          <w:sz w:val="24"/>
          <w:szCs w:val="24"/>
          <w:lang w:val="zh-CN"/>
        </w:rPr>
        <w:t xml:space="preserve">信息管理</w:t>
      </w:r>
      <w:r>
        <w:rPr>
          <w:rFonts w:hint="eastAsia"/>
          <w:bCs/>
          <w:color w:val="000000"/>
          <w:sz w:val="24"/>
          <w:szCs w:val="24"/>
          <w:lang w:val="zh-CN"/>
        </w:rPr>
        <w:t xml:space="preserve">、</w:t>
      </w:r>
      <w:r>
        <w:rPr>
          <w:bCs/>
          <w:color w:val="000000"/>
          <w:sz w:val="24"/>
          <w:szCs w:val="24"/>
          <w:lang w:val="zh-CN"/>
        </w:rPr>
        <w:t xml:space="preserve">综合监测</w:t>
      </w:r>
      <w:r>
        <w:rPr>
          <w:rFonts w:hint="eastAsia"/>
          <w:bCs/>
          <w:color w:val="000000"/>
          <w:sz w:val="24"/>
          <w:szCs w:val="24"/>
          <w:lang w:val="zh-CN"/>
        </w:rPr>
        <w:t xml:space="preserve">、</w:t>
      </w:r>
      <w:r>
        <w:rPr>
          <w:bCs/>
          <w:color w:val="000000"/>
          <w:sz w:val="24"/>
          <w:szCs w:val="24"/>
          <w:lang w:val="zh-CN"/>
        </w:rPr>
        <w:t xml:space="preserve">处理评估</w:t>
      </w:r>
      <w:r>
        <w:rPr>
          <w:rFonts w:hint="eastAsia"/>
          <w:bCs/>
          <w:color w:val="000000"/>
          <w:sz w:val="24"/>
          <w:szCs w:val="24"/>
        </w:rPr>
        <w:t xml:space="preserve">等功能，</w:t>
      </w:r>
      <w:r>
        <w:rPr>
          <w:rFonts w:hint="eastAsia"/>
          <w:bCs/>
          <w:color w:val="000000"/>
          <w:sz w:val="24"/>
          <w:szCs w:val="24"/>
          <w:lang w:val="zh-CN"/>
        </w:rPr>
        <w:t xml:space="preserve">为科学决策提供数据支撑。</w:t>
      </w:r>
      <w:r>
        <w:rPr>
          <w:bCs/>
          <w:color w:val="000000"/>
          <w:sz w:val="24"/>
          <w:szCs w:val="24"/>
        </w:rPr>
      </w:r>
      <w:r/>
    </w:p>
    <w:p>
      <w:pPr>
        <w:pStyle w:val="1025"/>
        <w:numPr>
          <w:ilvl w:val="3"/>
          <w:numId w:val="6"/>
        </w:numPr>
        <w:jc w:val="left"/>
        <w:spacing w:before="0" w:after="0" w:line="360" w:lineRule="auto"/>
        <w:widowControl/>
        <w:rPr>
          <w:color w:val="000000"/>
          <w:sz w:val="24"/>
          <w:szCs w:val="24"/>
        </w:rPr>
      </w:pPr>
      <w:r/>
      <w:bookmarkStart w:id="216" w:name="_Toc232428463"/>
      <w:r>
        <w:rPr>
          <w:color w:val="000000"/>
          <w:sz w:val="24"/>
          <w:szCs w:val="24"/>
        </w:rPr>
        <w:t xml:space="preserve">应用支撑系统</w:t>
      </w:r>
      <w:bookmarkEnd w:id="216"/>
      <w:r>
        <w:rPr>
          <w:color w:val="000000"/>
          <w:sz w:val="24"/>
          <w:szCs w:val="24"/>
        </w:rPr>
      </w:r>
      <w:r/>
    </w:p>
    <w:p>
      <w:pPr>
        <w:pStyle w:val="1000"/>
        <w:numPr>
          <w:ilvl w:val="0"/>
          <w:numId w:val="13"/>
        </w:numPr>
        <w:jc w:val="both"/>
        <w:spacing w:line="400" w:lineRule="exact"/>
        <w:widowControl w:val="off"/>
        <w:rPr>
          <w:b/>
          <w:color w:val="000000"/>
          <w:lang w:val="zh-CN"/>
        </w:rPr>
        <w:outlineLvl w:val="3"/>
      </w:pPr>
      <w:r/>
      <w:bookmarkStart w:id="217" w:name="_Toc232428464"/>
      <w:r>
        <w:rPr>
          <w:rFonts w:hint="eastAsia"/>
          <w:b/>
          <w:color w:val="000000"/>
          <w:lang w:val="zh-CN"/>
        </w:rPr>
        <w:t xml:space="preserve">数据支撑</w:t>
      </w:r>
      <w:bookmarkEnd w:id="217"/>
      <w:r>
        <w:rPr>
          <w:rFonts w:hint="eastAsia"/>
          <w:b/>
          <w:color w:val="000000"/>
        </w:rPr>
        <w:t xml:space="preserve">需求</w:t>
      </w:r>
      <w:r>
        <w:rPr>
          <w:b/>
          <w:color w:val="000000"/>
          <w:lang w:val="zh-CN"/>
        </w:rPr>
      </w:r>
      <w:r/>
    </w:p>
    <w:p>
      <w:pPr>
        <w:pStyle w:val="907"/>
        <w:ind w:firstLine="480"/>
        <w:spacing w:line="400" w:lineRule="exact"/>
        <w:rPr>
          <w:bCs/>
          <w:color w:val="000000"/>
          <w:sz w:val="24"/>
          <w:szCs w:val="24"/>
          <w:lang w:val="zh-CN"/>
        </w:rPr>
      </w:pPr>
      <w:r>
        <w:rPr>
          <w:rFonts w:hint="eastAsia"/>
          <w:bCs/>
          <w:color w:val="000000"/>
          <w:sz w:val="24"/>
          <w:szCs w:val="24"/>
          <w:lang w:val="zh-CN"/>
        </w:rPr>
        <w:t xml:space="preserve">提供</w:t>
      </w:r>
      <w:r>
        <w:rPr>
          <w:rFonts w:hint="eastAsia"/>
          <w:bCs/>
          <w:color w:val="000000"/>
          <w:sz w:val="24"/>
          <w:szCs w:val="24"/>
        </w:rPr>
        <w:t xml:space="preserve">包括但不限于：</w:t>
      </w:r>
      <w:r>
        <w:rPr>
          <w:rFonts w:hint="eastAsia"/>
          <w:bCs/>
          <w:color w:val="000000"/>
          <w:sz w:val="24"/>
          <w:szCs w:val="24"/>
          <w:lang w:val="zh-CN"/>
        </w:rPr>
        <w:t xml:space="preserve">在本项目已完成各类主题库建设的基础上建设统一的数据支撑平台，面向省广电局各业务处室的数据使用需求，围绕法规政策、</w:t>
      </w:r>
      <w:r>
        <w:rPr>
          <w:rFonts w:hint="eastAsia"/>
          <w:bCs/>
          <w:color w:val="000000"/>
          <w:sz w:val="24"/>
          <w:szCs w:val="24"/>
        </w:rPr>
        <w:t xml:space="preserve">传媒机构、视听</w:t>
      </w:r>
      <w:r>
        <w:rPr>
          <w:rFonts w:hint="eastAsia"/>
          <w:bCs/>
          <w:color w:val="000000"/>
          <w:sz w:val="24"/>
          <w:szCs w:val="24"/>
          <w:lang w:val="zh-CN"/>
        </w:rPr>
        <w:t xml:space="preserve">企业、节目剧片、行业人才、</w:t>
      </w:r>
      <w:r>
        <w:rPr>
          <w:rFonts w:hint="eastAsia"/>
          <w:bCs/>
          <w:color w:val="000000"/>
          <w:sz w:val="24"/>
          <w:szCs w:val="24"/>
        </w:rPr>
        <w:t xml:space="preserve">行业资讯、</w:t>
      </w:r>
      <w:r>
        <w:rPr>
          <w:rFonts w:hint="eastAsia"/>
          <w:bCs/>
          <w:color w:val="000000"/>
          <w:sz w:val="24"/>
          <w:szCs w:val="24"/>
          <w:lang w:val="zh-CN"/>
        </w:rPr>
        <w:t xml:space="preserve">资金项目、科技项目、</w:t>
      </w:r>
      <w:r>
        <w:rPr>
          <w:rFonts w:hint="eastAsia"/>
          <w:bCs/>
          <w:color w:val="000000"/>
          <w:sz w:val="24"/>
          <w:szCs w:val="24"/>
        </w:rPr>
        <w:t xml:space="preserve">机关信息</w:t>
      </w:r>
      <w:r>
        <w:rPr>
          <w:rFonts w:hint="eastAsia"/>
          <w:bCs/>
          <w:color w:val="000000"/>
          <w:sz w:val="24"/>
          <w:szCs w:val="24"/>
          <w:lang w:val="zh-CN"/>
        </w:rPr>
        <w:t xml:space="preserve">等主题数据资源，提供统一的数据查询、统计分析和集中调用能力，实现主题</w:t>
      </w:r>
      <w:r>
        <w:rPr>
          <w:rFonts w:hint="eastAsia"/>
          <w:bCs/>
          <w:color w:val="000000"/>
          <w:sz w:val="24"/>
          <w:szCs w:val="24"/>
          <w:lang w:val="zh-CN"/>
        </w:rPr>
        <w:t xml:space="preserve">库数据的规范使用，提高数据资源的可获取性和利用效率，为业务应用和管理决策提供统一的数据服务支撑。</w:t>
      </w:r>
      <w:r>
        <w:rPr>
          <w:bCs/>
          <w:color w:val="000000"/>
          <w:sz w:val="24"/>
          <w:szCs w:val="24"/>
          <w:lang w:val="zh-CN"/>
        </w:rPr>
      </w:r>
      <w:r/>
    </w:p>
    <w:p>
      <w:pPr>
        <w:pStyle w:val="1000"/>
        <w:numPr>
          <w:ilvl w:val="0"/>
          <w:numId w:val="13"/>
        </w:numPr>
        <w:jc w:val="both"/>
        <w:spacing w:line="400" w:lineRule="exact"/>
        <w:widowControl w:val="off"/>
        <w:rPr>
          <w:bCs/>
          <w:color w:val="000000"/>
          <w:lang w:val="zh-CN"/>
        </w:rPr>
        <w:outlineLvl w:val="3"/>
      </w:pPr>
      <w:r/>
      <w:bookmarkStart w:id="218" w:name="_Toc232428465"/>
      <w:r>
        <w:rPr>
          <w:rFonts w:hint="eastAsia"/>
          <w:b/>
          <w:color w:val="000000"/>
          <w:lang w:val="zh-CN"/>
        </w:rPr>
        <w:t xml:space="preserve">数据中台</w:t>
      </w:r>
      <w:bookmarkEnd w:id="218"/>
      <w:r>
        <w:rPr>
          <w:rFonts w:hint="eastAsia"/>
          <w:b/>
          <w:color w:val="000000"/>
        </w:rPr>
        <w:t xml:space="preserve">需求</w:t>
      </w:r>
      <w:r>
        <w:rPr>
          <w:bCs/>
          <w:color w:val="000000"/>
          <w:lang w:val="zh-CN"/>
        </w:rPr>
      </w:r>
      <w:r/>
    </w:p>
    <w:p>
      <w:pPr>
        <w:pStyle w:val="907"/>
        <w:ind w:firstLine="480"/>
        <w:spacing w:line="400" w:lineRule="exact"/>
        <w:rPr>
          <w:bCs/>
          <w:color w:val="000000"/>
          <w:sz w:val="24"/>
          <w:szCs w:val="24"/>
          <w:lang w:val="zh-CN"/>
        </w:rPr>
      </w:pPr>
      <w:r>
        <w:rPr>
          <w:rFonts w:hint="eastAsia"/>
          <w:bCs/>
          <w:color w:val="000000"/>
          <w:sz w:val="24"/>
          <w:szCs w:val="24"/>
          <w:lang w:val="zh-CN"/>
        </w:rPr>
        <w:t xml:space="preserve">提供</w:t>
      </w:r>
      <w:r>
        <w:rPr>
          <w:rFonts w:hint="eastAsia"/>
          <w:bCs/>
          <w:color w:val="000000"/>
          <w:sz w:val="24"/>
          <w:szCs w:val="24"/>
        </w:rPr>
        <w:t xml:space="preserve">包括但不限于：</w:t>
      </w:r>
      <w:r>
        <w:rPr>
          <w:rFonts w:hint="eastAsia"/>
          <w:bCs/>
          <w:color w:val="000000"/>
          <w:sz w:val="24"/>
          <w:szCs w:val="24"/>
          <w:lang w:val="zh-CN"/>
        </w:rPr>
        <w:t xml:space="preserve">建设支撑型数据中台，围绕数据接入、资源编目、数据标准、数据治理、质量改进、主题数据组织、数据共享、数据服务和日志管理等环节开展建设，为应用系统和九大主题库提供统一的数据治理与共享支撑能力；支持业务数据规范接入、数据标准管理、数据质量治理、主题数据组织、共享服务发布及服务调用过程留痕，形成覆盖数据汇聚、规范治理、主题组织、共享服务和运行保障的数据支撑体系，为数据分析、业务协同和辅助决策提供统一的数据基础。</w:t>
      </w:r>
      <w:r>
        <w:rPr>
          <w:bCs/>
          <w:color w:val="000000"/>
          <w:sz w:val="24"/>
          <w:szCs w:val="24"/>
          <w:lang w:val="zh-CN"/>
        </w:rPr>
      </w:r>
      <w:r/>
    </w:p>
    <w:p>
      <w:pPr>
        <w:pStyle w:val="907"/>
        <w:ind w:firstLine="480"/>
        <w:spacing w:line="400" w:lineRule="exact"/>
        <w:rPr>
          <w:b/>
          <w:color w:val="000000"/>
          <w:sz w:val="24"/>
          <w:szCs w:val="24"/>
          <w:lang w:val="zh-CN"/>
        </w:rPr>
      </w:pPr>
      <w:r>
        <w:rPr>
          <w:rFonts w:hint="eastAsia"/>
          <w:b/>
          <w:color w:val="000000"/>
          <w:sz w:val="24"/>
          <w:szCs w:val="24"/>
          <w:lang w:val="zh-CN"/>
        </w:rPr>
        <w:t xml:space="preserve">▲数据资源编目： 投标人须具备围绕不同数据应用需求构建全面的数据资源目录体系的能力，能够针对内容审评、机构与企业管理、剧</w:t>
      </w:r>
      <w:r>
        <w:rPr>
          <w:rFonts w:hint="eastAsia"/>
          <w:b/>
          <w:color w:val="000000"/>
          <w:sz w:val="24"/>
          <w:szCs w:val="24"/>
          <w:lang w:val="zh-CN"/>
        </w:rPr>
        <w:t xml:space="preserve">片监管等专项业务场景，梳理并明确数据的范围、内容、来源、对接方式、负责部门、应用场景等关键信息；支持对目录基础信息、编目属性、数据表及数据项信息进行编制管理，实现目录上线/下线、审核提交与审核处理的全流程闭环管控；支持基于一体化平台建立组织编码规则和跨系统映射关系，实现多源数据组织维度统一对齐；支持编目规则的统一配置与管理，确保目录编制口径一致、结构统一。需提供以下两项功能的系统截图：（1）针对某一专项业务场景完成数据资源目录编制并提交审核的完整流程；（2）编目规则配置界面及其对目录填报结构的实际约束效果。</w:t>
      </w:r>
      <w:r>
        <w:rPr>
          <w:b/>
          <w:color w:val="000000"/>
          <w:sz w:val="24"/>
          <w:szCs w:val="24"/>
          <w:lang w:val="zh-CN"/>
        </w:rPr>
      </w:r>
      <w:r/>
    </w:p>
    <w:p>
      <w:pPr>
        <w:pStyle w:val="907"/>
        <w:ind w:firstLine="480"/>
        <w:spacing w:line="400" w:lineRule="exact"/>
        <w:rPr>
          <w:b/>
          <w:color w:val="000000"/>
          <w:sz w:val="24"/>
          <w:szCs w:val="24"/>
          <w:lang w:val="zh-CN"/>
        </w:rPr>
      </w:pPr>
      <w:r>
        <w:rPr>
          <w:rFonts w:hint="eastAsia"/>
          <w:b/>
          <w:color w:val="000000"/>
          <w:sz w:val="24"/>
          <w:szCs w:val="24"/>
          <w:lang w:val="zh-CN"/>
        </w:rPr>
        <w:t xml:space="preserve">▲数据标准管理： 投标人须</w:t>
      </w:r>
      <w:r>
        <w:rPr>
          <w:rFonts w:hint="eastAsia"/>
          <w:b/>
          <w:color w:val="000000"/>
          <w:sz w:val="24"/>
          <w:szCs w:val="24"/>
          <w:lang w:val="zh-CN"/>
        </w:rPr>
        <w:t xml:space="preserve">具备构建统一数据规范体系的能力，能够对数据标准、数据元、标准项及通用代码等内容进行统一维护；支持对标准信息、数据元目录、标准项及值域信息进行新增、修改、删除及查询，并对标准内容进行预览和附件管理；支持将标准新增、修改等变更提交审核，基于数据状态实现审核管理，记录审核人、审核时间及审核意见，进行审核通过或驳回操作，确保数据标准变更的规范性和一致性。需提供以下两项功能的系统截图：（1）完成一项数据标准的新增或修改并提交审核的完整流程；（2）审核人员对已提交申请进行审核处理（通过或驳回）的操作界面及审核意见记录。</w:t>
      </w:r>
      <w:r>
        <w:rPr>
          <w:b/>
          <w:color w:val="000000"/>
          <w:sz w:val="24"/>
          <w:szCs w:val="24"/>
          <w:lang w:val="zh-CN"/>
        </w:rPr>
      </w:r>
      <w:r/>
    </w:p>
    <w:p>
      <w:pPr>
        <w:pStyle w:val="907"/>
        <w:ind w:firstLine="480"/>
        <w:spacing w:line="400" w:lineRule="exact"/>
        <w:rPr>
          <w:b/>
          <w:color w:val="000000"/>
          <w:sz w:val="24"/>
          <w:szCs w:val="24"/>
          <w:lang w:val="zh-CN"/>
        </w:rPr>
      </w:pPr>
      <w:r>
        <w:rPr>
          <w:rFonts w:hint="eastAsia"/>
          <w:b/>
          <w:color w:val="000000"/>
          <w:sz w:val="24"/>
          <w:szCs w:val="24"/>
          <w:lang w:val="zh-CN"/>
        </w:rPr>
        <w:t xml:space="preserve">▲数据治理管理： 投标人须具备对多源异构数据进行自动接入与处理的能力，能够针对数据缺失值、异常值</w:t>
      </w:r>
      <w:r>
        <w:rPr>
          <w:rFonts w:hint="eastAsia"/>
          <w:b/>
          <w:color w:val="000000"/>
          <w:sz w:val="24"/>
          <w:szCs w:val="24"/>
          <w:lang w:val="zh-CN"/>
        </w:rPr>
        <w:t xml:space="preserve">及逻辑冲突等问题进行识别与修正；支持通过规则配置或模型策略对数据进行清洗、转换及标准化处理，对不同格式数据进行格式转换与属性清洗，将文档记录型数据转换为结构化表数据；支持通过区间转换、数值转换等方式开展数据脱密脱敏处理；支持治理任务管理、模型导入与检测、数据处理规则配置、任务调度与执行监控，实现数据治理过程的统一管理和自动化执行，并通过日志记录实现全过程可追溯。需提供以下两项功能的系统截图：（1）配置一项数据处理规则或导入治理模型并关联至治理任务的完整流程；（2）治理任务执行状态监控界面及对应日志追溯记录。</w:t>
      </w:r>
      <w:r>
        <w:rPr>
          <w:b/>
          <w:color w:val="000000"/>
          <w:sz w:val="24"/>
          <w:szCs w:val="24"/>
          <w:lang w:val="zh-CN"/>
        </w:rPr>
      </w:r>
      <w:r/>
    </w:p>
    <w:p>
      <w:pPr>
        <w:pStyle w:val="1000"/>
        <w:numPr>
          <w:ilvl w:val="0"/>
          <w:numId w:val="13"/>
        </w:numPr>
        <w:jc w:val="both"/>
        <w:spacing w:line="400" w:lineRule="exact"/>
        <w:widowControl w:val="off"/>
        <w:rPr>
          <w:b/>
          <w:color w:val="000000"/>
          <w:lang w:val="zh-CN"/>
        </w:rPr>
        <w:outlineLvl w:val="3"/>
      </w:pPr>
      <w:r>
        <w:rPr>
          <w:rFonts w:hint="eastAsia"/>
          <w:b/>
          <w:color w:val="000000"/>
          <w:lang w:val="zh-CN"/>
        </w:rPr>
        <w:t xml:space="preserve">数据治理需求</w:t>
      </w:r>
      <w:r>
        <w:rPr>
          <w:b/>
          <w:color w:val="000000"/>
          <w:lang w:val="zh-CN"/>
        </w:rPr>
      </w:r>
      <w:r/>
    </w:p>
    <w:p>
      <w:pPr>
        <w:pStyle w:val="907"/>
        <w:ind w:firstLine="480"/>
        <w:spacing w:line="400" w:lineRule="exact"/>
        <w:rPr>
          <w:bCs/>
          <w:color w:val="000000"/>
          <w:sz w:val="24"/>
          <w:szCs w:val="24"/>
          <w:highlight w:val="yellow"/>
        </w:rPr>
      </w:pPr>
      <w:r>
        <w:rPr>
          <w:rFonts w:hint="eastAsia"/>
          <w:bCs/>
          <w:color w:val="000000"/>
          <w:sz w:val="24"/>
          <w:szCs w:val="24"/>
          <w:lang w:val="zh-CN"/>
        </w:rPr>
        <w:t xml:space="preserve">提供</w:t>
      </w:r>
      <w:r>
        <w:rPr>
          <w:rFonts w:hint="eastAsia"/>
          <w:bCs/>
          <w:color w:val="000000"/>
          <w:sz w:val="24"/>
          <w:szCs w:val="24"/>
        </w:rPr>
        <w:t xml:space="preserve">包括但不限于：</w:t>
      </w:r>
      <w:r>
        <w:rPr>
          <w:rFonts w:hint="eastAsia"/>
          <w:bCs/>
          <w:color w:val="000000"/>
          <w:sz w:val="24"/>
          <w:szCs w:val="24"/>
          <w:lang w:val="zh-CN"/>
        </w:rPr>
        <w:t xml:space="preserve">按照“统一标准、统一汇聚、统一治理、统一服务”的原则开展数据治理，采用“数据中台+业务分域治理”模式，支撑应用系统及九大主题库建设；集成数据采集、</w:t>
      </w:r>
      <w:r>
        <w:rPr>
          <w:rFonts w:hint="eastAsia"/>
          <w:bCs/>
          <w:color w:val="000000"/>
          <w:sz w:val="24"/>
          <w:szCs w:val="24"/>
        </w:rPr>
        <w:t xml:space="preserve">数据处理、</w:t>
      </w:r>
      <w:r>
        <w:rPr>
          <w:rFonts w:hint="eastAsia"/>
          <w:bCs/>
          <w:color w:val="000000"/>
          <w:sz w:val="24"/>
          <w:szCs w:val="24"/>
          <w:lang w:val="zh-CN"/>
        </w:rPr>
        <w:t xml:space="preserve">元数据管理、主数据管理、数据标准、数据质量和服务网关</w:t>
      </w:r>
      <w:r>
        <w:rPr>
          <w:rFonts w:hint="eastAsia"/>
          <w:bCs/>
          <w:color w:val="000000"/>
          <w:sz w:val="24"/>
          <w:szCs w:val="24"/>
        </w:rPr>
        <w:t xml:space="preserve">及数据安全管理</w:t>
      </w:r>
      <w:r>
        <w:rPr>
          <w:rFonts w:hint="eastAsia"/>
          <w:bCs/>
          <w:color w:val="000000"/>
          <w:sz w:val="24"/>
          <w:szCs w:val="24"/>
          <w:lang w:val="zh-CN"/>
        </w:rPr>
        <w:t xml:space="preserve">等能力，开展跨系统数据汇聚、业务数据梳理、数据标准落地和数据共享服务；</w:t>
      </w:r>
      <w:r>
        <w:rPr>
          <w:rFonts w:hint="eastAsia"/>
          <w:bCs/>
          <w:color w:val="000000"/>
          <w:sz w:val="24"/>
          <w:szCs w:val="24"/>
        </w:rPr>
        <w:t xml:space="preserve">建立</w:t>
      </w:r>
      <w:r>
        <w:rPr>
          <w:rFonts w:hint="eastAsia"/>
          <w:bCs/>
          <w:color w:val="000000"/>
          <w:sz w:val="24"/>
          <w:szCs w:val="24"/>
          <w:lang w:val="zh-CN"/>
        </w:rPr>
        <w:t xml:space="preserve">覆盖数据全生命周期的治理机制，对数据来源、处理过程、质量状态、共享调用和应用结果进行记录与管理，形成来源可追溯、过程可管控、质量可评价、结果可复用的数据资源体系。</w:t>
      </w:r>
      <w:r>
        <w:rPr>
          <w:bCs/>
          <w:color w:val="000000"/>
          <w:sz w:val="24"/>
          <w:szCs w:val="24"/>
          <w:highlight w:val="yellow"/>
        </w:rPr>
      </w:r>
      <w:r/>
    </w:p>
    <w:p>
      <w:pPr>
        <w:pStyle w:val="1025"/>
        <w:numPr>
          <w:ilvl w:val="3"/>
          <w:numId w:val="6"/>
        </w:numPr>
        <w:jc w:val="left"/>
        <w:spacing w:before="0" w:after="0" w:line="360" w:lineRule="auto"/>
        <w:widowControl/>
        <w:rPr>
          <w:color w:val="000000"/>
          <w:sz w:val="24"/>
          <w:szCs w:val="24"/>
        </w:rPr>
      </w:pPr>
      <w:r>
        <w:rPr>
          <w:rFonts w:hint="eastAsia"/>
          <w:color w:val="000000"/>
          <w:sz w:val="24"/>
          <w:szCs w:val="24"/>
        </w:rPr>
        <w:t xml:space="preserve">标准规范编制</w:t>
      </w:r>
      <w:r>
        <w:rPr>
          <w:color w:val="000000"/>
          <w:sz w:val="24"/>
          <w:szCs w:val="24"/>
        </w:rPr>
      </w:r>
      <w:r/>
    </w:p>
    <w:p>
      <w:pPr>
        <w:pStyle w:val="907"/>
        <w:rPr>
          <w:color w:val="000000"/>
        </w:rPr>
      </w:pPr>
      <w:r>
        <w:rPr>
          <w:rFonts w:hint="eastAsia"/>
          <w:bCs/>
          <w:color w:val="000000"/>
          <w:sz w:val="24"/>
          <w:szCs w:val="24"/>
          <w:lang w:val="zh-CN"/>
        </w:rPr>
        <w:t xml:space="preserve">提供</w:t>
      </w:r>
      <w:r>
        <w:rPr>
          <w:rFonts w:hint="eastAsia"/>
          <w:bCs/>
          <w:color w:val="000000"/>
          <w:sz w:val="24"/>
          <w:szCs w:val="24"/>
        </w:rPr>
        <w:t xml:space="preserve">包括但不限于以下标准规范：</w:t>
      </w:r>
      <w:r>
        <w:rPr>
          <w:color w:val="000000"/>
        </w:rPr>
      </w:r>
      <w:r/>
    </w:p>
    <w:tbl>
      <w:tblPr>
        <w:tblW w:w="0" w:type="auto"/>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636"/>
        <w:gridCol w:w="2449"/>
        <w:gridCol w:w="5245"/>
      </w:tblGrid>
      <w:tr>
        <w:trPr>
          <w:trHeight w:val="498"/>
          <w:tblHeader/>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07"/>
              <w:jc w:val="center"/>
              <w:widowControl/>
              <w:rPr>
                <w:rFonts w:ascii="宋体" w:hAnsi="宋体" w:cs="宋体"/>
                <w:color w:val="000000"/>
              </w:rPr>
            </w:pPr>
            <w:r>
              <w:rPr>
                <w:rFonts w:ascii="宋体" w:hAnsi="宋体" w:cs="宋体"/>
                <w:color w:val="000000"/>
              </w:rPr>
              <w:t xml:space="preserve">序号</w:t>
            </w:r>
            <w:r/>
          </w:p>
        </w:tc>
        <w:tc>
          <w:tcPr>
            <w:tcBorders>
              <w:top w:val="single" w:color="000000" w:sz="4" w:space="0"/>
              <w:left w:val="none" w:color="000000" w:sz="4" w:space="0"/>
              <w:bottom w:val="single" w:color="000000" w:sz="4" w:space="0"/>
              <w:right w:val="single" w:color="000000" w:sz="4" w:space="0"/>
            </w:tcBorders>
            <w:tcW w:w="2449" w:type="dxa"/>
            <w:vAlign w:val="center"/>
            <w:textDirection w:val="lrTb"/>
            <w:noWrap w:val="false"/>
          </w:tcPr>
          <w:p>
            <w:pPr>
              <w:pStyle w:val="907"/>
              <w:jc w:val="center"/>
              <w:widowControl/>
              <w:rPr>
                <w:rFonts w:ascii="宋体" w:hAnsi="宋体" w:cs="宋体"/>
                <w:color w:val="000000"/>
              </w:rPr>
            </w:pPr>
            <w:r>
              <w:rPr>
                <w:rFonts w:ascii="宋体" w:hAnsi="宋体" w:cs="宋体"/>
                <w:color w:val="000000"/>
              </w:rPr>
              <w:t xml:space="preserve">标准规范名称</w:t>
            </w:r>
            <w:r/>
          </w:p>
        </w:tc>
        <w:tc>
          <w:tcPr>
            <w:tcBorders>
              <w:top w:val="single" w:color="000000" w:sz="4" w:space="0"/>
              <w:left w:val="none" w:color="000000" w:sz="4" w:space="0"/>
              <w:bottom w:val="single" w:color="000000" w:sz="4" w:space="0"/>
              <w:right w:val="single" w:color="000000" w:sz="4" w:space="0"/>
            </w:tcBorders>
            <w:tcW w:w="5245" w:type="dxa"/>
            <w:vAlign w:val="center"/>
            <w:textDirection w:val="lrTb"/>
            <w:noWrap w:val="false"/>
          </w:tcPr>
          <w:p>
            <w:pPr>
              <w:pStyle w:val="907"/>
              <w:jc w:val="center"/>
              <w:widowControl/>
              <w:rPr>
                <w:rFonts w:ascii="宋体" w:hAnsi="宋体" w:cs="宋体"/>
                <w:color w:val="000000"/>
              </w:rPr>
            </w:pPr>
            <w:r>
              <w:rPr>
                <w:rFonts w:ascii="宋体" w:hAnsi="宋体" w:cs="宋体"/>
                <w:color w:val="000000"/>
              </w:rPr>
              <w:t xml:space="preserve">主要内容</w:t>
            </w:r>
            <w:r/>
          </w:p>
        </w:tc>
      </w:tr>
      <w:tr>
        <w:trPr>
          <w:trHeight w:val="849"/>
        </w:trPr>
        <w:tc>
          <w:tcPr>
            <w:tcBorders>
              <w:top w:val="none" w:color="000000" w:sz="4" w:space="0"/>
              <w:left w:val="single" w:color="000000" w:sz="4" w:space="0"/>
              <w:bottom w:val="single" w:color="000000" w:sz="4" w:space="0"/>
              <w:right w:val="single" w:color="000000" w:sz="4" w:space="0"/>
            </w:tcBorders>
            <w:tcW w:w="636" w:type="dxa"/>
            <w:vAlign w:val="center"/>
            <w:textDirection w:val="lrTb"/>
            <w:noWrap w:val="false"/>
          </w:tcPr>
          <w:p>
            <w:pPr>
              <w:pStyle w:val="907"/>
              <w:jc w:val="center"/>
              <w:widowControl/>
              <w:rPr>
                <w:rFonts w:ascii="宋体" w:hAnsi="宋体" w:cs="宋体"/>
                <w:color w:val="000000"/>
              </w:rPr>
            </w:pPr>
            <w:r>
              <w:rPr>
                <w:rFonts w:ascii="宋体" w:hAnsi="宋体" w:cs="宋体"/>
                <w:color w:val="000000"/>
              </w:rPr>
              <w:t xml:space="preserve">1</w:t>
            </w:r>
            <w:r/>
          </w:p>
        </w:tc>
        <w:tc>
          <w:tcPr>
            <w:tcBorders>
              <w:top w:val="none" w:color="000000" w:sz="4" w:space="0"/>
              <w:left w:val="none" w:color="000000" w:sz="4" w:space="0"/>
              <w:bottom w:val="single" w:color="000000" w:sz="4" w:space="0"/>
              <w:right w:val="single" w:color="000000" w:sz="4" w:space="0"/>
            </w:tcBorders>
            <w:tcW w:w="2449" w:type="dxa"/>
            <w:vAlign w:val="center"/>
            <w:textDirection w:val="lrTb"/>
            <w:noWrap w:val="false"/>
          </w:tcPr>
          <w:p>
            <w:pPr>
              <w:pStyle w:val="907"/>
              <w:jc w:val="left"/>
              <w:widowControl/>
              <w:rPr>
                <w:rFonts w:ascii="宋体" w:hAnsi="宋体" w:cs="宋体"/>
                <w:color w:val="000000"/>
              </w:rPr>
            </w:pPr>
            <w:r>
              <w:rPr>
                <w:rFonts w:ascii="宋体" w:hAnsi="宋体" w:cs="宋体"/>
                <w:color w:val="000000"/>
              </w:rPr>
              <w:t xml:space="preserve">统一编码与数据标准规范</w:t>
            </w:r>
            <w:r/>
          </w:p>
        </w:tc>
        <w:tc>
          <w:tcPr>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pStyle w:val="907"/>
              <w:jc w:val="left"/>
              <w:widowControl/>
              <w:rPr>
                <w:rFonts w:ascii="宋体" w:hAnsi="宋体" w:cs="宋体"/>
                <w:color w:val="000000"/>
              </w:rPr>
            </w:pPr>
            <w:r>
              <w:rPr>
                <w:rFonts w:ascii="宋体" w:hAnsi="宋体" w:cs="宋体"/>
                <w:color w:val="000000"/>
              </w:rPr>
              <w:t xml:space="preserve">建立全省数字广电统一编码体系，规范机构、用户、节目、专家、事项等核心对象编码规则，统一数据资源目录、数据格式、字段命名及数据标准。</w:t>
            </w:r>
            <w:r/>
          </w:p>
        </w:tc>
      </w:tr>
      <w:tr>
        <w:trPr>
          <w:trHeight w:val="566"/>
        </w:trPr>
        <w:tc>
          <w:tcPr>
            <w:tcBorders>
              <w:top w:val="none" w:color="000000" w:sz="4" w:space="0"/>
              <w:left w:val="single" w:color="000000" w:sz="4" w:space="0"/>
              <w:bottom w:val="single" w:color="000000" w:sz="4" w:space="0"/>
              <w:right w:val="single" w:color="000000" w:sz="4" w:space="0"/>
            </w:tcBorders>
            <w:tcW w:w="636" w:type="dxa"/>
            <w:vAlign w:val="center"/>
            <w:textDirection w:val="lrTb"/>
            <w:noWrap w:val="false"/>
          </w:tcPr>
          <w:p>
            <w:pPr>
              <w:pStyle w:val="907"/>
              <w:jc w:val="center"/>
              <w:widowControl/>
              <w:rPr>
                <w:rFonts w:ascii="宋体" w:hAnsi="宋体" w:cs="宋体"/>
                <w:color w:val="000000"/>
              </w:rPr>
            </w:pPr>
            <w:r>
              <w:rPr>
                <w:rFonts w:ascii="宋体" w:hAnsi="宋体" w:cs="宋体"/>
                <w:color w:val="000000"/>
              </w:rPr>
              <w:t xml:space="preserve">2</w:t>
            </w:r>
            <w:r/>
          </w:p>
        </w:tc>
        <w:tc>
          <w:tcPr>
            <w:tcBorders>
              <w:top w:val="none" w:color="000000" w:sz="4" w:space="0"/>
              <w:left w:val="none" w:color="000000" w:sz="4" w:space="0"/>
              <w:bottom w:val="single" w:color="000000" w:sz="4" w:space="0"/>
              <w:right w:val="single" w:color="000000" w:sz="4" w:space="0"/>
            </w:tcBorders>
            <w:tcW w:w="2449" w:type="dxa"/>
            <w:vAlign w:val="center"/>
            <w:textDirection w:val="lrTb"/>
            <w:noWrap w:val="false"/>
          </w:tcPr>
          <w:p>
            <w:pPr>
              <w:pStyle w:val="907"/>
              <w:jc w:val="left"/>
              <w:widowControl/>
              <w:rPr>
                <w:rFonts w:ascii="宋体" w:hAnsi="宋体" w:cs="宋体"/>
                <w:color w:val="000000"/>
              </w:rPr>
            </w:pPr>
            <w:r>
              <w:rPr>
                <w:rFonts w:ascii="宋体" w:hAnsi="宋体" w:cs="宋体"/>
                <w:color w:val="000000"/>
              </w:rPr>
              <w:t xml:space="preserve">数据共享交换规范</w:t>
            </w:r>
            <w:r/>
          </w:p>
        </w:tc>
        <w:tc>
          <w:tcPr>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pStyle w:val="907"/>
              <w:jc w:val="left"/>
              <w:widowControl/>
              <w:rPr>
                <w:rFonts w:ascii="宋体" w:hAnsi="宋体" w:cs="宋体"/>
                <w:color w:val="000000"/>
              </w:rPr>
            </w:pPr>
            <w:r>
              <w:rPr>
                <w:rFonts w:ascii="宋体" w:hAnsi="宋体" w:cs="宋体"/>
                <w:color w:val="000000"/>
              </w:rPr>
              <w:t xml:space="preserve">规范数据共享交换流程、接口标准、交换格式、共享权限、共享审批及数据流转要求，支撑跨系统数据共享交换。</w:t>
            </w:r>
            <w:r/>
          </w:p>
        </w:tc>
      </w:tr>
      <w:tr>
        <w:trPr>
          <w:trHeight w:val="566"/>
        </w:trPr>
        <w:tc>
          <w:tcPr>
            <w:tcBorders>
              <w:top w:val="none" w:color="000000" w:sz="4" w:space="0"/>
              <w:left w:val="single" w:color="000000" w:sz="4" w:space="0"/>
              <w:bottom w:val="single" w:color="000000" w:sz="4" w:space="0"/>
              <w:right w:val="single" w:color="000000" w:sz="4" w:space="0"/>
            </w:tcBorders>
            <w:tcW w:w="636" w:type="dxa"/>
            <w:vAlign w:val="center"/>
            <w:textDirection w:val="lrTb"/>
            <w:noWrap w:val="false"/>
          </w:tcPr>
          <w:p>
            <w:pPr>
              <w:pStyle w:val="907"/>
              <w:jc w:val="center"/>
              <w:widowControl/>
              <w:rPr>
                <w:rFonts w:ascii="宋体" w:hAnsi="宋体" w:cs="宋体"/>
                <w:color w:val="000000"/>
              </w:rPr>
            </w:pPr>
            <w:r>
              <w:rPr>
                <w:rFonts w:ascii="宋体" w:hAnsi="宋体" w:cs="宋体"/>
                <w:color w:val="000000"/>
              </w:rPr>
              <w:t xml:space="preserve">3</w:t>
            </w:r>
            <w:r/>
          </w:p>
        </w:tc>
        <w:tc>
          <w:tcPr>
            <w:tcBorders>
              <w:top w:val="none" w:color="000000" w:sz="4" w:space="0"/>
              <w:left w:val="none" w:color="000000" w:sz="4" w:space="0"/>
              <w:bottom w:val="single" w:color="000000" w:sz="4" w:space="0"/>
              <w:right w:val="single" w:color="000000" w:sz="4" w:space="0"/>
            </w:tcBorders>
            <w:tcW w:w="2449" w:type="dxa"/>
            <w:vAlign w:val="center"/>
            <w:textDirection w:val="lrTb"/>
            <w:noWrap w:val="false"/>
          </w:tcPr>
          <w:p>
            <w:pPr>
              <w:pStyle w:val="907"/>
              <w:jc w:val="left"/>
              <w:widowControl/>
              <w:rPr>
                <w:rFonts w:ascii="宋体" w:hAnsi="宋体" w:cs="宋体"/>
                <w:color w:val="000000"/>
              </w:rPr>
            </w:pPr>
            <w:r>
              <w:rPr>
                <w:rFonts w:ascii="宋体" w:hAnsi="宋体" w:cs="宋体"/>
                <w:color w:val="000000"/>
              </w:rPr>
              <w:t xml:space="preserve">一体化平台接入规范</w:t>
            </w:r>
            <w:r/>
          </w:p>
        </w:tc>
        <w:tc>
          <w:tcPr>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pStyle w:val="907"/>
              <w:jc w:val="left"/>
              <w:widowControl/>
              <w:rPr>
                <w:rFonts w:ascii="宋体" w:hAnsi="宋体" w:cs="宋体"/>
                <w:color w:val="000000"/>
              </w:rPr>
            </w:pPr>
            <w:r>
              <w:rPr>
                <w:rFonts w:ascii="宋体" w:hAnsi="宋体" w:cs="宋体"/>
                <w:color w:val="000000"/>
              </w:rPr>
              <w:t xml:space="preserve">规范业务系统接入一体化平台的技术要求，包括统一认证、单点登录、消息待办、统一门户及接口接入等内容。</w:t>
            </w:r>
            <w:r/>
          </w:p>
        </w:tc>
      </w:tr>
      <w:tr>
        <w:trPr>
          <w:trHeight w:val="566"/>
        </w:trPr>
        <w:tc>
          <w:tcPr>
            <w:tcBorders>
              <w:top w:val="none" w:color="000000" w:sz="4" w:space="0"/>
              <w:left w:val="single" w:color="000000" w:sz="4" w:space="0"/>
              <w:bottom w:val="single" w:color="000000" w:sz="4" w:space="0"/>
              <w:right w:val="single" w:color="000000" w:sz="4" w:space="0"/>
            </w:tcBorders>
            <w:tcW w:w="636" w:type="dxa"/>
            <w:vAlign w:val="center"/>
            <w:textDirection w:val="lrTb"/>
            <w:noWrap w:val="false"/>
          </w:tcPr>
          <w:p>
            <w:pPr>
              <w:pStyle w:val="907"/>
              <w:jc w:val="center"/>
              <w:widowControl/>
              <w:rPr>
                <w:rFonts w:ascii="宋体" w:hAnsi="宋体" w:cs="宋体"/>
                <w:color w:val="000000"/>
              </w:rPr>
            </w:pPr>
            <w:r>
              <w:rPr>
                <w:rFonts w:ascii="宋体" w:hAnsi="宋体" w:cs="宋体"/>
                <w:color w:val="000000"/>
              </w:rPr>
              <w:t xml:space="preserve">4</w:t>
            </w:r>
            <w:r/>
          </w:p>
        </w:tc>
        <w:tc>
          <w:tcPr>
            <w:tcBorders>
              <w:top w:val="none" w:color="000000" w:sz="4" w:space="0"/>
              <w:left w:val="none" w:color="000000" w:sz="4" w:space="0"/>
              <w:bottom w:val="single" w:color="000000" w:sz="4" w:space="0"/>
              <w:right w:val="single" w:color="000000" w:sz="4" w:space="0"/>
            </w:tcBorders>
            <w:tcW w:w="2449" w:type="dxa"/>
            <w:vAlign w:val="center"/>
            <w:textDirection w:val="lrTb"/>
            <w:noWrap w:val="false"/>
          </w:tcPr>
          <w:p>
            <w:pPr>
              <w:pStyle w:val="907"/>
              <w:jc w:val="left"/>
              <w:widowControl/>
              <w:rPr>
                <w:rFonts w:ascii="宋体" w:hAnsi="宋体" w:cs="宋体"/>
                <w:color w:val="000000"/>
              </w:rPr>
            </w:pPr>
            <w:r>
              <w:rPr>
                <w:rFonts w:ascii="宋体" w:hAnsi="宋体" w:cs="宋体"/>
                <w:color w:val="000000"/>
              </w:rPr>
              <w:t xml:space="preserve">信息系统操作规范</w:t>
            </w:r>
            <w:r/>
          </w:p>
        </w:tc>
        <w:tc>
          <w:tcPr>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pStyle w:val="907"/>
              <w:jc w:val="left"/>
              <w:widowControl/>
              <w:rPr>
                <w:rFonts w:ascii="宋体" w:hAnsi="宋体" w:cs="宋体"/>
                <w:color w:val="000000"/>
              </w:rPr>
            </w:pPr>
            <w:r>
              <w:rPr>
                <w:rFonts w:ascii="宋体" w:hAnsi="宋体" w:cs="宋体"/>
                <w:color w:val="000000"/>
              </w:rPr>
              <w:t xml:space="preserve">规范系统用户、管理人员及运维人员的系统操作要求，包括数据采集、处理、传输、使用及日志管理要求。</w:t>
            </w:r>
            <w:r/>
          </w:p>
        </w:tc>
      </w:tr>
      <w:tr>
        <w:trPr>
          <w:trHeight w:val="566"/>
        </w:trPr>
        <w:tc>
          <w:tcPr>
            <w:tcBorders>
              <w:top w:val="none" w:color="000000" w:sz="4" w:space="0"/>
              <w:left w:val="single" w:color="000000" w:sz="4" w:space="0"/>
              <w:bottom w:val="single" w:color="000000" w:sz="4" w:space="0"/>
              <w:right w:val="single" w:color="000000" w:sz="4" w:space="0"/>
            </w:tcBorders>
            <w:tcW w:w="636" w:type="dxa"/>
            <w:vAlign w:val="center"/>
            <w:textDirection w:val="lrTb"/>
            <w:noWrap w:val="false"/>
          </w:tcPr>
          <w:p>
            <w:pPr>
              <w:pStyle w:val="907"/>
              <w:jc w:val="center"/>
              <w:widowControl/>
              <w:rPr>
                <w:rFonts w:ascii="宋体" w:hAnsi="宋体" w:cs="宋体"/>
                <w:color w:val="000000"/>
              </w:rPr>
            </w:pPr>
            <w:r>
              <w:rPr>
                <w:rFonts w:ascii="宋体" w:hAnsi="宋体" w:cs="宋体"/>
                <w:color w:val="000000"/>
              </w:rPr>
              <w:t xml:space="preserve">5</w:t>
            </w:r>
            <w:r/>
          </w:p>
        </w:tc>
        <w:tc>
          <w:tcPr>
            <w:tcBorders>
              <w:top w:val="none" w:color="000000" w:sz="4" w:space="0"/>
              <w:left w:val="none" w:color="000000" w:sz="4" w:space="0"/>
              <w:bottom w:val="single" w:color="000000" w:sz="4" w:space="0"/>
              <w:right w:val="single" w:color="000000" w:sz="4" w:space="0"/>
            </w:tcBorders>
            <w:tcW w:w="2449" w:type="dxa"/>
            <w:vAlign w:val="center"/>
            <w:textDirection w:val="lrTb"/>
            <w:noWrap w:val="false"/>
          </w:tcPr>
          <w:p>
            <w:pPr>
              <w:pStyle w:val="907"/>
              <w:jc w:val="left"/>
              <w:widowControl/>
              <w:rPr>
                <w:rFonts w:ascii="宋体" w:hAnsi="宋体" w:cs="宋体"/>
                <w:color w:val="000000"/>
              </w:rPr>
            </w:pPr>
            <w:r>
              <w:rPr>
                <w:rFonts w:ascii="宋体" w:hAnsi="宋体" w:cs="宋体"/>
                <w:color w:val="000000"/>
              </w:rPr>
              <w:t xml:space="preserve">数据质量管理规范</w:t>
            </w:r>
            <w:r/>
          </w:p>
        </w:tc>
        <w:tc>
          <w:tcPr>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pStyle w:val="907"/>
              <w:jc w:val="left"/>
              <w:widowControl/>
              <w:rPr>
                <w:rFonts w:ascii="宋体" w:hAnsi="宋体" w:cs="宋体"/>
                <w:color w:val="000000"/>
              </w:rPr>
            </w:pPr>
            <w:r>
              <w:rPr>
                <w:rFonts w:ascii="宋体" w:hAnsi="宋体" w:cs="宋体"/>
                <w:color w:val="000000"/>
              </w:rPr>
              <w:t xml:space="preserve">建立数据质量评估指标、监测机制和治理流程，规范数据完整性、准确性、一致性、时效性等质量管理要求。</w:t>
            </w:r>
            <w:r/>
          </w:p>
        </w:tc>
      </w:tr>
      <w:tr>
        <w:trPr>
          <w:trHeight w:val="566"/>
        </w:trPr>
        <w:tc>
          <w:tcPr>
            <w:tcBorders>
              <w:top w:val="none" w:color="000000" w:sz="4" w:space="0"/>
              <w:left w:val="single" w:color="000000" w:sz="4" w:space="0"/>
              <w:bottom w:val="single" w:color="000000" w:sz="4" w:space="0"/>
              <w:right w:val="single" w:color="000000" w:sz="4" w:space="0"/>
            </w:tcBorders>
            <w:tcW w:w="636" w:type="dxa"/>
            <w:vAlign w:val="center"/>
            <w:textDirection w:val="lrTb"/>
            <w:noWrap w:val="false"/>
          </w:tcPr>
          <w:p>
            <w:pPr>
              <w:pStyle w:val="907"/>
              <w:jc w:val="center"/>
              <w:widowControl/>
              <w:rPr>
                <w:rFonts w:ascii="宋体" w:hAnsi="宋体" w:cs="宋体"/>
                <w:color w:val="000000"/>
              </w:rPr>
            </w:pPr>
            <w:r>
              <w:rPr>
                <w:rFonts w:ascii="宋体" w:hAnsi="宋体" w:cs="宋体"/>
                <w:color w:val="000000"/>
              </w:rPr>
              <w:t xml:space="preserve">6</w:t>
            </w:r>
            <w:r/>
          </w:p>
        </w:tc>
        <w:tc>
          <w:tcPr>
            <w:tcBorders>
              <w:top w:val="none" w:color="000000" w:sz="4" w:space="0"/>
              <w:left w:val="none" w:color="000000" w:sz="4" w:space="0"/>
              <w:bottom w:val="single" w:color="000000" w:sz="4" w:space="0"/>
              <w:right w:val="single" w:color="000000" w:sz="4" w:space="0"/>
            </w:tcBorders>
            <w:tcW w:w="2449" w:type="dxa"/>
            <w:vAlign w:val="center"/>
            <w:textDirection w:val="lrTb"/>
            <w:noWrap w:val="false"/>
          </w:tcPr>
          <w:p>
            <w:pPr>
              <w:pStyle w:val="907"/>
              <w:jc w:val="left"/>
              <w:widowControl/>
              <w:rPr>
                <w:rFonts w:ascii="宋体" w:hAnsi="宋体" w:cs="宋体"/>
                <w:color w:val="000000"/>
              </w:rPr>
            </w:pPr>
            <w:r>
              <w:rPr>
                <w:rFonts w:ascii="宋体" w:hAnsi="宋体" w:cs="宋体"/>
                <w:color w:val="000000"/>
              </w:rPr>
              <w:t xml:space="preserve">网络与数据安全规范</w:t>
            </w:r>
            <w:r/>
          </w:p>
        </w:tc>
        <w:tc>
          <w:tcPr>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pStyle w:val="907"/>
              <w:jc w:val="left"/>
              <w:widowControl/>
              <w:rPr>
                <w:rFonts w:ascii="宋体" w:hAnsi="宋体" w:cs="宋体"/>
                <w:color w:val="000000"/>
              </w:rPr>
            </w:pPr>
            <w:r>
              <w:rPr>
                <w:rFonts w:ascii="宋体" w:hAnsi="宋体" w:cs="宋体"/>
                <w:color w:val="000000"/>
              </w:rPr>
              <w:t xml:space="preserve">建立网络安全、数据安全及个人信息保护规范，明确数据分类分级、安全审计、数据脱敏及共享安全等要求。</w:t>
            </w:r>
            <w:r/>
          </w:p>
        </w:tc>
      </w:tr>
      <w:tr>
        <w:trPr>
          <w:trHeight w:val="566"/>
        </w:trPr>
        <w:tc>
          <w:tcPr>
            <w:tcBorders>
              <w:top w:val="none" w:color="000000" w:sz="4" w:space="0"/>
              <w:left w:val="single" w:color="000000" w:sz="4" w:space="0"/>
              <w:bottom w:val="single" w:color="000000" w:sz="4" w:space="0"/>
              <w:right w:val="single" w:color="000000" w:sz="4" w:space="0"/>
            </w:tcBorders>
            <w:tcW w:w="636" w:type="dxa"/>
            <w:vAlign w:val="center"/>
            <w:textDirection w:val="lrTb"/>
            <w:noWrap w:val="false"/>
          </w:tcPr>
          <w:p>
            <w:pPr>
              <w:pStyle w:val="907"/>
              <w:jc w:val="center"/>
              <w:widowControl/>
              <w:rPr>
                <w:rFonts w:ascii="宋体" w:hAnsi="宋体" w:cs="宋体"/>
                <w:color w:val="000000"/>
              </w:rPr>
            </w:pPr>
            <w:r>
              <w:rPr>
                <w:rFonts w:ascii="宋体" w:hAnsi="宋体" w:cs="宋体"/>
                <w:color w:val="000000"/>
              </w:rPr>
              <w:t xml:space="preserve">7</w:t>
            </w:r>
            <w:r/>
          </w:p>
        </w:tc>
        <w:tc>
          <w:tcPr>
            <w:tcBorders>
              <w:top w:val="none" w:color="000000" w:sz="4" w:space="0"/>
              <w:left w:val="none" w:color="000000" w:sz="4" w:space="0"/>
              <w:bottom w:val="single" w:color="000000" w:sz="4" w:space="0"/>
              <w:right w:val="single" w:color="000000" w:sz="4" w:space="0"/>
            </w:tcBorders>
            <w:tcW w:w="2449" w:type="dxa"/>
            <w:vAlign w:val="center"/>
            <w:textDirection w:val="lrTb"/>
            <w:noWrap w:val="false"/>
          </w:tcPr>
          <w:p>
            <w:pPr>
              <w:pStyle w:val="907"/>
              <w:jc w:val="left"/>
              <w:widowControl/>
              <w:rPr>
                <w:rFonts w:ascii="宋体" w:hAnsi="宋体" w:cs="宋体"/>
                <w:color w:val="000000"/>
              </w:rPr>
            </w:pPr>
            <w:r>
              <w:rPr>
                <w:rFonts w:ascii="宋体" w:hAnsi="宋体" w:cs="宋体"/>
                <w:color w:val="000000"/>
              </w:rPr>
              <w:t xml:space="preserve">运维运营保障规范</w:t>
            </w:r>
            <w:r/>
          </w:p>
        </w:tc>
        <w:tc>
          <w:tcPr>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pStyle w:val="907"/>
              <w:jc w:val="left"/>
              <w:widowControl/>
              <w:rPr>
                <w:rFonts w:ascii="宋体" w:hAnsi="宋体" w:cs="宋体"/>
                <w:color w:val="000000"/>
              </w:rPr>
            </w:pPr>
            <w:r>
              <w:rPr>
                <w:rFonts w:ascii="宋体" w:hAnsi="宋体" w:cs="宋体"/>
                <w:color w:val="000000"/>
              </w:rPr>
              <w:t xml:space="preserve">建立系统运维、运行监控、故障处理、应急响应、安全运营及服务保障管理规范。</w:t>
            </w:r>
            <w:r/>
          </w:p>
        </w:tc>
      </w:tr>
      <w:tr>
        <w:trPr>
          <w:trHeight w:val="566"/>
        </w:trPr>
        <w:tc>
          <w:tcPr>
            <w:tcBorders>
              <w:top w:val="none" w:color="000000" w:sz="4" w:space="0"/>
              <w:left w:val="single" w:color="000000" w:sz="4" w:space="0"/>
              <w:bottom w:val="single" w:color="000000" w:sz="4" w:space="0"/>
              <w:right w:val="single" w:color="000000" w:sz="4" w:space="0"/>
            </w:tcBorders>
            <w:tcW w:w="636" w:type="dxa"/>
            <w:vAlign w:val="center"/>
            <w:textDirection w:val="lrTb"/>
            <w:noWrap w:val="false"/>
          </w:tcPr>
          <w:p>
            <w:pPr>
              <w:pStyle w:val="907"/>
              <w:jc w:val="center"/>
              <w:widowControl/>
              <w:rPr>
                <w:rFonts w:ascii="宋体" w:hAnsi="宋体" w:cs="宋体"/>
                <w:color w:val="000000"/>
              </w:rPr>
            </w:pPr>
            <w:r>
              <w:rPr>
                <w:rFonts w:ascii="宋体" w:hAnsi="宋体" w:cs="宋体"/>
                <w:color w:val="000000"/>
              </w:rPr>
              <w:t xml:space="preserve">8</w:t>
            </w:r>
            <w:r/>
          </w:p>
        </w:tc>
        <w:tc>
          <w:tcPr>
            <w:tcBorders>
              <w:top w:val="none" w:color="000000" w:sz="4" w:space="0"/>
              <w:left w:val="none" w:color="000000" w:sz="4" w:space="0"/>
              <w:bottom w:val="single" w:color="000000" w:sz="4" w:space="0"/>
              <w:right w:val="single" w:color="000000" w:sz="4" w:space="0"/>
            </w:tcBorders>
            <w:tcW w:w="2449" w:type="dxa"/>
            <w:vAlign w:val="center"/>
            <w:textDirection w:val="lrTb"/>
            <w:noWrap w:val="false"/>
          </w:tcPr>
          <w:p>
            <w:pPr>
              <w:pStyle w:val="907"/>
              <w:jc w:val="left"/>
              <w:widowControl/>
              <w:rPr>
                <w:rFonts w:ascii="宋体" w:hAnsi="宋体" w:cs="宋体"/>
                <w:color w:val="000000"/>
              </w:rPr>
            </w:pPr>
            <w:r>
              <w:rPr>
                <w:rFonts w:ascii="宋体" w:hAnsi="宋体" w:cs="宋体"/>
                <w:color w:val="000000"/>
              </w:rPr>
              <w:t xml:space="preserve">AI应用管理规范</w:t>
            </w:r>
            <w:r/>
          </w:p>
        </w:tc>
        <w:tc>
          <w:tcPr>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pStyle w:val="907"/>
              <w:jc w:val="left"/>
              <w:widowControl/>
              <w:rPr>
                <w:rFonts w:ascii="宋体" w:hAnsi="宋体" w:cs="宋体"/>
                <w:color w:val="000000"/>
              </w:rPr>
            </w:pPr>
            <w:r>
              <w:rPr>
                <w:rFonts w:ascii="宋体" w:hAnsi="宋体" w:cs="宋体"/>
                <w:color w:val="000000"/>
              </w:rPr>
              <w:t xml:space="preserve">规范AI模型接入、知识库管理、Prompt使用、AI生成内容审核、AI安全审计等管理要求。</w:t>
            </w:r>
            <w:r/>
          </w:p>
        </w:tc>
      </w:tr>
    </w:tbl>
    <w:p>
      <w:pPr>
        <w:pStyle w:val="907"/>
        <w:ind w:firstLine="480"/>
        <w:spacing w:line="400" w:lineRule="exact"/>
        <w:rPr>
          <w:bCs/>
          <w:color w:val="000000"/>
          <w:sz w:val="24"/>
          <w:szCs w:val="24"/>
          <w:highlight w:val="yellow"/>
          <w:lang w:val="zh-CN"/>
        </w:rPr>
      </w:pPr>
      <w:r>
        <w:rPr>
          <w:bCs/>
          <w:color w:val="000000"/>
          <w:sz w:val="24"/>
          <w:szCs w:val="24"/>
          <w:highlight w:val="yellow"/>
          <w:lang w:val="zh-CN"/>
        </w:rPr>
      </w:r>
      <w:r/>
    </w:p>
    <w:p>
      <w:pPr>
        <w:pStyle w:val="1021"/>
        <w:jc w:val="left"/>
        <w:rPr>
          <w:rFonts w:ascii="Times New Roman" w:eastAsia="宋体"/>
          <w:b/>
          <w:bCs/>
          <w:color w:val="000000"/>
        </w:rPr>
      </w:pPr>
      <w:r>
        <w:rPr>
          <w:rFonts w:hint="eastAsia" w:ascii="Times New Roman" w:eastAsia="宋体"/>
          <w:b/>
          <w:bCs/>
          <w:color w:val="000000"/>
        </w:rPr>
        <w:t xml:space="preserve">三、项目建设与实施要求</w:t>
      </w:r>
      <w:r>
        <w:rPr>
          <w:rFonts w:ascii="Times New Roman" w:eastAsia="宋体"/>
          <w:b/>
          <w:bCs/>
          <w:color w:val="000000"/>
        </w:rPr>
      </w:r>
      <w:r/>
    </w:p>
    <w:p>
      <w:pPr>
        <w:pStyle w:val="1023"/>
        <w:jc w:val="left"/>
        <w:spacing w:before="0" w:after="0" w:line="360" w:lineRule="auto"/>
        <w:tabs>
          <w:tab w:val="left" w:pos="0" w:leader="none"/>
        </w:tabs>
        <w:rPr>
          <w:rFonts w:ascii="Times New Roman" w:eastAsia="宋体"/>
          <w:color w:val="000000"/>
        </w:rPr>
      </w:pPr>
      <w:r>
        <w:rPr>
          <w:rFonts w:hint="eastAsia" w:ascii="Times New Roman" w:hAnsi="Times New Roman" w:eastAsia="宋体"/>
          <w:color w:val="000000"/>
          <w:sz w:val="24"/>
          <w:szCs w:val="24"/>
        </w:rPr>
        <w:t xml:space="preserve">3.1项目管理要求</w:t>
      </w:r>
      <w:r>
        <w:rPr>
          <w:rFonts w:ascii="Times New Roman" w:eastAsia="宋体"/>
          <w:color w:val="000000"/>
        </w:rPr>
      </w:r>
      <w:r/>
    </w:p>
    <w:p>
      <w:pPr>
        <w:pStyle w:val="907"/>
        <w:ind w:firstLine="480"/>
        <w:spacing w:line="400" w:lineRule="exact"/>
        <w:rPr>
          <w:bCs/>
          <w:color w:val="000000"/>
          <w:sz w:val="24"/>
          <w:szCs w:val="24"/>
        </w:rPr>
      </w:pPr>
      <w:r>
        <w:rPr>
          <w:rFonts w:hint="eastAsia"/>
          <w:bCs/>
          <w:color w:val="000000"/>
          <w:sz w:val="24"/>
          <w:szCs w:val="24"/>
        </w:rPr>
        <w:t xml:space="preserve">投标人须严格遵循国家有关实施技术标准、施工规范、验收规范要求，严格遵守省政务信息化项目管理要求，确保项目建设合格合规。</w:t>
      </w:r>
      <w:r>
        <w:rPr>
          <w:bCs/>
          <w:color w:val="000000"/>
          <w:sz w:val="24"/>
          <w:szCs w:val="24"/>
        </w:rPr>
      </w:r>
      <w:r/>
    </w:p>
    <w:p>
      <w:pPr>
        <w:pStyle w:val="907"/>
        <w:ind w:firstLine="480"/>
        <w:spacing w:line="400" w:lineRule="exact"/>
        <w:rPr>
          <w:bCs/>
          <w:color w:val="000000"/>
          <w:sz w:val="24"/>
          <w:szCs w:val="24"/>
        </w:rPr>
      </w:pPr>
      <w:r>
        <w:rPr>
          <w:rFonts w:hint="eastAsia"/>
          <w:bCs/>
          <w:color w:val="000000"/>
          <w:sz w:val="24"/>
          <w:szCs w:val="24"/>
        </w:rPr>
        <w:t xml:space="preserve">投标人为本项目制定完整且可实行的项目管理计划和详细的服务方案，建立保障项目顺利实施的各项管理制度和质量保证体系，并在项目建设过程中严格执行。</w:t>
      </w:r>
      <w:r>
        <w:rPr>
          <w:bCs/>
          <w:color w:val="000000"/>
          <w:sz w:val="24"/>
          <w:szCs w:val="24"/>
        </w:rPr>
      </w:r>
      <w:r/>
    </w:p>
    <w:p>
      <w:pPr>
        <w:pStyle w:val="907"/>
        <w:ind w:firstLine="480"/>
        <w:spacing w:line="400" w:lineRule="exact"/>
        <w:rPr>
          <w:bCs/>
          <w:color w:val="000000"/>
          <w:sz w:val="24"/>
          <w:szCs w:val="24"/>
        </w:rPr>
      </w:pPr>
      <w:r>
        <w:rPr>
          <w:rFonts w:hint="eastAsia"/>
          <w:bCs/>
          <w:color w:val="000000"/>
          <w:sz w:val="24"/>
          <w:szCs w:val="24"/>
        </w:rPr>
        <w:t xml:space="preserve">为保障项目的顺利实施，投标人须有严谨的项目组织，为项目建设提供全面解决方案、数据分析以及软件开发，须建立项目领导组、设计组、开发组、测试组、运维组、验收组和实施组等职能小组，实行项目领导小组负责制，从组织和管理上保证整个项目统一规划，统一管理，统一标准。安排专职的项目经理和足够的高素质专业技术人员参加本项目建设工作。现场开发时，保证经采购人确认的项目组能够按照要求提供现场开发服务，现场实施人员须服从采购人统一管理。</w:t>
      </w:r>
      <w:r>
        <w:rPr>
          <w:bCs/>
          <w:color w:val="000000"/>
          <w:sz w:val="24"/>
          <w:szCs w:val="24"/>
        </w:rPr>
      </w:r>
      <w:r/>
    </w:p>
    <w:p>
      <w:pPr>
        <w:pStyle w:val="907"/>
        <w:ind w:firstLine="480"/>
        <w:spacing w:line="400" w:lineRule="exact"/>
        <w:rPr>
          <w:bCs/>
          <w:color w:val="000000"/>
          <w:sz w:val="24"/>
          <w:szCs w:val="24"/>
        </w:rPr>
      </w:pPr>
      <w:r>
        <w:rPr>
          <w:rFonts w:hint="eastAsia"/>
          <w:bCs/>
          <w:color w:val="000000"/>
          <w:sz w:val="24"/>
          <w:szCs w:val="24"/>
        </w:rPr>
        <w:t xml:space="preserve">投标人要加强安全管理，确保实施过程中的网络安全、数据安全、消防安全、生产安全。</w:t>
      </w:r>
      <w:r>
        <w:rPr>
          <w:bCs/>
          <w:color w:val="000000"/>
          <w:sz w:val="24"/>
          <w:szCs w:val="24"/>
        </w:rPr>
      </w:r>
      <w:r/>
    </w:p>
    <w:p>
      <w:pPr>
        <w:pStyle w:val="907"/>
        <w:ind w:firstLine="480"/>
        <w:spacing w:line="400" w:lineRule="exact"/>
        <w:rPr>
          <w:bCs/>
          <w:color w:val="000000"/>
          <w:sz w:val="24"/>
          <w:szCs w:val="24"/>
        </w:rPr>
      </w:pPr>
      <w:r>
        <w:rPr>
          <w:rFonts w:hint="eastAsia"/>
          <w:bCs/>
          <w:color w:val="000000"/>
          <w:sz w:val="24"/>
          <w:szCs w:val="24"/>
        </w:rPr>
        <w:t xml:space="preserve">采购人和采购人指定的监理方有权监督和管理投标项目的测试、安装、调试、故障诊断和验收等各项工作，投标人必须遵守采购人和监理方的监督、检查和管理要求，无条件提供中间过程工作成果。</w:t>
      </w:r>
      <w:r>
        <w:rPr>
          <w:bCs/>
          <w:color w:val="000000"/>
          <w:sz w:val="24"/>
          <w:szCs w:val="24"/>
        </w:rPr>
      </w:r>
      <w:r/>
    </w:p>
    <w:p>
      <w:pPr>
        <w:pStyle w:val="907"/>
        <w:ind w:firstLine="480"/>
        <w:spacing w:line="400" w:lineRule="exact"/>
        <w:rPr>
          <w:bCs/>
          <w:color w:val="000000"/>
          <w:sz w:val="24"/>
          <w:szCs w:val="24"/>
        </w:rPr>
      </w:pPr>
      <w:r>
        <w:rPr>
          <w:bCs/>
          <w:color w:val="000000"/>
          <w:sz w:val="24"/>
          <w:szCs w:val="24"/>
        </w:rPr>
      </w:r>
      <w:r/>
    </w:p>
    <w:p>
      <w:pPr>
        <w:pStyle w:val="1023"/>
        <w:jc w:val="left"/>
        <w:spacing w:before="0" w:after="0" w:line="360" w:lineRule="auto"/>
        <w:tabs>
          <w:tab w:val="left" w:pos="0" w:leader="none"/>
        </w:tabs>
        <w:rPr>
          <w:rFonts w:ascii="Times New Roman" w:hAnsi="Times New Roman" w:eastAsia="宋体"/>
          <w:color w:val="000000"/>
          <w:sz w:val="24"/>
          <w:szCs w:val="24"/>
        </w:rPr>
      </w:pPr>
      <w:r>
        <w:rPr>
          <w:rFonts w:hint="eastAsia" w:ascii="Times New Roman" w:hAnsi="Times New Roman" w:eastAsia="宋体"/>
          <w:color w:val="000000"/>
          <w:sz w:val="24"/>
          <w:szCs w:val="24"/>
        </w:rPr>
        <w:t xml:space="preserve">3.2项目实施要求</w:t>
      </w:r>
      <w:r>
        <w:rPr>
          <w:rFonts w:ascii="Times New Roman" w:hAnsi="Times New Roman" w:eastAsia="宋体"/>
          <w:color w:val="000000"/>
          <w:sz w:val="24"/>
          <w:szCs w:val="24"/>
        </w:rPr>
      </w:r>
      <w:r/>
    </w:p>
    <w:p>
      <w:pPr>
        <w:pStyle w:val="907"/>
        <w:ind w:firstLine="480"/>
        <w:spacing w:line="400" w:lineRule="exact"/>
        <w:rPr>
          <w:bCs/>
          <w:color w:val="000000"/>
          <w:sz w:val="24"/>
          <w:szCs w:val="24"/>
        </w:rPr>
      </w:pPr>
      <w:r>
        <w:rPr>
          <w:rFonts w:hint="eastAsia"/>
          <w:bCs/>
          <w:color w:val="000000"/>
          <w:sz w:val="24"/>
          <w:szCs w:val="24"/>
        </w:rPr>
        <w:t xml:space="preserve">投标人须提供项目实施方案，包括项目管理、总体工作进度、资料收集、资料核查质控、系统设计、系统建设、系统测试、系统部署、培训等内容。提供但不仅限于实现项目功能所需的软件系统、标准规范、数据治理服务，无法满足本项目功能要求的，或功能无法实现或不能完全实现，中标人应承诺无偿补足并负全部责任。</w:t>
      </w:r>
      <w:r>
        <w:rPr>
          <w:bCs/>
          <w:color w:val="000000"/>
          <w:sz w:val="24"/>
          <w:szCs w:val="24"/>
        </w:rPr>
      </w:r>
      <w:r/>
    </w:p>
    <w:p>
      <w:pPr>
        <w:pStyle w:val="1025"/>
        <w:jc w:val="left"/>
        <w:spacing w:before="0" w:after="0" w:line="360" w:lineRule="auto"/>
        <w:widowControl/>
        <w:rPr>
          <w:color w:val="000000"/>
          <w:sz w:val="24"/>
          <w:szCs w:val="24"/>
        </w:rPr>
      </w:pPr>
      <w:r>
        <w:rPr>
          <w:rFonts w:hint="eastAsia"/>
          <w:color w:val="000000"/>
          <w:sz w:val="24"/>
          <w:szCs w:val="24"/>
        </w:rPr>
        <w:t xml:space="preserve">3.2.1详细方案设计</w:t>
      </w:r>
      <w:r>
        <w:rPr>
          <w:color w:val="000000"/>
          <w:sz w:val="24"/>
          <w:szCs w:val="24"/>
        </w:rPr>
      </w:r>
      <w:r/>
    </w:p>
    <w:p>
      <w:pPr>
        <w:pStyle w:val="907"/>
        <w:ind w:firstLine="480"/>
        <w:spacing w:line="400" w:lineRule="exact"/>
        <w:rPr>
          <w:bCs/>
          <w:color w:val="000000"/>
          <w:sz w:val="24"/>
          <w:szCs w:val="24"/>
        </w:rPr>
      </w:pPr>
      <w:r>
        <w:rPr>
          <w:rFonts w:hint="eastAsia"/>
          <w:bCs/>
          <w:color w:val="000000"/>
          <w:sz w:val="24"/>
          <w:szCs w:val="24"/>
        </w:rPr>
        <w:t xml:space="preserve">投标人须深入调研业务需求，细化具体的建设任务和工作内容，编制需求分析工作计划、系统设计说明书等文档，设计实施的技术路线、技术框架以及实现的技术方法，形成详细的设计方案。制定项目施工时间进度计划，进行必要的项目实施风险分析并提出风险规避办法和措施。</w:t>
      </w:r>
      <w:r>
        <w:rPr>
          <w:bCs/>
          <w:color w:val="000000"/>
          <w:sz w:val="24"/>
          <w:szCs w:val="24"/>
        </w:rPr>
      </w:r>
      <w:r/>
    </w:p>
    <w:p>
      <w:pPr>
        <w:pStyle w:val="907"/>
        <w:ind w:firstLine="480"/>
        <w:spacing w:line="400" w:lineRule="exact"/>
        <w:rPr>
          <w:bCs/>
          <w:color w:val="000000"/>
          <w:sz w:val="24"/>
          <w:szCs w:val="24"/>
        </w:rPr>
      </w:pPr>
      <w:r>
        <w:rPr>
          <w:rFonts w:hint="eastAsia"/>
          <w:bCs/>
          <w:color w:val="000000"/>
          <w:sz w:val="24"/>
          <w:szCs w:val="24"/>
        </w:rPr>
        <w:t xml:space="preserve">详细方案设计须与采购人保持密切沟通并得到确认。</w:t>
      </w:r>
      <w:r>
        <w:rPr>
          <w:bCs/>
          <w:color w:val="000000"/>
          <w:sz w:val="24"/>
          <w:szCs w:val="24"/>
        </w:rPr>
      </w:r>
      <w:r/>
    </w:p>
    <w:p>
      <w:pPr>
        <w:pStyle w:val="1025"/>
        <w:jc w:val="left"/>
        <w:spacing w:before="0" w:after="0" w:line="360" w:lineRule="auto"/>
        <w:widowControl/>
        <w:rPr>
          <w:color w:val="000000"/>
          <w:sz w:val="24"/>
          <w:szCs w:val="24"/>
        </w:rPr>
      </w:pPr>
      <w:r>
        <w:rPr>
          <w:rFonts w:hint="eastAsia"/>
          <w:color w:val="000000"/>
          <w:sz w:val="24"/>
          <w:szCs w:val="24"/>
        </w:rPr>
        <w:t xml:space="preserve">3.2.2软件开发</w:t>
      </w:r>
      <w:r>
        <w:rPr>
          <w:color w:val="000000"/>
          <w:sz w:val="24"/>
          <w:szCs w:val="24"/>
        </w:rPr>
      </w:r>
      <w:r/>
    </w:p>
    <w:p>
      <w:pPr>
        <w:pStyle w:val="907"/>
        <w:ind w:firstLine="480"/>
        <w:spacing w:line="400" w:lineRule="exact"/>
        <w:rPr>
          <w:bCs/>
          <w:color w:val="000000"/>
          <w:sz w:val="24"/>
          <w:szCs w:val="24"/>
        </w:rPr>
      </w:pPr>
      <w:r>
        <w:rPr>
          <w:rFonts w:hint="eastAsia"/>
          <w:bCs/>
          <w:color w:val="000000"/>
          <w:sz w:val="24"/>
          <w:szCs w:val="24"/>
        </w:rPr>
        <w:t xml:space="preserve">投标人须制定详细的开发阶段工作计划，确定开发阶段的工作周期、资源安排和工作成果等。投标人应根据设计文档，组织开发小组人员开展应用软件的开发编码工作，完成软件开发工作。</w:t>
      </w:r>
      <w:r>
        <w:rPr>
          <w:bCs/>
          <w:color w:val="000000"/>
          <w:sz w:val="24"/>
          <w:szCs w:val="24"/>
        </w:rPr>
      </w:r>
      <w:r/>
    </w:p>
    <w:p>
      <w:pPr>
        <w:pStyle w:val="907"/>
        <w:ind w:firstLine="480"/>
        <w:spacing w:line="400" w:lineRule="exact"/>
        <w:rPr>
          <w:bCs/>
          <w:color w:val="000000"/>
          <w:sz w:val="24"/>
          <w:szCs w:val="24"/>
        </w:rPr>
      </w:pPr>
      <w:r>
        <w:rPr>
          <w:rFonts w:hint="eastAsia"/>
          <w:bCs/>
          <w:color w:val="000000"/>
          <w:sz w:val="24"/>
          <w:szCs w:val="24"/>
        </w:rPr>
        <w:t xml:space="preserve">投标人承担全部对接、联调、数据适配工作，相关费用包含在投标总价内。</w:t>
      </w:r>
      <w:r>
        <w:rPr>
          <w:bCs/>
          <w:color w:val="000000"/>
          <w:sz w:val="24"/>
          <w:szCs w:val="24"/>
        </w:rPr>
      </w:r>
      <w:r/>
    </w:p>
    <w:p>
      <w:pPr>
        <w:pStyle w:val="907"/>
        <w:ind w:firstLine="480"/>
        <w:spacing w:line="400" w:lineRule="exact"/>
        <w:rPr>
          <w:bCs/>
          <w:color w:val="000000"/>
          <w:sz w:val="24"/>
          <w:szCs w:val="24"/>
        </w:rPr>
      </w:pPr>
      <w:r>
        <w:rPr>
          <w:rFonts w:hint="eastAsia"/>
          <w:bCs/>
          <w:color w:val="000000"/>
          <w:sz w:val="24"/>
          <w:szCs w:val="24"/>
        </w:rPr>
        <w:t xml:space="preserve">投标人不得将主体或关键性工作分包给其他单位实施。</w:t>
      </w:r>
      <w:r>
        <w:rPr>
          <w:bCs/>
          <w:color w:val="000000"/>
          <w:sz w:val="24"/>
          <w:szCs w:val="24"/>
        </w:rPr>
      </w:r>
      <w:r/>
    </w:p>
    <w:p>
      <w:pPr>
        <w:pStyle w:val="1025"/>
        <w:jc w:val="left"/>
        <w:spacing w:before="0" w:after="0" w:line="360" w:lineRule="auto"/>
        <w:widowControl/>
        <w:rPr>
          <w:color w:val="000000"/>
          <w:sz w:val="24"/>
          <w:szCs w:val="24"/>
        </w:rPr>
      </w:pPr>
      <w:r>
        <w:rPr>
          <w:rFonts w:hint="eastAsia"/>
          <w:color w:val="000000"/>
          <w:sz w:val="24"/>
          <w:szCs w:val="24"/>
        </w:rPr>
        <w:t xml:space="preserve">3.2.3系统测试</w:t>
      </w:r>
      <w:r>
        <w:rPr>
          <w:color w:val="000000"/>
          <w:sz w:val="24"/>
          <w:szCs w:val="24"/>
        </w:rPr>
      </w:r>
      <w:r/>
    </w:p>
    <w:p>
      <w:pPr>
        <w:pStyle w:val="907"/>
        <w:ind w:firstLine="480"/>
        <w:spacing w:line="400" w:lineRule="exact"/>
        <w:rPr>
          <w:bCs/>
          <w:color w:val="000000"/>
          <w:sz w:val="24"/>
          <w:szCs w:val="24"/>
        </w:rPr>
      </w:pPr>
      <w:r>
        <w:rPr>
          <w:rFonts w:hint="eastAsia"/>
          <w:bCs/>
          <w:color w:val="000000"/>
          <w:sz w:val="24"/>
          <w:szCs w:val="24"/>
        </w:rPr>
        <w:t xml:space="preserve">投标人须按照项目实施计划所确定的目标，提出测试方法，制定测试方案。按照测试要求提供系统测试相关报告、功能和性能测试报告等文档，包括计划、用例和报告。</w:t>
      </w:r>
      <w:r>
        <w:rPr>
          <w:bCs/>
          <w:color w:val="000000"/>
          <w:sz w:val="24"/>
          <w:szCs w:val="24"/>
        </w:rPr>
      </w:r>
      <w:r/>
    </w:p>
    <w:p>
      <w:pPr>
        <w:pStyle w:val="1025"/>
        <w:jc w:val="left"/>
        <w:spacing w:before="0" w:after="0" w:line="360" w:lineRule="auto"/>
        <w:widowControl/>
        <w:rPr>
          <w:color w:val="000000"/>
          <w:sz w:val="24"/>
          <w:szCs w:val="24"/>
        </w:rPr>
      </w:pPr>
      <w:r>
        <w:rPr>
          <w:rFonts w:hint="eastAsia"/>
          <w:color w:val="000000"/>
          <w:sz w:val="24"/>
          <w:szCs w:val="24"/>
        </w:rPr>
        <w:t xml:space="preserve">3.2.4部署安装</w:t>
      </w:r>
      <w:r>
        <w:rPr>
          <w:color w:val="000000"/>
          <w:sz w:val="24"/>
          <w:szCs w:val="24"/>
        </w:rPr>
      </w:r>
      <w:r/>
    </w:p>
    <w:p>
      <w:pPr>
        <w:pStyle w:val="907"/>
        <w:ind w:firstLine="480"/>
        <w:spacing w:line="400" w:lineRule="exact"/>
        <w:rPr>
          <w:bCs/>
          <w:color w:val="000000"/>
          <w:sz w:val="24"/>
          <w:szCs w:val="24"/>
        </w:rPr>
      </w:pPr>
      <w:r>
        <w:rPr>
          <w:rFonts w:hint="eastAsia"/>
          <w:bCs/>
          <w:color w:val="000000"/>
          <w:sz w:val="24"/>
          <w:szCs w:val="24"/>
        </w:rPr>
        <w:t xml:space="preserve">投标人须按照要求，制定项目部署实施的工作计划和技术方案。</w:t>
      </w:r>
      <w:r>
        <w:rPr>
          <w:bCs/>
          <w:color w:val="000000"/>
          <w:sz w:val="24"/>
          <w:szCs w:val="24"/>
        </w:rPr>
      </w:r>
      <w:r/>
    </w:p>
    <w:p>
      <w:pPr>
        <w:pStyle w:val="907"/>
        <w:ind w:firstLine="480"/>
        <w:spacing w:line="400" w:lineRule="exact"/>
        <w:rPr>
          <w:bCs/>
          <w:color w:val="000000"/>
          <w:sz w:val="24"/>
          <w:szCs w:val="24"/>
        </w:rPr>
      </w:pPr>
      <w:r>
        <w:rPr>
          <w:rFonts w:hint="eastAsia"/>
          <w:bCs/>
          <w:color w:val="000000"/>
          <w:sz w:val="24"/>
          <w:szCs w:val="24"/>
        </w:rPr>
        <w:t xml:space="preserve">根据项目部署实施工作，应进行系统的安装部署及配套基础软件的适配。</w:t>
      </w:r>
      <w:r>
        <w:rPr>
          <w:bCs/>
          <w:color w:val="000000"/>
          <w:sz w:val="24"/>
          <w:szCs w:val="24"/>
        </w:rPr>
      </w:r>
      <w:r/>
    </w:p>
    <w:p>
      <w:pPr>
        <w:pStyle w:val="1025"/>
        <w:jc w:val="left"/>
        <w:spacing w:before="0" w:after="0" w:line="360" w:lineRule="auto"/>
        <w:widowControl/>
        <w:rPr>
          <w:color w:val="000000"/>
          <w:sz w:val="24"/>
          <w:szCs w:val="24"/>
        </w:rPr>
      </w:pPr>
      <w:r>
        <w:rPr>
          <w:rFonts w:hint="eastAsia"/>
          <w:color w:val="000000"/>
          <w:sz w:val="24"/>
          <w:szCs w:val="24"/>
        </w:rPr>
        <w:t xml:space="preserve">3.2.5项目培训</w:t>
      </w:r>
      <w:r>
        <w:rPr>
          <w:color w:val="000000"/>
          <w:sz w:val="24"/>
          <w:szCs w:val="24"/>
        </w:rPr>
      </w:r>
      <w:r/>
    </w:p>
    <w:p>
      <w:pPr>
        <w:pStyle w:val="907"/>
        <w:ind w:firstLine="480"/>
        <w:spacing w:line="400" w:lineRule="exact"/>
        <w:rPr>
          <w:bCs/>
          <w:color w:val="000000"/>
          <w:sz w:val="24"/>
          <w:szCs w:val="24"/>
        </w:rPr>
      </w:pPr>
      <w:r>
        <w:rPr>
          <w:rFonts w:hint="eastAsia"/>
          <w:bCs/>
          <w:color w:val="000000"/>
          <w:sz w:val="24"/>
          <w:szCs w:val="24"/>
        </w:rPr>
        <w:t xml:space="preserve">投标人须根据本项目所制定的目标和范围，针对各类人员制订详细的培训计划，包括培训内容、方式、地点、对象、人数、质量保障等提出具体的方案。须提供高水平、高质量的培训服务，派出采购人认可的具有相关专业资格和实际工作经验、参加过项目实施的教师及辅导人员，并为所有被培训人员提供高质量的教材讲义、操作指南等相关材料。</w:t>
      </w:r>
      <w:r>
        <w:rPr>
          <w:bCs/>
          <w:color w:val="000000"/>
          <w:sz w:val="24"/>
          <w:szCs w:val="24"/>
        </w:rPr>
      </w:r>
      <w:r/>
    </w:p>
    <w:p>
      <w:pPr>
        <w:pStyle w:val="907"/>
        <w:ind w:firstLine="480"/>
        <w:spacing w:line="400" w:lineRule="exact"/>
        <w:rPr>
          <w:bCs/>
          <w:color w:val="000000"/>
          <w:sz w:val="24"/>
          <w:szCs w:val="24"/>
        </w:rPr>
      </w:pPr>
      <w:r>
        <w:rPr>
          <w:rFonts w:hint="eastAsia"/>
          <w:bCs/>
          <w:color w:val="000000"/>
          <w:sz w:val="24"/>
          <w:szCs w:val="24"/>
        </w:rPr>
        <w:t xml:space="preserve">投标人须对技术人员和业务操作人员进行培训，使其能够胜任日常技术管理和业务操作工作。同时为招标方培养一支能够胜任应用软件系统接入和日常维护的技术人才骨干队伍。</w:t>
      </w:r>
      <w:r>
        <w:rPr>
          <w:bCs/>
          <w:color w:val="000000"/>
          <w:sz w:val="24"/>
          <w:szCs w:val="24"/>
        </w:rPr>
      </w:r>
      <w:r/>
    </w:p>
    <w:p>
      <w:pPr>
        <w:pStyle w:val="1025"/>
        <w:jc w:val="left"/>
        <w:spacing w:before="0" w:after="0" w:line="360" w:lineRule="auto"/>
        <w:widowControl/>
        <w:rPr>
          <w:color w:val="000000"/>
          <w:sz w:val="24"/>
          <w:szCs w:val="24"/>
        </w:rPr>
      </w:pPr>
      <w:r>
        <w:rPr>
          <w:rFonts w:hint="eastAsia"/>
          <w:color w:val="000000"/>
          <w:sz w:val="24"/>
          <w:szCs w:val="24"/>
        </w:rPr>
        <w:t xml:space="preserve">3.2.6项目验收</w:t>
      </w:r>
      <w:r>
        <w:rPr>
          <w:color w:val="000000"/>
          <w:sz w:val="24"/>
          <w:szCs w:val="24"/>
        </w:rPr>
      </w:r>
      <w:r/>
    </w:p>
    <w:p>
      <w:pPr>
        <w:pStyle w:val="907"/>
        <w:ind w:firstLine="480"/>
        <w:spacing w:line="400" w:lineRule="exact"/>
        <w:rPr>
          <w:bCs/>
          <w:color w:val="000000"/>
          <w:sz w:val="24"/>
          <w:szCs w:val="24"/>
        </w:rPr>
      </w:pPr>
      <w:r>
        <w:rPr>
          <w:rFonts w:hint="eastAsia"/>
          <w:bCs/>
          <w:color w:val="000000"/>
          <w:sz w:val="24"/>
          <w:szCs w:val="24"/>
        </w:rPr>
        <w:t xml:space="preserve">投标人须在指定时间内完成本项目所有内容，提交对应的交付物，包括但不限于定制开发部分源代码和软件工具以及相关技术文档材料，积极配合完成项目初验、技术验收、项目终验等。</w:t>
      </w:r>
      <w:r>
        <w:rPr>
          <w:bCs/>
          <w:color w:val="000000"/>
          <w:sz w:val="24"/>
          <w:szCs w:val="24"/>
        </w:rPr>
      </w:r>
      <w:r/>
    </w:p>
    <w:p>
      <w:pPr>
        <w:pStyle w:val="1023"/>
        <w:jc w:val="left"/>
        <w:spacing w:before="0" w:after="0" w:line="360" w:lineRule="auto"/>
        <w:tabs>
          <w:tab w:val="left" w:pos="0" w:leader="none"/>
        </w:tabs>
        <w:rPr>
          <w:rFonts w:ascii="Times New Roman" w:hAnsi="Times New Roman" w:eastAsia="宋体"/>
          <w:color w:val="000000"/>
          <w:sz w:val="24"/>
          <w:szCs w:val="24"/>
        </w:rPr>
        <w:outlineLvl w:val="2"/>
      </w:pPr>
      <w:r>
        <w:rPr>
          <w:rFonts w:hint="eastAsia" w:ascii="Times New Roman" w:hAnsi="Times New Roman" w:eastAsia="宋体"/>
          <w:color w:val="000000"/>
          <w:sz w:val="24"/>
          <w:szCs w:val="24"/>
        </w:rPr>
        <w:t xml:space="preserve">3.2.7知识产权要求</w:t>
      </w:r>
      <w:r>
        <w:rPr>
          <w:rFonts w:ascii="Times New Roman" w:hAnsi="Times New Roman" w:eastAsia="宋体"/>
          <w:color w:val="000000"/>
          <w:sz w:val="24"/>
          <w:szCs w:val="24"/>
        </w:rPr>
      </w:r>
      <w:r/>
    </w:p>
    <w:p>
      <w:pPr>
        <w:pStyle w:val="907"/>
        <w:ind w:firstLine="480"/>
        <w:spacing w:line="400" w:lineRule="exact"/>
        <w:rPr>
          <w:bCs/>
          <w:color w:val="000000"/>
          <w:sz w:val="24"/>
          <w:szCs w:val="24"/>
          <w:lang w:val="zh-CN"/>
        </w:rPr>
      </w:pPr>
      <w:r>
        <w:rPr>
          <w:rFonts w:hint="eastAsia"/>
          <w:bCs/>
          <w:color w:val="000000"/>
          <w:sz w:val="24"/>
          <w:szCs w:val="24"/>
        </w:rPr>
        <w:t xml:space="preserve">投标人为本项目定制化开发的软件版权归采购人所有。投标人应保证采购人在使用本项目系统时不受第三方提出侵犯其专利权、版权、商标权和工业设计权等知识产权的起诉。商用第三方组件列明清单，一旦出现侵权，由投标人负全部责任。</w:t>
      </w:r>
      <w:r>
        <w:rPr>
          <w:bCs/>
          <w:color w:val="000000"/>
          <w:sz w:val="24"/>
          <w:szCs w:val="24"/>
          <w:lang w:val="zh-CN"/>
        </w:rPr>
      </w:r>
      <w:r/>
    </w:p>
    <w:p>
      <w:pPr>
        <w:pStyle w:val="1021"/>
        <w:jc w:val="left"/>
        <w:rPr>
          <w:color w:val="000000"/>
          <w:sz w:val="24"/>
          <w:szCs w:val="24"/>
          <w:highlight w:val="yellow"/>
        </w:rPr>
      </w:pPr>
      <w:r>
        <w:rPr>
          <w:rFonts w:hint="eastAsia" w:ascii="Times New Roman" w:eastAsia="宋体"/>
          <w:b/>
          <w:bCs/>
          <w:color w:val="000000"/>
        </w:rPr>
        <w:t xml:space="preserve">四、运行维护要求</w:t>
      </w:r>
      <w:r>
        <w:rPr>
          <w:color w:val="000000"/>
          <w:sz w:val="24"/>
          <w:szCs w:val="24"/>
          <w:highlight w:val="yellow"/>
        </w:rPr>
      </w:r>
      <w:r/>
    </w:p>
    <w:p>
      <w:pPr>
        <w:pStyle w:val="1023"/>
        <w:jc w:val="left"/>
        <w:spacing w:before="0" w:after="0" w:line="360" w:lineRule="auto"/>
        <w:tabs>
          <w:tab w:val="left" w:pos="0" w:leader="none"/>
        </w:tabs>
        <w:rPr>
          <w:rFonts w:ascii="Times New Roman" w:hAnsi="Times New Roman" w:eastAsia="宋体"/>
          <w:color w:val="000000"/>
          <w:sz w:val="24"/>
          <w:szCs w:val="24"/>
        </w:rPr>
      </w:pPr>
      <w:r>
        <w:rPr>
          <w:rFonts w:hint="eastAsia" w:ascii="Times New Roman" w:hAnsi="Times New Roman" w:eastAsia="宋体"/>
          <w:color w:val="000000"/>
          <w:sz w:val="24"/>
          <w:szCs w:val="24"/>
        </w:rPr>
        <w:t xml:space="preserve">4.1服务方式及对象</w:t>
      </w:r>
      <w:r>
        <w:rPr>
          <w:rFonts w:ascii="Times New Roman" w:hAnsi="Times New Roman" w:eastAsia="宋体"/>
          <w:color w:val="000000"/>
          <w:sz w:val="24"/>
          <w:szCs w:val="24"/>
        </w:rPr>
      </w:r>
      <w:r/>
    </w:p>
    <w:p>
      <w:pPr>
        <w:pStyle w:val="907"/>
        <w:ind w:firstLine="480"/>
        <w:spacing w:line="400" w:lineRule="exact"/>
        <w:rPr>
          <w:bCs/>
          <w:color w:val="000000"/>
          <w:sz w:val="24"/>
          <w:szCs w:val="24"/>
          <w:lang w:val="zh-CN"/>
        </w:rPr>
      </w:pPr>
      <w:r>
        <w:rPr>
          <w:rFonts w:hint="eastAsia"/>
          <w:bCs/>
          <w:color w:val="000000"/>
          <w:sz w:val="24"/>
          <w:szCs w:val="24"/>
          <w:lang w:val="zh-CN"/>
        </w:rPr>
        <w:t xml:space="preserve">投标人须</w:t>
      </w:r>
      <w:r>
        <w:rPr>
          <w:rFonts w:hint="eastAsia"/>
          <w:bCs/>
          <w:color w:val="000000"/>
          <w:sz w:val="24"/>
          <w:szCs w:val="24"/>
        </w:rPr>
        <w:t xml:space="preserve">对软件运行、数据治理等</w:t>
      </w:r>
      <w:r>
        <w:rPr>
          <w:rFonts w:hint="eastAsia"/>
          <w:bCs/>
          <w:color w:val="000000"/>
          <w:sz w:val="24"/>
          <w:szCs w:val="24"/>
          <w:lang w:val="zh-CN"/>
        </w:rPr>
        <w:t xml:space="preserve">提供完整可行的售后服务</w:t>
      </w:r>
      <w:r>
        <w:rPr>
          <w:rFonts w:hint="eastAsia"/>
          <w:bCs/>
          <w:color w:val="000000"/>
          <w:sz w:val="24"/>
          <w:szCs w:val="24"/>
        </w:rPr>
        <w:t xml:space="preserve">运行维护</w:t>
      </w:r>
      <w:r>
        <w:rPr>
          <w:rFonts w:hint="eastAsia"/>
          <w:bCs/>
          <w:color w:val="000000"/>
          <w:sz w:val="24"/>
          <w:szCs w:val="24"/>
          <w:lang w:val="zh-CN"/>
        </w:rPr>
        <w:t xml:space="preserve">方案，包括但不限于</w:t>
      </w:r>
      <w:r>
        <w:rPr>
          <w:rFonts w:hint="eastAsia"/>
          <w:bCs/>
          <w:color w:val="000000"/>
          <w:sz w:val="24"/>
          <w:szCs w:val="24"/>
        </w:rPr>
        <w:t xml:space="preserve">维护</w:t>
      </w:r>
      <w:r>
        <w:rPr>
          <w:rFonts w:hint="eastAsia"/>
          <w:bCs/>
          <w:color w:val="000000"/>
          <w:sz w:val="24"/>
          <w:szCs w:val="24"/>
          <w:lang w:val="zh-CN"/>
        </w:rPr>
        <w:t xml:space="preserve">机构及服务团队构成、服务响应时间及维护承诺等。本项目软件免费</w:t>
      </w:r>
      <w:r>
        <w:rPr>
          <w:rFonts w:hint="eastAsia"/>
          <w:bCs/>
          <w:color w:val="000000"/>
          <w:sz w:val="24"/>
          <w:szCs w:val="24"/>
        </w:rPr>
        <w:t xml:space="preserve">运维</w:t>
      </w:r>
      <w:r>
        <w:rPr>
          <w:rFonts w:hint="eastAsia"/>
          <w:bCs/>
          <w:color w:val="000000"/>
          <w:sz w:val="24"/>
          <w:szCs w:val="24"/>
          <w:lang w:val="zh-CN"/>
        </w:rPr>
        <w:t xml:space="preserve">期2年（自甲方组织</w:t>
      </w:r>
      <w:r>
        <w:rPr>
          <w:rFonts w:hint="eastAsia"/>
          <w:bCs/>
          <w:color w:val="000000"/>
          <w:sz w:val="24"/>
          <w:szCs w:val="24"/>
        </w:rPr>
        <w:t xml:space="preserve">终验</w:t>
      </w:r>
      <w:r>
        <w:rPr>
          <w:rFonts w:hint="eastAsia"/>
          <w:bCs/>
          <w:color w:val="000000"/>
          <w:sz w:val="24"/>
          <w:szCs w:val="24"/>
          <w:lang w:val="zh-CN"/>
        </w:rPr>
        <w:t xml:space="preserve">合格之日起计）。</w:t>
      </w:r>
      <w:r>
        <w:rPr>
          <w:bCs/>
          <w:color w:val="000000"/>
          <w:sz w:val="24"/>
          <w:szCs w:val="24"/>
          <w:lang w:val="zh-CN"/>
        </w:rPr>
      </w:r>
      <w:r/>
    </w:p>
    <w:p>
      <w:pPr>
        <w:pStyle w:val="907"/>
        <w:ind w:firstLine="480"/>
        <w:spacing w:line="400" w:lineRule="exact"/>
        <w:rPr>
          <w:bCs/>
          <w:color w:val="000000"/>
          <w:sz w:val="24"/>
          <w:szCs w:val="24"/>
          <w:lang w:val="zh-CN"/>
        </w:rPr>
      </w:pPr>
      <w:r>
        <w:rPr>
          <w:rFonts w:hint="eastAsia"/>
          <w:bCs/>
          <w:color w:val="000000"/>
          <w:sz w:val="24"/>
          <w:szCs w:val="24"/>
        </w:rPr>
        <w:t xml:space="preserve">免费运维</w:t>
      </w:r>
      <w:r>
        <w:rPr>
          <w:rFonts w:hint="eastAsia"/>
          <w:bCs/>
          <w:color w:val="000000"/>
          <w:sz w:val="24"/>
          <w:szCs w:val="24"/>
          <w:lang w:val="zh-CN"/>
        </w:rPr>
        <w:t xml:space="preserve">期内投标人</w:t>
      </w:r>
      <w:r>
        <w:rPr>
          <w:rFonts w:hint="eastAsia"/>
          <w:bCs/>
          <w:color w:val="000000"/>
          <w:sz w:val="24"/>
          <w:szCs w:val="24"/>
        </w:rPr>
        <w:t xml:space="preserve">须</w:t>
      </w:r>
      <w:r>
        <w:rPr>
          <w:rFonts w:hint="eastAsia"/>
          <w:bCs/>
          <w:color w:val="000000"/>
          <w:sz w:val="24"/>
          <w:szCs w:val="24"/>
          <w:lang w:val="zh-CN"/>
        </w:rPr>
        <w:t xml:space="preserve">提供全方位的、有效的、及时的软件运行维护服务，提供7*24小时的实时故障响应，在出现应用软件故障的</w:t>
      </w:r>
      <w:r>
        <w:rPr>
          <w:rFonts w:hint="eastAsia"/>
          <w:bCs/>
          <w:color w:val="000000"/>
          <w:sz w:val="24"/>
          <w:szCs w:val="24"/>
        </w:rPr>
        <w:t xml:space="preserve">30分钟</w:t>
      </w:r>
      <w:r>
        <w:rPr>
          <w:rFonts w:hint="eastAsia"/>
          <w:bCs/>
          <w:color w:val="000000"/>
          <w:sz w:val="24"/>
          <w:szCs w:val="24"/>
          <w:lang w:val="zh-CN"/>
        </w:rPr>
        <w:t xml:space="preserve">内给予响应，</w:t>
      </w:r>
      <w:r>
        <w:rPr>
          <w:rFonts w:hint="eastAsia"/>
          <w:bCs/>
          <w:color w:val="000000"/>
          <w:sz w:val="24"/>
          <w:szCs w:val="24"/>
        </w:rPr>
        <w:t xml:space="preserve">平均故障修复时间不超过1小时</w:t>
      </w:r>
      <w:r>
        <w:rPr>
          <w:rFonts w:hint="eastAsia"/>
          <w:bCs/>
          <w:color w:val="000000"/>
          <w:sz w:val="24"/>
          <w:szCs w:val="24"/>
          <w:lang w:val="zh-CN"/>
        </w:rPr>
        <w:t xml:space="preserve">。</w:t>
      </w:r>
      <w:r>
        <w:rPr>
          <w:bCs/>
          <w:color w:val="000000"/>
          <w:sz w:val="24"/>
          <w:szCs w:val="24"/>
          <w:lang w:val="zh-CN"/>
        </w:rPr>
      </w:r>
      <w:r/>
    </w:p>
    <w:p>
      <w:pPr>
        <w:pStyle w:val="907"/>
        <w:ind w:firstLine="480"/>
        <w:spacing w:line="400" w:lineRule="exact"/>
        <w:rPr>
          <w:bCs/>
          <w:color w:val="000000"/>
          <w:sz w:val="24"/>
          <w:szCs w:val="24"/>
          <w:lang w:val="zh-CN"/>
        </w:rPr>
      </w:pPr>
      <w:r>
        <w:rPr>
          <w:rFonts w:hint="eastAsia"/>
          <w:bCs/>
          <w:color w:val="000000"/>
          <w:sz w:val="24"/>
          <w:szCs w:val="24"/>
        </w:rPr>
        <w:t xml:space="preserve">免费运维</w:t>
      </w:r>
      <w:r>
        <w:rPr>
          <w:rFonts w:hint="eastAsia"/>
          <w:bCs/>
          <w:color w:val="000000"/>
          <w:sz w:val="24"/>
          <w:szCs w:val="24"/>
          <w:lang w:val="zh-CN"/>
        </w:rPr>
        <w:t xml:space="preserve">期内投标人须提供具备相关工作经验的技术人员进行技术支持工作。须</w:t>
      </w:r>
      <w:r>
        <w:rPr>
          <w:rFonts w:hint="eastAsia"/>
          <w:bCs/>
          <w:color w:val="000000"/>
          <w:sz w:val="24"/>
          <w:szCs w:val="24"/>
        </w:rPr>
        <w:t xml:space="preserve">在</w:t>
      </w:r>
      <w:r>
        <w:rPr>
          <w:rFonts w:hint="eastAsia"/>
          <w:bCs/>
          <w:color w:val="000000"/>
          <w:sz w:val="24"/>
          <w:szCs w:val="24"/>
          <w:lang w:val="zh-CN"/>
        </w:rPr>
        <w:t xml:space="preserve">用户反映问题</w:t>
      </w:r>
      <w:r>
        <w:rPr>
          <w:rFonts w:hint="eastAsia"/>
          <w:bCs/>
          <w:color w:val="000000"/>
          <w:sz w:val="24"/>
          <w:szCs w:val="24"/>
        </w:rPr>
        <w:t xml:space="preserve">的</w:t>
      </w:r>
      <w:r>
        <w:rPr>
          <w:rFonts w:hint="eastAsia"/>
          <w:bCs/>
          <w:color w:val="000000"/>
          <w:sz w:val="24"/>
          <w:szCs w:val="24"/>
          <w:lang w:val="zh-CN"/>
        </w:rPr>
        <w:t xml:space="preserve">2个小时之内及时响应，如有需要必须确保在12小时之内赶到现场，实地解决问题。</w:t>
      </w:r>
      <w:r>
        <w:rPr>
          <w:bCs/>
          <w:color w:val="000000"/>
          <w:sz w:val="24"/>
          <w:szCs w:val="24"/>
          <w:lang w:val="zh-CN"/>
        </w:rPr>
      </w:r>
      <w:r/>
    </w:p>
    <w:p>
      <w:pPr>
        <w:pStyle w:val="907"/>
        <w:ind w:firstLine="480"/>
        <w:spacing w:line="400" w:lineRule="exact"/>
        <w:rPr>
          <w:b/>
          <w:i/>
          <w:iCs/>
          <w:color w:val="000000"/>
          <w:sz w:val="24"/>
          <w:szCs w:val="24"/>
          <w:u w:val="single"/>
        </w:rPr>
      </w:pPr>
      <w:r>
        <w:rPr>
          <w:rFonts w:hint="eastAsia"/>
          <w:b/>
          <w:i/>
          <w:iCs/>
          <w:color w:val="000000"/>
          <w:sz w:val="24"/>
          <w:szCs w:val="24"/>
          <w:u w:val="single"/>
        </w:rPr>
        <w:t xml:space="preserve">免费运维</w:t>
      </w:r>
      <w:r>
        <w:rPr>
          <w:b/>
          <w:i/>
          <w:iCs/>
          <w:color w:val="000000"/>
          <w:sz w:val="24"/>
          <w:szCs w:val="24"/>
          <w:u w:val="single"/>
        </w:rPr>
        <w:t xml:space="preserve">期内</w:t>
      </w:r>
      <w:r>
        <w:rPr>
          <w:rFonts w:hint="eastAsia"/>
          <w:b/>
          <w:i/>
          <w:iCs/>
          <w:color w:val="000000"/>
          <w:sz w:val="24"/>
          <w:szCs w:val="24"/>
          <w:u w:val="single"/>
          <w:lang w:val="zh-CN"/>
        </w:rPr>
        <w:t xml:space="preserve">投标人须</w:t>
      </w:r>
      <w:r>
        <w:rPr>
          <w:b/>
          <w:i/>
          <w:iCs/>
          <w:color w:val="000000"/>
          <w:sz w:val="24"/>
          <w:szCs w:val="24"/>
          <w:u w:val="single"/>
        </w:rPr>
        <w:t xml:space="preserve">提供免费功能修改，对于软件缺陷提供终身免费维护。</w:t>
      </w:r>
      <w:r/>
    </w:p>
    <w:p>
      <w:pPr>
        <w:pStyle w:val="907"/>
        <w:ind w:firstLine="480"/>
        <w:spacing w:line="400" w:lineRule="exact"/>
        <w:rPr>
          <w:bCs/>
          <w:color w:val="000000"/>
          <w:sz w:val="24"/>
          <w:szCs w:val="24"/>
          <w:lang w:val="zh-CN"/>
        </w:rPr>
      </w:pPr>
      <w:r>
        <w:rPr>
          <w:bCs/>
          <w:color w:val="000000"/>
          <w:sz w:val="24"/>
          <w:szCs w:val="24"/>
          <w:lang w:val="zh-CN"/>
        </w:rPr>
      </w:r>
      <w:r/>
    </w:p>
    <w:p>
      <w:pPr>
        <w:pStyle w:val="1023"/>
        <w:jc w:val="left"/>
        <w:spacing w:before="0" w:after="0" w:line="360" w:lineRule="auto"/>
        <w:tabs>
          <w:tab w:val="left" w:pos="0" w:leader="none"/>
        </w:tabs>
        <w:rPr>
          <w:rFonts w:ascii="Times New Roman" w:hAnsi="Times New Roman" w:eastAsia="宋体"/>
          <w:color w:val="000000"/>
          <w:sz w:val="24"/>
          <w:szCs w:val="24"/>
        </w:rPr>
      </w:pPr>
      <w:r>
        <w:rPr>
          <w:rFonts w:hint="eastAsia" w:ascii="Times New Roman" w:hAnsi="Times New Roman" w:eastAsia="宋体"/>
          <w:color w:val="000000"/>
          <w:sz w:val="24"/>
          <w:szCs w:val="24"/>
        </w:rPr>
        <w:t xml:space="preserve">4.2具体服务要求</w:t>
      </w:r>
      <w:r>
        <w:rPr>
          <w:rFonts w:ascii="Times New Roman" w:hAnsi="Times New Roman" w:eastAsia="宋体"/>
          <w:color w:val="000000"/>
          <w:sz w:val="24"/>
          <w:szCs w:val="24"/>
        </w:rPr>
      </w:r>
      <w:r/>
    </w:p>
    <w:p>
      <w:pPr>
        <w:pStyle w:val="907"/>
        <w:ind w:firstLine="480"/>
        <w:spacing w:line="400" w:lineRule="exact"/>
        <w:rPr>
          <w:bCs/>
          <w:color w:val="000000"/>
          <w:sz w:val="24"/>
          <w:szCs w:val="24"/>
        </w:rPr>
      </w:pPr>
      <w:r>
        <w:rPr>
          <w:rFonts w:hint="eastAsia"/>
          <w:bCs/>
          <w:color w:val="000000"/>
          <w:sz w:val="24"/>
          <w:szCs w:val="24"/>
        </w:rPr>
        <w:t xml:space="preserve">故障分析报告：系统恢复正常运行后，应对系统运行情况进行跟踪，并结合故障信息对故障产生原因进行分析，5日内提交故障分析报告及解决方案。</w:t>
      </w:r>
      <w:r>
        <w:rPr>
          <w:bCs/>
          <w:color w:val="000000"/>
          <w:sz w:val="24"/>
          <w:szCs w:val="24"/>
        </w:rPr>
      </w:r>
      <w:r/>
    </w:p>
    <w:p>
      <w:pPr>
        <w:pStyle w:val="907"/>
        <w:ind w:firstLine="480"/>
        <w:spacing w:line="400" w:lineRule="exact"/>
        <w:rPr>
          <w:bCs/>
          <w:color w:val="000000"/>
          <w:sz w:val="24"/>
          <w:szCs w:val="24"/>
        </w:rPr>
      </w:pPr>
      <w:r>
        <w:rPr>
          <w:rFonts w:hint="eastAsia"/>
          <w:bCs/>
          <w:color w:val="000000"/>
          <w:sz w:val="24"/>
          <w:szCs w:val="24"/>
        </w:rPr>
        <w:t xml:space="preserve">定期跟踪：技术支持人员应每年不少于2次对系统进行巡检服务，及时发现和排除潜在问题或故障隐患，保证系统的稳定运行。</w:t>
      </w:r>
      <w:r>
        <w:rPr>
          <w:bCs/>
          <w:color w:val="000000"/>
          <w:sz w:val="24"/>
          <w:szCs w:val="24"/>
        </w:rPr>
      </w:r>
      <w:r/>
    </w:p>
    <w:p>
      <w:pPr>
        <w:pStyle w:val="1023"/>
        <w:jc w:val="left"/>
        <w:spacing w:before="0" w:after="0" w:line="360" w:lineRule="auto"/>
        <w:tabs>
          <w:tab w:val="left" w:pos="0" w:leader="none"/>
        </w:tabs>
        <w:rPr>
          <w:rFonts w:ascii="Times New Roman" w:hAnsi="Times New Roman" w:eastAsia="宋体"/>
          <w:color w:val="000000"/>
          <w:sz w:val="24"/>
          <w:szCs w:val="24"/>
        </w:rPr>
      </w:pPr>
      <w:r>
        <w:rPr>
          <w:rFonts w:hint="eastAsia" w:ascii="Times New Roman" w:hAnsi="Times New Roman" w:eastAsia="宋体"/>
          <w:color w:val="000000"/>
          <w:sz w:val="24"/>
          <w:szCs w:val="24"/>
        </w:rPr>
        <w:t xml:space="preserve">4.3应急响应要求</w:t>
      </w:r>
      <w:r>
        <w:rPr>
          <w:rFonts w:ascii="Times New Roman" w:hAnsi="Times New Roman" w:eastAsia="宋体"/>
          <w:color w:val="000000"/>
          <w:sz w:val="24"/>
          <w:szCs w:val="24"/>
        </w:rPr>
      </w:r>
      <w:r/>
    </w:p>
    <w:p>
      <w:pPr>
        <w:pStyle w:val="907"/>
        <w:ind w:firstLine="480"/>
        <w:spacing w:line="400" w:lineRule="exact"/>
        <w:rPr>
          <w:bCs/>
          <w:color w:val="000000"/>
          <w:sz w:val="24"/>
          <w:szCs w:val="24"/>
          <w:lang w:val="zh-CN"/>
        </w:rPr>
      </w:pPr>
      <w:r>
        <w:rPr>
          <w:rFonts w:hint="eastAsia"/>
          <w:bCs/>
          <w:color w:val="000000"/>
          <w:sz w:val="24"/>
          <w:szCs w:val="24"/>
          <w:lang w:val="zh-CN"/>
        </w:rPr>
        <w:t xml:space="preserve">投标人</w:t>
      </w:r>
      <w:r>
        <w:rPr>
          <w:rFonts w:hint="eastAsia"/>
          <w:bCs/>
          <w:color w:val="000000"/>
          <w:sz w:val="24"/>
          <w:szCs w:val="24"/>
        </w:rPr>
        <w:t xml:space="preserve">须</w:t>
      </w:r>
      <w:r>
        <w:rPr>
          <w:rFonts w:hint="eastAsia"/>
          <w:bCs/>
          <w:color w:val="000000"/>
          <w:sz w:val="24"/>
          <w:szCs w:val="24"/>
          <w:lang w:val="zh-CN"/>
        </w:rPr>
        <w:t xml:space="preserve">积极响应因环境网络调整、网络故障、电力供应测试、电力故障等原因导致的应急支持和服务。</w:t>
      </w:r>
      <w:r>
        <w:rPr>
          <w:bCs/>
          <w:color w:val="000000"/>
          <w:sz w:val="24"/>
          <w:szCs w:val="24"/>
          <w:lang w:val="zh-CN"/>
        </w:rPr>
      </w:r>
      <w:r/>
    </w:p>
    <w:p>
      <w:pPr>
        <w:pStyle w:val="1023"/>
        <w:jc w:val="left"/>
        <w:spacing w:before="0" w:after="0" w:line="360" w:lineRule="auto"/>
        <w:tabs>
          <w:tab w:val="left" w:pos="0" w:leader="none"/>
        </w:tabs>
        <w:rPr>
          <w:rFonts w:ascii="Times New Roman" w:hAnsi="Times New Roman" w:eastAsia="宋体"/>
          <w:color w:val="000000"/>
          <w:sz w:val="24"/>
          <w:szCs w:val="24"/>
        </w:rPr>
      </w:pPr>
      <w:r>
        <w:rPr>
          <w:rFonts w:hint="eastAsia" w:ascii="Times New Roman" w:hAnsi="Times New Roman" w:eastAsia="宋体"/>
          <w:color w:val="000000"/>
          <w:sz w:val="24"/>
          <w:szCs w:val="24"/>
        </w:rPr>
        <w:t xml:space="preserve">4.4保密管理要求</w:t>
      </w:r>
      <w:r>
        <w:rPr>
          <w:rFonts w:ascii="Times New Roman" w:hAnsi="Times New Roman" w:eastAsia="宋体"/>
          <w:color w:val="000000"/>
          <w:sz w:val="24"/>
          <w:szCs w:val="24"/>
        </w:rPr>
      </w:r>
      <w:r/>
    </w:p>
    <w:p>
      <w:pPr>
        <w:pStyle w:val="907"/>
        <w:ind w:firstLine="480"/>
        <w:spacing w:line="400" w:lineRule="exact"/>
        <w:rPr>
          <w:bCs/>
          <w:color w:val="000000"/>
          <w:sz w:val="24"/>
          <w:szCs w:val="24"/>
          <w:lang w:val="zh-CN"/>
        </w:rPr>
      </w:pPr>
      <w:r>
        <w:rPr>
          <w:rFonts w:hint="eastAsia"/>
          <w:bCs/>
          <w:color w:val="000000"/>
          <w:sz w:val="24"/>
          <w:szCs w:val="24"/>
        </w:rPr>
        <w:t xml:space="preserve">投标人</w:t>
      </w:r>
      <w:r>
        <w:rPr>
          <w:rFonts w:hint="eastAsia"/>
          <w:bCs/>
          <w:color w:val="000000"/>
          <w:sz w:val="24"/>
          <w:szCs w:val="24"/>
          <w:lang w:val="zh-CN"/>
        </w:rPr>
        <w:t xml:space="preserve">须严格遵守国家制定的安全保密制度，</w:t>
      </w:r>
      <w:r>
        <w:rPr>
          <w:rFonts w:hint="eastAsia"/>
          <w:bCs/>
          <w:color w:val="000000"/>
          <w:sz w:val="24"/>
          <w:szCs w:val="24"/>
        </w:rPr>
        <w:t xml:space="preserve">组织</w:t>
      </w:r>
      <w:r>
        <w:rPr>
          <w:rFonts w:hint="eastAsia"/>
          <w:bCs/>
          <w:color w:val="000000"/>
          <w:sz w:val="24"/>
          <w:szCs w:val="24"/>
          <w:lang w:val="zh-CN"/>
        </w:rPr>
        <w:t xml:space="preserve">相关人员签订保密协议</w:t>
      </w:r>
      <w:r>
        <w:rPr>
          <w:rFonts w:hint="eastAsia"/>
          <w:bCs/>
          <w:color w:val="000000"/>
          <w:sz w:val="24"/>
          <w:szCs w:val="24"/>
        </w:rPr>
        <w:t xml:space="preserve">和保密承诺书</w:t>
      </w:r>
      <w:r>
        <w:rPr>
          <w:rFonts w:hint="eastAsia"/>
          <w:bCs/>
          <w:color w:val="000000"/>
          <w:sz w:val="24"/>
          <w:szCs w:val="24"/>
          <w:lang w:val="zh-CN"/>
        </w:rPr>
        <w:t xml:space="preserve">。</w:t>
      </w:r>
      <w:bookmarkStart w:id="219" w:name="_Toc178262588"/>
      <w:r>
        <w:rPr>
          <w:bCs/>
          <w:color w:val="000000"/>
          <w:sz w:val="24"/>
          <w:szCs w:val="24"/>
          <w:lang w:val="zh-CN"/>
        </w:rPr>
      </w:r>
      <w:r/>
    </w:p>
    <w:p>
      <w:pPr>
        <w:pStyle w:val="1023"/>
        <w:jc w:val="left"/>
        <w:spacing w:before="0" w:after="0" w:line="360" w:lineRule="auto"/>
        <w:tabs>
          <w:tab w:val="left" w:pos="0" w:leader="none"/>
        </w:tabs>
        <w:rPr>
          <w:rFonts w:ascii="Times New Roman" w:hAnsi="Times New Roman" w:eastAsia="宋体"/>
          <w:color w:val="000000"/>
          <w:sz w:val="24"/>
          <w:szCs w:val="24"/>
        </w:rPr>
      </w:pPr>
      <w:r>
        <w:rPr>
          <w:rFonts w:hint="eastAsia" w:ascii="Times New Roman" w:hAnsi="Times New Roman" w:eastAsia="宋体"/>
          <w:color w:val="000000"/>
          <w:sz w:val="24"/>
          <w:szCs w:val="24"/>
        </w:rPr>
        <w:t xml:space="preserve">4.5其他要求</w:t>
      </w:r>
      <w:r>
        <w:rPr>
          <w:rFonts w:ascii="Times New Roman" w:hAnsi="Times New Roman" w:eastAsia="宋体"/>
          <w:color w:val="000000"/>
          <w:sz w:val="24"/>
          <w:szCs w:val="24"/>
        </w:rPr>
      </w:r>
      <w:r/>
    </w:p>
    <w:p>
      <w:pPr>
        <w:pStyle w:val="907"/>
        <w:ind w:firstLine="480"/>
        <w:spacing w:line="400" w:lineRule="exact"/>
        <w:rPr>
          <w:bCs/>
          <w:color w:val="000000"/>
          <w:sz w:val="24"/>
          <w:szCs w:val="24"/>
          <w:lang w:val="zh-CN"/>
        </w:rPr>
      </w:pPr>
      <w:r>
        <w:rPr>
          <w:rFonts w:hint="eastAsia"/>
          <w:bCs/>
          <w:color w:val="000000"/>
          <w:sz w:val="24"/>
          <w:szCs w:val="24"/>
        </w:rPr>
        <w:t xml:space="preserve">免费</w:t>
      </w:r>
      <w:r>
        <w:rPr>
          <w:rFonts w:hint="eastAsia"/>
          <w:bCs/>
          <w:color w:val="000000"/>
          <w:sz w:val="24"/>
          <w:szCs w:val="24"/>
          <w:lang w:val="zh-CN"/>
        </w:rPr>
        <w:t xml:space="preserve">运维期结束后，</w:t>
      </w:r>
      <w:r>
        <w:rPr>
          <w:rFonts w:hint="eastAsia"/>
          <w:bCs/>
          <w:color w:val="000000"/>
          <w:sz w:val="24"/>
          <w:szCs w:val="24"/>
        </w:rPr>
        <w:t xml:space="preserve">须</w:t>
      </w:r>
      <w:r>
        <w:rPr>
          <w:rFonts w:hint="eastAsia"/>
          <w:bCs/>
          <w:color w:val="000000"/>
          <w:sz w:val="24"/>
          <w:szCs w:val="24"/>
          <w:lang w:val="zh-CN"/>
        </w:rPr>
        <w:t xml:space="preserve">无条件支持</w:t>
      </w:r>
      <w:r>
        <w:rPr>
          <w:rFonts w:hint="eastAsia"/>
          <w:bCs/>
          <w:color w:val="000000"/>
          <w:sz w:val="24"/>
          <w:szCs w:val="24"/>
        </w:rPr>
        <w:t xml:space="preserve">第三方运维和</w:t>
      </w:r>
      <w:r>
        <w:rPr>
          <w:rFonts w:hint="eastAsia"/>
          <w:bCs/>
          <w:color w:val="000000"/>
          <w:sz w:val="24"/>
          <w:szCs w:val="24"/>
          <w:lang w:val="zh-CN"/>
        </w:rPr>
        <w:t xml:space="preserve">二次开发。</w:t>
      </w:r>
      <w:r>
        <w:rPr>
          <w:bCs/>
          <w:color w:val="000000"/>
          <w:sz w:val="24"/>
          <w:szCs w:val="24"/>
          <w:lang w:val="zh-CN"/>
        </w:rPr>
      </w:r>
      <w:r/>
    </w:p>
    <w:p>
      <w:pPr>
        <w:pStyle w:val="907"/>
        <w:spacing w:line="400" w:lineRule="exact"/>
        <w:rPr>
          <w:bCs/>
          <w:color w:val="000000"/>
          <w:sz w:val="24"/>
          <w:szCs w:val="24"/>
        </w:rPr>
        <w:outlineLvl w:val="0"/>
      </w:pPr>
      <w:r>
        <w:rPr>
          <w:rFonts w:hint="eastAsia"/>
          <w:b/>
          <w:bCs/>
          <w:color w:val="000000"/>
          <w:sz w:val="28"/>
          <w:szCs w:val="28"/>
        </w:rPr>
        <w:t xml:space="preserve">五、投标人履约能力要求</w:t>
      </w:r>
      <w:r>
        <w:rPr>
          <w:bCs/>
          <w:color w:val="000000"/>
          <w:sz w:val="24"/>
          <w:szCs w:val="24"/>
        </w:rPr>
      </w:r>
      <w:r/>
    </w:p>
    <w:p>
      <w:pPr>
        <w:pStyle w:val="907"/>
        <w:ind w:firstLine="480"/>
        <w:spacing w:line="400" w:lineRule="exact"/>
        <w:rPr>
          <w:b/>
          <w:bCs/>
          <w:color w:val="000000"/>
          <w:sz w:val="28"/>
          <w:szCs w:val="28"/>
        </w:rPr>
      </w:pPr>
      <w:r>
        <w:rPr>
          <w:rFonts w:hint="eastAsia"/>
          <w:bCs/>
          <w:color w:val="000000"/>
          <w:sz w:val="24"/>
          <w:szCs w:val="24"/>
        </w:rPr>
        <w:t xml:space="preserve">本项目是集</w:t>
      </w:r>
      <w:bookmarkStart w:id="220" w:name="_GoBack"/>
      <w:r>
        <w:rPr>
          <w:rFonts w:hint="eastAsia"/>
          <w:bCs/>
          <w:color w:val="000000"/>
          <w:sz w:val="24"/>
          <w:szCs w:val="24"/>
        </w:rPr>
        <w:t xml:space="preserve">软件定制开发、数据标准编制、数据治理的综合类项目，投标人需具有质量管理、环境管理、职业健康安全管理等方面的认证资质，具有软件平台建设类项目开发经验和业绩，具有与本项目相关的软件著作。</w:t>
      </w:r>
      <w:bookmarkEnd w:id="220"/>
      <w:r>
        <w:rPr>
          <w:b/>
          <w:bCs/>
          <w:color w:val="000000"/>
          <w:sz w:val="28"/>
          <w:szCs w:val="28"/>
        </w:rPr>
      </w:r>
      <w:r/>
    </w:p>
    <w:p>
      <w:pPr>
        <w:pStyle w:val="907"/>
        <w:ind w:firstLine="480"/>
        <w:spacing w:line="400" w:lineRule="exact"/>
        <w:rPr>
          <w:bCs/>
          <w:color w:val="000000"/>
          <w:sz w:val="24"/>
          <w:szCs w:val="24"/>
          <w:lang w:val="zh-CN"/>
        </w:rPr>
      </w:pPr>
      <w:r>
        <w:rPr>
          <w:bCs/>
          <w:color w:val="000000"/>
          <w:sz w:val="24"/>
          <w:szCs w:val="24"/>
          <w:lang w:val="zh-CN"/>
        </w:rPr>
      </w:r>
      <w:r/>
    </w:p>
    <w:p>
      <w:pPr>
        <w:pStyle w:val="907"/>
        <w:spacing w:line="400" w:lineRule="exact"/>
        <w:rPr>
          <w:bCs/>
          <w:color w:val="000000"/>
          <w:sz w:val="24"/>
          <w:szCs w:val="24"/>
        </w:rPr>
        <w:outlineLvl w:val="0"/>
      </w:pPr>
      <w:r>
        <w:rPr>
          <w:rFonts w:hint="eastAsia"/>
          <w:b/>
          <w:bCs/>
          <w:color w:val="000000"/>
          <w:sz w:val="28"/>
          <w:szCs w:val="28"/>
        </w:rPr>
        <w:t xml:space="preserve">六、驻场人员要求</w:t>
      </w:r>
      <w:r>
        <w:rPr>
          <w:bCs/>
          <w:color w:val="000000"/>
          <w:sz w:val="24"/>
          <w:szCs w:val="24"/>
        </w:rPr>
      </w:r>
      <w:r/>
    </w:p>
    <w:p>
      <w:pPr>
        <w:pStyle w:val="907"/>
        <w:ind w:firstLine="480"/>
        <w:spacing w:line="400" w:lineRule="exact"/>
        <w:rPr>
          <w:b/>
          <w:bCs/>
          <w:i/>
          <w:color w:val="000000"/>
          <w:sz w:val="24"/>
          <w:szCs w:val="24"/>
          <w:u w:val="single"/>
        </w:rPr>
      </w:pPr>
      <w:r>
        <w:rPr>
          <w:rFonts w:hint="eastAsia"/>
          <w:b/>
          <w:bCs/>
          <w:i/>
          <w:color w:val="000000"/>
          <w:sz w:val="24"/>
          <w:szCs w:val="24"/>
          <w:u w:val="single"/>
        </w:rPr>
        <w:t xml:space="preserve">在项目建设期间，投标人须组建由自有人力组成的不少于12人的项目驻场实施团队，承担项目管理、软件开发、部署调试、数据治理、标准规范编制等职责，并具备相应专业资质、实践经验和工作能力。驻场时间自合同签订起至终验合格。</w:t>
      </w:r>
      <w:r>
        <w:rPr>
          <w:b/>
          <w:bCs/>
          <w:i/>
          <w:color w:val="000000"/>
          <w:sz w:val="24"/>
          <w:szCs w:val="24"/>
          <w:u w:val="single"/>
        </w:rPr>
      </w:r>
      <w:r/>
    </w:p>
    <w:p>
      <w:pPr>
        <w:pStyle w:val="907"/>
        <w:ind w:firstLine="480"/>
        <w:spacing w:line="400" w:lineRule="exact"/>
        <w:rPr>
          <w:b/>
          <w:bCs/>
          <w:i/>
          <w:color w:val="000000"/>
          <w:sz w:val="24"/>
          <w:szCs w:val="24"/>
          <w:u w:val="single"/>
        </w:rPr>
      </w:pPr>
      <w:r>
        <w:rPr>
          <w:rFonts w:hint="eastAsia"/>
          <w:b/>
          <w:bCs/>
          <w:i/>
          <w:color w:val="000000"/>
          <w:sz w:val="24"/>
          <w:szCs w:val="24"/>
          <w:u w:val="single"/>
        </w:rPr>
        <w:t xml:space="preserve">在免费运维期间，投标人须组建由自有人力组成的不少于6人的项目驻场维护团队，人员应与项目建设期间驻场人员保持一定的延续性，承担运维管理、故障响应、技术支持、功能修改、数据治理、培训辅导等职责。驻场时间自终验合格至免费运维期结束。</w:t>
      </w:r>
      <w:r>
        <w:rPr>
          <w:b/>
          <w:bCs/>
          <w:i/>
          <w:color w:val="000000"/>
          <w:sz w:val="24"/>
          <w:szCs w:val="24"/>
          <w:u w:val="single"/>
        </w:rPr>
      </w:r>
      <w:r/>
    </w:p>
    <w:p>
      <w:pPr>
        <w:pStyle w:val="907"/>
        <w:ind w:firstLine="480"/>
        <w:spacing w:line="400" w:lineRule="exact"/>
        <w:rPr>
          <w:bCs/>
          <w:color w:val="000000"/>
          <w:sz w:val="24"/>
          <w:szCs w:val="24"/>
        </w:rPr>
      </w:pPr>
      <w:r>
        <w:rPr>
          <w:rFonts w:hint="eastAsia"/>
          <w:bCs/>
          <w:color w:val="000000"/>
          <w:sz w:val="24"/>
          <w:szCs w:val="24"/>
        </w:rPr>
        <w:t xml:space="preserve">驻场期间，团队人员原则上应保持稳定持续。如确需变动（包括但不限于离职、调岗、健康原因等），乙方须至少提前30个自然日向甲方提交书面申请，并提供变动原因书面证明材料（如加盖乙方公章的人事变动证明、医院出具的相关证明等）、拟替换人员的详细简历及资质证明。拟替换人员的资历、经验及技术水平不得低于原人员，经甲方书面审核同意后方可进行更换，甲方应在收到完整申请后10个工作日内予以答复，无正当理由不得拒绝。驻场地址为甲方指定的项目现场。</w:t>
      </w:r>
      <w:r>
        <w:rPr>
          <w:bCs/>
          <w:color w:val="000000"/>
          <w:sz w:val="24"/>
          <w:szCs w:val="24"/>
        </w:rPr>
      </w:r>
      <w:r/>
    </w:p>
    <w:p>
      <w:pPr>
        <w:pStyle w:val="907"/>
        <w:ind w:firstLine="480"/>
        <w:spacing w:line="400" w:lineRule="exact"/>
        <w:rPr>
          <w:bCs/>
          <w:color w:val="000000"/>
          <w:sz w:val="24"/>
          <w:szCs w:val="24"/>
        </w:rPr>
      </w:pPr>
      <w:r>
        <w:rPr>
          <w:rFonts w:hint="eastAsia"/>
          <w:bCs/>
          <w:color w:val="000000"/>
          <w:sz w:val="24"/>
          <w:szCs w:val="24"/>
        </w:rPr>
        <w:t xml:space="preserve">如发生以下情形之一，视为乙方违约：</w:t>
      </w:r>
      <w:r>
        <w:rPr>
          <w:bCs/>
          <w:color w:val="000000"/>
          <w:sz w:val="24"/>
          <w:szCs w:val="24"/>
        </w:rPr>
      </w:r>
      <w:r/>
    </w:p>
    <w:p>
      <w:pPr>
        <w:pStyle w:val="907"/>
        <w:ind w:firstLine="480"/>
        <w:spacing w:line="400" w:lineRule="exact"/>
        <w:rPr>
          <w:bCs/>
          <w:color w:val="000000"/>
          <w:sz w:val="24"/>
          <w:szCs w:val="24"/>
        </w:rPr>
      </w:pPr>
      <w:r>
        <w:rPr>
          <w:rFonts w:hint="eastAsia"/>
          <w:bCs/>
          <w:color w:val="000000"/>
          <w:sz w:val="24"/>
          <w:szCs w:val="24"/>
        </w:rPr>
        <w:t xml:space="preserve">（1）未经甲方同意擅自更换项目负责人或主要技术人员；</w:t>
      </w:r>
      <w:r>
        <w:rPr>
          <w:bCs/>
          <w:color w:val="000000"/>
          <w:sz w:val="24"/>
          <w:szCs w:val="24"/>
        </w:rPr>
      </w:r>
      <w:r/>
    </w:p>
    <w:p>
      <w:pPr>
        <w:pStyle w:val="907"/>
        <w:ind w:firstLine="480"/>
        <w:spacing w:line="400" w:lineRule="exact"/>
        <w:rPr>
          <w:bCs/>
          <w:color w:val="000000"/>
          <w:sz w:val="24"/>
          <w:szCs w:val="24"/>
        </w:rPr>
      </w:pPr>
      <w:r>
        <w:rPr>
          <w:rFonts w:hint="eastAsia"/>
          <w:bCs/>
          <w:color w:val="000000"/>
          <w:sz w:val="24"/>
          <w:szCs w:val="24"/>
        </w:rPr>
        <w:t xml:space="preserve">（2）实际驻场人数低于承诺人数（含因人员变动导致的临时空缺）；</w:t>
      </w:r>
      <w:r>
        <w:rPr>
          <w:bCs/>
          <w:color w:val="000000"/>
          <w:sz w:val="24"/>
          <w:szCs w:val="24"/>
        </w:rPr>
      </w:r>
      <w:r/>
    </w:p>
    <w:p>
      <w:pPr>
        <w:pStyle w:val="907"/>
        <w:ind w:firstLine="480"/>
        <w:spacing w:line="400" w:lineRule="exact"/>
        <w:rPr>
          <w:bCs/>
          <w:color w:val="000000"/>
          <w:sz w:val="24"/>
          <w:szCs w:val="24"/>
        </w:rPr>
      </w:pPr>
      <w:r>
        <w:rPr>
          <w:rFonts w:hint="eastAsia"/>
          <w:bCs/>
          <w:color w:val="000000"/>
          <w:sz w:val="24"/>
          <w:szCs w:val="24"/>
        </w:rPr>
        <w:t xml:space="preserve">（3）因乙方原因造成驻场人员连续缺席超过5个工作日。</w:t>
      </w:r>
      <w:r>
        <w:rPr>
          <w:bCs/>
          <w:color w:val="000000"/>
          <w:sz w:val="24"/>
          <w:szCs w:val="24"/>
        </w:rPr>
      </w:r>
      <w:r/>
    </w:p>
    <w:p>
      <w:pPr>
        <w:pStyle w:val="907"/>
        <w:ind w:firstLine="480"/>
        <w:spacing w:line="400" w:lineRule="exact"/>
        <w:rPr>
          <w:bCs/>
          <w:color w:val="000000"/>
          <w:sz w:val="24"/>
          <w:szCs w:val="24"/>
        </w:rPr>
      </w:pPr>
      <w:r>
        <w:rPr>
          <w:rFonts w:hint="eastAsia"/>
          <w:bCs/>
          <w:color w:val="000000"/>
          <w:sz w:val="24"/>
          <w:szCs w:val="24"/>
        </w:rPr>
        <w:t xml:space="preserve">违约金计算方式：自违约行为发生之日起，按每人每日人民币陆仟元整（¥6,000元/人/天）的标准向甲方支付违约金，直至违约状态消除之日止。同一时间段内多名人员缺失的，累计计算。</w:t>
      </w:r>
      <w:r>
        <w:rPr>
          <w:bCs/>
          <w:color w:val="000000"/>
          <w:sz w:val="24"/>
          <w:szCs w:val="24"/>
        </w:rPr>
      </w:r>
      <w:r/>
    </w:p>
    <w:p>
      <w:pPr>
        <w:pStyle w:val="907"/>
        <w:ind w:firstLine="480"/>
        <w:spacing w:line="400" w:lineRule="exact"/>
        <w:rPr>
          <w:bCs/>
          <w:color w:val="000000"/>
          <w:sz w:val="24"/>
          <w:szCs w:val="24"/>
        </w:rPr>
      </w:pPr>
      <w:r>
        <w:rPr>
          <w:rFonts w:hint="eastAsia"/>
          <w:bCs/>
          <w:color w:val="000000"/>
          <w:sz w:val="24"/>
          <w:szCs w:val="24"/>
        </w:rPr>
        <w:t xml:space="preserve">因不可抗力（如人员罹患重大疾病、意外伤亡等）导致必须紧急更换人员的，乙方应在事件发生后48小时内通知甲方并提供有效证明，甲方应尽快完成审核，在此期间不计入违约金。</w:t>
      </w:r>
      <w:r>
        <w:rPr>
          <w:bCs/>
          <w:color w:val="000000"/>
          <w:sz w:val="24"/>
          <w:szCs w:val="24"/>
        </w:rPr>
      </w:r>
      <w:r/>
    </w:p>
    <w:p>
      <w:pPr>
        <w:pStyle w:val="907"/>
        <w:ind w:firstLine="480"/>
        <w:spacing w:line="400" w:lineRule="exact"/>
        <w:rPr>
          <w:bCs/>
          <w:color w:val="000000"/>
          <w:sz w:val="24"/>
          <w:szCs w:val="24"/>
        </w:rPr>
      </w:pPr>
      <w:r>
        <w:rPr>
          <w:rFonts w:hint="eastAsia"/>
          <w:bCs/>
          <w:color w:val="000000"/>
          <w:sz w:val="24"/>
          <w:szCs w:val="24"/>
        </w:rPr>
        <w:t xml:space="preserve">上述违约金不足以弥补甲方实际损失的，甲方仍有权要求乙方赔偿超出部分。</w:t>
      </w:r>
      <w:r>
        <w:rPr>
          <w:bCs/>
          <w:color w:val="000000"/>
          <w:sz w:val="24"/>
          <w:szCs w:val="24"/>
        </w:rPr>
      </w:r>
      <w:r/>
    </w:p>
    <w:p>
      <w:pPr>
        <w:pStyle w:val="907"/>
        <w:spacing w:line="400" w:lineRule="exact"/>
        <w:rPr>
          <w:color w:val="000000"/>
          <w:sz w:val="28"/>
          <w:szCs w:val="28"/>
        </w:rPr>
        <w:outlineLvl w:val="0"/>
      </w:pPr>
      <w:r>
        <w:rPr>
          <w:rFonts w:hint="eastAsia"/>
          <w:b/>
          <w:bCs/>
          <w:color w:val="000000"/>
          <w:sz w:val="28"/>
          <w:szCs w:val="28"/>
        </w:rPr>
        <w:t xml:space="preserve">七、</w:t>
      </w:r>
      <w:bookmarkEnd w:id="219"/>
      <w:r>
        <w:rPr>
          <w:rFonts w:hint="eastAsia"/>
          <w:b/>
          <w:bCs/>
          <w:color w:val="000000"/>
          <w:sz w:val="28"/>
          <w:szCs w:val="28"/>
        </w:rPr>
        <w:t xml:space="preserve">交付期及付款要求</w:t>
      </w:r>
      <w:r>
        <w:rPr>
          <w:color w:val="000000"/>
          <w:sz w:val="28"/>
          <w:szCs w:val="28"/>
        </w:rPr>
      </w:r>
      <w:r/>
    </w:p>
    <w:p>
      <w:pPr>
        <w:pStyle w:val="907"/>
        <w:ind w:firstLine="482"/>
        <w:spacing w:line="400" w:lineRule="exact"/>
        <w:rPr>
          <w:color w:val="000000"/>
          <w:sz w:val="24"/>
          <w:szCs w:val="24"/>
        </w:rPr>
      </w:pPr>
      <w:r>
        <w:rPr>
          <w:rFonts w:hint="eastAsia"/>
          <w:color w:val="000000"/>
          <w:sz w:val="24"/>
          <w:szCs w:val="24"/>
        </w:rPr>
        <w:t xml:space="preserve">交付期：自合同签订后8个月内具备试运行和初验条件，12个月内完成试运行，具备技术验收和终验条件。</w:t>
      </w:r>
      <w:r>
        <w:rPr>
          <w:color w:val="000000"/>
          <w:sz w:val="24"/>
          <w:szCs w:val="24"/>
        </w:rPr>
      </w:r>
      <w:r/>
    </w:p>
    <w:p>
      <w:pPr>
        <w:pStyle w:val="907"/>
        <w:ind w:firstLine="482"/>
        <w:spacing w:line="400" w:lineRule="exact"/>
        <w:rPr>
          <w:color w:val="000000"/>
          <w:sz w:val="24"/>
          <w:szCs w:val="24"/>
        </w:rPr>
      </w:pPr>
      <w:r>
        <w:rPr>
          <w:rFonts w:hint="eastAsia"/>
          <w:color w:val="000000"/>
          <w:sz w:val="24"/>
          <w:szCs w:val="24"/>
        </w:rPr>
        <w:t xml:space="preserve">交付地点：南京市中山东路132号江苏省广播电视局。</w:t>
      </w:r>
      <w:r>
        <w:rPr>
          <w:color w:val="000000"/>
          <w:sz w:val="24"/>
          <w:szCs w:val="24"/>
        </w:rPr>
      </w:r>
      <w:r/>
    </w:p>
    <w:p>
      <w:pPr>
        <w:pStyle w:val="907"/>
        <w:ind w:firstLine="482"/>
        <w:spacing w:line="400" w:lineRule="exact"/>
        <w:rPr>
          <w:color w:val="000000"/>
          <w:sz w:val="24"/>
          <w:szCs w:val="24"/>
        </w:rPr>
      </w:pPr>
      <w:r>
        <w:rPr>
          <w:rFonts w:hint="eastAsia"/>
          <w:color w:val="000000"/>
          <w:sz w:val="24"/>
          <w:szCs w:val="24"/>
        </w:rPr>
        <w:t xml:space="preserve">付款方式：</w:t>
      </w:r>
      <w:r>
        <w:rPr>
          <w:color w:val="000000"/>
          <w:sz w:val="24"/>
          <w:szCs w:val="24"/>
        </w:rPr>
      </w:r>
      <w:r/>
    </w:p>
    <w:p>
      <w:pPr>
        <w:pStyle w:val="907"/>
        <w:ind w:firstLine="482"/>
        <w:spacing w:line="400" w:lineRule="exact"/>
        <w:rPr>
          <w:color w:val="000000"/>
          <w:sz w:val="24"/>
          <w:szCs w:val="24"/>
          <w:u w:val="single"/>
        </w:rPr>
      </w:pPr>
      <w:r>
        <w:rPr>
          <w:rFonts w:hint="eastAsia"/>
          <w:color w:val="000000"/>
          <w:sz w:val="24"/>
          <w:szCs w:val="24"/>
        </w:rPr>
        <w:t xml:space="preserve">（1）签订合同后，甲方支付合同额的40%；经甲方初步验收合格后，甲方支付合同额的40%；通过甲方竣工终验后，甲方支付合同额的20%。</w:t>
      </w:r>
      <w:r>
        <w:rPr>
          <w:color w:val="000000"/>
          <w:sz w:val="24"/>
          <w:szCs w:val="24"/>
          <w:u w:val="single"/>
        </w:rPr>
      </w:r>
      <w:r/>
    </w:p>
    <w:p>
      <w:pPr>
        <w:pStyle w:val="907"/>
        <w:ind w:firstLine="482"/>
        <w:spacing w:line="400" w:lineRule="exact"/>
        <w:rPr>
          <w:color w:val="000000"/>
          <w:sz w:val="24"/>
          <w:szCs w:val="24"/>
        </w:rPr>
      </w:pPr>
      <w:r>
        <w:rPr>
          <w:rFonts w:hint="eastAsia"/>
          <w:color w:val="000000"/>
          <w:sz w:val="24"/>
          <w:szCs w:val="24"/>
        </w:rPr>
        <w:t xml:space="preserve">（2）甲方在收到乙方开具的等额正规发票后10个工作日内，甲方支付相应合同款。</w:t>
      </w:r>
      <w:bookmarkEnd w:id="195"/>
      <w:r>
        <w:rPr>
          <w:color w:val="000000"/>
          <w:sz w:val="24"/>
          <w:szCs w:val="24"/>
        </w:rPr>
      </w:r>
      <w:r/>
    </w:p>
    <w:p>
      <w:pPr>
        <w:pStyle w:val="907"/>
        <w:ind w:firstLine="482"/>
        <w:spacing w:line="400" w:lineRule="exact"/>
        <w:rPr>
          <w:color w:val="000000"/>
          <w:sz w:val="24"/>
          <w:szCs w:val="24"/>
        </w:rPr>
      </w:pPr>
      <w:r>
        <w:rPr>
          <w:rFonts w:hint="eastAsia"/>
          <w:color w:val="000000"/>
          <w:sz w:val="24"/>
          <w:szCs w:val="24"/>
        </w:rPr>
        <w:t xml:space="preserve">履约保证金：签订合同时，中标人应向采购人支付履约保证金100万元（如中标金额低于1000万元，履约保证金按中标额的10%计算）。履约保证金以履约保函形式提交。</w:t>
      </w:r>
      <w:r>
        <w:rPr>
          <w:color w:val="000000"/>
          <w:sz w:val="24"/>
          <w:szCs w:val="24"/>
        </w:rPr>
      </w:r>
      <w:r/>
    </w:p>
    <w:p>
      <w:pPr>
        <w:pStyle w:val="1021"/>
        <w:jc w:val="left"/>
        <w:rPr>
          <w:rFonts w:ascii="Times New Roman" w:eastAsia="宋体"/>
          <w:b/>
          <w:bCs/>
          <w:color w:val="000000"/>
        </w:rPr>
      </w:pPr>
      <w:r>
        <w:rPr>
          <w:rFonts w:hint="eastAsia" w:ascii="Times New Roman" w:eastAsia="宋体"/>
          <w:b/>
          <w:bCs/>
          <w:color w:val="000000"/>
        </w:rPr>
        <w:t xml:space="preserve">八、重点场景演示和技术方案要求</w:t>
      </w:r>
      <w:r>
        <w:rPr>
          <w:rFonts w:ascii="Times New Roman" w:eastAsia="宋体"/>
          <w:b/>
          <w:bCs/>
          <w:color w:val="000000"/>
        </w:rPr>
      </w:r>
      <w:r/>
    </w:p>
    <w:p>
      <w:pPr>
        <w:pStyle w:val="1023"/>
        <w:jc w:val="left"/>
        <w:spacing w:before="0" w:after="0" w:line="360" w:lineRule="auto"/>
        <w:tabs>
          <w:tab w:val="left" w:pos="0" w:leader="none"/>
        </w:tabs>
        <w:rPr>
          <w:rFonts w:ascii="Times New Roman" w:hAnsi="Times New Roman" w:eastAsia="宋体"/>
          <w:color w:val="000000"/>
          <w:sz w:val="24"/>
          <w:szCs w:val="24"/>
        </w:rPr>
      </w:pPr>
      <w:r>
        <w:rPr>
          <w:rFonts w:hint="eastAsia" w:ascii="Times New Roman" w:hAnsi="Times New Roman" w:eastAsia="宋体"/>
          <w:color w:val="000000"/>
          <w:sz w:val="24"/>
          <w:szCs w:val="24"/>
        </w:rPr>
        <w:t xml:space="preserve">（一）重点场景演示要求</w:t>
      </w:r>
      <w:r>
        <w:rPr>
          <w:rFonts w:ascii="Times New Roman" w:hAnsi="Times New Roman" w:eastAsia="宋体"/>
          <w:color w:val="000000"/>
          <w:sz w:val="24"/>
          <w:szCs w:val="24"/>
        </w:rPr>
      </w:r>
      <w:r/>
    </w:p>
    <w:p>
      <w:pPr>
        <w:pStyle w:val="907"/>
        <w:ind w:firstLine="420"/>
        <w:spacing w:line="400" w:lineRule="exact"/>
        <w:rPr>
          <w:color w:val="000000"/>
          <w:sz w:val="24"/>
          <w:szCs w:val="24"/>
        </w:rPr>
      </w:pPr>
      <w:r>
        <w:rPr>
          <w:rFonts w:hint="eastAsia"/>
          <w:color w:val="000000"/>
          <w:sz w:val="24"/>
          <w:szCs w:val="24"/>
        </w:rPr>
        <w:t xml:space="preserve">投标人采用视频演示方式，展示“江苏数字广电”系统建成后在下列2大重点场景中预期实现的流程理解、优化和使用效果。投标人须按照招标文件规定的演示场景制作演示视频，视频文件格式为.mp4或.avi，并分卷压缩为.zip文件，单个文件不得大于30M，按照《江苏省政府采购交易执行系统操作手册》的规定上传；系统支持上传多个文件，全部演示视频总时长不得超过15分钟，上传的演示视频作为投标文件的组成部分。</w:t>
      </w:r>
      <w:r>
        <w:rPr>
          <w:color w:val="000000"/>
          <w:sz w:val="24"/>
          <w:szCs w:val="24"/>
        </w:rPr>
      </w:r>
      <w:r/>
    </w:p>
    <w:p>
      <w:pPr>
        <w:pStyle w:val="907"/>
        <w:ind w:firstLine="420"/>
        <w:spacing w:line="400" w:lineRule="exact"/>
        <w:rPr>
          <w:color w:val="000000"/>
          <w:sz w:val="24"/>
          <w:szCs w:val="24"/>
        </w:rPr>
      </w:pPr>
      <w:r>
        <w:rPr>
          <w:rFonts w:hint="eastAsia"/>
          <w:color w:val="000000"/>
          <w:sz w:val="24"/>
          <w:szCs w:val="24"/>
        </w:rPr>
        <w:t xml:space="preserve">演示系统数据可采用脱敏数据或模拟数据，视频画面、文字及数据应清晰可辨，演示过程应连续、前后内容应保持连贯。涉及外部对接系统的内容，不要求展示真实系统连接，可采用模拟数据等展示业务衔接关系和预期效果。</w:t>
      </w:r>
      <w:r>
        <w:rPr>
          <w:color w:val="000000"/>
          <w:sz w:val="24"/>
          <w:szCs w:val="24"/>
        </w:rPr>
      </w:r>
      <w:r/>
    </w:p>
    <w:p>
      <w:pPr>
        <w:pStyle w:val="907"/>
        <w:ind w:firstLine="420"/>
        <w:spacing w:line="400" w:lineRule="exact"/>
        <w:rPr>
          <w:color w:val="000000"/>
          <w:sz w:val="24"/>
          <w:szCs w:val="24"/>
        </w:rPr>
      </w:pPr>
      <w:r>
        <w:rPr>
          <w:rFonts w:hint="eastAsia"/>
          <w:color w:val="000000"/>
          <w:sz w:val="24"/>
          <w:szCs w:val="24"/>
        </w:rPr>
        <w:t xml:space="preserve">场景说明如下：</w:t>
      </w:r>
      <w:r>
        <w:rPr>
          <w:color w:val="000000"/>
          <w:sz w:val="24"/>
          <w:szCs w:val="24"/>
        </w:rPr>
      </w:r>
      <w:r/>
    </w:p>
    <w:p>
      <w:pPr>
        <w:pStyle w:val="907"/>
        <w:ind w:firstLine="420"/>
        <w:spacing w:line="400" w:lineRule="exact"/>
        <w:rPr>
          <w:color w:val="000000"/>
          <w:sz w:val="24"/>
          <w:szCs w:val="24"/>
        </w:rPr>
      </w:pPr>
      <w:r>
        <w:rPr>
          <w:rFonts w:hint="eastAsia"/>
          <w:color w:val="000000"/>
          <w:sz w:val="24"/>
          <w:szCs w:val="24"/>
        </w:rPr>
        <w:t xml:space="preserve">场景一：一体化平台多角色看板演示</w:t>
      </w:r>
      <w:r>
        <w:rPr>
          <w:color w:val="000000"/>
          <w:sz w:val="24"/>
          <w:szCs w:val="24"/>
        </w:rPr>
      </w:r>
      <w:r/>
    </w:p>
    <w:p>
      <w:pPr>
        <w:pStyle w:val="907"/>
        <w:ind w:firstLine="420"/>
        <w:spacing w:line="400" w:lineRule="exact"/>
        <w:rPr>
          <w:color w:val="000000"/>
          <w:sz w:val="24"/>
          <w:szCs w:val="24"/>
        </w:rPr>
      </w:pPr>
      <w:r>
        <w:rPr>
          <w:rFonts w:hint="eastAsia"/>
          <w:color w:val="000000"/>
          <w:sz w:val="24"/>
          <w:szCs w:val="24"/>
        </w:rPr>
        <w:t xml:space="preserve">投标人需充分理解甲方不同管理层级、业务主体及使用角色在信息获取、业务管理、分析决策和任务处置等方面的差异化需求，自行设计并展示“江苏数字广电”一体化平台PC端的多角色看板应用场景，展示角色不少于4类。</w:t>
      </w:r>
      <w:r>
        <w:rPr>
          <w:color w:val="000000"/>
          <w:sz w:val="24"/>
          <w:szCs w:val="24"/>
        </w:rPr>
      </w:r>
      <w:r/>
    </w:p>
    <w:p>
      <w:pPr>
        <w:pStyle w:val="907"/>
        <w:ind w:firstLine="420"/>
        <w:spacing w:line="400" w:lineRule="exact"/>
        <w:rPr>
          <w:color w:val="000000"/>
          <w:sz w:val="24"/>
          <w:szCs w:val="24"/>
        </w:rPr>
      </w:pPr>
      <w:r>
        <w:rPr>
          <w:rFonts w:hint="eastAsia"/>
          <w:color w:val="000000"/>
          <w:sz w:val="24"/>
          <w:szCs w:val="24"/>
        </w:rPr>
        <w:t xml:space="preserve">演示应重点体现以下内容：</w:t>
      </w:r>
      <w:r>
        <w:rPr>
          <w:color w:val="000000"/>
          <w:sz w:val="24"/>
          <w:szCs w:val="24"/>
        </w:rPr>
      </w:r>
      <w:r/>
    </w:p>
    <w:p>
      <w:pPr>
        <w:pStyle w:val="907"/>
        <w:ind w:firstLine="420"/>
        <w:spacing w:line="400" w:lineRule="exact"/>
        <w:rPr>
          <w:color w:val="000000"/>
          <w:sz w:val="24"/>
          <w:szCs w:val="24"/>
        </w:rPr>
      </w:pPr>
      <w:r>
        <w:rPr>
          <w:rFonts w:hint="eastAsia"/>
          <w:color w:val="000000"/>
          <w:sz w:val="24"/>
          <w:szCs w:val="24"/>
        </w:rPr>
        <w:t xml:space="preserve">1.角色配置及功能。（1）角色配置科学性：展示不同管理层级和业务主体的用户角色配置布局，反映不同角色的实际职责和业务需求。（2）角色个性化能力：展示不同角色在数据范围、业务权限等方面的差异化体验，看板内容能够结合角色职责和实际使用需求进行个性化配置，并体现配置结果的保存、应用及持续使用效果。（3）跨角色数据一致性：展示同一业务事项或业务数据在不同角色看板之间的关联关系及一致性。</w:t>
      </w:r>
      <w:r>
        <w:rPr>
          <w:color w:val="000000"/>
          <w:sz w:val="24"/>
          <w:szCs w:val="24"/>
        </w:rPr>
      </w:r>
      <w:r/>
    </w:p>
    <w:p>
      <w:pPr>
        <w:pStyle w:val="907"/>
        <w:ind w:firstLine="420"/>
        <w:spacing w:line="400" w:lineRule="exact"/>
        <w:rPr>
          <w:color w:val="000000"/>
          <w:sz w:val="24"/>
          <w:szCs w:val="24"/>
        </w:rPr>
      </w:pPr>
      <w:r>
        <w:rPr>
          <w:rFonts w:hint="eastAsia"/>
          <w:color w:val="000000"/>
          <w:sz w:val="24"/>
          <w:szCs w:val="24"/>
        </w:rPr>
        <w:t xml:space="preserve">2.导航访问与业务处置。（1）导航访问：展示用户通过统一搜索入口，按照功能名称、业务关键词等条件，快速检索跨系统应用功能和数据资源。搜索结果应根据用户角色权限分类呈现对应功能页面或业务数据详情。（2）业务处置：通过看板掌握业务运行情况、异常情况，开展分析、定位和后续处置，体现看板由信息展示向分析决策和业务办理延伸的使用效果。</w:t>
      </w:r>
      <w:r>
        <w:rPr>
          <w:color w:val="000000"/>
          <w:sz w:val="24"/>
          <w:szCs w:val="24"/>
        </w:rPr>
      </w:r>
      <w:r/>
    </w:p>
    <w:p>
      <w:pPr>
        <w:pStyle w:val="907"/>
        <w:ind w:firstLine="420"/>
        <w:spacing w:line="400" w:lineRule="exact"/>
        <w:rPr>
          <w:color w:val="000000"/>
          <w:sz w:val="24"/>
          <w:szCs w:val="24"/>
        </w:rPr>
      </w:pPr>
      <w:r>
        <w:rPr>
          <w:rFonts w:hint="eastAsia"/>
          <w:color w:val="000000"/>
          <w:sz w:val="24"/>
          <w:szCs w:val="24"/>
        </w:rPr>
        <w:t xml:space="preserve">投标人可自行确定演示所涉及的角色类型、业务主题、指标内容、页面组织和交互方式，但应通过连续的软件操作体现角色差异、个性化配置、业务分析和处置反馈之间的关联关系。</w:t>
      </w:r>
      <w:r>
        <w:rPr>
          <w:color w:val="000000"/>
          <w:sz w:val="24"/>
          <w:szCs w:val="24"/>
        </w:rPr>
      </w:r>
      <w:r/>
    </w:p>
    <w:p>
      <w:pPr>
        <w:pStyle w:val="907"/>
        <w:ind w:firstLine="420"/>
        <w:spacing w:line="400" w:lineRule="exact"/>
        <w:rPr>
          <w:color w:val="000000"/>
          <w:sz w:val="24"/>
          <w:szCs w:val="24"/>
        </w:rPr>
      </w:pPr>
      <w:r>
        <w:rPr>
          <w:rFonts w:hint="eastAsia"/>
          <w:color w:val="000000"/>
          <w:sz w:val="24"/>
          <w:szCs w:val="24"/>
        </w:rPr>
        <w:t xml:space="preserve">场景二：内容生产服务与审核全流程演示</w:t>
      </w:r>
      <w:r>
        <w:rPr>
          <w:color w:val="000000"/>
          <w:sz w:val="24"/>
          <w:szCs w:val="24"/>
        </w:rPr>
      </w:r>
      <w:r/>
    </w:p>
    <w:p>
      <w:pPr>
        <w:pStyle w:val="907"/>
        <w:ind w:firstLine="420"/>
        <w:spacing w:line="400" w:lineRule="exact"/>
        <w:rPr>
          <w:color w:val="000000"/>
          <w:sz w:val="24"/>
          <w:szCs w:val="24"/>
        </w:rPr>
      </w:pPr>
      <w:r>
        <w:rPr>
          <w:rFonts w:hint="eastAsia"/>
          <w:color w:val="000000"/>
          <w:sz w:val="24"/>
          <w:szCs w:val="24"/>
        </w:rPr>
        <w:t xml:space="preserve">投标人需充分理解招标文件第四章采购需求中“内容生产服务与审核应用系统”的相关内容，自行设计并展示系统建成后在企业送审、机关办理、智能审核、专家评审、结果管理和许可证发放等方面的流程优化及使用效果。</w:t>
      </w:r>
      <w:r>
        <w:rPr>
          <w:color w:val="000000"/>
          <w:sz w:val="24"/>
          <w:szCs w:val="24"/>
        </w:rPr>
      </w:r>
      <w:r/>
    </w:p>
    <w:p>
      <w:pPr>
        <w:pStyle w:val="907"/>
        <w:ind w:firstLine="420"/>
        <w:spacing w:line="400" w:lineRule="exact"/>
        <w:rPr>
          <w:color w:val="000000"/>
          <w:sz w:val="24"/>
          <w:szCs w:val="24"/>
        </w:rPr>
      </w:pPr>
      <w:r>
        <w:rPr>
          <w:rFonts w:hint="eastAsia"/>
          <w:color w:val="000000"/>
          <w:sz w:val="24"/>
          <w:szCs w:val="24"/>
        </w:rPr>
        <w:t xml:space="preserve">演示内容应覆盖备案信息接入、成片送审、内容安全、AI审核能力调用、在线评审、结果汇总和许可证发放全流程，并重点体现以下内容：</w:t>
      </w:r>
      <w:r>
        <w:rPr>
          <w:color w:val="000000"/>
          <w:sz w:val="24"/>
          <w:szCs w:val="24"/>
        </w:rPr>
      </w:r>
      <w:r/>
    </w:p>
    <w:p>
      <w:pPr>
        <w:pStyle w:val="907"/>
        <w:ind w:firstLine="420"/>
        <w:spacing w:line="400" w:lineRule="exact"/>
        <w:rPr>
          <w:color w:val="000000"/>
          <w:sz w:val="24"/>
          <w:szCs w:val="24"/>
        </w:rPr>
      </w:pPr>
      <w:r>
        <w:rPr>
          <w:rFonts w:hint="eastAsia"/>
          <w:color w:val="000000"/>
          <w:sz w:val="24"/>
          <w:szCs w:val="24"/>
        </w:rPr>
        <w:t xml:space="preserve">1.全流程贯通。（1）业务环节完整性：围绕同一送审事项，连续展示备案、送审、审核、评审、汇总和许可证发放等环节之间的数据关联、状态衔接和结果传递。（2）多系统业务协同性：展示不同业务主体在多系统中材料提交、任务接收、审核办理、意见反馈、状态查询和信息共享等方面的协同过程，体现减少重复操作、提高信息传递效率等效果。</w:t>
      </w:r>
      <w:r>
        <w:rPr>
          <w:color w:val="000000"/>
          <w:sz w:val="24"/>
          <w:szCs w:val="24"/>
        </w:rPr>
      </w:r>
      <w:r/>
    </w:p>
    <w:p>
      <w:pPr>
        <w:pStyle w:val="907"/>
        <w:ind w:firstLine="420"/>
        <w:spacing w:line="400" w:lineRule="exact"/>
        <w:rPr>
          <w:color w:val="000000"/>
          <w:sz w:val="24"/>
          <w:szCs w:val="24"/>
        </w:rPr>
      </w:pPr>
      <w:r>
        <w:rPr>
          <w:rFonts w:hint="eastAsia"/>
          <w:color w:val="000000"/>
          <w:sz w:val="24"/>
          <w:szCs w:val="24"/>
        </w:rPr>
        <w:t xml:space="preserve">2.内容审核应用。（1）内容审核效果：展示内容安全和AI审核能力调用在送审业务中的应用效果，包括但不限于风险识别、问题定位、审核辅助、人工复核和结果说明等业务衔接关系。（2）数据归集完整：针对内容审核中出现的各类问题和相关数据进行汇总分析，形成易发问题数据库。</w:t>
      </w:r>
      <w:r>
        <w:rPr>
          <w:color w:val="000000"/>
          <w:sz w:val="24"/>
          <w:szCs w:val="24"/>
        </w:rPr>
      </w:r>
      <w:r/>
    </w:p>
    <w:p>
      <w:pPr>
        <w:pStyle w:val="907"/>
        <w:ind w:firstLine="420"/>
        <w:spacing w:line="400" w:lineRule="exact"/>
        <w:rPr>
          <w:color w:val="000000"/>
          <w:sz w:val="24"/>
          <w:szCs w:val="24"/>
        </w:rPr>
      </w:pPr>
      <w:r>
        <w:rPr>
          <w:rFonts w:hint="eastAsia"/>
          <w:color w:val="000000"/>
          <w:sz w:val="24"/>
          <w:szCs w:val="24"/>
        </w:rPr>
        <w:t xml:space="preserve">3.异常处置闭环。结合送审业务中可能出现的材料不完整、审核发现问题、退回修改、补充材料等情况，展示异常事项的处理、反馈、再次提交和过程留痕，体现系统对非正常业务流程的支撑能力。</w:t>
      </w:r>
      <w:r>
        <w:rPr>
          <w:color w:val="000000"/>
          <w:sz w:val="24"/>
          <w:szCs w:val="24"/>
        </w:rPr>
      </w:r>
      <w:r/>
    </w:p>
    <w:p>
      <w:pPr>
        <w:pStyle w:val="907"/>
        <w:ind w:firstLine="420"/>
        <w:spacing w:line="400" w:lineRule="exact"/>
        <w:rPr>
          <w:color w:val="000000"/>
          <w:sz w:val="24"/>
          <w:szCs w:val="24"/>
        </w:rPr>
      </w:pPr>
      <w:r>
        <w:rPr>
          <w:rFonts w:hint="eastAsia"/>
          <w:color w:val="000000"/>
          <w:sz w:val="24"/>
          <w:szCs w:val="24"/>
        </w:rPr>
        <w:t xml:space="preserve">投标人可自行设计具体业务组织、角色分工、审核规则、页面呈现、流程编排和技术实现方式。演示应以连续操作和可辨识的业务数据体现送审事项在不同主体、不同环节之间的流转关系，以及系统在提高审核质量、协同效率、过程规范性和结果可追溯性等方面的预期效果。</w:t>
      </w:r>
      <w:r>
        <w:rPr>
          <w:color w:val="000000"/>
          <w:sz w:val="24"/>
          <w:szCs w:val="24"/>
        </w:rPr>
      </w:r>
      <w:r/>
    </w:p>
    <w:p>
      <w:pPr>
        <w:pStyle w:val="1023"/>
        <w:jc w:val="left"/>
        <w:spacing w:before="0" w:after="0" w:line="360" w:lineRule="auto"/>
        <w:tabs>
          <w:tab w:val="left" w:pos="0" w:leader="none"/>
        </w:tabs>
        <w:rPr>
          <w:rFonts w:ascii="Times New Roman" w:hAnsi="Times New Roman" w:eastAsia="宋体"/>
          <w:color w:val="000000"/>
          <w:sz w:val="24"/>
          <w:szCs w:val="24"/>
        </w:rPr>
      </w:pPr>
      <w:r>
        <w:rPr>
          <w:rFonts w:hint="eastAsia" w:ascii="Times New Roman" w:hAnsi="Times New Roman" w:eastAsia="宋体"/>
          <w:color w:val="000000"/>
          <w:sz w:val="24"/>
          <w:szCs w:val="24"/>
        </w:rPr>
        <w:t xml:space="preserve">（二）技术方案要求</w:t>
      </w:r>
      <w:r>
        <w:rPr>
          <w:rFonts w:ascii="Times New Roman" w:hAnsi="Times New Roman" w:eastAsia="宋体"/>
          <w:color w:val="000000"/>
          <w:sz w:val="24"/>
          <w:szCs w:val="24"/>
        </w:rPr>
      </w:r>
      <w:r/>
    </w:p>
    <w:p>
      <w:pPr>
        <w:pStyle w:val="907"/>
        <w:ind w:firstLine="420"/>
        <w:spacing w:line="400" w:lineRule="exact"/>
        <w:rPr>
          <w:b/>
          <w:i/>
          <w:iCs/>
          <w:color w:val="000000"/>
          <w:sz w:val="24"/>
          <w:szCs w:val="24"/>
        </w:rPr>
      </w:pPr>
      <w:r>
        <w:rPr>
          <w:rFonts w:hint="eastAsia"/>
          <w:b/>
          <w:bCs/>
          <w:color w:val="000000"/>
          <w:sz w:val="24"/>
          <w:szCs w:val="24"/>
        </w:rPr>
        <w:t xml:space="preserve">1.项目总体技术方案。</w:t>
      </w:r>
      <w:r>
        <w:rPr>
          <w:rFonts w:hint="eastAsia"/>
          <w:color w:val="000000"/>
          <w:sz w:val="24"/>
          <w:szCs w:val="24"/>
        </w:rPr>
        <w:t xml:space="preserve">投标人应提供针对本项目的总体技术方案，对本项目的基础现状、用户需求、业务需求、功能需求、性能需求和政务云资源需求进行分析阐述，提出总体逻辑结构、网络安全架构、应用部署架构、技术路线等系统架构方案。</w:t>
      </w:r>
      <w:r>
        <w:rPr>
          <w:rFonts w:hint="eastAsia"/>
          <w:b/>
          <w:i/>
          <w:iCs/>
          <w:color w:val="000000"/>
          <w:sz w:val="24"/>
          <w:szCs w:val="24"/>
        </w:rPr>
        <w:t xml:space="preserve">要求对本项目五类需求描述完整并附有量化指标；提供覆盖全部建设内容的总体架构图，确保图文一致、层次清晰；技术路线易于维护、拓展、升级。</w:t>
      </w:r>
      <w:r>
        <w:rPr>
          <w:b/>
          <w:i/>
          <w:iCs/>
          <w:color w:val="000000"/>
          <w:sz w:val="24"/>
          <w:szCs w:val="24"/>
        </w:rPr>
      </w:r>
      <w:r/>
    </w:p>
    <w:p>
      <w:pPr>
        <w:pStyle w:val="907"/>
        <w:ind w:firstLine="420"/>
        <w:spacing w:line="400" w:lineRule="exact"/>
        <w:rPr>
          <w:b/>
          <w:i/>
          <w:iCs/>
          <w:color w:val="000000"/>
          <w:sz w:val="24"/>
          <w:szCs w:val="24"/>
        </w:rPr>
      </w:pPr>
      <w:r>
        <w:rPr>
          <w:rFonts w:hint="eastAsia"/>
          <w:b/>
          <w:bCs/>
          <w:color w:val="000000"/>
          <w:sz w:val="24"/>
          <w:szCs w:val="24"/>
        </w:rPr>
        <w:t xml:space="preserve">2.科技与产业管理应用系统功能方案。</w:t>
      </w:r>
      <w:r>
        <w:rPr>
          <w:rFonts w:hint="eastAsia"/>
          <w:color w:val="000000"/>
          <w:sz w:val="24"/>
          <w:szCs w:val="24"/>
        </w:rPr>
        <w:t xml:space="preserve">投标人应提供科技与产业管理应用系统功能实现方案，围绕实验室、产业集聚区、扶持项目和专项资金绩效管理和苏服拍视听产业服务，以功能结构图、业务流程图形式表述。</w:t>
      </w:r>
      <w:r>
        <w:rPr>
          <w:rFonts w:hint="eastAsia"/>
          <w:b/>
          <w:i/>
          <w:iCs/>
          <w:color w:val="000000"/>
          <w:sz w:val="24"/>
          <w:szCs w:val="24"/>
        </w:rPr>
        <w:t xml:space="preserve">要求方案全面覆盖四大业务，与主题库交互关系清晰，明确数据映射关系、调用逻辑；各业务全流程贯通、功能全面、逻辑自洽。</w:t>
      </w:r>
      <w:r>
        <w:rPr>
          <w:b/>
          <w:i/>
          <w:iCs/>
          <w:color w:val="000000"/>
          <w:sz w:val="24"/>
          <w:szCs w:val="24"/>
        </w:rPr>
      </w:r>
      <w:r/>
    </w:p>
    <w:p>
      <w:pPr>
        <w:pStyle w:val="907"/>
        <w:ind w:firstLine="420"/>
        <w:spacing w:line="400" w:lineRule="exact"/>
        <w:rPr>
          <w:b/>
          <w:color w:val="000000"/>
          <w:sz w:val="24"/>
          <w:szCs w:val="24"/>
        </w:rPr>
      </w:pPr>
      <w:r>
        <w:rPr>
          <w:rFonts w:hint="eastAsia"/>
          <w:b/>
          <w:bCs/>
          <w:color w:val="000000"/>
          <w:sz w:val="24"/>
          <w:szCs w:val="24"/>
        </w:rPr>
        <w:t xml:space="preserve">3.人才与专家管理应用系统功能方案。</w:t>
      </w:r>
      <w:r>
        <w:rPr>
          <w:rFonts w:hint="eastAsia"/>
          <w:color w:val="000000"/>
          <w:sz w:val="24"/>
          <w:szCs w:val="24"/>
        </w:rPr>
        <w:t xml:space="preserve">投标人应提供人才与专家管理应用系统功能实现方案，围绕人才管理和评审专家管理，以功能结构图、业务流程图形式表述。</w:t>
      </w:r>
      <w:r>
        <w:rPr>
          <w:rFonts w:hint="eastAsia"/>
          <w:b/>
          <w:i/>
          <w:iCs/>
          <w:color w:val="000000"/>
          <w:sz w:val="24"/>
          <w:szCs w:val="24"/>
        </w:rPr>
        <w:t xml:space="preserve">要求两项业务模块与主题库交互关系清晰，明确数据映射关系、调用逻辑；各业务全流程贯通、功能全面、逻辑自洽；通过多维度分类管理为专家精准画像，符合评审工作实际。</w:t>
      </w:r>
      <w:r>
        <w:rPr>
          <w:b/>
          <w:color w:val="000000"/>
          <w:sz w:val="24"/>
          <w:szCs w:val="24"/>
        </w:rPr>
      </w:r>
      <w:r/>
    </w:p>
    <w:p>
      <w:pPr>
        <w:pStyle w:val="907"/>
        <w:ind w:firstLine="420"/>
        <w:spacing w:line="400" w:lineRule="exact"/>
        <w:rPr>
          <w:b/>
          <w:i/>
          <w:iCs/>
          <w:color w:val="000000"/>
          <w:sz w:val="24"/>
          <w:szCs w:val="24"/>
        </w:rPr>
      </w:pPr>
      <w:r>
        <w:rPr>
          <w:rFonts w:hint="eastAsia"/>
          <w:b/>
          <w:bCs/>
          <w:color w:val="000000"/>
          <w:sz w:val="24"/>
          <w:szCs w:val="24"/>
        </w:rPr>
        <w:t xml:space="preserve">4.广电小苏智能服务助手功能方案。</w:t>
      </w:r>
      <w:r>
        <w:rPr>
          <w:rFonts w:hint="eastAsia"/>
          <w:color w:val="000000"/>
          <w:sz w:val="24"/>
          <w:szCs w:val="24"/>
        </w:rPr>
        <w:t xml:space="preserve">投标人应提供广电小苏智能服务助手功能实现方案，以用例图形式表述。</w:t>
      </w:r>
      <w:r>
        <w:rPr>
          <w:rFonts w:hint="eastAsia"/>
          <w:b/>
          <w:i/>
          <w:iCs/>
          <w:color w:val="000000"/>
          <w:sz w:val="24"/>
          <w:szCs w:val="24"/>
        </w:rPr>
        <w:t xml:space="preserve">要求具备智能问答、智能问数、智慧产业服务、智能导航、智能审批五大能力；依托省级AI能力，集约建设路径清晰；服务能力清单完整，入口统一。</w:t>
      </w:r>
      <w:r>
        <w:rPr>
          <w:b/>
          <w:i/>
          <w:iCs/>
          <w:color w:val="000000"/>
          <w:sz w:val="24"/>
          <w:szCs w:val="24"/>
        </w:rPr>
      </w:r>
      <w:r/>
    </w:p>
    <w:p>
      <w:pPr>
        <w:pStyle w:val="907"/>
        <w:ind w:firstLine="482"/>
        <w:spacing w:line="400" w:lineRule="exact"/>
        <w:rPr>
          <w:b/>
          <w:color w:val="000000"/>
          <w:sz w:val="24"/>
          <w:szCs w:val="24"/>
        </w:rPr>
      </w:pPr>
      <w:r>
        <w:rPr>
          <w:rFonts w:hint="eastAsia"/>
          <w:b/>
          <w:bCs/>
          <w:color w:val="000000"/>
          <w:sz w:val="24"/>
          <w:szCs w:val="24"/>
        </w:rPr>
        <w:t xml:space="preserve">5.数据治理方案。</w:t>
      </w:r>
      <w:r>
        <w:rPr>
          <w:rFonts w:hint="eastAsia"/>
          <w:color w:val="000000"/>
          <w:sz w:val="24"/>
          <w:szCs w:val="24"/>
        </w:rPr>
        <w:t xml:space="preserve">投标人应提供数据治理建设方案，以文字+拓扑等形式展现。</w:t>
      </w:r>
      <w:r>
        <w:rPr>
          <w:rFonts w:hint="eastAsia"/>
          <w:i/>
          <w:iCs/>
          <w:color w:val="000000"/>
          <w:sz w:val="24"/>
          <w:szCs w:val="24"/>
        </w:rPr>
        <w:t xml:space="preserve">要求方案充分体现“数据中台+业务分域治理”模式，形成清晰的治理全流程闭环；</w:t>
      </w:r>
      <w:r>
        <w:rPr>
          <w:rFonts w:hint="eastAsia"/>
          <w:b/>
          <w:i/>
          <w:iCs/>
          <w:color w:val="000000"/>
          <w:sz w:val="24"/>
          <w:szCs w:val="24"/>
        </w:rPr>
        <w:t xml:space="preserve">能够映射九大主题库与应用系统间的支撑关系，提供映射图；完整实现“统一标准、统一汇聚、统一治理、统一服务”的闭环机制，形成来源可追溯、过程可管控、质量可评估、结果可复用的数据资源体系。</w:t>
      </w:r>
      <w:r>
        <w:rPr>
          <w:b/>
          <w:color w:val="000000"/>
          <w:sz w:val="24"/>
          <w:szCs w:val="24"/>
        </w:rPr>
      </w:r>
      <w:r/>
    </w:p>
    <w:p>
      <w:pPr>
        <w:pStyle w:val="907"/>
        <w:ind w:firstLine="482"/>
        <w:spacing w:line="400" w:lineRule="exact"/>
        <w:rPr>
          <w:b/>
          <w:i/>
          <w:iCs/>
          <w:color w:val="000000"/>
          <w:sz w:val="24"/>
          <w:szCs w:val="24"/>
        </w:rPr>
      </w:pPr>
      <w:r>
        <w:rPr>
          <w:rFonts w:hint="eastAsia"/>
          <w:b/>
          <w:bCs/>
          <w:color w:val="000000"/>
          <w:sz w:val="24"/>
          <w:szCs w:val="24"/>
        </w:rPr>
        <w:t xml:space="preserve">6.外部系统对接方案。</w:t>
      </w:r>
      <w:r>
        <w:rPr>
          <w:rFonts w:hint="eastAsia"/>
          <w:color w:val="000000"/>
          <w:sz w:val="24"/>
          <w:szCs w:val="24"/>
        </w:rPr>
        <w:t xml:space="preserve">投标人应提供针对本项目的外部系统对接方案，以文字+拓扑等形式展现，包括但不限于国家广电总局相关系统、省级政务公共平台、省局现有系统等系统的对接方案。</w:t>
      </w:r>
      <w:r>
        <w:rPr>
          <w:rFonts w:hint="eastAsia"/>
          <w:b/>
          <w:i/>
          <w:iCs/>
          <w:color w:val="000000"/>
          <w:sz w:val="24"/>
          <w:szCs w:val="24"/>
        </w:rPr>
        <w:t xml:space="preserve">要求对接关系图清晰、要素完整；策略务实可行，具有良好的兼容性与适应性。</w:t>
      </w:r>
      <w:r>
        <w:rPr>
          <w:b/>
          <w:i/>
          <w:iCs/>
          <w:color w:val="000000"/>
          <w:sz w:val="24"/>
          <w:szCs w:val="24"/>
        </w:rPr>
      </w:r>
      <w:r/>
    </w:p>
    <w:p>
      <w:pPr>
        <w:pStyle w:val="907"/>
        <w:ind w:firstLine="482"/>
        <w:spacing w:line="400" w:lineRule="exact"/>
        <w:widowControl/>
        <w:rPr>
          <w:b/>
          <w:i/>
          <w:iCs/>
          <w:color w:val="000000"/>
          <w:sz w:val="24"/>
          <w:szCs w:val="24"/>
        </w:rPr>
      </w:pPr>
      <w:r>
        <w:rPr>
          <w:rFonts w:hint="eastAsia"/>
          <w:b/>
          <w:bCs/>
          <w:color w:val="000000"/>
          <w:sz w:val="24"/>
          <w:szCs w:val="24"/>
        </w:rPr>
        <w:t xml:space="preserve">7.项目实施方案。</w:t>
      </w:r>
      <w:r>
        <w:rPr>
          <w:rFonts w:hint="eastAsia"/>
          <w:color w:val="000000"/>
          <w:sz w:val="24"/>
          <w:szCs w:val="24"/>
        </w:rPr>
        <w:t xml:space="preserve">投标人应对本项目实施工作进行规划，以文字描述、设计图表等方式展现，包括但不限于需求调研、方案设计、软件实施、数据治理、标准规范编制、项目验收、培训等方面工作。</w:t>
      </w:r>
      <w:r>
        <w:rPr>
          <w:rFonts w:hint="eastAsia"/>
          <w:b/>
          <w:i/>
          <w:iCs/>
          <w:color w:val="000000"/>
          <w:sz w:val="24"/>
          <w:szCs w:val="24"/>
        </w:rPr>
        <w:t xml:space="preserve">要求组织保障到位、各项职责明确到人；各阶段时间安排紧凑合理，明确关键节点及交付物，节点设置能够与项目整体工期要求相匹配；制定明确完善的项目实施管理制度（如项目管理、沟通协调、安全管理、档案管理、人员培训等）。</w:t>
      </w:r>
      <w:r>
        <w:rPr>
          <w:b/>
          <w:i/>
          <w:iCs/>
          <w:color w:val="000000"/>
          <w:sz w:val="24"/>
          <w:szCs w:val="24"/>
        </w:rPr>
      </w:r>
      <w:r/>
    </w:p>
    <w:p>
      <w:pPr>
        <w:pStyle w:val="907"/>
        <w:ind w:firstLine="482"/>
        <w:spacing w:line="400" w:lineRule="exact"/>
        <w:widowControl/>
        <w:rPr>
          <w:rFonts w:hint="eastAsia"/>
          <w:b/>
          <w:bCs/>
          <w:i/>
          <w:iCs/>
          <w:color w:val="000000"/>
          <w:sz w:val="24"/>
          <w:szCs w:val="24"/>
          <w:highlight w:val="none"/>
        </w:rPr>
      </w:pPr>
      <w:r>
        <w:rPr>
          <w:rFonts w:hint="eastAsia"/>
          <w:b/>
          <w:bCs/>
          <w:color w:val="000000"/>
          <w:sz w:val="24"/>
          <w:szCs w:val="24"/>
        </w:rPr>
        <w:t xml:space="preserve">8.售后服务方案。</w:t>
      </w:r>
      <w:r>
        <w:rPr>
          <w:rFonts w:hint="eastAsia"/>
          <w:color w:val="000000"/>
          <w:sz w:val="24"/>
          <w:szCs w:val="24"/>
        </w:rPr>
        <w:t xml:space="preserve">投标人应对本项目的售后服务方案进行说明，包括但不限于售后服务机构及服务团队构成、售后服务响应时间及维护承诺等方面工作。</w:t>
      </w:r>
      <w:r>
        <w:rPr>
          <w:rFonts w:hint="eastAsia"/>
          <w:b/>
          <w:i/>
          <w:iCs/>
          <w:color w:val="000000"/>
          <w:sz w:val="24"/>
          <w:szCs w:val="24"/>
        </w:rPr>
        <w:t xml:space="preserve">要求售后服务驻场人员责任明确、分工到人；制定明确、完善的售后服务管理制度（如工单管理、问题管理、变更管理、配置管理等）；故障分级明确、技术支持迅速，实现承诺具体；巡检计划、应急预案清晰完整。</w:t>
      </w:r>
      <w:bookmarkStart w:id="221" w:name="_Toc120614281"/>
      <w:r>
        <w:rPr>
          <w:rFonts w:hint="eastAsia"/>
          <w:b/>
          <w:bCs/>
          <w:i/>
          <w:iCs/>
          <w:color w:val="000000"/>
          <w:sz w:val="28"/>
          <w:szCs w:val="28"/>
        </w:rPr>
      </w:r>
      <w:r/>
    </w:p>
    <w:p>
      <w:pPr>
        <w:ind w:firstLine="482"/>
        <w:spacing w:line="400" w:lineRule="exact"/>
        <w:widowControl/>
        <w:rPr>
          <w:rFonts w:hint="eastAsia"/>
          <w:b/>
          <w:bCs/>
          <w:i/>
          <w:color w:val="000000"/>
          <w:sz w:val="28"/>
          <w:szCs w:val="28"/>
        </w:rPr>
      </w:pPr>
      <w:r>
        <w:rPr>
          <w:rFonts w:hint="eastAsia"/>
          <w:b/>
          <w:bCs/>
          <w:i/>
          <w:color w:val="000000"/>
          <w:sz w:val="28"/>
          <w:szCs w:val="28"/>
        </w:rPr>
      </w:r>
      <w:r>
        <w:rPr>
          <w:rFonts w:hint="eastAsia"/>
          <w:b/>
          <w:bCs/>
          <w:i/>
          <w:color w:val="000000"/>
          <w:sz w:val="28"/>
          <w:szCs w:val="28"/>
        </w:rPr>
      </w:r>
      <w:r/>
    </w:p>
    <w:p>
      <w:pPr>
        <w:ind w:firstLine="482"/>
        <w:spacing w:line="400" w:lineRule="exact"/>
        <w:widowControl/>
        <w:rPr>
          <w:rFonts w:hint="eastAsia"/>
          <w:b/>
          <w:bCs/>
          <w:i/>
          <w:color w:val="000000"/>
          <w:sz w:val="28"/>
          <w:szCs w:val="28"/>
        </w:rPr>
      </w:pPr>
      <w:r>
        <w:rPr>
          <w:rFonts w:hint="eastAsia"/>
          <w:b/>
          <w:i/>
          <w:iCs/>
          <w:color w:val="000000"/>
          <w:sz w:val="24"/>
          <w:szCs w:val="24"/>
          <w:highlight w:val="none"/>
        </w:rPr>
      </w:r>
      <w:r>
        <w:rPr>
          <w:rFonts w:hint="eastAsia"/>
          <w:b/>
          <w:i/>
          <w:iCs/>
          <w:color w:val="000000"/>
          <w:sz w:val="24"/>
          <w:szCs w:val="24"/>
          <w:highlight w:val="none"/>
        </w:rPr>
      </w:r>
      <w:r/>
    </w:p>
    <w:p>
      <w:pPr>
        <w:pStyle w:val="908"/>
        <w:rPr>
          <w:rFonts w:hint="eastAsia" w:ascii="黑体" w:eastAsia="黑体"/>
          <w:color w:val="000000"/>
          <w:sz w:val="44"/>
          <w:szCs w:val="44"/>
        </w:rPr>
      </w:pPr>
      <w:r>
        <w:rPr>
          <w:rFonts w:hint="eastAsia" w:ascii="黑体" w:eastAsia="黑体"/>
          <w:b/>
          <w:bCs/>
          <w:color w:val="000000"/>
          <w:sz w:val="44"/>
          <w:highlight w:val="none"/>
        </w:rPr>
      </w:r>
      <w:r>
        <w:rPr>
          <w:rFonts w:hint="eastAsia" w:ascii="黑体" w:eastAsia="黑体"/>
          <w:b/>
          <w:bCs/>
          <w:color w:val="000000"/>
          <w:sz w:val="44"/>
          <w:highlight w:val="none"/>
        </w:rPr>
      </w:r>
      <w:r/>
    </w:p>
    <w:p>
      <w:pPr>
        <w:pStyle w:val="908"/>
        <w:jc w:val="center"/>
        <w:rPr>
          <w:rFonts w:hint="eastAsia" w:ascii="黑体" w:eastAsia="黑体"/>
          <w:b/>
          <w:bCs/>
          <w:color w:val="000000"/>
          <w:sz w:val="44"/>
          <w:szCs w:val="44"/>
          <w:highlight w:val="none"/>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rPr>
          <w:rFonts w:hint="eastAsia" w:ascii="黑体" w:eastAsia="黑体"/>
          <w:bCs/>
          <w:color w:val="000000"/>
          <w:sz w:val="44"/>
        </w:rPr>
      </w:r>
      <w:r/>
    </w:p>
    <w:p>
      <w:pPr>
        <w:pStyle w:val="995"/>
        <w:ind w:firstLine="43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07"/>
              <w:jc w:val="center"/>
              <w:rPr>
                <w:rFonts w:hint="eastAsia" w:ascii="宋体" w:hAnsi="宋体"/>
                <w:color w:val="000000"/>
              </w:rPr>
            </w:pPr>
            <w:r>
              <w:rPr>
                <w:rFonts w:hint="eastAsia" w:ascii="宋体" w:hAnsi="宋体"/>
                <w:color w:val="000000"/>
              </w:rPr>
              <w:t xml:space="preserve">采购包号</w:t>
            </w:r>
            <w:r/>
          </w:p>
        </w:tc>
        <w:tc>
          <w:tcPr>
            <w:tcW w:w="1610" w:type="dxa"/>
            <w:vAlign w:val="top"/>
            <w:textDirection w:val="lrTb"/>
            <w:noWrap w:val="false"/>
          </w:tcPr>
          <w:p>
            <w:pPr>
              <w:pStyle w:val="907"/>
              <w:jc w:val="center"/>
              <w:rPr>
                <w:rFonts w:hint="eastAsia" w:ascii="宋体" w:hAnsi="宋体"/>
                <w:color w:val="000000"/>
              </w:rPr>
            </w:pPr>
            <w:r>
              <w:rPr>
                <w:rFonts w:hint="eastAsia" w:ascii="宋体" w:hAnsi="宋体"/>
                <w:color w:val="000000"/>
              </w:rPr>
              <w:t xml:space="preserve">选取</w:t>
            </w:r>
            <w:r>
              <w:rPr>
                <w:rFonts w:ascii="宋体" w:hAnsi="宋体"/>
                <w:color w:val="000000"/>
              </w:rPr>
              <w:t xml:space="preserve">中标候选人数量</w:t>
            </w:r>
            <w:r>
              <w:rPr>
                <w:rFonts w:hint="eastAsia" w:ascii="宋体" w:hAnsi="宋体"/>
                <w:color w:val="000000"/>
              </w:rPr>
            </w:r>
            <w:r/>
          </w:p>
        </w:tc>
        <w:tc>
          <w:tcPr>
            <w:tcW w:w="4325" w:type="dxa"/>
            <w:vAlign w:val="top"/>
            <w:textDirection w:val="lrTb"/>
            <w:noWrap w:val="false"/>
          </w:tcPr>
          <w:p>
            <w:pPr>
              <w:pStyle w:val="907"/>
              <w:jc w:val="center"/>
              <w:rPr>
                <w:rFonts w:hint="eastAsia" w:ascii="宋体" w:hAnsi="宋体"/>
                <w:color w:val="000000"/>
              </w:rPr>
            </w:pPr>
            <w:r>
              <w:rPr>
                <w:rFonts w:hint="eastAsia" w:ascii="宋体" w:hAnsi="宋体"/>
                <w:color w:val="000000"/>
              </w:rPr>
              <w:t xml:space="preserve">选取</w:t>
            </w:r>
            <w:r>
              <w:rPr>
                <w:rFonts w:ascii="宋体" w:hAnsi="宋体"/>
                <w:color w:val="000000"/>
              </w:rPr>
              <w:t xml:space="preserve">中标候选人的原则</w:t>
            </w:r>
            <w:r>
              <w:rPr>
                <w:rFonts w:hint="eastAsia" w:ascii="宋体" w:hAnsi="宋体"/>
                <w:color w:val="000000"/>
              </w:rPr>
            </w:r>
            <w:r/>
          </w:p>
        </w:tc>
      </w:tr>
      <w:tr>
        <w:trPr/>
        <w:tc>
          <w:tcPr>
            <w:tcW w:w="1148" w:type="dxa"/>
            <w:vAlign w:val="top"/>
            <w:textDirection w:val="lrTb"/>
            <w:noWrap w:val="false"/>
          </w:tcPr>
          <w:p>
            <w:pPr>
              <w:pStyle w:val="907"/>
              <w:jc w:val="center"/>
              <w:rPr>
                <w:rFonts w:ascii="宋体" w:hAnsi="宋体"/>
                <w:color w:val="000000"/>
              </w:rPr>
            </w:pPr>
            <w:r>
              <w:rPr>
                <w:rFonts w:hint="eastAsia" w:ascii="宋体" w:hAnsi="宋体"/>
                <w:color w:val="000000"/>
              </w:rPr>
              <w:t xml:space="preserve">1</w:t>
            </w:r>
            <w:r>
              <w:rPr>
                <w:rFonts w:ascii="宋体" w:hAnsi="宋体"/>
                <w:color w:val="000000"/>
              </w:rPr>
            </w:r>
            <w:r/>
          </w:p>
        </w:tc>
        <w:tc>
          <w:tcPr>
            <w:tcW w:w="1610" w:type="dxa"/>
            <w:vAlign w:val="top"/>
            <w:textDirection w:val="lrTb"/>
            <w:noWrap w:val="false"/>
          </w:tcPr>
          <w:p>
            <w:pPr>
              <w:pStyle w:val="907"/>
              <w:jc w:val="center"/>
              <w:rPr>
                <w:rFonts w:ascii="宋体" w:hAnsi="宋体"/>
                <w:color w:val="000000"/>
              </w:rPr>
            </w:pPr>
            <w:r>
              <w:rPr>
                <w:rFonts w:hint="eastAsia" w:ascii="宋体" w:hAnsi="宋体"/>
                <w:color w:val="000000"/>
              </w:rPr>
              <w:t xml:space="preserve">1</w:t>
            </w:r>
            <w:r>
              <w:rPr>
                <w:rFonts w:ascii="宋体" w:hAnsi="宋体"/>
                <w:color w:val="000000"/>
              </w:rPr>
            </w:r>
            <w:r/>
          </w:p>
        </w:tc>
        <w:tc>
          <w:tcPr>
            <w:tcW w:w="4325" w:type="dxa"/>
            <w:vAlign w:val="top"/>
            <w:textDirection w:val="lrTb"/>
            <w:noWrap w:val="false"/>
          </w:tcPr>
          <w:p>
            <w:pPr>
              <w:pStyle w:val="907"/>
              <w:jc w:val="left"/>
              <w:rPr>
                <w:rFonts w:hint="eastAsia" w:ascii="宋体" w:hAnsi="宋体"/>
                <w:color w:val="000000"/>
              </w:rPr>
            </w:pPr>
            <w:r>
              <w:rPr>
                <w:rFonts w:hint="eastAsia" w:ascii="宋体" w:hAnsi="宋体"/>
                <w:color w:val="000000"/>
              </w:rPr>
              <w:t xml:space="preserve">满足招标文件全部实质性要求，且按照评审因素的量化指标评审得分最高的投标人为中标候选人。</w:t>
            </w:r>
            <w:r/>
          </w:p>
        </w:tc>
      </w:tr>
    </w:tbl>
    <w:p>
      <w:pPr>
        <w:pStyle w:val="995"/>
        <w:ind w:firstLine="441"/>
        <w:spacing w:line="0" w:lineRule="atLeast"/>
        <w:rPr>
          <w:rFonts w:hint="eastAsia" w:ascii="宋体" w:hAnsi="宋体"/>
          <w:b/>
          <w:color w:val="000000"/>
          <w:highlight w:val="yellow"/>
        </w:rPr>
      </w:pPr>
      <w:r>
        <w:rPr>
          <w:rFonts w:hint="eastAsia" w:ascii="宋体" w:hAnsi="宋体"/>
          <w:b/>
          <w:color w:val="000000"/>
        </w:rPr>
        <w:t xml:space="preserve">政府采购政策功能落实</w:t>
      </w:r>
      <w:r>
        <w:rPr>
          <w:rFonts w:hint="eastAsia" w:ascii="宋体" w:hAnsi="宋体"/>
          <w:b/>
          <w:color w:val="000000"/>
          <w:highlight w:val="yellow"/>
        </w:rPr>
      </w:r>
      <w:r/>
    </w:p>
    <w:p>
      <w:pPr>
        <w:pStyle w:val="995"/>
        <w:spacing w:line="0" w:lineRule="atLeast"/>
        <w:rPr>
          <w:rFonts w:hint="eastAsia" w:ascii="宋体" w:hAnsi="宋体"/>
          <w:color w:val="000000"/>
        </w:rPr>
      </w:pPr>
      <w:r>
        <w:rPr>
          <w:rFonts w:hint="eastAsia" w:ascii="宋体" w:hAnsi="宋体"/>
          <w:color w:val="000000"/>
        </w:rPr>
        <w:t xml:space="preserve">1、小微型企业价格扣除</w:t>
      </w:r>
      <w:r/>
    </w:p>
    <w:p>
      <w:pPr>
        <w:pStyle w:val="995"/>
        <w:ind w:firstLine="360"/>
        <w:spacing w:line="0" w:lineRule="atLeast"/>
        <w:rPr>
          <w:rFonts w:hint="eastAsia" w:ascii="宋体" w:hAnsi="宋体"/>
          <w:color w:val="000000"/>
        </w:rPr>
      </w:pPr>
      <w:r>
        <w:rPr>
          <w:rFonts w:hint="eastAsia" w:ascii="宋体" w:hAnsi="宋体"/>
          <w:color w:val="000000"/>
        </w:rPr>
        <w:t xml:space="preserve">（1）本项目对小型和微型企业提供的服务给予</w:t>
      </w:r>
      <w:r>
        <w:rPr>
          <w:rFonts w:hint="eastAsia" w:ascii="宋体" w:hAnsi="宋体"/>
          <w:color w:val="000000"/>
          <w:u w:val="single"/>
        </w:rPr>
        <w:t xml:space="preserve">10%</w:t>
      </w:r>
      <w:r>
        <w:rPr>
          <w:rFonts w:hint="eastAsia" w:ascii="宋体" w:hAnsi="宋体"/>
          <w:color w:val="000000"/>
        </w:rPr>
        <w:t xml:space="preserve">的扣除价格，用扣除后的价格参与评审。</w:t>
      </w:r>
      <w:r/>
    </w:p>
    <w:p>
      <w:pPr>
        <w:pStyle w:val="995"/>
        <w:ind w:firstLine="360"/>
        <w:spacing w:line="0" w:lineRule="atLeast"/>
        <w:rPr>
          <w:rFonts w:hint="eastAsia" w:ascii="宋体" w:hAnsi="宋体"/>
          <w:color w:val="000000"/>
        </w:rPr>
      </w:pPr>
      <w:r>
        <w:rPr>
          <w:rFonts w:hint="eastAsia" w:ascii="宋体" w:hAnsi="宋体"/>
          <w:color w:val="000000"/>
        </w:rPr>
        <w:t xml:space="preserve">（2）供应商需按照采购文件的要求提供相应的《中小微企业声明函》。</w:t>
      </w:r>
      <w:r/>
    </w:p>
    <w:p>
      <w:pPr>
        <w:pStyle w:val="995"/>
        <w:spacing w:line="0" w:lineRule="atLeast"/>
        <w:rPr>
          <w:rFonts w:hint="eastAsia" w:ascii="宋体" w:hAnsi="宋体"/>
          <w:color w:val="000000"/>
        </w:rPr>
      </w:pPr>
      <w:r>
        <w:rPr>
          <w:rFonts w:hint="eastAsia" w:ascii="宋体" w:hAnsi="宋体"/>
          <w:color w:val="000000"/>
        </w:rPr>
        <w:t xml:space="preserve">2、残疾人福利单位价格扣除</w:t>
      </w:r>
      <w:r/>
    </w:p>
    <w:p>
      <w:pPr>
        <w:pStyle w:val="995"/>
        <w:ind w:left="120" w:firstLine="360"/>
        <w:spacing w:line="0" w:lineRule="atLeast"/>
        <w:rPr>
          <w:rFonts w:hint="eastAsia" w:ascii="宋体" w:hAnsi="宋体"/>
          <w:color w:val="000000"/>
        </w:rPr>
      </w:pPr>
      <w:r>
        <w:rPr>
          <w:rFonts w:hint="eastAsia" w:ascii="宋体" w:hAnsi="宋体"/>
          <w:color w:val="000000"/>
        </w:rPr>
        <w:t xml:space="preserve">（1）本项目对残疾人福利性单位视同小型、微型企业，给予</w:t>
      </w:r>
      <w:r>
        <w:rPr>
          <w:rFonts w:hint="eastAsia" w:ascii="宋体" w:hAnsi="宋体"/>
          <w:color w:val="000000"/>
          <w:u w:val="single"/>
        </w:rPr>
        <w:t xml:space="preserve">10%</w:t>
      </w:r>
      <w:r>
        <w:rPr>
          <w:rFonts w:hint="eastAsia" w:ascii="宋体" w:hAnsi="宋体"/>
          <w:color w:val="000000"/>
        </w:rPr>
        <w:t xml:space="preserve">的价格扣除，用扣除后的价格参与评审。</w:t>
      </w:r>
      <w:r/>
    </w:p>
    <w:p>
      <w:pPr>
        <w:pStyle w:val="995"/>
        <w:ind w:left="120" w:firstLine="360"/>
        <w:spacing w:line="0" w:lineRule="atLeast"/>
        <w:rPr>
          <w:rFonts w:hint="eastAsia" w:ascii="宋体" w:hAnsi="宋体"/>
          <w:color w:val="000000"/>
        </w:rPr>
      </w:pPr>
      <w:r>
        <w:rPr>
          <w:rFonts w:hint="eastAsia" w:ascii="宋体" w:hAnsi="宋体"/>
          <w:color w:val="000000"/>
        </w:rPr>
        <w:t xml:space="preserve">（2）残疾人福利单位需按照采购文件的要求提供《残疾人福利性单位声明函》。</w:t>
      </w:r>
      <w:r/>
    </w:p>
    <w:p>
      <w:pPr>
        <w:pStyle w:val="995"/>
        <w:ind w:left="120" w:firstLine="360"/>
        <w:spacing w:line="0" w:lineRule="atLeast"/>
        <w:rPr>
          <w:rFonts w:hint="eastAsia" w:ascii="宋体" w:hAnsi="宋体"/>
          <w:color w:val="000000"/>
        </w:rPr>
      </w:pPr>
      <w:r>
        <w:rPr>
          <w:rFonts w:hint="eastAsia" w:ascii="宋体" w:hAnsi="宋体"/>
          <w:color w:val="000000"/>
        </w:rPr>
        <w:t xml:space="preserve">（3）残疾人福利单位标准请参照《关于促进残疾人就业政府采购政策的通知》（财库〔2017〕141号）。</w:t>
      </w:r>
      <w:r/>
    </w:p>
    <w:p>
      <w:pPr>
        <w:pStyle w:val="995"/>
        <w:spacing w:line="0" w:lineRule="atLeast"/>
        <w:rPr>
          <w:rFonts w:hint="eastAsia" w:ascii="宋体" w:hAnsi="宋体"/>
          <w:color w:val="000000"/>
        </w:rPr>
      </w:pPr>
      <w:r>
        <w:rPr>
          <w:rFonts w:hint="eastAsia" w:ascii="宋体" w:hAnsi="宋体"/>
          <w:color w:val="000000"/>
        </w:rPr>
        <w:t xml:space="preserve">3、监狱和戒毒企业价格扣除</w:t>
      </w:r>
      <w:r/>
    </w:p>
    <w:p>
      <w:pPr>
        <w:pStyle w:val="995"/>
        <w:spacing w:line="0" w:lineRule="atLeast"/>
        <w:rPr>
          <w:rFonts w:hint="eastAsia" w:ascii="宋体" w:hAnsi="宋体"/>
          <w:color w:val="000000"/>
        </w:rPr>
      </w:pPr>
      <w:r>
        <w:rPr>
          <w:rFonts w:hint="eastAsia" w:ascii="宋体" w:hAnsi="宋体"/>
          <w:color w:val="000000"/>
        </w:rPr>
        <w:t xml:space="preserve">（1）本项目对监狱和戒毒企业（简称监狱企业）视同小型、微型企业，给予</w:t>
      </w:r>
      <w:r>
        <w:rPr>
          <w:rFonts w:hint="eastAsia" w:ascii="宋体" w:hAnsi="宋体"/>
          <w:color w:val="000000"/>
          <w:u w:val="single"/>
        </w:rPr>
        <w:t xml:space="preserve">10%</w:t>
      </w:r>
      <w:r>
        <w:rPr>
          <w:rFonts w:hint="eastAsia" w:ascii="宋体" w:hAnsi="宋体"/>
          <w:color w:val="000000"/>
        </w:rPr>
        <w:t xml:space="preserve">的价格扣除，用扣除后的价格参与评审。</w:t>
      </w:r>
      <w:r/>
    </w:p>
    <w:p>
      <w:pPr>
        <w:pStyle w:val="995"/>
        <w:spacing w:line="0" w:lineRule="atLeast"/>
        <w:rPr>
          <w:rFonts w:hint="eastAsia" w:ascii="宋体" w:hAnsi="宋体"/>
          <w:color w:val="000000"/>
        </w:rPr>
      </w:pPr>
      <w:r>
        <w:rPr>
          <w:rFonts w:hint="eastAsia" w:ascii="宋体" w:hAnsi="宋体"/>
          <w:color w:val="000000"/>
        </w:rPr>
        <w:t xml:space="preserve">（2）监狱企业参加政府采购活动时，需提供由省级以上监狱管理局、戒毒管理局(含新疆生产建设兵团)出具的属于监狱企业的证明文件。</w:t>
      </w:r>
      <w:r>
        <w:rPr>
          <w:rFonts w:hint="eastAsia" w:ascii="宋体" w:hAnsi="宋体"/>
          <w:color w:val="000000"/>
        </w:rPr>
        <w:t xml:space="preserve">供应商如不提供上述证明文件，价格将不做相应扣除</w:t>
      </w:r>
      <w:r>
        <w:rPr>
          <w:rFonts w:hint="eastAsia" w:ascii="宋体" w:hAnsi="宋体"/>
          <w:color w:val="000000"/>
        </w:rPr>
        <w:t xml:space="preserve">。</w:t>
      </w:r>
      <w:r/>
    </w:p>
    <w:p>
      <w:pPr>
        <w:pStyle w:val="995"/>
        <w:spacing w:line="0" w:lineRule="atLeast"/>
        <w:rPr>
          <w:rFonts w:hint="eastAsia" w:ascii="宋体" w:hAnsi="宋体"/>
          <w:color w:val="000000"/>
        </w:rPr>
      </w:pPr>
      <w:r>
        <w:rPr>
          <w:rFonts w:hint="eastAsia" w:ascii="宋体" w:hAnsi="宋体"/>
          <w:color w:val="000000"/>
        </w:rPr>
        <w:t xml:space="preserve">（3）监狱企业标准请参照《关于政府采购支持监狱企业发展有关问题的通知》（</w:t>
      </w:r>
      <w:r>
        <w:rPr>
          <w:rFonts w:ascii="宋体" w:hAnsi="宋体"/>
          <w:color w:val="000000"/>
        </w:rPr>
        <w:t xml:space="preserve">财库〔2014〕68号</w:t>
      </w:r>
      <w:r>
        <w:rPr>
          <w:rFonts w:hint="eastAsia" w:ascii="宋体" w:hAnsi="宋体"/>
          <w:color w:val="000000"/>
        </w:rPr>
        <w:t xml:space="preserve">）。</w:t>
      </w:r>
      <w:r/>
    </w:p>
    <w:p>
      <w:pPr>
        <w:pStyle w:val="995"/>
        <w:spacing w:line="400" w:lineRule="exact"/>
        <w:rPr>
          <w:rFonts w:hint="eastAsia" w:ascii="宋体" w:hAnsi="宋体"/>
          <w:color w:val="000000"/>
        </w:rPr>
      </w:pPr>
      <w:r>
        <w:rPr>
          <w:rFonts w:hint="eastAsia" w:ascii="宋体" w:hAnsi="宋体"/>
          <w:color w:val="000000"/>
        </w:rPr>
        <w:t xml:space="preserve">4、残疾人福利单位、监狱企业属于小型、微型企业的，不重复享受政策。</w:t>
      </w:r>
      <w:r/>
    </w:p>
    <w:p>
      <w:pPr>
        <w:pStyle w:val="995"/>
        <w:spacing w:line="400" w:lineRule="exact"/>
        <w:rPr>
          <w:rFonts w:hint="eastAsia" w:ascii="宋体" w:hAnsi="宋体"/>
          <w:color w:val="000000"/>
        </w:rPr>
      </w:pPr>
      <w:r>
        <w:rPr>
          <w:rFonts w:hint="eastAsia" w:ascii="宋体" w:hAnsi="宋体"/>
          <w:color w:val="000000"/>
        </w:rPr>
        <w:t xml:space="preserve">5、如果本项目同意联合体投标或同意</w:t>
      </w:r>
      <w:r>
        <w:rPr>
          <w:rFonts w:hint="eastAsia" w:ascii="宋体" w:hAnsi="宋体"/>
          <w:color w:val="000000"/>
        </w:rPr>
        <w:t xml:space="preserve">分包</w:t>
      </w:r>
      <w:r>
        <w:rPr>
          <w:rFonts w:hint="eastAsia" w:ascii="宋体" w:hAnsi="宋体"/>
          <w:color w:val="000000"/>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color w:val="000000"/>
        </w:rPr>
        <w:t xml:space="preserve">意向协议中约定小微型企业（残疾人福利单位、监狱企业）的合同份额占到合同总金额30%以上的，给予联合体或者大中型企业</w:t>
      </w:r>
      <w:r>
        <w:rPr>
          <w:rFonts w:ascii="宋体" w:hAnsi="宋体"/>
          <w:color w:val="000000"/>
          <w:u w:val="single"/>
        </w:rPr>
        <w:t xml:space="preserve">4</w:t>
      </w:r>
      <w:r>
        <w:rPr>
          <w:rFonts w:hint="eastAsia" w:ascii="宋体" w:hAnsi="宋体"/>
          <w:color w:val="000000"/>
          <w:u w:val="single"/>
        </w:rPr>
        <w:t xml:space="preserve">%</w:t>
      </w:r>
      <w:r>
        <w:rPr>
          <w:rFonts w:hint="eastAsia" w:ascii="宋体" w:hAnsi="宋体"/>
          <w:color w:val="000000"/>
        </w:rPr>
        <w:t xml:space="preserve">的价格扣除，用扣除后的价格参与评审。</w:t>
      </w:r>
      <w:r/>
    </w:p>
    <w:p>
      <w:pPr>
        <w:pStyle w:val="995"/>
        <w:spacing w:line="400" w:lineRule="exact"/>
        <w:rPr>
          <w:rFonts w:hint="eastAsia" w:ascii="宋体" w:hAnsi="宋体"/>
          <w:color w:val="000000"/>
        </w:rPr>
      </w:pPr>
      <w:r>
        <w:rPr>
          <w:rFonts w:hint="eastAsia" w:ascii="宋体" w:hAnsi="宋体"/>
          <w:color w:val="000000"/>
        </w:rPr>
        <w:t xml:space="preserve">6、联合体各方均为小型、微型企业（残疾人福利单位、监狱企业）的，联合体享受</w:t>
      </w:r>
      <w:r>
        <w:rPr>
          <w:rFonts w:hint="eastAsia" w:ascii="宋体" w:hAnsi="宋体"/>
          <w:color w:val="000000"/>
          <w:u w:val="single"/>
        </w:rPr>
        <w:t xml:space="preserve">10%</w:t>
      </w:r>
      <w:r>
        <w:rPr>
          <w:rFonts w:hint="eastAsia" w:ascii="宋体" w:hAnsi="宋体"/>
          <w:color w:val="000000"/>
        </w:rPr>
        <w:t xml:space="preserve">价格扣除，用扣除后的价格参与评审。</w:t>
      </w:r>
      <w:r/>
    </w:p>
    <w:p>
      <w:pPr>
        <w:pStyle w:val="995"/>
        <w:spacing w:line="400" w:lineRule="exact"/>
        <w:rPr>
          <w:rFonts w:hint="eastAsia" w:ascii="宋体" w:hAnsi="宋体"/>
          <w:color w:val="000000"/>
        </w:rPr>
      </w:pPr>
      <w:r>
        <w:rPr>
          <w:rFonts w:hint="eastAsia" w:ascii="宋体" w:hAnsi="宋体"/>
          <w:color w:val="000000"/>
        </w:rPr>
        <w:t xml:space="preserve">7.采购本国产品的支持政策</w:t>
      </w:r>
      <w:r/>
    </w:p>
    <w:p>
      <w:pPr>
        <w:pStyle w:val="995"/>
        <w:spacing w:line="400" w:lineRule="exact"/>
        <w:rPr>
          <w:rFonts w:hint="eastAsia" w:ascii="宋体" w:hAnsi="宋体"/>
          <w:color w:val="000000"/>
        </w:rPr>
      </w:pPr>
      <w:r>
        <w:rPr>
          <w:rFonts w:hint="eastAsia" w:ascii="宋体" w:hAnsi="宋体"/>
          <w:color w:val="000000"/>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p>
    <w:p>
      <w:pPr>
        <w:pStyle w:val="995"/>
        <w:spacing w:line="400" w:lineRule="exact"/>
        <w:rPr>
          <w:rFonts w:hint="eastAsia" w:ascii="宋体" w:hAnsi="宋体"/>
          <w:color w:val="000000"/>
        </w:rPr>
      </w:pPr>
      <w:r>
        <w:rPr>
          <w:rFonts w:hint="eastAsia" w:ascii="宋体" w:hAnsi="宋体"/>
          <w:color w:val="000000"/>
        </w:rPr>
        <w:t xml:space="preserve">7.2 供应商需按照招标文件的要求提供《关于符合本国产品标准的声明函》（以下简称《声明函》），如不提供将不享受本国产品价格评审优惠。</w:t>
      </w:r>
      <w:r/>
    </w:p>
    <w:p>
      <w:pPr>
        <w:pStyle w:val="995"/>
        <w:spacing w:line="400" w:lineRule="exact"/>
        <w:rPr>
          <w:rFonts w:hint="eastAsia" w:ascii="宋体" w:hAnsi="宋体"/>
          <w:color w:val="000000"/>
        </w:rPr>
      </w:pPr>
      <w:r>
        <w:rPr>
          <w:rFonts w:hint="eastAsia" w:ascii="宋体" w:hAnsi="宋体"/>
          <w:color w:val="000000"/>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p>
    <w:p>
      <w:pPr>
        <w:pStyle w:val="995"/>
        <w:spacing w:line="400" w:lineRule="exact"/>
        <w:rPr>
          <w:rFonts w:hint="eastAsia" w:ascii="宋体" w:hAnsi="宋体"/>
          <w:color w:val="000000"/>
        </w:rPr>
      </w:pPr>
      <w:r>
        <w:rPr>
          <w:rFonts w:hint="eastAsia" w:ascii="宋体" w:hAnsi="宋体"/>
          <w:color w:val="000000"/>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95"/>
        <w:spacing w:line="400" w:lineRule="exact"/>
        <w:rPr>
          <w:rFonts w:hint="eastAsia" w:ascii="宋体" w:hAnsi="宋体"/>
          <w:color w:val="000000"/>
        </w:rPr>
      </w:pPr>
      <w:r>
        <w:rPr>
          <w:rFonts w:hint="eastAsia" w:ascii="宋体" w:hAnsi="宋体"/>
          <w:color w:val="000000"/>
        </w:rPr>
      </w:r>
      <w:r/>
    </w:p>
    <w:p>
      <w:pPr>
        <w:pStyle w:val="995"/>
        <w:ind w:firstLine="482"/>
        <w:spacing w:line="0" w:lineRule="atLeast"/>
        <w:rPr>
          <w:rFonts w:hint="eastAsia" w:ascii="宋体" w:hAnsi="宋体"/>
          <w:b/>
          <w:color w:val="000000"/>
          <w:highlight w:val="yellow"/>
        </w:rPr>
      </w:pPr>
      <w:r>
        <w:rPr>
          <w:rFonts w:hint="eastAsia" w:ascii="宋体" w:hAnsi="宋体"/>
          <w:b/>
          <w:color w:val="000000"/>
        </w:rPr>
        <w:t xml:space="preserve">评标方法与评标标准</w:t>
      </w:r>
      <w:r>
        <w:rPr>
          <w:rFonts w:hint="eastAsia" w:ascii="宋体" w:hAnsi="宋体"/>
          <w:b/>
          <w:color w:val="000000"/>
          <w:highlight w:val="yellow"/>
        </w:rPr>
      </w:r>
      <w:r/>
    </w:p>
    <w:tbl>
      <w:tblPr>
        <w:tblpPr w:horzAnchor="page" w:tblpX="1412" w:vertAnchor="text" w:tblpY="421" w:leftFromText="180" w:topFromText="0" w:rightFromText="180" w:bottomFromText="0"/>
        <w:tblW w:w="9073" w:type="dxa"/>
        <w:tblInd w:w="0" w:type="dxa"/>
        <w:tblLayout w:type="fixed"/>
        <w:tblCellMar>
          <w:left w:w="108" w:type="dxa"/>
          <w:top w:w="0" w:type="dxa"/>
          <w:right w:w="108" w:type="dxa"/>
          <w:bottom w:w="0" w:type="dxa"/>
        </w:tblCellMar>
        <w:tblLook w:val="04A0" w:firstRow="1" w:lastRow="0" w:firstColumn="1" w:lastColumn="0" w:noHBand="0" w:noVBand="1"/>
      </w:tblPr>
      <w:tblGrid>
        <w:gridCol w:w="1756"/>
        <w:gridCol w:w="6290"/>
        <w:gridCol w:w="1027"/>
      </w:tblGrid>
      <w:tr>
        <w:trPr>
          <w:trHeight w:val="399"/>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907"/>
              <w:jc w:val="center"/>
              <w:widowControl/>
              <w:rPr>
                <w:b/>
                <w:bCs/>
                <w:color w:val="000000"/>
              </w:rPr>
              <w:framePr w:hSpace="180" w:wrap="around" w:vAnchor="text" w:hAnchor="page" w:x="1412" w:y="421"/>
            </w:pPr>
            <w:r>
              <w:rPr>
                <w:rFonts w:hint="eastAsia" w:ascii="宋体" w:hAnsi="宋体" w:cs="宋体"/>
                <w:b/>
                <w:bCs/>
                <w:color w:val="000000"/>
                <w:sz w:val="22"/>
                <w:szCs w:val="22"/>
              </w:rPr>
              <w:t xml:space="preserve">评标内容</w:t>
            </w:r>
            <w:r>
              <w:rPr>
                <w:b/>
                <w:bCs/>
                <w:color w:val="000000"/>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907"/>
              <w:jc w:val="center"/>
              <w:widowControl/>
              <w:rPr>
                <w:rFonts w:ascii="宋体" w:hAnsi="宋体" w:cs="宋体"/>
                <w:b/>
                <w:bCs/>
                <w:color w:val="000000"/>
                <w:sz w:val="22"/>
                <w:szCs w:val="22"/>
              </w:rPr>
              <w:framePr w:hSpace="180" w:wrap="around" w:vAnchor="text" w:hAnchor="page" w:x="1412" w:y="421"/>
            </w:pPr>
            <w:r>
              <w:rPr>
                <w:rFonts w:hint="eastAsia" w:ascii="宋体" w:hAnsi="宋体" w:cs="宋体"/>
                <w:b/>
                <w:bCs/>
                <w:color w:val="000000"/>
                <w:sz w:val="22"/>
                <w:szCs w:val="22"/>
              </w:rPr>
              <w:t xml:space="preserve">评标标准</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907"/>
              <w:jc w:val="center"/>
              <w:widowControl/>
              <w:rPr>
                <w:rFonts w:ascii="宋体" w:hAnsi="宋体" w:cs="宋体"/>
                <w:b/>
                <w:bCs/>
                <w:color w:val="000000"/>
                <w:sz w:val="22"/>
                <w:szCs w:val="22"/>
              </w:rPr>
              <w:framePr w:hSpace="180" w:wrap="around" w:vAnchor="text" w:hAnchor="page" w:x="1412" w:y="421"/>
            </w:pPr>
            <w:r>
              <w:rPr>
                <w:rFonts w:hint="eastAsia" w:ascii="宋体" w:hAnsi="宋体" w:cs="宋体"/>
                <w:b/>
                <w:bCs/>
                <w:color w:val="000000"/>
                <w:sz w:val="22"/>
                <w:szCs w:val="22"/>
              </w:rPr>
              <w:t xml:space="preserve">分值</w:t>
            </w:r>
            <w:r>
              <w:rPr>
                <w:rFonts w:ascii="宋体" w:hAnsi="宋体" w:cs="宋体"/>
                <w:b/>
                <w:bCs/>
                <w:color w:val="000000"/>
                <w:sz w:val="22"/>
                <w:szCs w:val="22"/>
              </w:rPr>
            </w:r>
            <w:r/>
          </w:p>
        </w:tc>
      </w:tr>
      <w:tr>
        <w:trPr>
          <w:trHeight w:val="419"/>
        </w:trPr>
        <w:tc>
          <w:tcPr>
            <w:gridSpan w:val="3"/>
            <w:tcBorders>
              <w:top w:val="single" w:color="000000" w:sz="4" w:space="0"/>
              <w:left w:val="single" w:color="000000" w:sz="4" w:space="0"/>
              <w:bottom w:val="single" w:color="000000" w:sz="4" w:space="0"/>
              <w:right w:val="single" w:color="000000" w:sz="4" w:space="0"/>
            </w:tcBorders>
            <w:tcW w:w="9073" w:type="dxa"/>
            <w:vAlign w:val="center"/>
            <w:textDirection w:val="lrTb"/>
            <w:noWrap w:val="false"/>
          </w:tcPr>
          <w:p>
            <w:pPr>
              <w:pStyle w:val="907"/>
              <w:rPr>
                <w:rFonts w:ascii="宋体" w:hAnsi="宋体"/>
                <w:color w:val="000000"/>
                <w:sz w:val="22"/>
                <w:szCs w:val="22"/>
              </w:rPr>
              <w:framePr w:hSpace="180" w:wrap="around" w:vAnchor="text" w:hAnchor="page" w:x="1412" w:y="421"/>
            </w:pPr>
            <w:r>
              <w:rPr>
                <w:rFonts w:hint="eastAsia" w:ascii="宋体" w:hAnsi="宋体"/>
                <w:color w:val="000000"/>
                <w:sz w:val="22"/>
                <w:szCs w:val="22"/>
              </w:rPr>
              <w:t xml:space="preserve">一、价格（10分）</w:t>
            </w:r>
            <w:r>
              <w:rPr>
                <w:rFonts w:ascii="宋体" w:hAnsi="宋体"/>
                <w:color w:val="000000"/>
                <w:sz w:val="22"/>
                <w:szCs w:val="22"/>
              </w:rPr>
            </w:r>
            <w:r/>
          </w:p>
        </w:tc>
      </w:tr>
      <w:tr>
        <w:trPr>
          <w:trHeight w:val="1514"/>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907"/>
              <w:rPr>
                <w:rFonts w:ascii="宋体" w:hAnsi="宋体"/>
                <w:color w:val="000000"/>
                <w:sz w:val="22"/>
                <w:szCs w:val="22"/>
              </w:rPr>
              <w:framePr w:hSpace="180" w:wrap="around" w:vAnchor="text" w:hAnchor="page" w:x="1412" w:y="421"/>
            </w:pPr>
            <w:r>
              <w:rPr>
                <w:rFonts w:hint="eastAsia" w:ascii="宋体" w:hAnsi="宋体"/>
                <w:color w:val="000000"/>
                <w:sz w:val="22"/>
                <w:szCs w:val="22"/>
              </w:rPr>
              <w:t xml:space="preserve">价格</w:t>
            </w:r>
            <w:r>
              <w:rPr>
                <w:rFonts w:ascii="宋体" w:hAnsi="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907"/>
              <w:rPr>
                <w:rFonts w:ascii="宋体" w:hAnsi="宋体"/>
                <w:color w:val="000000"/>
                <w:sz w:val="22"/>
                <w:szCs w:val="22"/>
              </w:rPr>
              <w:framePr w:hSpace="180" w:wrap="around" w:vAnchor="text" w:hAnchor="page" w:x="1412" w:y="421"/>
            </w:pPr>
            <w:r>
              <w:rPr>
                <w:rFonts w:hint="eastAsia" w:ascii="宋体" w:hAnsi="宋体"/>
                <w:color w:val="000000"/>
                <w:sz w:val="22"/>
                <w:szCs w:val="22"/>
              </w:rPr>
              <w:t xml:space="preserve">价格分采用低价优先法计算，即满足采购文件要求且投标价格最低的投标人投标报价为评标基准价，其价格分为满分10分，其他投标人的价格分统一按照以下公式计算：投标报价得分=（评标基准价/该投标人的投标报价）×10分。分值保留小数点后2位。</w:t>
            </w:r>
            <w:r>
              <w:rPr>
                <w:rFonts w:ascii="宋体" w:hAnsi="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907"/>
              <w:jc w:val="center"/>
              <w:rPr>
                <w:rFonts w:ascii="宋体" w:hAnsi="宋体"/>
                <w:color w:val="000000"/>
                <w:sz w:val="22"/>
                <w:szCs w:val="22"/>
              </w:rPr>
              <w:framePr w:hSpace="180" w:wrap="around" w:vAnchor="text" w:hAnchor="page" w:x="1412" w:y="421"/>
            </w:pPr>
            <w:r>
              <w:rPr>
                <w:rFonts w:hint="eastAsia" w:ascii="宋体" w:hAnsi="宋体"/>
                <w:color w:val="000000"/>
                <w:sz w:val="22"/>
                <w:szCs w:val="22"/>
              </w:rPr>
              <w:t xml:space="preserve">10</w:t>
            </w:r>
            <w:r>
              <w:rPr>
                <w:rFonts w:ascii="宋体" w:hAnsi="宋体"/>
                <w:color w:val="000000"/>
                <w:sz w:val="22"/>
                <w:szCs w:val="22"/>
              </w:rPr>
            </w:r>
            <w:r/>
          </w:p>
        </w:tc>
      </w:tr>
      <w:tr>
        <w:trPr>
          <w:trHeight w:val="463"/>
        </w:trPr>
        <w:tc>
          <w:tcPr>
            <w:gridSpan w:val="3"/>
            <w:tcBorders>
              <w:top w:val="single" w:color="000000" w:sz="4" w:space="0"/>
              <w:left w:val="single" w:color="000000" w:sz="4" w:space="0"/>
              <w:bottom w:val="single" w:color="000000" w:sz="4" w:space="0"/>
              <w:right w:val="single" w:color="000000" w:sz="4" w:space="0"/>
            </w:tcBorders>
            <w:tcW w:w="9073" w:type="dxa"/>
            <w:vAlign w:val="center"/>
            <w:textDirection w:val="lrTb"/>
            <w:noWrap w:val="false"/>
          </w:tcPr>
          <w:p>
            <w:pPr>
              <w:pStyle w:val="907"/>
              <w:rPr>
                <w:rFonts w:ascii="宋体" w:hAnsi="宋体"/>
                <w:color w:val="000000"/>
                <w:sz w:val="22"/>
                <w:szCs w:val="22"/>
              </w:rPr>
              <w:framePr w:hSpace="180" w:wrap="around" w:vAnchor="text" w:hAnchor="page" w:x="1412" w:y="421"/>
            </w:pPr>
            <w:r>
              <w:rPr>
                <w:rFonts w:hint="eastAsia" w:ascii="宋体" w:hAnsi="宋体"/>
                <w:color w:val="000000"/>
                <w:sz w:val="22"/>
                <w:szCs w:val="22"/>
              </w:rPr>
              <w:t xml:space="preserve">二、技术及商务要求响应（14分）</w:t>
            </w:r>
            <w:r>
              <w:rPr>
                <w:rFonts w:ascii="宋体" w:hAnsi="宋体"/>
                <w:color w:val="000000"/>
                <w:sz w:val="22"/>
                <w:szCs w:val="22"/>
              </w:rPr>
            </w:r>
            <w:r/>
          </w:p>
        </w:tc>
      </w:tr>
      <w:tr>
        <w:trPr>
          <w:trHeight w:val="995"/>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907"/>
              <w:widowControl/>
              <w:rPr>
                <w:rFonts w:ascii="宋体" w:hAnsi="宋体"/>
                <w:color w:val="000000"/>
                <w:sz w:val="22"/>
                <w:szCs w:val="22"/>
              </w:rPr>
              <w:framePr w:hSpace="180" w:wrap="around" w:vAnchor="text" w:hAnchor="page" w:x="1412" w:y="421"/>
            </w:pPr>
            <w:r/>
            <w:bookmarkStart w:id="222" w:name="_Hlk200528671"/>
            <w:r>
              <w:rPr>
                <w:rFonts w:hint="eastAsia" w:ascii="宋体" w:hAnsi="宋体" w:cs="宋体"/>
                <w:color w:val="000000"/>
                <w:sz w:val="22"/>
                <w:szCs w:val="22"/>
              </w:rPr>
              <w:t xml:space="preserve">技术及商务要求响应</w:t>
            </w:r>
            <w:r>
              <w:rPr>
                <w:rFonts w:ascii="宋体" w:hAnsi="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907"/>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投标人响应材料全部满足招标文件第四章中第二、三、四、七、九小节中明确的技术及商务要求的，得满分14分；打▲号（共14条）为重要指标，每有1项重要指标不满足扣1分。（投标人需按照本招标文件的项目需求，在“技术参数响应及偏离表”中按照招标要求提供对应的证明材料）</w:t>
            </w:r>
            <w:r>
              <w:rPr>
                <w:rFonts w:ascii="宋体" w:hAnsi="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907"/>
              <w:jc w:val="center"/>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14</w:t>
            </w:r>
            <w:r>
              <w:rPr>
                <w:rFonts w:ascii="宋体" w:hAnsi="宋体"/>
                <w:color w:val="000000"/>
                <w:sz w:val="22"/>
                <w:szCs w:val="22"/>
              </w:rPr>
            </w:r>
            <w:r/>
          </w:p>
        </w:tc>
      </w:tr>
      <w:tr>
        <w:trPr>
          <w:trHeight w:val="465"/>
        </w:trPr>
        <w:tc>
          <w:tcPr>
            <w:gridSpan w:val="3"/>
            <w:tcBorders>
              <w:top w:val="single" w:color="000000" w:sz="4" w:space="0"/>
              <w:left w:val="single" w:color="000000" w:sz="4" w:space="0"/>
              <w:bottom w:val="single" w:color="000000" w:sz="4" w:space="0"/>
              <w:right w:val="single" w:color="000000" w:sz="4" w:space="0"/>
            </w:tcBorders>
            <w:tcW w:w="9073" w:type="dxa"/>
            <w:vAlign w:val="center"/>
            <w:textDirection w:val="lrTb"/>
            <w:noWrap w:val="false"/>
          </w:tcPr>
          <w:p>
            <w:pPr>
              <w:pStyle w:val="907"/>
              <w:rPr>
                <w:rFonts w:ascii="宋体" w:hAnsi="宋体" w:cs="宋体"/>
                <w:color w:val="000000"/>
                <w:sz w:val="22"/>
                <w:szCs w:val="22"/>
              </w:rPr>
              <w:framePr w:hSpace="180" w:wrap="around" w:vAnchor="text" w:hAnchor="page" w:x="1412" w:y="421"/>
            </w:pPr>
            <w:r>
              <w:rPr>
                <w:rFonts w:hint="eastAsia" w:ascii="宋体" w:hAnsi="宋体"/>
                <w:color w:val="000000"/>
                <w:sz w:val="22"/>
                <w:szCs w:val="22"/>
              </w:rPr>
              <w:t xml:space="preserve">三、演示（10分）</w:t>
            </w:r>
            <w:r>
              <w:rPr>
                <w:rFonts w:ascii="宋体" w:hAnsi="宋体" w:cs="宋体"/>
                <w:color w:val="000000"/>
                <w:sz w:val="22"/>
                <w:szCs w:val="22"/>
              </w:rPr>
            </w:r>
            <w:r/>
          </w:p>
        </w:tc>
      </w:tr>
      <w:tr>
        <w:trPr>
          <w:trHeight w:val="995"/>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重点场景演示</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907"/>
              <w:widowControl/>
              <w:rPr>
                <w:rFonts w:ascii="宋体" w:hAnsi="宋体" w:cs="宋体"/>
                <w:color w:val="000000"/>
                <w:sz w:val="22"/>
                <w:szCs w:val="22"/>
                <w:u w:val="single"/>
              </w:rPr>
              <w:framePr w:hSpace="180" w:wrap="around" w:vAnchor="text" w:hAnchor="page" w:x="1412" w:y="421"/>
            </w:pPr>
            <w:r>
              <w:rPr>
                <w:rFonts w:hint="eastAsia" w:ascii="宋体" w:hAnsi="宋体" w:cs="宋体"/>
                <w:color w:val="000000"/>
                <w:sz w:val="22"/>
                <w:szCs w:val="22"/>
              </w:rPr>
              <w:t xml:space="preserve">投标人需按照招标文件规定的演示内容制作演示视频文件，视频文件的格式为*.mp4或*.a</w:t>
            </w:r>
            <w:r>
              <w:rPr>
                <w:rFonts w:hint="eastAsia" w:ascii="宋体" w:hAnsi="宋体" w:cs="宋体"/>
                <w:color w:val="000000"/>
                <w:sz w:val="22"/>
                <w:szCs w:val="22"/>
              </w:rPr>
              <w:t xml:space="preserve">vi，投标人须将视频文件分段压缩为*.zip文件上传（单个文件不得大于50M，所有文件总共不得大于300M）。视频时长总计不超过15分钟。演示完全采用真实系统或原型系统进行所投产品演示完整功能点的，得实际演示结果对应分值;采用静态页面方式演示的，得分为实际演示结果对应分值乘以系数0.5。以真实系统或原型系统演示，数据可采用脱敏数据或模拟数据，视频画面、文字及数据应清晰可辨，演示过程应连续、前后内容应保持连贯。涉及外部对接系统的内容，不要求展示真实系统连接，可采用模拟数据等展示业务衔接关系和预期效果。演示两个</w:t>
            </w:r>
            <w:r>
              <w:rPr>
                <w:rFonts w:hint="eastAsia" w:ascii="宋体" w:hAnsi="宋体" w:cs="宋体"/>
                <w:color w:val="000000"/>
                <w:sz w:val="22"/>
                <w:szCs w:val="22"/>
              </w:rPr>
              <w:t xml:space="preserve">场景，最高10分。针对每个场景的每项演示内容，投标文件未符合全部条款要求的，视为不符合招标文件，本项得0分；投标文件符合全部条款要求的，视为符合招标文件，本项得1分；经评委认定，投标文件对下文括号中指定响应内容全部优于招标文件要求的，本项得2分（场景一第1项指定部分为：角色配置科学性、角色个性化能力、跨角色数据一致性；场景一第2项指定部分为：导航访问、业务处置；场景二第1项指定部分为：业务环节完整性、多系统业务协同性；场景二第2项指定部分为：内容审核效果、数据归集完整；场景二第3项指定部分为异常处置闭环）。</w:t>
            </w:r>
            <w:r>
              <w:rPr>
                <w:rFonts w:ascii="宋体" w:hAnsi="宋体" w:cs="宋体"/>
                <w:color w:val="000000"/>
                <w:sz w:val="22"/>
                <w:szCs w:val="22"/>
                <w:u w:val="single"/>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场景一：一体化平台多角色看板演示（4分）</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1.角色配置及功能。（1）角色配置科学性：展示不同管理层级和业务主体的用户角色配置布局，反映不同角色的实际职责和业务需求。（2）角色个性化能力：展示不同角色在数据范围、业务权限等方面的差异化体验，看板内容能够结合角色职责和实际使用需求进行个性化配置，并体现配置结果的保存、应用及持续使用效果。（3）跨角色数据一致性：展示同一业务事项或业务数据在不同角色看板之间的关联关系及一致性。（2分）</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2.导航访问与业务处置。（1）导航访问：展示用户通过统一搜索入口，按照功能名称、业务关键词等条件，快速检索跨系统应用功能和数据资源。搜索结果应根据用户角色权限分类呈现对应功能页面或业务数据详情。（2）业务处置：通过看板掌握业务运行情况、异常情况，开展分析、定位和后续处置，体现看板由信息展示向分析决策和业务办理延伸的使用效果。（2分）</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场景二：内容生产服务与审核全流程演示（6分）</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1.全流程贯通。（1）业务环节完整性：围绕同一送审事项，连续展示备案、送审、审核、评审、汇总和许可证发放等环节之间的数据关联、状态衔接和结果传递。（2）多系统业务协同性：展示不同业务主体在多系统中材料提交、任务接收、审核办理、意见反馈、状态查询和信息共享等方面的协同过程，体现减少重复操作、提高信息传递效率等效果。（2分）</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2.内容审核应用。（1）内容审核效果：展示内容安全和AI审核能力调用在送审业务中的应用效果，包括但不限于风险识别、问题定位、审核辅助、人工复核和结果说明等业务衔接关系。（2）数据归集完整：针对内容审核中出现的各类问题和相关数据进行汇总分析，形成易发问题数据库。（2分）</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3.异常处置闭环。结合送审业务中可能出现的材料不完整、审核发现问题、退回修改、补充材料等情况，展示异常事项的处理、反馈、再次提交和过程留痕，体现系统对非正常业务流程的支撑能力。（2分）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907"/>
              <w:jc w:val="center"/>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10</w:t>
            </w:r>
            <w:r>
              <w:rPr>
                <w:rFonts w:ascii="宋体" w:hAnsi="宋体" w:cs="宋体"/>
                <w:color w:val="000000"/>
                <w:sz w:val="22"/>
                <w:szCs w:val="22"/>
              </w:rPr>
            </w:r>
            <w:r/>
          </w:p>
        </w:tc>
      </w:tr>
      <w:tr>
        <w:trPr>
          <w:trHeight w:val="465"/>
        </w:trPr>
        <w:tc>
          <w:tcPr>
            <w:gridSpan w:val="3"/>
            <w:tcBorders>
              <w:top w:val="single" w:color="000000" w:sz="4" w:space="0"/>
              <w:left w:val="single" w:color="000000" w:sz="4" w:space="0"/>
              <w:bottom w:val="single" w:color="000000" w:sz="4" w:space="0"/>
              <w:right w:val="single" w:color="000000" w:sz="4" w:space="0"/>
            </w:tcBorders>
            <w:tcW w:w="9073" w:type="dxa"/>
            <w:vAlign w:val="center"/>
            <w:textDirection w:val="lrTb"/>
            <w:noWrap w:val="false"/>
          </w:tcPr>
          <w:p>
            <w:pPr>
              <w:pStyle w:val="907"/>
              <w:rPr>
                <w:rFonts w:ascii="宋体" w:hAnsi="宋体"/>
                <w:color w:val="000000"/>
                <w:sz w:val="22"/>
                <w:szCs w:val="22"/>
              </w:rPr>
              <w:framePr w:hSpace="180" w:wrap="around" w:vAnchor="text" w:hAnchor="page" w:x="1412" w:y="421"/>
            </w:pPr>
            <w:r>
              <w:rPr>
                <w:rFonts w:hint="eastAsia" w:ascii="宋体" w:hAnsi="宋体"/>
                <w:color w:val="000000"/>
                <w:sz w:val="22"/>
                <w:szCs w:val="22"/>
              </w:rPr>
              <w:t xml:space="preserve">四、技术方案（27分）</w:t>
            </w:r>
            <w:r>
              <w:rPr>
                <w:rFonts w:ascii="宋体" w:hAnsi="宋体"/>
                <w:color w:val="000000"/>
                <w:sz w:val="22"/>
                <w:szCs w:val="22"/>
              </w:rPr>
            </w:r>
            <w:r/>
          </w:p>
        </w:tc>
      </w:tr>
      <w:tr>
        <w:trPr>
          <w:trHeight w:val="995"/>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907"/>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4.1 项目总体技术方案</w:t>
            </w:r>
            <w:r>
              <w:rPr>
                <w:rFonts w:ascii="宋体" w:hAnsi="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（1）投标文件未符合“项目总体技术方案”中全部条款要求的，视为不符合招标文件，本项得0分；</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（2）投标文件符合“项目总体技术方案”中全部条款要求的，视为符合招标文件，本项得3分；</w:t>
            </w:r>
            <w:r>
              <w:rPr>
                <w:rFonts w:ascii="宋体" w:hAnsi="宋体" w:cs="宋体"/>
                <w:color w:val="000000"/>
                <w:sz w:val="22"/>
                <w:szCs w:val="22"/>
              </w:rPr>
            </w:r>
            <w:r/>
          </w:p>
          <w:p>
            <w:pPr>
              <w:pStyle w:val="907"/>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（3）经评委认定，投标文件对“项目总体技术方案”中斜体字部分要求的响应内容全部优于招标文件要求的，本项得5分。</w:t>
            </w:r>
            <w:r>
              <w:rPr>
                <w:rFonts w:ascii="宋体" w:hAnsi="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907"/>
              <w:jc w:val="center"/>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5</w:t>
            </w:r>
            <w:r>
              <w:rPr>
                <w:rFonts w:ascii="宋体" w:hAnsi="宋体"/>
                <w:color w:val="000000"/>
                <w:sz w:val="22"/>
                <w:szCs w:val="22"/>
              </w:rPr>
            </w:r>
            <w:r/>
          </w:p>
        </w:tc>
      </w:tr>
      <w:tr>
        <w:trPr>
          <w:trHeight w:val="995"/>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907"/>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4.2 科技与产业管理应用系统功能方案</w:t>
            </w:r>
            <w:r>
              <w:rPr>
                <w:rFonts w:ascii="宋体" w:hAnsi="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（1）投标文件未符合“科技与产业管理应用系统功能方案”中全部条款要求的，视为不符合招标文件，本项得0分；</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（2）投标文件符合“科技与产业管理应用系统功能方案”中全部条款要求的，视为符合招标文件，本项得1分；</w:t>
            </w:r>
            <w:r>
              <w:rPr>
                <w:rFonts w:ascii="宋体" w:hAnsi="宋体" w:cs="宋体"/>
                <w:color w:val="000000"/>
                <w:sz w:val="22"/>
                <w:szCs w:val="22"/>
              </w:rPr>
            </w:r>
            <w:r/>
          </w:p>
          <w:p>
            <w:pPr>
              <w:pStyle w:val="907"/>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（3）经评委认定，投标文件对“科技与产业管理应用系统功能方案”中斜体字部分要求的响应内容全部优于招标文件要求的，本项得2分。</w:t>
            </w:r>
            <w:r>
              <w:rPr>
                <w:rFonts w:ascii="宋体" w:hAnsi="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907"/>
              <w:jc w:val="center"/>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2</w:t>
            </w:r>
            <w:r>
              <w:rPr>
                <w:rFonts w:ascii="宋体" w:hAnsi="宋体"/>
                <w:color w:val="000000"/>
                <w:sz w:val="22"/>
                <w:szCs w:val="22"/>
              </w:rPr>
            </w:r>
            <w:r/>
          </w:p>
        </w:tc>
      </w:tr>
      <w:tr>
        <w:trPr>
          <w:trHeight w:val="995"/>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907"/>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4.3 人才与专家管理应用系统功能方案</w:t>
            </w:r>
            <w:r>
              <w:rPr>
                <w:rFonts w:ascii="宋体" w:hAnsi="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（1）投标文件未符合“人才与专家管理应用系统功能方案”中全部条款要求的，视为不符合招标文件，本项得0分；</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（2）投标文件符合“人才与专家管理应用系统功能方案”中全部条款要求的，视为符合招标文件，本项得1分；</w:t>
            </w:r>
            <w:r>
              <w:rPr>
                <w:rFonts w:ascii="宋体" w:hAnsi="宋体" w:cs="宋体"/>
                <w:color w:val="000000"/>
                <w:sz w:val="22"/>
                <w:szCs w:val="22"/>
              </w:rPr>
            </w:r>
            <w:r/>
          </w:p>
          <w:p>
            <w:pPr>
              <w:pStyle w:val="907"/>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（3）经评委认定，投标文件对“人才与专家管理应用系统功能方案”中斜体字部分要求的响应内容全部优于招标文件要求的，本项得2分。</w:t>
            </w:r>
            <w:r>
              <w:rPr>
                <w:rFonts w:ascii="宋体" w:hAnsi="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907"/>
              <w:jc w:val="center"/>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2</w:t>
            </w:r>
            <w:r>
              <w:rPr>
                <w:rFonts w:ascii="宋体" w:hAnsi="宋体"/>
                <w:color w:val="000000"/>
                <w:sz w:val="22"/>
                <w:szCs w:val="22"/>
              </w:rPr>
            </w:r>
            <w:r/>
          </w:p>
        </w:tc>
      </w:tr>
      <w:tr>
        <w:trPr>
          <w:trHeight w:val="903"/>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907"/>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4.4 广电小苏智能服务助手功能方案</w:t>
            </w:r>
            <w:r>
              <w:rPr>
                <w:rFonts w:ascii="宋体" w:hAnsi="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（1）投标文件未符合“广电小苏智能服务助手功能方案”中全部条款要求的，视为不符合招标文件，本项得0分；</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（2）投标文件符合“广电小苏智能服务助手功能方案”中全部条款要求的，视为符合招标文件，本项得1分；</w:t>
            </w:r>
            <w:r>
              <w:rPr>
                <w:rFonts w:ascii="宋体" w:hAnsi="宋体" w:cs="宋体"/>
                <w:color w:val="000000"/>
                <w:sz w:val="22"/>
                <w:szCs w:val="22"/>
              </w:rPr>
            </w:r>
            <w:r/>
          </w:p>
          <w:p>
            <w:pPr>
              <w:pStyle w:val="907"/>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（3）经评委认定，投标文件对“广电小苏智能服务助手功能方案”中斜体字部分要求的响应内容全部优于招标文件要求的，本项得2分。</w:t>
            </w:r>
            <w:r>
              <w:rPr>
                <w:rFonts w:ascii="宋体" w:hAnsi="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907"/>
              <w:jc w:val="center"/>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2</w:t>
            </w:r>
            <w:r>
              <w:rPr>
                <w:rFonts w:ascii="宋体" w:hAnsi="宋体"/>
                <w:color w:val="000000"/>
                <w:sz w:val="22"/>
                <w:szCs w:val="22"/>
              </w:rPr>
            </w:r>
            <w:r/>
          </w:p>
        </w:tc>
      </w:tr>
      <w:tr>
        <w:trPr>
          <w:trHeight w:val="995"/>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907"/>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4.5 数据治理方案</w:t>
            </w:r>
            <w:r>
              <w:rPr>
                <w:rFonts w:ascii="宋体" w:hAnsi="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（1）投标文件未符合“数据治理方案”中全部条款要求的，视为不符合招标文件，本项得0分；</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（2）投标文件符合“数据治理方案”中全部条款要求的，视为符合招标文件，本项得3分；</w:t>
            </w:r>
            <w:r>
              <w:rPr>
                <w:rFonts w:ascii="宋体" w:hAnsi="宋体" w:cs="宋体"/>
                <w:color w:val="000000"/>
                <w:sz w:val="22"/>
                <w:szCs w:val="22"/>
              </w:rPr>
            </w:r>
            <w:r/>
          </w:p>
          <w:p>
            <w:pPr>
              <w:pStyle w:val="907"/>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（3）经评委认定，投标文件对“数据治理方案”中斜体字部分要求的响应内容全部优于招标文件要求的，本项得5分。</w:t>
            </w:r>
            <w:r>
              <w:rPr>
                <w:rFonts w:ascii="宋体" w:hAnsi="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907"/>
              <w:jc w:val="center"/>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5</w:t>
            </w:r>
            <w:r>
              <w:rPr>
                <w:rFonts w:ascii="宋体" w:hAnsi="宋体"/>
                <w:color w:val="000000"/>
                <w:sz w:val="22"/>
                <w:szCs w:val="22"/>
              </w:rPr>
            </w:r>
            <w:r/>
          </w:p>
        </w:tc>
      </w:tr>
      <w:tr>
        <w:trPr>
          <w:trHeight w:val="1133"/>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907"/>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4.6 外部系统对接方案</w:t>
            </w:r>
            <w:r>
              <w:rPr>
                <w:rFonts w:ascii="宋体" w:hAnsi="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（1）投标文件未符合“外部系统对接方案”中全部条款要求的，视为不符合招标文件，本项得0分；</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（2）投标文件符合“外部系统对接方案”中全部条款要求的，视为符合招标文件，本项得2分；</w:t>
            </w:r>
            <w:r>
              <w:rPr>
                <w:rFonts w:ascii="宋体" w:hAnsi="宋体" w:cs="宋体"/>
                <w:color w:val="000000"/>
                <w:sz w:val="22"/>
                <w:szCs w:val="22"/>
              </w:rPr>
            </w:r>
            <w:r/>
          </w:p>
          <w:p>
            <w:pPr>
              <w:pStyle w:val="907"/>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（3）经评委认定，投标文件对“外部系统对接方案”中斜体字部分要求的响应内容全部优于招标文件要求的，本项得4分。</w:t>
            </w:r>
            <w:r>
              <w:rPr>
                <w:rFonts w:ascii="宋体" w:hAnsi="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907"/>
              <w:jc w:val="center"/>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4</w:t>
            </w:r>
            <w:r>
              <w:rPr>
                <w:rFonts w:ascii="宋体" w:hAnsi="宋体"/>
                <w:color w:val="000000"/>
                <w:sz w:val="22"/>
                <w:szCs w:val="22"/>
              </w:rPr>
            </w:r>
            <w:r/>
          </w:p>
        </w:tc>
      </w:tr>
      <w:tr>
        <w:trPr>
          <w:trHeight w:val="995"/>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907"/>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4.7项目实施方案</w:t>
            </w:r>
            <w:r>
              <w:rPr>
                <w:rFonts w:ascii="宋体" w:hAnsi="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（1）投标文件未符合“项目实施方案”中全部条款要求的，视为不符合招标文件，本项得0分；</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（2）投标文件符合“项目实施方案”中全部条款要求的，视为符合招标文件，本项得3分；</w:t>
            </w:r>
            <w:r>
              <w:rPr>
                <w:rFonts w:ascii="宋体" w:hAnsi="宋体" w:cs="宋体"/>
                <w:color w:val="000000"/>
                <w:sz w:val="22"/>
                <w:szCs w:val="22"/>
              </w:rPr>
            </w:r>
            <w:r/>
          </w:p>
          <w:p>
            <w:pPr>
              <w:pStyle w:val="907"/>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（3）经评委认定，投标文件对“项目实施方案”中斜体字部分要求的响应内容全部优于招标文件要求的，本项得5分。</w:t>
            </w:r>
            <w:r>
              <w:rPr>
                <w:rFonts w:ascii="宋体" w:hAnsi="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907"/>
              <w:jc w:val="center"/>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5</w:t>
            </w:r>
            <w:r>
              <w:rPr>
                <w:rFonts w:ascii="宋体" w:hAnsi="宋体"/>
                <w:color w:val="000000"/>
                <w:sz w:val="22"/>
                <w:szCs w:val="22"/>
              </w:rPr>
            </w:r>
            <w:r/>
          </w:p>
        </w:tc>
      </w:tr>
      <w:tr>
        <w:trPr>
          <w:trHeight w:val="995"/>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907"/>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4.8 售后服务方案</w:t>
            </w:r>
            <w:r>
              <w:rPr>
                <w:rFonts w:ascii="宋体" w:hAnsi="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（1）投标文件未符合“售后服务方案”中全部条款要求的，视为不符合招标文件，本项得0分；</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（2）投标文件符合“售后服务方案”中全部条款要求的，视为符合招标文件，本项得1分；</w:t>
            </w:r>
            <w:r>
              <w:rPr>
                <w:rFonts w:ascii="宋体" w:hAnsi="宋体" w:cs="宋体"/>
                <w:color w:val="000000"/>
                <w:sz w:val="22"/>
                <w:szCs w:val="22"/>
              </w:rPr>
            </w:r>
            <w:r/>
          </w:p>
          <w:p>
            <w:pPr>
              <w:pStyle w:val="907"/>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（3）经评委认定，投标文件对“售后服务方案”中斜体字部分要求的响应内容全部优于招标文件要求的，本项得2分。</w:t>
            </w:r>
            <w:r>
              <w:rPr>
                <w:rFonts w:ascii="宋体" w:hAnsi="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907"/>
              <w:jc w:val="center"/>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2</w:t>
            </w:r>
            <w:r>
              <w:rPr>
                <w:rFonts w:ascii="宋体" w:hAnsi="宋体"/>
                <w:color w:val="000000"/>
                <w:sz w:val="22"/>
                <w:szCs w:val="22"/>
              </w:rPr>
            </w:r>
            <w:r/>
          </w:p>
        </w:tc>
      </w:tr>
      <w:tr>
        <w:trPr>
          <w:trHeight w:val="457"/>
        </w:trPr>
        <w:tc>
          <w:tcPr>
            <w:gridSpan w:val="3"/>
            <w:tcBorders>
              <w:top w:val="single" w:color="000000" w:sz="4" w:space="0"/>
              <w:left w:val="single" w:color="000000" w:sz="4" w:space="0"/>
              <w:bottom w:val="single" w:color="000000" w:sz="4" w:space="0"/>
              <w:right w:val="single" w:color="000000" w:sz="4" w:space="0"/>
            </w:tcBorders>
            <w:tcW w:w="9073" w:type="dxa"/>
            <w:vAlign w:val="center"/>
            <w:textDirection w:val="lrTb"/>
            <w:noWrap w:val="false"/>
          </w:tcPr>
          <w:p>
            <w:pPr>
              <w:pStyle w:val="907"/>
              <w:rPr>
                <w:rFonts w:ascii="宋体" w:hAnsi="宋体"/>
                <w:color w:val="000000"/>
                <w:sz w:val="22"/>
                <w:szCs w:val="22"/>
              </w:rPr>
              <w:framePr w:hSpace="180" w:wrap="around" w:vAnchor="text" w:hAnchor="page" w:x="1412" w:y="421"/>
            </w:pPr>
            <w:r/>
            <w:bookmarkEnd w:id="222"/>
            <w:r>
              <w:rPr>
                <w:rFonts w:hint="eastAsia" w:ascii="宋体" w:hAnsi="宋体"/>
                <w:color w:val="000000"/>
                <w:sz w:val="22"/>
                <w:szCs w:val="22"/>
              </w:rPr>
              <w:t xml:space="preserve">三、</w:t>
            </w:r>
            <w:r>
              <w:rPr>
                <w:rFonts w:hint="eastAsia" w:ascii="宋体" w:hAnsi="宋体" w:cs="宋体"/>
                <w:color w:val="000000"/>
                <w:sz w:val="22"/>
                <w:szCs w:val="22"/>
              </w:rPr>
              <w:t xml:space="preserve">项目团队要求</w:t>
            </w:r>
            <w:r>
              <w:rPr>
                <w:rFonts w:hint="eastAsia" w:ascii="宋体" w:hAnsi="宋体"/>
                <w:color w:val="000000"/>
                <w:sz w:val="22"/>
                <w:szCs w:val="22"/>
              </w:rPr>
              <w:t xml:space="preserve">（29分）</w:t>
            </w:r>
            <w:r>
              <w:rPr>
                <w:rFonts w:ascii="宋体" w:hAnsi="宋体"/>
                <w:color w:val="000000"/>
                <w:sz w:val="22"/>
                <w:szCs w:val="22"/>
              </w:rPr>
            </w:r>
            <w:r/>
          </w:p>
        </w:tc>
      </w:tr>
      <w:tr>
        <w:trPr>
          <w:cantSplit/>
          <w:trHeight w:val="977"/>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907"/>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5.1团队要求1</w:t>
            </w:r>
            <w:r>
              <w:rPr>
                <w:rFonts w:ascii="宋体" w:hAnsi="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投标人为本项目配置的项目经理（限1人）应具备：</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人社部与工信部联合颁发的信息系统项目管理师（高级）；</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工信部教育与考试中心颁发的信息技术应用创新系统架构师（高级）；</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高级工程师（电子信息工程或广播电影电视工程）；</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一级建造师（通信与广电工程）；</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DAMA数据治理工程师。</w:t>
            </w:r>
            <w:r>
              <w:rPr>
                <w:rFonts w:ascii="宋体" w:hAnsi="宋体" w:cs="宋体"/>
                <w:color w:val="000000"/>
                <w:sz w:val="22"/>
                <w:szCs w:val="22"/>
              </w:rPr>
            </w:r>
            <w:r/>
          </w:p>
          <w:p>
            <w:pPr>
              <w:pStyle w:val="907"/>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每具备1个证书得1分，最多得5分。（提供投标人为其缴纳的近半年内任意一个月的社保证明及有效期内的证书复印件加盖投标人公章）</w:t>
            </w:r>
            <w:r>
              <w:rPr>
                <w:rFonts w:ascii="宋体" w:hAnsi="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907"/>
              <w:jc w:val="center"/>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5</w:t>
            </w:r>
            <w:r>
              <w:rPr>
                <w:rFonts w:ascii="宋体" w:hAnsi="宋体"/>
                <w:color w:val="000000"/>
                <w:sz w:val="22"/>
                <w:szCs w:val="22"/>
              </w:rPr>
            </w:r>
            <w:r/>
          </w:p>
        </w:tc>
      </w:tr>
      <w:tr>
        <w:trPr>
          <w:cantSplit/>
          <w:trHeight w:val="977"/>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907"/>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5.2团队要求2</w:t>
            </w:r>
            <w:r>
              <w:rPr>
                <w:rFonts w:ascii="宋体" w:hAnsi="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投标人为本项目配置的技术负责人（限1人）应具备：</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高级工程师（电子信息工程或广播电影电视工程）；</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注册信息安全管理人员（CISO）；</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工信部教育与考试中心颁发的信息技术应用创新系统架构师（高级）；</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DAMA数据治理工程师。</w:t>
            </w:r>
            <w:r>
              <w:rPr>
                <w:rFonts w:ascii="宋体" w:hAnsi="宋体" w:cs="宋体"/>
                <w:color w:val="000000"/>
                <w:sz w:val="22"/>
                <w:szCs w:val="22"/>
              </w:rPr>
            </w:r>
            <w:r/>
          </w:p>
          <w:p>
            <w:pPr>
              <w:pStyle w:val="907"/>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每具备1个证书得1分，最多得4分。（提供投标人为其缴纳的近半年内任意一个月的社保证明及有效期内的证书复印件加盖投标人公章）</w:t>
            </w:r>
            <w:r>
              <w:rPr>
                <w:rFonts w:ascii="宋体" w:hAnsi="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907"/>
              <w:jc w:val="center"/>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4</w:t>
            </w:r>
            <w:r>
              <w:rPr>
                <w:rFonts w:ascii="宋体" w:hAnsi="宋体"/>
                <w:color w:val="000000"/>
                <w:sz w:val="22"/>
                <w:szCs w:val="22"/>
              </w:rPr>
            </w:r>
            <w:r/>
          </w:p>
        </w:tc>
      </w:tr>
      <w:tr>
        <w:trPr>
          <w:trHeight w:val="1603"/>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907"/>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5.3团队要求3</w:t>
            </w:r>
            <w:r>
              <w:rPr>
                <w:rFonts w:ascii="宋体" w:hAnsi="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投标人为本项目配置的数据治理负责人（限1人）应具备：</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高级工程师（电子信息工程或广播电影电视工程）；</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人社部与工信部联合颁发的信息系统项目管理师（高级）；</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DAMA数据治理工程师；</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CCRC-CDO首席数据官认证。</w:t>
            </w:r>
            <w:r>
              <w:rPr>
                <w:rFonts w:ascii="宋体" w:hAnsi="宋体" w:cs="宋体"/>
                <w:color w:val="000000"/>
                <w:sz w:val="22"/>
                <w:szCs w:val="22"/>
              </w:rPr>
            </w:r>
            <w:r/>
          </w:p>
          <w:p>
            <w:pPr>
              <w:pStyle w:val="907"/>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每具备1个证书得1分，最多得4分。（提供投标人为其缴纳的近半年内任意一个月的社保证明及相关证明文件加盖投标人公章）</w:t>
            </w:r>
            <w:r>
              <w:rPr>
                <w:rFonts w:ascii="宋体" w:hAnsi="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907"/>
              <w:jc w:val="center"/>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4</w:t>
            </w:r>
            <w:r>
              <w:rPr>
                <w:rFonts w:ascii="宋体" w:hAnsi="宋体"/>
                <w:color w:val="000000"/>
                <w:sz w:val="22"/>
                <w:szCs w:val="22"/>
              </w:rPr>
            </w:r>
            <w:r/>
          </w:p>
        </w:tc>
      </w:tr>
      <w:tr>
        <w:trPr>
          <w:trHeight w:val="862"/>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907"/>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5.4团队要求4</w:t>
            </w:r>
            <w:r>
              <w:rPr>
                <w:rFonts w:ascii="宋体" w:hAnsi="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投标人为本项目配置的运维负责人（限1人）应具备：</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ITSS服务工程师；</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ITSS信息技术应用创新服务工程师；</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工信部教育与考试中心颁发的信息技术应用创新集成项目管理师（高级）；</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网络与信息安全工程师（高级）；</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高级工程师（电子信息工程或广播电影电视工程）。</w:t>
            </w:r>
            <w:r>
              <w:rPr>
                <w:rFonts w:ascii="宋体" w:hAnsi="宋体" w:cs="宋体"/>
                <w:color w:val="000000"/>
                <w:sz w:val="22"/>
                <w:szCs w:val="22"/>
              </w:rPr>
            </w:r>
            <w:r/>
          </w:p>
          <w:p>
            <w:pPr>
              <w:pStyle w:val="907"/>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每具备1个证书得1分，最多得5分。（提供投标人为其缴纳的近半年内任意一个月的社保证明及有效期内的证书复印件加盖投标人公章）</w:t>
            </w:r>
            <w:r>
              <w:rPr>
                <w:rFonts w:ascii="宋体" w:hAnsi="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907"/>
              <w:jc w:val="center"/>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5</w:t>
            </w:r>
            <w:r>
              <w:rPr>
                <w:rFonts w:ascii="宋体" w:hAnsi="宋体"/>
                <w:color w:val="000000"/>
                <w:sz w:val="22"/>
                <w:szCs w:val="22"/>
              </w:rPr>
            </w:r>
            <w:r/>
          </w:p>
        </w:tc>
      </w:tr>
      <w:tr>
        <w:trPr>
          <w:trHeight w:val="1591"/>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907"/>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5.5团队要求5</w:t>
            </w:r>
            <w:r>
              <w:rPr>
                <w:rFonts w:ascii="宋体" w:hAnsi="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除项目经理、技术负责人、数据治理负责人、运维负责人以外，投标人针对本项目组建专门驻场实施团队，团队成员分别具备：</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人社部与工信部联合颁发的系统架构设计师（高级）、信息系统项目管理师（高级）；</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工信部教育与考试中心颁发的信息技术应用创新集成适配工程师、信息技术应用创新运维工程师；</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数据库系统工程师。</w:t>
            </w:r>
            <w:r>
              <w:rPr>
                <w:rFonts w:ascii="宋体" w:hAnsi="宋体" w:cs="宋体"/>
                <w:color w:val="000000"/>
                <w:sz w:val="22"/>
                <w:szCs w:val="22"/>
              </w:rPr>
            </w:r>
            <w:r/>
          </w:p>
          <w:p>
            <w:pPr>
              <w:pStyle w:val="907"/>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每具备1个证书得1分，一人多证不重复得分，最多得5分。（提供投标人为其缴纳的近半年内任意一个月的社保证明及相关证书复印件加盖投标人公章）</w:t>
            </w:r>
            <w:r>
              <w:rPr>
                <w:rFonts w:ascii="宋体" w:hAnsi="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907"/>
              <w:jc w:val="center"/>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5</w:t>
            </w:r>
            <w:r>
              <w:rPr>
                <w:rFonts w:ascii="宋体" w:hAnsi="宋体"/>
                <w:color w:val="000000"/>
                <w:sz w:val="22"/>
                <w:szCs w:val="22"/>
              </w:rPr>
            </w:r>
            <w:r/>
          </w:p>
        </w:tc>
      </w:tr>
      <w:tr>
        <w:trPr>
          <w:trHeight w:val="410"/>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907"/>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5.6团队要求6</w:t>
            </w:r>
            <w:r>
              <w:rPr>
                <w:rFonts w:ascii="宋体" w:hAnsi="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907"/>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除项目经理、技术负责人、数据治理负责人、运维负责人以外，投标人针对本项目组建专门驻场实施团队，团队成员每有1人具备高级工程师（电子信息工程或广播电影电视工程）证书得1分，最多得6分。（提供投标人为其缴纳的近半年内任意一个月的社保证明及有效期内的证书复印件加盖投标人公章）</w:t>
            </w:r>
            <w:r>
              <w:rPr>
                <w:rFonts w:ascii="宋体" w:hAnsi="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907"/>
              <w:jc w:val="center"/>
              <w:widowControl/>
              <w:rPr>
                <w:rFonts w:ascii="宋体" w:hAnsi="宋体"/>
                <w:color w:val="000000"/>
                <w:sz w:val="22"/>
                <w:szCs w:val="22"/>
              </w:rPr>
              <w:framePr w:hSpace="180" w:wrap="around" w:vAnchor="text" w:hAnchor="page" w:x="1412" w:y="421"/>
            </w:pPr>
            <w:r>
              <w:rPr>
                <w:rFonts w:hint="eastAsia" w:ascii="宋体" w:hAnsi="宋体" w:cs="宋体"/>
                <w:color w:val="000000"/>
                <w:sz w:val="22"/>
                <w:szCs w:val="22"/>
              </w:rPr>
              <w:t xml:space="preserve">6</w:t>
            </w:r>
            <w:r>
              <w:rPr>
                <w:rFonts w:ascii="宋体" w:hAnsi="宋体"/>
                <w:color w:val="000000"/>
                <w:sz w:val="22"/>
                <w:szCs w:val="22"/>
              </w:rPr>
            </w:r>
            <w:r/>
          </w:p>
        </w:tc>
      </w:tr>
      <w:tr>
        <w:trPr>
          <w:trHeight w:val="465"/>
        </w:trPr>
        <w:tc>
          <w:tcPr>
            <w:gridSpan w:val="3"/>
            <w:tcBorders>
              <w:top w:val="single" w:color="000000" w:sz="4" w:space="0"/>
              <w:left w:val="single" w:color="000000" w:sz="4" w:space="0"/>
              <w:bottom w:val="single" w:color="000000" w:sz="4" w:space="0"/>
              <w:right w:val="single" w:color="000000" w:sz="4" w:space="0"/>
            </w:tcBorders>
            <w:tcW w:w="9073" w:type="dxa"/>
            <w:vAlign w:val="center"/>
            <w:textDirection w:val="lrTb"/>
            <w:noWrap w:val="false"/>
          </w:tcPr>
          <w:p>
            <w:pPr>
              <w:pStyle w:val="907"/>
              <w:widowControl/>
              <w:rPr>
                <w:rFonts w:ascii="宋体" w:hAnsi="宋体"/>
                <w:color w:val="000000"/>
                <w:sz w:val="22"/>
                <w:szCs w:val="22"/>
              </w:rPr>
              <w:framePr w:hSpace="180" w:wrap="around" w:vAnchor="text" w:hAnchor="page" w:x="1412" w:y="421"/>
            </w:pPr>
            <w:r>
              <w:rPr>
                <w:rFonts w:hint="eastAsia" w:ascii="宋体" w:hAnsi="宋体"/>
                <w:color w:val="000000"/>
                <w:sz w:val="22"/>
                <w:szCs w:val="22"/>
              </w:rPr>
              <w:t xml:space="preserve">六、</w:t>
            </w:r>
            <w:r>
              <w:rPr>
                <w:rFonts w:hint="eastAsia" w:ascii="宋体" w:hAnsi="宋体" w:cs="宋体"/>
                <w:color w:val="000000"/>
                <w:sz w:val="22"/>
                <w:szCs w:val="22"/>
              </w:rPr>
              <w:t xml:space="preserve">投标人履约能力（10分）</w:t>
            </w:r>
            <w:r>
              <w:rPr>
                <w:rFonts w:ascii="宋体" w:hAnsi="宋体"/>
                <w:color w:val="000000"/>
                <w:sz w:val="22"/>
                <w:szCs w:val="22"/>
              </w:rPr>
            </w:r>
            <w:r/>
          </w:p>
        </w:tc>
      </w:tr>
      <w:tr>
        <w:trPr>
          <w:trHeight w:val="410"/>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6.1履约能力1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投标人需同时具有ISO9001质量管理体系认证证书、ISO14001环境管理体系认证证书、ISO45001职业健康安全管理体系认证证书，每具备1个证书得1分，最多得3分。（提供有效期内的证书复印件并加盖投标人公章）</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907"/>
              <w:jc w:val="center"/>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3</w:t>
            </w:r>
            <w:r>
              <w:rPr>
                <w:rFonts w:ascii="宋体" w:hAnsi="宋体" w:cs="宋体"/>
                <w:color w:val="000000"/>
                <w:sz w:val="22"/>
                <w:szCs w:val="22"/>
              </w:rPr>
            </w:r>
            <w:r/>
          </w:p>
        </w:tc>
      </w:tr>
      <w:tr>
        <w:trPr>
          <w:trHeight w:val="410"/>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6.2履约能力2</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投标人自2023年10月1日以来承担过政府行政管理部门软件平台建设类（合同中明确体现建设内容为软件定制开发服务）项目业绩：每具备1个得2分，最多得4分。（需有效合同扫描件，证明材料需能反映时间及项目类型，未提供或无法辨认视为无，不得分，提供合同扫描件并加盖投标人公章）</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907"/>
              <w:jc w:val="center"/>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4</w:t>
            </w:r>
            <w:r>
              <w:rPr>
                <w:rFonts w:ascii="宋体" w:hAnsi="宋体" w:cs="宋体"/>
                <w:color w:val="000000"/>
                <w:sz w:val="22"/>
                <w:szCs w:val="22"/>
              </w:rPr>
            </w:r>
            <w:r/>
          </w:p>
        </w:tc>
      </w:tr>
      <w:tr>
        <w:trPr>
          <w:trHeight w:val="410"/>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6.3履约能力3</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投标人具有与本项目相关的软件著作权证书，证书须体现“广播电视内容审评”“视听节目播放监管”“多媒体资源发布”“广播电视节目共享”“影视资源综合管理”“数据采集和清洗智能分析评估”关键字，每提供1个证书得0.5分，最多得3分，未提供不得分。（提供软件著作权登记证书扫描件，并加盖投标人公章）</w:t>
            </w:r>
            <w:r>
              <w:rPr>
                <w:rFonts w:ascii="宋体" w:hAnsi="宋体" w:cs="宋体"/>
                <w:color w:val="000000"/>
                <w:sz w:val="22"/>
                <w:szCs w:val="22"/>
              </w:rPr>
            </w:r>
            <w:r/>
          </w:p>
          <w:p>
            <w:pPr>
              <w:pStyle w:val="907"/>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备注：所提供证书的“软件名称”与评分细则规定不同时，应提供符合上述要求的内容（功能）说明及关键信息，否则不予认可（如投标文件中提供的著作权名称表述与招标文件描述的关键字样不一致，而该投标文件中能证明投标人拥有的软件著作权具有相同或相似功能和效果，且评标委员会认可的，视同符合要求）。</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907"/>
              <w:jc w:val="center"/>
              <w:widowControl/>
              <w:rPr>
                <w:rFonts w:ascii="宋体" w:hAnsi="宋体" w:cs="宋体"/>
                <w:color w:val="000000"/>
                <w:sz w:val="22"/>
                <w:szCs w:val="22"/>
              </w:rPr>
              <w:framePr w:hSpace="180" w:wrap="around" w:vAnchor="text" w:hAnchor="page" w:x="1412" w:y="421"/>
            </w:pPr>
            <w:r>
              <w:rPr>
                <w:rFonts w:hint="eastAsia" w:ascii="宋体" w:hAnsi="宋体" w:cs="宋体"/>
                <w:color w:val="000000"/>
                <w:sz w:val="22"/>
                <w:szCs w:val="22"/>
              </w:rPr>
              <w:t xml:space="preserve">3</w:t>
            </w:r>
            <w:r>
              <w:rPr>
                <w:rFonts w:ascii="宋体" w:hAnsi="宋体" w:cs="宋体"/>
                <w:color w:val="000000"/>
                <w:sz w:val="22"/>
                <w:szCs w:val="22"/>
              </w:rPr>
            </w:r>
            <w:r/>
          </w:p>
        </w:tc>
      </w:tr>
    </w:tbl>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7"/>
        <w:rPr>
          <w:rFonts w:hint="eastAsia"/>
          <w:color w:val="000000"/>
        </w:rPr>
      </w:pPr>
      <w:r>
        <w:rPr>
          <w:rFonts w:hint="eastAsia"/>
          <w:color w:val="000000"/>
        </w:rPr>
      </w:r>
      <w:r/>
    </w:p>
    <w:p>
      <w:pPr>
        <w:pStyle w:val="908"/>
        <w:rPr>
          <w:rFonts w:ascii="黑体" w:eastAsia="黑体"/>
          <w:bCs/>
          <w:color w:val="000000"/>
          <w:sz w:val="44"/>
        </w:rPr>
      </w:pPr>
      <w:r>
        <w:rPr>
          <w:rFonts w:ascii="黑体" w:eastAsia="黑体"/>
          <w:bCs/>
          <w:color w:val="000000"/>
          <w:sz w:val="44"/>
        </w:rPr>
      </w:r>
      <w:r/>
    </w:p>
    <w:p>
      <w:pPr>
        <w:pStyle w:val="908"/>
        <w:rPr>
          <w:rFonts w:ascii="黑体" w:eastAsia="黑体"/>
          <w:bCs/>
          <w:color w:val="000000"/>
          <w:sz w:val="44"/>
        </w:rPr>
      </w:pPr>
      <w:r>
        <w:rPr>
          <w:rFonts w:ascii="黑体" w:eastAsia="黑体"/>
          <w:bCs/>
          <w:color w:val="000000"/>
          <w:sz w:val="44"/>
        </w:rPr>
      </w:r>
      <w:r/>
    </w:p>
    <w:p>
      <w:pPr>
        <w:pStyle w:val="908"/>
        <w:rPr>
          <w:rFonts w:hint="eastAsia" w:ascii="黑体" w:eastAsia="黑体"/>
          <w:bCs/>
          <w:color w:val="000000"/>
          <w:sz w:val="44"/>
        </w:rPr>
      </w:pPr>
      <w:r>
        <w:rPr>
          <w:rFonts w:hint="eastAsia" w:ascii="黑体" w:eastAsia="黑体"/>
          <w:bCs/>
          <w:color w:val="000000"/>
          <w:sz w:val="44"/>
        </w:rPr>
        <w:t xml:space="preserve">第六章  投标</w:t>
      </w:r>
      <w:bookmarkEnd w:id="192"/>
      <w:r/>
      <w:bookmarkEnd w:id="193"/>
      <w:r/>
      <w:bookmarkEnd w:id="221"/>
      <w:r>
        <w:rPr>
          <w:rFonts w:hint="eastAsia" w:ascii="黑体" w:eastAsia="黑体"/>
          <w:bCs/>
          <w:color w:val="000000"/>
          <w:sz w:val="44"/>
        </w:rPr>
        <w:t xml:space="preserve">文件格式 </w:t>
      </w:r>
      <w:r/>
    </w:p>
    <w:p>
      <w:pPr>
        <w:pStyle w:val="907"/>
        <w:jc w:val="center"/>
        <w:rPr>
          <w:rFonts w:hint="eastAsia" w:ascii="宋体" w:hAnsi="宋体"/>
          <w:b/>
          <w:color w:val="000000"/>
          <w:sz w:val="72"/>
        </w:rPr>
      </w:pPr>
      <w:r/>
      <w:bookmarkStart w:id="223" w:name="_Hlt26955039"/>
      <w:r/>
      <w:bookmarkEnd w:id="223"/>
      <w:r/>
      <w:bookmarkStart w:id="224" w:name="_Hlt26671244"/>
      <w:r/>
      <w:bookmarkEnd w:id="224"/>
      <w:r/>
      <w:bookmarkStart w:id="225" w:name="_Toc120614282"/>
      <w:r/>
      <w:bookmarkStart w:id="226" w:name="_Toc26554094"/>
      <w:r/>
      <w:bookmarkStart w:id="227" w:name="_Toc49090576"/>
      <w:r>
        <w:rPr>
          <w:rFonts w:hint="eastAsia" w:ascii="宋体" w:hAnsi="宋体"/>
          <w:b/>
          <w:color w:val="000000"/>
          <w:sz w:val="72"/>
        </w:rPr>
      </w:r>
      <w:r/>
    </w:p>
    <w:p>
      <w:pPr>
        <w:pStyle w:val="907"/>
        <w:jc w:val="center"/>
        <w:rPr>
          <w:rFonts w:hint="eastAsia" w:ascii="宋体" w:hAnsi="宋体"/>
          <w:b/>
          <w:color w:val="000000"/>
          <w:sz w:val="72"/>
        </w:rPr>
      </w:pPr>
      <w:r>
        <w:rPr>
          <w:rFonts w:hint="eastAsia" w:ascii="宋体" w:hAnsi="宋体"/>
          <w:b/>
          <w:color w:val="000000"/>
          <w:sz w:val="72"/>
        </w:rPr>
        <w:t xml:space="preserve">投  标  文  件</w:t>
      </w:r>
      <w:r/>
    </w:p>
    <w:p>
      <w:pPr>
        <w:pStyle w:val="907"/>
        <w:jc w:val="center"/>
        <w:rPr>
          <w:rFonts w:hint="eastAsia" w:ascii="宋体" w:hAnsi="宋体"/>
          <w:b/>
          <w:color w:val="000000"/>
          <w:sz w:val="72"/>
        </w:rPr>
      </w:pPr>
      <w:r>
        <w:rPr>
          <w:rFonts w:hint="eastAsia" w:ascii="宋体" w:hAnsi="宋体"/>
          <w:b/>
          <w:color w:val="000000"/>
          <w:sz w:val="72"/>
        </w:rPr>
      </w:r>
      <w:r/>
    </w:p>
    <w:p>
      <w:pPr>
        <w:pStyle w:val="907"/>
        <w:jc w:val="center"/>
        <w:rPr>
          <w:rFonts w:hint="eastAsia" w:ascii="宋体" w:hAnsi="宋体"/>
          <w:b/>
          <w:color w:val="000000"/>
          <w:sz w:val="72"/>
        </w:rPr>
      </w:pPr>
      <w:r>
        <w:rPr>
          <w:rFonts w:hint="eastAsia" w:ascii="宋体" w:hAnsi="宋体"/>
          <w:b/>
          <w:color w:val="000000"/>
          <w:sz w:val="72"/>
        </w:rPr>
      </w:r>
      <w:r/>
    </w:p>
    <w:p>
      <w:pPr>
        <w:pStyle w:val="907"/>
        <w:jc w:val="center"/>
        <w:rPr>
          <w:rFonts w:hint="eastAsia" w:ascii="宋体" w:hAnsi="宋体"/>
          <w:b/>
          <w:color w:val="000000"/>
          <w:sz w:val="36"/>
        </w:rPr>
      </w:pPr>
      <w:r>
        <w:rPr>
          <w:rFonts w:hint="eastAsia" w:ascii="宋体" w:hAnsi="宋体"/>
          <w:b/>
          <w:color w:val="000000"/>
          <w:sz w:val="36"/>
        </w:rPr>
      </w:r>
      <w:r/>
    </w:p>
    <w:p>
      <w:pPr>
        <w:pStyle w:val="907"/>
        <w:jc w:val="center"/>
        <w:rPr>
          <w:rFonts w:hint="eastAsia" w:ascii="宋体" w:hAnsi="宋体"/>
          <w:b/>
          <w:color w:val="000000"/>
          <w:sz w:val="36"/>
        </w:rPr>
      </w:pPr>
      <w:r>
        <w:rPr>
          <w:rFonts w:hint="eastAsia" w:ascii="宋体" w:hAnsi="宋体"/>
          <w:b/>
          <w:color w:val="000000"/>
          <w:sz w:val="36"/>
        </w:rPr>
      </w:r>
      <w:r/>
    </w:p>
    <w:p>
      <w:pPr>
        <w:pStyle w:val="907"/>
        <w:jc w:val="center"/>
        <w:rPr>
          <w:rFonts w:hint="eastAsia" w:ascii="宋体" w:hAnsi="宋体"/>
          <w:b/>
          <w:color w:val="000000"/>
          <w:sz w:val="36"/>
        </w:rPr>
      </w:pPr>
      <w:r>
        <w:rPr>
          <w:rFonts w:hint="eastAsia" w:ascii="宋体" w:hAnsi="宋体"/>
          <w:b/>
          <w:color w:val="000000"/>
          <w:sz w:val="36"/>
        </w:rPr>
      </w:r>
      <w:r/>
    </w:p>
    <w:p>
      <w:pPr>
        <w:pStyle w:val="907"/>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907"/>
        <w:ind w:firstLine="1084"/>
        <w:rPr>
          <w:rFonts w:hint="eastAsia" w:ascii="宋体" w:hAnsi="宋体"/>
          <w:b/>
          <w:color w:val="000000"/>
          <w:sz w:val="36"/>
          <w:u w:val="single"/>
        </w:rPr>
      </w:pPr>
      <w:r>
        <w:rPr>
          <w:rFonts w:hint="eastAsia" w:ascii="宋体" w:hAnsi="宋体"/>
          <w:b/>
          <w:color w:val="000000"/>
          <w:sz w:val="36"/>
        </w:rPr>
        <w:t xml:space="preserve">采 购 编 号：</w:t>
      </w:r>
      <w:r>
        <w:rPr>
          <w:rFonts w:hint="eastAsia" w:ascii="宋体" w:hAnsi="宋体"/>
          <w:b/>
          <w:color w:val="000000"/>
          <w:sz w:val="36"/>
          <w:u w:val="single"/>
        </w:rPr>
        <w:t xml:space="preserve">               </w:t>
      </w:r>
      <w:r/>
    </w:p>
    <w:p>
      <w:pPr>
        <w:pStyle w:val="907"/>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pStyle w:val="907"/>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pStyle w:val="90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7"/>
        <w:spacing w:line="440" w:lineRule="exact"/>
        <w:rPr>
          <w:rFonts w:hint="eastAsia" w:ascii="宋体" w:hAnsi="宋体"/>
          <w:color w:val="000000"/>
        </w:rPr>
      </w:pPr>
      <w:r>
        <w:rPr>
          <w:rFonts w:hint="eastAsia" w:ascii="宋体" w:hAnsi="宋体"/>
          <w:color w:val="000000"/>
        </w:rPr>
      </w:r>
      <w:r/>
    </w:p>
    <w:p>
      <w:pPr>
        <w:pStyle w:val="907"/>
        <w:spacing w:line="440" w:lineRule="exact"/>
        <w:rPr>
          <w:rFonts w:hint="eastAsia" w:ascii="宋体" w:hAnsi="宋体"/>
          <w:color w:val="000000"/>
        </w:rPr>
      </w:pPr>
      <w:r>
        <w:rPr>
          <w:rFonts w:hint="eastAsia" w:ascii="宋体" w:hAnsi="宋体"/>
          <w:color w:val="000000"/>
        </w:rPr>
      </w:r>
      <w:r/>
    </w:p>
    <w:p>
      <w:pPr>
        <w:pStyle w:val="907"/>
        <w:spacing w:line="440" w:lineRule="exact"/>
        <w:rPr>
          <w:rFonts w:hint="eastAsia" w:ascii="宋体" w:hAnsi="宋体"/>
          <w:color w:val="000000"/>
        </w:rPr>
      </w:pPr>
      <w:r>
        <w:rPr>
          <w:rFonts w:hint="eastAsia" w:ascii="宋体" w:hAnsi="宋体"/>
          <w:color w:val="000000"/>
        </w:rPr>
      </w:r>
      <w:r/>
    </w:p>
    <w:p>
      <w:pPr>
        <w:spacing w:line="440" w:lineRule="exact"/>
        <w:rPr>
          <w:rFonts w:hint="eastAsia" w:ascii="宋体" w:hAnsi="宋体"/>
          <w:color w:val="000000"/>
        </w:rPr>
      </w:pPr>
      <w:r>
        <w:rPr>
          <w:rFonts w:hint="eastAsia" w:ascii="宋体" w:hAnsi="宋体"/>
          <w:color w:val="000000"/>
        </w:rPr>
      </w:r>
      <w:r>
        <w:rPr>
          <w:rFonts w:hint="eastAsia" w:ascii="宋体" w:hAnsi="宋体"/>
          <w:color w:val="000000"/>
        </w:rPr>
      </w:r>
      <w:r/>
    </w:p>
    <w:p>
      <w:pPr>
        <w:pStyle w:val="907"/>
        <w:spacing w:line="440" w:lineRule="exact"/>
        <w:rPr>
          <w:rFonts w:hint="eastAsia" w:ascii="宋体" w:hAnsi="宋体"/>
          <w:color w:val="000000"/>
        </w:rPr>
      </w:pPr>
      <w:r>
        <w:rPr>
          <w:rFonts w:hint="eastAsia" w:ascii="宋体" w:hAnsi="宋体"/>
          <w:color w:val="000000"/>
        </w:rPr>
      </w:r>
      <w:r/>
    </w:p>
    <w:p>
      <w:pPr>
        <w:pStyle w:val="907"/>
        <w:spacing w:line="440" w:lineRule="exact"/>
        <w:rPr>
          <w:rFonts w:ascii="宋体" w:hAnsi="宋体"/>
          <w:color w:val="000000"/>
        </w:rPr>
      </w:pPr>
      <w:r>
        <w:rPr>
          <w:rFonts w:ascii="宋体" w:hAnsi="宋体"/>
          <w:color w:val="000000"/>
        </w:rPr>
      </w:r>
      <w:r/>
    </w:p>
    <w:p>
      <w:pPr>
        <w:pStyle w:val="907"/>
        <w:ind w:firstLine="964"/>
        <w:rPr>
          <w:rFonts w:ascii="宋体" w:hAnsi="宋体"/>
          <w:b/>
          <w:bCs/>
          <w:color w:val="000000"/>
          <w:sz w:val="32"/>
          <w:szCs w:val="32"/>
        </w:rPr>
      </w:pPr>
      <w:r>
        <w:rPr>
          <w:rFonts w:ascii="宋体" w:hAnsi="宋体"/>
          <w:b/>
          <w:bCs/>
          <w:color w:val="000000"/>
          <w:sz w:val="32"/>
          <w:szCs w:val="32"/>
        </w:rPr>
      </w:r>
      <w:r/>
    </w:p>
    <w:p>
      <w:pPr>
        <w:pStyle w:val="907"/>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rPr>
          <w:rFonts w:hint="eastAsia" w:ascii="宋体" w:hAnsi="宋体"/>
          <w:b/>
          <w:bCs/>
          <w:color w:val="000000"/>
          <w:sz w:val="32"/>
          <w:szCs w:val="32"/>
        </w:rPr>
      </w:r>
      <w:r/>
    </w:p>
    <w:p>
      <w:pPr>
        <w:pStyle w:val="907"/>
        <w:ind w:left="480"/>
        <w:spacing w:line="400" w:lineRule="exact"/>
        <w:rPr>
          <w:rFonts w:ascii="宋体" w:hAnsi="宋体"/>
          <w:b/>
          <w:color w:val="000000"/>
          <w:sz w:val="24"/>
        </w:rPr>
      </w:pPr>
      <w:r>
        <w:rPr>
          <w:rFonts w:hint="eastAsia" w:ascii="宋体" w:hAnsi="宋体"/>
          <w:b/>
          <w:color w:val="000000"/>
          <w:sz w:val="24"/>
        </w:rPr>
        <w:t xml:space="preserve">一、基本目录</w:t>
      </w:r>
      <w:r>
        <w:rPr>
          <w:rFonts w:ascii="宋体" w:hAnsi="宋体"/>
          <w:b/>
          <w:color w:val="000000"/>
          <w:sz w:val="24"/>
        </w:rPr>
      </w:r>
      <w:r/>
    </w:p>
    <w:p>
      <w:pPr>
        <w:pStyle w:val="907"/>
        <w:ind w:left="480"/>
        <w:spacing w:line="40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开标一览表（格式见附件</w:t>
      </w:r>
      <w:r>
        <w:rPr>
          <w:rFonts w:ascii="宋体" w:hAnsi="宋体"/>
          <w:color w:val="000000"/>
          <w:sz w:val="24"/>
        </w:rPr>
        <w:t xml:space="preserve">1</w:t>
      </w:r>
      <w:r>
        <w:rPr>
          <w:rFonts w:hint="eastAsia" w:ascii="宋体" w:hAnsi="宋体"/>
          <w:color w:val="000000"/>
          <w:sz w:val="24"/>
        </w:rPr>
        <w:t xml:space="preserve">）</w:t>
      </w:r>
      <w:r/>
    </w:p>
    <w:p>
      <w:pPr>
        <w:pStyle w:val="907"/>
        <w:ind w:left="480"/>
        <w:spacing w:line="40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投标分项报价表（格式见</w:t>
      </w:r>
      <w:r>
        <w:rPr>
          <w:rFonts w:ascii="宋体" w:hAnsi="宋体"/>
          <w:color w:val="000000"/>
          <w:sz w:val="24"/>
        </w:rPr>
        <w:t xml:space="preserve">附件2</w:t>
      </w:r>
      <w:r>
        <w:rPr>
          <w:rFonts w:hint="eastAsia" w:ascii="宋体" w:hAnsi="宋体"/>
          <w:color w:val="000000"/>
          <w:sz w:val="24"/>
        </w:rPr>
        <w:t xml:space="preserve">）</w:t>
      </w:r>
      <w:r>
        <w:rPr>
          <w:rFonts w:ascii="宋体" w:hAnsi="宋体"/>
          <w:color w:val="000000"/>
          <w:sz w:val="24"/>
        </w:rPr>
      </w:r>
      <w:r/>
    </w:p>
    <w:p>
      <w:pPr>
        <w:pStyle w:val="907"/>
        <w:ind w:left="480"/>
        <w:spacing w:line="40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技术要求响应及偏离表（格式见</w:t>
      </w:r>
      <w:r>
        <w:rPr>
          <w:rFonts w:ascii="宋体" w:hAnsi="宋体"/>
          <w:color w:val="000000"/>
          <w:sz w:val="24"/>
        </w:rPr>
        <w:t xml:space="preserve">附件3</w:t>
      </w:r>
      <w:r>
        <w:rPr>
          <w:rFonts w:hint="eastAsia" w:ascii="宋体" w:hAnsi="宋体"/>
          <w:color w:val="000000"/>
          <w:sz w:val="24"/>
        </w:rPr>
        <w:t xml:space="preserve">）</w:t>
      </w:r>
      <w:r>
        <w:rPr>
          <w:rFonts w:ascii="宋体" w:hAnsi="宋体"/>
          <w:color w:val="000000"/>
          <w:sz w:val="24"/>
        </w:rPr>
      </w:r>
      <w:r/>
    </w:p>
    <w:p>
      <w:pPr>
        <w:pStyle w:val="907"/>
        <w:ind w:firstLine="480"/>
        <w:spacing w:line="400" w:lineRule="exact"/>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商务要求响应及偏离表（格式见</w:t>
      </w:r>
      <w:r>
        <w:rPr>
          <w:rFonts w:ascii="宋体" w:hAnsi="宋体"/>
          <w:color w:val="000000"/>
          <w:sz w:val="24"/>
        </w:rPr>
        <w:t xml:space="preserve">附件4</w:t>
      </w:r>
      <w:r>
        <w:rPr>
          <w:rFonts w:hint="eastAsia" w:ascii="宋体" w:hAnsi="宋体"/>
          <w:color w:val="000000"/>
          <w:sz w:val="24"/>
        </w:rPr>
        <w:t xml:space="preserve">）</w:t>
      </w:r>
      <w:r>
        <w:rPr>
          <w:rFonts w:ascii="宋体" w:hAnsi="宋体"/>
          <w:color w:val="000000"/>
          <w:sz w:val="24"/>
        </w:rPr>
      </w:r>
      <w:r/>
    </w:p>
    <w:p>
      <w:pPr>
        <w:pStyle w:val="907"/>
        <w:ind w:left="480"/>
        <w:spacing w:line="400" w:lineRule="exact"/>
        <w:rPr>
          <w:rFonts w:hint="eastAsia" w:ascii="宋体" w:hAnsi="宋体"/>
          <w:b/>
          <w:color w:val="000000"/>
          <w:sz w:val="24"/>
        </w:rPr>
      </w:pPr>
      <w:r>
        <w:rPr>
          <w:rFonts w:hint="eastAsia" w:ascii="宋体" w:hAnsi="宋体"/>
          <w:b/>
          <w:color w:val="000000"/>
          <w:sz w:val="24"/>
        </w:rPr>
        <w:t xml:space="preserve">二</w:t>
      </w:r>
      <w:r>
        <w:rPr>
          <w:rFonts w:ascii="宋体" w:hAnsi="宋体"/>
          <w:b/>
          <w:color w:val="000000"/>
          <w:sz w:val="24"/>
        </w:rPr>
        <w:t xml:space="preserve">、资格审查内容</w:t>
      </w:r>
      <w:r>
        <w:rPr>
          <w:rFonts w:hint="eastAsia" w:ascii="宋体" w:hAnsi="宋体"/>
          <w:b/>
          <w:color w:val="000000"/>
          <w:sz w:val="24"/>
        </w:rPr>
      </w:r>
      <w:r/>
    </w:p>
    <w:p>
      <w:pPr>
        <w:pStyle w:val="907"/>
        <w:ind w:left="480"/>
        <w:spacing w:line="400" w:lineRule="exac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法人或者其他组织的营业执照等证明文件，自然人的身份证明</w:t>
      </w:r>
      <w:r/>
    </w:p>
    <w:p>
      <w:pPr>
        <w:pStyle w:val="907"/>
        <w:ind w:left="480"/>
        <w:spacing w:line="4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rPr>
        <w:t xml:space="preserve">上一年度的财务状况报告（投标人成立不满一年无需提供）</w:t>
      </w:r>
      <w:r/>
    </w:p>
    <w:p>
      <w:pPr>
        <w:pStyle w:val="907"/>
        <w:ind w:left="480"/>
        <w:spacing w:line="40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依法缴纳税收和社会保障资金的相关材料（提供提交投标文件截止时间前一年</w:t>
      </w:r>
      <w:r>
        <w:rPr>
          <w:rFonts w:ascii="宋体" w:hAnsi="宋体"/>
          <w:color w:val="000000"/>
          <w:sz w:val="24"/>
        </w:rPr>
      </w:r>
      <w:r/>
    </w:p>
    <w:p>
      <w:pPr>
        <w:pStyle w:val="907"/>
        <w:spacing w:line="400" w:lineRule="exact"/>
        <w:rPr>
          <w:rFonts w:hint="eastAsia" w:ascii="宋体" w:hAnsi="宋体"/>
          <w:color w:val="000000"/>
          <w:sz w:val="24"/>
        </w:rPr>
      </w:pPr>
      <w:r>
        <w:rPr>
          <w:rFonts w:hint="eastAsia" w:ascii="宋体" w:hAnsi="宋体"/>
          <w:color w:val="000000"/>
          <w:sz w:val="24"/>
        </w:rPr>
        <w:t xml:space="preserve">内至少一个月依法缴纳税收及缴纳社会保障资金的证明材料。投标人依法享受缓缴、免缴税收、社会保障资金的提供证明材料。）</w:t>
      </w:r>
      <w:r/>
    </w:p>
    <w:p>
      <w:pPr>
        <w:pStyle w:val="907"/>
        <w:ind w:left="480"/>
        <w:spacing w:line="400" w:lineRule="exact"/>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具备履行合同所必需的设备和专业技术能力的书面声明（格式见</w:t>
      </w:r>
      <w:r>
        <w:rPr>
          <w:rFonts w:ascii="宋体" w:hAnsi="宋体"/>
          <w:color w:val="000000"/>
          <w:sz w:val="24"/>
        </w:rPr>
        <w:t xml:space="preserve">附件5</w:t>
      </w:r>
      <w:r>
        <w:rPr>
          <w:rFonts w:hint="eastAsia" w:ascii="宋体" w:hAnsi="宋体"/>
          <w:color w:val="000000"/>
          <w:sz w:val="24"/>
        </w:rPr>
        <w:t xml:space="preserve">）</w:t>
      </w:r>
      <w:r>
        <w:rPr>
          <w:rFonts w:ascii="宋体" w:hAnsi="宋体"/>
          <w:color w:val="000000"/>
          <w:sz w:val="24"/>
        </w:rPr>
      </w:r>
      <w:r/>
    </w:p>
    <w:p>
      <w:pPr>
        <w:pStyle w:val="907"/>
        <w:ind w:left="480"/>
        <w:spacing w:line="400" w:lineRule="exact"/>
        <w:rPr>
          <w:rFonts w:ascii="宋体" w:hAnsi="宋体"/>
          <w:color w:val="000000"/>
          <w:sz w:val="24"/>
        </w:rPr>
      </w:pPr>
      <w:r>
        <w:rPr>
          <w:rFonts w:hint="eastAsia" w:ascii="宋体" w:hAnsi="宋体"/>
          <w:color w:val="000000"/>
          <w:sz w:val="24"/>
        </w:rPr>
        <w:t xml:space="preserve">5.参加政府采购活动前 3 年内在经营活动中没有重大违法记录的书面声明（格式</w:t>
      </w:r>
      <w:r>
        <w:rPr>
          <w:rFonts w:ascii="宋体" w:hAnsi="宋体"/>
          <w:color w:val="000000"/>
          <w:sz w:val="24"/>
        </w:rPr>
      </w:r>
      <w:r/>
    </w:p>
    <w:p>
      <w:pPr>
        <w:pStyle w:val="907"/>
        <w:spacing w:line="400" w:lineRule="exact"/>
        <w:rPr>
          <w:rFonts w:hint="eastAsia" w:ascii="宋体" w:hAnsi="宋体"/>
          <w:color w:val="000000"/>
          <w:sz w:val="24"/>
        </w:rPr>
      </w:pPr>
      <w:r>
        <w:rPr>
          <w:rFonts w:hint="eastAsia" w:ascii="宋体" w:hAnsi="宋体"/>
          <w:color w:val="000000"/>
          <w:sz w:val="24"/>
        </w:rPr>
        <w:t xml:space="preserve">见</w:t>
      </w:r>
      <w:r>
        <w:rPr>
          <w:rFonts w:ascii="宋体" w:hAnsi="宋体"/>
          <w:color w:val="000000"/>
          <w:sz w:val="24"/>
        </w:rPr>
        <w:t xml:space="preserve">附件6</w:t>
      </w:r>
      <w:r>
        <w:rPr>
          <w:rFonts w:hint="eastAsia" w:ascii="宋体" w:hAnsi="宋体"/>
          <w:color w:val="000000"/>
          <w:sz w:val="24"/>
        </w:rPr>
        <w:t xml:space="preserve">）</w:t>
      </w:r>
      <w:r/>
    </w:p>
    <w:p>
      <w:pPr>
        <w:pStyle w:val="907"/>
        <w:ind w:firstLine="480"/>
        <w:spacing w:line="400" w:lineRule="exact"/>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特定资格要求的证明文件（如果本项目对投标人</w:t>
      </w:r>
      <w:r>
        <w:rPr>
          <w:rFonts w:ascii="宋体" w:hAnsi="宋体"/>
          <w:color w:val="000000"/>
          <w:sz w:val="24"/>
        </w:rPr>
        <w:t xml:space="preserve">做出特定资格要求的</w:t>
      </w:r>
      <w:r>
        <w:rPr>
          <w:rFonts w:hint="eastAsia" w:ascii="宋体" w:hAnsi="宋体"/>
          <w:color w:val="000000"/>
          <w:sz w:val="24"/>
        </w:rPr>
        <w:t xml:space="preserve">，必须提供）</w:t>
      </w:r>
      <w:r/>
    </w:p>
    <w:p>
      <w:pPr>
        <w:pStyle w:val="907"/>
        <w:ind w:firstLine="480"/>
        <w:spacing w:line="400" w:lineRule="exact"/>
        <w:rPr>
          <w:rFonts w:ascii="宋体" w:hAnsi="宋体"/>
          <w:color w:val="000000"/>
          <w:sz w:val="24"/>
        </w:rPr>
      </w:pPr>
      <w:r>
        <w:rPr>
          <w:rFonts w:hint="eastAsia" w:ascii="宋体" w:hAnsi="宋体"/>
          <w:color w:val="000000"/>
          <w:sz w:val="24"/>
        </w:rPr>
        <w:t xml:space="preserve">7.</w:t>
      </w:r>
      <w:r>
        <w:rPr>
          <w:rFonts w:hint="eastAsia" w:ascii="宋体" w:hAnsi="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color w:val="000000"/>
          <w:sz w:val="24"/>
        </w:rPr>
      </w:r>
      <w:r/>
    </w:p>
    <w:p>
      <w:pPr>
        <w:pStyle w:val="907"/>
        <w:ind w:firstLine="480"/>
        <w:spacing w:line="400" w:lineRule="exact"/>
        <w:rPr>
          <w:rFonts w:hint="eastAsia" w:ascii="宋体" w:hAnsi="宋体"/>
          <w:color w:val="000000"/>
          <w:sz w:val="24"/>
        </w:rPr>
      </w:pPr>
      <w:r>
        <w:rPr>
          <w:rFonts w:ascii="宋体" w:hAnsi="宋体"/>
          <w:color w:val="000000"/>
          <w:sz w:val="24"/>
        </w:rPr>
        <w:t xml:space="preserve">8.</w:t>
      </w:r>
      <w:r>
        <w:rPr>
          <w:rFonts w:hint="eastAsia" w:ascii="宋体" w:hAnsi="宋体"/>
          <w:color w:val="000000"/>
          <w:sz w:val="24"/>
        </w:rPr>
        <w:t xml:space="preserve">法人授权书（格式见附件</w:t>
      </w:r>
      <w:r>
        <w:rPr>
          <w:rFonts w:ascii="宋体" w:hAnsi="宋体"/>
          <w:color w:val="000000"/>
          <w:sz w:val="24"/>
        </w:rPr>
        <w:t xml:space="preserve">7</w:t>
      </w:r>
      <w:r>
        <w:rPr>
          <w:rFonts w:hint="eastAsia" w:ascii="宋体" w:hAnsi="宋体"/>
          <w:color w:val="000000"/>
          <w:sz w:val="24"/>
        </w:rPr>
        <w:t xml:space="preserve">）</w:t>
      </w:r>
      <w:r/>
    </w:p>
    <w:p>
      <w:pPr>
        <w:pStyle w:val="907"/>
        <w:ind w:firstLine="480"/>
        <w:spacing w:line="400" w:lineRule="exact"/>
        <w:rPr>
          <w:rFonts w:hint="eastAsia" w:ascii="宋体" w:hAnsi="宋体"/>
          <w:color w:val="000000"/>
          <w:sz w:val="24"/>
        </w:rPr>
      </w:pPr>
      <w:r>
        <w:rPr>
          <w:rFonts w:ascii="宋体" w:hAnsi="宋体"/>
          <w:color w:val="000000"/>
          <w:sz w:val="24"/>
        </w:rPr>
        <w:t xml:space="preserve">9.</w:t>
      </w:r>
      <w:r>
        <w:rPr>
          <w:rFonts w:hint="eastAsia" w:ascii="宋体" w:hAnsi="宋体"/>
          <w:color w:val="000000"/>
          <w:sz w:val="24"/>
        </w:rPr>
        <w:t xml:space="preserve">投标函（格式见附件</w:t>
      </w:r>
      <w:r>
        <w:rPr>
          <w:rFonts w:ascii="宋体" w:hAnsi="宋体"/>
          <w:color w:val="000000"/>
          <w:sz w:val="24"/>
        </w:rPr>
        <w:t xml:space="preserve">8</w:t>
      </w:r>
      <w:r>
        <w:rPr>
          <w:rFonts w:hint="eastAsia" w:ascii="宋体" w:hAnsi="宋体"/>
          <w:color w:val="000000"/>
          <w:sz w:val="24"/>
        </w:rPr>
        <w:t xml:space="preserve">）</w:t>
      </w:r>
      <w:r/>
    </w:p>
    <w:p>
      <w:pPr>
        <w:pStyle w:val="907"/>
        <w:ind w:left="480"/>
        <w:spacing w:line="400" w:lineRule="exact"/>
        <w:rPr>
          <w:rFonts w:ascii="宋体" w:hAnsi="宋体"/>
          <w:color w:val="000000"/>
          <w:sz w:val="24"/>
          <w:szCs w:val="24"/>
        </w:rPr>
      </w:pPr>
      <w:r>
        <w:rPr>
          <w:rFonts w:hint="eastAsia" w:ascii="宋体" w:hAnsi="宋体"/>
          <w:color w:val="000000"/>
          <w:sz w:val="24"/>
          <w:szCs w:val="24"/>
        </w:rPr>
        <w:t xml:space="preserve">总备注：上述“资格审查内容”中1-5条、8、9条投标人必须在投标文件中提</w:t>
      </w:r>
      <w:r>
        <w:rPr>
          <w:rFonts w:ascii="宋体" w:hAnsi="宋体"/>
          <w:color w:val="000000"/>
          <w:sz w:val="24"/>
          <w:szCs w:val="24"/>
        </w:rPr>
      </w:r>
      <w:r/>
    </w:p>
    <w:p>
      <w:pPr>
        <w:pStyle w:val="907"/>
        <w:spacing w:line="400" w:lineRule="exact"/>
        <w:rPr>
          <w:rFonts w:ascii="宋体" w:hAnsi="宋体"/>
          <w:color w:val="000000"/>
          <w:sz w:val="24"/>
          <w:szCs w:val="24"/>
        </w:rPr>
      </w:pPr>
      <w:r>
        <w:rPr>
          <w:rFonts w:hint="eastAsia" w:ascii="宋体" w:hAnsi="宋体"/>
          <w:color w:val="000000"/>
          <w:sz w:val="24"/>
          <w:szCs w:val="24"/>
        </w:rPr>
        <w:t xml:space="preserve">供相关材料，否则作无效投标处理；6、10、11、12条如招标文件要求必须提供相关材料而未提供的，作无效投标处理。</w:t>
      </w:r>
      <w:r>
        <w:rPr>
          <w:rFonts w:ascii="宋体" w:hAnsi="宋体"/>
          <w:color w:val="000000"/>
          <w:sz w:val="24"/>
          <w:szCs w:val="24"/>
        </w:rPr>
      </w:r>
      <w:r/>
    </w:p>
    <w:p>
      <w:pPr>
        <w:pStyle w:val="907"/>
        <w:ind w:left="480"/>
        <w:spacing w:line="400" w:lineRule="exact"/>
        <w:rPr>
          <w:rFonts w:hint="eastAsia" w:ascii="宋体" w:hAnsi="宋体"/>
          <w:b/>
          <w:color w:val="000000"/>
          <w:sz w:val="24"/>
        </w:rPr>
      </w:pPr>
      <w:r>
        <w:rPr>
          <w:rFonts w:hint="eastAsia" w:ascii="宋体" w:hAnsi="宋体"/>
          <w:b/>
          <w:color w:val="000000"/>
          <w:sz w:val="24"/>
        </w:rPr>
        <w:t xml:space="preserve">三</w:t>
      </w:r>
      <w:r>
        <w:rPr>
          <w:rFonts w:ascii="宋体" w:hAnsi="宋体"/>
          <w:b/>
          <w:color w:val="000000"/>
          <w:sz w:val="24"/>
        </w:rPr>
        <w:t xml:space="preserve">、</w:t>
      </w:r>
      <w:r>
        <w:rPr>
          <w:rFonts w:hint="eastAsia" w:ascii="宋体" w:hAnsi="宋体"/>
          <w:b/>
          <w:color w:val="000000"/>
          <w:sz w:val="24"/>
        </w:rPr>
        <w:t xml:space="preserve">符合性</w:t>
      </w:r>
      <w:r>
        <w:rPr>
          <w:rFonts w:ascii="宋体" w:hAnsi="宋体"/>
          <w:b/>
          <w:color w:val="000000"/>
          <w:sz w:val="24"/>
        </w:rPr>
        <w:t xml:space="preserve">审查内容</w:t>
      </w:r>
      <w:r>
        <w:rPr>
          <w:rFonts w:hint="eastAsia" w:ascii="宋体" w:hAnsi="宋体"/>
          <w:b/>
          <w:color w:val="000000"/>
          <w:sz w:val="24"/>
        </w:rPr>
      </w:r>
      <w:r/>
    </w:p>
    <w:p>
      <w:pPr>
        <w:pStyle w:val="907"/>
        <w:ind w:firstLine="480"/>
        <w:spacing w:line="400" w:lineRule="exact"/>
        <w:rPr>
          <w:rFonts w:hint="eastAsia" w:ascii="宋体" w:hAnsi="宋体"/>
          <w:color w:val="000000"/>
          <w:sz w:val="24"/>
        </w:rPr>
      </w:pPr>
      <w:r>
        <w:rPr>
          <w:rFonts w:hint="eastAsia" w:ascii="宋体" w:hAnsi="宋体"/>
          <w:color w:val="000000"/>
          <w:sz w:val="24"/>
        </w:rPr>
        <w:t xml:space="preserve">投标人必须</w:t>
      </w:r>
      <w:r>
        <w:rPr>
          <w:rFonts w:ascii="宋体" w:hAnsi="宋体"/>
          <w:color w:val="000000"/>
          <w:sz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ascii="宋体" w:hAnsi="宋体"/>
          <w:color w:val="000000"/>
          <w:sz w:val="24"/>
        </w:rPr>
        <w:t xml:space="preserve">的实质性要求</w:t>
      </w:r>
      <w:r>
        <w:rPr>
          <w:rFonts w:hint="eastAsia" w:ascii="宋体" w:hAnsi="宋体"/>
          <w:color w:val="000000"/>
          <w:sz w:val="24"/>
        </w:rPr>
        <w:t xml:space="preserve">逐条</w:t>
      </w:r>
      <w:r>
        <w:rPr>
          <w:rFonts w:ascii="宋体" w:hAnsi="宋体"/>
          <w:color w:val="000000"/>
          <w:sz w:val="24"/>
        </w:rPr>
        <w:t xml:space="preserve">做出响应，并按照招标</w:t>
      </w:r>
      <w:r>
        <w:rPr>
          <w:rFonts w:hint="eastAsia" w:ascii="宋体" w:hAnsi="宋体"/>
          <w:color w:val="000000"/>
          <w:sz w:val="24"/>
        </w:rPr>
        <w:t xml:space="preserve">文件</w:t>
      </w:r>
      <w:r>
        <w:rPr>
          <w:rFonts w:ascii="宋体" w:hAnsi="宋体"/>
          <w:color w:val="000000"/>
          <w:sz w:val="24"/>
        </w:rPr>
        <w:t xml:space="preserve">要求提供</w:t>
      </w: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，否则作无效投标处理</w:t>
      </w:r>
      <w:r>
        <w:rPr>
          <w:rFonts w:ascii="宋体" w:hAnsi="宋体"/>
          <w:color w:val="000000"/>
          <w:sz w:val="24"/>
        </w:rPr>
        <w:t xml:space="preserve">。</w:t>
      </w:r>
      <w:r>
        <w:rPr>
          <w:rFonts w:hint="eastAsia" w:ascii="宋体" w:hAnsi="宋体"/>
          <w:color w:val="000000"/>
          <w:sz w:val="24"/>
        </w:rPr>
        <w:t xml:space="preserve">（格式见</w:t>
      </w:r>
      <w:r>
        <w:rPr>
          <w:rFonts w:ascii="宋体" w:hAnsi="宋体"/>
          <w:color w:val="000000"/>
          <w:sz w:val="24"/>
        </w:rPr>
        <w:t xml:space="preserve">附件12</w:t>
      </w:r>
      <w:r>
        <w:rPr>
          <w:rFonts w:hint="eastAsia" w:ascii="宋体" w:hAnsi="宋体"/>
          <w:color w:val="000000"/>
          <w:sz w:val="24"/>
        </w:rPr>
        <w:t xml:space="preserve">）</w:t>
      </w:r>
      <w:r/>
    </w:p>
    <w:p>
      <w:pPr>
        <w:pStyle w:val="907"/>
        <w:ind w:firstLine="480"/>
        <w:rPr>
          <w:rFonts w:ascii="宋体" w:hAnsi="宋体"/>
          <w:b/>
          <w:color w:val="000000"/>
          <w:sz w:val="24"/>
        </w:rPr>
      </w:pPr>
      <w:r>
        <w:rPr>
          <w:rFonts w:hint="eastAsia" w:ascii="宋体" w:hAnsi="宋体"/>
          <w:b/>
          <w:color w:val="000000"/>
          <w:sz w:val="24"/>
        </w:rPr>
        <w:t xml:space="preserve">四、价格</w:t>
      </w:r>
      <w:r>
        <w:rPr>
          <w:rFonts w:ascii="宋体" w:hAnsi="宋体"/>
          <w:b/>
          <w:color w:val="000000"/>
          <w:sz w:val="24"/>
        </w:rPr>
        <w:t xml:space="preserve">扣除证明文件</w:t>
      </w:r>
      <w:r/>
    </w:p>
    <w:p>
      <w:pPr>
        <w:pStyle w:val="907"/>
        <w:ind w:firstLine="480"/>
        <w:spacing w:line="40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中小微企业声明函（</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附件9</w:t>
      </w:r>
      <w:r>
        <w:rPr>
          <w:rFonts w:hint="eastAsia" w:ascii="宋体" w:hAnsi="宋体"/>
          <w:color w:val="000000"/>
          <w:sz w:val="24"/>
        </w:rPr>
        <w:t xml:space="preserve">）</w:t>
      </w:r>
      <w:r/>
    </w:p>
    <w:p>
      <w:pPr>
        <w:pStyle w:val="907"/>
        <w:ind w:firstLine="480"/>
        <w:spacing w:line="400" w:lineRule="exact"/>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残疾人福利性单位声明函（</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附件10</w:t>
      </w:r>
      <w:r>
        <w:rPr>
          <w:rFonts w:hint="eastAsia" w:ascii="宋体" w:hAnsi="宋体"/>
          <w:color w:val="000000"/>
          <w:sz w:val="24"/>
        </w:rPr>
        <w:t xml:space="preserve">）</w:t>
      </w:r>
      <w:r/>
    </w:p>
    <w:p>
      <w:pPr>
        <w:pStyle w:val="907"/>
        <w:ind w:firstLine="480"/>
        <w:spacing w:line="400" w:lineRule="exact"/>
        <w:rPr>
          <w:rFonts w:hint="eastAsia" w:ascii="宋体" w:hAnsi="宋体"/>
          <w:color w:val="000000"/>
          <w:sz w:val="24"/>
        </w:rPr>
      </w:pPr>
      <w:r>
        <w:rPr>
          <w:rFonts w:hint="eastAsia" w:ascii="宋体" w:hAnsi="宋体"/>
          <w:color w:val="000000"/>
          <w:sz w:val="24"/>
        </w:rPr>
        <w:t xml:space="preserve">3.关于符合本国产品标准的声明函（格式见附件13）</w:t>
      </w:r>
      <w:r/>
    </w:p>
    <w:p>
      <w:pPr>
        <w:pStyle w:val="907"/>
        <w:rPr>
          <w:rFonts w:hint="eastAsia" w:eastAsia="仿宋_GB2312"/>
          <w:color w:val="000000"/>
          <w:sz w:val="24"/>
          <w:szCs w:val="20"/>
        </w:rPr>
      </w:pPr>
      <w:r>
        <w:rPr>
          <w:rFonts w:hint="eastAsia" w:ascii="宋体" w:hAnsi="宋体"/>
          <w:b/>
          <w:color w:val="000000"/>
          <w:sz w:val="24"/>
          <w:szCs w:val="24"/>
        </w:rPr>
        <w:t xml:space="preserve">附件1 开标一览表</w:t>
      </w:r>
      <w:r>
        <w:rPr>
          <w:rFonts w:hint="eastAsia" w:eastAsia="仿宋_GB2312"/>
          <w:color w:val="000000"/>
          <w:sz w:val="24"/>
          <w:szCs w:val="20"/>
        </w:rPr>
      </w:r>
      <w:r/>
    </w:p>
    <w:p>
      <w:pPr>
        <w:pStyle w:val="907"/>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pStyle w:val="907"/>
        <w:ind w:firstLine="482"/>
        <w:spacing w:line="0" w:lineRule="atLeast"/>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07"/>
        <w:ind w:firstLine="482"/>
        <w:spacing w:line="0" w:lineRule="atLeast"/>
        <w:rPr>
          <w:rFonts w:ascii="宋体" w:hAnsi="宋体"/>
          <w:color w:val="000000"/>
          <w:sz w:val="24"/>
          <w:szCs w:val="24"/>
        </w:rPr>
      </w:pPr>
      <w:r>
        <w:rPr>
          <w:rFonts w:hint="eastAsia" w:ascii="宋体" w:hAnsi="宋体"/>
          <w:color w:val="000000"/>
          <w:sz w:val="24"/>
          <w:szCs w:val="24"/>
        </w:rPr>
        <w:t xml:space="preserve">采购编号：                                   </w:t>
      </w:r>
      <w:r>
        <w:rPr>
          <w:rFonts w:ascii="宋体" w:hAnsi="宋体"/>
          <w:color w:val="000000"/>
          <w:sz w:val="24"/>
          <w:szCs w:val="24"/>
        </w:rPr>
      </w:r>
      <w:r/>
    </w:p>
    <w:p>
      <w:pPr>
        <w:pStyle w:val="907"/>
        <w:ind w:firstLine="482"/>
        <w:spacing w:line="0" w:lineRule="atLeast"/>
        <w:rPr>
          <w:rFonts w:ascii="宋体" w:hAnsi="宋体"/>
          <w:color w:val="000000"/>
          <w:sz w:val="24"/>
          <w:szCs w:val="24"/>
        </w:rPr>
      </w:pPr>
      <w:r>
        <w:rPr>
          <w:rFonts w:hint="eastAsia" w:ascii="宋体" w:hAnsi="宋体"/>
          <w:color w:val="000000"/>
          <w:sz w:val="24"/>
          <w:szCs w:val="24"/>
        </w:rPr>
        <w:t xml:space="preserve">采购包号：</w:t>
      </w:r>
      <w:r>
        <w:rPr>
          <w:rFonts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07"/>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tcW w:w="8206" w:type="dxa"/>
            <w:vAlign w:val="center"/>
            <w:textDirection w:val="lrTb"/>
            <w:noWrap w:val="false"/>
          </w:tcPr>
          <w:p>
            <w:pPr>
              <w:pStyle w:val="995"/>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907"/>
        <w:rPr>
          <w:rFonts w:ascii="宋体" w:hAnsi="宋体"/>
          <w:color w:val="000000"/>
          <w:sz w:val="24"/>
          <w:szCs w:val="24"/>
        </w:rPr>
      </w:pPr>
      <w:r>
        <w:rPr>
          <w:rFonts w:ascii="宋体" w:hAnsi="宋体"/>
          <w:color w:val="000000"/>
          <w:sz w:val="24"/>
          <w:szCs w:val="24"/>
        </w:rPr>
      </w:r>
      <w:r/>
    </w:p>
    <w:p>
      <w:pPr>
        <w:pStyle w:val="907"/>
        <w:jc w:val="center"/>
        <w:rPr>
          <w:rFonts w:ascii="宋体" w:hAnsi="宋体"/>
          <w:b/>
          <w:color w:val="000000"/>
          <w:sz w:val="24"/>
          <w:szCs w:val="24"/>
        </w:rPr>
      </w:pPr>
      <w:r>
        <w:rPr>
          <w:rFonts w:ascii="宋体" w:hAnsi="宋体"/>
          <w:b/>
          <w:color w:val="000000"/>
          <w:sz w:val="24"/>
          <w:szCs w:val="24"/>
        </w:rPr>
      </w:r>
      <w:r/>
    </w:p>
    <w:p>
      <w:pPr>
        <w:pStyle w:val="907"/>
        <w:jc w:val="center"/>
        <w:spacing w:line="560" w:lineRule="exact"/>
        <w:rPr>
          <w:rFonts w:hint="eastAsia" w:ascii="方正黑体_GBK" w:hAnsi="方正黑体_GBK" w:eastAsia="方正黑体_GBK" w:cs="方正黑体_GBK"/>
          <w:bCs/>
          <w:color w:val="000000"/>
          <w:sz w:val="32"/>
          <w:szCs w:val="32"/>
        </w:rPr>
      </w:pPr>
      <w:r>
        <w:rPr>
          <w:rFonts w:hint="eastAsia" w:ascii="方正黑体_GBK" w:hAnsi="方正黑体_GBK" w:eastAsia="方正黑体_GBK" w:cs="方正黑体_GBK"/>
          <w:bCs/>
          <w:color w:val="000000"/>
          <w:sz w:val="32"/>
          <w:szCs w:val="32"/>
        </w:rPr>
        <w:t xml:space="preserve">附件2 投标分项报价表（采购包号：</w:t>
      </w:r>
      <w:r>
        <w:rPr>
          <w:rFonts w:hint="eastAsia" w:eastAsia="方正仿宋_GBK"/>
          <w:color w:val="000000"/>
          <w:sz w:val="32"/>
          <w:szCs w:val="32"/>
        </w:rPr>
        <w:t xml:space="preserve">XX</w:t>
      </w:r>
      <w:r>
        <w:rPr>
          <w:rFonts w:hint="eastAsia" w:ascii="方正黑体_GBK" w:hAnsi="方正黑体_GBK" w:eastAsia="方正黑体_GBK" w:cs="方正黑体_GBK"/>
          <w:bCs/>
          <w:color w:val="000000"/>
          <w:sz w:val="32"/>
          <w:szCs w:val="32"/>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序号</w:t>
            </w:r>
            <w:r/>
          </w:p>
        </w:tc>
        <w:tc>
          <w:tcPr>
            <w:tcW w:w="1106"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p>
        </w:tc>
        <w:tc>
          <w:tcPr>
            <w:tcW w:w="1064"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2</w:t>
            </w:r>
            <w:r/>
          </w:p>
        </w:tc>
        <w:tc>
          <w:tcPr>
            <w:tcW w:w="106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3</w:t>
            </w:r>
            <w:r/>
          </w:p>
        </w:tc>
        <w:tc>
          <w:tcPr>
            <w:tcW w:w="98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w:t>
            </w:r>
            <w:r/>
          </w:p>
        </w:tc>
        <w:tc>
          <w:tcPr>
            <w:tcW w:w="104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5</w:t>
            </w:r>
            <w:r/>
          </w:p>
        </w:tc>
        <w:tc>
          <w:tcPr>
            <w:tcW w:w="125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6</w:t>
            </w:r>
            <w:r/>
          </w:p>
        </w:tc>
        <w:tc>
          <w:tcPr>
            <w:tcW w:w="86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7</w:t>
            </w:r>
            <w:r/>
          </w:p>
        </w:tc>
        <w:tc>
          <w:tcPr>
            <w:tcW w:w="92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8</w:t>
            </w:r>
            <w:r/>
          </w:p>
        </w:tc>
        <w:tc>
          <w:tcPr>
            <w:tcW w:w="861"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9</w:t>
            </w:r>
            <w:r/>
          </w:p>
        </w:tc>
      </w:tr>
      <w:tr>
        <w:trPr>
          <w:cantSplit/>
          <w:trHeight w:val="294"/>
        </w:trPr>
        <w:tc>
          <w:tcPr>
            <w:tcW w:w="72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p>
        </w:tc>
        <w:tc>
          <w:tcPr>
            <w:tcW w:w="1106" w:type="dxa"/>
            <w:vAlign w:val="center"/>
            <w:textDirection w:val="lrTb"/>
            <w:noWrap w:val="false"/>
          </w:tcPr>
          <w:p>
            <w:pPr>
              <w:pStyle w:val="907"/>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分项服务名称/货物名称</w:t>
            </w:r>
            <w:r/>
          </w:p>
        </w:tc>
        <w:tc>
          <w:tcPr>
            <w:tcW w:w="1064"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品牌</w:t>
            </w:r>
            <w:r/>
          </w:p>
        </w:tc>
        <w:tc>
          <w:tcPr>
            <w:tcW w:w="106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规格</w:t>
            </w:r>
            <w:r/>
          </w:p>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型号</w:t>
            </w:r>
            <w:r/>
          </w:p>
        </w:tc>
        <w:tc>
          <w:tcPr>
            <w:tcW w:w="98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制造商名称</w:t>
            </w:r>
            <w:r/>
          </w:p>
        </w:tc>
        <w:tc>
          <w:tcPr>
            <w:tcW w:w="104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产地</w:t>
            </w:r>
            <w:r/>
          </w:p>
        </w:tc>
        <w:tc>
          <w:tcPr>
            <w:tcW w:w="125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交付期/服务期</w:t>
            </w:r>
            <w:r/>
          </w:p>
        </w:tc>
        <w:tc>
          <w:tcPr>
            <w:tcW w:w="86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数量</w:t>
            </w:r>
            <w:r/>
          </w:p>
        </w:tc>
        <w:tc>
          <w:tcPr>
            <w:tcW w:w="92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分项</w:t>
            </w:r>
            <w:r/>
          </w:p>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单价</w:t>
            </w:r>
            <w:r/>
          </w:p>
        </w:tc>
        <w:tc>
          <w:tcPr>
            <w:tcW w:w="861"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分项</w:t>
            </w:r>
            <w:r/>
          </w:p>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总价</w:t>
            </w:r>
            <w:r/>
          </w:p>
        </w:tc>
      </w:tr>
      <w:tr>
        <w:trPr>
          <w:cantSplit/>
          <w:trHeight w:val="696"/>
        </w:trPr>
        <w:tc>
          <w:tcPr>
            <w:tcW w:w="72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2</w:t>
            </w:r>
            <w:r/>
          </w:p>
        </w:tc>
        <w:tc>
          <w:tcPr>
            <w:tcW w:w="1106"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4"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8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highlight w:val="cyan"/>
              </w:rPr>
            </w:pPr>
            <w:r>
              <w:rPr>
                <w:rFonts w:hint="eastAsia" w:ascii="方正魏碑_GBK" w:hAnsi="方正魏碑_GBK" w:eastAsia="方正魏碑_GBK" w:cs="方正魏碑_GBK"/>
                <w:color w:val="000000"/>
                <w:sz w:val="24"/>
                <w:szCs w:val="24"/>
                <w:highlight w:val="cyan"/>
              </w:rPr>
            </w:r>
            <w:r/>
          </w:p>
        </w:tc>
        <w:tc>
          <w:tcPr>
            <w:tcW w:w="1040" w:type="dxa"/>
            <w:vAlign w:val="top"/>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25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u w:val="single"/>
              </w:rPr>
            </w:pPr>
            <w:r>
              <w:rPr>
                <w:rFonts w:hint="eastAsia" w:ascii="方正魏碑_GBK" w:hAnsi="方正魏碑_GBK" w:eastAsia="方正魏碑_GBK" w:cs="方正魏碑_GBK"/>
                <w:color w:val="000000"/>
                <w:sz w:val="24"/>
                <w:szCs w:val="24"/>
              </w:rPr>
              <w:t xml:space="preserve">合同签订后</w:t>
            </w:r>
            <w:r>
              <w:rPr>
                <w:rFonts w:hint="eastAsia" w:ascii="方正魏碑_GBK" w:hAnsi="方正魏碑_GBK" w:eastAsia="方正魏碑_GBK" w:cs="方正魏碑_GBK"/>
                <w:color w:val="000000"/>
                <w:sz w:val="24"/>
                <w:szCs w:val="24"/>
                <w:u w:val="single"/>
              </w:rPr>
              <w:t xml:space="preserve">  </w:t>
            </w:r>
            <w:r>
              <w:rPr>
                <w:rFonts w:hint="eastAsia" w:ascii="方正魏碑_GBK" w:hAnsi="方正魏碑_GBK" w:eastAsia="方正魏碑_GBK" w:cs="方正魏碑_GBK"/>
                <w:color w:val="000000"/>
                <w:sz w:val="24"/>
                <w:szCs w:val="24"/>
              </w:rPr>
              <w:t xml:space="preserve">日</w:t>
            </w:r>
            <w:r>
              <w:rPr>
                <w:rFonts w:hint="eastAsia" w:ascii="方正魏碑_GBK" w:hAnsi="方正魏碑_GBK" w:eastAsia="方正魏碑_GBK" w:cs="方正魏碑_GBK"/>
                <w:color w:val="000000"/>
                <w:sz w:val="24"/>
                <w:szCs w:val="24"/>
                <w:u w:val="single"/>
              </w:rPr>
            </w:r>
            <w:r/>
          </w:p>
        </w:tc>
        <w:tc>
          <w:tcPr>
            <w:tcW w:w="86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2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1"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r>
      <w:tr>
        <w:trPr>
          <w:cantSplit/>
          <w:trHeight w:val="724"/>
        </w:trPr>
        <w:tc>
          <w:tcPr>
            <w:tcW w:w="72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3</w:t>
            </w:r>
            <w:r/>
          </w:p>
        </w:tc>
        <w:tc>
          <w:tcPr>
            <w:tcW w:w="1106"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4"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8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40" w:type="dxa"/>
            <w:vAlign w:val="top"/>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25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2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1"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r>
      <w:tr>
        <w:trPr>
          <w:cantSplit/>
          <w:trHeight w:val="640"/>
        </w:trPr>
        <w:tc>
          <w:tcPr>
            <w:tcW w:w="72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w:t>
            </w:r>
            <w:r/>
          </w:p>
        </w:tc>
        <w:tc>
          <w:tcPr>
            <w:tcW w:w="1106"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4"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8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40" w:type="dxa"/>
            <w:vAlign w:val="top"/>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25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2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1"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r>
      <w:tr>
        <w:trPr>
          <w:cantSplit/>
          <w:trHeight w:val="580"/>
        </w:trPr>
        <w:tc>
          <w:tcPr>
            <w:tcW w:w="72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w:t>
            </w:r>
            <w:r/>
          </w:p>
        </w:tc>
        <w:tc>
          <w:tcPr>
            <w:tcW w:w="1106"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w:t>
            </w:r>
            <w:r/>
          </w:p>
        </w:tc>
        <w:tc>
          <w:tcPr>
            <w:tcW w:w="1064"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8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40" w:type="dxa"/>
            <w:vAlign w:val="top"/>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25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20"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1" w:type="dxa"/>
            <w:vAlign w:val="center"/>
            <w:textDirection w:val="lrTb"/>
            <w:noWrap w:val="false"/>
          </w:tcPr>
          <w:p>
            <w:pPr>
              <w:pStyle w:val="90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r>
      <w:tr>
        <w:trPr>
          <w:cantSplit/>
          <w:trHeight w:val="434"/>
        </w:trPr>
        <w:tc>
          <w:tcPr>
            <w:gridSpan w:val="10"/>
            <w:tcW w:w="9861" w:type="dxa"/>
            <w:vAlign w:val="top"/>
            <w:textDirection w:val="lrTb"/>
            <w:noWrap w:val="false"/>
          </w:tcPr>
          <w:p>
            <w:pPr>
              <w:pStyle w:val="907"/>
              <w:spacing w:line="0" w:lineRule="atLeast"/>
              <w:rPr>
                <w:rFonts w:hint="eastAsia" w:ascii="方正魏碑_GBK" w:hAnsi="方正魏碑_GBK" w:eastAsia="方正魏碑_GBK" w:cs="方正魏碑_GBK"/>
                <w:color w:val="000000"/>
                <w:sz w:val="24"/>
                <w:szCs w:val="24"/>
                <w:u w:val="single"/>
              </w:rPr>
            </w:pPr>
            <w:r>
              <w:rPr>
                <w:rFonts w:hint="eastAsia" w:ascii="方正魏碑_GBK" w:hAnsi="方正魏碑_GBK" w:eastAsia="方正魏碑_GBK" w:cs="方正魏碑_GBK"/>
                <w:color w:val="000000"/>
                <w:sz w:val="24"/>
                <w:szCs w:val="24"/>
              </w:rPr>
              <w:t xml:space="preserve">投标总报价（人民币：元）</w:t>
            </w:r>
            <w:r>
              <w:rPr>
                <w:rFonts w:hint="eastAsia" w:ascii="方正魏碑_GBK" w:hAnsi="方正魏碑_GBK" w:eastAsia="方正魏碑_GBK" w:cs="方正魏碑_GBK"/>
                <w:color w:val="000000"/>
                <w:sz w:val="24"/>
                <w:szCs w:val="24"/>
                <w:u w:val="single"/>
              </w:rPr>
              <w:t xml:space="preserve">                             </w:t>
            </w:r>
            <w:r/>
          </w:p>
        </w:tc>
      </w:tr>
      <w:tr>
        <w:trPr>
          <w:cantSplit/>
          <w:trHeight w:val="757"/>
        </w:trPr>
        <w:tc>
          <w:tcPr>
            <w:gridSpan w:val="10"/>
            <w:tcW w:w="9861" w:type="dxa"/>
            <w:vAlign w:val="top"/>
            <w:textDirection w:val="lrTb"/>
            <w:noWrap w:val="false"/>
          </w:tcPr>
          <w:p>
            <w:pPr>
              <w:pStyle w:val="970"/>
              <w:spacing w:before="0" w:beforeAutospacing="0" w:after="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本采购包中提供的符合本国产品标准的货物成本之和占该采购包全部成本之和的比例为</w:t>
            </w:r>
            <w:r>
              <w:rPr>
                <w:rFonts w:hint="eastAsia" w:ascii="Times New Roman" w:hAnsi="Times New Roman" w:eastAsia="方正仿宋_GBK" w:cs="Times New Roman"/>
                <w:color w:val="000000"/>
                <w:u w:val="single"/>
              </w:rPr>
              <w:t xml:space="preserve">XX</w:t>
            </w:r>
            <w:r>
              <w:rPr>
                <w:rFonts w:hint="eastAsia" w:ascii="方正魏碑_GBK" w:hAnsi="方正魏碑_GBK" w:eastAsia="方正魏碑_GBK" w:cs="方正魏碑_GBK"/>
                <w:color w:val="000000"/>
              </w:rPr>
              <w:t xml:space="preserve">%。</w:t>
            </w:r>
            <w:r/>
          </w:p>
        </w:tc>
      </w:tr>
    </w:tbl>
    <w:p>
      <w:pPr>
        <w:pStyle w:val="907"/>
        <w:spacing w:line="400" w:lineRule="exact"/>
        <w:rPr>
          <w:rFonts w:hint="eastAsia" w:ascii="宋体" w:hAnsi="宋体"/>
          <w:color w:val="000000"/>
          <w:sz w:val="24"/>
          <w:szCs w:val="24"/>
        </w:rPr>
      </w:pPr>
      <w:r>
        <w:rPr>
          <w:rFonts w:hint="eastAsia" w:ascii="宋体" w:hAnsi="宋体"/>
          <w:color w:val="000000"/>
          <w:sz w:val="24"/>
          <w:szCs w:val="24"/>
        </w:rPr>
        <w:t xml:space="preserve">备注：</w:t>
      </w:r>
      <w:r/>
    </w:p>
    <w:p>
      <w:pPr>
        <w:pStyle w:val="907"/>
        <w:spacing w:line="400" w:lineRule="exact"/>
        <w:rPr>
          <w:rFonts w:hint="eastAsia" w:ascii="宋体" w:hAnsi="宋体"/>
          <w:color w:val="000000"/>
          <w:sz w:val="24"/>
          <w:szCs w:val="24"/>
        </w:rPr>
      </w:pPr>
      <w:r>
        <w:rPr>
          <w:rFonts w:hint="eastAsia" w:ascii="宋体" w:hAnsi="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pStyle w:val="907"/>
        <w:spacing w:line="400" w:lineRule="exact"/>
        <w:rPr>
          <w:rFonts w:hint="eastAsia" w:ascii="宋体" w:hAnsi="宋体"/>
          <w:color w:val="000000"/>
          <w:sz w:val="24"/>
          <w:szCs w:val="24"/>
        </w:rPr>
      </w:pPr>
      <w:r>
        <w:rPr>
          <w:rFonts w:hint="eastAsia" w:ascii="宋体" w:hAnsi="宋体"/>
          <w:color w:val="000000"/>
          <w:sz w:val="24"/>
          <w:szCs w:val="24"/>
        </w:rPr>
        <w:t xml:space="preserve">2.“投标分项报价表”中“投标总报价”数额应当与“开标一览表”中“投标总报价”数额一致。</w:t>
      </w:r>
      <w:r/>
    </w:p>
    <w:p>
      <w:pPr>
        <w:pStyle w:val="907"/>
        <w:spacing w:line="400" w:lineRule="exact"/>
        <w:rPr>
          <w:rFonts w:hint="eastAsia" w:ascii="宋体" w:hAnsi="宋体"/>
          <w:color w:val="000000"/>
          <w:sz w:val="24"/>
          <w:szCs w:val="24"/>
        </w:rPr>
      </w:pPr>
      <w:r>
        <w:rPr>
          <w:rFonts w:hint="eastAsia" w:ascii="宋体" w:hAnsi="宋体"/>
          <w:color w:val="000000"/>
          <w:sz w:val="24"/>
          <w:szCs w:val="24"/>
        </w:rPr>
        <w:t xml:space="preserve">3.分项服务不需填写品牌、规格型号、制造商、产地。</w:t>
      </w:r>
      <w:r/>
    </w:p>
    <w:p>
      <w:pPr>
        <w:pStyle w:val="907"/>
        <w:spacing w:line="400" w:lineRule="exact"/>
        <w:rPr>
          <w:rFonts w:hint="eastAsia" w:ascii="方正仿宋_GBK" w:hAnsi="方正仿宋_GBK" w:eastAsia="方正仿宋_GBK" w:cs="方正仿宋_GBK"/>
          <w:color w:val="000000"/>
          <w:sz w:val="32"/>
          <w:szCs w:val="32"/>
        </w:rPr>
      </w:pPr>
      <w:r>
        <w:rPr>
          <w:rFonts w:hint="eastAsia" w:ascii="宋体" w:hAnsi="宋体"/>
          <w:color w:val="000000"/>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rPr>
          <w:rFonts w:hint="eastAsia" w:ascii="方正仿宋_GBK" w:hAnsi="方正仿宋_GBK" w:eastAsia="方正仿宋_GBK" w:cs="方正仿宋_GBK"/>
          <w:color w:val="000000"/>
          <w:sz w:val="32"/>
          <w:szCs w:val="32"/>
        </w:rPr>
      </w:r>
      <w:r/>
    </w:p>
    <w:p>
      <w:pPr>
        <w:pStyle w:val="907"/>
        <w:ind w:firstLine="480"/>
        <w:rPr>
          <w:rFonts w:ascii="宋体" w:hAnsi="宋体"/>
          <w:color w:val="000000"/>
          <w:sz w:val="24"/>
          <w:szCs w:val="24"/>
        </w:rPr>
      </w:pPr>
      <w:r>
        <w:rPr>
          <w:rFonts w:hint="eastAsia" w:ascii="宋体" w:hAnsi="宋体"/>
          <w:color w:val="000000"/>
          <w:sz w:val="24"/>
          <w:szCs w:val="24"/>
        </w:rPr>
        <w:t xml:space="preserve">                                           </w:t>
      </w:r>
      <w:r>
        <w:rPr>
          <w:rFonts w:ascii="宋体" w:hAnsi="宋体"/>
          <w:color w:val="000000"/>
          <w:sz w:val="24"/>
          <w:szCs w:val="24"/>
        </w:rPr>
      </w:r>
      <w:r/>
    </w:p>
    <w:p>
      <w:pPr>
        <w:pStyle w:val="907"/>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rPr>
        <w:t xml:space="preserve">技术要求响应及偏离表（采购包号：**）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p>
        </w:tc>
        <w:tc>
          <w:tcPr>
            <w:tcW w:w="3191" w:type="dxa"/>
            <w:vAlign w:val="center"/>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063" w:type="dxa"/>
            <w:vAlign w:val="top"/>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907"/>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907"/>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907"/>
        <w:spacing w:line="400" w:lineRule="exact"/>
        <w:rPr>
          <w:rFonts w:ascii="宋体" w:hAnsi="宋体"/>
          <w:color w:val="000000"/>
          <w:sz w:val="24"/>
          <w:szCs w:val="24"/>
        </w:rPr>
      </w:pPr>
      <w:r>
        <w:rPr>
          <w:rFonts w:ascii="宋体" w:hAnsi="宋体"/>
          <w:color w:val="000000"/>
          <w:sz w:val="24"/>
          <w:szCs w:val="24"/>
        </w:rPr>
      </w:r>
      <w:r/>
    </w:p>
    <w:p>
      <w:pPr>
        <w:pStyle w:val="907"/>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pStyle w:val="907"/>
        <w:spacing w:line="400" w:lineRule="exact"/>
        <w:rPr>
          <w:rFonts w:ascii="宋体" w:hAnsi="宋体"/>
          <w:color w:val="000000"/>
          <w:sz w:val="24"/>
          <w:szCs w:val="24"/>
        </w:rPr>
      </w:pPr>
      <w:r>
        <w:rPr>
          <w:rFonts w:hint="eastAsia" w:ascii="宋体" w:hAnsi="宋体" w:cs="宋体"/>
          <w:color w:val="000000"/>
          <w:sz w:val="24"/>
          <w:szCs w:val="24"/>
        </w:rPr>
        <w:t xml:space="preserve">1.投标人需对招标文件技术要求中非实质性要求（</w:t>
      </w:r>
      <w:r>
        <w:rPr>
          <w:rFonts w:hint="eastAsia" w:ascii="宋体" w:hAnsi="宋体" w:cs="宋体"/>
          <w:b/>
          <w:color w:val="000000"/>
          <w:sz w:val="24"/>
          <w:szCs w:val="24"/>
        </w:rPr>
        <w:t xml:space="preserve">未加</w:t>
      </w:r>
      <w:r>
        <w:rPr>
          <w:rFonts w:hint="eastAsia" w:ascii="宋体" w:hAnsi="宋体" w:cs="宋体"/>
          <w:b/>
          <w:i/>
          <w:color w:val="000000"/>
          <w:sz w:val="24"/>
          <w:szCs w:val="24"/>
          <w:u w:val="single"/>
        </w:rPr>
        <w:t xml:space="preserve">斜体下划线</w:t>
      </w:r>
      <w:r>
        <w:rPr>
          <w:rFonts w:hint="eastAsia" w:ascii="宋体" w:hAnsi="宋体" w:cs="宋体"/>
          <w:b/>
          <w:iCs/>
          <w:color w:val="000000"/>
          <w:sz w:val="24"/>
          <w:szCs w:val="24"/>
        </w:rPr>
        <w:t xml:space="preserve">部分</w:t>
      </w:r>
      <w:r>
        <w:rPr>
          <w:rFonts w:hint="eastAsia" w:ascii="宋体" w:hAnsi="宋体" w:cs="宋体"/>
          <w:b/>
          <w:color w:val="000000"/>
          <w:sz w:val="24"/>
          <w:szCs w:val="24"/>
        </w:rPr>
        <w:t xml:space="preserve">或未加*号条款</w:t>
      </w:r>
      <w:r>
        <w:rPr>
          <w:rFonts w:hint="eastAsia" w:ascii="宋体" w:hAnsi="宋体" w:cs="宋体"/>
          <w:color w:val="000000"/>
          <w:sz w:val="24"/>
          <w:szCs w:val="24"/>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907"/>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pStyle w:val="907"/>
        <w:spacing w:line="400" w:lineRule="exact"/>
        <w:rPr>
          <w:rFonts w:hint="eastAsia" w:ascii="宋体" w:hAnsi="宋体"/>
          <w:color w:val="000000"/>
          <w:sz w:val="24"/>
          <w:szCs w:val="24"/>
        </w:rPr>
      </w:pPr>
      <w:r>
        <w:rPr>
          <w:rFonts w:hint="eastAsia" w:ascii="宋体" w:hAnsi="宋体"/>
          <w:color w:val="000000"/>
          <w:sz w:val="24"/>
          <w:szCs w:val="24"/>
        </w:rPr>
      </w:r>
      <w:r/>
    </w:p>
    <w:p>
      <w:pPr>
        <w:pStyle w:val="907"/>
        <w:spacing w:line="400" w:lineRule="exact"/>
        <w:rPr>
          <w:rFonts w:hint="eastAsia" w:ascii="宋体" w:hAnsi="宋体"/>
          <w:color w:val="000000"/>
          <w:sz w:val="24"/>
          <w:szCs w:val="24"/>
        </w:rPr>
      </w:pPr>
      <w:r>
        <w:rPr>
          <w:rFonts w:hint="eastAsia" w:ascii="宋体" w:hAnsi="宋体"/>
          <w:color w:val="000000"/>
          <w:sz w:val="24"/>
          <w:szCs w:val="24"/>
        </w:rPr>
      </w:r>
      <w:r/>
    </w:p>
    <w:p>
      <w:pPr>
        <w:pStyle w:val="907"/>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rPr>
        <w:t xml:space="preserve">商务要求响应及偏离表（采购包号：**）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 </w:t>
            </w:r>
            <w:r/>
          </w:p>
        </w:tc>
        <w:tc>
          <w:tcPr>
            <w:tcW w:w="3191" w:type="dxa"/>
            <w:vAlign w:val="center"/>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063" w:type="dxa"/>
            <w:vAlign w:val="top"/>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907"/>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907"/>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907"/>
        <w:spacing w:line="400" w:lineRule="exact"/>
        <w:rPr>
          <w:rFonts w:ascii="宋体" w:hAnsi="宋体"/>
          <w:color w:val="000000"/>
          <w:sz w:val="24"/>
          <w:szCs w:val="24"/>
        </w:rPr>
      </w:pPr>
      <w:r>
        <w:rPr>
          <w:rFonts w:ascii="宋体" w:hAnsi="宋体"/>
          <w:color w:val="000000"/>
          <w:sz w:val="24"/>
          <w:szCs w:val="24"/>
        </w:rPr>
      </w:r>
      <w:r/>
    </w:p>
    <w:p>
      <w:pPr>
        <w:pStyle w:val="907"/>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pStyle w:val="907"/>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1.投标人需对招标文件商务要求中非实质性要求（</w:t>
      </w:r>
      <w:r>
        <w:rPr>
          <w:rFonts w:hint="eastAsia" w:ascii="宋体" w:hAnsi="宋体" w:cs="宋体"/>
          <w:b/>
          <w:color w:val="000000"/>
          <w:sz w:val="24"/>
          <w:szCs w:val="24"/>
        </w:rPr>
        <w:t xml:space="preserve">未加</w:t>
      </w:r>
      <w:r>
        <w:rPr>
          <w:rFonts w:hint="eastAsia" w:ascii="宋体" w:hAnsi="宋体" w:cs="宋体"/>
          <w:b/>
          <w:i/>
          <w:color w:val="000000"/>
          <w:sz w:val="24"/>
          <w:szCs w:val="24"/>
          <w:u w:val="single"/>
        </w:rPr>
        <w:t xml:space="preserve">斜体下划线</w:t>
      </w:r>
      <w:r>
        <w:rPr>
          <w:rFonts w:hint="eastAsia" w:ascii="宋体" w:hAnsi="宋体" w:cs="宋体"/>
          <w:b/>
          <w:iCs/>
          <w:color w:val="000000"/>
          <w:sz w:val="24"/>
          <w:szCs w:val="24"/>
        </w:rPr>
        <w:t xml:space="preserve">部分</w:t>
      </w:r>
      <w:r>
        <w:rPr>
          <w:rFonts w:hint="eastAsia" w:ascii="宋体" w:hAnsi="宋体" w:cs="宋体"/>
          <w:b/>
          <w:color w:val="000000"/>
          <w:sz w:val="24"/>
          <w:szCs w:val="24"/>
        </w:rPr>
        <w:t xml:space="preserve">或未加*号条款</w:t>
      </w:r>
      <w:r>
        <w:rPr>
          <w:rFonts w:hint="eastAsia" w:ascii="宋体" w:hAnsi="宋体" w:cs="宋体"/>
          <w:color w:val="000000"/>
          <w:sz w:val="24"/>
          <w:szCs w:val="24"/>
        </w:rPr>
        <w:t xml:space="preserve">）逐条做出明确响应。</w:t>
      </w:r>
      <w:r/>
    </w:p>
    <w:p>
      <w:pPr>
        <w:pStyle w:val="907"/>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907"/>
        <w:rPr>
          <w:rFonts w:hint="eastAsia" w:ascii="宋体" w:hAnsi="宋体"/>
          <w:b/>
          <w:color w:val="000000"/>
          <w:sz w:val="24"/>
        </w:rPr>
      </w:pPr>
      <w:r>
        <w:rPr>
          <w:rFonts w:hint="eastAsia" w:ascii="宋体" w:hAnsi="宋体"/>
          <w:b/>
          <w:color w:val="000000"/>
          <w:sz w:val="24"/>
        </w:rPr>
      </w:r>
      <w:r/>
    </w:p>
    <w:p>
      <w:pPr>
        <w:pStyle w:val="907"/>
        <w:ind w:firstLine="480"/>
        <w:spacing w:line="440" w:lineRule="exact"/>
        <w:rPr>
          <w:rFonts w:ascii="宋体" w:hAnsi="宋体"/>
          <w:color w:val="000000"/>
          <w:sz w:val="24"/>
        </w:rPr>
      </w:pPr>
      <w:r>
        <w:rPr>
          <w:rFonts w:ascii="宋体" w:hAnsi="宋体"/>
          <w:color w:val="000000"/>
          <w:sz w:val="24"/>
        </w:rPr>
      </w:r>
      <w:r/>
    </w:p>
    <w:p>
      <w:pPr>
        <w:pStyle w:val="907"/>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pStyle w:val="907"/>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pStyle w:val="907"/>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907"/>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907"/>
        <w:spacing w:line="460" w:lineRule="exact"/>
        <w:rPr>
          <w:rFonts w:hint="eastAsia" w:ascii="宋体" w:hAnsi="宋体"/>
          <w:bCs/>
          <w:color w:val="000000"/>
          <w:sz w:val="24"/>
        </w:rPr>
      </w:pPr>
      <w:r>
        <w:rPr>
          <w:rFonts w:hint="eastAsia" w:ascii="宋体" w:hAnsi="宋体"/>
          <w:bCs/>
          <w:color w:val="000000"/>
          <w:sz w:val="24"/>
        </w:rPr>
        <w:t xml:space="preserve">                                     </w:t>
      </w:r>
      <w:r/>
    </w:p>
    <w:p>
      <w:pPr>
        <w:pStyle w:val="907"/>
        <w:ind w:left="480"/>
        <w:rPr>
          <w:rFonts w:ascii="宋体" w:hAnsi="宋体"/>
          <w:b/>
          <w:color w:val="000000"/>
          <w:sz w:val="24"/>
        </w:rPr>
      </w:pPr>
      <w:r>
        <w:rPr>
          <w:rFonts w:ascii="宋体" w:hAnsi="宋体"/>
          <w:b/>
          <w:color w:val="000000"/>
          <w:sz w:val="24"/>
        </w:rPr>
      </w:r>
      <w:r/>
    </w:p>
    <w:p>
      <w:pPr>
        <w:pStyle w:val="907"/>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pStyle w:val="907"/>
        <w:jc w:val="center"/>
        <w:spacing w:line="460" w:lineRule="exact"/>
        <w:rPr>
          <w:rFonts w:ascii="宋体" w:hAnsi="宋体"/>
          <w:b/>
          <w:bCs/>
          <w:color w:val="000000"/>
          <w:sz w:val="24"/>
        </w:rPr>
      </w:pPr>
      <w:r>
        <w:rPr>
          <w:rFonts w:ascii="宋体" w:hAnsi="宋体"/>
          <w:b/>
          <w:bCs/>
          <w:color w:val="000000"/>
          <w:sz w:val="24"/>
        </w:rPr>
      </w:r>
      <w:r/>
    </w:p>
    <w:p>
      <w:pPr>
        <w:pStyle w:val="907"/>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907"/>
        <w:ind w:left="480"/>
        <w:rPr>
          <w:rFonts w:ascii="宋体" w:hAnsi="宋体"/>
          <w:b/>
          <w:color w:val="000000"/>
          <w:sz w:val="24"/>
        </w:rPr>
      </w:pPr>
      <w:r>
        <w:rPr>
          <w:rFonts w:ascii="宋体" w:hAnsi="宋体"/>
          <w:b/>
          <w:color w:val="000000"/>
          <w:sz w:val="24"/>
        </w:rPr>
      </w:r>
      <w:r/>
    </w:p>
    <w:p>
      <w:pPr>
        <w:pStyle w:val="907"/>
        <w:ind w:firstLine="480"/>
        <w:spacing w:line="460" w:lineRule="exact"/>
        <w:rPr>
          <w:rFonts w:hint="eastAsia" w:ascii="宋体" w:hAnsi="宋体"/>
          <w:b/>
          <w:color w:val="000000"/>
          <w:sz w:val="24"/>
        </w:rPr>
      </w:pPr>
      <w:r>
        <w:rPr>
          <w:rFonts w:hint="eastAsia" w:ascii="宋体" w:hAnsi="宋体"/>
          <w:b/>
          <w:color w:val="000000"/>
          <w:sz w:val="24"/>
        </w:rPr>
      </w:r>
      <w:r/>
    </w:p>
    <w:p>
      <w:pPr>
        <w:pStyle w:val="907"/>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907"/>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pStyle w:val="907"/>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907"/>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907"/>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pStyle w:val="907"/>
        <w:ind w:firstLine="1200"/>
        <w:spacing w:line="400" w:lineRule="exact"/>
        <w:tabs>
          <w:tab w:val="left" w:pos="360" w:leader="none"/>
        </w:tabs>
        <w:rPr>
          <w:rFonts w:hint="eastAsia"/>
          <w:color w:val="000000"/>
          <w:sz w:val="24"/>
          <w:szCs w:val="24"/>
          <w:u w:val="single"/>
        </w:rPr>
      </w:pPr>
      <w:r>
        <w:rPr>
          <w:rFonts w:hint="eastAsia"/>
          <w:color w:val="000000"/>
          <w:sz w:val="24"/>
          <w:szCs w:val="24"/>
        </w:rPr>
        <w:t xml:space="preserve">被授权人电子邮箱：</w:t>
      </w:r>
      <w:r>
        <w:rPr>
          <w:rFonts w:hint="eastAsia"/>
          <w:color w:val="000000"/>
          <w:sz w:val="24"/>
          <w:szCs w:val="24"/>
          <w:u w:val="single"/>
        </w:rPr>
        <w:t xml:space="preserve">            </w:t>
      </w:r>
      <w:r/>
    </w:p>
    <w:p>
      <w:pPr>
        <w:pStyle w:val="907"/>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907"/>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pStyle w:val="907"/>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rFonts w:hint="eastAsia"/>
          <w:color w:val="000000"/>
          <w:sz w:val="24"/>
          <w:szCs w:val="24"/>
        </w:rPr>
      </w:r>
      <w:r/>
    </w:p>
    <w:p>
      <w:pPr>
        <w:pStyle w:val="907"/>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907"/>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907"/>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95"/>
        <w:spacing w:before="0" w:after="0" w:line="420" w:lineRule="exact"/>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rPr>
        <w:t xml:space="preserve">采购编号为</w:t>
      </w:r>
      <w:r>
        <w:rPr>
          <w:rFonts w:hint="eastAsia" w:ascii="Times New Roman" w:hAnsi="Times New Roman"/>
          <w:color w:val="000000"/>
        </w:rPr>
        <w:t xml:space="preserve">JSZC-320000-SCZX-G20**-****</w:t>
      </w:r>
      <w:r>
        <w:rPr>
          <w:rFonts w:hint="eastAsia" w:ascii="宋体" w:hAnsi="宋体"/>
          <w:color w:val="000000"/>
        </w:rPr>
        <w:t xml:space="preserve">，</w:t>
      </w:r>
      <w:r>
        <w:rPr>
          <w:rFonts w:hint="eastAsia" w:ascii="宋体" w:hAnsi="宋体"/>
          <w:color w:val="000000"/>
          <w:u w:val="single"/>
        </w:rPr>
        <w:t xml:space="preserve">      </w:t>
      </w:r>
      <w:r>
        <w:rPr>
          <w:rFonts w:hint="eastAsia" w:ascii="宋体" w:hAnsi="宋体"/>
          <w:color w:val="000000"/>
        </w:rPr>
        <w:t xml:space="preserve">项目（项目名称）的</w:t>
      </w:r>
      <w:r>
        <w:rPr>
          <w:rFonts w:hint="eastAsia" w:ascii="宋体" w:hAnsi="宋体"/>
          <w:color w:val="000000"/>
          <w:szCs w:val="21"/>
        </w:rPr>
        <w:t xml:space="preserve">招标文件</w:t>
      </w:r>
      <w:r>
        <w:rPr>
          <w:rFonts w:hint="eastAsia" w:ascii="宋体" w:hAnsi="宋体"/>
          <w:color w:val="000000"/>
          <w:szCs w:val="21"/>
        </w:rPr>
        <w:t xml:space="preserve">，正式授权下述签字人______(姓名)代表我方______________（投标人的名称），全权处理本次项目投标的有关事宜。</w:t>
      </w:r>
      <w:r/>
    </w:p>
    <w:p>
      <w:pPr>
        <w:pStyle w:val="995"/>
        <w:spacing w:before="0" w:after="0" w:line="420" w:lineRule="exact"/>
        <w:rPr>
          <w:rFonts w:hint="eastAsia" w:ascii="宋体" w:hAnsi="宋体"/>
          <w:color w:val="000000"/>
          <w:szCs w:val="21"/>
        </w:rPr>
      </w:pPr>
      <w:r>
        <w:rPr>
          <w:rFonts w:hint="eastAsia" w:ascii="宋体" w:hAnsi="宋体"/>
          <w:color w:val="000000"/>
          <w:szCs w:val="21"/>
        </w:rPr>
        <w:t xml:space="preserve">据此函，__________签字人兹宣布同意如下：</w:t>
      </w:r>
      <w:r/>
    </w:p>
    <w:p>
      <w:pPr>
        <w:pStyle w:val="995"/>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p>
    <w:p>
      <w:pPr>
        <w:pStyle w:val="995"/>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p>
    <w:p>
      <w:pPr>
        <w:pStyle w:val="995"/>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w:t>
      </w:r>
      <w:r/>
    </w:p>
    <w:p>
      <w:pPr>
        <w:pStyle w:val="995"/>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p>
    <w:p>
      <w:pPr>
        <w:pStyle w:val="995"/>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p>
    <w:p>
      <w:pPr>
        <w:pStyle w:val="995"/>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p>
    <w:p>
      <w:pPr>
        <w:pStyle w:val="995"/>
        <w:spacing w:before="0" w:after="0" w:line="420" w:lineRule="exact"/>
        <w:rPr>
          <w:rFonts w:hint="eastAsia"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.与本投标有关的正式通讯地址为：</w:t>
      </w:r>
      <w:r/>
    </w:p>
    <w:p>
      <w:pPr>
        <w:pStyle w:val="995"/>
        <w:ind w:left="420"/>
        <w:spacing w:before="0" w:after="0" w:line="420" w:lineRule="exact"/>
        <w:rPr>
          <w:rFonts w:hint="eastAsia" w:ascii="宋体" w:hAnsi="宋体"/>
          <w:color w:val="000000"/>
          <w:szCs w:val="21"/>
        </w:rPr>
      </w:pPr>
      <w:r>
        <w:rPr>
          <w:rFonts w:hint="eastAsia" w:ascii="宋体" w:hAnsi="宋体"/>
          <w:color w:val="000000"/>
          <w:szCs w:val="21"/>
        </w:rPr>
        <w:t xml:space="preserve">地          址：</w:t>
      </w:r>
      <w:r/>
    </w:p>
    <w:p>
      <w:pPr>
        <w:pStyle w:val="995"/>
        <w:ind w:left="420"/>
        <w:spacing w:before="0" w:after="0" w:line="420" w:lineRule="exact"/>
        <w:rPr>
          <w:rFonts w:hint="eastAsia" w:ascii="宋体" w:hAnsi="宋体"/>
          <w:color w:val="000000"/>
          <w:szCs w:val="21"/>
        </w:rPr>
      </w:pPr>
      <w:r>
        <w:rPr>
          <w:rFonts w:hint="eastAsia" w:ascii="宋体" w:hAnsi="宋体"/>
          <w:color w:val="000000"/>
          <w:szCs w:val="21"/>
        </w:rPr>
        <w:t xml:space="preserve">邮          编：</w:t>
      </w:r>
      <w:r/>
    </w:p>
    <w:p>
      <w:pPr>
        <w:pStyle w:val="995"/>
        <w:ind w:left="420"/>
        <w:spacing w:before="0" w:after="0" w:line="420" w:lineRule="exact"/>
        <w:rPr>
          <w:rFonts w:hint="eastAsia" w:ascii="宋体" w:hAnsi="宋体"/>
          <w:color w:val="000000"/>
          <w:szCs w:val="21"/>
        </w:rPr>
      </w:pPr>
      <w:r>
        <w:rPr>
          <w:rFonts w:hint="eastAsia" w:ascii="宋体" w:hAnsi="宋体"/>
          <w:color w:val="000000"/>
          <w:szCs w:val="21"/>
        </w:rPr>
        <w:t xml:space="preserve">电          话：</w:t>
      </w:r>
      <w:r/>
    </w:p>
    <w:p>
      <w:pPr>
        <w:pStyle w:val="995"/>
        <w:ind w:left="420"/>
        <w:spacing w:before="0" w:after="0" w:line="420" w:lineRule="exact"/>
        <w:rPr>
          <w:rFonts w:hint="eastAsia" w:ascii="宋体" w:hAnsi="宋体"/>
          <w:color w:val="000000"/>
          <w:szCs w:val="21"/>
        </w:rPr>
      </w:pPr>
      <w:r>
        <w:rPr>
          <w:rFonts w:hint="eastAsia" w:ascii="宋体" w:hAnsi="宋体"/>
          <w:color w:val="000000"/>
          <w:szCs w:val="21"/>
        </w:rPr>
        <w:t xml:space="preserve">传          真：</w:t>
      </w:r>
      <w:r/>
    </w:p>
    <w:p>
      <w:pPr>
        <w:pStyle w:val="995"/>
        <w:ind w:left="420"/>
        <w:spacing w:before="0" w:after="0" w:line="420" w:lineRule="exact"/>
        <w:rPr>
          <w:rFonts w:hint="eastAsia" w:ascii="宋体" w:hAnsi="宋体"/>
          <w:color w:val="000000"/>
          <w:szCs w:val="21"/>
        </w:rPr>
      </w:pPr>
      <w:r>
        <w:rPr>
          <w:rFonts w:hint="eastAsia" w:ascii="宋体" w:hAnsi="宋体"/>
          <w:color w:val="000000"/>
          <w:szCs w:val="21"/>
        </w:rPr>
        <w:t xml:space="preserve">投标人开户行：</w:t>
      </w:r>
      <w:r/>
    </w:p>
    <w:p>
      <w:pPr>
        <w:pStyle w:val="995"/>
        <w:ind w:left="420"/>
        <w:spacing w:before="0" w:after="0" w:line="420" w:lineRule="exact"/>
        <w:rPr>
          <w:rFonts w:hint="eastAsia" w:ascii="宋体" w:hAnsi="宋体"/>
          <w:color w:val="000000"/>
          <w:szCs w:val="21"/>
        </w:rPr>
      </w:pPr>
      <w:r>
        <w:rPr>
          <w:rFonts w:hint="eastAsia" w:ascii="宋体" w:hAnsi="宋体"/>
          <w:color w:val="000000"/>
          <w:szCs w:val="21"/>
        </w:rPr>
        <w:t xml:space="preserve">账          号： </w:t>
      </w:r>
      <w:r/>
    </w:p>
    <w:p>
      <w:pPr>
        <w:pStyle w:val="907"/>
        <w:jc w:val="right"/>
        <w:spacing w:line="420" w:lineRule="exact"/>
        <w:rPr>
          <w:rFonts w:hint="eastAsia"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rPr>
      </w:r>
      <w:r/>
    </w:p>
    <w:p>
      <w:pPr>
        <w:pStyle w:val="995"/>
        <w:ind w:left="420" w:firstLine="643"/>
        <w:jc w:val="right"/>
        <w:spacing w:before="0" w:after="0" w:line="420" w:lineRule="exact"/>
        <w:rPr>
          <w:rFonts w:hint="eastAsia" w:ascii="宋体" w:hAnsi="宋体"/>
          <w:b/>
          <w:color w:val="000000"/>
          <w:sz w:val="32"/>
          <w:szCs w:val="32"/>
        </w:rPr>
      </w:pPr>
      <w:r>
        <w:rPr>
          <w:rFonts w:hint="eastAsia" w:ascii="宋体" w:hAnsi="宋体"/>
          <w:b/>
          <w:color w:val="000000"/>
          <w:sz w:val="32"/>
          <w:szCs w:val="32"/>
        </w:rPr>
        <w:t xml:space="preserve">供应商全称（加盖CA电子公章）：</w:t>
      </w:r>
      <w:r/>
    </w:p>
    <w:p>
      <w:pPr>
        <w:pStyle w:val="995"/>
        <w:ind w:left="420" w:firstLine="0"/>
        <w:jc w:val="right"/>
        <w:spacing w:before="0" w:after="0" w:line="420" w:lineRule="exact"/>
        <w:rPr>
          <w:rFonts w:hint="eastAsia" w:ascii="宋体" w:hAnsi="宋体"/>
          <w:color w:val="000000"/>
          <w:szCs w:val="21"/>
        </w:rPr>
      </w:pPr>
      <w:r>
        <w:rPr>
          <w:rFonts w:hint="eastAsia" w:ascii="宋体" w:hAnsi="宋体"/>
          <w:color w:val="000000"/>
          <w:szCs w:val="21"/>
        </w:rPr>
        <w:t xml:space="preserve">日           期：___年____月____日</w:t>
      </w:r>
      <w:r/>
    </w:p>
    <w:p>
      <w:pPr>
        <w:pStyle w:val="907"/>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07"/>
        <w:ind w:firstLine="480"/>
        <w:spacing w:line="440" w:lineRule="exact"/>
        <w:rPr>
          <w:rFonts w:ascii="宋体" w:hAnsi="宋体"/>
          <w:color w:val="000000"/>
          <w:sz w:val="24"/>
        </w:rPr>
      </w:pPr>
      <w:r>
        <w:rPr>
          <w:rFonts w:ascii="宋体" w:hAnsi="宋体"/>
          <w:color w:val="000000"/>
          <w:sz w:val="24"/>
        </w:rPr>
      </w:r>
      <w:r/>
    </w:p>
    <w:p>
      <w:pPr>
        <w:pStyle w:val="907"/>
        <w:ind w:firstLine="480"/>
        <w:spacing w:line="440" w:lineRule="exact"/>
        <w:rPr>
          <w:rFonts w:ascii="宋体" w:hAnsi="宋体"/>
          <w:color w:val="000000"/>
          <w:sz w:val="24"/>
        </w:rPr>
      </w:pPr>
      <w:r>
        <w:rPr>
          <w:rFonts w:ascii="宋体" w:hAnsi="宋体"/>
          <w:color w:val="000000"/>
          <w:sz w:val="24"/>
        </w:rPr>
      </w:r>
      <w:r/>
    </w:p>
    <w:p>
      <w:pPr>
        <w:pStyle w:val="907"/>
        <w:ind w:firstLine="480"/>
        <w:spacing w:line="440" w:lineRule="exact"/>
        <w:rPr>
          <w:rFonts w:ascii="宋体" w:hAnsi="宋体"/>
          <w:color w:val="000000"/>
          <w:sz w:val="24"/>
        </w:rPr>
      </w:pPr>
      <w:r>
        <w:rPr>
          <w:rFonts w:ascii="宋体" w:hAnsi="宋体"/>
          <w:color w:val="000000"/>
          <w:sz w:val="24"/>
        </w:rPr>
      </w:r>
      <w:r/>
    </w:p>
    <w:p>
      <w:pPr>
        <w:pStyle w:val="907"/>
        <w:ind w:firstLine="480"/>
        <w:spacing w:line="440" w:lineRule="exact"/>
        <w:rPr>
          <w:rFonts w:ascii="宋体" w:hAnsi="宋体"/>
          <w:color w:val="000000"/>
          <w:sz w:val="24"/>
        </w:rPr>
      </w:pPr>
      <w:r>
        <w:rPr>
          <w:rFonts w:ascii="宋体" w:hAnsi="宋体"/>
          <w:color w:val="000000"/>
          <w:sz w:val="24"/>
        </w:rPr>
      </w:r>
      <w:r/>
    </w:p>
    <w:p>
      <w:pPr>
        <w:pStyle w:val="907"/>
        <w:ind w:firstLine="480"/>
        <w:spacing w:line="440" w:lineRule="exact"/>
        <w:rPr>
          <w:rFonts w:ascii="宋体" w:hAnsi="宋体"/>
          <w:color w:val="000000"/>
          <w:sz w:val="24"/>
        </w:rPr>
      </w:pPr>
      <w:r>
        <w:rPr>
          <w:rFonts w:ascii="宋体" w:hAnsi="宋体"/>
          <w:color w:val="000000"/>
          <w:sz w:val="24"/>
        </w:rPr>
      </w:r>
      <w:r/>
    </w:p>
    <w:p>
      <w:pPr>
        <w:pStyle w:val="907"/>
        <w:spacing w:line="460" w:lineRule="exact"/>
        <w:rPr>
          <w:rFonts w:hint="eastAsia" w:ascii="黑体" w:hAnsi="黑体" w:eastAsia="黑体"/>
          <w:b/>
          <w:color w:val="000000"/>
          <w:sz w:val="32"/>
          <w:szCs w:val="32"/>
        </w:rPr>
      </w:pPr>
      <w:r/>
      <w:bookmarkEnd w:id="225"/>
      <w:r/>
      <w:bookmarkEnd w:id="226"/>
      <w:r/>
      <w:bookmarkEnd w:id="227"/>
      <w:r/>
      <w:bookmarkStart w:id="228" w:name="_Toc120614284"/>
      <w:r>
        <w:rPr>
          <w:rFonts w:hint="eastAsia" w:ascii="黑体" w:hAnsi="黑体" w:eastAsia="黑体"/>
          <w:b/>
          <w:color w:val="000000"/>
          <w:sz w:val="32"/>
          <w:szCs w:val="32"/>
        </w:rPr>
      </w:r>
      <w:r/>
    </w:p>
    <w:p>
      <w:pPr>
        <w:pStyle w:val="907"/>
        <w:jc w:val="center"/>
        <w:spacing w:line="460" w:lineRule="exact"/>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9</w:t>
      </w:r>
      <w:r>
        <w:rPr>
          <w:rFonts w:hint="eastAsia" w:ascii="宋体" w:hAnsi="宋体"/>
          <w:b/>
          <w:color w:val="000000"/>
          <w:sz w:val="24"/>
          <w:szCs w:val="24"/>
        </w:rPr>
        <w:t xml:space="preserve"> 中小微企业声明函（服务类项目）（采购包号：**）</w:t>
      </w:r>
      <w:r/>
    </w:p>
    <w:p>
      <w:pPr>
        <w:pStyle w:val="90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color w:val="000000"/>
          <w:sz w:val="24"/>
          <w:szCs w:val="24"/>
        </w:rPr>
        <w:t xml:space="preserve">JSZC-320000-SCZX-G20**-****</w:t>
      </w:r>
      <w:r>
        <w:rPr>
          <w:rFonts w:hint="eastAsia" w:ascii="宋体" w:hAnsi="宋体"/>
          <w:color w:val="000000"/>
          <w:sz w:val="24"/>
          <w:szCs w:val="24"/>
        </w:rPr>
        <w:t xml:space="preserve">，</w:t>
      </w:r>
      <w:r>
        <w:rPr>
          <w:rFonts w:hint="eastAsia" w:ascii="宋体" w:hAnsi="宋体"/>
          <w:color w:val="000000"/>
          <w:sz w:val="24"/>
          <w:szCs w:val="24"/>
          <w:u w:val="single"/>
        </w:rPr>
        <w:t xml:space="preserve">      </w:t>
      </w:r>
      <w:r>
        <w:rPr>
          <w:rFonts w:hint="eastAsia" w:ascii="宋体" w:hAnsi="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907"/>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907"/>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90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p>
    <w:p>
      <w:pPr>
        <w:pStyle w:val="90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pStyle w:val="90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pStyle w:val="907"/>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907"/>
        <w:ind w:right="180" w:firstLine="360"/>
        <w:jc w:val="center"/>
        <w:spacing w:line="400" w:lineRule="exact"/>
        <w:rPr>
          <w:rFonts w:hint="eastAsia" w:ascii="宋体" w:hAnsi="宋体"/>
          <w:color w:val="000000"/>
          <w:sz w:val="24"/>
          <w:szCs w:val="24"/>
        </w:rPr>
      </w:pPr>
      <w:r>
        <w:rPr>
          <w:rFonts w:hint="eastAsia" w:ascii="宋体" w:hAnsi="宋体"/>
          <w:color w:val="000000"/>
          <w:sz w:val="24"/>
          <w:szCs w:val="24"/>
        </w:rPr>
        <w:t xml:space="preserve">                                   企业名称（加盖CA电子公章）：</w:t>
      </w:r>
      <w:r/>
    </w:p>
    <w:p>
      <w:pPr>
        <w:pStyle w:val="907"/>
        <w:ind w:right="180" w:firstLine="360"/>
        <w:jc w:val="center"/>
        <w:spacing w:line="400" w:lineRule="exact"/>
        <w:rPr>
          <w:rFonts w:hint="eastAsia" w:ascii="宋体" w:hAnsi="宋体"/>
          <w:color w:val="000000"/>
          <w:sz w:val="24"/>
          <w:szCs w:val="24"/>
        </w:rPr>
      </w:pPr>
      <w:r>
        <w:rPr>
          <w:rFonts w:hint="eastAsia" w:ascii="宋体" w:hAnsi="宋体" w:cs="宋体"/>
          <w:color w:val="000000"/>
          <w:sz w:val="24"/>
          <w:szCs w:val="24"/>
          <w:shd w:val="clear" w:color="auto" w:fill="ffffff"/>
        </w:rPr>
        <w:t xml:space="preserve">                               日期：___年____月____日 </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907"/>
        <w:ind w:left="540" w:hanging="120"/>
        <w:spacing w:line="400" w:lineRule="exact"/>
        <w:rPr>
          <w:rFonts w:ascii="宋体" w:hAnsi="宋体"/>
          <w:color w:val="000000"/>
          <w:sz w:val="24"/>
          <w:szCs w:val="24"/>
        </w:rPr>
      </w:pPr>
      <w:r>
        <w:rPr>
          <w:rFonts w:hint="eastAsia" w:ascii="宋体" w:hAnsi="宋体"/>
          <w:color w:val="000000"/>
          <w:sz w:val="24"/>
          <w:szCs w:val="24"/>
        </w:rPr>
        <w:t xml:space="preserve">3.供应商应对照《工业和信息化部、国家统计局、国家发展和改革委员会、财政部</w:t>
      </w:r>
      <w:r>
        <w:rPr>
          <w:rFonts w:ascii="宋体" w:hAnsi="宋体"/>
          <w:color w:val="000000"/>
          <w:sz w:val="24"/>
          <w:szCs w:val="24"/>
        </w:rPr>
      </w:r>
      <w:r/>
    </w:p>
    <w:p>
      <w:pPr>
        <w:pStyle w:val="907"/>
        <w:spacing w:line="400" w:lineRule="exact"/>
        <w:rPr>
          <w:rFonts w:hint="eastAsia" w:ascii="宋体" w:hAnsi="宋体"/>
          <w:color w:val="000000"/>
          <w:sz w:val="24"/>
          <w:szCs w:val="24"/>
        </w:rPr>
      </w:pPr>
      <w:r>
        <w:rPr>
          <w:rFonts w:hint="eastAsia" w:ascii="宋体" w:hAnsi="宋体"/>
          <w:color w:val="000000"/>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hint="eastAsia" w:ascii="宋体" w:hAnsi="宋体"/>
          <w:color w:val="000000"/>
          <w:sz w:val="24"/>
          <w:szCs w:val="24"/>
        </w:rPr>
        <w:t xml:space="preserve">  </w:t>
      </w:r>
      <w:r>
        <w:rPr>
          <w:rFonts w:ascii="宋体" w:hAnsi="宋体"/>
          <w:color w:val="000000"/>
          <w:sz w:val="24"/>
          <w:szCs w:val="24"/>
        </w:rPr>
        <w:t xml:space="preserve">  </w:t>
      </w:r>
      <w:r>
        <w:rPr>
          <w:rFonts w:ascii="黑体" w:hAnsi="黑体" w:eastAsia="黑体"/>
          <w:b/>
          <w:color w:val="000000"/>
          <w:sz w:val="32"/>
          <w:szCs w:val="32"/>
        </w:rPr>
        <w:br w:type="page" w:clear="all"/>
      </w:r>
      <w:r>
        <w:rPr>
          <w:rFonts w:hint="eastAsia" w:ascii="宋体" w:hAnsi="宋体"/>
          <w:b/>
          <w:color w:val="000000"/>
          <w:sz w:val="24"/>
          <w:szCs w:val="24"/>
        </w:rPr>
        <w:t xml:space="preserve">附件</w:t>
      </w:r>
      <w:r>
        <w:rPr>
          <w:rFonts w:ascii="宋体" w:hAnsi="宋体"/>
          <w:b/>
          <w:color w:val="000000"/>
          <w:sz w:val="24"/>
          <w:szCs w:val="24"/>
        </w:rPr>
        <w:t xml:space="preserve">10</w:t>
      </w:r>
      <w:r>
        <w:rPr>
          <w:rFonts w:hint="eastAsia" w:ascii="宋体" w:hAnsi="宋体"/>
          <w:b/>
          <w:color w:val="000000"/>
          <w:sz w:val="24"/>
          <w:szCs w:val="24"/>
        </w:rPr>
        <w:t xml:space="preserve"> 残疾人福利性单位声明函（服务类项目）（采购包号：**）</w:t>
      </w:r>
      <w:r>
        <w:rPr>
          <w:rFonts w:hint="eastAsia" w:ascii="宋体" w:hAnsi="宋体"/>
          <w:color w:val="000000"/>
          <w:sz w:val="24"/>
          <w:szCs w:val="24"/>
        </w:rPr>
      </w:r>
      <w:r/>
    </w:p>
    <w:p>
      <w:pPr>
        <w:pStyle w:val="907"/>
        <w:ind w:firstLine="480"/>
        <w:spacing w:line="0" w:lineRule="atLeas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color w:val="000000"/>
          <w:sz w:val="24"/>
          <w:szCs w:val="24"/>
        </w:rPr>
        <w:t xml:space="preserve">采购编号为</w:t>
      </w:r>
      <w:r>
        <w:rPr>
          <w:rFonts w:hint="eastAsia"/>
          <w:color w:val="000000"/>
          <w:sz w:val="24"/>
          <w:szCs w:val="24"/>
        </w:rPr>
        <w:t xml:space="preserve">JSZC-320000-SCZX-G20**-****</w:t>
      </w:r>
      <w:r>
        <w:rPr>
          <w:rFonts w:hint="eastAsia" w:ascii="宋体" w:hAnsi="宋体"/>
          <w:color w:val="000000"/>
          <w:sz w:val="24"/>
          <w:szCs w:val="24"/>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 xml:space="preserve">项目（项目名称）（采购包号：**）</w:t>
      </w:r>
      <w:r>
        <w:rPr>
          <w:rFonts w:hint="eastAsia" w:ascii="宋体" w:hAnsi="宋体"/>
          <w:color w:val="000000"/>
          <w:sz w:val="24"/>
        </w:rPr>
        <w:t xml:space="preserve">采购活动由本单位提供服务。</w:t>
      </w:r>
      <w:r/>
    </w:p>
    <w:p>
      <w:pPr>
        <w:pStyle w:val="907"/>
        <w:ind w:firstLine="480"/>
        <w:spacing w:line="0" w:lineRule="atLeas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907"/>
        <w:ind w:firstLine="480"/>
        <w:spacing w:line="0" w:lineRule="atLeast"/>
        <w:rPr>
          <w:rFonts w:hint="eastAsia" w:ascii="宋体" w:hAnsi="宋体"/>
          <w:color w:val="000000"/>
          <w:sz w:val="24"/>
        </w:rPr>
      </w:pPr>
      <w:r>
        <w:rPr>
          <w:rFonts w:hint="eastAsia" w:ascii="宋体" w:hAnsi="宋体"/>
          <w:color w:val="000000"/>
          <w:sz w:val="24"/>
        </w:rPr>
      </w:r>
      <w:r/>
    </w:p>
    <w:p>
      <w:pPr>
        <w:pStyle w:val="907"/>
        <w:ind w:firstLine="480"/>
        <w:spacing w:line="0" w:lineRule="atLeast"/>
        <w:rPr>
          <w:rFonts w:ascii="宋体" w:hAnsi="宋体"/>
          <w:color w:val="000000"/>
          <w:sz w:val="24"/>
        </w:rPr>
      </w:pPr>
      <w:r>
        <w:rPr>
          <w:rFonts w:hint="eastAsia" w:ascii="宋体" w:hAnsi="宋体"/>
          <w:color w:val="000000"/>
          <w:sz w:val="24"/>
        </w:rPr>
        <w:t xml:space="preserve">备注：</w:t>
      </w:r>
      <w:r>
        <w:rPr>
          <w:rFonts w:ascii="宋体" w:hAnsi="宋体"/>
          <w:color w:val="000000"/>
          <w:sz w:val="24"/>
        </w:rPr>
      </w:r>
      <w:r/>
    </w:p>
    <w:p>
      <w:pPr>
        <w:pStyle w:val="907"/>
        <w:ind w:firstLine="480"/>
        <w:spacing w:line="0" w:lineRule="atLeas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专门面向中小微型企业采购的</w:t>
      </w:r>
      <w:r>
        <w:rPr>
          <w:rFonts w:ascii="宋体" w:hAnsi="宋体"/>
          <w:color w:val="000000"/>
          <w:sz w:val="24"/>
        </w:rPr>
        <w:t xml:space="preserve">项目</w:t>
      </w:r>
      <w:r>
        <w:rPr>
          <w:rFonts w:hint="eastAsia" w:ascii="宋体" w:hAnsi="宋体"/>
          <w:color w:val="000000"/>
          <w:sz w:val="24"/>
        </w:rPr>
        <w:t xml:space="preserve">，供应商为残疾人福利性单位并提供服务的必须提供此</w:t>
      </w:r>
      <w:r>
        <w:rPr>
          <w:rFonts w:ascii="宋体" w:hAnsi="宋体"/>
          <w:color w:val="000000"/>
          <w:sz w:val="24"/>
        </w:rPr>
        <w:t xml:space="preserve">声明函</w:t>
      </w:r>
      <w:r>
        <w:rPr>
          <w:rFonts w:hint="eastAsia" w:ascii="宋体" w:hAnsi="宋体"/>
          <w:color w:val="000000"/>
          <w:sz w:val="24"/>
        </w:rPr>
        <w:t xml:space="preserve">，</w:t>
      </w:r>
      <w:r>
        <w:rPr>
          <w:rFonts w:ascii="宋体" w:hAnsi="宋体"/>
          <w:color w:val="000000"/>
          <w:sz w:val="24"/>
        </w:rPr>
        <w:t xml:space="preserve">否则将</w:t>
      </w:r>
      <w:r>
        <w:rPr>
          <w:rFonts w:hint="eastAsia" w:ascii="宋体" w:hAnsi="宋体"/>
          <w:color w:val="000000"/>
          <w:sz w:val="24"/>
        </w:rPr>
        <w:t xml:space="preserve">不能</w:t>
      </w:r>
      <w:r>
        <w:rPr>
          <w:rFonts w:ascii="宋体" w:hAnsi="宋体"/>
          <w:color w:val="000000"/>
          <w:sz w:val="24"/>
        </w:rPr>
        <w:t xml:space="preserve">通过资格审查</w:t>
      </w:r>
      <w:r>
        <w:rPr>
          <w:rFonts w:hint="eastAsia" w:ascii="宋体" w:hAnsi="宋体"/>
          <w:color w:val="000000"/>
          <w:sz w:val="24"/>
        </w:rPr>
        <w:t xml:space="preserve">。</w:t>
      </w:r>
      <w:r>
        <w:rPr>
          <w:rFonts w:ascii="宋体" w:hAnsi="宋体"/>
          <w:color w:val="000000"/>
          <w:sz w:val="24"/>
        </w:rPr>
      </w:r>
      <w:r/>
    </w:p>
    <w:p>
      <w:pPr>
        <w:pStyle w:val="907"/>
        <w:ind w:firstLine="480"/>
        <w:spacing w:line="0" w:lineRule="atLeast"/>
        <w:rPr>
          <w:rFonts w:ascii="宋体" w:hAnsi="宋体"/>
          <w:color w:val="000000"/>
          <w:sz w:val="24"/>
        </w:rPr>
      </w:pPr>
      <w:r>
        <w:rPr>
          <w:rFonts w:hint="eastAsia" w:ascii="宋体" w:hAnsi="宋体"/>
          <w:color w:val="000000"/>
          <w:sz w:val="24"/>
        </w:rPr>
        <w:t xml:space="preserve">2.非专门面向中小微型企业采购的</w:t>
      </w:r>
      <w:r>
        <w:rPr>
          <w:rFonts w:ascii="宋体" w:hAnsi="宋体"/>
          <w:color w:val="000000"/>
          <w:sz w:val="24"/>
        </w:rPr>
        <w:t xml:space="preserve">项目</w:t>
      </w:r>
      <w:r>
        <w:rPr>
          <w:rFonts w:hint="eastAsia" w:ascii="宋体" w:hAnsi="宋体"/>
          <w:color w:val="000000"/>
          <w:sz w:val="24"/>
        </w:rPr>
        <w:t xml:space="preserve">，供应商如不提供此声明函，价格将不做相应扣除。</w:t>
      </w:r>
      <w:r>
        <w:rPr>
          <w:rFonts w:ascii="宋体" w:hAnsi="宋体"/>
          <w:color w:val="000000"/>
          <w:sz w:val="24"/>
        </w:rPr>
      </w:r>
      <w:r/>
    </w:p>
    <w:p>
      <w:pPr>
        <w:pStyle w:val="907"/>
        <w:ind w:firstLine="480"/>
        <w:spacing w:line="0" w:lineRule="atLeas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.中标/成交供应商为残疾人福利性单位的，此声明函将随中标/成交结果同时公告，接受社会监督</w:t>
      </w:r>
      <w:r>
        <w:rPr>
          <w:rFonts w:ascii="宋体" w:hAnsi="宋体"/>
          <w:color w:val="000000"/>
          <w:sz w:val="24"/>
        </w:rPr>
      </w:r>
      <w:r/>
    </w:p>
    <w:p>
      <w:pPr>
        <w:pStyle w:val="907"/>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907"/>
        <w:ind w:right="1559" w:firstLine="624"/>
        <w:jc w:val="center"/>
        <w:spacing w:line="0" w:lineRule="atLeast"/>
        <w:tabs>
          <w:tab w:val="left" w:pos="4860" w:leader="none"/>
        </w:tabs>
        <w:rPr>
          <w:rFonts w:ascii="宋体" w:hAnsi="宋体"/>
          <w:color w:val="000000"/>
          <w:sz w:val="24"/>
        </w:rPr>
      </w:pPr>
      <w:r>
        <w:rPr>
          <w:rFonts w:hint="eastAsia" w:ascii="仿宋_GB2312" w:eastAsia="仿宋_GB2312"/>
          <w:color w:val="000000"/>
          <w:spacing w:val="6"/>
          <w:sz w:val="30"/>
          <w:szCs w:val="30"/>
        </w:rPr>
        <w:t xml:space="preserve">             </w:t>
      </w:r>
      <w:r>
        <w:rPr>
          <w:rFonts w:hint="eastAsia" w:ascii="宋体" w:hAnsi="宋体"/>
          <w:color w:val="000000"/>
          <w:sz w:val="24"/>
        </w:rPr>
        <w:t xml:space="preserve">          供应商全称（加盖CA电子公章）：</w:t>
      </w:r>
      <w:r>
        <w:rPr>
          <w:rFonts w:ascii="宋体" w:hAnsi="宋体"/>
          <w:color w:val="000000"/>
          <w:sz w:val="24"/>
        </w:rPr>
      </w:r>
      <w:r/>
    </w:p>
    <w:p>
      <w:pPr>
        <w:pStyle w:val="907"/>
        <w:ind w:right="1559" w:firstLine="480"/>
        <w:jc w:val="center"/>
        <w:spacing w:line="0" w:lineRule="atLeast"/>
        <w:tabs>
          <w:tab w:val="left" w:pos="4860" w:leader="none"/>
        </w:tabs>
        <w:rPr>
          <w:rFonts w:ascii="宋体" w:hAnsi="宋体"/>
          <w:color w:val="000000"/>
          <w:sz w:val="24"/>
        </w:rPr>
      </w:pPr>
      <w:r>
        <w:rPr>
          <w:rFonts w:hint="eastAsia" w:ascii="宋体" w:hAnsi="宋体"/>
          <w:color w:val="000000"/>
          <w:sz w:val="24"/>
        </w:rPr>
        <w:t xml:space="preserve">                           </w:t>
      </w:r>
      <w:r>
        <w:rPr>
          <w:rFonts w:hint="eastAsia" w:ascii="宋体" w:hAnsi="宋体" w:cs="宋体"/>
          <w:color w:val="000000"/>
          <w:sz w:val="24"/>
          <w:szCs w:val="24"/>
          <w:shd w:val="clear" w:color="auto" w:fill="ffffff"/>
        </w:rPr>
        <w:t xml:space="preserve">日期：___年____月____日   </w:t>
      </w:r>
      <w:r>
        <w:rPr>
          <w:rFonts w:ascii="宋体" w:hAnsi="宋体"/>
          <w:color w:val="000000"/>
          <w:sz w:val="24"/>
        </w:rPr>
      </w:r>
      <w:r/>
    </w:p>
    <w:p>
      <w:pPr>
        <w:pStyle w:val="90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0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07"/>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07"/>
        <w:jc w:val="center"/>
        <w:spacing w:line="560" w:lineRule="exact"/>
        <w:rPr>
          <w:rFonts w:ascii="宋体" w:hAnsi="宋体"/>
          <w:b/>
          <w:color w:val="000000"/>
          <w:sz w:val="24"/>
          <w:szCs w:val="24"/>
        </w:rPr>
      </w:pPr>
      <w:r>
        <w:rPr>
          <w:rFonts w:hint="eastAsia" w:ascii="宋体" w:hAnsi="宋体"/>
          <w:b/>
          <w:color w:val="000000"/>
          <w:sz w:val="24"/>
          <w:szCs w:val="24"/>
        </w:rPr>
        <w:t xml:space="preserve">附件1</w:t>
      </w:r>
      <w:r>
        <w:rPr>
          <w:rFonts w:ascii="宋体" w:hAnsi="宋体"/>
          <w:b/>
          <w:color w:val="000000"/>
          <w:sz w:val="24"/>
          <w:szCs w:val="24"/>
        </w:rPr>
        <w:t xml:space="preserve">1</w:t>
      </w:r>
      <w:r>
        <w:rPr>
          <w:rFonts w:hint="eastAsia" w:ascii="宋体" w:hAnsi="宋体"/>
          <w:b/>
          <w:color w:val="000000"/>
          <w:sz w:val="24"/>
          <w:szCs w:val="24"/>
        </w:rPr>
        <w:t xml:space="preserve"> 联合体协议（参考格式）（采购包号：**）</w:t>
      </w:r>
      <w:r>
        <w:rPr>
          <w:rFonts w:ascii="宋体" w:hAnsi="宋体"/>
          <w:b/>
          <w:color w:val="000000"/>
          <w:sz w:val="24"/>
          <w:szCs w:val="24"/>
        </w:rPr>
      </w:r>
      <w:r/>
    </w:p>
    <w:p>
      <w:pPr>
        <w:pStyle w:val="907"/>
        <w:spacing w:line="0" w:lineRule="atLeast"/>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907"/>
        <w:ind w:firstLine="645"/>
        <w:spacing w:line="0" w:lineRule="atLeas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自愿组成联合体，参加江苏省政府采购中心组织的</w:t>
      </w:r>
      <w:r>
        <w:rPr>
          <w:rFonts w:hint="eastAsia" w:ascii="宋体" w:hAnsi="宋体"/>
          <w:color w:val="000000"/>
          <w:sz w:val="24"/>
          <w:szCs w:val="24"/>
        </w:rPr>
        <w:t xml:space="preserve">采购编号为</w:t>
      </w:r>
      <w:r>
        <w:rPr>
          <w:rFonts w:hint="eastAsia"/>
          <w:color w:val="000000"/>
          <w:sz w:val="24"/>
          <w:szCs w:val="24"/>
        </w:rPr>
        <w:t xml:space="preserve">JSZC-320000-SCZX-G20**-****</w:t>
      </w:r>
      <w:r>
        <w:rPr>
          <w:rFonts w:hint="eastAsia" w:ascii="宋体" w:hAnsi="宋体"/>
          <w:color w:val="000000"/>
          <w:sz w:val="24"/>
          <w:szCs w:val="24"/>
        </w:rPr>
        <w:t xml:space="preserve">，</w:t>
      </w:r>
      <w:r>
        <w:rPr>
          <w:rFonts w:hint="eastAsia" w:ascii="宋体" w:hAnsi="宋体"/>
          <w:color w:val="000000"/>
          <w:sz w:val="24"/>
          <w:szCs w:val="24"/>
          <w:u w:val="single"/>
        </w:rPr>
        <w:t xml:space="preserve">    </w:t>
      </w:r>
      <w:r>
        <w:rPr>
          <w:rFonts w:hint="eastAsia" w:ascii="宋体" w:hAnsi="宋体"/>
          <w:color w:val="000000"/>
          <w:sz w:val="24"/>
          <w:szCs w:val="24"/>
        </w:rPr>
        <w:t xml:space="preserve">项目（项目名称）（采购包号：**）</w:t>
      </w:r>
      <w:r>
        <w:rPr>
          <w:rFonts w:hint="eastAsia" w:ascii="宋体" w:hAnsi="宋体"/>
          <w:color w:val="000000"/>
          <w:sz w:val="24"/>
        </w:rPr>
        <w:t xml:space="preserve">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907"/>
        <w:ind w:firstLine="645"/>
        <w:spacing w:line="0" w:lineRule="atLeas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907"/>
        <w:ind w:firstLine="645"/>
        <w:spacing w:line="0" w:lineRule="atLeas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pStyle w:val="907"/>
        <w:ind w:firstLine="645"/>
        <w:spacing w:line="0" w:lineRule="atLeast"/>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p>
    <w:p>
      <w:pPr>
        <w:pStyle w:val="907"/>
        <w:ind w:firstLine="645"/>
        <w:jc w:val="right"/>
        <w:spacing w:line="0" w:lineRule="atLeast"/>
        <w:rPr>
          <w:rFonts w:ascii="宋体" w:hAnsi="宋体"/>
          <w:color w:val="000000"/>
          <w:sz w:val="24"/>
        </w:rPr>
      </w:pPr>
      <w:r>
        <w:rPr>
          <w:rFonts w:hint="eastAsia" w:ascii="宋体" w:hAnsi="宋体"/>
          <w:color w:val="000000"/>
          <w:sz w:val="24"/>
        </w:rPr>
        <w:t xml:space="preserve">联合体中各供应商全称（公章）：</w:t>
      </w:r>
      <w:r>
        <w:rPr>
          <w:rFonts w:ascii="宋体" w:hAnsi="宋体"/>
          <w:color w:val="000000"/>
          <w:sz w:val="24"/>
        </w:rPr>
        <w:t xml:space="preserve">     </w:t>
      </w:r>
      <w:r/>
    </w:p>
    <w:p>
      <w:pPr>
        <w:pStyle w:val="907"/>
        <w:ind w:firstLine="645"/>
        <w:spacing w:line="0" w:lineRule="atLeas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s="宋体"/>
          <w:color w:val="000000"/>
          <w:sz w:val="24"/>
          <w:szCs w:val="24"/>
          <w:shd w:val="clear" w:color="auto" w:fill="ffffff"/>
        </w:rPr>
        <w:t xml:space="preserve">日期：___年____月____日     </w:t>
      </w:r>
      <w:r>
        <w:rPr>
          <w:rFonts w:ascii="宋体" w:hAnsi="宋体"/>
          <w:color w:val="000000"/>
          <w:sz w:val="24"/>
        </w:rPr>
      </w:r>
      <w:r/>
    </w:p>
    <w:p>
      <w:pPr>
        <w:pStyle w:val="907"/>
        <w:ind w:firstLine="645"/>
        <w:spacing w:line="0" w:lineRule="atLeast"/>
        <w:rPr>
          <w:rFonts w:hint="eastAsia" w:ascii="宋体" w:hAnsi="宋体"/>
          <w:color w:val="000000"/>
          <w:sz w:val="24"/>
        </w:rPr>
      </w:pPr>
      <w:r>
        <w:rPr>
          <w:rFonts w:hint="eastAsia" w:ascii="宋体" w:hAnsi="宋体"/>
          <w:color w:val="000000"/>
          <w:sz w:val="24"/>
        </w:rPr>
      </w:r>
      <w:r/>
    </w:p>
    <w:p>
      <w:pPr>
        <w:pStyle w:val="907"/>
        <w:ind w:firstLine="645"/>
        <w:spacing w:line="0" w:lineRule="atLeast"/>
        <w:rPr>
          <w:rFonts w:hint="eastAsia" w:ascii="宋体" w:hAnsi="宋体"/>
          <w:color w:val="000000"/>
          <w:sz w:val="24"/>
        </w:rPr>
      </w:pPr>
      <w:r>
        <w:rPr>
          <w:rFonts w:hint="eastAsia" w:ascii="宋体" w:hAnsi="宋体"/>
          <w:color w:val="000000"/>
          <w:sz w:val="24"/>
        </w:rPr>
        <w:t xml:space="preserve">备注：本招标文件中要求加盖CA电子签章的地方，仅需加盖牵头单位的CA电子签章。</w:t>
      </w:r>
      <w:r/>
    </w:p>
    <w:p>
      <w:pPr>
        <w:pStyle w:val="907"/>
        <w:ind w:firstLine="645"/>
        <w:spacing w:line="0" w:lineRule="atLeast"/>
        <w:rPr>
          <w:rFonts w:hint="eastAsia" w:ascii="宋体" w:hAnsi="宋体"/>
          <w:color w:val="000000"/>
          <w:sz w:val="24"/>
        </w:rPr>
      </w:pPr>
      <w:r>
        <w:rPr>
          <w:rFonts w:hint="eastAsia" w:ascii="宋体" w:hAnsi="宋体"/>
          <w:color w:val="000000"/>
          <w:sz w:val="24"/>
        </w:rPr>
      </w:r>
      <w:r/>
    </w:p>
    <w:p>
      <w:pPr>
        <w:pStyle w:val="907"/>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12</w:t>
      </w:r>
      <w:r>
        <w:rPr>
          <w:rFonts w:hint="eastAsia" w:ascii="宋体" w:hAnsi="宋体"/>
          <w:b/>
          <w:color w:val="000000"/>
          <w:sz w:val="24"/>
          <w:szCs w:val="24"/>
        </w:rPr>
        <w:t xml:space="preserve"> 实质性要求响应及偏离表（采购包号：**）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09" w:type="dxa"/>
            <w:vAlign w:val="top"/>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3609" w:type="dxa"/>
            <w:vAlign w:val="top"/>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907"/>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07"/>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907"/>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pStyle w:val="907"/>
        <w:spacing w:line="400" w:lineRule="exact"/>
        <w:rPr>
          <w:rFonts w:ascii="宋体" w:hAnsi="宋体"/>
          <w:color w:val="000000"/>
          <w:sz w:val="24"/>
          <w:szCs w:val="24"/>
        </w:rPr>
      </w:pPr>
      <w:r>
        <w:rPr>
          <w:rFonts w:ascii="宋体" w:hAnsi="宋体"/>
          <w:color w:val="000000"/>
          <w:sz w:val="24"/>
          <w:szCs w:val="24"/>
        </w:rPr>
      </w:r>
      <w:r/>
    </w:p>
    <w:p>
      <w:pPr>
        <w:pStyle w:val="907"/>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pStyle w:val="907"/>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907"/>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pStyle w:val="907"/>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p>
    <w:p>
      <w:pPr>
        <w:pStyle w:val="907"/>
        <w:spacing w:line="400" w:lineRule="exact"/>
        <w:rPr>
          <w:rFonts w:hint="eastAsia" w:ascii="宋体" w:hAnsi="宋体"/>
          <w:color w:val="000000"/>
          <w:sz w:val="24"/>
          <w:szCs w:val="24"/>
        </w:rPr>
      </w:pPr>
      <w:r>
        <w:rPr>
          <w:rFonts w:hint="eastAsia" w:ascii="宋体" w:hAnsi="宋体"/>
          <w:color w:val="000000"/>
          <w:sz w:val="24"/>
          <w:szCs w:val="24"/>
        </w:rPr>
      </w:r>
      <w:r/>
    </w:p>
    <w:p>
      <w:pPr>
        <w:pStyle w:val="907"/>
        <w:rPr>
          <w:rFonts w:hint="eastAsia"/>
          <w:color w:val="000000"/>
        </w:rPr>
      </w:pPr>
      <w:r>
        <w:rPr>
          <w:rFonts w:hint="eastAsia"/>
          <w:color w:val="000000"/>
        </w:rPr>
      </w:r>
      <w:r/>
    </w:p>
    <w:p>
      <w:pPr>
        <w:pStyle w:val="907"/>
        <w:jc w:val="center"/>
        <w:rPr>
          <w:rFonts w:hint="eastAsia" w:ascii="宋体" w:hAnsi="宋体"/>
          <w:b/>
          <w:color w:val="000000"/>
          <w:sz w:val="24"/>
          <w:szCs w:val="24"/>
        </w:rPr>
      </w:pPr>
      <w:r>
        <w:rPr>
          <w:rFonts w:hint="eastAsia" w:ascii="宋体" w:hAnsi="宋体"/>
          <w:b/>
          <w:color w:val="000000"/>
          <w:sz w:val="24"/>
          <w:szCs w:val="24"/>
        </w:rPr>
        <w:t xml:space="preserve">附件13  关于符合本国产品标准的声明函（采购包号：XX）</w:t>
      </w:r>
      <w:r/>
    </w:p>
    <w:p>
      <w:pPr>
        <w:pStyle w:val="970"/>
        <w:ind w:firstLine="560"/>
        <w:spacing w:before="0" w:beforeAutospacing="0" w:after="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0"/>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1.</w:t>
      </w:r>
      <w:r>
        <w:rPr>
          <w:rStyle w:val="982"/>
          <w:rFonts w:hint="eastAsia" w:ascii="方正魏碑_GBK" w:hAnsi="方正魏碑_GBK" w:eastAsia="方正魏碑_GBK" w:cs="方正魏碑_GBK"/>
          <w:color w:val="000000"/>
          <w:sz w:val="28"/>
          <w:szCs w:val="28"/>
          <w:shd w:val="clear" w:color="auto" w:fill="ffffff"/>
        </w:rPr>
        <w:t xml:space="preserve">（产品名称1）</w:t>
      </w:r>
      <w:r>
        <w:rPr>
          <w:rStyle w:val="982"/>
          <w:rFonts w:hint="eastAsia" w:ascii="方正魏碑_GBK" w:hAnsi="方正魏碑_GBK" w:eastAsia="方正魏碑_GBK" w:cs="方正魏碑_GBK"/>
          <w:color w:val="000000"/>
          <w:sz w:val="28"/>
          <w:szCs w:val="28"/>
          <w:shd w:val="clear" w:color="auto" w:fill="ffffff"/>
          <w:vertAlign w:val="superscript"/>
        </w:rPr>
        <w:t xml:space="preserve">1</w:t>
      </w:r>
      <w:r>
        <w:rPr>
          <w:rFonts w:hint="eastAsia" w:ascii="方正魏碑_GBK" w:hAnsi="方正魏碑_GBK" w:eastAsia="方正魏碑_GBK" w:cs="方正魏碑_GBK"/>
          <w:color w:val="000000"/>
          <w:sz w:val="28"/>
          <w:szCs w:val="28"/>
          <w:shd w:val="clear" w:color="auto" w:fill="ffffff"/>
        </w:rPr>
        <w:t xml:space="preserve">，生产厂为</w:t>
      </w:r>
      <w:r>
        <w:rPr>
          <w:rStyle w:val="982"/>
          <w:rFonts w:hint="eastAsia" w:ascii="方正魏碑_GBK" w:hAnsi="方正魏碑_GBK" w:eastAsia="方正魏碑_GBK" w:cs="方正魏碑_GBK"/>
          <w:color w:val="000000"/>
          <w:sz w:val="28"/>
          <w:szCs w:val="28"/>
          <w:shd w:val="clear" w:color="auto" w:fill="ffffff"/>
        </w:rPr>
        <w:t xml:space="preserve">（厂名）</w:t>
      </w:r>
      <w:r>
        <w:rPr>
          <w:rStyle w:val="982"/>
          <w:rFonts w:hint="eastAsia" w:ascii="方正魏碑_GBK" w:hAnsi="方正魏碑_GBK" w:eastAsia="方正魏碑_GBK" w:cs="方正魏碑_GBK"/>
          <w:color w:val="000000"/>
          <w:sz w:val="28"/>
          <w:szCs w:val="28"/>
          <w:shd w:val="clear" w:color="auto" w:fill="ffffff"/>
          <w:vertAlign w:val="superscript"/>
        </w:rPr>
        <w:t xml:space="preserve">2</w:t>
      </w:r>
      <w:r>
        <w:rPr>
          <w:rFonts w:hint="eastAsia" w:ascii="方正魏碑_GBK" w:hAnsi="方正魏碑_GBK" w:eastAsia="方正魏碑_GBK" w:cs="方正魏碑_GBK"/>
          <w:color w:val="000000"/>
          <w:sz w:val="28"/>
          <w:szCs w:val="28"/>
          <w:shd w:val="clear" w:color="auto" w:fill="ffffff"/>
        </w:rPr>
        <w:t xml:space="preserve">，厂址为</w:t>
      </w:r>
      <w:r>
        <w:rPr>
          <w:rStyle w:val="982"/>
          <w:rFonts w:hint="eastAsia" w:ascii="方正魏碑_GBK" w:hAnsi="方正魏碑_GBK" w:eastAsia="方正魏碑_GBK" w:cs="方正魏碑_GBK"/>
          <w:color w:val="000000"/>
          <w:sz w:val="28"/>
          <w:szCs w:val="28"/>
          <w:shd w:val="clear" w:color="auto" w:fill="ffffff"/>
        </w:rPr>
        <w:t xml:space="preserve">（生产厂址）</w:t>
      </w:r>
      <w:r>
        <w:rPr>
          <w:rFonts w:hint="eastAsia" w:ascii="方正魏碑_GBK" w:hAnsi="方正魏碑_GBK" w:eastAsia="方正魏碑_GBK" w:cs="方正魏碑_GBK"/>
          <w:color w:val="000000"/>
          <w:sz w:val="28"/>
          <w:szCs w:val="28"/>
          <w:shd w:val="clear" w:color="auto" w:fill="ffffff"/>
        </w:rPr>
        <w:t xml:space="preserve">。</w:t>
      </w:r>
      <w:r>
        <w:rPr>
          <w:rFonts w:hint="eastAsia" w:ascii="方正魏碑_GBK" w:hAnsi="方正魏碑_GBK" w:eastAsia="方正魏碑_GBK" w:cs="方正魏碑_GBK"/>
          <w:color w:val="000000"/>
          <w:sz w:val="28"/>
          <w:szCs w:val="28"/>
          <w:u w:val="single"/>
          <w:shd w:val="clear" w:color="auto" w:fill="ffffff"/>
        </w:rPr>
        <w:t xml:space="preserve"> </w:t>
      </w:r>
      <w:r>
        <w:rPr>
          <w:rStyle w:val="982"/>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的中国境内生产的组件成本占比≥</w:t>
      </w:r>
      <w:r>
        <w:rPr>
          <w:rFonts w:hint="eastAsia" w:ascii="方正魏碑_GBK" w:hAnsi="方正魏碑_GBK" w:eastAsia="方正魏碑_GBK" w:cs="方正魏碑_GBK"/>
          <w:color w:val="000000"/>
          <w:sz w:val="28"/>
          <w:szCs w:val="28"/>
          <w:u w:val="single"/>
          <w:shd w:val="clear" w:color="auto" w:fill="ffffff"/>
        </w:rPr>
        <w:t xml:space="preserve">  </w:t>
      </w:r>
      <w:r>
        <w:rPr>
          <w:rStyle w:val="982"/>
          <w:rFonts w:hint="eastAsia" w:ascii="方正魏碑_GBK" w:hAnsi="方正魏碑_GBK" w:eastAsia="方正魏碑_GBK" w:cs="方正魏碑_GBK"/>
          <w:color w:val="000000"/>
          <w:sz w:val="28"/>
          <w:szCs w:val="28"/>
          <w:shd w:val="clear" w:color="auto" w:fill="ffffff"/>
        </w:rPr>
        <w:t xml:space="preserve">/  </w:t>
      </w:r>
      <w:r>
        <w:rPr>
          <w:rStyle w:val="982"/>
          <w:rFonts w:hint="eastAsia" w:ascii="方正魏碑_GBK" w:hAnsi="方正魏碑_GBK" w:eastAsia="方正魏碑_GBK" w:cs="方正魏碑_GBK"/>
          <w:color w:val="000000"/>
          <w:sz w:val="28"/>
          <w:szCs w:val="28"/>
          <w:shd w:val="clear" w:color="auto" w:fill="ffffff"/>
          <w:vertAlign w:val="superscript"/>
        </w:rPr>
        <w:t xml:space="preserve">3</w:t>
      </w:r>
      <w:r>
        <w:rPr>
          <w:rFonts w:hint="eastAsia" w:ascii="方正魏碑_GBK" w:hAnsi="方正魏碑_GBK" w:eastAsia="方正魏碑_GBK" w:cs="方正魏碑_GBK"/>
          <w:color w:val="000000"/>
          <w:sz w:val="28"/>
          <w:szCs w:val="28"/>
          <w:shd w:val="clear" w:color="auto" w:fill="ffffff"/>
        </w:rPr>
        <w:t xml:space="preserve">。</w:t>
      </w:r>
      <w:r>
        <w:rPr>
          <w:rFonts w:hint="eastAsia" w:ascii="方正魏碑_GBK" w:hAnsi="方正魏碑_GBK" w:eastAsia="方正魏碑_GBK" w:cs="方正魏碑_GBK"/>
          <w:color w:val="000000"/>
          <w:sz w:val="28"/>
          <w:szCs w:val="28"/>
          <w:u w:val="single"/>
          <w:shd w:val="clear" w:color="auto" w:fill="ffffff"/>
        </w:rPr>
        <w:t xml:space="preserve">  </w:t>
      </w:r>
      <w:r>
        <w:rPr>
          <w:rStyle w:val="982"/>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w:t>
      </w:r>
      <w:r>
        <w:rPr>
          <w:rFonts w:hint="eastAsia" w:ascii="方正魏碑_GBK" w:hAnsi="方正魏碑_GBK" w:eastAsia="方正魏碑_GBK" w:cs="方正魏碑_GBK"/>
          <w:color w:val="000000"/>
          <w:sz w:val="28"/>
          <w:szCs w:val="28"/>
          <w:u w:val="single"/>
          <w:shd w:val="clear" w:color="auto" w:fill="ffffff"/>
        </w:rPr>
        <w:t xml:space="preserve">  </w:t>
      </w:r>
      <w:r>
        <w:rPr>
          <w:rStyle w:val="982"/>
          <w:rFonts w:hint="eastAsia" w:ascii="方正魏碑_GBK" w:hAnsi="方正魏碑_GBK" w:eastAsia="方正魏碑_GBK" w:cs="方正魏碑_GBK"/>
          <w:color w:val="000000"/>
          <w:sz w:val="28"/>
          <w:szCs w:val="28"/>
          <w:shd w:val="clear" w:color="auto" w:fill="ffffff"/>
        </w:rPr>
        <w:t xml:space="preserve">/  </w:t>
      </w:r>
      <w:r>
        <w:rPr>
          <w:rStyle w:val="982"/>
          <w:rFonts w:hint="eastAsia" w:ascii="方正魏碑_GBK" w:hAnsi="方正魏碑_GBK" w:eastAsia="方正魏碑_GBK" w:cs="方正魏碑_GBK"/>
          <w:color w:val="000000"/>
          <w:sz w:val="28"/>
          <w:szCs w:val="28"/>
          <w:shd w:val="clear" w:color="auto" w:fill="ffffff"/>
          <w:vertAlign w:val="superscript"/>
        </w:rPr>
        <w:t xml:space="preserve">4</w:t>
      </w:r>
      <w:r>
        <w:rPr>
          <w:rFonts w:hint="eastAsia" w:ascii="方正魏碑_GBK" w:hAnsi="方正魏碑_GBK" w:eastAsia="方正魏碑_GBK" w:cs="方正魏碑_GBK"/>
          <w:color w:val="000000"/>
          <w:sz w:val="28"/>
          <w:szCs w:val="28"/>
          <w:shd w:val="clear" w:color="auto" w:fill="ffffff"/>
        </w:rPr>
        <w:t xml:space="preserve">在中国境内生产。</w:t>
      </w:r>
      <w:r>
        <w:rPr>
          <w:rFonts w:hint="eastAsia" w:ascii="方正魏碑_GBK" w:hAnsi="方正魏碑_GBK" w:eastAsia="方正魏碑_GBK" w:cs="方正魏碑_GBK"/>
          <w:color w:val="000000"/>
          <w:sz w:val="28"/>
          <w:szCs w:val="28"/>
          <w:u w:val="single"/>
          <w:shd w:val="clear" w:color="auto" w:fill="ffffff"/>
        </w:rPr>
        <w:t xml:space="preserve">  </w:t>
      </w:r>
      <w:r>
        <w:rPr>
          <w:rStyle w:val="982"/>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w:t>
      </w:r>
      <w:r>
        <w:rPr>
          <w:rFonts w:hint="eastAsia" w:ascii="方正魏碑_GBK" w:hAnsi="方正魏碑_GBK" w:eastAsia="方正魏碑_GBK" w:cs="方正魏碑_GBK"/>
          <w:color w:val="000000"/>
          <w:sz w:val="28"/>
          <w:szCs w:val="28"/>
          <w:u w:val="single"/>
          <w:shd w:val="clear" w:color="auto" w:fill="ffffff"/>
        </w:rPr>
        <w:t xml:space="preserve">  </w:t>
      </w:r>
      <w:r>
        <w:rPr>
          <w:rStyle w:val="982"/>
          <w:rFonts w:hint="eastAsia" w:ascii="方正魏碑_GBK" w:hAnsi="方正魏碑_GBK" w:eastAsia="方正魏碑_GBK" w:cs="方正魏碑_GBK"/>
          <w:color w:val="000000"/>
          <w:sz w:val="28"/>
          <w:szCs w:val="28"/>
          <w:shd w:val="clear" w:color="auto" w:fill="ffffff"/>
        </w:rPr>
        <w:t xml:space="preserve">/  </w:t>
      </w:r>
      <w:r>
        <w:rPr>
          <w:rStyle w:val="982"/>
          <w:rFonts w:hint="eastAsia" w:ascii="方正魏碑_GBK" w:hAnsi="方正魏碑_GBK" w:eastAsia="方正魏碑_GBK" w:cs="方正魏碑_GBK"/>
          <w:color w:val="000000"/>
          <w:sz w:val="28"/>
          <w:szCs w:val="28"/>
          <w:shd w:val="clear" w:color="auto" w:fill="ffffff"/>
          <w:vertAlign w:val="superscript"/>
        </w:rPr>
        <w:t xml:space="preserve">5</w:t>
      </w:r>
      <w:r>
        <w:rPr>
          <w:rFonts w:hint="eastAsia" w:ascii="方正魏碑_GBK" w:hAnsi="方正魏碑_GBK" w:eastAsia="方正魏碑_GBK" w:cs="方正魏碑_GBK"/>
          <w:color w:val="000000"/>
          <w:sz w:val="28"/>
          <w:szCs w:val="28"/>
          <w:shd w:val="clear" w:color="auto" w:fill="ffffff"/>
        </w:rPr>
        <w:t xml:space="preserve">在中国境内完成。</w:t>
      </w:r>
      <w:r>
        <w:rPr>
          <w:rFonts w:hint="eastAsia" w:ascii="方正魏碑_GBK" w:hAnsi="方正魏碑_GBK" w:eastAsia="方正魏碑_GBK" w:cs="方正魏碑_GBK"/>
          <w:color w:val="000000"/>
          <w:sz w:val="28"/>
          <w:szCs w:val="28"/>
        </w:rPr>
      </w:r>
      <w:r/>
    </w:p>
    <w:p>
      <w:pPr>
        <w:pStyle w:val="970"/>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2.</w:t>
      </w:r>
      <w:r>
        <w:rPr>
          <w:rStyle w:val="982"/>
          <w:rFonts w:hint="eastAsia" w:ascii="方正魏碑_GBK" w:hAnsi="方正魏碑_GBK" w:eastAsia="方正魏碑_GBK" w:cs="方正魏碑_GBK"/>
          <w:color w:val="000000"/>
          <w:sz w:val="28"/>
          <w:szCs w:val="28"/>
          <w:shd w:val="clear" w:color="auto" w:fill="ffffff"/>
        </w:rPr>
        <w:t xml:space="preserve">（产品名称2）</w:t>
      </w:r>
      <w:r>
        <w:rPr>
          <w:rFonts w:hint="eastAsia" w:ascii="方正魏碑_GBK" w:hAnsi="方正魏碑_GBK" w:eastAsia="方正魏碑_GBK" w:cs="方正魏碑_GBK"/>
          <w:color w:val="000000"/>
          <w:sz w:val="28"/>
          <w:szCs w:val="28"/>
          <w:shd w:val="clear" w:color="auto" w:fill="ffffff"/>
        </w:rPr>
        <w:t xml:space="preserve">，生产厂为</w:t>
      </w:r>
      <w:r>
        <w:rPr>
          <w:rStyle w:val="982"/>
          <w:rFonts w:hint="eastAsia" w:ascii="方正魏碑_GBK" w:hAnsi="方正魏碑_GBK" w:eastAsia="方正魏碑_GBK" w:cs="方正魏碑_GBK"/>
          <w:color w:val="000000"/>
          <w:sz w:val="28"/>
          <w:szCs w:val="28"/>
          <w:shd w:val="clear" w:color="auto" w:fill="ffffff"/>
        </w:rPr>
        <w:t xml:space="preserve">（厂名）</w:t>
      </w:r>
      <w:r>
        <w:rPr>
          <w:rFonts w:hint="eastAsia" w:ascii="方正魏碑_GBK" w:hAnsi="方正魏碑_GBK" w:eastAsia="方正魏碑_GBK" w:cs="方正魏碑_GBK"/>
          <w:color w:val="000000"/>
          <w:sz w:val="28"/>
          <w:szCs w:val="28"/>
          <w:shd w:val="clear" w:color="auto" w:fill="ffffff"/>
        </w:rPr>
        <w:t xml:space="preserve">，厂址为</w:t>
      </w:r>
      <w:r>
        <w:rPr>
          <w:rStyle w:val="982"/>
          <w:rFonts w:hint="eastAsia" w:ascii="方正魏碑_GBK" w:hAnsi="方正魏碑_GBK" w:eastAsia="方正魏碑_GBK" w:cs="方正魏碑_GBK"/>
          <w:color w:val="000000"/>
          <w:sz w:val="28"/>
          <w:szCs w:val="28"/>
          <w:shd w:val="clear" w:color="auto" w:fill="ffffff"/>
        </w:rPr>
        <w:t xml:space="preserve">（生产厂址）</w:t>
      </w:r>
      <w:r>
        <w:rPr>
          <w:rFonts w:hint="eastAsia" w:ascii="方正魏碑_GBK" w:hAnsi="方正魏碑_GBK" w:eastAsia="方正魏碑_GBK" w:cs="方正魏碑_GBK"/>
          <w:color w:val="000000"/>
          <w:sz w:val="28"/>
          <w:szCs w:val="28"/>
          <w:shd w:val="clear" w:color="auto" w:fill="ffffff"/>
        </w:rPr>
        <w:t xml:space="preserve">。</w:t>
      </w:r>
      <w:r>
        <w:rPr>
          <w:rFonts w:hint="eastAsia" w:ascii="方正魏碑_GBK" w:hAnsi="方正魏碑_GBK" w:eastAsia="方正魏碑_GBK" w:cs="方正魏碑_GBK"/>
          <w:color w:val="000000"/>
          <w:sz w:val="28"/>
          <w:szCs w:val="28"/>
          <w:u w:val="single"/>
          <w:shd w:val="clear" w:color="auto" w:fill="ffffff"/>
        </w:rPr>
        <w:t xml:space="preserve"> </w:t>
      </w:r>
      <w:r>
        <w:rPr>
          <w:rStyle w:val="982"/>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的中国境内生产的组件成本占比≥</w:t>
      </w:r>
      <w:r>
        <w:rPr>
          <w:rFonts w:hint="eastAsia" w:ascii="方正魏碑_GBK" w:hAnsi="方正魏碑_GBK" w:eastAsia="方正魏碑_GBK" w:cs="方正魏碑_GBK"/>
          <w:color w:val="000000"/>
          <w:sz w:val="28"/>
          <w:szCs w:val="28"/>
          <w:u w:val="single"/>
          <w:shd w:val="clear" w:color="auto" w:fill="ffffff"/>
        </w:rPr>
        <w:t xml:space="preserve">  </w:t>
      </w:r>
      <w:r>
        <w:rPr>
          <w:rStyle w:val="982"/>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w:t>
      </w:r>
      <w:r>
        <w:rPr>
          <w:rFonts w:hint="eastAsia" w:ascii="方正魏碑_GBK" w:hAnsi="方正魏碑_GBK" w:eastAsia="方正魏碑_GBK" w:cs="方正魏碑_GBK"/>
          <w:color w:val="000000"/>
          <w:sz w:val="28"/>
          <w:szCs w:val="28"/>
          <w:u w:val="single"/>
          <w:shd w:val="clear" w:color="auto" w:fill="ffffff"/>
        </w:rPr>
        <w:t xml:space="preserve">  </w:t>
      </w:r>
      <w:r>
        <w:rPr>
          <w:rStyle w:val="982"/>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w:t>
      </w:r>
      <w:r>
        <w:rPr>
          <w:rFonts w:hint="eastAsia" w:ascii="方正魏碑_GBK" w:hAnsi="方正魏碑_GBK" w:eastAsia="方正魏碑_GBK" w:cs="方正魏碑_GBK"/>
          <w:color w:val="000000"/>
          <w:sz w:val="28"/>
          <w:szCs w:val="28"/>
          <w:u w:val="single"/>
          <w:shd w:val="clear" w:color="auto" w:fill="ffffff"/>
        </w:rPr>
        <w:t xml:space="preserve">  </w:t>
      </w:r>
      <w:r>
        <w:rPr>
          <w:rStyle w:val="982"/>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在中国境内生产。</w:t>
      </w:r>
      <w:r>
        <w:rPr>
          <w:rFonts w:hint="eastAsia" w:ascii="方正魏碑_GBK" w:hAnsi="方正魏碑_GBK" w:eastAsia="方正魏碑_GBK" w:cs="方正魏碑_GBK"/>
          <w:color w:val="000000"/>
          <w:sz w:val="28"/>
          <w:szCs w:val="28"/>
          <w:u w:val="single"/>
          <w:shd w:val="clear" w:color="auto" w:fill="ffffff"/>
        </w:rPr>
        <w:t xml:space="preserve">  </w:t>
      </w:r>
      <w:r>
        <w:rPr>
          <w:rStyle w:val="982"/>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w:t>
      </w:r>
      <w:r>
        <w:rPr>
          <w:rFonts w:hint="eastAsia" w:ascii="方正魏碑_GBK" w:hAnsi="方正魏碑_GBK" w:eastAsia="方正魏碑_GBK" w:cs="方正魏碑_GBK"/>
          <w:color w:val="000000"/>
          <w:sz w:val="28"/>
          <w:szCs w:val="28"/>
          <w:u w:val="single"/>
          <w:shd w:val="clear" w:color="auto" w:fill="ffffff"/>
        </w:rPr>
        <w:t xml:space="preserve">  </w:t>
      </w:r>
      <w:r>
        <w:rPr>
          <w:rStyle w:val="982"/>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在中国境内完成。</w:t>
      </w:r>
      <w:r>
        <w:rPr>
          <w:rFonts w:hint="eastAsia" w:ascii="方正魏碑_GBK" w:hAnsi="方正魏碑_GBK" w:eastAsia="方正魏碑_GBK" w:cs="方正魏碑_GBK"/>
          <w:color w:val="000000"/>
          <w:sz w:val="28"/>
          <w:szCs w:val="28"/>
        </w:rPr>
      </w:r>
      <w:r/>
    </w:p>
    <w:p>
      <w:pPr>
        <w:pStyle w:val="970"/>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w:t>
      </w:r>
      <w:r>
        <w:rPr>
          <w:rFonts w:hint="eastAsia" w:ascii="方正魏碑_GBK" w:hAnsi="方正魏碑_GBK" w:eastAsia="方正魏碑_GBK" w:cs="方正魏碑_GBK"/>
          <w:color w:val="000000"/>
          <w:sz w:val="28"/>
          <w:szCs w:val="28"/>
        </w:rPr>
      </w:r>
      <w:r/>
    </w:p>
    <w:p>
      <w:pPr>
        <w:pStyle w:val="970"/>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sz w:val="28"/>
          <w:szCs w:val="28"/>
        </w:rPr>
      </w:r>
      <w:r/>
    </w:p>
    <w:p>
      <w:pPr>
        <w:pStyle w:val="970"/>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p>
      <w:pPr>
        <w:pStyle w:val="970"/>
        <w:ind w:firstLine="560"/>
        <w:jc w:val="right"/>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    公司（单位）名称（加盖CA电子公章）：　        </w:t>
      </w:r>
      <w:r>
        <w:rPr>
          <w:rFonts w:hint="eastAsia" w:ascii="方正魏碑_GBK" w:hAnsi="方正魏碑_GBK" w:eastAsia="方正魏碑_GBK" w:cs="方正魏碑_GBK"/>
          <w:color w:val="000000"/>
          <w:sz w:val="28"/>
          <w:szCs w:val="28"/>
        </w:rPr>
      </w:r>
      <w:r/>
    </w:p>
    <w:p>
      <w:pPr>
        <w:pStyle w:val="970"/>
        <w:ind w:firstLine="560"/>
        <w:jc w:val="center"/>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          日期：</w:t>
      </w:r>
      <w:r>
        <w:rPr>
          <w:rFonts w:hint="eastAsia" w:ascii="方正魏碑_GBK" w:hAnsi="方正魏碑_GBK" w:eastAsia="方正魏碑_GBK" w:cs="方正魏碑_GBK"/>
          <w:color w:val="000000"/>
          <w:sz w:val="28"/>
          <w:szCs w:val="28"/>
        </w:rPr>
        <w:t xml:space="preserve">___年____月____日</w:t>
      </w:r>
      <w:r>
        <w:rPr>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rPr>
      </w:r>
      <w:r/>
    </w:p>
    <w:p>
      <w:pPr>
        <w:pStyle w:val="970"/>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__________________</w:t>
      </w:r>
      <w:r>
        <w:rPr>
          <w:rFonts w:hint="eastAsia" w:ascii="方正魏碑_GBK" w:hAnsi="方正魏碑_GBK" w:eastAsia="方正魏碑_GBK" w:cs="方正魏碑_GBK"/>
          <w:color w:val="000000"/>
          <w:sz w:val="28"/>
          <w:szCs w:val="28"/>
        </w:rPr>
      </w:r>
      <w:r/>
    </w:p>
    <w:p>
      <w:pPr>
        <w:pStyle w:val="970"/>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1.产品如有型号，请在“产品名称”栏一并填写。</w:t>
      </w:r>
      <w:r>
        <w:rPr>
          <w:rFonts w:hint="eastAsia" w:ascii="方正魏碑_GBK" w:hAnsi="方正魏碑_GBK" w:eastAsia="方正魏碑_GBK" w:cs="方正魏碑_GBK"/>
          <w:color w:val="000000"/>
          <w:sz w:val="28"/>
          <w:szCs w:val="28"/>
        </w:rPr>
      </w:r>
      <w:r/>
    </w:p>
    <w:p>
      <w:pPr>
        <w:pStyle w:val="970"/>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8"/>
          <w:szCs w:val="28"/>
        </w:rPr>
      </w:r>
      <w:r/>
    </w:p>
    <w:p>
      <w:pPr>
        <w:pStyle w:val="970"/>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8"/>
          <w:szCs w:val="28"/>
        </w:rPr>
      </w:r>
      <w:r/>
    </w:p>
    <w:p>
      <w:pPr>
        <w:pStyle w:val="970"/>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8"/>
          <w:szCs w:val="28"/>
        </w:rPr>
      </w:r>
      <w:r/>
    </w:p>
    <w:p>
      <w:pPr>
        <w:pStyle w:val="970"/>
        <w:ind w:firstLine="560"/>
        <w:spacing w:before="30" w:beforeAutospacing="0" w:after="30" w:afterAutospacing="0" w:line="560" w:lineRule="exact"/>
        <w:rPr>
          <w:rFonts w:hint="eastAsia" w:ascii="方正魏碑_GBK" w:hAnsi="方正魏碑_GBK" w:eastAsia="方正魏碑_GBK" w:cs="方正魏碑_GBK"/>
          <w:color w:val="000000"/>
          <w:sz w:val="28"/>
          <w:szCs w:val="28"/>
          <w:shd w:val="clear" w:color="auto" w:fill="ffffff"/>
        </w:rPr>
      </w:pPr>
      <w:r>
        <w:rPr>
          <w:rFonts w:hint="eastAsia" w:ascii="方正魏碑_GBK" w:hAnsi="方正魏碑_GBK" w:eastAsia="方正魏碑_GBK" w:cs="方正魏碑_GBK"/>
          <w:color w:val="000000"/>
          <w:sz w:val="28"/>
          <w:szCs w:val="28"/>
          <w:shd w:val="clear" w:color="auto" w:fill="ffffff"/>
        </w:rPr>
        <w:t xml:space="preserve">5.该产品的关键工序要求实施前，“关键工序”栏可不填，下同。</w:t>
      </w:r>
      <w:r/>
    </w:p>
    <w:p>
      <w:pPr>
        <w:pStyle w:val="970"/>
        <w:ind w:firstLine="560"/>
        <w:spacing w:before="30" w:beforeAutospacing="0" w:after="30" w:afterAutospacing="0" w:line="560" w:lineRule="exact"/>
        <w:rPr>
          <w:rFonts w:hint="eastAsia" w:ascii="方正魏碑_GBK" w:hAnsi="方正魏碑_GBK" w:eastAsia="方正魏碑_GBK" w:cs="方正魏碑_GBK"/>
          <w:color w:val="000000"/>
          <w:sz w:val="32"/>
          <w:szCs w:val="32"/>
          <w:shd w:val="clear" w:color="auto" w:fill="ffffff"/>
        </w:rPr>
      </w:pPr>
      <w:r>
        <w:rPr>
          <w:rFonts w:hint="eastAsia" w:ascii="方正魏碑_GBK" w:hAnsi="方正魏碑_GBK" w:eastAsia="方正魏碑_GBK" w:cs="方正魏碑_GBK"/>
          <w:color w:val="000000"/>
          <w:sz w:val="28"/>
          <w:szCs w:val="28"/>
          <w:shd w:val="clear" w:color="auto" w:fill="ffffff"/>
        </w:rPr>
        <w:t xml:space="preserve">6.《声明函》中标注“</w:t>
      </w:r>
      <w:r>
        <w:rPr>
          <w:rFonts w:hint="eastAsia" w:ascii="方正魏碑_GBK" w:hAnsi="方正魏碑_GBK" w:eastAsia="方正魏碑_GBK" w:cs="方正魏碑_GBK"/>
          <w:color w:val="000000"/>
          <w:sz w:val="28"/>
          <w:szCs w:val="28"/>
          <w:u w:val="single"/>
          <w:shd w:val="clear" w:color="auto" w:fill="ffffff"/>
        </w:rPr>
        <w:t xml:space="preserve">  </w:t>
      </w:r>
      <w:r>
        <w:rPr>
          <w:rStyle w:val="982"/>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”的地方无需填写。</w:t>
      </w:r>
      <w:r>
        <w:rPr>
          <w:rFonts w:hint="eastAsia" w:ascii="方正魏碑_GBK" w:hAnsi="方正魏碑_GBK" w:eastAsia="方正魏碑_GBK" w:cs="方正魏碑_GBK"/>
          <w:color w:val="000000"/>
          <w:sz w:val="32"/>
          <w:szCs w:val="32"/>
          <w:shd w:val="clear" w:color="auto" w:fill="ffffff"/>
        </w:rPr>
      </w:r>
      <w:r/>
    </w:p>
    <w:p>
      <w:pPr>
        <w:pStyle w:val="907"/>
        <w:spacing w:line="460" w:lineRule="exact"/>
        <w:rPr>
          <w:rFonts w:hint="eastAsia" w:ascii="方正魏碑_GBK" w:hAnsi="方正魏碑_GBK" w:eastAsia="方正魏碑_GBK" w:cs="方正魏碑_GBK"/>
          <w:bCs/>
          <w:color w:val="000000"/>
          <w:sz w:val="24"/>
        </w:rPr>
      </w:pPr>
      <w:r>
        <w:rPr>
          <w:rFonts w:hint="eastAsia" w:ascii="方正魏碑_GBK" w:hAnsi="方正魏碑_GBK" w:eastAsia="方正魏碑_GBK" w:cs="方正魏碑_GBK"/>
          <w:bCs/>
          <w:color w:val="000000"/>
          <w:sz w:val="24"/>
        </w:rPr>
      </w:r>
      <w:r/>
    </w:p>
    <w:p>
      <w:pPr>
        <w:pStyle w:val="907"/>
        <w:rPr>
          <w:rFonts w:hint="eastAsia" w:ascii="宋体" w:hAnsi="宋体" w:cs="仿宋"/>
          <w:b/>
          <w:bCs/>
          <w:color w:val="000000"/>
          <w:sz w:val="32"/>
          <w:szCs w:val="32"/>
        </w:rPr>
      </w:pPr>
      <w:r/>
      <w:bookmarkEnd w:id="184"/>
      <w:r/>
      <w:bookmarkEnd w:id="185"/>
      <w:r/>
      <w:bookmarkEnd w:id="228"/>
      <w:r>
        <w:rPr>
          <w:rFonts w:hint="eastAsia" w:ascii="宋体" w:hAnsi="宋体" w:cs="仿宋"/>
          <w:b/>
          <w:bCs/>
          <w:color w:val="000000"/>
          <w:sz w:val="32"/>
          <w:szCs w:val="32"/>
        </w:rPr>
      </w:r>
      <w:r/>
    </w:p>
    <w:p>
      <w:pPr>
        <w:pStyle w:val="907"/>
        <w:rPr>
          <w:rFonts w:hint="eastAsia" w:ascii="宋体" w:hAnsi="宋体" w:cs="仿宋"/>
          <w:b/>
          <w:bCs/>
          <w:color w:val="000000"/>
          <w:sz w:val="32"/>
          <w:szCs w:val="32"/>
        </w:rPr>
      </w:pPr>
      <w:r>
        <w:rPr>
          <w:rFonts w:hint="eastAsia" w:ascii="宋体" w:hAnsi="宋体" w:cs="仿宋"/>
          <w:b/>
          <w:bCs/>
          <w:color w:val="000000"/>
          <w:sz w:val="32"/>
          <w:szCs w:val="32"/>
        </w:rPr>
      </w:r>
      <w:r/>
    </w:p>
    <w:p>
      <w:pPr>
        <w:pStyle w:val="907"/>
        <w:rPr>
          <w:rFonts w:hint="eastAsia" w:ascii="宋体" w:hAnsi="宋体" w:cs="仿宋"/>
          <w:b/>
          <w:bCs/>
          <w:color w:val="000000"/>
          <w:sz w:val="32"/>
          <w:szCs w:val="32"/>
        </w:rPr>
      </w:pPr>
      <w:r>
        <w:rPr>
          <w:rFonts w:hint="eastAsia" w:ascii="宋体" w:hAnsi="宋体" w:cs="仿宋"/>
          <w:b/>
          <w:bCs/>
          <w:color w:val="000000"/>
          <w:sz w:val="32"/>
          <w:szCs w:val="32"/>
        </w:rPr>
      </w:r>
      <w:r/>
    </w:p>
    <w:p>
      <w:pPr>
        <w:pStyle w:val="907"/>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07"/>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7"/>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7"/>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07"/>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7"/>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07"/>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07"/>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0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22"/>
        <w:rPr>
          <w:rFonts w:hint="eastAsia"/>
          <w:color w:val="000000"/>
          <w:sz w:val="24"/>
          <w:szCs w:val="24"/>
        </w:rPr>
      </w:pPr>
      <w:r>
        <w:rPr>
          <w:rFonts w:hint="eastAsia"/>
          <w:color w:val="000000"/>
          <w:sz w:val="24"/>
          <w:szCs w:val="24"/>
        </w:rPr>
      </w:r>
      <w:r/>
    </w:p>
    <w:p>
      <w:pPr>
        <w:pStyle w:val="922"/>
        <w:rPr>
          <w:color w:val="000000"/>
          <w:sz w:val="24"/>
          <w:szCs w:val="24"/>
        </w:rPr>
      </w:pPr>
      <w:r>
        <w:rPr>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仿宋">
    <w:panose1 w:val="02010609060101010101"/>
  </w:font>
  <w:font w:name="华文新魏">
    <w:panose1 w:val="02010800040101010101"/>
  </w:font>
  <w:font w:name="Segoe UI">
    <w:panose1 w:val="020B0502040204020203"/>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rPr>
        <w:rStyle w:val="980"/>
        <w:rFonts w:ascii="宋体" w:hAnsi="宋体"/>
      </w:rPr>
      <w:framePr w:wrap="around" w:vAnchor="text" w:hAnchor="margin" w:xAlign="center" w:y="1"/>
    </w:pPr>
    <w:r>
      <w:rPr>
        <w:rFonts w:ascii="宋体" w:hAnsi="宋体"/>
      </w:rPr>
      <w:fldChar w:fldCharType="begin"/>
    </w:r>
    <w:r>
      <w:rPr>
        <w:rStyle w:val="980"/>
        <w:rFonts w:ascii="宋体" w:hAnsi="宋体"/>
      </w:rPr>
      <w:instrText xml:space="preserve">PAGE  </w:instrText>
    </w:r>
    <w:r>
      <w:rPr>
        <w:rFonts w:ascii="宋体" w:hAnsi="宋体"/>
      </w:rPr>
      <w:fldChar w:fldCharType="separate"/>
    </w:r>
    <w:r>
      <w:rPr>
        <w:rStyle w:val="980"/>
        <w:rFonts w:ascii="宋体" w:hAnsi="宋体"/>
      </w:rPr>
      <w:t xml:space="preserve">42</w:t>
    </w:r>
    <w:r>
      <w:rPr>
        <w:rFonts w:ascii="宋体" w:hAnsi="宋体"/>
      </w:rPr>
      <w:fldChar w:fldCharType="end"/>
    </w:r>
    <w:r>
      <w:rPr>
        <w:rStyle w:val="980"/>
        <w:rFonts w:ascii="宋体" w:hAnsi="宋体"/>
      </w:rPr>
    </w:r>
    <w:r/>
  </w:p>
  <w:p>
    <w:pPr>
      <w:pStyle w:val="955"/>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rPr>
        <w:rStyle w:val="980"/>
      </w:rPr>
      <w:framePr w:wrap="around" w:vAnchor="text" w:hAnchor="margin" w:xAlign="center" w:y="1"/>
    </w:pPr>
    <w:r>
      <w:fldChar w:fldCharType="begin"/>
    </w:r>
    <w:r>
      <w:rPr>
        <w:rStyle w:val="980"/>
      </w:rPr>
      <w:instrText xml:space="preserve">PAGE  </w:instrText>
    </w:r>
    <w:r>
      <w:fldChar w:fldCharType="separate"/>
    </w:r>
    <w:r>
      <w:rPr>
        <w:rStyle w:val="980"/>
      </w:rPr>
      <w:t xml:space="preserve">1</w:t>
    </w:r>
    <w:r>
      <w:fldChar w:fldCharType="end"/>
    </w:r>
    <w:r>
      <w:rPr>
        <w:rStyle w:val="980"/>
      </w:rPr>
    </w:r>
    <w:r/>
  </w:p>
  <w:p>
    <w:pPr>
      <w:pStyle w:val="95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pPr>
    <w:r>
      <w:fldChar w:fldCharType="begin"/>
    </w:r>
    <w:r>
      <w:instrText xml:space="preserve">PAGE   \* MERGEFORMAT</w:instrText>
    </w:r>
    <w:r>
      <w:fldChar w:fldCharType="separate"/>
    </w:r>
    <w:r>
      <w:rPr>
        <w:lang w:val="zh-CN"/>
      </w:rPr>
      <w:t xml:space="preserve">1</w:t>
    </w:r>
    <w:r>
      <w:fldChar w:fldCharType="end"/>
    </w:r>
    <w:r/>
  </w:p>
  <w:p>
    <w:pPr>
      <w:pStyle w:val="9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87"/>
      <w:isLgl w:val="false"/>
      <w:suff w:val="tab"/>
      <w:lvlText w:val="附录%1."/>
      <w:lvlJc w:val="left"/>
      <w:pPr>
        <w:pStyle w:val="90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2.2.13.%1"/>
      <w:lvlJc w:val="left"/>
      <w:pPr>
        <w:pStyle w:val="907"/>
        <w:ind w:left="880" w:hanging="440"/>
      </w:pPr>
      <w:rPr>
        <w:rFonts w:hint="eastAsia"/>
      </w:rPr>
    </w:lvl>
    <w:lvl w:ilvl="1">
      <w:start w:val="1"/>
      <w:numFmt w:val="lowerLetter"/>
      <w:isLgl w:val="false"/>
      <w:suff w:val="tab"/>
      <w:lvlText w:val="%2)"/>
      <w:lvlJc w:val="left"/>
      <w:pPr>
        <w:pStyle w:val="907"/>
        <w:ind w:left="880" w:hanging="440"/>
      </w:pPr>
    </w:lvl>
    <w:lvl w:ilvl="2">
      <w:start w:val="1"/>
      <w:numFmt w:val="lowerRoman"/>
      <w:isLgl w:val="false"/>
      <w:suff w:val="tab"/>
      <w:lvlText w:val="%3."/>
      <w:lvlJc w:val="right"/>
      <w:pPr>
        <w:pStyle w:val="907"/>
        <w:ind w:left="1320" w:hanging="440"/>
      </w:pPr>
    </w:lvl>
    <w:lvl w:ilvl="3">
      <w:start w:val="1"/>
      <w:numFmt w:val="decimal"/>
      <w:isLgl w:val="false"/>
      <w:suff w:val="tab"/>
      <w:lvlText w:val="%4."/>
      <w:lvlJc w:val="left"/>
      <w:pPr>
        <w:pStyle w:val="907"/>
        <w:ind w:left="1760" w:hanging="440"/>
      </w:pPr>
    </w:lvl>
    <w:lvl w:ilvl="4">
      <w:start w:val="1"/>
      <w:numFmt w:val="lowerLetter"/>
      <w:isLgl w:val="false"/>
      <w:suff w:val="tab"/>
      <w:lvlText w:val="%5)"/>
      <w:lvlJc w:val="left"/>
      <w:pPr>
        <w:pStyle w:val="907"/>
        <w:ind w:left="2200" w:hanging="440"/>
      </w:pPr>
    </w:lvl>
    <w:lvl w:ilvl="5">
      <w:start w:val="1"/>
      <w:numFmt w:val="lowerRoman"/>
      <w:isLgl w:val="false"/>
      <w:suff w:val="tab"/>
      <w:lvlText w:val="%6."/>
      <w:lvlJc w:val="right"/>
      <w:pPr>
        <w:pStyle w:val="907"/>
        <w:ind w:left="2640" w:hanging="440"/>
      </w:pPr>
    </w:lvl>
    <w:lvl w:ilvl="6">
      <w:start w:val="1"/>
      <w:numFmt w:val="decimal"/>
      <w:isLgl w:val="false"/>
      <w:suff w:val="tab"/>
      <w:lvlText w:val="%7."/>
      <w:lvlJc w:val="left"/>
      <w:pPr>
        <w:pStyle w:val="907"/>
        <w:ind w:left="3080" w:hanging="440"/>
      </w:pPr>
    </w:lvl>
    <w:lvl w:ilvl="7">
      <w:start w:val="1"/>
      <w:numFmt w:val="lowerLetter"/>
      <w:isLgl w:val="false"/>
      <w:suff w:val="tab"/>
      <w:lvlText w:val="%8)"/>
      <w:lvlJc w:val="left"/>
      <w:pPr>
        <w:pStyle w:val="907"/>
        <w:ind w:left="3520" w:hanging="440"/>
      </w:pPr>
    </w:lvl>
    <w:lvl w:ilvl="8">
      <w:start w:val="1"/>
      <w:numFmt w:val="lowerRoman"/>
      <w:isLgl w:val="false"/>
      <w:suff w:val="tab"/>
      <w:lvlText w:val="%9."/>
      <w:lvlJc w:val="right"/>
      <w:pPr>
        <w:pStyle w:val="907"/>
        <w:ind w:left="3960" w:hanging="440"/>
      </w:pPr>
    </w:lvl>
  </w:abstractNum>
  <w:abstractNum w:abstractNumId="2">
    <w:multiLevelType w:val="hybridMultilevel"/>
    <w:lvl w:ilvl="0">
      <w:start w:val="1"/>
      <w:numFmt w:val="decimal"/>
      <w:isLgl w:val="false"/>
      <w:suff w:val="tab"/>
      <w:lvlText w:val="2.2.1.%1"/>
      <w:lvlJc w:val="left"/>
      <w:pPr>
        <w:pStyle w:val="907"/>
        <w:ind w:left="920" w:hanging="440"/>
      </w:pPr>
      <w:rPr>
        <w:rFonts w:hint="eastAsia"/>
      </w:rPr>
    </w:lvl>
    <w:lvl w:ilvl="1">
      <w:start w:val="1"/>
      <w:numFmt w:val="decimal"/>
      <w:isLgl w:val="false"/>
      <w:suff w:val="tab"/>
      <w:lvlText w:val="2.2.4.%2"/>
      <w:lvlJc w:val="left"/>
      <w:pPr>
        <w:pStyle w:val="907"/>
        <w:ind w:left="880" w:hanging="440"/>
      </w:pPr>
      <w:rPr>
        <w:rFonts w:hint="eastAsia"/>
      </w:rPr>
    </w:lvl>
    <w:lvl w:ilvl="2">
      <w:start w:val="1"/>
      <w:numFmt w:val="lowerRoman"/>
      <w:isLgl w:val="false"/>
      <w:suff w:val="tab"/>
      <w:lvlText w:val="%3."/>
      <w:lvlJc w:val="right"/>
      <w:pPr>
        <w:pStyle w:val="907"/>
        <w:ind w:left="1320" w:hanging="440"/>
      </w:pPr>
    </w:lvl>
    <w:lvl w:ilvl="3">
      <w:start w:val="1"/>
      <w:numFmt w:val="decimal"/>
      <w:isLgl w:val="false"/>
      <w:suff w:val="tab"/>
      <w:lvlText w:val="%4."/>
      <w:lvlJc w:val="left"/>
      <w:pPr>
        <w:pStyle w:val="907"/>
        <w:ind w:left="1760" w:hanging="440"/>
      </w:pPr>
    </w:lvl>
    <w:lvl w:ilvl="4">
      <w:start w:val="1"/>
      <w:numFmt w:val="lowerLetter"/>
      <w:isLgl w:val="false"/>
      <w:suff w:val="tab"/>
      <w:lvlText w:val="%5)"/>
      <w:lvlJc w:val="left"/>
      <w:pPr>
        <w:pStyle w:val="907"/>
        <w:ind w:left="2200" w:hanging="440"/>
      </w:pPr>
    </w:lvl>
    <w:lvl w:ilvl="5">
      <w:start w:val="1"/>
      <w:numFmt w:val="lowerRoman"/>
      <w:isLgl w:val="false"/>
      <w:suff w:val="tab"/>
      <w:lvlText w:val="%6."/>
      <w:lvlJc w:val="right"/>
      <w:pPr>
        <w:pStyle w:val="907"/>
        <w:ind w:left="2640" w:hanging="440"/>
      </w:pPr>
    </w:lvl>
    <w:lvl w:ilvl="6">
      <w:start w:val="1"/>
      <w:numFmt w:val="decimal"/>
      <w:isLgl w:val="false"/>
      <w:suff w:val="tab"/>
      <w:lvlText w:val="%7."/>
      <w:lvlJc w:val="left"/>
      <w:pPr>
        <w:pStyle w:val="907"/>
        <w:ind w:left="3080" w:hanging="440"/>
      </w:pPr>
    </w:lvl>
    <w:lvl w:ilvl="7">
      <w:start w:val="1"/>
      <w:numFmt w:val="lowerLetter"/>
      <w:isLgl w:val="false"/>
      <w:suff w:val="tab"/>
      <w:lvlText w:val="%8)"/>
      <w:lvlJc w:val="left"/>
      <w:pPr>
        <w:pStyle w:val="907"/>
        <w:ind w:left="3520" w:hanging="440"/>
      </w:pPr>
    </w:lvl>
    <w:lvl w:ilvl="8">
      <w:start w:val="1"/>
      <w:numFmt w:val="lowerRoman"/>
      <w:isLgl w:val="false"/>
      <w:suff w:val="tab"/>
      <w:lvlText w:val="%9."/>
      <w:lvlJc w:val="right"/>
      <w:pPr>
        <w:pStyle w:val="907"/>
        <w:ind w:left="3960" w:hanging="440"/>
      </w:pPr>
    </w:lvl>
  </w:abstractNum>
  <w:abstractNum w:abstractNumId="3">
    <w:multiLevelType w:val="hybridMultilevel"/>
    <w:lvl w:ilvl="0">
      <w:start w:val="1"/>
      <w:numFmt w:val="decimal"/>
      <w:isLgl w:val="false"/>
      <w:suff w:val="tab"/>
      <w:lvlText w:val="2.2.9.%1"/>
      <w:lvlJc w:val="left"/>
      <w:pPr>
        <w:pStyle w:val="907"/>
        <w:ind w:left="880" w:hanging="440"/>
      </w:pPr>
      <w:rPr>
        <w:rFonts w:hint="eastAsia"/>
      </w:rPr>
    </w:lvl>
    <w:lvl w:ilvl="1">
      <w:start w:val="1"/>
      <w:numFmt w:val="lowerLetter"/>
      <w:isLgl w:val="false"/>
      <w:suff w:val="tab"/>
      <w:lvlText w:val="%2)"/>
      <w:lvlJc w:val="left"/>
      <w:pPr>
        <w:pStyle w:val="907"/>
        <w:ind w:left="880" w:hanging="440"/>
      </w:pPr>
    </w:lvl>
    <w:lvl w:ilvl="2">
      <w:start w:val="1"/>
      <w:numFmt w:val="lowerRoman"/>
      <w:isLgl w:val="false"/>
      <w:suff w:val="tab"/>
      <w:lvlText w:val="%3."/>
      <w:lvlJc w:val="right"/>
      <w:pPr>
        <w:pStyle w:val="907"/>
        <w:ind w:left="1320" w:hanging="440"/>
      </w:pPr>
    </w:lvl>
    <w:lvl w:ilvl="3">
      <w:start w:val="1"/>
      <w:numFmt w:val="decimal"/>
      <w:isLgl w:val="false"/>
      <w:suff w:val="tab"/>
      <w:lvlText w:val="%4."/>
      <w:lvlJc w:val="left"/>
      <w:pPr>
        <w:pStyle w:val="907"/>
        <w:ind w:left="1760" w:hanging="440"/>
      </w:pPr>
    </w:lvl>
    <w:lvl w:ilvl="4">
      <w:start w:val="1"/>
      <w:numFmt w:val="lowerLetter"/>
      <w:isLgl w:val="false"/>
      <w:suff w:val="tab"/>
      <w:lvlText w:val="%5)"/>
      <w:lvlJc w:val="left"/>
      <w:pPr>
        <w:pStyle w:val="907"/>
        <w:ind w:left="2200" w:hanging="440"/>
      </w:pPr>
    </w:lvl>
    <w:lvl w:ilvl="5">
      <w:start w:val="1"/>
      <w:numFmt w:val="lowerRoman"/>
      <w:isLgl w:val="false"/>
      <w:suff w:val="tab"/>
      <w:lvlText w:val="%6."/>
      <w:lvlJc w:val="right"/>
      <w:pPr>
        <w:pStyle w:val="907"/>
        <w:ind w:left="2640" w:hanging="440"/>
      </w:pPr>
    </w:lvl>
    <w:lvl w:ilvl="6">
      <w:start w:val="1"/>
      <w:numFmt w:val="decimal"/>
      <w:isLgl w:val="false"/>
      <w:suff w:val="tab"/>
      <w:lvlText w:val="%7."/>
      <w:lvlJc w:val="left"/>
      <w:pPr>
        <w:pStyle w:val="907"/>
        <w:ind w:left="3080" w:hanging="440"/>
      </w:pPr>
    </w:lvl>
    <w:lvl w:ilvl="7">
      <w:start w:val="1"/>
      <w:numFmt w:val="lowerLetter"/>
      <w:isLgl w:val="false"/>
      <w:suff w:val="tab"/>
      <w:lvlText w:val="%8)"/>
      <w:lvlJc w:val="left"/>
      <w:pPr>
        <w:pStyle w:val="907"/>
        <w:ind w:left="3520" w:hanging="440"/>
      </w:pPr>
    </w:lvl>
    <w:lvl w:ilvl="8">
      <w:start w:val="1"/>
      <w:numFmt w:val="lowerRoman"/>
      <w:isLgl w:val="false"/>
      <w:suff w:val="tab"/>
      <w:lvlText w:val="%9."/>
      <w:lvlJc w:val="right"/>
      <w:pPr>
        <w:pStyle w:val="907"/>
        <w:ind w:left="3960" w:hanging="440"/>
      </w:pPr>
    </w:lvl>
  </w:abstractNum>
  <w:abstractNum w:abstractNumId="4">
    <w:multiLevelType w:val="hybridMultilevel"/>
    <w:lvl w:ilvl="0">
      <w:start w:val="1"/>
      <w:numFmt w:val="chineseCountingThousand"/>
      <w:isLgl w:val="false"/>
      <w:suff w:val="space"/>
      <w:lvlText w:val="第%1章"/>
      <w:lvlJc w:val="left"/>
      <w:pPr>
        <w:pStyle w:val="907"/>
        <w:ind w:left="432" w:hanging="432"/>
      </w:pPr>
      <w:rPr>
        <w:rFonts w:hint="eastAsia"/>
        <w:b/>
        <w:i w:val="0"/>
        <w:color w:val="000000"/>
        <w:sz w:val="32"/>
      </w:rPr>
    </w:lvl>
    <w:lvl w:ilvl="1">
      <w:start w:val="2"/>
      <w:numFmt w:val="decimal"/>
      <w:isLgl w:val="false"/>
      <w:suff w:val="space"/>
      <w:lvlText w:val="%2"/>
      <w:lvlJc w:val="left"/>
      <w:pPr>
        <w:pStyle w:val="907"/>
        <w:ind w:left="0" w:firstLine="0"/>
      </w:pPr>
      <w:rPr>
        <w:rFonts w:hint="eastAsia" w:ascii="Times New Roman" w:hAnsi="Times New Roman" w:eastAsia="宋体"/>
        <w:b/>
        <w:bCs w:val="0"/>
        <w:i w:val="0"/>
        <w:iCs w:val="0"/>
        <w:caps w:val="0"/>
        <w:smallCaps w:val="0"/>
        <w:strike w:val="0"/>
        <w:vanish w:val="0"/>
        <w:color w:val="000000"/>
        <w:spacing w:val="0"/>
        <w:position w:val="0"/>
        <w:sz w:val="30"/>
        <w:u w:val="none"/>
        <w:vertAlign w:val="baseline"/>
      </w:rPr>
    </w:lvl>
    <w:lvl w:ilvl="2">
      <w:start w:val="1"/>
      <w:numFmt w:val="decimal"/>
      <w:isLgl w:val="false"/>
      <w:suff w:val="space"/>
      <w:lvlText w:val="%2.%3"/>
      <w:lvlJc w:val="left"/>
      <w:pPr>
        <w:pStyle w:val="907"/>
        <w:ind w:left="0" w:firstLine="0"/>
        <w:tabs>
          <w:tab w:val="num" w:pos="0" w:leader="none"/>
        </w:tabs>
      </w:pPr>
      <w:rPr>
        <w:rFonts w:hint="eastAsia" w:ascii="Times New Roman" w:hAnsi="Times New Roman" w:eastAsia="宋体"/>
        <w:b/>
        <w:i w:val="0"/>
        <w:sz w:val="24"/>
        <w:szCs w:val="18"/>
      </w:rPr>
    </w:lvl>
    <w:lvl w:ilvl="3">
      <w:start w:val="1"/>
      <w:numFmt w:val="decimal"/>
      <w:isLgl w:val="false"/>
      <w:suff w:val="space"/>
      <w:lvlText w:val="%2.%3.%4"/>
      <w:lvlJc w:val="left"/>
      <w:pPr>
        <w:pStyle w:val="907"/>
        <w:ind w:left="0" w:firstLine="0"/>
      </w:pPr>
      <w:rPr>
        <w:rFonts w:hint="eastAsia" w:ascii="Times New Roman" w:hAnsi="Times New Roman" w:eastAsia="宋体"/>
        <w:b/>
        <w:i w:val="0"/>
        <w:sz w:val="24"/>
        <w:szCs w:val="24"/>
      </w:rPr>
    </w:lvl>
    <w:lvl w:ilvl="4">
      <w:start w:val="1"/>
      <w:numFmt w:val="decimal"/>
      <w:isLgl w:val="false"/>
      <w:suff w:val="space"/>
      <w:lvlText w:val="%2.%3.%4.%5"/>
      <w:lvlJc w:val="left"/>
      <w:pPr>
        <w:pStyle w:val="907"/>
        <w:ind w:left="0" w:firstLine="0"/>
      </w:pPr>
      <w:rPr>
        <w:rFonts w:hint="eastAsia" w:ascii="Times New Roman" w:hAnsi="Times New Roman" w:eastAsia="宋体"/>
        <w:b w:val="0"/>
        <w:i w:val="0"/>
        <w:sz w:val="24"/>
        <w:szCs w:val="28"/>
      </w:rPr>
    </w:lvl>
    <w:lvl w:ilvl="5">
      <w:start w:val="1"/>
      <w:numFmt w:val="decimal"/>
      <w:isLgl w:val="false"/>
      <w:suff w:val="space"/>
      <w:lvlText w:val="%2.%3.%4.%5.%6"/>
      <w:lvlJc w:val="left"/>
      <w:pPr>
        <w:pStyle w:val="907"/>
        <w:ind w:left="0" w:firstLine="0"/>
      </w:pPr>
      <w:rPr>
        <w:rFonts w:hint="eastAsia" w:ascii="Times New Roman" w:hAnsi="Times New Roman" w:cs="Times New Roman"/>
        <w:b w:val="0"/>
        <w:bCs/>
        <w:i w:val="0"/>
        <w:iCs w:val="0"/>
        <w:caps w:val="0"/>
        <w:smallCaps w:val="0"/>
        <w:strike w:val="0"/>
        <w:vanish w:val="0"/>
        <w:color w:val="000000"/>
        <w:spacing w:val="0"/>
        <w:position w:val="0"/>
        <w:sz w:val="24"/>
        <w:szCs w:val="24"/>
        <w:u w:val="none"/>
        <w:vertAlign w:val="baseline"/>
      </w:rPr>
    </w:lvl>
    <w:lvl w:ilvl="6">
      <w:start w:val="1"/>
      <w:numFmt w:val="decimal"/>
      <w:isLgl w:val="false"/>
      <w:suff w:val="space"/>
      <w:lvlText w:val="%2.%3.%4.%5.%6.%7"/>
      <w:lvlJc w:val="left"/>
      <w:pPr>
        <w:pStyle w:val="907"/>
        <w:ind w:left="0" w:firstLine="286"/>
      </w:pPr>
      <w:rPr>
        <w:rFonts w:hint="eastAsia" w:ascii="Times New Roman" w:hAnsi="Times New Roman" w:eastAsia="宋体"/>
        <w:b w:val="0"/>
        <w:bCs/>
        <w:i w:val="0"/>
        <w:sz w:val="24"/>
        <w:szCs w:val="24"/>
      </w:rPr>
    </w:lvl>
    <w:lvl w:ilvl="7">
      <w:start w:val="1"/>
      <w:numFmt w:val="decimal"/>
      <w:isLgl w:val="false"/>
      <w:suff w:val="space"/>
      <w:lvlText w:val="%2.%3.%4.%5.%6.%7.%8"/>
      <w:lvlJc w:val="left"/>
      <w:pPr>
        <w:pStyle w:val="907"/>
        <w:ind w:left="0" w:firstLine="0"/>
      </w:pPr>
      <w:rPr>
        <w:rFonts w:hint="eastAsia"/>
        <w:b w:val="0"/>
        <w:i w:val="0"/>
        <w:sz w:val="24"/>
      </w:rPr>
    </w:lvl>
    <w:lvl w:ilvl="8">
      <w:start w:val="1"/>
      <w:numFmt w:val="decimal"/>
      <w:isLgl w:val="false"/>
      <w:suff w:val="space"/>
      <w:lvlText w:val="%1.%3.%4.%5.%6.%7.%8.%9"/>
      <w:lvlJc w:val="left"/>
      <w:pPr>
        <w:pStyle w:val="907"/>
        <w:ind w:left="0" w:firstLine="0"/>
      </w:pPr>
      <w:rPr>
        <w:rFonts w:hint="eastAsia"/>
        <w:b w:val="0"/>
        <w:i w:val="0"/>
        <w:sz w:val="24"/>
      </w:rPr>
    </w:lvl>
  </w:abstractNum>
  <w:abstractNum w:abstractNumId="5">
    <w:multiLevelType w:val="hybridMultilevel"/>
    <w:lvl w:ilvl="0">
      <w:start w:val="1"/>
      <w:numFmt w:val="decimal"/>
      <w:isLgl w:val="false"/>
      <w:suff w:val="nothing"/>
      <w:lvlText w:val="%1"/>
      <w:lvlJc w:val="left"/>
      <w:pPr>
        <w:pStyle w:val="907"/>
        <w:ind w:left="420" w:hanging="420"/>
      </w:pPr>
      <w:rPr>
        <w:rFonts w:hint="eastAsia"/>
      </w:rPr>
    </w:lvl>
    <w:lvl w:ilvl="1">
      <w:start w:val="1"/>
      <w:numFmt w:val="lowerLetter"/>
      <w:isLgl w:val="false"/>
      <w:suff w:val="tab"/>
      <w:lvlText w:val="%2)"/>
      <w:lvlJc w:val="left"/>
      <w:pPr>
        <w:pStyle w:val="907"/>
        <w:ind w:left="840" w:hanging="420"/>
      </w:pPr>
      <w:rPr>
        <w:rFonts w:hint="eastAsia"/>
      </w:rPr>
    </w:lvl>
    <w:lvl w:ilvl="2">
      <w:start w:val="1"/>
      <w:numFmt w:val="lowerRoman"/>
      <w:isLgl w:val="false"/>
      <w:suff w:val="tab"/>
      <w:lvlText w:val="%3."/>
      <w:lvlJc w:val="right"/>
      <w:pPr>
        <w:pStyle w:val="907"/>
        <w:ind w:left="1260" w:hanging="420"/>
      </w:pPr>
      <w:rPr>
        <w:rFonts w:hint="eastAsia"/>
      </w:rPr>
    </w:lvl>
    <w:lvl w:ilvl="3">
      <w:start w:val="1"/>
      <w:numFmt w:val="decimal"/>
      <w:isLgl w:val="false"/>
      <w:suff w:val="tab"/>
      <w:lvlText w:val="%4."/>
      <w:lvlJc w:val="left"/>
      <w:pPr>
        <w:pStyle w:val="907"/>
        <w:ind w:left="1680" w:hanging="420"/>
      </w:pPr>
      <w:rPr>
        <w:rFonts w:hint="eastAsia"/>
      </w:rPr>
    </w:lvl>
    <w:lvl w:ilvl="4">
      <w:start w:val="1"/>
      <w:numFmt w:val="lowerLetter"/>
      <w:isLgl w:val="false"/>
      <w:suff w:val="tab"/>
      <w:lvlText w:val="%5)"/>
      <w:lvlJc w:val="left"/>
      <w:pPr>
        <w:pStyle w:val="907"/>
        <w:ind w:left="2100" w:hanging="420"/>
      </w:pPr>
      <w:rPr>
        <w:rFonts w:hint="eastAsia"/>
      </w:rPr>
    </w:lvl>
    <w:lvl w:ilvl="5">
      <w:start w:val="1"/>
      <w:numFmt w:val="lowerRoman"/>
      <w:isLgl w:val="false"/>
      <w:suff w:val="tab"/>
      <w:lvlText w:val="%6."/>
      <w:lvlJc w:val="right"/>
      <w:pPr>
        <w:pStyle w:val="907"/>
        <w:ind w:left="2520" w:hanging="420"/>
      </w:pPr>
      <w:rPr>
        <w:rFonts w:hint="eastAsia"/>
      </w:rPr>
    </w:lvl>
    <w:lvl w:ilvl="6">
      <w:start w:val="1"/>
      <w:numFmt w:val="decimal"/>
      <w:isLgl w:val="false"/>
      <w:suff w:val="tab"/>
      <w:lvlText w:val="%7."/>
      <w:lvlJc w:val="left"/>
      <w:pPr>
        <w:pStyle w:val="907"/>
        <w:ind w:left="2940" w:hanging="420"/>
      </w:pPr>
      <w:rPr>
        <w:rFonts w:hint="eastAsia"/>
      </w:rPr>
    </w:lvl>
    <w:lvl w:ilvl="7">
      <w:start w:val="1"/>
      <w:numFmt w:val="lowerLetter"/>
      <w:isLgl w:val="false"/>
      <w:suff w:val="tab"/>
      <w:lvlText w:val="%8)"/>
      <w:lvlJc w:val="left"/>
      <w:pPr>
        <w:pStyle w:val="907"/>
        <w:ind w:left="3360" w:hanging="420"/>
      </w:pPr>
      <w:rPr>
        <w:rFonts w:hint="eastAsia"/>
      </w:rPr>
    </w:lvl>
    <w:lvl w:ilvl="8">
      <w:start w:val="1"/>
      <w:numFmt w:val="lowerRoman"/>
      <w:isLgl w:val="false"/>
      <w:suff w:val="tab"/>
      <w:lvlText w:val="%9."/>
      <w:lvlJc w:val="right"/>
      <w:pPr>
        <w:pStyle w:val="907"/>
        <w:ind w:left="3780" w:hanging="420"/>
      </w:pPr>
      <w:rPr>
        <w:rFonts w:hint="eastAsia"/>
      </w:rPr>
    </w:lvl>
  </w:abstractNum>
  <w:abstractNum w:abstractNumId="6">
    <w:multiLevelType w:val="hybridMultilevel"/>
    <w:lvl w:ilvl="0">
      <w:start w:val="1"/>
      <w:numFmt w:val="decimal"/>
      <w:pStyle w:val="1004"/>
      <w:isLgl w:val="false"/>
      <w:suff w:val="tab"/>
      <w:lvlText w:val="%1."/>
      <w:lvlJc w:val="left"/>
      <w:pPr>
        <w:pStyle w:val="907"/>
        <w:ind w:left="709" w:hanging="709"/>
        <w:tabs>
          <w:tab w:val="num" w:pos="709" w:leader="none"/>
        </w:tabs>
      </w:pPr>
      <w:rPr>
        <w:rFonts w:hint="eastAsia"/>
      </w:rPr>
    </w:lvl>
    <w:lvl w:ilvl="1">
      <w:start w:val="1"/>
      <w:numFmt w:val="decimal"/>
      <w:isLgl w:val="false"/>
      <w:suff w:val="tab"/>
      <w:lvlText w:val="%1.%2"/>
      <w:lvlJc w:val="left"/>
      <w:pPr>
        <w:pStyle w:val="907"/>
        <w:ind w:left="709" w:hanging="709"/>
        <w:tabs>
          <w:tab w:val="num" w:pos="709" w:leader="none"/>
        </w:tabs>
      </w:pPr>
      <w:rPr>
        <w:rFonts w:hint="eastAsia"/>
      </w:rPr>
    </w:lvl>
    <w:lvl w:ilvl="2">
      <w:start w:val="1"/>
      <w:numFmt w:val="decimal"/>
      <w:isLgl w:val="false"/>
      <w:suff w:val="tab"/>
      <w:lvlText w:val="%1.%2.%3."/>
      <w:lvlJc w:val="left"/>
      <w:pPr>
        <w:pStyle w:val="907"/>
        <w:ind w:left="425" w:hanging="425"/>
        <w:tabs>
          <w:tab w:val="num" w:pos="425" w:leader="none"/>
        </w:tabs>
      </w:pPr>
      <w:rPr>
        <w:rFonts w:hint="eastAsia"/>
      </w:rPr>
    </w:lvl>
    <w:lvl w:ilvl="3">
      <w:start w:val="1"/>
      <w:numFmt w:val="decimal"/>
      <w:isLgl w:val="false"/>
      <w:suff w:val="tab"/>
      <w:lvlText w:val="%1.%2.%3.%4."/>
      <w:lvlJc w:val="left"/>
      <w:pPr>
        <w:pStyle w:val="907"/>
        <w:ind w:left="851" w:hanging="851"/>
        <w:tabs>
          <w:tab w:val="num" w:pos="851" w:leader="none"/>
        </w:tabs>
      </w:pPr>
      <w:rPr>
        <w:rFonts w:hint="eastAsia"/>
      </w:rPr>
    </w:lvl>
    <w:lvl w:ilvl="4">
      <w:start w:val="1"/>
      <w:numFmt w:val="decimal"/>
      <w:isLgl w:val="false"/>
      <w:suff w:val="tab"/>
      <w:lvlText w:val="%1.%2.%3.%4.%5."/>
      <w:lvlJc w:val="left"/>
      <w:pPr>
        <w:pStyle w:val="907"/>
        <w:ind w:left="992" w:hanging="992"/>
        <w:tabs>
          <w:tab w:val="num" w:pos="992" w:leader="none"/>
        </w:tabs>
      </w:pPr>
      <w:rPr>
        <w:rFonts w:hint="eastAsia"/>
      </w:rPr>
    </w:lvl>
    <w:lvl w:ilvl="5">
      <w:start w:val="1"/>
      <w:numFmt w:val="decimal"/>
      <w:isLgl w:val="false"/>
      <w:suff w:val="tab"/>
      <w:lvlText w:val="%1.%2.%3.%4.%5.%6."/>
      <w:lvlJc w:val="left"/>
      <w:pPr>
        <w:pStyle w:val="907"/>
        <w:ind w:left="1134" w:hanging="1134"/>
        <w:tabs>
          <w:tab w:val="num" w:pos="1134" w:leader="none"/>
        </w:tabs>
      </w:pPr>
      <w:rPr>
        <w:rFonts w:hint="eastAsia"/>
      </w:rPr>
    </w:lvl>
    <w:lvl w:ilvl="6">
      <w:start w:val="1"/>
      <w:numFmt w:val="decimal"/>
      <w:isLgl w:val="false"/>
      <w:suff w:val="tab"/>
      <w:lvlText w:val="%1.%2.%3.%4.%5.%6.%7."/>
      <w:lvlJc w:val="left"/>
      <w:pPr>
        <w:pStyle w:val="907"/>
        <w:ind w:left="1276" w:hanging="1276"/>
        <w:tabs>
          <w:tab w:val="num" w:pos="1276" w:leader="none"/>
        </w:tabs>
      </w:pPr>
      <w:rPr>
        <w:rFonts w:hint="eastAsia"/>
      </w:rPr>
    </w:lvl>
    <w:lvl w:ilvl="7">
      <w:start w:val="1"/>
      <w:numFmt w:val="decimal"/>
      <w:isLgl w:val="false"/>
      <w:suff w:val="tab"/>
      <w:lvlText w:val="%1.%2.%3.%4.%5.%6.%7.%8."/>
      <w:lvlJc w:val="left"/>
      <w:pPr>
        <w:pStyle w:val="907"/>
        <w:ind w:left="1418" w:hanging="1418"/>
        <w:tabs>
          <w:tab w:val="num" w:pos="1418" w:leader="none"/>
        </w:tabs>
      </w:pPr>
      <w:rPr>
        <w:rFonts w:hint="eastAsia"/>
      </w:rPr>
    </w:lvl>
    <w:lvl w:ilvl="8">
      <w:start w:val="1"/>
      <w:numFmt w:val="decimal"/>
      <w:isLgl w:val="false"/>
      <w:suff w:val="tab"/>
      <w:lvlText w:val="%1.%2.%3.%4.%5.%6.%7.%8.%9."/>
      <w:lvlJc w:val="left"/>
      <w:pPr>
        <w:pStyle w:val="907"/>
        <w:ind w:left="1559" w:hanging="1559"/>
        <w:tabs>
          <w:tab w:val="num" w:pos="1559" w:leader="none"/>
        </w:tabs>
      </w:pPr>
      <w:rPr>
        <w:rFonts w:hint="eastAsia"/>
      </w:rPr>
    </w:lvl>
  </w:abstractNum>
  <w:abstractNum w:abstractNumId="7">
    <w:multiLevelType w:val="hybridMultilevel"/>
    <w:lvl w:ilvl="0">
      <w:start w:val="1"/>
      <w:numFmt w:val="decimal"/>
      <w:isLgl w:val="false"/>
      <w:suff w:val="tab"/>
      <w:lvlText w:val="2.2.1.%1"/>
      <w:lvlJc w:val="left"/>
      <w:pPr>
        <w:pStyle w:val="907"/>
        <w:ind w:left="440" w:hanging="440"/>
      </w:pPr>
      <w:rPr>
        <w:rFonts w:hint="eastAsia"/>
      </w:rPr>
    </w:lvl>
    <w:lvl w:ilvl="1">
      <w:start w:val="1"/>
      <w:numFmt w:val="lowerLetter"/>
      <w:isLgl w:val="false"/>
      <w:suff w:val="tab"/>
      <w:lvlText w:val="%2)"/>
      <w:lvlJc w:val="left"/>
      <w:pPr>
        <w:pStyle w:val="907"/>
        <w:ind w:left="880" w:hanging="440"/>
      </w:pPr>
    </w:lvl>
    <w:lvl w:ilvl="2">
      <w:start w:val="1"/>
      <w:numFmt w:val="lowerRoman"/>
      <w:isLgl w:val="false"/>
      <w:suff w:val="tab"/>
      <w:lvlText w:val="%3."/>
      <w:lvlJc w:val="right"/>
      <w:pPr>
        <w:pStyle w:val="907"/>
        <w:ind w:left="1320" w:hanging="440"/>
      </w:pPr>
    </w:lvl>
    <w:lvl w:ilvl="3">
      <w:start w:val="1"/>
      <w:numFmt w:val="decimal"/>
      <w:isLgl w:val="false"/>
      <w:suff w:val="tab"/>
      <w:lvlText w:val="%4."/>
      <w:lvlJc w:val="left"/>
      <w:pPr>
        <w:pStyle w:val="907"/>
        <w:ind w:left="1760" w:hanging="440"/>
      </w:pPr>
    </w:lvl>
    <w:lvl w:ilvl="4">
      <w:start w:val="1"/>
      <w:numFmt w:val="lowerLetter"/>
      <w:isLgl w:val="false"/>
      <w:suff w:val="tab"/>
      <w:lvlText w:val="%5)"/>
      <w:lvlJc w:val="left"/>
      <w:pPr>
        <w:pStyle w:val="907"/>
        <w:ind w:left="2200" w:hanging="440"/>
      </w:pPr>
    </w:lvl>
    <w:lvl w:ilvl="5">
      <w:start w:val="1"/>
      <w:numFmt w:val="lowerRoman"/>
      <w:isLgl w:val="false"/>
      <w:suff w:val="tab"/>
      <w:lvlText w:val="%6."/>
      <w:lvlJc w:val="right"/>
      <w:pPr>
        <w:pStyle w:val="907"/>
        <w:ind w:left="2640" w:hanging="440"/>
      </w:pPr>
    </w:lvl>
    <w:lvl w:ilvl="6">
      <w:start w:val="1"/>
      <w:numFmt w:val="decimal"/>
      <w:isLgl w:val="false"/>
      <w:suff w:val="tab"/>
      <w:lvlText w:val="%7."/>
      <w:lvlJc w:val="left"/>
      <w:pPr>
        <w:pStyle w:val="907"/>
        <w:ind w:left="3080" w:hanging="440"/>
      </w:pPr>
    </w:lvl>
    <w:lvl w:ilvl="7">
      <w:start w:val="1"/>
      <w:numFmt w:val="lowerLetter"/>
      <w:isLgl w:val="false"/>
      <w:suff w:val="tab"/>
      <w:lvlText w:val="%8)"/>
      <w:lvlJc w:val="left"/>
      <w:pPr>
        <w:pStyle w:val="907"/>
        <w:ind w:left="3520" w:hanging="440"/>
      </w:pPr>
    </w:lvl>
    <w:lvl w:ilvl="8">
      <w:start w:val="1"/>
      <w:numFmt w:val="lowerRoman"/>
      <w:isLgl w:val="false"/>
      <w:suff w:val="tab"/>
      <w:lvlText w:val="%9."/>
      <w:lvlJc w:val="right"/>
      <w:pPr>
        <w:pStyle w:val="907"/>
        <w:ind w:left="3960" w:hanging="440"/>
      </w:pPr>
    </w:lvl>
  </w:abstractNum>
  <w:abstractNum w:abstractNumId="8">
    <w:multiLevelType w:val="hybridMultilevel"/>
    <w:lvl w:ilvl="0">
      <w:start w:val="1"/>
      <w:numFmt w:val="decimal"/>
      <w:isLgl w:val="false"/>
      <w:suff w:val="tab"/>
      <w:lvlText w:val="2.2.1.%1"/>
      <w:lvlJc w:val="left"/>
      <w:pPr>
        <w:pStyle w:val="907"/>
        <w:ind w:left="920" w:hanging="440"/>
      </w:pPr>
      <w:rPr>
        <w:rFonts w:hint="eastAsia"/>
      </w:rPr>
    </w:lvl>
    <w:lvl w:ilvl="1">
      <w:start w:val="1"/>
      <w:numFmt w:val="decimal"/>
      <w:isLgl w:val="false"/>
      <w:suff w:val="tab"/>
      <w:lvlText w:val="2.2.6.%2"/>
      <w:lvlJc w:val="left"/>
      <w:pPr>
        <w:pStyle w:val="907"/>
        <w:ind w:left="880" w:hanging="440"/>
      </w:pPr>
      <w:rPr>
        <w:rFonts w:hint="eastAsia"/>
      </w:rPr>
    </w:lvl>
    <w:lvl w:ilvl="2">
      <w:start w:val="1"/>
      <w:numFmt w:val="lowerRoman"/>
      <w:isLgl w:val="false"/>
      <w:suff w:val="tab"/>
      <w:lvlText w:val="%3."/>
      <w:lvlJc w:val="right"/>
      <w:pPr>
        <w:pStyle w:val="907"/>
        <w:ind w:left="1320" w:hanging="440"/>
      </w:pPr>
    </w:lvl>
    <w:lvl w:ilvl="3">
      <w:start w:val="1"/>
      <w:numFmt w:val="decimal"/>
      <w:isLgl w:val="false"/>
      <w:suff w:val="tab"/>
      <w:lvlText w:val="%4."/>
      <w:lvlJc w:val="left"/>
      <w:pPr>
        <w:pStyle w:val="907"/>
        <w:ind w:left="1760" w:hanging="440"/>
      </w:pPr>
    </w:lvl>
    <w:lvl w:ilvl="4">
      <w:start w:val="1"/>
      <w:numFmt w:val="lowerLetter"/>
      <w:isLgl w:val="false"/>
      <w:suff w:val="tab"/>
      <w:lvlText w:val="%5)"/>
      <w:lvlJc w:val="left"/>
      <w:pPr>
        <w:pStyle w:val="907"/>
        <w:ind w:left="2200" w:hanging="440"/>
      </w:pPr>
    </w:lvl>
    <w:lvl w:ilvl="5">
      <w:start w:val="1"/>
      <w:numFmt w:val="lowerRoman"/>
      <w:isLgl w:val="false"/>
      <w:suff w:val="tab"/>
      <w:lvlText w:val="%6."/>
      <w:lvlJc w:val="right"/>
      <w:pPr>
        <w:pStyle w:val="907"/>
        <w:ind w:left="2640" w:hanging="440"/>
      </w:pPr>
    </w:lvl>
    <w:lvl w:ilvl="6">
      <w:start w:val="1"/>
      <w:numFmt w:val="decimal"/>
      <w:isLgl w:val="false"/>
      <w:suff w:val="tab"/>
      <w:lvlText w:val="%7."/>
      <w:lvlJc w:val="left"/>
      <w:pPr>
        <w:pStyle w:val="907"/>
        <w:ind w:left="3080" w:hanging="440"/>
      </w:pPr>
    </w:lvl>
    <w:lvl w:ilvl="7">
      <w:start w:val="1"/>
      <w:numFmt w:val="lowerLetter"/>
      <w:isLgl w:val="false"/>
      <w:suff w:val="tab"/>
      <w:lvlText w:val="%8)"/>
      <w:lvlJc w:val="left"/>
      <w:pPr>
        <w:pStyle w:val="907"/>
        <w:ind w:left="3520" w:hanging="440"/>
      </w:pPr>
    </w:lvl>
    <w:lvl w:ilvl="8">
      <w:start w:val="1"/>
      <w:numFmt w:val="lowerRoman"/>
      <w:isLgl w:val="false"/>
      <w:suff w:val="tab"/>
      <w:lvlText w:val="%9."/>
      <w:lvlJc w:val="right"/>
      <w:pPr>
        <w:pStyle w:val="907"/>
        <w:ind w:left="3960" w:hanging="440"/>
      </w:pPr>
    </w:lvl>
  </w:abstractNum>
  <w:abstractNum w:abstractNumId="9">
    <w:multiLevelType w:val="hybridMultilevel"/>
    <w:lvl w:ilvl="0">
      <w:start w:val="1"/>
      <w:numFmt w:val="decimal"/>
      <w:isLgl w:val="false"/>
      <w:suff w:val="tab"/>
      <w:lvlText w:val="2.2.7.%1"/>
      <w:lvlJc w:val="left"/>
      <w:pPr>
        <w:pStyle w:val="907"/>
        <w:ind w:left="880" w:hanging="440"/>
      </w:pPr>
      <w:rPr>
        <w:rFonts w:hint="eastAsia"/>
      </w:rPr>
    </w:lvl>
    <w:lvl w:ilvl="1">
      <w:start w:val="1"/>
      <w:numFmt w:val="lowerLetter"/>
      <w:isLgl w:val="false"/>
      <w:suff w:val="tab"/>
      <w:lvlText w:val="%2)"/>
      <w:lvlJc w:val="left"/>
      <w:pPr>
        <w:pStyle w:val="907"/>
        <w:ind w:left="880" w:hanging="440"/>
      </w:pPr>
    </w:lvl>
    <w:lvl w:ilvl="2">
      <w:start w:val="1"/>
      <w:numFmt w:val="lowerRoman"/>
      <w:isLgl w:val="false"/>
      <w:suff w:val="tab"/>
      <w:lvlText w:val="%3."/>
      <w:lvlJc w:val="right"/>
      <w:pPr>
        <w:pStyle w:val="907"/>
        <w:ind w:left="1320" w:hanging="440"/>
      </w:pPr>
    </w:lvl>
    <w:lvl w:ilvl="3">
      <w:start w:val="1"/>
      <w:numFmt w:val="decimal"/>
      <w:isLgl w:val="false"/>
      <w:suff w:val="tab"/>
      <w:lvlText w:val="%4."/>
      <w:lvlJc w:val="left"/>
      <w:pPr>
        <w:pStyle w:val="907"/>
        <w:ind w:left="1760" w:hanging="440"/>
      </w:pPr>
    </w:lvl>
    <w:lvl w:ilvl="4">
      <w:start w:val="1"/>
      <w:numFmt w:val="lowerLetter"/>
      <w:isLgl w:val="false"/>
      <w:suff w:val="tab"/>
      <w:lvlText w:val="%5)"/>
      <w:lvlJc w:val="left"/>
      <w:pPr>
        <w:pStyle w:val="907"/>
        <w:ind w:left="2200" w:hanging="440"/>
      </w:pPr>
    </w:lvl>
    <w:lvl w:ilvl="5">
      <w:start w:val="1"/>
      <w:numFmt w:val="lowerRoman"/>
      <w:isLgl w:val="false"/>
      <w:suff w:val="tab"/>
      <w:lvlText w:val="%6."/>
      <w:lvlJc w:val="right"/>
      <w:pPr>
        <w:pStyle w:val="907"/>
        <w:ind w:left="2640" w:hanging="440"/>
      </w:pPr>
    </w:lvl>
    <w:lvl w:ilvl="6">
      <w:start w:val="1"/>
      <w:numFmt w:val="decimal"/>
      <w:isLgl w:val="false"/>
      <w:suff w:val="tab"/>
      <w:lvlText w:val="%7."/>
      <w:lvlJc w:val="left"/>
      <w:pPr>
        <w:pStyle w:val="907"/>
        <w:ind w:left="3080" w:hanging="440"/>
      </w:pPr>
    </w:lvl>
    <w:lvl w:ilvl="7">
      <w:start w:val="1"/>
      <w:numFmt w:val="lowerLetter"/>
      <w:isLgl w:val="false"/>
      <w:suff w:val="tab"/>
      <w:lvlText w:val="%8)"/>
      <w:lvlJc w:val="left"/>
      <w:pPr>
        <w:pStyle w:val="907"/>
        <w:ind w:left="3520" w:hanging="440"/>
      </w:pPr>
    </w:lvl>
    <w:lvl w:ilvl="8">
      <w:start w:val="1"/>
      <w:numFmt w:val="lowerRoman"/>
      <w:isLgl w:val="false"/>
      <w:suff w:val="tab"/>
      <w:lvlText w:val="%9."/>
      <w:lvlJc w:val="right"/>
      <w:pPr>
        <w:pStyle w:val="907"/>
        <w:ind w:left="3960" w:hanging="440"/>
      </w:pPr>
    </w:lvl>
  </w:abstractNum>
  <w:abstractNum w:abstractNumId="10">
    <w:multiLevelType w:val="hybridMultilevel"/>
    <w:lvl w:ilvl="0">
      <w:start w:val="1"/>
      <w:numFmt w:val="decimal"/>
      <w:isLgl w:val="false"/>
      <w:suff w:val="tab"/>
      <w:lvlText w:val="2.2.1.%1"/>
      <w:lvlJc w:val="left"/>
      <w:pPr>
        <w:pStyle w:val="907"/>
        <w:ind w:left="920" w:hanging="440"/>
      </w:pPr>
      <w:rPr>
        <w:rFonts w:hint="eastAsia"/>
      </w:rPr>
    </w:lvl>
    <w:lvl w:ilvl="1">
      <w:start w:val="1"/>
      <w:numFmt w:val="decimal"/>
      <w:isLgl w:val="false"/>
      <w:suff w:val="tab"/>
      <w:lvlText w:val="2.2.5.%2"/>
      <w:lvlJc w:val="left"/>
      <w:pPr>
        <w:pStyle w:val="907"/>
        <w:ind w:left="880" w:hanging="440"/>
      </w:pPr>
      <w:rPr>
        <w:rFonts w:hint="eastAsia"/>
      </w:rPr>
    </w:lvl>
    <w:lvl w:ilvl="2">
      <w:start w:val="1"/>
      <w:numFmt w:val="lowerRoman"/>
      <w:isLgl w:val="false"/>
      <w:suff w:val="tab"/>
      <w:lvlText w:val="%3."/>
      <w:lvlJc w:val="right"/>
      <w:pPr>
        <w:pStyle w:val="907"/>
        <w:ind w:left="1320" w:hanging="440"/>
      </w:pPr>
    </w:lvl>
    <w:lvl w:ilvl="3">
      <w:start w:val="1"/>
      <w:numFmt w:val="decimal"/>
      <w:isLgl w:val="false"/>
      <w:suff w:val="tab"/>
      <w:lvlText w:val="%4."/>
      <w:lvlJc w:val="left"/>
      <w:pPr>
        <w:pStyle w:val="907"/>
        <w:ind w:left="1760" w:hanging="440"/>
      </w:pPr>
    </w:lvl>
    <w:lvl w:ilvl="4">
      <w:start w:val="1"/>
      <w:numFmt w:val="lowerLetter"/>
      <w:isLgl w:val="false"/>
      <w:suff w:val="tab"/>
      <w:lvlText w:val="%5)"/>
      <w:lvlJc w:val="left"/>
      <w:pPr>
        <w:pStyle w:val="907"/>
        <w:ind w:left="2200" w:hanging="440"/>
      </w:pPr>
    </w:lvl>
    <w:lvl w:ilvl="5">
      <w:start w:val="1"/>
      <w:numFmt w:val="lowerRoman"/>
      <w:isLgl w:val="false"/>
      <w:suff w:val="tab"/>
      <w:lvlText w:val="%6."/>
      <w:lvlJc w:val="right"/>
      <w:pPr>
        <w:pStyle w:val="907"/>
        <w:ind w:left="2640" w:hanging="440"/>
      </w:pPr>
    </w:lvl>
    <w:lvl w:ilvl="6">
      <w:start w:val="1"/>
      <w:numFmt w:val="decimal"/>
      <w:isLgl w:val="false"/>
      <w:suff w:val="tab"/>
      <w:lvlText w:val="%7."/>
      <w:lvlJc w:val="left"/>
      <w:pPr>
        <w:pStyle w:val="907"/>
        <w:ind w:left="3080" w:hanging="440"/>
      </w:pPr>
    </w:lvl>
    <w:lvl w:ilvl="7">
      <w:start w:val="1"/>
      <w:numFmt w:val="lowerLetter"/>
      <w:isLgl w:val="false"/>
      <w:suff w:val="tab"/>
      <w:lvlText w:val="%8)"/>
      <w:lvlJc w:val="left"/>
      <w:pPr>
        <w:pStyle w:val="907"/>
        <w:ind w:left="3520" w:hanging="440"/>
      </w:pPr>
    </w:lvl>
    <w:lvl w:ilvl="8">
      <w:start w:val="1"/>
      <w:numFmt w:val="lowerRoman"/>
      <w:isLgl w:val="false"/>
      <w:suff w:val="tab"/>
      <w:lvlText w:val="%9."/>
      <w:lvlJc w:val="right"/>
      <w:pPr>
        <w:pStyle w:val="907"/>
        <w:ind w:left="3960" w:hanging="440"/>
      </w:pPr>
    </w:lvl>
  </w:abstractNum>
  <w:abstractNum w:abstractNumId="11">
    <w:multiLevelType w:val="hybridMultilevel"/>
    <w:lvl w:ilvl="0">
      <w:start w:val="1"/>
      <w:numFmt w:val="chineseCountingThousand"/>
      <w:isLgl w:val="false"/>
      <w:suff w:val="nothing"/>
      <w:lvlText w:val="第%1章 "/>
      <w:lvlJc w:val="left"/>
      <w:pPr>
        <w:pStyle w:val="907"/>
        <w:ind w:left="0" w:firstLine="0"/>
      </w:pPr>
      <w:rPr>
        <w:rFonts w:hint="eastAsia"/>
      </w:rPr>
    </w:lvl>
    <w:lvl w:ilvl="1">
      <w:start w:val="1"/>
      <w:numFmt w:val="decimal"/>
      <w:isLgl w:val="false"/>
      <w:suff w:val="nothing"/>
      <w:lvlText w:val="%2、"/>
      <w:lvlJc w:val="left"/>
      <w:pPr>
        <w:pStyle w:val="907"/>
        <w:ind w:left="0" w:firstLine="0"/>
      </w:pPr>
      <w:rPr>
        <w:rFonts w:hint="eastAsia"/>
      </w:rPr>
    </w:lvl>
    <w:lvl w:ilvl="2">
      <w:start w:val="1"/>
      <w:numFmt w:val="decimal"/>
      <w:isLgl w:val="false"/>
      <w:suff w:val="nothing"/>
      <w:lvlText w:val="%2.%3 "/>
      <w:lvlJc w:val="left"/>
      <w:pPr>
        <w:pStyle w:val="907"/>
        <w:ind w:left="0" w:firstLine="0"/>
      </w:pPr>
      <w:rPr>
        <w:rFonts w:hint="eastAsia"/>
      </w:rPr>
    </w:lvl>
    <w:lvl w:ilvl="3">
      <w:start w:val="1"/>
      <w:numFmt w:val="decimal"/>
      <w:isLgl w:val="false"/>
      <w:suff w:val="nothing"/>
      <w:lvlText w:val="%2.%3.%4 "/>
      <w:lvlJc w:val="left"/>
      <w:pPr>
        <w:pStyle w:val="907"/>
        <w:ind w:left="0" w:firstLine="0"/>
      </w:pPr>
      <w:rPr>
        <w:rFonts w:hint="eastAsia"/>
      </w:rPr>
    </w:lvl>
    <w:lvl w:ilvl="4">
      <w:start w:val="1"/>
      <w:numFmt w:val="decimal"/>
      <w:isLgl w:val="false"/>
      <w:suff w:val="nothing"/>
      <w:lvlText w:val="%2.%3.%4.%5 "/>
      <w:lvlJc w:val="left"/>
      <w:pPr>
        <w:pStyle w:val="907"/>
        <w:ind w:left="0" w:firstLine="0"/>
      </w:pPr>
      <w:rPr>
        <w:rFonts w:hint="eastAsia"/>
      </w:rPr>
    </w:lvl>
    <w:lvl w:ilvl="5">
      <w:start w:val="1"/>
      <w:numFmt w:val="decimal"/>
      <w:pStyle w:val="913"/>
      <w:isLgl w:val="false"/>
      <w:suff w:val="nothing"/>
      <w:lvlText w:val=""/>
      <w:lvlJc w:val="left"/>
      <w:pPr>
        <w:pStyle w:val="907"/>
        <w:ind w:left="0" w:firstLine="0"/>
      </w:pPr>
      <w:rPr>
        <w:rFonts w:hint="eastAsia"/>
      </w:rPr>
    </w:lvl>
    <w:lvl w:ilvl="6">
      <w:start w:val="1"/>
      <w:numFmt w:val="decimal"/>
      <w:pStyle w:val="914"/>
      <w:isLgl w:val="false"/>
      <w:suff w:val="nothing"/>
      <w:lvlText w:val=""/>
      <w:lvlJc w:val="left"/>
      <w:pPr>
        <w:pStyle w:val="907"/>
        <w:ind w:left="0" w:firstLine="0"/>
      </w:pPr>
      <w:rPr>
        <w:rFonts w:hint="eastAsia"/>
      </w:rPr>
    </w:lvl>
    <w:lvl w:ilvl="7">
      <w:start w:val="1"/>
      <w:numFmt w:val="decimal"/>
      <w:pStyle w:val="915"/>
      <w:isLgl w:val="false"/>
      <w:suff w:val="nothing"/>
      <w:lvlText w:val=""/>
      <w:lvlJc w:val="left"/>
      <w:pPr>
        <w:pStyle w:val="907"/>
        <w:ind w:left="0" w:firstLine="0"/>
      </w:pPr>
      <w:rPr>
        <w:rFonts w:hint="eastAsia"/>
      </w:rPr>
    </w:lvl>
    <w:lvl w:ilvl="8">
      <w:start w:val="1"/>
      <w:numFmt w:val="decimal"/>
      <w:pStyle w:val="916"/>
      <w:isLgl w:val="false"/>
      <w:suff w:val="nothing"/>
      <w:lvlText w:val=""/>
      <w:lvlJc w:val="left"/>
      <w:pPr>
        <w:pStyle w:val="907"/>
        <w:ind w:left="0" w:firstLine="0"/>
      </w:pPr>
      <w:rPr>
        <w:rFonts w:hint="eastAsia"/>
      </w:rPr>
    </w:lvl>
  </w:abstractNum>
  <w:abstractNum w:abstractNumId="12">
    <w:multiLevelType w:val="hybridMultilevel"/>
    <w:lvl w:ilvl="0">
      <w:start w:val="1"/>
      <w:numFmt w:val="japaneseCounting"/>
      <w:isLgl w:val="false"/>
      <w:suff w:val="tab"/>
      <w:lvlText w:val="第%1章"/>
      <w:lvlJc w:val="left"/>
      <w:pPr>
        <w:pStyle w:val="90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pStyle w:val="90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0"/>
  </w:num>
  <w:num w:numId="3">
    <w:abstractNumId w:val="6"/>
  </w:num>
  <w:num w:numId="4">
    <w:abstractNumId w:val="12"/>
  </w:num>
  <w:num w:numId="5">
    <w:abstractNumId w:val="5"/>
  </w:num>
  <w:num w:numId="6">
    <w:abstractNumId w:val="4"/>
  </w:num>
  <w:num w:numId="7">
    <w:abstractNumId w:val="7"/>
  </w:num>
  <w:num w:numId="8">
    <w:abstractNumId w:val="2"/>
  </w:num>
  <w:num w:numId="9">
    <w:abstractNumId w:val="10"/>
  </w:num>
  <w:num w:numId="10">
    <w:abstractNumId w:val="8"/>
  </w:num>
  <w:num w:numId="11">
    <w:abstractNumId w:val="9"/>
  </w:num>
  <w:num w:numId="12">
    <w:abstractNumId w:val="3"/>
  </w:num>
  <w:num w:numId="13">
    <w:abstractNumId w:val="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name w:val="Heading 1"/>
    <w:basedOn w:val="907"/>
    <w:next w:val="907"/>
    <w:link w:val="730"/>
    <w:uiPriority w:val="9"/>
    <w:qFormat/>
    <w:pPr>
      <w:keepLines/>
      <w:keepNext/>
      <w:spacing w:before="480" w:after="200"/>
      <w:outlineLvl w:val="0"/>
    </w:pPr>
    <w:rPr>
      <w:rFonts w:ascii="Arial" w:hAnsi="Arial" w:eastAsia="Arial" w:cs="Arial"/>
      <w:sz w:val="40"/>
      <w:szCs w:val="40"/>
    </w:rPr>
  </w:style>
  <w:style w:type="character" w:styleId="730">
    <w:name w:val="Heading 1 Char"/>
    <w:link w:val="729"/>
    <w:uiPriority w:val="9"/>
    <w:rPr>
      <w:rFonts w:ascii="Arial" w:hAnsi="Arial" w:eastAsia="Arial" w:cs="Arial"/>
      <w:sz w:val="40"/>
      <w:szCs w:val="40"/>
    </w:rPr>
  </w:style>
  <w:style w:type="paragraph" w:styleId="731">
    <w:name w:val="Heading 2"/>
    <w:basedOn w:val="907"/>
    <w:next w:val="907"/>
    <w:link w:val="732"/>
    <w:uiPriority w:val="9"/>
    <w:unhideWhenUsed/>
    <w:qFormat/>
    <w:pPr>
      <w:keepLines/>
      <w:keepNext/>
      <w:spacing w:before="360" w:after="200"/>
      <w:outlineLvl w:val="1"/>
    </w:pPr>
    <w:rPr>
      <w:rFonts w:ascii="Arial" w:hAnsi="Arial" w:eastAsia="Arial" w:cs="Arial"/>
      <w:sz w:val="34"/>
    </w:rPr>
  </w:style>
  <w:style w:type="character" w:styleId="732">
    <w:name w:val="Heading 2 Char"/>
    <w:link w:val="731"/>
    <w:uiPriority w:val="9"/>
    <w:rPr>
      <w:rFonts w:ascii="Arial" w:hAnsi="Arial" w:eastAsia="Arial" w:cs="Arial"/>
      <w:sz w:val="34"/>
    </w:rPr>
  </w:style>
  <w:style w:type="paragraph" w:styleId="733">
    <w:name w:val="Heading 3"/>
    <w:basedOn w:val="907"/>
    <w:next w:val="907"/>
    <w:link w:val="734"/>
    <w:uiPriority w:val="9"/>
    <w:unhideWhenUsed/>
    <w:qFormat/>
    <w:pPr>
      <w:keepLines/>
      <w:keepNext/>
      <w:spacing w:before="320" w:after="200"/>
      <w:outlineLvl w:val="2"/>
    </w:pPr>
    <w:rPr>
      <w:rFonts w:ascii="Arial" w:hAnsi="Arial" w:eastAsia="Arial" w:cs="Arial"/>
      <w:sz w:val="30"/>
      <w:szCs w:val="30"/>
    </w:rPr>
  </w:style>
  <w:style w:type="character" w:styleId="734">
    <w:name w:val="Heading 3 Char"/>
    <w:link w:val="733"/>
    <w:uiPriority w:val="9"/>
    <w:rPr>
      <w:rFonts w:ascii="Arial" w:hAnsi="Arial" w:eastAsia="Arial" w:cs="Arial"/>
      <w:sz w:val="30"/>
      <w:szCs w:val="30"/>
    </w:rPr>
  </w:style>
  <w:style w:type="paragraph" w:styleId="735">
    <w:name w:val="Heading 4"/>
    <w:basedOn w:val="907"/>
    <w:next w:val="907"/>
    <w:link w:val="736"/>
    <w:uiPriority w:val="9"/>
    <w:unhideWhenUsed/>
    <w:qFormat/>
    <w:pPr>
      <w:keepLines/>
      <w:keepNext/>
      <w:spacing w:before="320" w:after="200"/>
      <w:outlineLvl w:val="3"/>
    </w:pPr>
    <w:rPr>
      <w:rFonts w:ascii="Arial" w:hAnsi="Arial" w:eastAsia="Arial" w:cs="Arial"/>
      <w:b/>
      <w:bCs/>
      <w:sz w:val="26"/>
      <w:szCs w:val="26"/>
    </w:rPr>
  </w:style>
  <w:style w:type="character" w:styleId="736">
    <w:name w:val="Heading 4 Char"/>
    <w:link w:val="735"/>
    <w:uiPriority w:val="9"/>
    <w:rPr>
      <w:rFonts w:ascii="Arial" w:hAnsi="Arial" w:eastAsia="Arial" w:cs="Arial"/>
      <w:b/>
      <w:bCs/>
      <w:sz w:val="26"/>
      <w:szCs w:val="26"/>
    </w:rPr>
  </w:style>
  <w:style w:type="paragraph" w:styleId="737">
    <w:name w:val="Heading 5"/>
    <w:basedOn w:val="907"/>
    <w:next w:val="907"/>
    <w:link w:val="738"/>
    <w:uiPriority w:val="9"/>
    <w:unhideWhenUsed/>
    <w:qFormat/>
    <w:pPr>
      <w:keepLines/>
      <w:keepNext/>
      <w:spacing w:before="320" w:after="200"/>
      <w:outlineLvl w:val="4"/>
    </w:pPr>
    <w:rPr>
      <w:rFonts w:ascii="Arial" w:hAnsi="Arial" w:eastAsia="Arial" w:cs="Arial"/>
      <w:b/>
      <w:bCs/>
      <w:sz w:val="24"/>
      <w:szCs w:val="24"/>
    </w:rPr>
  </w:style>
  <w:style w:type="character" w:styleId="738">
    <w:name w:val="Heading 5 Char"/>
    <w:link w:val="737"/>
    <w:uiPriority w:val="9"/>
    <w:rPr>
      <w:rFonts w:ascii="Arial" w:hAnsi="Arial" w:eastAsia="Arial" w:cs="Arial"/>
      <w:b/>
      <w:bCs/>
      <w:sz w:val="24"/>
      <w:szCs w:val="24"/>
    </w:rPr>
  </w:style>
  <w:style w:type="paragraph" w:styleId="739">
    <w:name w:val="Heading 6"/>
    <w:basedOn w:val="907"/>
    <w:next w:val="907"/>
    <w:link w:val="740"/>
    <w:uiPriority w:val="9"/>
    <w:unhideWhenUsed/>
    <w:qFormat/>
    <w:pPr>
      <w:keepLines/>
      <w:keepNext/>
      <w:spacing w:before="320" w:after="200"/>
      <w:outlineLvl w:val="5"/>
    </w:pPr>
    <w:rPr>
      <w:rFonts w:ascii="Arial" w:hAnsi="Arial" w:eastAsia="Arial" w:cs="Arial"/>
      <w:b/>
      <w:bCs/>
      <w:sz w:val="22"/>
      <w:szCs w:val="22"/>
    </w:rPr>
  </w:style>
  <w:style w:type="character" w:styleId="740">
    <w:name w:val="Heading 6 Char"/>
    <w:link w:val="739"/>
    <w:uiPriority w:val="9"/>
    <w:rPr>
      <w:rFonts w:ascii="Arial" w:hAnsi="Arial" w:eastAsia="Arial" w:cs="Arial"/>
      <w:b/>
      <w:bCs/>
      <w:sz w:val="22"/>
      <w:szCs w:val="22"/>
    </w:rPr>
  </w:style>
  <w:style w:type="paragraph" w:styleId="741">
    <w:name w:val="Heading 7"/>
    <w:basedOn w:val="907"/>
    <w:next w:val="907"/>
    <w:link w:val="742"/>
    <w:uiPriority w:val="9"/>
    <w:unhideWhenUsed/>
    <w:qFormat/>
    <w:pPr>
      <w:keepLines/>
      <w:keepNext/>
      <w:spacing w:before="320" w:after="200"/>
      <w:outlineLvl w:val="6"/>
    </w:pPr>
    <w:rPr>
      <w:rFonts w:ascii="Arial" w:hAnsi="Arial" w:eastAsia="Arial" w:cs="Arial"/>
      <w:b/>
      <w:bCs/>
      <w:i/>
      <w:iCs/>
      <w:sz w:val="22"/>
      <w:szCs w:val="22"/>
    </w:rPr>
  </w:style>
  <w:style w:type="character" w:styleId="742">
    <w:name w:val="Heading 7 Char"/>
    <w:link w:val="741"/>
    <w:uiPriority w:val="9"/>
    <w:rPr>
      <w:rFonts w:ascii="Arial" w:hAnsi="Arial" w:eastAsia="Arial" w:cs="Arial"/>
      <w:b/>
      <w:bCs/>
      <w:i/>
      <w:iCs/>
      <w:sz w:val="22"/>
      <w:szCs w:val="22"/>
    </w:rPr>
  </w:style>
  <w:style w:type="paragraph" w:styleId="743">
    <w:name w:val="Heading 8"/>
    <w:basedOn w:val="907"/>
    <w:next w:val="907"/>
    <w:link w:val="744"/>
    <w:uiPriority w:val="9"/>
    <w:unhideWhenUsed/>
    <w:qFormat/>
    <w:pPr>
      <w:keepLines/>
      <w:keepNext/>
      <w:spacing w:before="320" w:after="200"/>
      <w:outlineLvl w:val="7"/>
    </w:pPr>
    <w:rPr>
      <w:rFonts w:ascii="Arial" w:hAnsi="Arial" w:eastAsia="Arial" w:cs="Arial"/>
      <w:i/>
      <w:iCs/>
      <w:sz w:val="22"/>
      <w:szCs w:val="22"/>
    </w:rPr>
  </w:style>
  <w:style w:type="character" w:styleId="744">
    <w:name w:val="Heading 8 Char"/>
    <w:link w:val="743"/>
    <w:uiPriority w:val="9"/>
    <w:rPr>
      <w:rFonts w:ascii="Arial" w:hAnsi="Arial" w:eastAsia="Arial" w:cs="Arial"/>
      <w:i/>
      <w:iCs/>
      <w:sz w:val="22"/>
      <w:szCs w:val="22"/>
    </w:rPr>
  </w:style>
  <w:style w:type="paragraph" w:styleId="745">
    <w:name w:val="Heading 9"/>
    <w:basedOn w:val="907"/>
    <w:next w:val="907"/>
    <w:link w:val="746"/>
    <w:uiPriority w:val="9"/>
    <w:unhideWhenUsed/>
    <w:qFormat/>
    <w:pPr>
      <w:keepLines/>
      <w:keepNext/>
      <w:spacing w:before="320" w:after="200"/>
      <w:outlineLvl w:val="8"/>
    </w:pPr>
    <w:rPr>
      <w:rFonts w:ascii="Arial" w:hAnsi="Arial" w:eastAsia="Arial" w:cs="Arial"/>
      <w:i/>
      <w:iCs/>
      <w:sz w:val="21"/>
      <w:szCs w:val="21"/>
    </w:rPr>
  </w:style>
  <w:style w:type="character" w:styleId="746">
    <w:name w:val="Heading 9 Char"/>
    <w:link w:val="745"/>
    <w:uiPriority w:val="9"/>
    <w:rPr>
      <w:rFonts w:ascii="Arial" w:hAnsi="Arial" w:eastAsia="Arial" w:cs="Arial"/>
      <w:i/>
      <w:iCs/>
      <w:sz w:val="21"/>
      <w:szCs w:val="21"/>
    </w:rPr>
  </w:style>
  <w:style w:type="paragraph" w:styleId="747">
    <w:name w:val="List Paragraph"/>
    <w:basedOn w:val="907"/>
    <w:uiPriority w:val="34"/>
    <w:qFormat/>
    <w:pPr>
      <w:contextualSpacing/>
      <w:ind w:left="720"/>
    </w:pPr>
  </w:style>
  <w:style w:type="paragraph" w:styleId="748">
    <w:name w:val="No Spacing"/>
    <w:uiPriority w:val="1"/>
    <w:qFormat/>
    <w:pPr>
      <w:spacing w:before="0" w:after="0" w:line="240" w:lineRule="auto"/>
    </w:pPr>
  </w:style>
  <w:style w:type="paragraph" w:styleId="749">
    <w:name w:val="Title"/>
    <w:basedOn w:val="907"/>
    <w:next w:val="907"/>
    <w:link w:val="750"/>
    <w:uiPriority w:val="10"/>
    <w:qFormat/>
    <w:pPr>
      <w:contextualSpacing/>
      <w:spacing w:before="300" w:after="200"/>
    </w:pPr>
    <w:rPr>
      <w:sz w:val="48"/>
      <w:szCs w:val="48"/>
    </w:rPr>
  </w:style>
  <w:style w:type="character" w:styleId="750">
    <w:name w:val="Title Char"/>
    <w:link w:val="749"/>
    <w:uiPriority w:val="10"/>
    <w:rPr>
      <w:sz w:val="48"/>
      <w:szCs w:val="48"/>
    </w:rPr>
  </w:style>
  <w:style w:type="paragraph" w:styleId="751">
    <w:name w:val="Subtitle"/>
    <w:basedOn w:val="907"/>
    <w:next w:val="907"/>
    <w:link w:val="752"/>
    <w:uiPriority w:val="11"/>
    <w:qFormat/>
    <w:pPr>
      <w:spacing w:before="200" w:after="200"/>
    </w:pPr>
    <w:rPr>
      <w:sz w:val="24"/>
      <w:szCs w:val="24"/>
    </w:rPr>
  </w:style>
  <w:style w:type="character" w:styleId="752">
    <w:name w:val="Subtitle Char"/>
    <w:link w:val="751"/>
    <w:uiPriority w:val="11"/>
    <w:rPr>
      <w:sz w:val="24"/>
      <w:szCs w:val="24"/>
    </w:rPr>
  </w:style>
  <w:style w:type="paragraph" w:styleId="753">
    <w:name w:val="Quote"/>
    <w:basedOn w:val="907"/>
    <w:next w:val="907"/>
    <w:link w:val="754"/>
    <w:uiPriority w:val="29"/>
    <w:qFormat/>
    <w:pPr>
      <w:ind w:left="720" w:right="720"/>
    </w:pPr>
    <w:rPr>
      <w:i/>
    </w:rPr>
  </w:style>
  <w:style w:type="character" w:styleId="754">
    <w:name w:val="Quote Char"/>
    <w:link w:val="753"/>
    <w:uiPriority w:val="29"/>
    <w:rPr>
      <w:i/>
    </w:rPr>
  </w:style>
  <w:style w:type="paragraph" w:styleId="755">
    <w:name w:val="Intense Quote"/>
    <w:basedOn w:val="907"/>
    <w:next w:val="907"/>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name w:val="Intense Quote Char"/>
    <w:link w:val="755"/>
    <w:uiPriority w:val="30"/>
    <w:rPr>
      <w:i/>
    </w:rPr>
  </w:style>
  <w:style w:type="paragraph" w:styleId="757">
    <w:name w:val="Header"/>
    <w:basedOn w:val="907"/>
    <w:link w:val="758"/>
    <w:uiPriority w:val="99"/>
    <w:unhideWhenUsed/>
    <w:pPr>
      <w:spacing w:after="0" w:line="240" w:lineRule="auto"/>
      <w:tabs>
        <w:tab w:val="center" w:pos="7143" w:leader="none"/>
        <w:tab w:val="right" w:pos="14287" w:leader="none"/>
      </w:tabs>
    </w:pPr>
  </w:style>
  <w:style w:type="character" w:styleId="758">
    <w:name w:val="Header Char"/>
    <w:link w:val="757"/>
    <w:uiPriority w:val="99"/>
  </w:style>
  <w:style w:type="paragraph" w:styleId="759">
    <w:name w:val="Footer"/>
    <w:basedOn w:val="907"/>
    <w:link w:val="762"/>
    <w:uiPriority w:val="99"/>
    <w:unhideWhenUsed/>
    <w:pPr>
      <w:spacing w:after="0" w:line="240" w:lineRule="auto"/>
      <w:tabs>
        <w:tab w:val="center" w:pos="7143" w:leader="none"/>
        <w:tab w:val="right" w:pos="14287" w:leader="none"/>
      </w:tabs>
    </w:pPr>
  </w:style>
  <w:style w:type="character" w:styleId="760">
    <w:name w:val="Footer Char"/>
    <w:link w:val="759"/>
    <w:uiPriority w:val="99"/>
  </w:style>
  <w:style w:type="paragraph" w:styleId="761">
    <w:name w:val="Caption"/>
    <w:basedOn w:val="907"/>
    <w:next w:val="907"/>
    <w:uiPriority w:val="35"/>
    <w:semiHidden/>
    <w:unhideWhenUsed/>
    <w:qFormat/>
    <w:pPr>
      <w:spacing w:line="276" w:lineRule="auto"/>
    </w:pPr>
    <w:rPr>
      <w:b/>
      <w:bCs/>
      <w:color w:val="4f81bd" w:themeColor="accent1"/>
      <w:sz w:val="18"/>
      <w:szCs w:val="18"/>
    </w:rPr>
  </w:style>
  <w:style w:type="character" w:styleId="762">
    <w:name w:val="Caption Char"/>
    <w:basedOn w:val="761"/>
    <w:link w:val="759"/>
    <w:uiPriority w:val="99"/>
  </w:style>
  <w:style w:type="table" w:styleId="7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9">
    <w:name w:val="Hyperlink"/>
    <w:uiPriority w:val="99"/>
    <w:unhideWhenUsed/>
    <w:rPr>
      <w:color w:val="0000ff" w:themeColor="hyperlink"/>
      <w:u w:val="single"/>
    </w:rPr>
  </w:style>
  <w:style w:type="paragraph" w:styleId="890">
    <w:name w:val="footnote text"/>
    <w:basedOn w:val="907"/>
    <w:link w:val="891"/>
    <w:uiPriority w:val="99"/>
    <w:semiHidden/>
    <w:unhideWhenUsed/>
    <w:pPr>
      <w:spacing w:after="40" w:line="240" w:lineRule="auto"/>
    </w:pPr>
    <w:rPr>
      <w:sz w:val="18"/>
    </w:rPr>
  </w:style>
  <w:style w:type="character" w:styleId="891">
    <w:name w:val="Footnote Text Char"/>
    <w:link w:val="890"/>
    <w:uiPriority w:val="99"/>
    <w:rPr>
      <w:sz w:val="18"/>
    </w:rPr>
  </w:style>
  <w:style w:type="character" w:styleId="892">
    <w:name w:val="footnote reference"/>
    <w:uiPriority w:val="99"/>
    <w:unhideWhenUsed/>
    <w:rPr>
      <w:vertAlign w:val="superscript"/>
    </w:rPr>
  </w:style>
  <w:style w:type="paragraph" w:styleId="893">
    <w:name w:val="endnote text"/>
    <w:basedOn w:val="907"/>
    <w:link w:val="894"/>
    <w:uiPriority w:val="99"/>
    <w:semiHidden/>
    <w:unhideWhenUsed/>
    <w:pPr>
      <w:spacing w:after="0" w:line="240" w:lineRule="auto"/>
    </w:pPr>
    <w:rPr>
      <w:sz w:val="20"/>
    </w:rPr>
  </w:style>
  <w:style w:type="character" w:styleId="894">
    <w:name w:val="Endnote Text Char"/>
    <w:link w:val="893"/>
    <w:uiPriority w:val="99"/>
    <w:rPr>
      <w:sz w:val="20"/>
    </w:rPr>
  </w:style>
  <w:style w:type="character" w:styleId="895">
    <w:name w:val="endnote reference"/>
    <w:uiPriority w:val="99"/>
    <w:semiHidden/>
    <w:unhideWhenUsed/>
    <w:rPr>
      <w:vertAlign w:val="superscript"/>
    </w:rPr>
  </w:style>
  <w:style w:type="paragraph" w:styleId="896">
    <w:name w:val="toc 1"/>
    <w:basedOn w:val="907"/>
    <w:next w:val="907"/>
    <w:uiPriority w:val="39"/>
    <w:unhideWhenUsed/>
    <w:pPr>
      <w:ind w:left="0" w:right="0" w:firstLine="0"/>
      <w:spacing w:after="57"/>
    </w:pPr>
  </w:style>
  <w:style w:type="paragraph" w:styleId="897">
    <w:name w:val="toc 2"/>
    <w:basedOn w:val="907"/>
    <w:next w:val="907"/>
    <w:uiPriority w:val="39"/>
    <w:unhideWhenUsed/>
    <w:pPr>
      <w:ind w:left="283" w:right="0" w:firstLine="0"/>
      <w:spacing w:after="57"/>
    </w:pPr>
  </w:style>
  <w:style w:type="paragraph" w:styleId="898">
    <w:name w:val="toc 3"/>
    <w:basedOn w:val="907"/>
    <w:next w:val="907"/>
    <w:uiPriority w:val="39"/>
    <w:unhideWhenUsed/>
    <w:pPr>
      <w:ind w:left="567" w:right="0" w:firstLine="0"/>
      <w:spacing w:after="57"/>
    </w:pPr>
  </w:style>
  <w:style w:type="paragraph" w:styleId="899">
    <w:name w:val="toc 4"/>
    <w:basedOn w:val="907"/>
    <w:next w:val="907"/>
    <w:uiPriority w:val="39"/>
    <w:unhideWhenUsed/>
    <w:pPr>
      <w:ind w:left="850" w:right="0" w:firstLine="0"/>
      <w:spacing w:after="57"/>
    </w:pPr>
  </w:style>
  <w:style w:type="paragraph" w:styleId="900">
    <w:name w:val="toc 5"/>
    <w:basedOn w:val="907"/>
    <w:next w:val="907"/>
    <w:uiPriority w:val="39"/>
    <w:unhideWhenUsed/>
    <w:pPr>
      <w:ind w:left="1134" w:right="0" w:firstLine="0"/>
      <w:spacing w:after="57"/>
    </w:pPr>
  </w:style>
  <w:style w:type="paragraph" w:styleId="901">
    <w:name w:val="toc 6"/>
    <w:basedOn w:val="907"/>
    <w:next w:val="907"/>
    <w:uiPriority w:val="39"/>
    <w:unhideWhenUsed/>
    <w:pPr>
      <w:ind w:left="1417" w:right="0" w:firstLine="0"/>
      <w:spacing w:after="57"/>
    </w:pPr>
  </w:style>
  <w:style w:type="paragraph" w:styleId="902">
    <w:name w:val="toc 7"/>
    <w:basedOn w:val="907"/>
    <w:next w:val="907"/>
    <w:uiPriority w:val="39"/>
    <w:unhideWhenUsed/>
    <w:pPr>
      <w:ind w:left="1701" w:right="0" w:firstLine="0"/>
      <w:spacing w:after="57"/>
    </w:pPr>
  </w:style>
  <w:style w:type="paragraph" w:styleId="903">
    <w:name w:val="toc 8"/>
    <w:basedOn w:val="907"/>
    <w:next w:val="907"/>
    <w:uiPriority w:val="39"/>
    <w:unhideWhenUsed/>
    <w:pPr>
      <w:ind w:left="1984" w:right="0" w:firstLine="0"/>
      <w:spacing w:after="57"/>
    </w:pPr>
  </w:style>
  <w:style w:type="paragraph" w:styleId="904">
    <w:name w:val="toc 9"/>
    <w:basedOn w:val="907"/>
    <w:next w:val="907"/>
    <w:uiPriority w:val="39"/>
    <w:unhideWhenUsed/>
    <w:pPr>
      <w:ind w:left="2268" w:right="0" w:firstLine="0"/>
      <w:spacing w:after="57"/>
    </w:pPr>
  </w:style>
  <w:style w:type="paragraph" w:styleId="905">
    <w:name w:val="TOC Heading"/>
    <w:uiPriority w:val="39"/>
    <w:unhideWhenUsed/>
  </w:style>
  <w:style w:type="paragraph" w:styleId="906">
    <w:name w:val="table of figures"/>
    <w:basedOn w:val="907"/>
    <w:next w:val="907"/>
    <w:uiPriority w:val="99"/>
    <w:unhideWhenUsed/>
    <w:pPr>
      <w:spacing w:after="0" w:afterAutospacing="0"/>
    </w:pPr>
  </w:style>
  <w:style w:type="paragraph" w:styleId="907" w:default="1">
    <w:name w:val="Normal"/>
    <w:next w:val="907"/>
    <w:link w:val="907"/>
    <w:qFormat/>
    <w:pPr>
      <w:jc w:val="both"/>
      <w:widowControl w:val="off"/>
    </w:pPr>
    <w:rPr>
      <w:rFonts w:ascii="Times New Roman" w:hAnsi="Times New Roman"/>
      <w:sz w:val="21"/>
      <w:szCs w:val="21"/>
      <w:lang w:val="en-US" w:eastAsia="zh-CN" w:bidi="ar-SA"/>
    </w:rPr>
  </w:style>
  <w:style w:type="paragraph" w:styleId="908">
    <w:name w:val="标题 1"/>
    <w:basedOn w:val="907"/>
    <w:next w:val="907"/>
    <w:link w:val="920"/>
    <w:uiPriority w:val="9"/>
    <w:qFormat/>
    <w:pPr>
      <w:jc w:val="center"/>
      <w:keepNext/>
      <w:outlineLvl w:val="0"/>
    </w:pPr>
    <w:rPr>
      <w:rFonts w:ascii="楷体_GB2312" w:eastAsia="楷体_GB2312"/>
      <w:sz w:val="28"/>
      <w:szCs w:val="28"/>
      <w:lang w:val="en-US" w:eastAsia="en-US"/>
    </w:rPr>
  </w:style>
  <w:style w:type="paragraph" w:styleId="909">
    <w:name w:val="标题 2"/>
    <w:basedOn w:val="907"/>
    <w:next w:val="922"/>
    <w:link w:val="921"/>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10">
    <w:name w:val="标题 3"/>
    <w:basedOn w:val="907"/>
    <w:next w:val="922"/>
    <w:link w:val="924"/>
    <w:qFormat/>
    <w:pPr>
      <w:keepLines/>
      <w:keepNext/>
      <w:spacing w:before="260" w:after="260" w:line="416" w:lineRule="auto"/>
      <w:outlineLvl w:val="2"/>
    </w:pPr>
    <w:rPr>
      <w:b/>
      <w:bCs/>
      <w:sz w:val="32"/>
      <w:szCs w:val="32"/>
      <w:lang w:val="en-US" w:eastAsia="en-US"/>
    </w:rPr>
  </w:style>
  <w:style w:type="paragraph" w:styleId="911">
    <w:name w:val="标题 4"/>
    <w:basedOn w:val="907"/>
    <w:next w:val="922"/>
    <w:link w:val="925"/>
    <w:qFormat/>
    <w:pPr>
      <w:keepLines/>
      <w:keepNext/>
      <w:spacing w:before="280" w:after="290" w:line="376" w:lineRule="auto"/>
      <w:outlineLvl w:val="3"/>
    </w:pPr>
    <w:rPr>
      <w:rFonts w:ascii="Arial" w:hAnsi="Arial" w:eastAsia="黑体"/>
      <w:b/>
      <w:bCs/>
      <w:sz w:val="28"/>
      <w:szCs w:val="28"/>
      <w:lang w:val="en-US" w:eastAsia="en-US"/>
    </w:rPr>
  </w:style>
  <w:style w:type="paragraph" w:styleId="912">
    <w:name w:val="标题 5"/>
    <w:basedOn w:val="907"/>
    <w:next w:val="922"/>
    <w:link w:val="926"/>
    <w:qFormat/>
    <w:pPr>
      <w:keepNext/>
      <w:outlineLvl w:val="4"/>
    </w:pPr>
    <w:rPr>
      <w:rFonts w:ascii="宋体"/>
      <w:color w:val="000000"/>
      <w:sz w:val="28"/>
      <w:szCs w:val="28"/>
      <w:lang w:val="en-US" w:eastAsia="en-US"/>
    </w:rPr>
  </w:style>
  <w:style w:type="paragraph" w:styleId="913">
    <w:name w:val="标题 6"/>
    <w:basedOn w:val="907"/>
    <w:next w:val="907"/>
    <w:link w:val="927"/>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14">
    <w:name w:val="标题 7"/>
    <w:basedOn w:val="907"/>
    <w:next w:val="907"/>
    <w:link w:val="928"/>
    <w:qFormat/>
    <w:pPr>
      <w:numPr>
        <w:ilvl w:val="6"/>
        <w:numId w:val="1"/>
      </w:numPr>
      <w:keepLines/>
      <w:keepNext/>
      <w:spacing w:before="240" w:after="64" w:line="320" w:lineRule="auto"/>
      <w:outlineLvl w:val="6"/>
    </w:pPr>
    <w:rPr>
      <w:b/>
      <w:bCs/>
      <w:sz w:val="24"/>
      <w:szCs w:val="24"/>
      <w:lang w:val="en-US" w:eastAsia="en-US"/>
    </w:rPr>
  </w:style>
  <w:style w:type="paragraph" w:styleId="915">
    <w:name w:val="标题 8"/>
    <w:basedOn w:val="907"/>
    <w:next w:val="907"/>
    <w:link w:val="929"/>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16">
    <w:name w:val="标题 9"/>
    <w:basedOn w:val="907"/>
    <w:next w:val="907"/>
    <w:link w:val="930"/>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17">
    <w:name w:val="默认段落字体"/>
    <w:next w:val="917"/>
    <w:link w:val="907"/>
    <w:uiPriority w:val="1"/>
    <w:unhideWhenUsed/>
  </w:style>
  <w:style w:type="table" w:styleId="918">
    <w:name w:val="普通表格"/>
    <w:next w:val="918"/>
    <w:link w:val="907"/>
    <w:uiPriority w:val="99"/>
    <w:unhideWhenUsed/>
    <w:tblPr/>
  </w:style>
  <w:style w:type="numbering" w:styleId="919">
    <w:name w:val="无列表"/>
    <w:next w:val="919"/>
    <w:link w:val="907"/>
    <w:uiPriority w:val="99"/>
    <w:semiHidden/>
    <w:unhideWhenUsed/>
  </w:style>
  <w:style w:type="character" w:styleId="920">
    <w:name w:val="标题 1 Char"/>
    <w:next w:val="920"/>
    <w:link w:val="908"/>
    <w:uiPriority w:val="9"/>
    <w:qFormat/>
    <w:rPr>
      <w:rFonts w:ascii="楷体_GB2312" w:hAnsi="Times New Roman" w:eastAsia="楷体_GB2312" w:cs="Times New Roman"/>
      <w:sz w:val="28"/>
      <w:szCs w:val="28"/>
    </w:rPr>
  </w:style>
  <w:style w:type="character" w:styleId="921">
    <w:name w:val="标题 2 Char"/>
    <w:next w:val="921"/>
    <w:link w:val="909"/>
    <w:rPr>
      <w:rFonts w:ascii="Arial" w:hAnsi="Arial" w:eastAsia="幼圆" w:cs="Arial"/>
      <w:b/>
      <w:bCs/>
      <w:sz w:val="44"/>
      <w:szCs w:val="44"/>
    </w:rPr>
  </w:style>
  <w:style w:type="paragraph" w:styleId="922">
    <w:name w:val="正文缩进"/>
    <w:basedOn w:val="907"/>
    <w:next w:val="922"/>
    <w:link w:val="923"/>
    <w:pPr>
      <w:ind w:firstLine="420"/>
    </w:pPr>
    <w:rPr>
      <w:sz w:val="20"/>
      <w:lang w:val="en-US" w:eastAsia="en-US"/>
    </w:rPr>
  </w:style>
  <w:style w:type="character" w:styleId="923">
    <w:name w:val="正文缩进 Char"/>
    <w:next w:val="923"/>
    <w:link w:val="922"/>
    <w:rPr>
      <w:rFonts w:ascii="Times New Roman" w:hAnsi="Times New Roman" w:eastAsia="宋体" w:cs="Times New Roman"/>
      <w:szCs w:val="21"/>
    </w:rPr>
  </w:style>
  <w:style w:type="character" w:styleId="924">
    <w:name w:val="标题 3 Char"/>
    <w:next w:val="924"/>
    <w:link w:val="910"/>
    <w:rPr>
      <w:rFonts w:ascii="Times New Roman" w:hAnsi="Times New Roman" w:eastAsia="宋体" w:cs="Times New Roman"/>
      <w:b/>
      <w:bCs/>
      <w:sz w:val="32"/>
      <w:szCs w:val="32"/>
    </w:rPr>
  </w:style>
  <w:style w:type="character" w:styleId="925">
    <w:name w:val="标题 4 Char"/>
    <w:next w:val="925"/>
    <w:link w:val="911"/>
    <w:rPr>
      <w:rFonts w:ascii="Arial" w:hAnsi="Arial" w:eastAsia="黑体" w:cs="Arial"/>
      <w:b/>
      <w:bCs/>
      <w:sz w:val="28"/>
      <w:szCs w:val="28"/>
    </w:rPr>
  </w:style>
  <w:style w:type="character" w:styleId="926">
    <w:name w:val="标题 5 Char"/>
    <w:next w:val="926"/>
    <w:link w:val="912"/>
    <w:rPr>
      <w:rFonts w:ascii="宋体" w:hAnsi="Times New Roman" w:eastAsia="宋体" w:cs="Times New Roman"/>
      <w:color w:val="000000"/>
      <w:sz w:val="28"/>
      <w:szCs w:val="28"/>
    </w:rPr>
  </w:style>
  <w:style w:type="character" w:styleId="927">
    <w:name w:val="标题 6 Char"/>
    <w:next w:val="927"/>
    <w:link w:val="913"/>
    <w:rPr>
      <w:rFonts w:ascii="Arial" w:hAnsi="Arial" w:eastAsia="黑体" w:cs="Times New Roman"/>
      <w:b/>
      <w:bCs/>
      <w:sz w:val="24"/>
      <w:szCs w:val="24"/>
    </w:rPr>
  </w:style>
  <w:style w:type="character" w:styleId="928">
    <w:name w:val="标题 7 Char"/>
    <w:next w:val="928"/>
    <w:link w:val="914"/>
    <w:rPr>
      <w:rFonts w:ascii="Times New Roman" w:hAnsi="Times New Roman" w:eastAsia="宋体" w:cs="Times New Roman"/>
      <w:b/>
      <w:bCs/>
      <w:sz w:val="24"/>
      <w:szCs w:val="24"/>
    </w:rPr>
  </w:style>
  <w:style w:type="character" w:styleId="929">
    <w:name w:val="标题 8 Char"/>
    <w:next w:val="929"/>
    <w:link w:val="915"/>
    <w:rPr>
      <w:rFonts w:ascii="Arial" w:hAnsi="Arial" w:eastAsia="黑体" w:cs="Times New Roman"/>
      <w:sz w:val="24"/>
      <w:szCs w:val="24"/>
    </w:rPr>
  </w:style>
  <w:style w:type="character" w:styleId="930">
    <w:name w:val="标题 9 Char"/>
    <w:next w:val="930"/>
    <w:link w:val="916"/>
    <w:rPr>
      <w:rFonts w:ascii="Arial" w:hAnsi="Arial" w:eastAsia="黑体" w:cs="Times New Roman"/>
      <w:szCs w:val="21"/>
    </w:rPr>
  </w:style>
  <w:style w:type="paragraph" w:styleId="931">
    <w:name w:val="列表 3"/>
    <w:basedOn w:val="907"/>
    <w:next w:val="931"/>
    <w:link w:val="907"/>
    <w:pPr>
      <w:ind w:left="100" w:hanging="200"/>
    </w:pPr>
  </w:style>
  <w:style w:type="paragraph" w:styleId="932">
    <w:name w:val="目录 7"/>
    <w:basedOn w:val="907"/>
    <w:next w:val="907"/>
    <w:link w:val="907"/>
    <w:semiHidden/>
    <w:pPr>
      <w:ind w:left="1260"/>
      <w:jc w:val="left"/>
    </w:pPr>
  </w:style>
  <w:style w:type="paragraph" w:styleId="933">
    <w:name w:val="文档结构图"/>
    <w:basedOn w:val="907"/>
    <w:next w:val="933"/>
    <w:link w:val="934"/>
    <w:semiHidden/>
    <w:pPr>
      <w:shd w:val="clear" w:color="auto" w:fill="000080"/>
    </w:pPr>
    <w:rPr>
      <w:sz w:val="20"/>
      <w:lang w:val="en-US" w:eastAsia="en-US"/>
    </w:rPr>
  </w:style>
  <w:style w:type="character" w:styleId="934">
    <w:name w:val="文档结构图 Char"/>
    <w:next w:val="934"/>
    <w:link w:val="933"/>
    <w:semiHidden/>
    <w:rPr>
      <w:rFonts w:ascii="Times New Roman" w:hAnsi="Times New Roman" w:eastAsia="宋体" w:cs="Times New Roman"/>
      <w:szCs w:val="21"/>
      <w:shd w:val="clear" w:color="auto" w:fill="000080"/>
    </w:rPr>
  </w:style>
  <w:style w:type="paragraph" w:styleId="935">
    <w:name w:val="批注文字"/>
    <w:basedOn w:val="907"/>
    <w:next w:val="935"/>
    <w:link w:val="936"/>
    <w:uiPriority w:val="99"/>
    <w:semiHidden/>
    <w:qFormat/>
    <w:pPr>
      <w:jc w:val="left"/>
    </w:pPr>
    <w:rPr>
      <w:sz w:val="20"/>
      <w:lang w:val="en-US" w:eastAsia="en-US"/>
    </w:rPr>
  </w:style>
  <w:style w:type="character" w:styleId="936">
    <w:name w:val="批注文字 Char"/>
    <w:next w:val="936"/>
    <w:link w:val="935"/>
    <w:uiPriority w:val="99"/>
    <w:semiHidden/>
    <w:qFormat/>
    <w:rPr>
      <w:rFonts w:ascii="Times New Roman" w:hAnsi="Times New Roman" w:eastAsia="宋体" w:cs="Times New Roman"/>
      <w:szCs w:val="21"/>
    </w:rPr>
  </w:style>
  <w:style w:type="paragraph" w:styleId="937">
    <w:name w:val="正文文本 3"/>
    <w:basedOn w:val="907"/>
    <w:next w:val="937"/>
    <w:link w:val="938"/>
    <w:rPr>
      <w:rFonts w:ascii="仿宋_GB2312" w:hAnsi="Arial" w:eastAsia="仿宋_GB2312"/>
      <w:sz w:val="32"/>
      <w:szCs w:val="32"/>
      <w:lang w:val="en-US" w:eastAsia="en-US"/>
    </w:rPr>
  </w:style>
  <w:style w:type="character" w:styleId="938">
    <w:name w:val="正文文本 3 Char"/>
    <w:next w:val="938"/>
    <w:link w:val="937"/>
    <w:rPr>
      <w:rFonts w:ascii="仿宋_GB2312" w:hAnsi="Arial" w:eastAsia="仿宋_GB2312" w:cs="Times New Roman"/>
      <w:sz w:val="32"/>
      <w:szCs w:val="32"/>
    </w:rPr>
  </w:style>
  <w:style w:type="paragraph" w:styleId="939">
    <w:name w:val="正文文本"/>
    <w:basedOn w:val="907"/>
    <w:next w:val="939"/>
    <w:link w:val="940"/>
    <w:rPr>
      <w:rFonts w:ascii="楷体_GB2312" w:hAnsi="Arial" w:eastAsia="楷体_GB2312"/>
      <w:sz w:val="28"/>
      <w:szCs w:val="28"/>
      <w:lang w:val="en-US" w:eastAsia="en-US"/>
    </w:rPr>
  </w:style>
  <w:style w:type="character" w:styleId="940">
    <w:name w:val="正文文本 Char"/>
    <w:next w:val="940"/>
    <w:link w:val="939"/>
    <w:rPr>
      <w:rFonts w:ascii="楷体_GB2312" w:hAnsi="Arial" w:eastAsia="楷体_GB2312" w:cs="Times New Roman"/>
      <w:sz w:val="28"/>
      <w:szCs w:val="28"/>
    </w:rPr>
  </w:style>
  <w:style w:type="paragraph" w:styleId="941">
    <w:name w:val="正文文本缩进"/>
    <w:basedOn w:val="907"/>
    <w:next w:val="941"/>
    <w:link w:val="942"/>
    <w:pPr>
      <w:ind w:firstLine="645"/>
    </w:pPr>
    <w:rPr>
      <w:rFonts w:ascii="楷体_GB2312" w:eastAsia="楷体_GB2312"/>
      <w:sz w:val="32"/>
      <w:szCs w:val="32"/>
      <w:lang w:val="en-US" w:eastAsia="en-US"/>
    </w:rPr>
  </w:style>
  <w:style w:type="character" w:styleId="942">
    <w:name w:val="正文文本缩进 Char"/>
    <w:next w:val="942"/>
    <w:link w:val="941"/>
    <w:rPr>
      <w:rFonts w:ascii="楷体_GB2312" w:hAnsi="Times New Roman" w:eastAsia="楷体_GB2312" w:cs="Times New Roman"/>
      <w:sz w:val="32"/>
      <w:szCs w:val="32"/>
    </w:rPr>
  </w:style>
  <w:style w:type="paragraph" w:styleId="943">
    <w:name w:val="列表 2"/>
    <w:basedOn w:val="907"/>
    <w:next w:val="943"/>
    <w:link w:val="907"/>
    <w:pPr>
      <w:ind w:left="100" w:hanging="200"/>
    </w:pPr>
  </w:style>
  <w:style w:type="paragraph" w:styleId="944">
    <w:name w:val="目录 5"/>
    <w:basedOn w:val="907"/>
    <w:next w:val="907"/>
    <w:link w:val="907"/>
    <w:semiHidden/>
    <w:pPr>
      <w:ind w:left="840"/>
      <w:jc w:val="left"/>
    </w:pPr>
  </w:style>
  <w:style w:type="paragraph" w:styleId="945">
    <w:name w:val="目录 3"/>
    <w:basedOn w:val="907"/>
    <w:next w:val="907"/>
    <w:link w:val="907"/>
    <w:semiHidden/>
    <w:pPr>
      <w:ind w:left="420"/>
      <w:jc w:val="left"/>
    </w:pPr>
    <w:rPr>
      <w:i/>
      <w:iCs/>
      <w:szCs w:val="24"/>
    </w:rPr>
  </w:style>
  <w:style w:type="paragraph" w:styleId="946">
    <w:name w:val="纯文本"/>
    <w:basedOn w:val="907"/>
    <w:next w:val="946"/>
    <w:link w:val="947"/>
    <w:rPr>
      <w:rFonts w:ascii="宋体" w:hAnsi="Courier New"/>
      <w:sz w:val="20"/>
      <w:lang w:val="en-US" w:eastAsia="en-US"/>
    </w:rPr>
  </w:style>
  <w:style w:type="character" w:styleId="947">
    <w:name w:val="纯文本 Char"/>
    <w:next w:val="947"/>
    <w:link w:val="946"/>
    <w:rPr>
      <w:rFonts w:ascii="宋体" w:hAnsi="Courier New" w:eastAsia="宋体" w:cs="Courier New"/>
      <w:szCs w:val="21"/>
    </w:rPr>
  </w:style>
  <w:style w:type="paragraph" w:styleId="948">
    <w:name w:val="目录 8"/>
    <w:basedOn w:val="907"/>
    <w:next w:val="907"/>
    <w:link w:val="907"/>
    <w:semiHidden/>
    <w:pPr>
      <w:ind w:left="1470"/>
      <w:jc w:val="left"/>
    </w:pPr>
  </w:style>
  <w:style w:type="paragraph" w:styleId="949">
    <w:name w:val="日期"/>
    <w:basedOn w:val="907"/>
    <w:next w:val="907"/>
    <w:link w:val="950"/>
    <w:rPr>
      <w:sz w:val="24"/>
      <w:szCs w:val="24"/>
      <w:lang w:val="en-US" w:eastAsia="en-US"/>
    </w:rPr>
  </w:style>
  <w:style w:type="character" w:styleId="950">
    <w:name w:val="日期 Char"/>
    <w:next w:val="950"/>
    <w:link w:val="949"/>
    <w:rPr>
      <w:rFonts w:ascii="Times New Roman" w:hAnsi="Times New Roman" w:eastAsia="宋体" w:cs="Times New Roman"/>
      <w:sz w:val="24"/>
      <w:szCs w:val="24"/>
    </w:rPr>
  </w:style>
  <w:style w:type="paragraph" w:styleId="951">
    <w:name w:val="正文文本缩进 2"/>
    <w:basedOn w:val="907"/>
    <w:next w:val="951"/>
    <w:link w:val="952"/>
    <w:pPr>
      <w:ind w:left="630" w:firstLine="645"/>
    </w:pPr>
    <w:rPr>
      <w:rFonts w:ascii="Arial" w:hAnsi="Arial" w:eastAsia="仿宋_GB2312"/>
      <w:sz w:val="32"/>
      <w:szCs w:val="32"/>
      <w:lang w:val="en-US" w:eastAsia="en-US"/>
    </w:rPr>
  </w:style>
  <w:style w:type="character" w:styleId="952">
    <w:name w:val="正文文本缩进 2 Char"/>
    <w:next w:val="952"/>
    <w:link w:val="951"/>
    <w:rPr>
      <w:rFonts w:ascii="Arial" w:hAnsi="Arial" w:eastAsia="仿宋_GB2312" w:cs="Arial"/>
      <w:sz w:val="32"/>
      <w:szCs w:val="32"/>
    </w:rPr>
  </w:style>
  <w:style w:type="paragraph" w:styleId="953">
    <w:name w:val="批注框文本"/>
    <w:basedOn w:val="907"/>
    <w:next w:val="953"/>
    <w:link w:val="954"/>
    <w:semiHidden/>
    <w:rPr>
      <w:sz w:val="18"/>
      <w:szCs w:val="18"/>
      <w:lang w:val="en-US" w:eastAsia="en-US"/>
    </w:rPr>
  </w:style>
  <w:style w:type="character" w:styleId="954">
    <w:name w:val="批注框文本 Char"/>
    <w:next w:val="954"/>
    <w:link w:val="953"/>
    <w:semiHidden/>
    <w:rPr>
      <w:rFonts w:ascii="Times New Roman" w:hAnsi="Times New Roman" w:eastAsia="宋体" w:cs="Times New Roman"/>
      <w:sz w:val="18"/>
      <w:szCs w:val="18"/>
    </w:rPr>
  </w:style>
  <w:style w:type="paragraph" w:styleId="955">
    <w:name w:val="页脚"/>
    <w:basedOn w:val="907"/>
    <w:next w:val="955"/>
    <w:link w:val="956"/>
    <w:uiPriority w:val="99"/>
    <w:pPr>
      <w:jc w:val="left"/>
      <w:tabs>
        <w:tab w:val="center" w:pos="4153" w:leader="none"/>
        <w:tab w:val="right" w:pos="8306" w:leader="none"/>
      </w:tabs>
    </w:pPr>
    <w:rPr>
      <w:sz w:val="18"/>
      <w:szCs w:val="18"/>
      <w:lang w:val="en-US" w:eastAsia="en-US"/>
    </w:rPr>
  </w:style>
  <w:style w:type="character" w:styleId="956">
    <w:name w:val="页脚 Char"/>
    <w:next w:val="956"/>
    <w:link w:val="955"/>
    <w:uiPriority w:val="99"/>
    <w:rPr>
      <w:rFonts w:ascii="Times New Roman" w:hAnsi="Times New Roman" w:eastAsia="宋体" w:cs="Times New Roman"/>
      <w:sz w:val="18"/>
      <w:szCs w:val="18"/>
    </w:rPr>
  </w:style>
  <w:style w:type="paragraph" w:styleId="957">
    <w:name w:val="页眉"/>
    <w:basedOn w:val="907"/>
    <w:next w:val="957"/>
    <w:link w:val="958"/>
    <w:pPr>
      <w:jc w:val="center"/>
      <w:tabs>
        <w:tab w:val="center" w:pos="4153" w:leader="none"/>
        <w:tab w:val="right" w:pos="8306" w:leader="none"/>
      </w:tabs>
      <w:pBdr>
        <w:bottom w:val="single" w:color="000000" w:sz="6" w:space="1"/>
      </w:pBdr>
    </w:pPr>
    <w:rPr>
      <w:sz w:val="18"/>
      <w:szCs w:val="18"/>
      <w:lang w:val="en-US" w:eastAsia="en-US"/>
    </w:rPr>
  </w:style>
  <w:style w:type="character" w:styleId="958">
    <w:name w:val="页眉 Char"/>
    <w:next w:val="958"/>
    <w:link w:val="957"/>
    <w:rPr>
      <w:rFonts w:ascii="Times New Roman" w:hAnsi="Times New Roman" w:eastAsia="宋体" w:cs="Times New Roman"/>
      <w:sz w:val="18"/>
      <w:szCs w:val="18"/>
    </w:rPr>
  </w:style>
  <w:style w:type="paragraph" w:styleId="959">
    <w:name w:val="目录 1"/>
    <w:basedOn w:val="907"/>
    <w:next w:val="907"/>
    <w:link w:val="907"/>
    <w:semiHidden/>
    <w:pPr>
      <w:jc w:val="left"/>
      <w:spacing w:before="120" w:after="120" w:line="400" w:lineRule="exact"/>
      <w:tabs>
        <w:tab w:val="right" w:pos="8720" w:leader="dot"/>
      </w:tabs>
    </w:pPr>
    <w:rPr>
      <w:rFonts w:ascii="宋体" w:hAnsi="宋体"/>
      <w:caps/>
      <w:sz w:val="24"/>
      <w:szCs w:val="24"/>
    </w:rPr>
  </w:style>
  <w:style w:type="paragraph" w:styleId="960">
    <w:name w:val="目录 4"/>
    <w:basedOn w:val="907"/>
    <w:next w:val="907"/>
    <w:link w:val="907"/>
    <w:semiHidden/>
    <w:pPr>
      <w:ind w:left="630"/>
      <w:jc w:val="left"/>
    </w:pPr>
  </w:style>
  <w:style w:type="paragraph" w:styleId="961">
    <w:name w:val="列表"/>
    <w:basedOn w:val="907"/>
    <w:next w:val="961"/>
    <w:link w:val="907"/>
    <w:pPr>
      <w:ind w:left="200" w:hanging="200"/>
    </w:pPr>
  </w:style>
  <w:style w:type="paragraph" w:styleId="962">
    <w:name w:val="目录 6"/>
    <w:basedOn w:val="907"/>
    <w:next w:val="907"/>
    <w:link w:val="907"/>
    <w:semiHidden/>
    <w:pPr>
      <w:ind w:left="1050"/>
      <w:jc w:val="left"/>
    </w:pPr>
  </w:style>
  <w:style w:type="paragraph" w:styleId="963">
    <w:name w:val="正文文本缩进 3"/>
    <w:basedOn w:val="907"/>
    <w:next w:val="963"/>
    <w:link w:val="964"/>
    <w:pPr>
      <w:ind w:left="645" w:firstLine="645"/>
    </w:pPr>
    <w:rPr>
      <w:rFonts w:ascii="Arial" w:hAnsi="Arial" w:eastAsia="仿宋_GB2312"/>
      <w:color w:val="ffff00"/>
      <w:sz w:val="32"/>
      <w:szCs w:val="32"/>
      <w:lang w:val="en-US" w:eastAsia="en-US"/>
    </w:rPr>
  </w:style>
  <w:style w:type="character" w:styleId="964">
    <w:name w:val="正文文本缩进 3 Char"/>
    <w:next w:val="964"/>
    <w:link w:val="963"/>
    <w:rPr>
      <w:rFonts w:ascii="Arial" w:hAnsi="Arial" w:eastAsia="仿宋_GB2312" w:cs="Arial"/>
      <w:color w:val="ffff00"/>
      <w:sz w:val="32"/>
      <w:szCs w:val="32"/>
    </w:rPr>
  </w:style>
  <w:style w:type="paragraph" w:styleId="965">
    <w:name w:val="图表目录"/>
    <w:basedOn w:val="907"/>
    <w:next w:val="907"/>
    <w:link w:val="907"/>
    <w:semiHidden/>
    <w:pPr>
      <w:ind w:left="840" w:hanging="420"/>
    </w:pPr>
  </w:style>
  <w:style w:type="paragraph" w:styleId="966">
    <w:name w:val="目录 2"/>
    <w:basedOn w:val="907"/>
    <w:next w:val="907"/>
    <w:link w:val="907"/>
    <w:semiHidden/>
    <w:pPr>
      <w:ind w:left="210"/>
      <w:jc w:val="left"/>
    </w:pPr>
    <w:rPr>
      <w:smallCaps/>
      <w:szCs w:val="24"/>
    </w:rPr>
  </w:style>
  <w:style w:type="paragraph" w:styleId="967">
    <w:name w:val="目录 9"/>
    <w:basedOn w:val="907"/>
    <w:next w:val="907"/>
    <w:link w:val="907"/>
    <w:semiHidden/>
    <w:pPr>
      <w:ind w:left="1680"/>
      <w:jc w:val="left"/>
    </w:pPr>
  </w:style>
  <w:style w:type="paragraph" w:styleId="968">
    <w:name w:val="正文文本 2"/>
    <w:basedOn w:val="907"/>
    <w:next w:val="968"/>
    <w:link w:val="969"/>
    <w:pPr>
      <w:jc w:val="center"/>
      <w:widowControl/>
    </w:pPr>
    <w:rPr>
      <w:rFonts w:ascii="楷体_GB2312" w:eastAsia="楷体_GB2312"/>
      <w:sz w:val="28"/>
      <w:szCs w:val="28"/>
      <w:lang w:val="en-US" w:eastAsia="en-US"/>
    </w:rPr>
  </w:style>
  <w:style w:type="character" w:styleId="969">
    <w:name w:val="正文文本 2 Char"/>
    <w:next w:val="969"/>
    <w:link w:val="968"/>
    <w:rPr>
      <w:rFonts w:ascii="楷体_GB2312" w:hAnsi="Times New Roman" w:eastAsia="楷体_GB2312" w:cs="Times New Roman"/>
      <w:sz w:val="28"/>
      <w:szCs w:val="28"/>
    </w:rPr>
  </w:style>
  <w:style w:type="paragraph" w:styleId="970">
    <w:name w:val="普通(网站)"/>
    <w:basedOn w:val="907"/>
    <w:next w:val="970"/>
    <w:link w:val="907"/>
    <w:uiPriority w:val="99"/>
    <w:pPr>
      <w:jc w:val="left"/>
      <w:spacing w:before="100" w:beforeAutospacing="1" w:after="100" w:afterAutospacing="1"/>
      <w:widowControl/>
    </w:pPr>
    <w:rPr>
      <w:rFonts w:ascii="宋体" w:hAnsi="宋体" w:cs="宋体"/>
      <w:sz w:val="24"/>
      <w:szCs w:val="24"/>
    </w:rPr>
  </w:style>
  <w:style w:type="paragraph" w:styleId="971">
    <w:name w:val="索引 1"/>
    <w:basedOn w:val="907"/>
    <w:next w:val="907"/>
    <w:link w:val="907"/>
    <w:semiHidden/>
    <w:pPr>
      <w:spacing w:line="240" w:lineRule="atLeast"/>
    </w:pPr>
    <w:rPr>
      <w:b/>
      <w:bCs/>
    </w:rPr>
  </w:style>
  <w:style w:type="paragraph" w:styleId="972">
    <w:name w:val="批注主题"/>
    <w:basedOn w:val="935"/>
    <w:next w:val="935"/>
    <w:link w:val="973"/>
    <w:semiHidden/>
    <w:rPr>
      <w:b/>
      <w:bCs/>
    </w:rPr>
  </w:style>
  <w:style w:type="character" w:styleId="973">
    <w:name w:val="批注主题 Char"/>
    <w:next w:val="973"/>
    <w:link w:val="972"/>
    <w:semiHidden/>
    <w:rPr>
      <w:rFonts w:ascii="Times New Roman" w:hAnsi="Times New Roman" w:eastAsia="宋体" w:cs="Times New Roman"/>
      <w:b/>
      <w:bCs/>
      <w:szCs w:val="21"/>
    </w:rPr>
  </w:style>
  <w:style w:type="paragraph" w:styleId="974">
    <w:name w:val="正文首行缩进"/>
    <w:basedOn w:val="907"/>
    <w:next w:val="974"/>
    <w:link w:val="975"/>
    <w:pPr>
      <w:ind w:firstLine="200"/>
      <w:spacing w:line="360" w:lineRule="auto"/>
    </w:pPr>
    <w:rPr>
      <w:rFonts w:ascii="仿宋_GB2312" w:eastAsia="仿宋_GB2312"/>
      <w:sz w:val="30"/>
      <w:szCs w:val="30"/>
      <w:lang w:val="en-US" w:eastAsia="en-US"/>
    </w:rPr>
  </w:style>
  <w:style w:type="character" w:styleId="975">
    <w:name w:val="正文首行缩进 Char"/>
    <w:next w:val="975"/>
    <w:link w:val="974"/>
    <w:rPr>
      <w:rFonts w:ascii="仿宋_GB2312" w:hAnsi="Times New Roman" w:eastAsia="仿宋_GB2312" w:cs="Times New Roman"/>
      <w:sz w:val="30"/>
      <w:szCs w:val="30"/>
    </w:rPr>
  </w:style>
  <w:style w:type="paragraph" w:styleId="976">
    <w:name w:val="正文首行缩进 2"/>
    <w:basedOn w:val="941"/>
    <w:next w:val="976"/>
    <w:link w:val="977"/>
    <w:pPr>
      <w:ind w:firstLine="420"/>
      <w:spacing w:line="360" w:lineRule="auto"/>
    </w:pPr>
    <w:rPr>
      <w:rFonts w:ascii="宋体" w:hAnsi="宋体" w:eastAsia="宋体"/>
      <w:szCs w:val="20"/>
    </w:rPr>
  </w:style>
  <w:style w:type="character" w:styleId="977">
    <w:name w:val="正文首行缩进 2 Char"/>
    <w:next w:val="977"/>
    <w:link w:val="976"/>
    <w:rPr>
      <w:rFonts w:ascii="宋体" w:hAnsi="宋体" w:eastAsia="宋体" w:cs="Times New Roman"/>
      <w:sz w:val="32"/>
      <w:szCs w:val="20"/>
    </w:rPr>
  </w:style>
  <w:style w:type="table" w:styleId="978">
    <w:name w:val="网格型"/>
    <w:basedOn w:val="918"/>
    <w:next w:val="978"/>
    <w:link w:val="907"/>
    <w:uiPriority w:val="59"/>
    <w:qFormat/>
    <w:pPr>
      <w:jc w:val="both"/>
      <w:widowControl w:val="off"/>
    </w:pPr>
    <w:rPr>
      <w:rFonts w:ascii="Times New Roman" w:hAnsi="Times New Roman" w:eastAsia="宋体" w:cs="Times New Roman"/>
      <w:sz w:val="20"/>
      <w:szCs w:val="20"/>
    </w:rPr>
    <w:tblPr/>
  </w:style>
  <w:style w:type="character" w:styleId="979">
    <w:name w:val="要点"/>
    <w:next w:val="979"/>
    <w:link w:val="907"/>
    <w:qFormat/>
    <w:rPr>
      <w:b/>
      <w:bCs/>
    </w:rPr>
  </w:style>
  <w:style w:type="character" w:styleId="980">
    <w:name w:val="页码"/>
    <w:next w:val="980"/>
    <w:link w:val="907"/>
  </w:style>
  <w:style w:type="character" w:styleId="981">
    <w:name w:val="已访问的超链接"/>
    <w:next w:val="981"/>
    <w:link w:val="907"/>
    <w:rPr>
      <w:color w:val="800080"/>
      <w:u w:val="single"/>
    </w:rPr>
  </w:style>
  <w:style w:type="character" w:styleId="982">
    <w:name w:val="强调"/>
    <w:basedOn w:val="917"/>
    <w:next w:val="982"/>
    <w:link w:val="907"/>
    <w:qFormat/>
    <w:rPr>
      <w:i/>
    </w:rPr>
  </w:style>
  <w:style w:type="character" w:styleId="983">
    <w:name w:val="超链接"/>
    <w:next w:val="983"/>
    <w:link w:val="907"/>
    <w:rPr>
      <w:color w:val="0000ff"/>
      <w:u w:val="single"/>
    </w:rPr>
  </w:style>
  <w:style w:type="character" w:styleId="984">
    <w:name w:val="批注引用"/>
    <w:next w:val="984"/>
    <w:link w:val="907"/>
    <w:semiHidden/>
    <w:rPr>
      <w:sz w:val="21"/>
      <w:szCs w:val="21"/>
    </w:rPr>
  </w:style>
  <w:style w:type="character" w:styleId="985">
    <w:name w:val="font5 Char"/>
    <w:next w:val="985"/>
    <w:link w:val="907"/>
    <w:rPr>
      <w:rFonts w:ascii="宋体" w:hAnsi="宋体" w:eastAsia="宋体"/>
      <w:sz w:val="28"/>
      <w:szCs w:val="28"/>
      <w:lang w:val="en-US" w:eastAsia="zh-CN" w:bidi="ar-SA"/>
    </w:rPr>
  </w:style>
  <w:style w:type="character" w:styleId="986">
    <w:name w:val="二级目录 Char"/>
    <w:next w:val="986"/>
    <w:link w:val="987"/>
    <w:rPr>
      <w:b/>
      <w:sz w:val="30"/>
      <w:szCs w:val="28"/>
      <w:lang w:val="en-US" w:eastAsia="zh-CN" w:bidi="ar-SA"/>
    </w:rPr>
  </w:style>
  <w:style w:type="paragraph" w:styleId="987">
    <w:name w:val="二级目录"/>
    <w:next w:val="907"/>
    <w:link w:val="986"/>
    <w:pPr>
      <w:numPr>
        <w:ilvl w:val="0"/>
        <w:numId w:val="2"/>
      </w:numPr>
      <w:tabs>
        <w:tab w:val="left" w:pos="907" w:leader="none"/>
        <w:tab w:val="left" w:pos="1145" w:leader="none"/>
      </w:tabs>
      <w:outlineLvl w:val="1"/>
    </w:pPr>
    <w:rPr>
      <w:b/>
      <w:sz w:val="30"/>
      <w:szCs w:val="28"/>
      <w:lang w:val="en-US" w:eastAsia="zh-CN" w:bidi="ar-SA"/>
    </w:rPr>
  </w:style>
  <w:style w:type="character" w:styleId="988">
    <w:name w:val="列出段落 Char,Bullet List Char,numbered Char,FooterText Char,List Paragraph1 Char,Paragraphe de liste1 Char"/>
    <w:next w:val="988"/>
    <w:link w:val="989"/>
    <w:rPr>
      <w:rFonts w:ascii="Calibri" w:hAnsi="Calibri"/>
      <w:sz w:val="24"/>
      <w:szCs w:val="24"/>
      <w:lang w:eastAsia="en-US" w:bidi="en-US"/>
    </w:rPr>
  </w:style>
  <w:style w:type="paragraph" w:styleId="989">
    <w:name w:val="列出段落1"/>
    <w:basedOn w:val="907"/>
    <w:next w:val="989"/>
    <w:link w:val="988"/>
    <w:qFormat/>
    <w:pPr>
      <w:contextualSpacing/>
      <w:ind w:left="720"/>
      <w:jc w:val="left"/>
      <w:widowControl/>
    </w:pPr>
    <w:rPr>
      <w:rFonts w:ascii="Calibri" w:hAnsi="Calibri"/>
      <w:sz w:val="24"/>
      <w:szCs w:val="24"/>
      <w:lang w:val="en-US" w:eastAsia="en-US" w:bidi="en-US"/>
    </w:rPr>
  </w:style>
  <w:style w:type="paragraph" w:styleId="990">
    <w:name w:val="Body Text(ch)"/>
    <w:basedOn w:val="907"/>
    <w:next w:val="939"/>
    <w:link w:val="907"/>
    <w:pPr>
      <w:spacing w:after="120"/>
    </w:pPr>
    <w:rPr>
      <w:rFonts w:ascii="宋体" w:hAnsi="Arial"/>
      <w:bCs/>
      <w:iCs/>
      <w:szCs w:val="24"/>
    </w:rPr>
  </w:style>
  <w:style w:type="paragraph" w:styleId="991">
    <w:name w:val="xl27"/>
    <w:basedOn w:val="907"/>
    <w:next w:val="991"/>
    <w:link w:val="90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2">
    <w:name w:val="xl26"/>
    <w:basedOn w:val="907"/>
    <w:next w:val="992"/>
    <w:link w:val="9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3">
    <w:name w:val="Char"/>
    <w:basedOn w:val="907"/>
    <w:next w:val="993"/>
    <w:link w:val="907"/>
    <w:pPr>
      <w:ind w:firstLine="200"/>
      <w:tabs>
        <w:tab w:val="left" w:pos="360" w:leader="none"/>
      </w:tabs>
    </w:pPr>
    <w:rPr>
      <w:sz w:val="28"/>
      <w:szCs w:val="30"/>
    </w:rPr>
  </w:style>
  <w:style w:type="paragraph" w:styleId="994">
    <w:name w:val=" Char"/>
    <w:basedOn w:val="933"/>
    <w:next w:val="994"/>
    <w:link w:val="907"/>
    <w:rPr>
      <w:rFonts w:ascii="Tahoma" w:hAnsi="Tahoma"/>
      <w:sz w:val="24"/>
      <w:szCs w:val="24"/>
    </w:rPr>
  </w:style>
  <w:style w:type="paragraph" w:styleId="995">
    <w:name w:val="普通正文"/>
    <w:basedOn w:val="907"/>
    <w:next w:val="995"/>
    <w:link w:val="907"/>
    <w:pPr>
      <w:ind w:firstLine="480"/>
      <w:jc w:val="left"/>
      <w:spacing w:before="120" w:after="120" w:line="360" w:lineRule="auto"/>
    </w:pPr>
    <w:rPr>
      <w:rFonts w:ascii="Arial" w:hAnsi="Arial"/>
      <w:sz w:val="24"/>
      <w:szCs w:val="24"/>
    </w:rPr>
  </w:style>
  <w:style w:type="paragraph" w:styleId="996">
    <w:name w:val="table_lines"/>
    <w:basedOn w:val="907"/>
    <w:next w:val="996"/>
    <w:link w:val="907"/>
    <w:pPr>
      <w:jc w:val="left"/>
      <w:widowControl/>
    </w:pPr>
    <w:rPr>
      <w:sz w:val="20"/>
      <w:szCs w:val="20"/>
      <w:lang w:val="de-DE" w:eastAsia="de-DE"/>
    </w:rPr>
  </w:style>
  <w:style w:type="paragraph" w:styleId="997">
    <w:name w:val="附录1"/>
    <w:next w:val="997"/>
    <w:link w:val="90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8">
    <w:name w:val="font7"/>
    <w:basedOn w:val="907"/>
    <w:next w:val="998"/>
    <w:link w:val="907"/>
    <w:pPr>
      <w:jc w:val="left"/>
      <w:spacing w:before="100" w:beforeAutospacing="1" w:after="100" w:afterAutospacing="1"/>
      <w:widowControl/>
    </w:pPr>
    <w:rPr>
      <w:rFonts w:hint="eastAsia" w:ascii="宋体" w:hAnsi="宋体"/>
      <w:sz w:val="18"/>
      <w:szCs w:val="18"/>
    </w:rPr>
  </w:style>
  <w:style w:type="paragraph" w:styleId="999">
    <w:name w:val=" Char Char Char Char"/>
    <w:basedOn w:val="933"/>
    <w:next w:val="999"/>
    <w:link w:val="907"/>
    <w:pPr>
      <w:spacing w:line="360" w:lineRule="auto"/>
    </w:pPr>
    <w:rPr>
      <w:rFonts w:ascii="Tahoma" w:hAnsi="Tahoma"/>
      <w:sz w:val="24"/>
      <w:szCs w:val="24"/>
    </w:rPr>
  </w:style>
  <w:style w:type="paragraph" w:styleId="1000">
    <w:name w:val="列出段落"/>
    <w:basedOn w:val="907"/>
    <w:next w:val="1000"/>
    <w:link w:val="907"/>
    <w:uiPriority w:val="34"/>
    <w:qFormat/>
    <w:pPr>
      <w:contextualSpacing/>
      <w:ind w:left="720"/>
      <w:jc w:val="left"/>
      <w:widowControl/>
    </w:pPr>
    <w:rPr>
      <w:rFonts w:ascii="Calibri" w:hAnsi="Calibri"/>
      <w:sz w:val="24"/>
      <w:szCs w:val="24"/>
      <w:lang w:eastAsia="en-US" w:bidi="en-US"/>
    </w:rPr>
  </w:style>
  <w:style w:type="paragraph" w:styleId="1001">
    <w:name w:val="4"/>
    <w:basedOn w:val="907"/>
    <w:next w:val="963"/>
    <w:link w:val="907"/>
    <w:pPr>
      <w:ind w:firstLine="420"/>
      <w:spacing w:line="360" w:lineRule="auto"/>
    </w:pPr>
    <w:rPr>
      <w:color w:val="ff0000"/>
      <w:sz w:val="24"/>
      <w:szCs w:val="24"/>
    </w:rPr>
  </w:style>
  <w:style w:type="paragraph" w:styleId="1002">
    <w:name w:val="普通 (Web)"/>
    <w:basedOn w:val="907"/>
    <w:next w:val="1002"/>
    <w:link w:val="907"/>
    <w:pPr>
      <w:jc w:val="left"/>
      <w:spacing w:before="100" w:beforeAutospacing="1" w:after="100" w:afterAutospacing="1"/>
      <w:widowControl/>
    </w:pPr>
    <w:rPr>
      <w:rFonts w:ascii="宋体" w:hAnsi="宋体"/>
      <w:sz w:val="24"/>
      <w:szCs w:val="24"/>
    </w:rPr>
  </w:style>
  <w:style w:type="paragraph" w:styleId="1003">
    <w:name w:val=" Char Char Char Char Char Char Char Char Char Char"/>
    <w:basedOn w:val="907"/>
    <w:next w:val="1003"/>
    <w:link w:val="907"/>
    <w:pPr>
      <w:spacing w:line="360" w:lineRule="auto"/>
    </w:pPr>
    <w:rPr>
      <w:sz w:val="24"/>
      <w:szCs w:val="20"/>
    </w:rPr>
  </w:style>
  <w:style w:type="paragraph" w:styleId="1004">
    <w:name w:val="样式1"/>
    <w:basedOn w:val="907"/>
    <w:next w:val="1004"/>
    <w:link w:val="907"/>
    <w:pPr>
      <w:numPr>
        <w:ilvl w:val="0"/>
        <w:numId w:val="3"/>
      </w:numPr>
      <w:tabs>
        <w:tab w:val="left" w:pos="709" w:leader="none"/>
      </w:tabs>
    </w:pPr>
    <w:rPr>
      <w:rFonts w:ascii="宋体" w:hAnsi="宋体"/>
    </w:rPr>
  </w:style>
  <w:style w:type="paragraph" w:styleId="1005">
    <w:name w:val="font6"/>
    <w:basedOn w:val="907"/>
    <w:next w:val="1005"/>
    <w:link w:val="907"/>
    <w:pPr>
      <w:jc w:val="left"/>
      <w:spacing w:before="100" w:beforeAutospacing="1" w:after="100" w:afterAutospacing="1"/>
      <w:widowControl/>
    </w:pPr>
    <w:rPr>
      <w:rFonts w:hint="eastAsia" w:ascii="宋体" w:hAnsi="宋体"/>
      <w:sz w:val="28"/>
      <w:szCs w:val="28"/>
      <w:u w:val="single"/>
    </w:rPr>
  </w:style>
  <w:style w:type="paragraph" w:styleId="1006">
    <w:name w:val="xl25"/>
    <w:basedOn w:val="907"/>
    <w:next w:val="1006"/>
    <w:link w:val="90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7">
    <w:name w:val="图标"/>
    <w:basedOn w:val="907"/>
    <w:next w:val="907"/>
    <w:link w:val="90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8">
    <w:name w:val="标题3"/>
    <w:basedOn w:val="907"/>
    <w:next w:val="907"/>
    <w:link w:val="907"/>
    <w:pPr>
      <w:ind w:firstLine="624"/>
      <w:spacing w:line="590" w:lineRule="atLeast"/>
    </w:pPr>
    <w:rPr>
      <w:rFonts w:ascii="方正黑体_GBK" w:eastAsia="方正黑体_GBK"/>
      <w:sz w:val="32"/>
      <w:szCs w:val="32"/>
    </w:rPr>
  </w:style>
  <w:style w:type="paragraph" w:styleId="1009">
    <w:name w:val="xl24"/>
    <w:basedOn w:val="907"/>
    <w:next w:val="1009"/>
    <w:link w:val="90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0">
    <w:name w:val="xl29"/>
    <w:basedOn w:val="907"/>
    <w:next w:val="1010"/>
    <w:link w:val="90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1">
    <w:name w:val="Char Char Char Char Char Char Char Char"/>
    <w:basedOn w:val="907"/>
    <w:next w:val="1011"/>
    <w:link w:val="907"/>
    <w:pPr>
      <w:jc w:val="left"/>
      <w:spacing w:after="160" w:line="240" w:lineRule="exact"/>
      <w:widowControl/>
    </w:pPr>
    <w:rPr>
      <w:rFonts w:ascii="Verdana" w:hAnsi="Verdana"/>
      <w:sz w:val="20"/>
      <w:szCs w:val="20"/>
      <w:lang w:eastAsia="en-US"/>
    </w:rPr>
  </w:style>
  <w:style w:type="paragraph" w:styleId="1012">
    <w:name w:val="xl28"/>
    <w:basedOn w:val="907"/>
    <w:next w:val="1012"/>
    <w:link w:val="90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3">
    <w:name w:val=" Char Char Char Char Char Char Char Char"/>
    <w:basedOn w:val="907"/>
    <w:next w:val="1013"/>
    <w:link w:val="907"/>
    <w:pPr>
      <w:jc w:val="left"/>
      <w:spacing w:after="160" w:line="240" w:lineRule="exact"/>
      <w:widowControl/>
    </w:pPr>
    <w:rPr>
      <w:rFonts w:ascii="Verdana" w:hAnsi="Verdana"/>
      <w:sz w:val="20"/>
      <w:szCs w:val="20"/>
      <w:lang w:eastAsia="en-US"/>
    </w:rPr>
  </w:style>
  <w:style w:type="paragraph" w:styleId="1014">
    <w:name w:val="xl30"/>
    <w:basedOn w:val="907"/>
    <w:next w:val="1014"/>
    <w:link w:val="907"/>
    <w:pPr>
      <w:jc w:val="center"/>
      <w:spacing w:before="100" w:beforeAutospacing="1" w:after="100" w:afterAutospacing="1"/>
      <w:widowControl/>
    </w:pPr>
    <w:rPr>
      <w:rFonts w:ascii="宋体" w:hAnsi="宋体"/>
      <w:b/>
      <w:bCs/>
      <w:sz w:val="36"/>
      <w:szCs w:val="36"/>
    </w:rPr>
  </w:style>
  <w:style w:type="paragraph" w:styleId="1015">
    <w:name w:val="Char Char Char Char"/>
    <w:basedOn w:val="933"/>
    <w:next w:val="1015"/>
    <w:link w:val="907"/>
    <w:pPr>
      <w:spacing w:line="360" w:lineRule="auto"/>
    </w:pPr>
    <w:rPr>
      <w:rFonts w:ascii="Tahoma" w:hAnsi="Tahoma"/>
      <w:sz w:val="24"/>
      <w:szCs w:val="24"/>
    </w:rPr>
  </w:style>
  <w:style w:type="paragraph" w:styleId="1016">
    <w:name w:val="table_1stline"/>
    <w:basedOn w:val="907"/>
    <w:next w:val="1016"/>
    <w:link w:val="907"/>
    <w:pPr>
      <w:jc w:val="left"/>
      <w:spacing w:before="120"/>
      <w:widowControl/>
    </w:pPr>
    <w:rPr>
      <w:bCs/>
      <w:sz w:val="20"/>
      <w:szCs w:val="20"/>
      <w:lang w:val="de-DE" w:eastAsia="de-DE"/>
    </w:rPr>
  </w:style>
  <w:style w:type="paragraph" w:styleId="1017">
    <w:name w:val="font5"/>
    <w:basedOn w:val="907"/>
    <w:next w:val="1017"/>
    <w:link w:val="907"/>
    <w:pPr>
      <w:jc w:val="left"/>
      <w:spacing w:before="100" w:beforeAutospacing="1" w:after="100" w:afterAutospacing="1"/>
      <w:widowControl/>
    </w:pPr>
    <w:rPr>
      <w:rFonts w:hint="eastAsia" w:ascii="宋体" w:hAnsi="宋体"/>
      <w:sz w:val="28"/>
      <w:szCs w:val="28"/>
    </w:rPr>
  </w:style>
  <w:style w:type="paragraph" w:styleId="1018">
    <w:name w:val="标题1"/>
    <w:basedOn w:val="907"/>
    <w:next w:val="907"/>
    <w:link w:val="90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9">
    <w:name w:val="修订"/>
    <w:next w:val="1019"/>
    <w:link w:val="907"/>
    <w:uiPriority w:val="99"/>
    <w:semiHidden/>
    <w:rPr>
      <w:rFonts w:ascii="Times New Roman" w:hAnsi="Times New Roman"/>
      <w:sz w:val="21"/>
      <w:szCs w:val="21"/>
      <w:lang w:val="en-US" w:eastAsia="zh-CN" w:bidi="ar-SA"/>
    </w:rPr>
  </w:style>
  <w:style w:type="paragraph" w:styleId="1020">
    <w:name w:val="无间隔"/>
    <w:next w:val="1020"/>
    <w:link w:val="907"/>
    <w:uiPriority w:val="99"/>
    <w:qFormat/>
    <w:pPr>
      <w:jc w:val="both"/>
      <w:widowControl w:val="off"/>
    </w:pPr>
    <w:rPr>
      <w:rFonts w:ascii="Times New Roman" w:hAnsi="Times New Roman"/>
      <w:sz w:val="21"/>
      <w:szCs w:val="21"/>
      <w:lang w:val="en-US" w:eastAsia="zh-CN" w:bidi="ar-SA"/>
    </w:rPr>
  </w:style>
  <w:style w:type="paragraph" w:styleId="1021">
    <w:name w:val="标题 11"/>
    <w:basedOn w:val="907"/>
    <w:next w:val="907"/>
    <w:link w:val="1022"/>
    <w:qFormat/>
    <w:pPr>
      <w:jc w:val="center"/>
      <w:keepNext/>
      <w:outlineLvl w:val="0"/>
    </w:pPr>
    <w:rPr>
      <w:rFonts w:ascii="楷体_GB2312" w:eastAsia="楷体_GB2312"/>
      <w:sz w:val="28"/>
      <w:szCs w:val="28"/>
      <w:lang w:val="en-US" w:eastAsia="en-US"/>
    </w:rPr>
  </w:style>
  <w:style w:type="character" w:styleId="1022">
    <w:name w:val="标题 1 字符"/>
    <w:next w:val="1022"/>
    <w:link w:val="1021"/>
    <w:qFormat/>
    <w:rPr>
      <w:rFonts w:ascii="楷体_GB2312" w:hAnsi="Times New Roman" w:eastAsia="楷体_GB2312"/>
      <w:sz w:val="28"/>
      <w:szCs w:val="28"/>
    </w:rPr>
  </w:style>
  <w:style w:type="paragraph" w:styleId="1023">
    <w:name w:val="标题 21"/>
    <w:basedOn w:val="907"/>
    <w:next w:val="907"/>
    <w:link w:val="1024"/>
    <w:uiPriority w:val="9"/>
    <w:qFormat/>
    <w:pPr>
      <w:jc w:val="center"/>
      <w:keepLines/>
      <w:keepNext/>
      <w:spacing w:before="260" w:after="260" w:line="416" w:lineRule="auto"/>
      <w:outlineLvl w:val="1"/>
    </w:pPr>
    <w:rPr>
      <w:rFonts w:ascii="Arial" w:hAnsi="Arial" w:eastAsia="幼圆"/>
      <w:b/>
      <w:bCs/>
      <w:sz w:val="44"/>
      <w:szCs w:val="44"/>
      <w:lang w:val="en-US" w:eastAsia="en-US"/>
    </w:rPr>
  </w:style>
  <w:style w:type="character" w:styleId="1024">
    <w:name w:val="标题 2 字符"/>
    <w:next w:val="1024"/>
    <w:link w:val="1023"/>
    <w:uiPriority w:val="9"/>
    <w:qFormat/>
    <w:rPr>
      <w:rFonts w:ascii="Arial" w:hAnsi="Arial" w:eastAsia="幼圆" w:cs="Arial"/>
      <w:b/>
      <w:bCs/>
      <w:sz w:val="44"/>
      <w:szCs w:val="44"/>
    </w:rPr>
  </w:style>
  <w:style w:type="paragraph" w:styleId="1025">
    <w:name w:val="标题 31"/>
    <w:basedOn w:val="907"/>
    <w:next w:val="907"/>
    <w:link w:val="1026"/>
    <w:qFormat/>
    <w:pPr>
      <w:keepLines/>
      <w:keepNext/>
      <w:spacing w:before="260" w:after="260" w:line="416" w:lineRule="auto"/>
      <w:outlineLvl w:val="2"/>
    </w:pPr>
    <w:rPr>
      <w:b/>
      <w:bCs/>
      <w:sz w:val="32"/>
      <w:szCs w:val="32"/>
      <w:lang w:val="en-US" w:eastAsia="en-US"/>
    </w:rPr>
  </w:style>
  <w:style w:type="character" w:styleId="1026">
    <w:name w:val="标题 3 字符"/>
    <w:next w:val="1026"/>
    <w:link w:val="1025"/>
    <w:qFormat/>
    <w:rPr>
      <w:rFonts w:ascii="Times New Roman" w:hAnsi="Times New Roman"/>
      <w:b/>
      <w:bCs/>
      <w:sz w:val="32"/>
      <w:szCs w:val="32"/>
    </w:rPr>
  </w:style>
  <w:style w:type="paragraph" w:styleId="1027">
    <w:name w:val="5号居中"/>
    <w:basedOn w:val="907"/>
    <w:next w:val="1027"/>
    <w:link w:val="907"/>
    <w:qFormat/>
    <w:pPr>
      <w:jc w:val="center"/>
      <w:spacing w:line="360" w:lineRule="auto"/>
    </w:pPr>
  </w:style>
  <w:style w:type="character" w:styleId="1028" w:default="1">
    <w:name w:val="Default Paragraph Font"/>
    <w:uiPriority w:val="1"/>
    <w:semiHidden/>
    <w:unhideWhenUsed/>
  </w:style>
  <w:style w:type="numbering" w:styleId="1029" w:default="1">
    <w:name w:val="No List"/>
    <w:uiPriority w:val="99"/>
    <w:semiHidden/>
    <w:unhideWhenUsed/>
  </w:style>
  <w:style w:type="table" w:styleId="10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张倩</cp:lastModifiedBy>
  <cp:revision>2</cp:revision>
  <dcterms:modified xsi:type="dcterms:W3CDTF">2026-09-22T08:01:36Z</dcterms:modified>
</cp:coreProperties>
</file>