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黑体" w:hAnsi="黑体" w:eastAsia="黑体"/>
          <w:b/>
          <w:sz w:val="84"/>
          <w:szCs w:val="84"/>
        </w:rPr>
      </w:pPr>
      <w:r>
        <w:rPr>
          <w:rFonts w:ascii="黑体" w:hAnsi="黑体" w:eastAsia="黑体"/>
          <w:b/>
          <w:sz w:val="84"/>
          <w:szCs w:val="84"/>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hAnsi="黑体" w:eastAsia="黑体"/>
          <w:b/>
          <w:color w:val="000000" w:themeColor="text1"/>
          <w:sz w:val="84"/>
          <w:szCs w:val="84"/>
          <w14:textFill>
            <w14:solidFill>
              <w14:schemeClr w14:val="tx1"/>
            </w14:solidFill>
          </w14:textFill>
        </w:rPr>
      </w:pPr>
      <w:r>
        <w:rPr>
          <w:rFonts w:ascii="黑体" w:hAnsi="黑体" w:eastAsia="黑体"/>
          <w:b/>
          <w:color w:val="000000" w:themeColor="text1"/>
          <w:sz w:val="84"/>
          <w:szCs w:val="84"/>
          <w14:textFill>
            <w14:solidFill>
              <w14:schemeClr w14:val="tx1"/>
            </w14:solidFill>
          </w14:textFill>
        </w:rPr>
      </w:r>
      <w:r/>
    </w:p>
    <w:p>
      <w:pPr>
        <w:jc w:val="center"/>
        <w:rPr>
          <w:rFonts w:ascii="黑体" w:hAnsi="黑体" w:eastAsia="黑体"/>
          <w:b/>
          <w:color w:val="000000" w:themeColor="text1"/>
          <w:sz w:val="84"/>
          <w:szCs w:val="84"/>
          <w14:textFill>
            <w14:solidFill>
              <w14:schemeClr w14:val="tx1"/>
            </w14:solidFill>
          </w14:textFill>
        </w:rPr>
      </w:pPr>
      <w:r>
        <w:rPr>
          <w:rFonts w:hint="eastAsia" w:ascii="黑体" w:hAnsi="黑体" w:eastAsia="黑体"/>
          <w:b/>
          <w:color w:val="000000" w:themeColor="text1"/>
          <w:sz w:val="84"/>
          <w:szCs w:val="84"/>
          <w14:textFill>
            <w14:solidFill>
              <w14:schemeClr w14:val="tx1"/>
            </w14:solidFill>
          </w14:textFill>
        </w:rPr>
        <w:t xml:space="preserve">招　标　文　件</w:t>
      </w:r>
      <w:r/>
    </w:p>
    <w:p>
      <w:pPr>
        <w:ind w:firstLine="2249"/>
        <w:jc w:val="left"/>
        <w:spacing w:line="480" w:lineRule="auto"/>
        <w:rPr>
          <w:rFonts w:ascii="Arial" w:hAnsi="Arial" w:eastAsia="宋体" w:cs="Times New Roman"/>
          <w:b/>
          <w:bCs/>
          <w:color w:val="000000" w:themeColor="text1"/>
          <w:sz w:val="32"/>
          <w:szCs w:val="24"/>
          <w14:textFill>
            <w14:solidFill>
              <w14:schemeClr w14:val="tx1"/>
            </w14:solidFill>
          </w14:textFill>
        </w:rPr>
      </w:pPr>
      <w:r>
        <w:rPr>
          <w:rFonts w:ascii="Arial" w:hAnsi="Arial" w:eastAsia="宋体" w:cs="Times New Roman"/>
          <w:b/>
          <w:bCs/>
          <w:color w:val="000000" w:themeColor="text1"/>
          <w:sz w:val="32"/>
          <w:szCs w:val="24"/>
          <w14:textFill>
            <w14:solidFill>
              <w14:schemeClr w14:val="tx1"/>
            </w14:solidFill>
          </w14:textFill>
        </w:rPr>
      </w:r>
      <w:r/>
    </w:p>
    <w:p>
      <w:pPr>
        <w:jc w:val="left"/>
        <w:spacing w:line="480" w:lineRule="auto"/>
        <w:rPr>
          <w:rFonts w:ascii="Arial" w:hAnsi="Arial" w:eastAsia="宋体" w:cs="Times New Roman"/>
          <w:b/>
          <w:bCs/>
          <w:color w:val="000000" w:themeColor="text1"/>
          <w:sz w:val="32"/>
          <w:szCs w:val="24"/>
          <w14:textFill>
            <w14:solidFill>
              <w14:schemeClr w14:val="tx1"/>
            </w14:solidFill>
          </w14:textFill>
        </w:rPr>
      </w:pPr>
      <w:r>
        <w:rPr>
          <w:rFonts w:ascii="Arial" w:hAnsi="Arial" w:eastAsia="宋体" w:cs="Times New Roman"/>
          <w:b/>
          <w:bCs/>
          <w:color w:val="000000" w:themeColor="text1"/>
          <w:sz w:val="32"/>
          <w:szCs w:val="24"/>
          <w14:textFill>
            <w14:solidFill>
              <w14:schemeClr w14:val="tx1"/>
            </w14:solidFill>
          </w14:textFill>
        </w:rPr>
      </w:r>
      <w:r/>
    </w:p>
    <w:p>
      <w:pPr>
        <w:ind w:firstLine="2249"/>
        <w:jc w:val="left"/>
        <w:spacing w:line="480" w:lineRule="auto"/>
        <w:rPr>
          <w:rFonts w:ascii="Arial" w:hAnsi="Arial" w:eastAsia="宋体" w:cs="Times New Roman"/>
          <w:b/>
          <w:bCs/>
          <w:color w:val="000000" w:themeColor="text1"/>
          <w:sz w:val="32"/>
          <w:szCs w:val="24"/>
          <w14:textFill>
            <w14:solidFill>
              <w14:schemeClr w14:val="tx1"/>
            </w14:solidFill>
          </w14:textFill>
        </w:rPr>
      </w:pPr>
      <w:r>
        <w:rPr>
          <w:rFonts w:ascii="Arial" w:hAnsi="Arial" w:eastAsia="宋体" w:cs="Times New Roman"/>
          <w:b/>
          <w:bCs/>
          <w:color w:val="000000" w:themeColor="text1"/>
          <w:sz w:val="32"/>
          <w:szCs w:val="24"/>
          <w14:textFill>
            <w14:solidFill>
              <w14:schemeClr w14:val="tx1"/>
            </w14:solidFill>
          </w14:textFill>
        </w:rPr>
      </w:r>
      <w:r/>
    </w:p>
    <w:p>
      <w:pPr>
        <w:ind w:left="2244" w:hanging="1606"/>
        <w:spacing w:line="480" w:lineRule="auto"/>
        <w:rPr>
          <w:rFonts w:ascii="宋体" w:hAnsi="宋体" w:cs="宋体"/>
          <w:b/>
          <w:bCs/>
          <w:color w:val="000000" w:themeColor="text1"/>
          <w:sz w:val="24"/>
          <w:szCs w:val="24"/>
          <w14:textFill>
            <w14:solidFill>
              <w14:schemeClr w14:val="tx1"/>
            </w14:solidFill>
          </w14:textFill>
        </w:rPr>
      </w:pPr>
      <w:r>
        <w:rPr>
          <w:rFonts w:hint="eastAsia" w:ascii="Arial" w:hAnsi="Arial" w:eastAsia="宋体" w:cs="Times New Roman"/>
          <w:b/>
          <w:bCs/>
          <w:color w:val="000000" w:themeColor="text1"/>
          <w:sz w:val="32"/>
          <w:szCs w:val="24"/>
          <w14:textFill>
            <w14:solidFill>
              <w14:schemeClr w14:val="tx1"/>
            </w14:solidFill>
          </w14:textFill>
        </w:rPr>
        <w:t xml:space="preserve">项目名称：</w:t>
      </w:r>
      <w:r>
        <w:rPr>
          <w:rFonts w:hint="eastAsia" w:ascii="宋体" w:hAnsi="宋体" w:eastAsia="宋体" w:cs="宋体"/>
          <w:b/>
          <w:bCs/>
          <w:color w:val="000000" w:themeColor="text1"/>
          <w:sz w:val="30"/>
          <w:szCs w:val="30"/>
          <w14:textFill>
            <w14:solidFill>
              <w14:schemeClr w14:val="tx1"/>
            </w14:solidFill>
          </w14:textFill>
        </w:rPr>
        <w:t xml:space="preserve">江苏省中医院连云港医院基于 AI 核心技术的多场景智慧医院平台建设项目</w:t>
      </w:r>
      <w:r/>
    </w:p>
    <w:p>
      <w:pPr>
        <w:ind w:firstLine="643"/>
        <w:spacing w:line="480" w:lineRule="auto"/>
        <w:rPr>
          <w:rFonts w:ascii="黑体" w:hAnsi="Arial" w:eastAsia="黑体" w:cs="Times New Roman"/>
          <w:b/>
          <w:color w:val="000000" w:themeColor="text1"/>
          <w:sz w:val="44"/>
          <w:szCs w:val="21"/>
          <w14:textFill>
            <w14:solidFill>
              <w14:schemeClr w14:val="tx1"/>
            </w14:solidFill>
          </w14:textFill>
        </w:rPr>
      </w:pPr>
      <w:r>
        <w:rPr>
          <w:rFonts w:hint="eastAsia" w:ascii="Arial" w:hAnsi="Arial" w:eastAsia="宋体" w:cs="Times New Roman"/>
          <w:b/>
          <w:bCs/>
          <w:color w:val="000000" w:themeColor="text1"/>
          <w:sz w:val="32"/>
          <w:szCs w:val="24"/>
          <w14:textFill>
            <w14:solidFill>
              <w14:schemeClr w14:val="tx1"/>
            </w14:solidFill>
          </w14:textFill>
        </w:rPr>
        <w:t xml:space="preserve">项目编号：JSZC-320700-JZCG-G2026-0145</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2570"/>
        <w:jc w:val="both"/>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line="360" w:lineRule="auto"/>
        <w:widowControl/>
        <w:rPr>
          <w:rFonts w:asciiTheme="minorEastAsia" w:hAnsiTheme="minorEastAsia" w:eastAsiaTheme="minorEastAsia" w:cstheme="minorBidi"/>
          <w:sz w:val="24"/>
          <w:szCs w:val="22"/>
          <w:lang w:val="en-US" w:eastAsia="zh-CN" w:bidi="ar-SA"/>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1008"/>
        <w:tabs>
          <w:tab w:val="right" w:pos="8306" w:leader="dot"/>
          <w:tab w:val="clear" w:pos="9628" w:leader="none"/>
        </w:tabs>
        <w:rPr>
          <w:rFonts w:hint="eastAsia" w:ascii="宋体" w:hAnsi="宋体" w:eastAsia="宋体" w:cs="宋体"/>
          <w:sz w:val="24"/>
        </w:rPr>
      </w:pPr>
      <w:r>
        <w:rPr>
          <w:rFonts w:hint="eastAsia" w:ascii="宋体" w:hAnsi="宋体" w:eastAsia="宋体" w:cs="宋体"/>
          <w:sz w:val="24"/>
        </w:rPr>
        <w:t xml:space="preserve">第一章  投标邀请</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_Toc1039 \h </w:instrText>
      </w:r>
      <w:r>
        <w:rPr>
          <w:rFonts w:hint="eastAsia" w:ascii="宋体" w:hAnsi="宋体" w:eastAsia="宋体" w:cs="宋体"/>
          <w:sz w:val="24"/>
        </w:rPr>
        <w:fldChar w:fldCharType="separate"/>
      </w:r>
      <w:r>
        <w:rPr>
          <w:rFonts w:hint="eastAsia" w:ascii="宋体" w:hAnsi="宋体" w:eastAsia="宋体" w:cs="宋体"/>
          <w:sz w:val="24"/>
        </w:rPr>
        <w:t xml:space="preserve">1</w:t>
      </w:r>
      <w:r>
        <w:rPr>
          <w:rFonts w:hint="eastAsia" w:ascii="宋体" w:hAnsi="宋体" w:eastAsia="宋体" w:cs="宋体"/>
          <w:sz w:val="24"/>
        </w:rPr>
        <w:fldChar w:fldCharType="end"/>
      </w:r>
      <w:r/>
    </w:p>
    <w:p>
      <w:pPr>
        <w:pStyle w:val="1008"/>
        <w:tabs>
          <w:tab w:val="right" w:pos="8306" w:leader="dot"/>
          <w:tab w:val="clear" w:pos="9628" w:leader="none"/>
        </w:tabs>
        <w:rPr>
          <w:rFonts w:hint="eastAsia" w:ascii="宋体" w:hAnsi="宋体" w:eastAsia="宋体" w:cs="宋体"/>
          <w:sz w:val="24"/>
        </w:rPr>
      </w:pPr>
      <w:r>
        <w:rPr>
          <w:rFonts w:hint="eastAsia" w:ascii="宋体" w:hAnsi="宋体" w:eastAsia="宋体" w:cs="宋体"/>
          <w:sz w:val="24"/>
        </w:rPr>
        <w:t xml:space="preserve">第二章  投标人须知</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_Toc16345 \h </w:instrText>
      </w:r>
      <w:r>
        <w:rPr>
          <w:rFonts w:hint="eastAsia" w:ascii="宋体" w:hAnsi="宋体" w:eastAsia="宋体" w:cs="宋体"/>
          <w:sz w:val="24"/>
        </w:rPr>
        <w:fldChar w:fldCharType="separate"/>
      </w:r>
      <w:r>
        <w:rPr>
          <w:rFonts w:hint="eastAsia" w:ascii="宋体" w:hAnsi="宋体" w:eastAsia="宋体" w:cs="宋体"/>
          <w:sz w:val="24"/>
        </w:rPr>
        <w:t xml:space="preserve">5</w:t>
      </w:r>
      <w:r>
        <w:rPr>
          <w:rFonts w:hint="eastAsia" w:ascii="宋体" w:hAnsi="宋体" w:eastAsia="宋体" w:cs="宋体"/>
          <w:sz w:val="24"/>
        </w:rPr>
        <w:fldChar w:fldCharType="end"/>
      </w:r>
      <w:r/>
    </w:p>
    <w:p>
      <w:pPr>
        <w:pStyle w:val="1008"/>
        <w:tabs>
          <w:tab w:val="right" w:pos="8306" w:leader="dot"/>
          <w:tab w:val="clear" w:pos="9628" w:leader="none"/>
        </w:tabs>
        <w:rPr>
          <w:rFonts w:hint="eastAsia" w:ascii="宋体" w:hAnsi="宋体" w:eastAsia="宋体" w:cs="宋体"/>
          <w:sz w:val="24"/>
        </w:rPr>
      </w:pPr>
      <w:r>
        <w:rPr>
          <w:rFonts w:hint="eastAsia" w:ascii="宋体" w:hAnsi="宋体" w:eastAsia="宋体" w:cs="宋体"/>
          <w:sz w:val="24"/>
        </w:rPr>
        <w:t xml:space="preserve">第三章  合同文本</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_Toc9562 \h </w:instrText>
      </w:r>
      <w:r>
        <w:rPr>
          <w:rFonts w:hint="eastAsia" w:ascii="宋体" w:hAnsi="宋体" w:eastAsia="宋体" w:cs="宋体"/>
          <w:sz w:val="24"/>
        </w:rPr>
        <w:fldChar w:fldCharType="separate"/>
      </w:r>
      <w:r>
        <w:rPr>
          <w:rFonts w:hint="eastAsia" w:ascii="宋体" w:hAnsi="宋体" w:eastAsia="宋体" w:cs="宋体"/>
          <w:sz w:val="24"/>
        </w:rPr>
        <w:t xml:space="preserve">24</w:t>
      </w:r>
      <w:r>
        <w:rPr>
          <w:rFonts w:hint="eastAsia" w:ascii="宋体" w:hAnsi="宋体" w:eastAsia="宋体" w:cs="宋体"/>
          <w:sz w:val="24"/>
        </w:rPr>
        <w:fldChar w:fldCharType="end"/>
      </w:r>
      <w:r/>
    </w:p>
    <w:p>
      <w:pPr>
        <w:pStyle w:val="1008"/>
        <w:tabs>
          <w:tab w:val="right" w:pos="8306" w:leader="dot"/>
          <w:tab w:val="clear" w:pos="9628" w:leader="none"/>
        </w:tabs>
        <w:rPr>
          <w:rFonts w:hint="eastAsia" w:ascii="宋体" w:hAnsi="宋体" w:eastAsia="宋体" w:cs="宋体"/>
          <w:sz w:val="24"/>
        </w:rPr>
      </w:pPr>
      <w:r>
        <w:rPr>
          <w:rFonts w:hint="eastAsia" w:ascii="宋体" w:hAnsi="宋体" w:eastAsia="宋体" w:cs="宋体"/>
          <w:sz w:val="24"/>
        </w:rPr>
        <w:t xml:space="preserve">第四章  采购需求</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_Toc11437 \h </w:instrText>
      </w:r>
      <w:r>
        <w:rPr>
          <w:rFonts w:hint="eastAsia" w:ascii="宋体" w:hAnsi="宋体" w:eastAsia="宋体" w:cs="宋体"/>
          <w:sz w:val="24"/>
        </w:rPr>
        <w:fldChar w:fldCharType="separate"/>
      </w:r>
      <w:r>
        <w:rPr>
          <w:rFonts w:hint="eastAsia" w:ascii="宋体" w:hAnsi="宋体" w:eastAsia="宋体" w:cs="宋体"/>
          <w:sz w:val="24"/>
        </w:rPr>
        <w:t xml:space="preserve">29</w:t>
      </w:r>
      <w:r>
        <w:rPr>
          <w:rFonts w:hint="eastAsia" w:ascii="宋体" w:hAnsi="宋体" w:eastAsia="宋体" w:cs="宋体"/>
          <w:sz w:val="24"/>
        </w:rPr>
        <w:fldChar w:fldCharType="end"/>
      </w:r>
      <w:r/>
    </w:p>
    <w:p>
      <w:pPr>
        <w:pStyle w:val="1008"/>
        <w:tabs>
          <w:tab w:val="right" w:pos="8306" w:leader="dot"/>
          <w:tab w:val="clear" w:pos="9628" w:leader="none"/>
        </w:tabs>
        <w:rPr>
          <w:rFonts w:hint="eastAsia" w:ascii="宋体" w:hAnsi="宋体" w:eastAsia="宋体" w:cs="宋体"/>
          <w:sz w:val="24"/>
        </w:rPr>
      </w:pPr>
      <w:r>
        <w:rPr>
          <w:rFonts w:hint="eastAsia" w:ascii="宋体" w:hAnsi="宋体" w:eastAsia="宋体" w:cs="宋体"/>
          <w:sz w:val="24"/>
        </w:rPr>
        <w:t xml:space="preserve">第五章  评标方法与评标标准</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_Toc10210 \h </w:instrText>
      </w:r>
      <w:r>
        <w:rPr>
          <w:rFonts w:hint="eastAsia" w:ascii="宋体" w:hAnsi="宋体" w:eastAsia="宋体" w:cs="宋体"/>
          <w:sz w:val="24"/>
        </w:rPr>
        <w:fldChar w:fldCharType="separate"/>
      </w:r>
      <w:r>
        <w:rPr>
          <w:rFonts w:hint="eastAsia" w:ascii="宋体" w:hAnsi="宋体" w:eastAsia="宋体" w:cs="宋体"/>
          <w:sz w:val="24"/>
        </w:rPr>
        <w:t xml:space="preserve">104</w:t>
      </w:r>
      <w:r>
        <w:rPr>
          <w:rFonts w:hint="eastAsia" w:ascii="宋体" w:hAnsi="宋体" w:eastAsia="宋体" w:cs="宋体"/>
          <w:sz w:val="24"/>
        </w:rPr>
        <w:fldChar w:fldCharType="end"/>
      </w:r>
      <w:r/>
    </w:p>
    <w:p>
      <w:pPr>
        <w:pStyle w:val="1008"/>
        <w:tabs>
          <w:tab w:val="right" w:pos="8306" w:leader="dot"/>
          <w:tab w:val="clear" w:pos="9628" w:leader="none"/>
        </w:tabs>
        <w:rPr>
          <w:rFonts w:hint="eastAsia" w:ascii="宋体" w:hAnsi="宋体" w:eastAsia="宋体" w:cs="宋体"/>
          <w:sz w:val="24"/>
        </w:rPr>
      </w:pPr>
      <w:r>
        <w:rPr>
          <w:rFonts w:hint="eastAsia" w:ascii="宋体" w:hAnsi="宋体" w:eastAsia="宋体" w:cs="宋体"/>
          <w:sz w:val="24"/>
        </w:rPr>
        <w:t xml:space="preserve">第六章  投标文件格式</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_Toc6316 \h </w:instrText>
      </w:r>
      <w:r>
        <w:rPr>
          <w:rFonts w:hint="eastAsia" w:ascii="宋体" w:hAnsi="宋体" w:eastAsia="宋体" w:cs="宋体"/>
          <w:sz w:val="24"/>
        </w:rPr>
        <w:fldChar w:fldCharType="separate"/>
      </w:r>
      <w:r>
        <w:rPr>
          <w:rFonts w:hint="eastAsia" w:ascii="宋体" w:hAnsi="宋体" w:eastAsia="宋体" w:cs="宋体"/>
          <w:sz w:val="24"/>
        </w:rPr>
        <w:t xml:space="preserve">107</w:t>
      </w:r>
      <w:r>
        <w:rPr>
          <w:rFonts w:hint="eastAsia" w:ascii="宋体" w:hAnsi="宋体" w:eastAsia="宋体" w:cs="宋体"/>
          <w:sz w:val="24"/>
        </w:rPr>
        <w:fldChar w:fldCharType="end"/>
      </w:r>
      <w:r/>
    </w:p>
    <w:p>
      <w:pPr>
        <w:jc w:val="center"/>
        <w:spacing w:before="120" w:after="120"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99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995"/>
        <w:jc w:val="center"/>
        <w:spacing w:line="360" w:lineRule="auto"/>
        <w:rPr>
          <w:rFonts w:ascii="黑体" w:hAnsi="黑体" w:eastAsia="黑体"/>
          <w:b w:val="0"/>
        </w:rPr>
      </w:pPr>
      <w:r/>
      <w:bookmarkStart w:id="0" w:name="_Toc1039"/>
      <w:r>
        <w:rPr>
          <w:rFonts w:hint="eastAsia" w:ascii="黑体" w:hAnsi="黑体" w:eastAsia="黑体"/>
          <w:b w:val="0"/>
        </w:rPr>
        <w:t xml:space="preserve">第一章  投标邀请</w:t>
      </w:r>
      <w:bookmarkEnd w:id="0"/>
      <w:r/>
      <w:r/>
    </w:p>
    <w:p>
      <w:pPr>
        <w:ind w:firstLine="480"/>
        <w:spacing w:line="500" w:lineRule="exac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sz w:val="24"/>
          <w:szCs w:val="24"/>
        </w:rPr>
        <w:t xml:space="preserve">受</w:t>
      </w:r>
      <w:r>
        <w:rPr>
          <w:rFonts w:hint="eastAsia" w:asciiTheme="minorEastAsia" w:hAnsiTheme="minorEastAsia"/>
          <w:color w:val="000000" w:themeColor="text1"/>
          <w:sz w:val="24"/>
          <w:szCs w:val="24"/>
          <w14:textFill>
            <w14:solidFill>
              <w14:schemeClr w14:val="tx1"/>
            </w14:solidFill>
          </w14:textFill>
        </w:rPr>
        <w:t xml:space="preserve">连云港市中医院</w:t>
      </w:r>
      <w:r>
        <w:rPr>
          <w:rFonts w:hint="eastAsia" w:asciiTheme="minorEastAsia" w:hAnsiTheme="minorEastAsia"/>
          <w:sz w:val="24"/>
          <w:szCs w:val="24"/>
        </w:rPr>
        <w:t xml:space="preserve">的委托，连云港市公共资源交易中心就</w:t>
      </w:r>
      <w:r>
        <w:rPr>
          <w:rFonts w:hint="eastAsia" w:ascii="宋体" w:hAnsi="宋体" w:cs="宋体"/>
          <w:color w:val="000000" w:themeColor="text1"/>
          <w:sz w:val="24"/>
          <w:szCs w:val="24"/>
          <w14:textFill>
            <w14:solidFill>
              <w14:schemeClr w14:val="tx1"/>
            </w14:solidFill>
          </w14:textFill>
        </w:rPr>
        <w:t xml:space="preserve">江苏省中医院连云港医院基于AI核心技术的多场景智慧医院平台建设项目</w:t>
      </w:r>
      <w:r>
        <w:rPr>
          <w:rFonts w:hint="eastAsia" w:asciiTheme="minorEastAsia" w:hAnsiTheme="minorEastAsia"/>
          <w:color w:val="000000" w:themeColor="text1"/>
          <w:sz w:val="24"/>
          <w:szCs w:val="24"/>
          <w14:textFill>
            <w14:solidFill>
              <w14:schemeClr w14:val="tx1"/>
            </w14:solidFill>
          </w14:textFill>
        </w:rPr>
        <w:t xml:space="preserve">（JSZC-320700-JZCG-G2026-0145）项目进行公开招标采购，欢迎符合条件的</w:t>
      </w:r>
      <w:r>
        <w:rPr>
          <w:rFonts w:hint="eastAsia" w:asciiTheme="minorEastAsia" w:hAnsiTheme="minorEastAsia"/>
          <w:color w:val="000000" w:themeColor="text1"/>
          <w:sz w:val="24"/>
          <w:szCs w:val="24"/>
          <w:lang w:eastAsia="zh-CN"/>
          <w14:textFill>
            <w14:solidFill>
              <w14:schemeClr w14:val="tx1"/>
            </w14:solidFill>
          </w14:textFill>
        </w:rPr>
        <w:t xml:space="preserve">投标人</w:t>
      </w:r>
      <w:r>
        <w:rPr>
          <w:rFonts w:hint="eastAsia" w:asciiTheme="minorEastAsia" w:hAnsiTheme="minorEastAsia"/>
          <w:color w:val="000000" w:themeColor="text1"/>
          <w:sz w:val="24"/>
          <w:szCs w:val="24"/>
          <w14:textFill>
            <w14:solidFill>
              <w14:schemeClr w14:val="tx1"/>
            </w14:solidFill>
          </w14:textFill>
        </w:rPr>
        <w:t xml:space="preserve">投标。</w:t>
      </w:r>
      <w:r/>
    </w:p>
    <w:p>
      <w:pPr>
        <w:spacing w:line="480" w:lineRule="auto"/>
        <w:rPr>
          <w:rFonts w:ascii="宋体" w:hAnsi="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480" w:lineRule="auto"/>
        <w:rPr>
          <w:rFonts w:ascii="宋体" w:hAnsi="宋体" w:cs="宋体"/>
          <w:bCs/>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Theme="minorEastAsia" w:hAnsiTheme="minorEastAsia"/>
          <w:sz w:val="24"/>
          <w:szCs w:val="24"/>
          <w:u w:val="single"/>
        </w:rPr>
        <w:t xml:space="preserve">江苏省中医院连云港医院基于AI核心技术的多场景智慧医院平台建设</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w:t>
      </w:r>
      <w:r>
        <w:rPr>
          <w:rFonts w:hint="eastAsia"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1</w:t>
      </w:r>
      <w:r>
        <w:rPr>
          <w:rFonts w:hint="eastAsia" w:asciiTheme="minorEastAsia" w:hAnsiTheme="minorEastAsia"/>
          <w:b/>
          <w:sz w:val="24"/>
          <w:szCs w:val="24"/>
          <w:highlight w:val="none"/>
          <w:u w:val="single"/>
        </w:rPr>
        <w:t xml:space="preserve">9日9:00:00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p>
      <w:pPr>
        <w:ind w:firstLine="480"/>
        <w:spacing w:line="500" w:lineRule="exact"/>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r>
      <w:r/>
    </w:p>
    <w:p>
      <w:pPr>
        <w:pStyle w:val="996"/>
        <w:spacing w:before="0" w:after="0" w:line="500" w:lineRule="exac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一、项目基本情况</w:t>
      </w:r>
      <w:r/>
    </w:p>
    <w:p>
      <w:pPr>
        <w:ind w:firstLine="480"/>
        <w:spacing w:line="50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项目编号：JSZC-320700-JZCG-G2026-0145</w:t>
      </w:r>
      <w:r/>
    </w:p>
    <w:p>
      <w:pPr>
        <w:ind w:firstLine="480"/>
        <w:spacing w:line="500" w:lineRule="exact"/>
        <w:rPr>
          <w:rFonts w:hint="eastAsia" w:asciiTheme="minorEastAsia" w:hAnsiTheme="minorEastAsia"/>
          <w:sz w:val="24"/>
          <w:szCs w:val="24"/>
          <w:highlight w:val="none"/>
          <w14:textFill>
            <w14:solidFill>
              <w14:schemeClr w14:val="tx1"/>
            </w14:solidFill>
          </w14:textFill>
          <w14:ligatures w14:val="none"/>
        </w:rPr>
      </w:pPr>
      <w:r>
        <w:rPr>
          <w:rFonts w:hint="eastAsia" w:asciiTheme="minorEastAsia" w:hAnsiTheme="minorEastAsia"/>
          <w:sz w:val="24"/>
          <w:szCs w:val="24"/>
          <w:highlight w:val="none"/>
          <w14:textFill>
            <w14:solidFill>
              <w14:schemeClr w14:val="tx1"/>
            </w14:solidFill>
          </w14:textFill>
        </w:rPr>
        <w:t xml:space="preserve">项目名称：</w:t>
      </w:r>
      <w:r>
        <w:rPr>
          <w:rFonts w:hint="eastAsia" w:asciiTheme="minorEastAsia" w:hAnsiTheme="minorEastAsia"/>
          <w:sz w:val="24"/>
          <w:szCs w:val="24"/>
          <w:highlight w:val="none"/>
          <w14:textFill>
            <w14:solidFill>
              <w14:schemeClr w14:val="tx1"/>
            </w14:solidFill>
          </w14:textFill>
        </w:rPr>
        <w:t xml:space="preserve">江苏省中医院连云港医院基于AI核心技术的多场景智慧医院平台建设项目</w:t>
      </w:r>
      <w:r>
        <w:rPr>
          <w:rFonts w:hint="eastAsia" w:asciiTheme="minorEastAsia" w:hAnsiTheme="minorEastAsia"/>
          <w:sz w:val="24"/>
          <w:szCs w:val="24"/>
          <w:highlight w:val="none"/>
          <w14:textFill>
            <w14:solidFill>
              <w14:schemeClr w14:val="tx1"/>
            </w14:solidFill>
          </w14:textFill>
        </w:rPr>
      </w:r>
      <w:r/>
    </w:p>
    <w:p>
      <w:pPr>
        <w:ind w:firstLine="480"/>
        <w:spacing w:line="50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采购方式：公开招标</w:t>
      </w:r>
      <w:r/>
    </w:p>
    <w:p>
      <w:pPr>
        <w:ind w:firstLine="480"/>
        <w:spacing w:line="500" w:lineRule="exact"/>
        <w:rPr>
          <w:rFonts w:cs="Times New Roman"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预算金额：</w:t>
      </w:r>
      <w:r>
        <w:rPr>
          <w:rFonts w:hint="eastAsia" w:asciiTheme="minorEastAsia" w:hAnsiTheme="minorEastAsia"/>
          <w:color w:val="000000" w:themeColor="text1"/>
          <w:sz w:val="24"/>
          <w:szCs w:val="24"/>
          <w:highlight w:val="none"/>
          <w14:textFill>
            <w14:solidFill>
              <w14:schemeClr w14:val="tx1"/>
            </w14:solidFill>
          </w14:textFill>
        </w:rPr>
        <w:t xml:space="preserve">人民币756.09万元，</w:t>
      </w:r>
      <w:r>
        <w:rPr>
          <w:rFonts w:hint="eastAsia" w:cs="Times New Roman" w:asciiTheme="minorEastAsia" w:hAnsiTheme="minorEastAsia"/>
          <w:b/>
          <w:bCs/>
          <w:color w:val="000000" w:themeColor="text1"/>
          <w:sz w:val="24"/>
          <w:szCs w:val="24"/>
          <w:highlight w:val="none"/>
          <w14:textFill>
            <w14:solidFill>
              <w14:schemeClr w14:val="tx1"/>
            </w14:solidFill>
          </w14:textFill>
        </w:rPr>
        <w:t xml:space="preserve">投标报价超过预算金额的投标无效</w:t>
      </w:r>
      <w:r>
        <w:rPr>
          <w:rFonts w:hint="eastAsia" w:cs="Times New Roman" w:asciiTheme="minorEastAsia" w:hAnsiTheme="minorEastAsia"/>
          <w:color w:val="000000" w:themeColor="text1"/>
          <w:sz w:val="24"/>
          <w:szCs w:val="24"/>
          <w:highlight w:val="none"/>
          <w14:textFill>
            <w14:solidFill>
              <w14:schemeClr w14:val="tx1"/>
            </w14:solidFill>
          </w14:textFill>
        </w:rPr>
        <w:t xml:space="preserve">。</w:t>
      </w:r>
      <w:r/>
    </w:p>
    <w:p>
      <w:pPr>
        <w:ind w:firstLine="480"/>
        <w:spacing w:line="500" w:lineRule="exact"/>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最高限价：人民币756.09万元</w:t>
      </w:r>
      <w:r/>
    </w:p>
    <w:p>
      <w:pPr>
        <w:ind w:firstLine="480"/>
        <w:spacing w:line="500" w:lineRule="exact"/>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采购需求：</w:t>
      </w:r>
      <w:r>
        <w:rPr>
          <w:rFonts w:hint="eastAsia"/>
          <w:sz w:val="24"/>
          <w:szCs w:val="24"/>
        </w:rPr>
        <w:t xml:space="preserve">为紧跟行业发展趋势，充分发挥国家区域医疗中心的示范引领作用，凸显中医药智能化特色优势，江苏省中医院连云港医院亟需依托AI核心技术，搭建全覆盖、一体化、可拓展的多场景智慧医院平台</w:t>
      </w:r>
      <w:r>
        <w:rPr>
          <w:rFonts w:hint="eastAsia"/>
          <w:sz w:val="24"/>
          <w:szCs w:val="24"/>
          <w:lang w:eastAsia="zh-CN"/>
        </w:rPr>
        <w:t xml:space="preserve">。</w:t>
      </w:r>
      <w:r>
        <w:rPr>
          <w:rFonts w:hint="eastAsia" w:ascii="宋体" w:hAnsi="宋体" w:cs="宋体"/>
          <w:color w:val="000000" w:themeColor="text1"/>
          <w:sz w:val="24"/>
          <w:szCs w:val="20"/>
          <w:highlight w:val="none"/>
          <w14:textFill>
            <w14:solidFill>
              <w14:schemeClr w14:val="tx1"/>
            </w14:solidFill>
          </w14:textFill>
        </w:rPr>
        <w:t xml:space="preserve">具体详细内容见第四章</w:t>
      </w:r>
      <w:r>
        <w:rPr>
          <w:rFonts w:hint="eastAsia" w:ascii="宋体" w:hAnsi="宋体" w:cs="宋体"/>
          <w:color w:val="000000" w:themeColor="text1"/>
          <w:sz w:val="24"/>
          <w:szCs w:val="20"/>
          <w:highlight w:val="none"/>
          <w:lang w:val="en-US" w:eastAsia="zh-CN"/>
          <w14:textFill>
            <w14:solidFill>
              <w14:schemeClr w14:val="tx1"/>
            </w14:solidFill>
          </w14:textFill>
        </w:rPr>
        <w:t xml:space="preserve">采购</w:t>
      </w:r>
      <w:r>
        <w:rPr>
          <w:rFonts w:hint="eastAsia" w:ascii="宋体" w:hAnsi="宋体" w:cs="宋体"/>
          <w:color w:val="000000" w:themeColor="text1"/>
          <w:sz w:val="24"/>
          <w:szCs w:val="20"/>
          <w:highlight w:val="none"/>
          <w14:textFill>
            <w14:solidFill>
              <w14:schemeClr w14:val="tx1"/>
            </w14:solidFill>
          </w14:textFill>
        </w:rPr>
        <w:t xml:space="preserve">需求。</w:t>
      </w:r>
      <w:r/>
    </w:p>
    <w:p>
      <w:pPr>
        <w:ind w:firstLine="480"/>
        <w:spacing w:line="500" w:lineRule="exact"/>
        <w:rPr>
          <w:rFonts w:asciiTheme="minorEastAsia" w:hAnsiTheme="minorEastAsia"/>
          <w:color w:val="000000" w:themeColor="text1"/>
          <w:sz w:val="24"/>
          <w:szCs w:val="24"/>
          <w:highlight w:val="yellow"/>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合同履行期限：</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olor w:val="000000" w:themeColor="text1"/>
          <w:sz w:val="24"/>
          <w:szCs w:val="24"/>
          <w:highlight w:val="none"/>
          <w14:textFill>
            <w14:solidFill>
              <w14:schemeClr w14:val="tx1"/>
            </w14:solidFill>
          </w14:textFill>
        </w:rPr>
        <w:t xml:space="preserve">年</w:t>
      </w:r>
      <w:r/>
    </w:p>
    <w:p>
      <w:pPr>
        <w:ind w:firstLine="480"/>
        <w:spacing w:line="50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本项目不接受联合体投标。</w:t>
      </w:r>
      <w:r/>
    </w:p>
    <w:p>
      <w:pPr>
        <w:pStyle w:val="996"/>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hint="eastAsia"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pageBreakBefore w:val="0"/>
        <w:spacing w:line="500" w:lineRule="exact"/>
        <w:widowControl w:val="off"/>
        <w:rPr>
          <w:rFonts w:hint="eastAsia" w:asciiTheme="minorEastAsia" w:hAnsiTheme="minorEastAsia" w:eastAsiaTheme="minorEastAsia"/>
          <w:sz w:val="24"/>
          <w:szCs w:val="24"/>
          <w:lang w:val="en-US" w:eastAsia="zh-CN"/>
        </w:rPr>
      </w:pPr>
      <w:r>
        <w:rPr>
          <w:rFonts w:hint="eastAsia" w:asciiTheme="minorEastAsia" w:hAnsiTheme="minorEastAsia"/>
          <w:sz w:val="24"/>
          <w:szCs w:val="24"/>
        </w:rPr>
        <w:t xml:space="preserve">（三）本项目的特定资格要求：</w:t>
      </w:r>
      <w:r/>
    </w:p>
    <w:p>
      <w:pPr>
        <w:ind w:firstLine="480"/>
        <w:pageBreakBefore w:val="0"/>
        <w:spacing w:line="500" w:lineRule="exact"/>
        <w:widowControl w:val="off"/>
        <w:rPr>
          <w:rFonts w:hint="eastAsia" w:asciiTheme="minorEastAsia" w:hAnsiTheme="minorEastAsia"/>
          <w:sz w:val="24"/>
          <w:szCs w:val="24"/>
          <w:lang w:eastAsia="zh-CN"/>
        </w:rPr>
      </w:pPr>
      <w:r>
        <w:rPr>
          <w:rFonts w:hint="eastAsia" w:asciiTheme="minorEastAsia" w:hAnsiTheme="minorEastAsia"/>
          <w:sz w:val="24"/>
          <w:szCs w:val="24"/>
          <w:lang w:val="en-US" w:eastAsia="zh-CN"/>
        </w:rPr>
        <w:t xml:space="preserve">本项目采购的部分内容（</w:t>
      </w:r>
      <w:r>
        <w:rPr>
          <w:rFonts w:hint="eastAsia" w:asciiTheme="minorEastAsia" w:hAnsiTheme="minorEastAsia"/>
          <w:b/>
          <w:bCs/>
          <w:sz w:val="24"/>
          <w:szCs w:val="24"/>
          <w:lang w:val="en-US" w:eastAsia="zh-CN"/>
        </w:rPr>
        <w:t xml:space="preserve">中医经络检测仪、输液监控仪</w:t>
      </w:r>
      <w:r>
        <w:rPr>
          <w:rFonts w:hint="eastAsia" w:asciiTheme="minorEastAsia" w:hAnsiTheme="minorEastAsia"/>
          <w:sz w:val="24"/>
          <w:szCs w:val="24"/>
          <w:lang w:val="en-US" w:eastAsia="zh-CN"/>
        </w:rPr>
        <w:t xml:space="preserve">）属于第二类医疗器械，投标人须具有</w:t>
      </w:r>
      <w:r>
        <w:rPr>
          <w:rFonts w:hint="eastAsia" w:asciiTheme="minorEastAsia" w:hAnsiTheme="minorEastAsia"/>
          <w:sz w:val="24"/>
          <w:szCs w:val="24"/>
        </w:rPr>
        <w:t xml:space="preserve">第二类医疗器械经营备案凭证</w:t>
      </w:r>
      <w:r>
        <w:rPr>
          <w:rFonts w:hint="eastAsia" w:asciiTheme="minorEastAsia" w:hAnsiTheme="minorEastAsia"/>
          <w:sz w:val="24"/>
          <w:szCs w:val="24"/>
          <w:lang w:eastAsia="zh-CN"/>
        </w:rPr>
        <w:t xml:space="preserve">。</w:t>
      </w:r>
      <w:r/>
    </w:p>
    <w:p>
      <w:pPr>
        <w:ind w:firstLine="480"/>
        <w:pageBreakBefore w:val="0"/>
        <w:spacing w:line="500" w:lineRule="exact"/>
        <w:widowControl w:val="off"/>
        <w:rPr>
          <w:rFonts w:hint="default"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1）投标人具有相应备案凭证的，</w:t>
      </w:r>
      <w:r>
        <w:rPr>
          <w:rFonts w:hint="eastAsia" w:asciiTheme="minorEastAsia" w:hAnsiTheme="minorEastAsia"/>
          <w:b/>
          <w:bCs/>
          <w:sz w:val="24"/>
          <w:szCs w:val="24"/>
          <w:lang w:val="en-US" w:eastAsia="zh-CN"/>
        </w:rPr>
        <w:t xml:space="preserve">投标文件中需提供投标人的</w:t>
      </w:r>
      <w:r>
        <w:rPr>
          <w:rFonts w:hint="eastAsia" w:asciiTheme="minorEastAsia" w:hAnsiTheme="minorEastAsia"/>
          <w:b/>
          <w:bCs/>
          <w:sz w:val="24"/>
          <w:szCs w:val="24"/>
        </w:rPr>
        <w:t xml:space="preserve">第二类医疗器械经营备案凭证</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lang w:val="en-US" w:eastAsia="zh-CN"/>
        </w:rPr>
        <w:t xml:space="preserve">并加盖投标人公章，否则投标无效。</w:t>
      </w:r>
      <w:r/>
    </w:p>
    <w:p>
      <w:pPr>
        <w:ind w:firstLine="480"/>
        <w:pageBreakBefore w:val="0"/>
        <w:spacing w:line="500" w:lineRule="exact"/>
        <w:widowControl w:val="off"/>
        <w:rPr>
          <w:rFonts w:hint="default" w:asciiTheme="minorEastAsia" w:hAnsiTheme="minorEastAsia"/>
          <w:sz w:val="24"/>
          <w:szCs w:val="24"/>
          <w:lang w:val="en-US"/>
        </w:rPr>
      </w:pPr>
      <w:r>
        <w:rPr>
          <w:rFonts w:hint="eastAsia" w:asciiTheme="minorEastAsia" w:hAnsiTheme="minorEastAsia"/>
          <w:sz w:val="24"/>
          <w:szCs w:val="24"/>
          <w:lang w:val="en-US" w:eastAsia="zh-CN"/>
        </w:rPr>
        <w:t xml:space="preserve">2）投标人不具有相应备案凭证的，允许将此部分分包，</w:t>
      </w:r>
      <w:r>
        <w:rPr>
          <w:rFonts w:hint="eastAsia" w:asciiTheme="minorEastAsia" w:hAnsiTheme="minorEastAsia"/>
          <w:b/>
          <w:bCs/>
          <w:sz w:val="24"/>
          <w:szCs w:val="24"/>
          <w:lang w:val="en-US" w:eastAsia="zh-CN"/>
        </w:rPr>
        <w:t xml:space="preserve">投标文件中需提供加盖分包商公章的</w:t>
      </w:r>
      <w:r>
        <w:rPr>
          <w:rFonts w:hint="eastAsia" w:asciiTheme="minorEastAsia" w:hAnsiTheme="minorEastAsia"/>
          <w:b/>
          <w:bCs/>
          <w:sz w:val="24"/>
          <w:szCs w:val="24"/>
        </w:rPr>
        <w:t xml:space="preserve">第二类医疗器械经营备案凭证</w:t>
      </w:r>
      <w:r>
        <w:rPr>
          <w:rFonts w:hint="eastAsia" w:asciiTheme="minorEastAsia" w:hAnsiTheme="minorEastAsia"/>
          <w:b/>
          <w:bCs/>
          <w:sz w:val="24"/>
          <w:szCs w:val="24"/>
          <w:lang w:eastAsia="zh-CN"/>
        </w:rPr>
        <w:t xml:space="preserve">，</w:t>
      </w:r>
      <w:r>
        <w:rPr>
          <w:rFonts w:hint="eastAsia" w:asciiTheme="minorEastAsia" w:hAnsiTheme="minorEastAsia"/>
          <w:b/>
          <w:bCs/>
          <w:sz w:val="24"/>
          <w:szCs w:val="24"/>
          <w:lang w:val="en-US" w:eastAsia="zh-CN"/>
        </w:rPr>
        <w:t xml:space="preserve">并加盖投标人公章，以及《分包承诺函》并加盖投标人公章，否则投标无效。（若分包商符合中小企业政策的，需同时提交相关声明函，并加盖分包商和投标人公章）</w:t>
      </w:r>
      <w:r/>
    </w:p>
    <w:p>
      <w:pPr>
        <w:pStyle w:val="996"/>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default" w:asciiTheme="minorEastAsia" w:hAnsiTheme="minorEastAsia" w:eastAsiaTheme="minorEastAsia"/>
          <w:sz w:val="24"/>
          <w:szCs w:val="24"/>
          <w:highlight w:val="yellow"/>
          <w:lang w:val="en-US" w:eastAsia="zh-CN"/>
        </w:rPr>
      </w:pPr>
      <w:r>
        <w:rPr>
          <w:rFonts w:hint="eastAsia" w:asciiTheme="minorEastAsia" w:hAnsiTheme="minorEastAsia"/>
          <w:sz w:val="24"/>
          <w:szCs w:val="24"/>
          <w:highlight w:val="none"/>
        </w:rPr>
        <w:t xml:space="preserve">时间：自招标公告发布之日起</w:t>
      </w:r>
      <w:r>
        <w:rPr>
          <w:rFonts w:hint="eastAsia" w:asciiTheme="minorEastAsia" w:hAnsiTheme="minorEastAsia"/>
          <w:sz w:val="24"/>
          <w:szCs w:val="24"/>
          <w:highlight w:val="none"/>
          <w:lang w:val="en-US" w:eastAsia="zh-CN"/>
        </w:rPr>
        <w:t xml:space="preserve">5个工作日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996"/>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19</w:t>
      </w:r>
      <w:r>
        <w:rPr>
          <w:rFonts w:hint="eastAsia" w:asciiTheme="minorEastAsia" w:hAnsiTheme="minorEastAsia"/>
          <w:sz w:val="24"/>
          <w:szCs w:val="24"/>
          <w:highlight w:val="none"/>
        </w:rPr>
        <w:t xml:space="preserve">日9:00:00（北京时间）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19</w:t>
      </w:r>
      <w:r>
        <w:rPr>
          <w:rFonts w:hint="eastAsia" w:asciiTheme="minorEastAsia" w:hAnsiTheme="minorEastAsia"/>
          <w:sz w:val="24"/>
          <w:szCs w:val="24"/>
          <w:highlight w:val="none"/>
        </w:rPr>
        <w:t xml:space="preserve">日9:00:00（北京时间）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996"/>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996"/>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996"/>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jc w:val="left"/>
        <w:spacing w:line="48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contextualSpacing/>
        <w:ind w:firstLine="480"/>
        <w:jc w:val="left"/>
        <w:spacing w:line="48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名称：郑东鹏</w:t>
      </w:r>
      <w:r/>
    </w:p>
    <w:p>
      <w:pPr>
        <w:contextualSpacing/>
        <w:ind w:firstLine="480"/>
        <w:jc w:val="left"/>
        <w:spacing w:line="480" w:lineRule="auto"/>
        <w:shd w:val="clear" w:color="auto" w:fill="ffffff"/>
        <w:widowControl/>
        <w:rPr>
          <w:rFonts w:ascii="宋体" w:hAnsi="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rPr>
          <w:rFonts w:hint="eastAsia" w:ascii="宋体" w:hAnsi="宋体" w:cs="宋体"/>
          <w:color w:val="000000" w:themeColor="text1"/>
          <w:sz w:val="24"/>
          <w:szCs w:val="24"/>
          <w:lang w:eastAsia="zh-CN"/>
          <w14:textFill>
            <w14:solidFill>
              <w14:schemeClr w14:val="tx1"/>
            </w14:solidFill>
          </w14:textFill>
        </w:rPr>
        <w:t xml:space="preserve">江苏省</w:t>
      </w:r>
      <w:r>
        <w:rPr>
          <w:rFonts w:hint="eastAsia" w:ascii="宋体" w:hAnsi="宋体" w:cs="宋体"/>
          <w:color w:val="000000" w:themeColor="text1"/>
          <w:sz w:val="24"/>
          <w:szCs w:val="24"/>
          <w:lang w:val="en-US" w:eastAsia="zh-CN"/>
          <w14:textFill>
            <w14:solidFill>
              <w14:schemeClr w14:val="tx1"/>
            </w14:solidFill>
          </w14:textFill>
        </w:rPr>
        <w:t xml:space="preserve">连云港市朝阳中路160号</w:t>
      </w:r>
      <w:r/>
    </w:p>
    <w:p>
      <w:pPr>
        <w:contextualSpacing/>
        <w:ind w:firstLine="480"/>
        <w:jc w:val="left"/>
        <w:spacing w:line="480" w:lineRule="auto"/>
        <w:shd w:val="clear" w:color="auto" w:fill="ffffff"/>
        <w:widowControl/>
        <w:rPr>
          <w:rFonts w:hint="default" w:ascii="宋体" w:hAnsi="宋体" w:cs="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0518-85489620</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pageBreakBefore w:val="0"/>
        <w:spacing w:line="500" w:lineRule="exact"/>
        <w:widowControl w:val="off"/>
        <w:rPr>
          <w:rFonts w:hint="default" w:cs="Times New Roman" w:asciiTheme="minorEastAsia" w:hAnsiTheme="minorEastAsia" w:eastAsiaTheme="minorEastAsia"/>
          <w:sz w:val="24"/>
          <w:szCs w:val="24"/>
          <w:lang w:val="en-US" w:eastAsia="zh-CN"/>
        </w:rPr>
      </w:pPr>
      <w:r>
        <w:rPr>
          <w:rFonts w:hint="eastAsia" w:asciiTheme="minorEastAsia" w:hAnsiTheme="minorEastAsia"/>
          <w:sz w:val="24"/>
          <w:szCs w:val="24"/>
        </w:rPr>
        <w:t xml:space="preserve">联系方式：</w:t>
      </w:r>
      <w:r>
        <w:rPr>
          <w:rFonts w:hint="eastAsia" w:asciiTheme="minorEastAsia" w:hAnsiTheme="minorEastAsia"/>
          <w:sz w:val="24"/>
          <w:szCs w:val="24"/>
          <w:lang w:val="en-US" w:eastAsia="zh-CN"/>
        </w:rPr>
        <w:t xml:space="preserve">王一峰</w:t>
      </w:r>
      <w:r>
        <w:rPr>
          <w:rFonts w:hint="eastAsia" w:asciiTheme="minorEastAsia" w:hAnsiTheme="minorEastAsia"/>
          <w:sz w:val="24"/>
          <w:szCs w:val="24"/>
        </w:rPr>
        <w:t xml:space="preserve"> </w:t>
      </w:r>
      <w:r>
        <w:rPr>
          <w:rFonts w:cs="Times New Roman" w:asciiTheme="minorEastAsia" w:hAnsiTheme="minorEastAsia"/>
          <w:sz w:val="24"/>
          <w:szCs w:val="24"/>
        </w:rPr>
        <w:t xml:space="preserve">  0518-</w:t>
      </w:r>
      <w:r>
        <w:rPr>
          <w:rFonts w:hint="eastAsia" w:cs="Times New Roman" w:asciiTheme="minorEastAsia" w:hAnsiTheme="minorEastAsia"/>
          <w:sz w:val="24"/>
          <w:szCs w:val="24"/>
          <w:lang w:val="en-US" w:eastAsia="zh-CN"/>
        </w:rPr>
        <w:t xml:space="preserve">82256587</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pageBreakBefore w:val="0"/>
        <w:spacing w:line="500" w:lineRule="exact"/>
        <w:widowControl w:val="off"/>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王一峰</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highlight w:val="none"/>
        </w:rPr>
        <w:t xml:space="preserve">电      话：</w:t>
      </w:r>
      <w:r>
        <w:rPr>
          <w:rFonts w:cs="Times New Roman" w:asciiTheme="minorEastAsia" w:hAnsiTheme="minorEastAsia"/>
          <w:sz w:val="24"/>
          <w:szCs w:val="24"/>
        </w:rPr>
        <w:t xml:space="preserve">0518-</w:t>
      </w:r>
      <w:r>
        <w:rPr>
          <w:rFonts w:hint="eastAsia" w:cs="Times New Roman" w:asciiTheme="minorEastAsia" w:hAnsiTheme="minorEastAsia"/>
          <w:sz w:val="24"/>
          <w:szCs w:val="24"/>
          <w:lang w:val="en-US" w:eastAsia="zh-CN"/>
        </w:rPr>
        <w:t xml:space="preserve">82256587</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rPr>
          <w:sz w:val="24"/>
          <w:szCs w:val="24"/>
        </w:rPr>
      </w:pPr>
      <w:r>
        <w:rPr>
          <w:sz w:val="24"/>
          <w:szCs w:val="24"/>
        </w:rPr>
        <w:br w:type="page" w:clear="all"/>
      </w:r>
      <w:r/>
    </w:p>
    <w:p>
      <w:pPr>
        <w:pStyle w:val="995"/>
        <w:jc w:val="center"/>
        <w:spacing w:line="360" w:lineRule="auto"/>
        <w:rPr>
          <w:rFonts w:ascii="黑体" w:hAnsi="黑体" w:eastAsia="黑体"/>
          <w:b w:val="0"/>
        </w:rPr>
      </w:pPr>
      <w:r/>
      <w:bookmarkStart w:id="1" w:name="_Toc16345"/>
      <w:r>
        <w:rPr>
          <w:rFonts w:hint="eastAsia" w:ascii="黑体" w:hAnsi="黑体" w:eastAsia="黑体"/>
          <w:b w:val="0"/>
        </w:rPr>
        <w:t xml:space="preserve">第二章  投标人须知</w:t>
      </w:r>
      <w:bookmarkEnd w:id="1"/>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w:t>
      </w:r>
      <w:r>
        <w:rPr>
          <w:rFonts w:hint="eastAsia" w:ascii="宋体" w:hAnsi="宋体" w:eastAsia="宋体" w:cs="宋体"/>
          <w:b w:val="0"/>
          <w:bCs/>
          <w:color w:val="000000"/>
          <w:sz w:val="24"/>
          <w:szCs w:val="24"/>
          <w:highlight w:val="none"/>
          <w:lang w:eastAsia="zh-CN"/>
        </w:rPr>
        <w:t xml:space="preserve">投标人</w:t>
      </w:r>
      <w:r>
        <w:rPr>
          <w:rFonts w:hint="eastAsia" w:ascii="宋体" w:hAnsi="宋体" w:eastAsia="宋体" w:cs="宋体"/>
          <w:b w:val="0"/>
          <w:bCs/>
          <w:color w:val="000000"/>
          <w:sz w:val="24"/>
          <w:szCs w:val="24"/>
          <w:highlight w:val="none"/>
        </w:rPr>
        <w:t xml:space="preserve">名称、相关人员姓名和其他可识别</w:t>
      </w:r>
      <w:r>
        <w:rPr>
          <w:rFonts w:hint="eastAsia" w:ascii="宋体" w:hAnsi="宋体" w:eastAsia="宋体" w:cs="宋体"/>
          <w:b w:val="0"/>
          <w:bCs/>
          <w:color w:val="000000"/>
          <w:sz w:val="24"/>
          <w:szCs w:val="24"/>
          <w:highlight w:val="none"/>
          <w:lang w:eastAsia="zh-CN"/>
        </w:rPr>
        <w:t xml:space="preserve">投标人</w:t>
      </w:r>
      <w:r>
        <w:rPr>
          <w:rFonts w:hint="eastAsia" w:ascii="宋体" w:hAnsi="宋体" w:eastAsia="宋体" w:cs="宋体"/>
          <w:b w:val="0"/>
          <w:bCs/>
          <w:color w:val="000000"/>
          <w:sz w:val="24"/>
          <w:szCs w:val="24"/>
          <w:highlight w:val="none"/>
        </w:rPr>
        <w:t xml:space="preserve">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w:t>
      </w:r>
      <w:r>
        <w:rPr>
          <w:rFonts w:hint="eastAsia" w:ascii="宋体" w:hAnsi="宋体" w:eastAsia="宋体" w:cs="宋体"/>
          <w:b w:val="0"/>
          <w:bCs/>
          <w:color w:val="000000"/>
          <w:sz w:val="24"/>
          <w:szCs w:val="24"/>
          <w:highlight w:val="none"/>
          <w:lang w:eastAsia="zh-CN"/>
        </w:rPr>
        <w:t xml:space="preserve">投标人</w:t>
      </w:r>
      <w:r>
        <w:rPr>
          <w:rFonts w:hint="eastAsia" w:ascii="宋体" w:hAnsi="宋体" w:eastAsia="宋体" w:cs="宋体"/>
          <w:b w:val="0"/>
          <w:bCs/>
          <w:color w:val="000000"/>
          <w:sz w:val="24"/>
          <w:szCs w:val="24"/>
          <w:highlight w:val="none"/>
        </w:rPr>
        <w:t xml:space="preserve">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进行澄清、说明或者补正的，评委会将通过“苏采云”系统向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hint="eastAsia" w:asciiTheme="minorEastAsia" w:hAnsiTheme="minorEastAsia" w:eastAsiaTheme="minorEastAsia"/>
          <w:sz w:val="24"/>
          <w:szCs w:val="24"/>
          <w:lang w:val="en-US" w:eastAsia="zh-CN"/>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rPr>
          <w:rFonts w:hint="eastAsia" w:asciiTheme="minorEastAsia" w:hAnsiTheme="minorEastAsia"/>
          <w:sz w:val="24"/>
          <w:szCs w:val="24"/>
          <w:lang w:val="en-US" w:eastAsia="zh-CN"/>
        </w:rPr>
        <w:t xml:space="preserve">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的身份共同参与政府采购活动的，联合体成员中任何一方存在不良信用记录的，视同联合体存在不良信用记录。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b/>
          <w:bCs/>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w:t>
      </w:r>
      <w:r>
        <w:rPr>
          <w:rFonts w:hint="eastAsia" w:ascii="宋体" w:hAnsi="宋体" w:eastAsia="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w:t>
      </w:r>
      <w:r>
        <w:rPr>
          <w:rFonts w:hint="eastAsia" w:ascii="宋体" w:hAnsi="宋体" w:eastAsia="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w:t>
      </w:r>
      <w:r>
        <w:rPr>
          <w:rFonts w:hint="eastAsia" w:ascii="宋体" w:hAnsi="宋体" w:eastAsia="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w:t>
      </w:r>
      <w:r>
        <w:rPr>
          <w:rFonts w:hint="eastAsia" w:ascii="宋体" w:hAnsi="宋体" w:eastAsia="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w:t>
      </w:r>
      <w:r>
        <w:rPr>
          <w:rFonts w:hint="eastAsia" w:ascii="宋体" w:hAnsi="宋体" w:eastAsia="宋体" w:cs="宋体"/>
          <w:b w:val="0"/>
          <w:bCs/>
          <w:sz w:val="24"/>
          <w:szCs w:val="24"/>
          <w:highlight w:val="none"/>
          <w:lang w:eastAsia="zh-CN"/>
        </w:rPr>
        <w:t xml:space="preserve">投标人</w:t>
      </w:r>
      <w:r>
        <w:rPr>
          <w:rFonts w:hint="eastAsia" w:ascii="宋体" w:hAnsi="宋体" w:eastAsia="宋体" w:cs="宋体"/>
          <w:b w:val="0"/>
          <w:bCs/>
          <w:sz w:val="24"/>
          <w:szCs w:val="24"/>
          <w:highlight w:val="none"/>
        </w:rPr>
        <w:t xml:space="preserve">报价过低，有可能影响产品质量或者不能诚信履约的其他情形。</w:t>
      </w:r>
      <w:r/>
    </w:p>
    <w:p>
      <w:pPr>
        <w:ind w:firstLine="480"/>
        <w:jc w:val="both"/>
        <w:pageBreakBefore w:val="0"/>
        <w:spacing w:line="50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关于推动解决政府采购异常低价问题的通知</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财库〔2026〕2号</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中规定：采购人可以结合具体项目实际情况，提高上述第1项至第3项中启动异常低价投标（响应）审查的数值标准，但是最高不得超过65%。相关法律法规对投标人报价有规定的，从其规定。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的合理时间一般不少于30分钟，具体时间由评审委员会确定。其中，属于（一）中第3项情形，</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或者对招标文件作实质响应的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或者在评标期间对招标文件做出实质响应的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不足三家情况的，按照政府采购相关规定执行。</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对政府采购活动事项有疑问的，可以提出询问，采购人或者交易中心应当在3个工作日内对投标人依法提出的询问作出答复，但答复的内容不得涉及商业秘密。</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提出的询问超出采购人对交易中心委托授权范围的，交易中心应当告知</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应当是参与所质疑项目采购活动的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应当在法定质疑期内一次性提出针对同一采购程序环节的质疑，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如在法定期限内对同一采购程序环节提出多次质疑的，采购人、交易中心将只对</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为自然人的，应当由本人签字；</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插入CA证书登陆“苏采云”系统后选择具体项目，点击“我要参与”并签章提交《投标</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确认函》，提交《投标</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确认函》日期视同为依法获取采购文件日期。</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须打印、保留《投标</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确认函》，质疑时《投标</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确认函》与质疑函一并提交；未依照采购公告要求提交《投标</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确认函》的</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，视为未参与该项政府采购活动，不具备对该政府采购项目提出质疑的法定权利，但因</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资格条件或获取采购文件时间设定不符合有关法律法规规定等原因使</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进一步补充必要的证明材料的，质疑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应在法定的时间内提供，质疑答复时间相应顺延。质疑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或在采购活动中自身权益未受到损害的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99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w:t>
      </w:r>
      <w:r>
        <w:rPr>
          <w:rFonts w:hint="eastAsia" w:asciiTheme="minorEastAsia" w:hAnsiTheme="minorEastAsia"/>
          <w:sz w:val="24"/>
          <w:szCs w:val="24"/>
          <w:lang w:eastAsia="zh-CN"/>
        </w:rPr>
        <w:t xml:space="preserve">投标人</w:t>
      </w:r>
      <w:r>
        <w:rPr>
          <w:rFonts w:hint="eastAsia" w:asciiTheme="minorEastAsia" w:hAnsiTheme="minorEastAsia"/>
          <w:sz w:val="24"/>
          <w:szCs w:val="24"/>
        </w:rPr>
        <w:t xml:space="preserve">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sz w:val="24"/>
          <w:szCs w:val="24"/>
        </w:rPr>
        <w:t xml:space="preserve">40.1 本项目执行《绿色数据中心政府采购需</w:t>
      </w:r>
      <w:r>
        <w:rPr>
          <w:rFonts w:hint="eastAsia" w:asciiTheme="minorEastAsia" w:hAnsiTheme="minorEastAsia"/>
          <w:sz w:val="24"/>
          <w:szCs w:val="24"/>
        </w:rPr>
        <w:t xml:space="preserve">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Theme="minorEastAsia" w:hAnsiTheme="minorEastAsia"/>
          <w:sz w:val="24"/>
          <w:szCs w:val="24"/>
          <w:lang w:eastAsia="zh-CN"/>
        </w:rPr>
        <w:t xml:space="preserve">。</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lang w:val="en-US" w:eastAsia="zh-CN" w:bidi="ar-SA"/>
        </w:rPr>
        <w:t xml:space="preserve">41、</w:t>
      </w: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hint="eastAsia" w:asciiTheme="minorEastAsia" w:hAnsiTheme="minorEastAsia"/>
          <w:sz w:val="24"/>
          <w:szCs w:val="24"/>
        </w:rPr>
      </w:pPr>
      <w:r>
        <w:rPr>
          <w:rFonts w:hint="eastAsia" w:ascii="宋体" w:hAnsi="宋体" w:eastAsia="宋体" w:cs="宋体"/>
          <w:b w:val="0"/>
          <w:bCs/>
          <w:sz w:val="24"/>
          <w:szCs w:val="24"/>
          <w:highlight w:val="none"/>
          <w:lang w:val="en-US" w:eastAsia="zh-CN"/>
        </w:rPr>
        <w:t xml:space="preserve">41.6政府采购中的本国产品标准及其他未尽事宜详见《国务院办公厅关于在政府采购中实施本国产品标准及相关政策的通知》（国办发〔2025〕34号）。</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r>
      <w:r/>
    </w:p>
    <w:p>
      <w:pPr>
        <w:jc w:val="left"/>
        <w:widowControl/>
        <w:rPr>
          <w:sz w:val="24"/>
          <w:szCs w:val="24"/>
        </w:rPr>
      </w:pPr>
      <w:r>
        <w:rPr>
          <w:sz w:val="24"/>
          <w:szCs w:val="24"/>
        </w:rPr>
        <w:br w:type="page" w:clear="all"/>
      </w:r>
      <w:r/>
    </w:p>
    <w:p>
      <w:pPr>
        <w:pStyle w:val="995"/>
        <w:jc w:val="center"/>
        <w:spacing w:line="360" w:lineRule="auto"/>
        <w:rPr>
          <w:rFonts w:ascii="黑体" w:hAnsi="黑体" w:eastAsia="黑体"/>
          <w:b w:val="0"/>
        </w:rPr>
      </w:pPr>
      <w:r/>
      <w:bookmarkStart w:id="5" w:name="_Toc9562"/>
      <w:r>
        <w:rPr>
          <w:rFonts w:hint="eastAsia" w:ascii="黑体" w:hAnsi="黑体" w:eastAsia="黑体"/>
          <w:b w:val="0"/>
        </w:rPr>
        <w:t xml:space="preserve">第三章  合同文本</w:t>
      </w:r>
      <w:bookmarkEnd w:id="5"/>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w:t>
      </w:r>
      <w:r>
        <w:rPr>
          <w:rFonts w:hint="eastAsia"/>
          <w:sz w:val="24"/>
          <w:szCs w:val="24"/>
          <w:lang w:eastAsia="zh-CN"/>
        </w:rPr>
        <w:t xml:space="preserve">投标人</w:t>
      </w:r>
      <w:r>
        <w:rPr>
          <w:rFonts w:hint="eastAsia"/>
          <w:sz w:val="24"/>
          <w:szCs w:val="24"/>
        </w:rPr>
        <w:t xml:space="preserve">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（1）</w:t>
      </w:r>
      <w:r>
        <w:rPr>
          <w:rFonts w:hint="eastAsia"/>
          <w:sz w:val="24"/>
          <w:szCs w:val="24"/>
          <w:highlight w:val="none"/>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995"/>
        <w:jc w:val="center"/>
        <w:spacing w:line="360" w:lineRule="auto"/>
        <w:rPr>
          <w:rFonts w:ascii="黑体" w:hAnsi="黑体" w:eastAsia="黑体"/>
          <w:b w:val="0"/>
        </w:rPr>
      </w:pPr>
      <w:r/>
      <w:bookmarkStart w:id="8" w:name="_Toc11437"/>
      <w:r>
        <w:rPr>
          <w:rFonts w:hint="eastAsia" w:ascii="黑体" w:hAnsi="黑体" w:eastAsia="黑体"/>
          <w:b w:val="0"/>
        </w:rPr>
        <w:t xml:space="preserve">第四章  采购需求</w:t>
      </w:r>
      <w:bookmarkEnd w:id="8"/>
      <w:r/>
      <w:r/>
    </w:p>
    <w:p>
      <w:pPr>
        <w:ind w:firstLine="482"/>
        <w:jc w:val="left"/>
        <w:spacing w:line="500" w:lineRule="exact"/>
        <w:rPr>
          <w:rFonts w:hint="eastAsia"/>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w:t>
      </w:r>
      <w:r>
        <w:rPr>
          <w:rFonts w:hint="eastAsia" w:ascii="宋体" w:hAnsi="宋体"/>
          <w:b/>
          <w:color w:val="000000" w:themeColor="text1"/>
          <w:sz w:val="24"/>
          <w:highlight w:val="none"/>
          <w:u w:val="single"/>
          <w:lang w:val="en-US" w:eastAsia="zh-CN"/>
          <w14:textFill>
            <w14:solidFill>
              <w14:schemeClr w14:val="tx1"/>
            </w14:solidFill>
          </w14:textFill>
        </w:rPr>
        <w:t xml:space="preserve">软件和信息技术服务业</w:t>
      </w:r>
      <w:r>
        <w:rPr>
          <w:rFonts w:hint="eastAsia"/>
          <w:b/>
          <w:sz w:val="24"/>
          <w:szCs w:val="24"/>
          <w:u w:val="single"/>
        </w:rPr>
        <w:t xml:space="preserve"> </w:t>
      </w:r>
      <w:r>
        <w:rPr>
          <w:rFonts w:hint="eastAsia"/>
          <w:b/>
          <w:sz w:val="24"/>
          <w:szCs w:val="24"/>
        </w:rPr>
        <w:t xml:space="preserve">。</w:t>
      </w:r>
      <w:r/>
    </w:p>
    <w:p>
      <w:pPr>
        <w:ind w:firstLine="480"/>
        <w:spacing w:line="500" w:lineRule="exact"/>
        <w:rPr>
          <w:rFonts w:ascii="宋体" w:hAnsi="宋体"/>
          <w:b/>
          <w:sz w:val="24"/>
          <w:szCs w:val="24"/>
        </w:rPr>
      </w:pPr>
      <w:r>
        <w:rPr>
          <w:rFonts w:hint="eastAsia" w:ascii="宋体" w:hAnsi="宋体"/>
          <w:b/>
          <w:sz w:val="24"/>
          <w:szCs w:val="24"/>
        </w:rPr>
        <w:t xml:space="preserve">依据《关于印发中小企业划型标准规定的通知》（工信部联企业〔2011〕300号）行业划型标准如下：</w:t>
      </w:r>
      <w:r/>
    </w:p>
    <w:p>
      <w:pPr>
        <w:ind w:firstLine="480"/>
        <w:spacing w:line="500" w:lineRule="exact"/>
        <w:rPr>
          <w:rFonts w:ascii="宋体" w:hAnsi="宋体"/>
          <w:b/>
          <w:bCs/>
          <w:sz w:val="24"/>
          <w:szCs w:val="24"/>
        </w:rPr>
      </w:pPr>
      <w:r>
        <w:rPr>
          <w:rFonts w:hint="eastAsia" w:ascii="宋体" w:hAnsi="宋体"/>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rFonts w:hint="eastAsia"/>
          <w:b/>
          <w:sz w:val="24"/>
          <w:szCs w:val="24"/>
        </w:rPr>
      </w:pPr>
      <w:r>
        <w:rPr>
          <w:rFonts w:hint="eastAsia"/>
          <w:b/>
          <w:sz w:val="24"/>
          <w:szCs w:val="24"/>
        </w:rPr>
      </w:r>
      <w:r/>
    </w:p>
    <w:p>
      <w:pPr>
        <w:pStyle w:val="996"/>
      </w:pPr>
      <w:r>
        <w:rPr>
          <w:rFonts w:hint="eastAsia"/>
        </w:rPr>
        <w:t xml:space="preserve">一、项目需求</w:t>
      </w:r>
      <w:r/>
    </w:p>
    <w:p>
      <w:pPr>
        <w:ind w:firstLine="480"/>
        <w:jc w:val="left"/>
        <w:spacing w:line="500" w:lineRule="exact"/>
        <w:rPr>
          <w:rFonts w:hint="eastAsia"/>
          <w:sz w:val="24"/>
          <w:szCs w:val="24"/>
        </w:rPr>
      </w:pPr>
      <w:r>
        <w:rPr>
          <w:rFonts w:hint="eastAsia"/>
          <w:sz w:val="24"/>
          <w:szCs w:val="24"/>
        </w:rPr>
        <w:t xml:space="preserve">当前，人工智能、大数据、云计算等核心技术在医疗健康领域的应用日趋成熟，已广泛渗透到临床诊疗、病房管理、患者服务、医院运营、健康康养等多个场景，成为公立医院高质量发展的核心驱动力。国内主流三甲医院、区域医疗中心已普遍落地AI辅助诊断、智能质控、智慧服务、智能运营等数字化应用，通过技术赋能实现医疗流程优化、资源精准调度、服务提质增效、管理降本增效。</w:t>
      </w:r>
      <w:r/>
    </w:p>
    <w:p>
      <w:pPr>
        <w:ind w:firstLine="480"/>
        <w:jc w:val="left"/>
        <w:spacing w:line="500" w:lineRule="exact"/>
        <w:rPr>
          <w:rFonts w:hint="eastAsia"/>
          <w:sz w:val="24"/>
          <w:szCs w:val="24"/>
        </w:rPr>
      </w:pPr>
      <w:r>
        <w:rPr>
          <w:rFonts w:hint="eastAsia"/>
          <w:sz w:val="24"/>
          <w:szCs w:val="24"/>
        </w:rPr>
        <w:t xml:space="preserve">为紧跟行业发展趋势，充分发挥国家区域医疗中心的示范引领作用，凸显中医药智能化特色优势，江苏省中医院连云港医院亟需依托AI核心技术，搭建全覆盖、一体化、可拓展的多场景智慧医院平台。通过打造AI+中医诊疗、AI+智慧病房、AI+康养服务核心场景，全面打通医疗服务全流程智能链路，推动中医药诊疗标准化、医疗服务智能化、医院运营精细化、康养服务普惠化，助力医院建成现代化、智慧化、特色化的省级区域中医药医疗高地，赋能区域医疗卫生事业高质量发展。</w:t>
      </w:r>
      <w:r/>
    </w:p>
    <w:p>
      <w:pPr>
        <w:pStyle w:val="996"/>
        <w:rPr>
          <w:rFonts w:hint="eastAsia"/>
        </w:rPr>
      </w:pPr>
      <w:r>
        <w:rPr>
          <w:rFonts w:hint="eastAsia"/>
        </w:rPr>
        <w:t xml:space="preserve">二、采购清单</w:t>
      </w:r>
      <w:r/>
    </w:p>
    <w:tbl>
      <w:tblPr>
        <w:tblStyle w:val="1010"/>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54"/>
        <w:gridCol w:w="4725"/>
      </w:tblGrid>
      <w:tr>
        <w:trPr/>
        <w:tc>
          <w:tcPr>
            <w:tcW w:w="3554" w:type="dxa"/>
            <w:textDirection w:val="lrTb"/>
            <w:noWrap w:val="false"/>
          </w:tcPr>
          <w:p>
            <w:pPr>
              <w:jc w:val="center"/>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系统</w:t>
            </w:r>
            <w:r/>
          </w:p>
        </w:tc>
        <w:tc>
          <w:tcPr>
            <w:tcW w:w="4725" w:type="dxa"/>
            <w:textDirection w:val="lrTb"/>
            <w:noWrap w:val="false"/>
          </w:tcPr>
          <w:p>
            <w:pPr>
              <w:jc w:val="center"/>
              <w:spacing w:line="360" w:lineRule="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子模块</w:t>
            </w:r>
            <w:r/>
          </w:p>
        </w:tc>
      </w:tr>
      <w:tr>
        <w:trPr/>
        <w:tc>
          <w:tcPr>
            <w:tcW w:w="3554" w:type="dxa"/>
            <w:vMerge w:val="restart"/>
            <w:textDirection w:val="lrTb"/>
            <w:noWrap w:val="false"/>
          </w:tcPr>
          <w:p>
            <w:pPr>
              <w:jc w:val="cente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cente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center"/>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“人工智能+”中医应用</w:t>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大模型及数据智能支撑底座</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患者智慧管理</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智能预问诊</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智能病历质控</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患者智慧管理病历生成智能体（门诊+住院）</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智能数据助手</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中医经络检测仪</w:t>
            </w:r>
            <w:r/>
          </w:p>
        </w:tc>
      </w:tr>
      <w:tr>
        <w:trPr>
          <w:trHeight w:val="90"/>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中医人工智能健康状态辨识系统改造</w:t>
            </w:r>
            <w:r/>
          </w:p>
        </w:tc>
      </w:tr>
      <w:tr>
        <w:trPr/>
        <w:tc>
          <w:tcPr>
            <w:tcW w:w="3554" w:type="dxa"/>
            <w:vMerge w:val="restart"/>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“人工智能+”康养服务智慧病房</w:t>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物联网基础设施平台</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智能输液系统</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患者防走失系统</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strike w:val="0"/>
                <w:color w:val="000000" w:themeColor="text1"/>
                <w:sz w:val="24"/>
                <w:szCs w:val="24"/>
                <w:highlight w:val="none"/>
                <w14:textFill>
                  <w14:solidFill>
                    <w14:schemeClr w14:val="tx1"/>
                  </w14:solidFill>
                </w14:textFill>
              </w:rPr>
              <w:t xml:space="preserve">夜间监护系统</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strike w:val="0"/>
                <w:color w:val="000000" w:themeColor="text1"/>
                <w:sz w:val="24"/>
                <w:szCs w:val="24"/>
                <w:highlight w:val="none"/>
                <w14:textFill>
                  <w14:solidFill>
                    <w14:schemeClr w14:val="tx1"/>
                  </w14:solidFill>
                </w14:textFill>
              </w:rPr>
              <w:t xml:space="preserve">无感跌倒检测系统</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医护患对讲</w:t>
            </w:r>
            <w:r/>
          </w:p>
        </w:tc>
      </w:tr>
      <w:tr>
        <w:trPr/>
        <w:tc>
          <w:tcPr>
            <w:tcW w:w="3554" w:type="dxa"/>
            <w:vMerge w:val="restart"/>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“人工智能+”康养服务</w:t>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AI自动分析鱼骨图</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AI护理人力资源配置</w:t>
            </w:r>
            <w:r/>
          </w:p>
        </w:tc>
      </w:tr>
      <w:tr>
        <w:trPr/>
        <w:tc>
          <w:tcPr>
            <w:tcW w:w="3554" w:type="dxa"/>
            <w:vMerge w:val="continue"/>
            <w:textDirection w:val="lrTb"/>
            <w:noWrap w:val="false"/>
          </w:tcPr>
          <w:p>
            <w:pPr>
              <w:jc w:val="left"/>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tc>
        <w:tc>
          <w:tcPr>
            <w:tcW w:w="4725" w:type="dxa"/>
            <w:textDirection w:val="lrTb"/>
            <w:noWrap w:val="false"/>
          </w:tcPr>
          <w:p>
            <w:pPr>
              <w:jc w:val="lef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AI自动生成质控报告</w:t>
            </w:r>
            <w:r/>
          </w:p>
        </w:tc>
      </w:tr>
    </w:tbl>
    <w:p>
      <w:pPr>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left"/>
        <w:rPr>
          <w:rFonts w:hint="default" w:eastAsiaTheme="minor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其中的货物清单如下：</w:t>
      </w:r>
      <w:r/>
    </w:p>
    <w:tbl>
      <w:tblPr>
        <w:tblStyle w:val="999"/>
        <w:tblW w:w="4852" w:type="pct"/>
        <w:jc w:val="center"/>
        <w:tblLayout w:type="fixed"/>
        <w:tblCellMar>
          <w:left w:w="108" w:type="dxa"/>
          <w:top w:w="0" w:type="dxa"/>
          <w:right w:w="108" w:type="dxa"/>
          <w:bottom w:w="0" w:type="dxa"/>
        </w:tblCellMar>
        <w:tblLook w:val="04A0" w:firstRow="1" w:lastRow="0" w:firstColumn="1" w:lastColumn="0" w:noHBand="0" w:noVBand="1"/>
      </w:tblPr>
      <w:tblGrid>
        <w:gridCol w:w="789"/>
        <w:gridCol w:w="3446"/>
        <w:gridCol w:w="1305"/>
        <w:gridCol w:w="1290"/>
        <w:gridCol w:w="1441"/>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全频数通边缘微站</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全频数通单元2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全频数通单元3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全频数通单元4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全频数通单元5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全频数通单元6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无线网络接入控制器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全频融合数通基站</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1/2阻燃馈线</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射频连接器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输液监控仪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智能手环</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USB充电器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智能定位手环</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手持PDA设备</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体征雷达</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跌倒检测雷达</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护士站呼叫管理主机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值班分机</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病房床头屏</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病房门口屏</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液晶双面走廊屏</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卫生间防水报警按钮</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446" w:type="dxa"/>
            <w:vAlign w:val="center"/>
            <w:textDirection w:val="lrTb"/>
            <w:noWrap w:val="false"/>
          </w:tcPr>
          <w:p>
            <w:pPr>
              <w:jc w:val="center"/>
              <w:keepLines w:val="0"/>
              <w:keepNext w:val="0"/>
              <w:widowControl/>
              <w:rPr>
                <w:rFonts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中医经络检测仪</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cs="宋体" w:asciiTheme="minorEastAsia" w:hAnsiTheme="minorEastAsia"/>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r>
            <w:r/>
          </w:p>
        </w:tc>
      </w:tr>
    </w:tbl>
    <w:p>
      <w:pPr>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996"/>
        <w:rPr>
          <w:rFonts w:hint="eastAsia"/>
        </w:rPr>
      </w:pPr>
      <w:r>
        <w:rPr>
          <w:rFonts w:hint="eastAsia"/>
        </w:rPr>
        <w:t xml:space="preserve">三、产品参数</w:t>
      </w:r>
      <w:r/>
    </w:p>
    <w:p>
      <w:pPr>
        <w:pStyle w:val="997"/>
        <w:rPr>
          <w:rFonts w:hint="eastAsia"/>
          <w:sz w:val="28"/>
          <w:szCs w:val="28"/>
        </w:rPr>
      </w:pPr>
      <w:r>
        <w:rPr>
          <w:rFonts w:hint="eastAsia"/>
          <w:sz w:val="28"/>
          <w:szCs w:val="28"/>
        </w:rPr>
        <w:t xml:space="preserve">3.1“人工智能+”中医应用</w:t>
      </w:r>
      <w:r/>
    </w:p>
    <w:tbl>
      <w:tblPr>
        <w:tblStyle w:val="999"/>
        <w:tblW w:w="8267" w:type="dxa"/>
        <w:tblInd w:w="1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3"/>
        <w:gridCol w:w="640"/>
        <w:gridCol w:w="943"/>
        <w:gridCol w:w="6121"/>
      </w:tblGrid>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功能大项</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系统功能介绍</w:t>
            </w:r>
            <w:r/>
          </w:p>
        </w:tc>
      </w:tr>
      <w:tr>
        <w:trPr>
          <w:trHeight w:val="227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大模型及数据治理支撑底座</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核心AI引擎能力</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系统须采用分层协同架构，由大模型与规则引擎分工协作：大模型负责中医四诊语义与病案文本的理解，规则引擎负责辨证与质控的判定。</w:t>
            </w:r>
            <w:r/>
          </w:p>
          <w:p>
            <w:pPr>
              <w:numPr>
                <w:ilvl w:val="0"/>
                <w:numId w:val="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应具备诊疗数据结构化能力，能对中医证候、病名、治法、方药等医学实体进行标准化归一，并通过可视化规则完成辨证判定。整个辨证与判定过程应做到全程可见、可追溯，确保结论客观、准确、可靠；AI驱动的统一数据治理框架作为平台总入口，自动识别、解析中医院多源异构数据（HIS/LIS/PACS/EMR/中医电子病历/中药煎药系统/治未病随访等多种源系统类型）。</w:t>
            </w:r>
            <w:r/>
          </w:p>
          <w:p>
            <w:pPr>
              <w:numPr>
                <w:ilvl w:val="0"/>
                <w:numId w:val="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实时采集与定时批量采集双模式，采集方式覆盖WebService、数据库视图（Oracle/MySQL/达梦/人大金仓等国产数据库）、消息队列推送、文档接口等多种标准对接方式，数据传输采用HTTPS加密，中医诊疗数据治理周期显著缩短；深度集成中医医学专用大模型基座，提供大模型NER（含中医证候、病名、中药饮片、中成药、腧穴等命名实体识别）、关系抽取、摘要生成等基础AI能力。</w:t>
            </w:r>
            <w:r/>
          </w:p>
          <w:p>
            <w:pPr>
              <w:numPr>
                <w:ilvl w:val="0"/>
                <w:numId w:val="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置中医专用Prompt工程模板与领域微调能力，字段抽取准确率较高，作为上层各类中医业务结构化的统一AI底座，所有结构化业务共享同一中医AI能力底座，避免重复建设；针对患者上传的检验报告、检查报告、中医处方（含饮片方、膏方）等图像/扫描文档的高精度OCR文字识别能力。OCR识别准确率高，支持PDF、JPG、PNG等多种常见格式，识别结果可直接作为后续中医大模型抽取与清洗的输入源，打通院内外、跨中医专科、跨病种的数据壁垒，实现院外报告分钟级数字化入库；</w:t>
            </w:r>
            <w:r/>
          </w:p>
          <w:p>
            <w:pPr>
              <w:numPr>
                <w:ilvl w:val="0"/>
                <w:numId w:val="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可视化界面的清洗规则配置引擎，支持配置清洗规则（字段映射/格式校验/枚举转换/异常拦截）、清洗策略（保留原值/丢弃/默认值/人工审核）多类清洗策略，以及规则优先级与执行顺序编排。规则支持热加载即时生效、版本管理可回溯，无需代码开发，中医业务人员可自助配置，新场景接入周期大幅缩短；</w:t>
            </w:r>
            <w:r/>
          </w:p>
          <w:p>
            <w:pPr>
              <w:numPr>
                <w:ilvl w:val="0"/>
                <w:numId w:val="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视化确定性规则推理引擎，支持将所有中医辨证质量判定与数据校验拆解为可视化逻辑节点图。支持精准数据锚定（通过条件框节点定位任意细颗粒度的校验对象）、多维逻辑推演（TAG标签核验、PV限制区分当次就诊与既往史、时间变量赋值与比对运算）、确定性判决输出（同步下发标准化提示语与修改建议），整个推理与规则编排过程由中医业务团队可见、可维护；</w:t>
            </w:r>
            <w:r/>
          </w:p>
          <w:p>
            <w:pPr>
              <w:numPr>
                <w:ilvl w:val="0"/>
                <w:numId w:val="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托专项训练的中医医学大模型，对中医住院病历、影像报告、病理报告等非结构化文本进行精准拆解，将文本全量提取为标准化结构化字段。无论是主诉现病史（含望闻问切四诊信息）还是影像所见的细枝末节，均须被全量提取，尽量不遗漏任何潜在的辨证与质控要素；数据映射层须由中医医学大模型驱动，结合中医本体知识图谱（含证候、病名、治法、方药、腧穴等），实现底层原子变量到标准中医医学概念的动态翻译。</w:t>
            </w:r>
            <w:r/>
          </w:p>
          <w:p>
            <w:pPr>
              <w:numPr>
                <w:ilvl w:val="0"/>
                <w:numId w:val="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模型能根据当前中医业务上下文自动选择映射路径，使系统具备跨中医专科场景泛化能力，同一底层事实可在不同辨证场景中映射为不同的中医医学语义。</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智能运维能力</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具备自动化智能对账能力，区别于普通对账工具：能自动按日/月/年维度对比中医诊疗原始数据与基座数据一致性，智能识别差异类型（缺失/错配/延迟），自主进行根因诊断（源端故障/同步链路异常/清洗失败），并自动生成修复建议或触发自动重试。</w:t>
            </w:r>
            <w:r/>
          </w:p>
          <w:p>
            <w:pPr>
              <w:numPr>
                <w:ilvl w:val="0"/>
                <w:numId w:val="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备表级、字段级多层粒度自动校验决策能力，差异率可精确统计，异常自动告警，替代人工逐表核对与根因排查，实现对账与排障端到端自动化；自动化作业自治调度能力，区别于普通监控工具：具备任务依赖感知、失败智能诊断、自动重试（多次）与降级决策能力。</w:t>
            </w:r>
            <w:r/>
          </w:p>
          <w:p>
            <w:pPr>
              <w:numPr>
                <w:ilvl w:val="0"/>
                <w:numId w:val="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引擎须能自主判断作业优先级、自动分配资源、动态调整并发度，实时追踪源表到目标表的全链路同步状态。</w:t>
            </w:r>
            <w:r/>
          </w:p>
          <w:p>
            <w:pPr>
              <w:numPr>
                <w:ilvl w:val="0"/>
                <w:numId w:val="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入库成功率高，治理系统具备充足的并发处理能力，故障分钟级自愈，运维低人工干预；自动化算法编排能力，支持多种中医AI算法的智能链式编排（串行/并行），能根据上下文动态选择算法路径、自动监控算法执行状态与GPU资源消耗，异常时自主决策降级或重试方案。</w:t>
            </w:r>
            <w:r/>
          </w:p>
          <w:p>
            <w:pPr>
              <w:numPr>
                <w:ilvl w:val="0"/>
                <w:numId w:val="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全链路调用追踪能力，中医算法集成复杂度大幅降低，资源利用率显著提升；ETL作业监控的可视化管理界面，对接智能作业调度引擎能力，展示作业总数、今日完成任务、昨日成功率、累计同步量等多个核心指标卡片。</w:t>
            </w:r>
            <w:r/>
          </w:p>
          <w:p>
            <w:pPr>
              <w:numPr>
                <w:ilvl w:val="0"/>
                <w:numId w:val="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支持三维度过滤展示、任务明细下钻、数据源关系表查看，大数据量下采用虚拟滚动加载保障中医业务人员流畅浏览；数</w:t>
            </w:r>
            <w:r>
              <w:rPr>
                <w:rFonts w:hint="eastAsia" w:ascii="宋体" w:hAnsi="宋体" w:eastAsia="宋体" w:cs="宋体"/>
                <w:i w:val="0"/>
                <w:iCs w:val="0"/>
                <w:color w:val="000000"/>
                <w:sz w:val="20"/>
                <w:szCs w:val="20"/>
                <w:u w:val="none"/>
                <w:lang w:val="en-US" w:eastAsia="zh-CN" w:bidi="ar"/>
              </w:rPr>
              <w:t xml:space="preserve">据对账的可视化展示界面，对接智能对账引擎能力，支持日/月/年维度筛选，展示总表数、原始/基座数据总量、差值、差异率。异常数据以红色标记突出展示，支持详情下钻，中医业务人员可直接查看与下载审计报表；算法调用的可视化管理界面，对接算法编排引擎能力，提供算法调用看板（调用次数/成功率可视化）、算法调用日志（明细查询追踪）、GPU监控（资源占用展示）三大功能模块，实现中医AI算法全链路调用状态追踪；各引擎须具备失败自动重试能力（多次），重试仍失败时自主执行降级决策（如切换备用算法路径、降低并发度、跳过非关键任务）。</w:t>
            </w:r>
            <w:r/>
          </w:p>
          <w:p>
            <w:pPr>
              <w:numPr>
                <w:ilvl w:val="0"/>
                <w:numId w:val="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重试与降级决策均须记录日志，支持事后审计与策略优化；所有引擎的运行状态实时监控能力，展示各引擎当前状态（运行中/空闲/异常）、最近执行时间、累计执行次数、成功率等指标。异常状态自动告警，支持各引擎的自动化启停控制与参数调整。</w:t>
            </w:r>
            <w:r/>
          </w:p>
        </w:tc>
      </w:tr>
      <w:tr>
        <w:trPr>
          <w:trHeight w:val="755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全域数据结构化治理能力</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覆盖检验、检查、病理、诊断（含中医病名/证候诊断）、用药（含中药饮片/中成药/煎药）、手术、住院病历（含中医住院病历）、门急诊（含中医门诊）、基因表型多个临床数据域的逐字段深度结构化能力，实现全量覆盖与字段级拆解，而非抽样式或摘要式处理。每一数据域由专项训练的中医医学大模型驱动，数据被拆解为标准化结构化字段体系；</w:t>
            </w:r>
            <w:r/>
          </w:p>
          <w:p>
            <w:pPr>
              <w:numPr>
                <w:ilvl w:val="0"/>
                <w:numId w:val="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全院检验报告进行深度结构化处理，建立涵盖检验项目、标本、结果与单位的标准化字段模型。每条记录关联原始/标准检验项目名称、标准标本、标准化结果值、标准单位、参考值范围、异常标识（H/L/N）、报告时间等完整字段。底层存储采用高性能检索引擎，实现大规模数据快速查询，兼容LOINC国际检验编码，提供多维筛选与导出，支撑中医辨证施治的客观化依据采集；</w:t>
            </w:r>
            <w:r/>
          </w:p>
          <w:p>
            <w:pPr>
              <w:numPr>
                <w:ilvl w:val="0"/>
                <w:numId w:val="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X线、超声、CT、磁共振、内窥镜、电生理、核医学等多类影像检查报告进行深度结构化处理，形成涵盖部位、所见描述、指标数值及单位的字段体系。提供分层递进式数据展示，支持基于结构化字段的精准检索及异步大数据量导出（大批量），导出进度实时追踪，为中医辨病与辨证提供影像学依据；针对病理报告等非结构化病案文本，运用大模型信息抽取技术自动抽取病理类型、肿瘤分期、免疫组化结果、基因检测结果等关键字段，构建标准化病理实体模型。支持全面结构化检索，为中医院肿瘤专病库建设、中西医结合诊疗与精准医学提供核心数据底座；</w:t>
            </w:r>
            <w:r/>
          </w:p>
          <w:p>
            <w:pPr>
              <w:numPr>
                <w:ilvl w:val="0"/>
                <w:numId w:val="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住院文书进行智能分类与字段抽取，自动判别多类住院文书类型（含入院记录、首次病程、日常病程、查房记录、抢救记录、转科记录、出院记录、死亡记录，以及中医住院病历特有的四诊信息、辨证论治记录等）。</w:t>
            </w:r>
            <w:r/>
          </w:p>
          <w:p>
            <w:pPr>
              <w:numPr>
                <w:ilvl w:val="0"/>
                <w:numId w:val="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提供4层递进式查询，支持病</w:t>
            </w:r>
            <w:r>
              <w:rPr>
                <w:rFonts w:hint="eastAsia" w:ascii="宋体" w:hAnsi="宋体" w:eastAsia="宋体" w:cs="宋体"/>
                <w:i w:val="0"/>
                <w:iCs w:val="0"/>
                <w:color w:val="000000"/>
                <w:sz w:val="20"/>
                <w:szCs w:val="20"/>
                <w:u w:val="none"/>
                <w:lang w:val="en-US" w:eastAsia="zh-CN" w:bidi="ar"/>
              </w:rPr>
              <w:t xml:space="preserve">程时间轴重建，中医病案管理与质控效率显著提升；手术名称按部位+方式+入路+置入物四要素进行标准化拆解与标注，支持已实施手术与拟施手术双类型结构化处理。关联术前诊断（含中医诊断）、术后诊断、麻醉方式、手术医师、助手等完整信息，支持手术分级标注，支撑中医院围术期管理、术式分析与外科科研；诊断名称自动映射至ICD-10/ICD-11国际标准编码，对诊断科室进行标准学科标注，区分主要/次要/入院/出院诊断等多种类型。建立诊断（含中医病名诊断）与患者、就诊场景的完整关联，支持诊断序号追踪，为DRG/DIP医保支付改革</w:t>
            </w:r>
            <w:r>
              <w:rPr>
                <w:rFonts w:hint="eastAsia" w:ascii="宋体" w:hAnsi="宋体" w:eastAsia="宋体" w:cs="宋体"/>
                <w:i w:val="0"/>
                <w:iCs w:val="0"/>
                <w:color w:val="000000"/>
                <w:sz w:val="20"/>
                <w:szCs w:val="20"/>
                <w:u w:val="none"/>
                <w:lang w:val="en-US" w:eastAsia="zh-CN" w:bidi="ar"/>
              </w:rPr>
              <w:t xml:space="preserve">、中医优势病种质控统计提供核心基础；药品名称按通用名对齐并整合ATC药物分类标准化体系，同时支持中药饮片、中成药的专项分类与标准化处理。覆盖处方与非处方医嘱（长期/短期）、药品编码、剂型、规格、单次用量、频次、给药方式、用药时间范围、煎煮方法（针对中药饮片）等完整字段，实现用药时间轴追踪，支撑合理用药分析、中药不良反应监测与药品成本管控；基因表型数据按HPO国际本体标准编码映射，覆盖HPO编码、名称、报告人与患者关系（先证者/本人/受检者）追踪。提供HPO汇总统计与详情列表多条件筛选，支撑中医院罕见病诊疗、</w:t>
            </w:r>
            <w:r>
              <w:rPr>
                <w:rFonts w:hint="eastAsia" w:ascii="宋体" w:hAnsi="宋体" w:eastAsia="宋体" w:cs="宋体"/>
                <w:i w:val="0"/>
                <w:iCs w:val="0"/>
                <w:color w:val="000000"/>
                <w:sz w:val="20"/>
                <w:szCs w:val="20"/>
                <w:u w:val="none"/>
                <w:lang w:val="en-US" w:eastAsia="zh-CN" w:bidi="ar"/>
              </w:rPr>
              <w:t xml:space="preserve">中西医结合精准医学与临床研究；中医门诊与急诊病历进行智能结构化抽取，识别主诉、现病史、既往史、查体、初步诊断（含中医辨证）、处置等关键字段。关联挂号、科室、医生信息，构建门急诊就诊场景完整数据视图，弥补以往仅重视住院数据治理的不足，强化中医门诊诊疗数据的积累与复用；自动解析病历中的相对时间描述（如"4年前无明显诱因出现"等），精准推算并对齐至绝对日期时间轴，为时效性质控与病程逻辑核验提供精确可靠的时间锚点，支撑中医病程演变规律与证候传变分析；临床数据进行逐字段深度结构化处理，区别于传统摘要式或抽样式结构化。</w:t>
            </w:r>
            <w:r/>
          </w:p>
          <w:p>
            <w:pPr>
              <w:numPr>
                <w:ilvl w:val="0"/>
                <w:numId w:val="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每一份病历、报告中的关键细节字段完整提取，覆盖影像所见的细枝末节、检验的每一子项、病理的每一标记物、中医四诊信息的每一要素，确保下游中医AI应用获得完整无遗漏的数据输入；每条检验结果自动生成H/L/N三级异常标识，前端以箭头等视觉标记直观展示。异常判断逻辑支持按性别、年龄、人群差异化处理，支持院内自定义参考</w:t>
            </w:r>
            <w:r>
              <w:rPr>
                <w:rFonts w:hint="eastAsia" w:ascii="宋体" w:hAnsi="宋体" w:eastAsia="宋体" w:cs="宋体"/>
                <w:i w:val="0"/>
                <w:iCs w:val="0"/>
                <w:color w:val="000000"/>
                <w:sz w:val="20"/>
                <w:szCs w:val="20"/>
                <w:u w:val="none"/>
                <w:lang w:val="en-US" w:eastAsia="zh-CN" w:bidi="ar"/>
              </w:rPr>
              <w:t xml:space="preserve">值范围，辅助中医师快速识别患者异常状态，为辨证施治提供客观参考；检查报告结构化数据的异步大数据量导出，单次支持大批量记录。导出过程提供实时进度追踪，不影响系统正常使用，支持Excel等通用格式，满足中医院科研数据批量提取需求；基于住院病历文书的时间信息，自动重建患者完整病程时间轴，覆盖入院、各次病程、查房、手术、转科、出院等关键节点，支持按时间顺序浏览与跳转，为中医临床回顾、证候传变与病程演变分析及质控提供时序化视图；自动建立同一患者入院与出院记录的关联关系，支持入院诊断与出院诊断（含中医诊断）的对比分析。</w:t>
            </w:r>
            <w:r/>
          </w:p>
          <w:p>
            <w:pPr>
              <w:numPr>
                <w:ilvl w:val="0"/>
                <w:numId w:val="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w:t>
            </w:r>
            <w:r>
              <w:rPr>
                <w:rFonts w:hint="eastAsia" w:ascii="宋体" w:hAnsi="宋体" w:eastAsia="宋体" w:cs="宋体"/>
                <w:i w:val="0"/>
                <w:iCs w:val="0"/>
                <w:color w:val="000000"/>
                <w:sz w:val="20"/>
                <w:szCs w:val="20"/>
                <w:u w:val="none"/>
                <w:lang w:val="en-US" w:eastAsia="zh-CN" w:bidi="ar"/>
              </w:rPr>
              <w:t xml:space="preserve">关联覆盖同一次住院的所有文书，支持跨次住院病史串联，为中医病案质控与DRG分组提供完整数据支撑。</w:t>
            </w:r>
            <w:r>
              <w:rPr>
                <w:rFonts w:hint="eastAsia" w:ascii="宋体" w:hAnsi="宋体" w:eastAsia="宋体" w:cs="宋体"/>
                <w:b/>
                <w:bCs/>
                <w:i w:val="0"/>
                <w:iCs w:val="0"/>
                <w:color w:val="000000"/>
                <w:sz w:val="20"/>
                <w:szCs w:val="20"/>
                <w:u w:val="none"/>
                <w:lang w:val="en-US" w:eastAsia="zh-CN" w:bidi="ar"/>
              </w:rPr>
              <w:t xml:space="preserve">（投标人需提供满足技术要求的真实系统截图并加盖投标人公章）</w:t>
            </w:r>
            <w:r/>
          </w:p>
        </w:tc>
      </w:tr>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数据归一化与标准化体系</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系统须建立检验项目同义词/别名映射库，将原始检验项目名称智能映射至标准检验项目名称，兼容LOINC国际编码。</w:t>
            </w:r>
            <w:r/>
          </w:p>
          <w:p>
            <w:pPr>
              <w:numPr>
                <w:ilvl w:val="0"/>
                <w:numId w:val="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手工新增映射规则、映射结果审核，解决白细胞计数/WBC/白细胞总数等多名同物问题，实现中医院跨院、跨科数据可比对；建立标准标本字典（全血、血清、血浆、尿、粪、脑脊液、骨髓、痰液等），智能识别原始标本名称并映射至标准标本。</w:t>
            </w:r>
            <w:r/>
          </w:p>
          <w:p>
            <w:pPr>
              <w:numPr>
                <w:ilvl w:val="0"/>
                <w:numId w:val="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前端提供动态下拉选项获取标准标本列表，支持标本维度高级筛选，标本标准化是中医院检验数据可比对的前提；针对同一检验项目可能使用不同单位的现状，建立单位换算引擎，统一换算至标准单位。</w:t>
            </w:r>
            <w:r/>
          </w:p>
          <w:p>
            <w:pPr>
              <w:numPr>
                <w:ilvl w:val="0"/>
                <w:numId w:val="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量纲自动转换、标准单位统一存储显示、历史数据兼容换算，确保多LIS系统、多检验设备的单位统一与数据准确可比；自动比对检验结果数值与参考值范围，生成H/L/N异常标识，前端以视觉标记直观展示。参考值范围按性别、年龄、人群差异化处理，支持院内自定义参考值，辅助中医师快速识别患者异常状态、降低漏诊风险；针对检验结果的多种数据类型，智能分类为定量结果（数值型，支持范围比对）、</w:t>
            </w:r>
            <w:r>
              <w:rPr>
                <w:rFonts w:hint="eastAsia" w:ascii="宋体" w:hAnsi="宋体" w:eastAsia="宋体" w:cs="宋体"/>
                <w:i w:val="0"/>
                <w:iCs w:val="0"/>
                <w:color w:val="000000"/>
                <w:sz w:val="20"/>
                <w:szCs w:val="20"/>
                <w:u w:val="none"/>
                <w:lang w:val="en-US" w:eastAsia="zh-CN" w:bidi="ar"/>
              </w:rPr>
              <w:t xml:space="preserve">定性结果（阴性/阳性/弱阳性等离散值）、叙述结果（自由文本）三大类，并按结果类型采用差异化标准化策略与异常判断逻辑，服务于中医客观化辨证；依托丰富的底层清洗规则库对各医院长期积累的繁杂非标数据进行统一归并。以检验项目为例，尿肌酐、急诊肌酐、血清肌酐等数十种冗余别名精准映射为标准医学实体肌酐；部位描述腰背、腰、腰部统一归并为标准概念腰，从根本上消除数据歧义，为中医结构化治理奠基；同一客观事实在不同中医业务场景中动态对齐为不同标准概念（如同一腕关节疼痛表现在骨伤科质控场景与针灸科随访场景中对齐为不同标准概念）。</w:t>
            </w:r>
            <w:r/>
          </w:p>
          <w:p>
            <w:pPr>
              <w:numPr>
                <w:ilvl w:val="0"/>
                <w:numId w:val="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映射层由中医医学大模型驱动，根据当前业务上下文动态选择映射路径，使系统具备跨中医专科场景泛化能力；承载多条平行标准化链路，覆盖检验项目名称归一化（兼容LOINC）、检验标本标准化、单位换算、诊断ICD映射、用药ATC分类标准化、HPO表型本体映射、参考值范围标准化等多维度。</w:t>
            </w:r>
            <w:r/>
          </w:p>
          <w:p>
            <w:pPr>
              <w:numPr>
                <w:ilvl w:val="0"/>
                <w:numId w:val="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层事实与上层中医语义解耦，底层变量不变、上层业务语义可灵活扩展；面对各医院长期积累的繁杂非标数据，通过底层清洗规则进行同义归并，将数十种冗余别名精准映射为标准医学实体（如血糖/葡萄糖、白细胞计数/WBC等统一为标准检验项目），部位描述统一归并为标准概念，消除数据歧义，实现中医院跨院跨科数据可比对；所有自动映射结果提供人工审核机制，支持审核通过、驳回、修改后通过等操作。</w:t>
            </w:r>
            <w:r/>
          </w:p>
          <w:p>
            <w:pPr>
              <w:numPr>
                <w:ilvl w:val="0"/>
                <w:numId w:val="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核记录完整留痕，支持按映射类型、审核状态筛选，确保中医数据自动映射结果准确可控、可追溯；各类标准字典（标准标本、标准检验项目、标准诊断、标准药品含中药等）的动态维护，支持新增、修改、停用操作，字典变更有版本记录，变更后自动触发相关映射规则重新评估。</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数据质量保障体系</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系统须建立检验数据清洗质量四大核心指标的实时监控体系：精准率、召回率、覆盖率、F1值，各项指标保持较高水平。</w:t>
            </w:r>
            <w:r/>
          </w:p>
          <w:p>
            <w:pPr>
              <w:numPr>
                <w:ilvl w:val="0"/>
                <w:numId w:val="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实时刷新、按数据类型/科室/设备/医生多维下钻分析、异常波动自动告警能力，运行时质量异常快速感知；清洗失败数据完整保留，提供失败案例列表查询、失败原因分析、可导出审计清单。支持人工干预修复、规则补充、批量重试，形成发现-分析-改进-验证的质量闭环。治理过程透明可审计，满足三级中医医院信息化评审与等保合规要求；清洗后质量评分计算与汇总能力，将运行时四率指标聚合计算为多维质量评分（完整性/准确性/一致性/及时性等多个维度），生成数据资产质量评级（A/B/C/D级）。</w:t>
            </w:r>
            <w:r/>
          </w:p>
          <w:p>
            <w:pPr>
              <w:numPr>
                <w:ilvl w:val="0"/>
                <w:numId w:val="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支持院内自定义评分模型与权重配置，下游中医业务按评分等级选择数据使用策略；</w:t>
            </w:r>
            <w:r/>
          </w:p>
          <w:p>
            <w:pPr>
              <w:numPr>
                <w:ilvl w:val="0"/>
                <w:numId w:val="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金标准数据集（人工标注样本库），按周/月/季度自动化批量评测全部数据类型的精准率/召回率/覆盖率/F1率。可生成结构化质量评测报告并支持PDF导出，支持版本间对比、规则迭代效果评估，作为治理团队KPI考核与项目验收依据；</w:t>
            </w:r>
            <w:r/>
          </w:p>
          <w:p>
            <w:pPr>
              <w:numPr>
                <w:ilvl w:val="0"/>
                <w:numId w:val="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链路溯源能力，每一次辨证质控判定均可从最终结论逐级回溯——从质控结论到规则节点，从规则节点到映射逻辑，从映射逻辑到底层原始字段。判定逻辑全程可见，实现可解释、可追溯，确保每一个中医数据治理结论有据可查、有迹可循；每条数据的清洗状态进行全生命周期管理，含待清洗、清洗中、清洗成功、清洗失败等状态流转。</w:t>
            </w:r>
            <w:r/>
          </w:p>
          <w:p>
            <w:pPr>
              <w:numPr>
                <w:ilvl w:val="0"/>
                <w:numId w:val="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失败数据完整保留原始信息与失败原因，支持按状态筛选、批量重试、人工干预修复，确保中医诊疗数据无遗漏；基于质量评分对数据资产进行A/B/C/D四级分级管理。不同等级具差异化使用策略建议（A级可直接用于中医科研发表、B级内部分析、C级需人工复核、D级需重新治理），下游业务按评分等级选择性调用数据；金标准数据集（人工标注样本库）的建立与管理，含样本新增、修改、删除、版本管理。</w:t>
            </w:r>
            <w:r/>
          </w:p>
          <w:p>
            <w:pPr>
              <w:numPr>
                <w:ilvl w:val="0"/>
                <w:numId w:val="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样本库按数据类型分类组织，支持多人协作标注与标注质量审核，作为中医数据周期评测的基准数据源；将结构化质量评测结果生成标准化报告并导出为PDF。</w:t>
            </w:r>
            <w:r/>
          </w:p>
          <w:p>
            <w:pPr>
              <w:numPr>
                <w:ilvl w:val="0"/>
                <w:numId w:val="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报告含评测时间、范围、各数据类型四率指标值、与上期对比变化、问题清单与改进建议，格式规范，可直接用于项目验收与KPI考核。</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数据可视化与运营中枢</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系统须提供条形图、漏斗图、进度条、趋势折线图、环形图等多种可视化组件。</w:t>
            </w:r>
            <w:r/>
          </w:p>
          <w:p>
            <w:pPr>
              <w:numPr>
                <w:ilvl w:val="0"/>
                <w:numId w:val="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大屏自适应分辨率缩放（适配4K大屏、1080P工作站及移动端），数据看板支持自动定时刷新（可配置间隔），支持全屏沉浸式展示模式，服务中医院数据运营大屏；覆盖检查、检验、病理、诊断、用药、手术、住院、门急诊多个中医医疗数据域的治理进度实时监控；自动计算并展示关键运营指标：作业成功率、数据同步量、数据一致性比率、差异率等。</w:t>
            </w:r>
            <w:r/>
          </w:p>
          <w:p>
            <w:pPr>
              <w:numPr>
                <w:ilvl w:val="0"/>
                <w:numId w:val="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支持指标排序、异常标记及历史趋势对比分析，按年/月/周/天多种粒度切换，所有看板数据联动刷新；对X线、超声、CT、磁共振、内窥镜、电生理、核医学等检查报告通过全面结构化方式实现高级检索。</w:t>
            </w:r>
            <w:r/>
          </w:p>
          <w:p>
            <w:pPr>
              <w:numPr>
                <w:ilvl w:val="0"/>
                <w:numId w:val="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索条件覆盖检查类别、受检部位、检查方法、报告描述要点及其对应数值、单位等多个维度，支持条件表达式树构建与检索历史记录，海量数据快速响应，服务中医科研选题与辨证；基于消息队列构建实时事件驱动架构，检验报告/患者就诊等事件实现实时推送、毫秒级响应。</w:t>
            </w:r>
            <w:r/>
          </w:p>
          <w:p>
            <w:pPr>
              <w:numPr>
                <w:ilvl w:val="0"/>
                <w:numId w:val="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支持消息优先级、顺序处理、消费失败重试机制，支撑床旁急诊、危急值预警等高时效场景；全平台须支持年/月/周/天多粒度时间维度切换，所有看板数据联动刷新。</w:t>
            </w:r>
            <w:r/>
          </w:p>
          <w:p>
            <w:pPr>
              <w:numPr>
                <w:ilvl w:val="0"/>
                <w:numId w:val="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自定义日期范围筛选，历史数据无限回溯，支持跨年度对比分析，实现中医院运营宏观+微观双视角审视；以原始数据量与标准化数据量对比方式，分别展示检查、检验、病理、诊断、用药、手术、住院、门急诊多维数据域治理进度百分比。</w:t>
            </w:r>
            <w:r/>
          </w:p>
          <w:p>
            <w:pPr>
              <w:numPr>
                <w:ilvl w:val="0"/>
                <w:numId w:val="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治理百分比可视化、多时间维度切换，中医院资源调配可基于进度数据科学决策；所有数据看板须支持自动定时刷新，刷新间隔可配置。刷新不影响用户当前操作，数据更新平滑过渡无闪烁，支持手动强制刷新，满足实时监控场景需求。</w:t>
            </w:r>
            <w:r/>
          </w:p>
        </w:tc>
      </w:tr>
      <w:tr>
        <w:trPr>
          <w:trHeight w:val="133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应用功能模块</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中医院级运营数据可视化看板，支持数据总览与列表总览双视图模式。看板标题与统计时间可动态配置，支持日期范围筛选展示不同时间段运营数据，数据支持自动定时刷新；运营看板后台配置管理功能，支持自定义看板标题（一定字符数）、按月选择统计时间、动态表格编辑业务指标数据。</w:t>
            </w:r>
            <w:r/>
          </w:p>
          <w:p>
            <w:pPr>
              <w:numPr>
                <w:ilvl w:val="0"/>
                <w:numId w:val="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数据导入/导出/粘贴多种录入方式，实现零代码可视化配置；面向多院区管理的集团级运营看板，按院区维度聚合展示多类核心业务数据（预问诊、检验报告解读、病历生成、病历质控、病情分析、智能导诊、患者管理等）。</w:t>
            </w:r>
            <w:r/>
          </w:p>
          <w:p>
            <w:pPr>
              <w:numPr>
                <w:ilvl w:val="0"/>
                <w:numId w:val="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院区代码筛选与数据下钻，服务中医医联体统一运营；集团看板后台管理功能，支持院区新增/编辑/删除（含省市地址信息）、大屏名称自定义、Excel批量导入与粘贴填充。集成下级院区数据元素看板配置能力，实现多院区数据统一维护入口；中医院级全景数据大屏，集成病历生成、数据业务分布、智能导诊、病历质控、患者管理、预问诊、病情分析、检验解读等多个可配置模块。</w:t>
            </w:r>
            <w:r/>
          </w:p>
          <w:p>
            <w:pPr>
              <w:numPr>
                <w:ilvl w:val="0"/>
                <w:numId w:val="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模块化自由组合、自适应缩放（4K/1080P/移动端）与自动刷新，支持全屏沉浸式展示；数据治理监控中心看板，展示治理患者人次、检验/检查报告治理统计、HPO数据标准化进度。覆盖检查、检验、病理、诊断、用药、手术、住院、门急诊多个子域详细盘点页面，支持时间维度筛选与详情下钻；全方位运营可视化看板，涵盖患者管理（服务推送/效果排行/随访统计）、病历生成TOP5统计（入院记录/首次病程/出院记录）、预问诊/复诊咨询人次TOP5排行。</w:t>
            </w:r>
            <w:r/>
          </w:p>
          <w:p>
            <w:pPr>
              <w:numPr>
                <w:ilvl w:val="0"/>
                <w:numId w:val="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支持年/月/周/天</w:t>
            </w:r>
            <w:r>
              <w:rPr>
                <w:rFonts w:hint="eastAsia" w:ascii="宋体" w:hAnsi="宋体" w:eastAsia="宋体" w:cs="宋体"/>
                <w:i w:val="0"/>
                <w:iCs w:val="0"/>
                <w:color w:val="000000"/>
                <w:sz w:val="20"/>
                <w:szCs w:val="20"/>
                <w:u w:val="none"/>
                <w:lang w:val="en-US" w:eastAsia="zh-CN" w:bidi="ar"/>
              </w:rPr>
              <w:t xml:space="preserve">维度切换；以患者为中心、以时间线为主维度，展示患者在院内的全量健康数据，覆盖检验、检查、用药、手术、诊断、病历、病理等多类数据，支持一键下钻查看原始病历文书，每条信息可追溯至原始数据源。默认对敏感信息脱敏展示，中医师查阅病史时间显著缩短，降低误诊漏诊风险；数据总览与列表总览双视图模式，数据总览以图表展示关键指标趋势，列表总览以表格展示明细数据。两种视图可一键切换，看板标题与统计时间可动态配置，满足中医院管理层/执行层不同角色查看需求；面向多院区/集团化中医院的统一管理能力，按院区维度聚合展示各院区运营数据。</w:t>
            </w:r>
            <w:r/>
          </w:p>
          <w:p>
            <w:pPr>
              <w:numPr>
                <w:ilvl w:val="0"/>
                <w:numId w:val="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支持院区新增/编辑/删除管理（含省市地址信息），支持Excel批量导入院区信息，实现集团化中医院一页面纵览所有院区运</w:t>
            </w:r>
            <w:r>
              <w:rPr>
                <w:rFonts w:hint="eastAsia" w:ascii="宋体" w:hAnsi="宋体" w:eastAsia="宋体" w:cs="宋体"/>
                <w:i w:val="0"/>
                <w:iCs w:val="0"/>
                <w:color w:val="000000"/>
                <w:sz w:val="20"/>
                <w:szCs w:val="20"/>
                <w:u w:val="none"/>
                <w:lang w:val="en-US" w:eastAsia="zh-CN" w:bidi="ar"/>
              </w:rPr>
              <w:t xml:space="preserve">营数据；为检查、检验、病理、诊断、用药、手术、住院、门急诊多维子域分别提供独立详细盘点页面。每个子域展示治理患者人次、报告数量、标准化进度等核心统计指标，支持时间维度筛选与详情下钻；Excel文件导入、数据粘贴填充、手工录入、批量导出等多种数据录入与导出方式。导入时进行数据格式校验与错误提示，导出支持大数据量异步处理，满足中医业务人员日常数据管理需求；演示数据模拟模式，在无真实数据接入时展示完整系统功能与界面效果。演示数据覆盖所有核心功能模块，支持一键切换真实数据与演示数据模式，满足系统演示与培训场景需求。</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平台配置与安全合规</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8"/>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系统须支持检验标本、检验项目、诊断、检查、用药等多类国家标准集的查询、新增、修改及删除管理。</w:t>
            </w:r>
            <w:r/>
          </w:p>
          <w:p>
            <w:pPr>
              <w:numPr>
                <w:ilvl w:val="0"/>
                <w:numId w:val="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标准编码与名称统一维护入口，支持国标兼容与院内自定义扩展（含中医标准），保障全院数据标准化映射的准确性与一致性；通过身份证号等唯一标识信息，合并同一患者在不同就诊场景下的健康数据，实现患者主索引（MPI）统一管理。</w:t>
            </w:r>
            <w:r/>
          </w:p>
          <w:p>
            <w:pPr>
              <w:numPr>
                <w:ilvl w:val="0"/>
                <w:numId w:val="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消除重复患者记录，支持跨次就诊数据合并，形成完整连续的患者健康画像与中医诊疗轨迹；独立巡检账号查看数据清洗相关指标，提供质控列表（含质控类型、详情、时间）及独立审核功能。</w:t>
            </w:r>
            <w:r/>
          </w:p>
          <w:p>
            <w:pPr>
              <w:numPr>
                <w:ilvl w:val="0"/>
                <w:numId w:val="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具备操作审计日志，支持第三方监督，保障中医数据治理过程可监督，满足监管合规要求；患者姓名、身份证号、联系方式、家庭住址等敏感信息脱敏处理，默认脱敏展示、授权后明文切换。</w:t>
            </w:r>
            <w:r/>
          </w:p>
          <w:p>
            <w:pPr>
              <w:numPr>
                <w:ilvl w:val="0"/>
                <w:numId w:val="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存储与传输采用HTTPS加密，防止未经授权访问与泄露。支持独立巡检账号审计、操作审计日志，全方位保障患者隐私，满足等保三级与数据安全法要求；标准化数据上报能力，基于全量结构化数据支撑单病种上报、中医质量指标填报等合规场景。</w:t>
            </w:r>
            <w:r/>
          </w:p>
          <w:p>
            <w:pPr>
              <w:numPr>
                <w:ilvl w:val="0"/>
                <w:numId w:val="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报数据格式符合国家相关标准规范，支持数据审核后批量上报；兼容主流国产数据库（达梦、人大金仓等），满足信创环境部署要求。数据库层面无功能降级，核心采集与治理能力在国产数据库环境下保持与通用数据库一致的性能与稳定性；满足等保三级安全要求，含数据传输HTTPS加密、敏感信息脱敏存储与展示、独立巡检账号与操作审计日志、访问权限分级管控等。</w:t>
            </w:r>
            <w:r/>
          </w:p>
          <w:p>
            <w:pPr>
              <w:numPr>
                <w:ilvl w:val="0"/>
                <w:numId w:val="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架构能通过等保三级测评，满足数据安全法与个人信息保护法合规要求；记录所有关键操作的审计日志，含操作人、时间、类型、对象、结果等完整信息。审计日志不可篡改，支持按时间/人员/操作类型多维查询，满足监管审计与安全事件追溯需求；基于角色的访问权限分级管控，不同角色（管理员/数据工程师/业务人员/巡检人员）具差异化功能权限与数据权限。敏感数据查看须经授权审批，权限变更留痕可追溯；私有化部署，能部署在中医院内网环境。</w:t>
            </w:r>
            <w:r/>
          </w:p>
          <w:p>
            <w:pPr>
              <w:numPr>
                <w:ilvl w:val="0"/>
                <w:numId w:val="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提供完整部署文档与运维手册，支持主流Linux操作系统，系统资源占用合理可控，核心服务支持高可用部署方案。</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数据流转与集成能力</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9"/>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系统须支持多种源系统类型的数据采集（含HIS、EMR、LIS、PACS、心电、治未病随访等），采集方式覆盖WebService、数据库视图、消息队列推送、文档接口等多种标准对接方式。</w:t>
            </w:r>
            <w:r/>
          </w:p>
          <w:p>
            <w:pPr>
              <w:numPr>
                <w:ilvl w:val="0"/>
                <w:numId w:val="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支持实时与定时批量</w:t>
            </w:r>
            <w:r>
              <w:rPr>
                <w:rFonts w:hint="eastAsia" w:ascii="宋体" w:hAnsi="宋体" w:eastAsia="宋体" w:cs="宋体"/>
                <w:i w:val="0"/>
                <w:iCs w:val="0"/>
                <w:color w:val="000000"/>
                <w:sz w:val="20"/>
                <w:szCs w:val="20"/>
                <w:u w:val="none"/>
                <w:lang w:val="en-US" w:eastAsia="zh-CN" w:bidi="ar"/>
              </w:rPr>
              <w:t xml:space="preserve">双模式并行，采集链路具备断点续传与异常告警能力；架构须实现底层事实数据与上层业务语义解耦，底层原子变量不变，上层中医业务语义可灵活扩展。同一套底层结构化数据可同时支撑质控、科研、DRG、精准医疗等多场景复用，新增业务场景无需重新治理底层数据；规则引擎须支持规则资产的沉淀、复用与跨场景迁移。清洗规则、映射规则、质量评分规则等均具版本管理能力，已验证的规则资产可在不同中医院、不同科室间快速复制与部署；标准化数据服务接口，对上层应用（病历质控、辅助诊断、DRG/DIP分组、中医临床科研等）输出高纯净度标准化变量。</w:t>
            </w:r>
            <w:r/>
          </w:p>
          <w:p>
            <w:pPr>
              <w:numPr>
                <w:ilvl w:val="0"/>
                <w:numId w:val="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接口规范符合医疗信息化互联互通标准，支持RESTful API等主流协议，性能满足上层应用实时调用需求；同时支持实时采集与定时批量采集两种模式并行运行。实时采集基于消息队列实现快速推送，批量采集支持定时调度与断点续传。两种模式可按数据源灵活配置、互不干扰，确保危急值等高时效场景与历史数据迁移等大批量场景均能满足；数据采集链路须具备断点续传能力，网络中断或源端故障恢复后自动从断点继续采集、不丢失数据。</w:t>
            </w:r>
            <w:r/>
          </w:p>
          <w:p>
            <w:pPr>
              <w:numPr>
                <w:ilvl w:val="0"/>
                <w:numId w:val="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异常时自动触发告警通知，支持告警级别分类与接收人配置；从源表到目标表的全链路数据同步状态实时追踪。每条数据的采集、清洗、入库状态均可查询，支持按源系统、数据类型、时间范围等维度筛选，异常数据可快速定位至具体环节。</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患者智慧管理</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核心AI智能引擎能力</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系统须具备自动化标签触发引擎，自动判别患者数据变化类型，自主决策采用实时模式（数据变化即时纳入队列，低延迟）或历史模式（每日00:00定时全量圈选）。</w:t>
            </w:r>
            <w:r/>
          </w:p>
          <w:p>
            <w:pPr>
              <w:numPr>
                <w:ilvl w:val="0"/>
                <w:numId w:val="1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引擎具备触发频率自适应、负载均衡与异常重算能力，标签状态变化全</w:t>
            </w:r>
            <w:r>
              <w:rPr>
                <w:rFonts w:hint="eastAsia" w:ascii="宋体" w:hAnsi="宋体" w:eastAsia="宋体" w:cs="宋体"/>
                <w:i w:val="0"/>
                <w:iCs w:val="0"/>
                <w:color w:val="000000"/>
                <w:sz w:val="20"/>
                <w:szCs w:val="20"/>
                <w:u w:val="none"/>
                <w:lang w:val="en-US" w:eastAsia="zh-CN" w:bidi="ar"/>
              </w:rPr>
              <w:t xml:space="preserve">程可追溯，实现中医专病人群标签队列自动维护、业务低人工干预，分群效率较传统人工大幅提升；自动化推送调度能力，自主决策推送时机，支持多种时间模式（立即/延迟/指定时间/场景时间/周期性推送），并自主执行推送/阅读双限制策略（已推送不重复、已读不重复、不限制三种组合），能根据患者就诊时间智能计算最佳触达时机，推送打开率较好，避免过度推送损害中医院医患关系；自动化随访自治能力，根据患者出院信息自主生成随访任务并按规则自动分派至对应护士，提前1天逾期预警，逾期未跟进自动回收至待分配队列并重新派单，失访患者自动标记。</w:t>
            </w:r>
            <w:r/>
          </w:p>
          <w:p>
            <w:pPr>
              <w:numPr>
                <w:ilvl w:val="0"/>
                <w:numId w:val="1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引擎实时计算随访率、失访率、阅读率三大指标，中医专病随访完成率显著提升；自动化通道编排能力，提供多种触达通道（微信、短信、电话、APP等），可为每个通道独立配置推送文案与规则。</w:t>
            </w:r>
            <w:r/>
          </w:p>
          <w:p>
            <w:pPr>
              <w:numPr>
                <w:ilvl w:val="0"/>
                <w:numId w:val="1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引擎能根据患者历史响应行为与通道效果自主选择最优通道组合，并</w:t>
            </w:r>
            <w:r>
              <w:rPr>
                <w:rFonts w:hint="eastAsia" w:ascii="宋体" w:hAnsi="宋体" w:eastAsia="宋体" w:cs="宋体"/>
                <w:i w:val="0"/>
                <w:iCs w:val="0"/>
                <w:color w:val="000000"/>
                <w:sz w:val="20"/>
                <w:szCs w:val="20"/>
                <w:u w:val="none"/>
                <w:lang w:val="en-US" w:eastAsia="zh-CN" w:bidi="ar"/>
              </w:rPr>
              <w:t xml:space="preserve">强制执行频次保护机制（每日/每周/每月上限），触达率高；自动化量表闭环能力，患者扫码填写中医体质辨识等量表后，引擎自动按预设分数段计算健康等级（支持自定义颜色标记），对高风险结果自动告警通知主管医生，答题数据结构化回流至患者档案与标签库，形成新的纳排维度，实现量表从一次性采集到持续性数据资产的升级；对患者上传的院外检验报告、检查报告等图像/扫描文档高精度OCR识别，支持PDF、JPG、PNG等多种格式。识别后的数据支持整合到患者全面结构化的健康档案中，实现院外健康档案的无缝衔接，形成连续完整的患者健康档案。</w:t>
            </w:r>
            <w:r/>
          </w:p>
        </w:tc>
      </w:tr>
      <w:tr>
        <w:trPr>
          <w:trHeight w:val="1011"/>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结构化数据驱动的精准纳排筛选</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rPr>
                <w:rFonts w:hint="eastAsia" w:ascii="宋体" w:hAnsi="宋体" w:eastAsia="宋体" w:cs="宋体"/>
                <w:i w:val="0"/>
                <w:iCs w:val="0"/>
                <w:color w:val="000000"/>
                <w:sz w:val="20"/>
                <w:szCs w:val="20"/>
                <w:u w:val="none"/>
              </w:rPr>
              <w:t xml:space="preserve">.系统须依托底层数据治理平台的检验项目标准化（LOINC兼容）、标本标准化、单位换算、参考值异常判断（H/L/N）等能力，实现检验维度精细化纳排：支持项目名、标本、结果值、单位、异常标识多维数据精准筛选，别名归一覆盖率高，跨标本/跨单位自动换算，支持多种时序模式及参考值偏离度筛选，圈选准确率高，服务中医专病队列构建。</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检验项目名称进行深度归一化处理，依托充分的清洗规则，将不同医院的冗余别名（如血糖/葡萄糖、白细胞计数/WBC等统一为标准检验项目）自动统一，确保别名漏检率极低，跨院/跨设备/跨实验室数据可直接比对合并入组；基于隐性时间线锚定的时序模式纳排，自动解析病历相对时间描述并精准推算至绝对日期时间轴，支持连续多次检验异常追踪、首次确诊时间窗、术后复查窗口等多种动态队列的快速圈选；针对不同仪器、不同时期造成的检验参考范围差异进行深度归一化，管理者选定基准参考范围后自动换算并适配其他检验体系阈值边界。</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.支持异常标识（H/L/N）直接作为筛选条件，并提供参考值偏离度量</w:t>
            </w:r>
            <w:r>
              <w:rPr>
                <w:rFonts w:hint="eastAsia" w:ascii="宋体" w:hAnsi="宋体" w:eastAsia="宋体" w:cs="宋体"/>
                <w:i w:val="0"/>
                <w:iCs w:val="0"/>
                <w:color w:val="000000"/>
                <w:sz w:val="20"/>
                <w:szCs w:val="20"/>
                <w:u w:val="none"/>
              </w:rPr>
              <w:t xml:space="preserve">化筛选（如偏离度达到设定阈值），确保中医多中心队列研究入组的数学可比性；依托检查报告深度结构化能力，实现基于检查报告结构化字段体系的精准纳排：支持部位级筛选（肺/肝/乳腺等，跨CT/MR/超声）、特征级筛选（结节/占位/钙化等）、特征值范围筛选（如肺结节直径大于8mm）、多特征AND组合筛选，覆盖多类影像检查，精准圈出中医专病高危人群；同一部位跨不同检查类型（CT/MR/超声/PET-CT等）的聚合筛选，将同一患者不同设备影像结果统一纳排分析，支持AI可分析人群的标识与筛选，为中医早筛早治提供精准数据支撑；</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依托ICD-10/ICD-11诊断标准化映射能力，实现诊断维度精准纳排：支持ICD编码精确筛选（含通配覆盖全部子类，如E11.*覆盖全部2型糖尿病子类）、主要/次要诊断分别筛选、诊断科室学科筛选、诊断时间窗筛选等，为DRG/DIP医保支付与中医优势病种管理提供编码级精准圈选基础；对诊断类型精准区分（主要诊断、次要诊断等分类筛选），同时支持按诊断所属科室、学科维度筛选，便于中医各专科/学科独立管理本专科患者人群；</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rPr>
              <w:t xml:space="preserve">依托药品通用名对齐、ATC分类标准化能力，实现用药维度精准纳排：通用名筛选自动覆盖所有商品名（如二甲双胍自动覆盖格华止/美迪康等），商品名漏检率极低；ATC类别筛选支持层级覆盖；支持长/短期医嘱区分、剂量范围筛选、联合用药筛选，同时适配中药饮片、中成药的检索；长期与短期医嘱独立筛选，区分持续用药管理与临时用药追踪场景；同时支持联合用药筛选，筛选出同时使用多种指定药品（含中西药联用）的患者群体，支撑中医院合理用药分析与药物不良反应监测；</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rPr>
                <w:rFonts w:hint="eastAsia" w:ascii="宋体" w:hAnsi="宋体" w:eastAsia="宋体" w:cs="宋体"/>
                <w:i w:val="0"/>
                <w:iCs w:val="0"/>
                <w:color w:val="000000"/>
                <w:sz w:val="20"/>
                <w:szCs w:val="20"/>
                <w:u w:val="none"/>
              </w:rPr>
              <w:t xml:space="preserve">依托手术名称标准化拆解能力，按部位＋方式＋入路＋置入物四要素精准纳排：支持部位级、方式级（切除vs修补）、入路级（腔镜vs开放）、置入物筛选、已实施/拟施双类型区分，以及术前/术后人群分离、手术分级筛选，为中医院围术期管理提供精准人群圈选；依托HPO表型本体映射、病理报告非结构化AI抽取（含病理类型/分期/免疫组化/基因检测）能力，实现基因/病理维度精准纳排：支持HPO国际表型本体精准筛选、病理4字段筛选、免疫组化/基因突变筛选，覆盖罕见病、精准医学、肿瘤靶向、重症研究等中医院高价值临床科研场景；</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rPr>
                <w:rFonts w:hint="eastAsia" w:ascii="宋体" w:hAnsi="宋体" w:eastAsia="宋体" w:cs="宋体"/>
                <w:i w:val="0"/>
                <w:iCs w:val="0"/>
                <w:color w:val="000000"/>
                <w:sz w:val="20"/>
                <w:szCs w:val="20"/>
                <w:u w:val="none"/>
              </w:rPr>
              <w:t xml:space="preserve">.对多类病历文书智能判别，基于入院记录、出院小结、手术记录、护理记录、会诊意见等多类型文书内容进行患者筛选，覆盖罕见病、肿瘤、重症等场景的先证者关联与病程维度纳排需求；纳排条件树形可视化构建器，支持任意层级AND/OR/NOT嵌套组合，跨多维度数据（检验/检查/诊断/用药/手术/基因病理病程）自由编排。前端拖拽式构建条件树，实时预览命中患者人数，支持规则版本管理与团队模板复用，将复杂中医科研入排标准从SQL编码升级为业务人员自助构建；</w:t>
            </w:r>
            <w:r/>
          </w:p>
          <w:p>
            <w:pPr>
              <w:jc w:val="left"/>
              <w:keepLines w:val="0"/>
              <w:keepNext w:val="0"/>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eastAsia="宋体" w:cs="宋体"/>
                <w:i w:val="0"/>
                <w:iCs w:val="0"/>
                <w:color w:val="000000"/>
                <w:sz w:val="20"/>
                <w:szCs w:val="20"/>
                <w:u w:val="none"/>
                <w:lang w:val="en-US" w:eastAsia="zh-CN"/>
              </w:rPr>
              <w:t xml:space="preserve">8.</w:t>
            </w:r>
            <w:r>
              <w:rPr>
                <w:rFonts w:hint="eastAsia" w:ascii="宋体" w:hAnsi="宋体" w:eastAsia="宋体" w:cs="宋体"/>
                <w:i w:val="0"/>
                <w:iCs w:val="0"/>
                <w:color w:val="000000"/>
                <w:sz w:val="20"/>
                <w:szCs w:val="20"/>
                <w:u w:val="none"/>
              </w:rPr>
              <w:t xml:space="preserve">依托大规模数据快速查询能力，构建患者队列高性能入组引擎：单条件入组大批量数据查询快速、复杂条件筛选响应及时完成筛选；实时模式数据入库30秒内自动纳入队列、历史模式每日00:00全量重算；命中召回率高，精准率高，跨设备/跨院数据具备可比性；将已配置纳排条件组合保存为规则模板</w:t>
            </w:r>
            <w:r>
              <w:rPr>
                <w:rFonts w:hint="eastAsia" w:ascii="宋体" w:hAnsi="宋体" w:eastAsia="宋体" w:cs="宋体"/>
                <w:i w:val="0"/>
                <w:iCs w:val="0"/>
                <w:color w:val="000000"/>
                <w:sz w:val="20"/>
                <w:szCs w:val="20"/>
                <w:u w:val="none"/>
                <w:lang w:eastAsia="zh-CN"/>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w:t>
            </w:r>
            <w:r>
              <w:rPr>
                <w:rFonts w:hint="eastAsia" w:ascii="宋体" w:hAnsi="宋体" w:eastAsia="宋体" w:cs="宋体"/>
                <w:i w:val="0"/>
                <w:iCs w:val="0"/>
                <w:color w:val="000000"/>
                <w:sz w:val="20"/>
                <w:szCs w:val="20"/>
                <w:u w:val="none"/>
                <w:lang w:val="en-US" w:eastAsia="zh-CN"/>
              </w:rPr>
              <w:t xml:space="preserve">9.</w:t>
            </w:r>
            <w:r>
              <w:rPr>
                <w:rFonts w:hint="eastAsia" w:ascii="宋体" w:hAnsi="宋体" w:eastAsia="宋体" w:cs="宋体"/>
                <w:i w:val="0"/>
                <w:iCs w:val="0"/>
                <w:color w:val="000000"/>
                <w:sz w:val="20"/>
                <w:szCs w:val="20"/>
                <w:u w:val="none"/>
              </w:rPr>
              <w:t xml:space="preserve">支持模板版本管理、分类归档与团队共享复用，便于中医各科室/项目组快速复用成熟纳排方案，缩短新队列建立周期。</w:t>
            </w:r>
            <w:r>
              <w:rPr>
                <w:rFonts w:hint="eastAsia" w:ascii="宋体" w:hAnsi="宋体" w:eastAsia="宋体" w:cs="宋体"/>
                <w:b/>
                <w:bCs/>
                <w:i w:val="0"/>
                <w:iCs w:val="0"/>
                <w:color w:val="000000"/>
                <w:sz w:val="20"/>
                <w:szCs w:val="20"/>
                <w:u w:val="none"/>
              </w:rPr>
              <w:t xml:space="preserve">（投标人需提供满足技术要求的真实系统截图并加盖投标人公章）</w:t>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智能化与可视化能力</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院级患者运营画像可视化大屏，集成多个模块：人群诊断分布、就诊科室分布、运营患者总人数（含性别/年龄分布）、患者地域分布（中国地图可钻取）、就诊情况分布、服务运营情况、标签人群组分布、高频内容排行、科室运营效果排行等。</w:t>
            </w:r>
            <w:r/>
          </w:p>
          <w:p>
            <w:pPr>
              <w:numPr>
                <w:ilvl w:val="0"/>
                <w:numId w:val="1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4K/1080P/移动端多端自适应，数据自动刷新间隔定时；以词云形式可视化展示患者标签体系，标签字体大小反映使用频率与患者覆盖量。支持按就诊场景（诊前/诊中/诊后）分类展示，点击标签可下钻至详情；列表模式支持名称/科室/场景/状态/关联服务等多个维度筛选切换；为标签关联患者提供多维统计可视化，含多类图表：性别分布饼图、年龄分布柱状图、入组患者趋势折线图。</w:t>
            </w:r>
            <w:r/>
          </w:p>
          <w:p>
            <w:pPr>
              <w:numPr>
                <w:ilvl w:val="0"/>
                <w:numId w:val="1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列表展示详细信息（姓名/证件号/性别/年龄/科室/就诊状态/时间），支持阅读明细查看与跟踪历史回溯；在服务详情页集成多个核心运营指标看板：累计服务人次、接受率（已阅读/推送数）、行动率（交互行为/推送数）、平均停留时间。</w:t>
            </w:r>
            <w:r/>
          </w:p>
          <w:p>
            <w:pPr>
              <w:numPr>
                <w:ilvl w:val="0"/>
                <w:numId w:val="1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全量/30天/7天时间段切换、自定义日期趋势图、年龄段人群效果对比，为每项中医健康服务提供可量化评估依据；拖拽式组件化内容编辑器，提供多种组件，含通用组件（标题/富文本/提示框/图片/视频/推荐专栏/版权说明）与中医院专用组件（挂号/在线问诊/风险评估/拨打电话/表单）。</w:t>
            </w:r>
            <w:r/>
          </w:p>
          <w:p>
            <w:pPr>
              <w:numPr>
                <w:ilvl w:val="0"/>
                <w:numId w:val="1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实时手机端预览、定时自动保存、零代码编辑，服务中医健康宣教内容制作；文章编辑器须内置中医院专用交互组件，含挂号预约跳转、在线问诊入口、中医体质/风险评估量表嵌入、拨打电话快捷按钮、自定义表单等，使推送给患者的中医宣教文章能直接引导患者完成就医行为闭环，提升行动转化率；分区式布局的量表可视化编辑器：题型区（单选/多选/填空/多行文本）、题库区（复用已有题目）、编辑区（拖拽排序）、设置区（科室/类型/病种/高风险条件/得分显示/分数段配置）。</w:t>
            </w:r>
            <w:r/>
          </w:p>
          <w:p>
            <w:pPr>
              <w:numPr>
                <w:ilvl w:val="0"/>
                <w:numId w:val="1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支持单一量表与合并量表两种模式，发布后即时生成二维码供患者扫码填写，适配中医体质辨识等量表场景；为量表配置自定义分数段，每段对应不同健康等级并以自定义颜色标记展示。</w:t>
            </w:r>
            <w:r/>
          </w:p>
          <w:p>
            <w:pPr>
              <w:numPr>
                <w:ilvl w:val="0"/>
                <w:numId w:val="1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配置高风险阈值条件，患者答题触发高风险时自动告警通知主管医生，支撑中医健康风险的早期识别与干预；以图形化方式绘制患者流转关系图，可视化呈现门诊/住院/体检场景流转路径。节点区分三类：医院数据节点（可下钻原始数据）、系统计算节点（智能指标）、百分比节点（自动率值计算）。</w:t>
            </w:r>
            <w:r/>
          </w:p>
          <w:p>
            <w:pPr>
              <w:numPr>
                <w:ilvl w:val="0"/>
                <w:numId w:val="1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标签页切换、日期快选与科室筛选；全部统计图表须支持按机构、院区、科室、医生、病历类型等维度切片分析，支持下钻至具体患者明细，并提供全量字段Excel导出，为中医院等级评审与考核上报提供可靠数据依据；各统计看板与分析模块须支持自定义日期范围选择与时段对比分析，含按日/周/月/季度/年度趋势呈现及同比/环比分析，满足中医院管理层多时间维度分析需求；视化大屏与核心数据看板须支持4K大屏、1080P桌面显示器及移动端（平板/手机）自适应布局显示，确保不同终端均获良好数据可视化体验。</w:t>
            </w:r>
            <w:r/>
          </w:p>
        </w:tc>
      </w:tr>
      <w:tr>
        <w:trPr>
          <w:trHeight w:val="543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标签管理功能</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标签全生命周期管理界面，覆盖创建标签（基本信息/科室/场景/类型/纳排条件入口）→运行管理（启停/刷新/患者数监控）→数据分析（人群统计/阅读明细/跟踪历史）→服务引用追溯的完整闭环。每个标签即代表一个精准中医专病患者队列，是个性化服务的管理入口；创建/编辑标签时通过可视化界面配置纳排条件，入口直接关联树形AND/OR/NOT纳排逻辑引擎，支持跨6大数据维度的条件组合设定，配置完成后实时预览命中患者数量；对标签运行状态管控，含启用/停用、手动刷新触发、患者数实时监控。</w:t>
            </w:r>
            <w:r/>
          </w:p>
          <w:p>
            <w:pPr>
              <w:numPr>
                <w:ilvl w:val="0"/>
                <w:numId w:val="1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标签停用后自动暂停关联服务推送，启用后自动恢复，</w:t>
            </w:r>
            <w:r>
              <w:rPr>
                <w:rFonts w:hint="eastAsia" w:ascii="宋体" w:hAnsi="宋体" w:eastAsia="宋体" w:cs="宋体"/>
                <w:i w:val="0"/>
                <w:iCs w:val="0"/>
                <w:color w:val="000000"/>
                <w:sz w:val="20"/>
                <w:szCs w:val="20"/>
                <w:u w:val="none"/>
                <w:lang w:val="en-US" w:eastAsia="zh-CN" w:bidi="ar"/>
              </w:rPr>
              <w:t xml:space="preserve">确保运营状态一致性；按就诊场景对标签分类管理，至少含诊前、诊中、诊后三类场景分类，便于中医不同诊疗阶段患者运营需求管理与分析；查看每个标签所关联的全部服务项目，实现标签与服务双向追溯，便于评估标签调整对现有服务运营的影响范围；将标签下患者明细列表导出为Excel，含姓名、证件号、性别、年龄、科室、就诊状态、入组时间等全量字段，满足中医科研数据采集与运营报表需求；为每个标签提供数据分析功能，含人群统计（性别/年龄/趋势分布）、阅读明细查看、跟踪历史回溯（患者入组/退组时间线），支撑标签运营效果持续评估与优化。</w:t>
            </w:r>
            <w:r/>
          </w:p>
        </w:tc>
      </w:tr>
      <w:tr>
        <w:trPr>
          <w:trHeight w:val="741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内容资产管理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系统须提供文章内容全生命周期管理：新增（接入拖拽编辑器）→审核（通过/驳回＋意见）→发布→启停→删除全流程闭环。</w:t>
            </w:r>
            <w:r/>
          </w:p>
          <w:p>
            <w:pPr>
              <w:numPr>
                <w:ilvl w:val="0"/>
                <w:numId w:val="1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支持多维高级搜索、A-E等级分级管理、批量操作、仅看与我</w:t>
            </w:r>
            <w:r>
              <w:rPr>
                <w:rFonts w:hint="eastAsia" w:ascii="宋体" w:hAnsi="宋体" w:eastAsia="宋体" w:cs="宋体"/>
                <w:i w:val="0"/>
                <w:iCs w:val="0"/>
                <w:color w:val="000000"/>
                <w:sz w:val="20"/>
                <w:szCs w:val="20"/>
                <w:u w:val="none"/>
                <w:lang w:val="en-US" w:eastAsia="zh-CN" w:bidi="ar"/>
              </w:rPr>
              <w:t xml:space="preserve">关联过滤。审核流程含待审核→已审核/已驳回状态流转，驳回后可重新修改提交，保障中医宣教内容质量；将文章按内容质量与适用范围分为A-E共5个等级分级管理，不同等级对应不同推送策略与审核要求，确保高质量中医科普内容优先推送、低质量内容受约束管控；完整文章审核流程，含提交审核、审核通过、审核驳回（附驳回意见）等环节。驳回后作者可查看原因并修改后重新提交，确保推送给患者的每篇中医医疗内容都经专业审核把关；量表全生命周期管理：新增（支持单一量表与合并量表两种模式，接入分区式编辑器）→编辑→发布（版本管理）→统计分析。</w:t>
            </w:r>
            <w:r/>
          </w:p>
          <w:p>
            <w:pPr>
              <w:numPr>
                <w:ilvl w:val="0"/>
                <w:numId w:val="1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量表复用、题库复用、二维码预览、得分显示配置（分数段＋健康等级＋颜色标记），统计页展示填写情况与答案分布分析，适配中医体质辨识等场景；量表版本管理，每次修改发布后保留历史版本记录，支持版本间对比与回溯查看，确保已发布量表稳定性并便于持续优化迭代；独立题库管理，已创建题目可在多个量表间复用，避免重复编辑。题库支持按类型/病种/科室等维度分类管理与搜索，提升量表创建效率；量表发布后即时生成二维码，患者手机扫码即可在线填写。</w:t>
            </w:r>
            <w:r/>
          </w:p>
          <w:p>
            <w:pPr>
              <w:numPr>
                <w:ilvl w:val="0"/>
                <w:numId w:val="1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填写界面适配移动端，支持断点续填，填写完成后数据自动回流至系统；量表填写结果统计分析，含整体填写率、各题目答案分布、分数段人群分布分析等，为中医临床评估与科研数据分析提供结构化数据支撑。</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服务运营管理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服务分步配置闭环：选择标签人群→选择推送内容→填写基本信息→配置推送策略→选择推送通道。推送内容支持文章、量表、即时消息三种类型；配置完成后支持审核→上线/测试运行→暂停等状态流转，服务中医健康管理运营；服务上线前审核流程与测试运行机制，服务创建后须经指定审核人员通过后方可正式上线。</w:t>
            </w:r>
            <w:r/>
          </w:p>
          <w:p>
            <w:pPr>
              <w:numPr>
                <w:ilvl w:val="0"/>
                <w:numId w:val="1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提供测试运行模式，可向小范围测试人群推送验证内容正确性后再全量上线，降低运营风险；多种推送时间模式：立即、延迟、指定时间、场景时间（基于就诊节点自动触发）、周期性推送。</w:t>
            </w:r>
            <w:r/>
          </w:p>
          <w:p>
            <w:pPr>
              <w:numPr>
                <w:ilvl w:val="0"/>
                <w:numId w:val="1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已推送不重复、已读不重复、不限制三种限制策略组合，精准控制推送频次避免过度打扰患者；为每项服务保留完整推送记录，支持按患者/推送时间/推送状态/阅读状态/通道类型等多个维度筛选查看。每条记录可追溯至具体推送内容、通道、患者响应行为等详情；以卡片式展示各科室服务统计概览（服务项目数/患者数/累计人次/阅读人次4项指标），支持多级下钻：科室概览→分类卡片→分类树＋服务列表。</w:t>
            </w:r>
            <w:r/>
          </w:p>
          <w:p>
            <w:pPr>
              <w:numPr>
                <w:ilvl w:val="0"/>
                <w:numId w:val="1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树形展示完</w:t>
            </w:r>
            <w:r>
              <w:rPr>
                <w:rFonts w:hint="eastAsia" w:ascii="宋体" w:hAnsi="宋体" w:eastAsia="宋体" w:cs="宋体"/>
                <w:i w:val="0"/>
                <w:iCs w:val="0"/>
                <w:color w:val="000000"/>
                <w:sz w:val="20"/>
                <w:szCs w:val="20"/>
                <w:u w:val="none"/>
                <w:lang w:val="en-US" w:eastAsia="zh-CN" w:bidi="ar"/>
              </w:rPr>
              <w:t xml:space="preserve">整服务分类层级，支持分类新增/编辑/删除与服务编辑/删除/复制操作；服务分类树形管理，按科室和服务类型层级化组织（最多3级分类），支持分类节点新增/编辑/删除，删除前校验该分类下是否存在关联服务，防止误删导致服务中断；即时消息类型推送服务，除文章与量表外，可向目标患者群体推送简短即时通知消息（如中医就诊提醒、复查通知等），支持文本内容自定义编辑，适用于需快速触达的运营场景；推送频次保护机制，支持配置每日/每周/每月推送次数上限，对同一患者推送频率强制约束。超出上限时自动拦截并记录，防止过度推送影响患者体验；</w:t>
            </w:r>
            <w:r>
              <w:rPr>
                <w:rFonts w:hint="eastAsia" w:ascii="宋体" w:hAnsi="宋体" w:eastAsia="宋体" w:cs="宋体"/>
                <w:i w:val="0"/>
                <w:iCs w:val="0"/>
                <w:color w:val="000000"/>
                <w:sz w:val="20"/>
                <w:szCs w:val="20"/>
                <w:u w:val="none"/>
                <w:lang w:val="en-US" w:eastAsia="zh-CN" w:bidi="ar"/>
              </w:rPr>
              <w:t xml:space="preserve">为不同推送通道（微信/短信/电话/APP等）独立配置推送文案与发送规则，同一服务在不同通道可展示不同内容形态与文案表述，适配各通道展示特性与字数限制；短信模板创建、编辑、预览与管理功能，模板支持变量占位符（如患者姓名、就诊时间等）动态替换，确保短信内容个性化与规范化；在系统配置层面支持消息推送全局限制设置，含每日推送上限、批量推送上限等参数，由系统管理员统一管控，确保全院推送策略合规；对已有服务一键复制，复制后自动继承原服务的标签人群、推送内容、推送策略等全部配置，便于快速创建相似服务，减少重复配置工作量。</w:t>
            </w:r>
            <w:r/>
          </w:p>
        </w:tc>
      </w:tr>
      <w:tr>
        <w:trPr>
          <w:trHeight w:val="705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随访任务管理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系统须以卡片化形式展示所有随访推送任务概览，支持病区/随访类型/出院时间/任务状态/处理状态等多维筛选。</w:t>
            </w:r>
            <w:r/>
          </w:p>
          <w:p>
            <w:pPr>
              <w:numPr>
                <w:ilvl w:val="0"/>
                <w:numId w:val="1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核心数据统计含总触达患者数、阅读率、已完成数、随访率、失访</w:t>
            </w:r>
            <w:r>
              <w:rPr>
                <w:rFonts w:hint="eastAsia" w:ascii="宋体" w:hAnsi="宋体" w:eastAsia="宋体" w:cs="宋体"/>
                <w:i w:val="0"/>
                <w:iCs w:val="0"/>
                <w:color w:val="000000"/>
                <w:sz w:val="20"/>
                <w:szCs w:val="20"/>
                <w:u w:val="none"/>
                <w:lang w:val="en-US" w:eastAsia="zh-CN" w:bidi="ar"/>
              </w:rPr>
              <w:t xml:space="preserve">率等多个指标。任务状态统计涵盖待跟进/已跟进/将逾期/已逾期/失访等多种状态分类，服务中医专病随访管理；根据患者出院信息自动生成随访任务，并按预设规则（科室/病区/护士）自动分派至对应护理人员，无需人工干预即可完成任务创建与分派全过程；提前1天对即将逾期的随访任务预警提醒，逾期未跟进任务自动回收至待分配队列并重新派单，失访患者自动标记，确保每一例随访任务不被遗漏；随访策略灵活配置管理，含随访类型管理（创建/修改/删除，被引用时禁止删除）、随访人群逾期配置（不同类型与人群可设不同逾期时间）、量表类型分类管理。</w:t>
            </w:r>
            <w:r/>
          </w:p>
          <w:p>
            <w:pPr>
              <w:numPr>
                <w:ilvl w:val="0"/>
                <w:numId w:val="1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策略调整热生效，适应不同中医病种和科室的随访需求差异；实时计算并展</w:t>
            </w:r>
            <w:r>
              <w:rPr>
                <w:rFonts w:hint="eastAsia" w:ascii="宋体" w:hAnsi="宋体" w:eastAsia="宋体" w:cs="宋体"/>
                <w:i w:val="0"/>
                <w:iCs w:val="0"/>
                <w:color w:val="000000"/>
                <w:sz w:val="20"/>
                <w:szCs w:val="20"/>
                <w:u w:val="none"/>
                <w:lang w:val="en-US" w:eastAsia="zh-CN" w:bidi="ar"/>
              </w:rPr>
              <w:t xml:space="preserve">示随访率、失访率、阅读率三大核心指标，支持按科室/病区/随访类型/时间段等维度分类统计与对比分析，为中医院护理质量评估提供量化数据支撑；手动新增随访任务，可指定随访类型、关联患者、推送服务内容、分配科室/病区/护士、设置截止时间等，满足自动生成之外的个性化随访管理需求；已被随访任务引用的配置项（随访类型、量表等）提供保护机制，禁止直接删除已被引用配置项，避免因配置变更导致已运行任务异常；护士在随访任务中记录跟进内容、结果与时间，形成完整随访跟进历史记录，便于多次随访时查阅历史沟通情况，提升中医随访服务质量。</w:t>
            </w:r>
            <w:r/>
          </w:p>
        </w:tc>
      </w:tr>
      <w:tr>
        <w:trPr>
          <w:trHeight w:val="311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宣教任务管理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6"/>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系统须支持宣教任务创建与管理，展示所有宣教任务列表，支持按病区/随访类型/出院时间等维度筛选。</w:t>
            </w:r>
            <w:r/>
          </w:p>
          <w:p>
            <w:pPr>
              <w:numPr>
                <w:ilvl w:val="0"/>
                <w:numId w:val="1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增任务支持从服务库选择中医宣教服务内容、配置推送延迟、设置目标患者年龄段、分配科室/病区/护士、设置截止时间等；为宣教任务管理提供角色级权限控制，指定角色可新增宣教任务与查看核心数据，非授权角色仅可查看与自身相关任务列表，确保宣教管理规范性与数据安全；为宣教任务配置推送延迟时间，可设置患者出院后延迟指定时间再推送中医宣教内容，确保推送时机合理；宣教任务须与服务库联动，创建时可直接从服务库选择已审核上线的中医宣教服务内容，避免重复创建，确保宣教内容与服务库一致。</w:t>
            </w:r>
            <w:r/>
          </w:p>
        </w:tc>
      </w:tr>
      <w:tr>
        <w:trPr>
          <w:trHeight w:val="282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医患互动平台</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系统须提供医患互动平台，展示医护推送的文章内容与患者留言/反馈信息。</w:t>
            </w:r>
            <w:r/>
          </w:p>
          <w:p>
            <w:pPr>
              <w:numPr>
                <w:ilvl w:val="0"/>
                <w:numId w:val="1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按患者/科室/服务类型等多个维度筛选，医护人员可查看患者留言并回复，建立中医院医患双向沟通桥梁，提升患者满意度与治疗依从性；在医生端额外提供病情分析功能（需权限控制），中医师可基于患者互动数据与历史病历信息综合分析，为患者提供个性化健康指导与诊疗建议；患者留言后自动通知对应医护人员，避免留言长时间无人响应。通知支持站内消息提醒，确保医护人员及时查看并回复患者反馈。</w:t>
            </w:r>
            <w:r/>
          </w:p>
        </w:tc>
      </w:tr>
      <w:tr>
        <w:trPr>
          <w:trHeight w:val="4596"/>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系统配置与权限管理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8"/>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系统级配置管理中心，含消息推送限制（每日/批量上限）、服务分类树（按科室管理）、服务类型树（全院通用，最多3级）、量表类型树（量表分类管理）、短信模板管理等。树形结构支持节点增删改及可删除性校验；针对患者管理模块的细粒度权限控制，涵盖查看、增删改、运行、审核四类权限维度。</w:t>
            </w:r>
            <w:r/>
          </w:p>
          <w:p>
            <w:pPr>
              <w:numPr>
                <w:ilvl w:val="0"/>
                <w:numId w:val="1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支持左侧用户列表（搜索/分页）＋右</w:t>
            </w:r>
            <w:r>
              <w:rPr>
                <w:rFonts w:hint="eastAsia" w:ascii="宋体" w:hAnsi="宋体" w:eastAsia="宋体" w:cs="宋体"/>
                <w:i w:val="0"/>
                <w:iCs w:val="0"/>
                <w:color w:val="000000"/>
                <w:sz w:val="20"/>
                <w:szCs w:val="20"/>
                <w:u w:val="none"/>
                <w:lang w:val="en-US" w:eastAsia="zh-CN" w:bidi="ar"/>
              </w:rPr>
              <w:t xml:space="preserve">侧按钮级权限配置模式，支持权限码标识，勾选即生效。仅展示已启用且拥有至少一个标准库模块功能权限的账户，保障数据安全与操作规范；服务类型树形配置管理，提供全院通用的服务类型分类体系，最多3级层级结构，各级节点支持新增/编辑/删除，配置变更即时生效；量表类型树形配置管理，用于对量表分类归档，支持节点新增/编辑/删除，便于中医不同科室和病种的量表分类管理与快速检索；在删除配置项（服务分类/服务类型/量表类型/随访类型等）时须进行可删除性校验，配置项已被业务数据引用时禁止删除并给出提示，防止误删导致已运行业务异常。</w:t>
            </w:r>
            <w:r/>
          </w:p>
        </w:tc>
      </w:tr>
      <w:tr>
        <w:trPr>
          <w:trHeight w:val="92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智能预问诊</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数据治理平台集成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系统需和医院构建的数据治理平台进行结构化治理后的数据互通，复用数据治理平台的底层结构化数据支撑业务系统的高效运行。</w:t>
            </w:r>
            <w:r/>
          </w:p>
        </w:tc>
      </w:tr>
      <w:tr>
        <w:trPr>
          <w:trHeight w:val="223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多入口与集成能力</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19"/>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系统须支持微信公众号、小程序、APP等至少3种患者接入渠道，并实现跨端身份同步与数据实时互通；</w:t>
            </w:r>
            <w:r/>
          </w:p>
          <w:p>
            <w:pPr>
              <w:numPr>
                <w:ilvl w:val="0"/>
                <w:numId w:val="1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系统须与互联网医院无感对接，已登录患者可直接进入；</w:t>
            </w:r>
            <w:r/>
          </w:p>
          <w:p>
            <w:pPr>
              <w:numPr>
                <w:ilvl w:val="0"/>
                <w:numId w:val="1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非互联网入口支持就诊卡/身份证/手机号独立鉴权，并与HIS核验挂号记录；</w:t>
            </w:r>
            <w:r/>
          </w:p>
          <w:p>
            <w:pPr>
              <w:numPr>
                <w:ilvl w:val="0"/>
                <w:numId w:val="1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两种预问诊场景：有挂号时实时核验HIS挂号数据后进入预问诊；无挂号时凭唯一标识先行问诊，并在后续完成挂号后自动关联回写数据，确保诊疗闭环。</w:t>
            </w:r>
            <w:r/>
          </w:p>
        </w:tc>
      </w:tr>
      <w:tr>
        <w:trPr>
          <w:trHeight w:val="227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多模态交互</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系统须支持文字、语音、图片、拍照等多种输入方式，具备语音转文字、语音播放等能力，兼容中医症状与舌象描述；</w:t>
            </w:r>
            <w:r/>
          </w:p>
          <w:p>
            <w:pPr>
              <w:numPr>
                <w:ilvl w:val="0"/>
                <w:numId w:val="2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置高精度OCR引擎，自动识别检验报告图片（JPG/PNG）中的检查日期、项目名称、数值及结论；基于医学数据治理平台（内置丰富的术语清洗规则），将非结构化报告解析、清洗并映射为标准化字段名称、数值、单位及参考范围，实现检验数据机器可读与语义级理解。</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大模型智能问诊引擎</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系统须基于医学领域大模型，模拟临床医生思维，支持开放式病史采集、个性化追问及口语化理解，贴合中医问诊逻辑；</w:t>
            </w:r>
            <w:r/>
          </w:p>
          <w:p>
            <w:pPr>
              <w:numPr>
                <w:ilvl w:val="0"/>
                <w:numId w:val="2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自动识别患者所属专科并切换至相应问诊模板，支持内、外、妇、儿、中医等多专科。</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大模型+问卷双模式融合</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系统须支持大模型自由问诊与固定问卷模板在同一会话中协同，输出统一结构化病历。</w: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可视化问卷配置后台</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系统须提供所见即所得的问卷编辑后台，支持拖拽、组合题型、逻辑控制等，无需编程即可配置复杂中医问诊流程；</w:t>
            </w:r>
            <w:r/>
          </w:p>
          <w:p>
            <w:pPr>
              <w:numPr>
                <w:ilvl w:val="0"/>
                <w:numId w:val="2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单选、多选、评分、文件上传、签名等题型，并具备显隐、跳转、计算、互斥等高级逻辑。</w: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个性化配置与业务适配</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系统须支持按科室、医生维度配置大模型问诊、固定问卷或融合模式，实现中医院"一科一策"“一医一策”；</w:t>
            </w:r>
            <w:r/>
          </w:p>
          <w:p>
            <w:pPr>
              <w:numPr>
                <w:ilvl w:val="0"/>
                <w:numId w:val="2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对初诊与复诊患者配置不同问诊内容与流程，匹配不同诊疗阶段需求。</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问诊过程管理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系统须支持患者修改已回答内容、中断问诊、超时自动结束、进度可视化等，提升体验与完成率。</w:t>
            </w:r>
            <w:r/>
          </w:p>
        </w:tc>
      </w:tr>
      <w:tr>
        <w:trPr>
          <w:trHeight w:val="185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预问诊报告生成及回写</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系统须自动生成符合门诊病历规范的预问诊报告，支持口语化术语映射与疑似诊断提示；</w:t>
            </w:r>
            <w:r/>
          </w:p>
          <w:p>
            <w:pPr>
              <w:numPr>
                <w:ilvl w:val="0"/>
                <w:numId w:val="2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按科室、医生维度自定义报告字段；预问诊报告可实时同步至医生工作站并结构化回写EMR；</w:t>
            </w:r>
            <w:r/>
          </w:p>
          <w:p>
            <w:pPr>
              <w:numPr>
                <w:ilvl w:val="0"/>
                <w:numId w:val="2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将患者填写的结构化问卷（含固定选项及量表得分）回写至中医院EMR系统，针对康复科、心理科等特殊量表场景直接用于疗效评估。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多语言支持</w:t>
            </w:r>
            <w:r>
              <w:rPr>
                <w:rFonts w:hint="default" w:ascii="Times New Roman" w:hAnsi="Times New Roman" w:eastAsia="宋体" w:cs="Times New Roman"/>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系统须支持中英双语版本，满足中医院涉外医疗服务需求。</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隐私与合规</w:t>
            </w:r>
            <w:r>
              <w:rPr>
                <w:rFonts w:hint="default" w:ascii="Times New Roman" w:hAnsi="Times New Roman" w:eastAsia="宋体" w:cs="Times New Roman"/>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系统须支持预问诊前隐私授权弹窗，可自定义内容与触发时机，满足等保合规要求。</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运营管理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系统须支持全量预问诊记录查询、详情查看、数据导出及BI看板，支持使用率、完成率等指标统计。</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私有化部署与数据安全</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系统须支持中医院私有化部署、数据不出院，并适配国产算力平台，满足信创与等保要求。</w:t>
            </w:r>
            <w:r/>
          </w:p>
        </w:tc>
      </w:tr>
      <w:tr>
        <w:trPr>
          <w:trHeight w:val="104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跨模块数据贯通</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系统须支持导诊内容作为上下文传入预问诊，预问诊结果自动传入门诊病历生成流程，避免重复描述，提升诊疗连贯性。</w:t>
            </w:r>
            <w:r/>
          </w:p>
        </w:tc>
      </w:tr>
      <w:tr>
        <w:trPr>
          <w:trHeight w:val="473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智能科室推荐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根据患者输入的症状、病史等信息，结合中医院科室设置和专家资源，运用智能匹配算法精准推荐就诊科室（含中医专科），帮助患者快速找到合适科室，减少就医盲目性；将导诊推荐科室与HIS挂号科室进行1:1或N:1映射。</w:t>
            </w:r>
            <w:r/>
          </w:p>
          <w:p>
            <w:pPr>
              <w:numPr>
                <w:ilvl w:val="0"/>
                <w:numId w:val="2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中医院可后台手动匹配、Excel批量导入或通过接口自动拉取HIS科室字典；按科室配置开放周期（如</w:t>
            </w:r>
            <w:r>
              <w:rPr>
                <w:rFonts w:hint="eastAsia" w:ascii="宋体" w:hAnsi="宋体" w:eastAsia="宋体" w:cs="宋体"/>
                <w:i w:val="0"/>
                <w:iCs w:val="0"/>
                <w:color w:val="000000"/>
                <w:sz w:val="20"/>
                <w:szCs w:val="20"/>
                <w:u w:val="none"/>
                <w:lang w:val="en-US" w:eastAsia="zh-CN" w:bidi="ar"/>
              </w:rPr>
              <w:t xml:space="preserve">"心内科仅周一/三/五上午"），不在开放周期内的科室不参与推荐；集团中医院多院区差异化科室与专科特色智能推荐，可设置默认推荐院区，引导患者就近就诊，平衡集团门诊负载；在推荐科室时明确展示推荐依据（如"根据您描述的“胸痛、出汗”，建议优先考虑“心内科”就诊"），增强患者对推荐结果的信任度与理解；在推荐科室时同步展示科室详细介绍，涵盖科室特色、诊疗范围及专家团队构成（含中医专科特色）；同时提供科室具体位置文字指引（含楼层、诊区等），方便患者提前规划就医路线；科室映射配置变更后实时生效或按策略刷新，避免推荐错误。</w:t>
            </w:r>
            <w:r/>
          </w:p>
        </w:tc>
      </w:tr>
      <w:tr>
        <w:trPr>
          <w:trHeight w:val="3146"/>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智能医生推荐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6"/>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为每位医生配置多个标签（如"擅长针灸"“小儿推拿”“名老中医”“副主任医师”），标签支持后台动态增删改；完成科室推荐后，根据患者病情关键词与医生标签二次匹配，输出该科室下医生推荐列表；</w:t>
            </w:r>
            <w:r/>
          </w:p>
          <w:p>
            <w:pPr>
              <w:numPr>
                <w:ilvl w:val="0"/>
                <w:numId w:val="2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医生配置开放周期（如"张医生仅周一/三/五上午"），不在开放周期内的医生不参与推荐；建立完善的专家信息库，全面涵盖各科室专家（含名老中医）的专业特长、出诊时间等，为推荐医生提供数据基础；在推荐医生时同步展示医生详细档案，至少含医生简介、擅长领域、学术职称等关键信息，辅助患者全面了解医生情况，提升选择精准度。</w:t>
            </w:r>
            <w:r/>
          </w:p>
        </w:tc>
      </w:tr>
      <w:tr>
        <w:trPr>
          <w:trHeight w:val="352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导诊策略配置与管理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针对推荐科室和推荐医生分别独立设置向前端患者展示的最大数量（如科室最多3个、医生最多5个），防止推荐结果过多导致选择困难，确保界面简洁与决策高效；管理员自定义调整推荐科室与推荐医生的展示顺序，满足中医院基于专家号源、科室热度或运营策略的个性化排序需求；</w:t>
            </w:r>
            <w:r/>
          </w:p>
          <w:p>
            <w:pPr>
              <w:numPr>
                <w:ilvl w:val="0"/>
                <w:numId w:val="2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自定义导诊结果展示模式，至少提供三种模式供管理员选择：仅推荐科室、仅推荐医生、科室与医生联合推荐，且配置修改后前端实时生效；</w:t>
            </w:r>
            <w:r/>
          </w:p>
          <w:p>
            <w:pPr>
              <w:numPr>
                <w:ilvl w:val="0"/>
                <w:numId w:val="2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配置大模型问诊的初始引导语、推荐提示词，适配中医院导诊话术；科室映射、医生标签、开放周期等Excel批量导入，也支持通过中医院对接获取。</w:t>
            </w:r>
            <w:r/>
          </w:p>
        </w:tc>
      </w:tr>
      <w:tr>
        <w:trPr>
          <w:trHeight w:val="162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挂号与流程闭环</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8"/>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系统须与中医院现有挂号系统无缝对接，患者完成导诊并确认推荐科室/医生后，可直接跳转至挂号页面完成操作，无需二次登录；</w:t>
            </w:r>
            <w:r/>
          </w:p>
          <w:p>
            <w:pPr>
              <w:numPr>
                <w:ilvl w:val="0"/>
                <w:numId w:val="2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根据患者来源渠道（公众号、小程序、互联网医院App等）配置不同挂号链接或跳转路径，确保患者从任何入口进入都能被导向正确的挂号平台。</w:t>
            </w:r>
            <w:r/>
          </w:p>
        </w:tc>
      </w:tr>
      <w:tr>
        <w:trPr>
          <w:trHeight w:val="294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运营管理</w:t>
            </w:r>
            <w:r>
              <w:rPr>
                <w:rFonts w:hint="default" w:ascii="Times New Roman" w:hAnsi="Times New Roman" w:eastAsia="宋体" w:cs="Times New Roman"/>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29"/>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系统须支持查看全量导诊记录，支持所有患者数据，支持关键字搜索、时间筛选等，便于中医院运营统计和质控管理；</w:t>
            </w:r>
            <w:r/>
          </w:p>
          <w:p>
            <w:pPr>
              <w:numPr>
                <w:ilvl w:val="0"/>
                <w:numId w:val="2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查看每条导诊详情，含患者对话、最终推荐结果，便于中医院运营复盘及医疗质控；</w:t>
            </w:r>
            <w:r/>
          </w:p>
          <w:p>
            <w:pPr>
              <w:numPr>
                <w:ilvl w:val="0"/>
                <w:numId w:val="2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导诊明细及详情数据批量导出，导出内容涵盖患者基本信息、会话交互记录、推荐科室/医生等关键字段，满足运营复盘与数据分析；</w:t>
            </w:r>
            <w:r/>
          </w:p>
          <w:p>
            <w:pPr>
              <w:numPr>
                <w:ilvl w:val="0"/>
                <w:numId w:val="2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导出导诊核心运营报表，含进入人次、沟通人次、完成人次、点击挂号人次等，便于中医院运营分析；</w:t>
            </w:r>
            <w:r/>
          </w:p>
          <w:p>
            <w:pPr>
              <w:numPr>
                <w:ilvl w:val="0"/>
                <w:numId w:val="2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问诊结束后自动触发满意度评价，提供星级评分组件，患者可通过点击星级对预问诊服务体验量化打分，直观反馈满意度。</w:t>
            </w:r>
            <w:r/>
          </w:p>
        </w:tc>
      </w:tr>
      <w:tr>
        <w:trPr>
          <w:trHeight w:val="461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智能陪诊总体架构</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覆盖诊前、诊中、诊后全流程的智能陪诊服务框架，以患者单次就诊为主线，将预约挂号、候诊签到、门诊缴费、检查检验、取药、报告查询等环节串联为统一的就诊旅程视图，实现"服务找患者"的主动式引导模式，替代传统"患者找服务"的分散式入口设计；</w:t>
            </w:r>
            <w:r/>
          </w:p>
          <w:p>
            <w:pPr>
              <w:numPr>
                <w:ilvl w:val="0"/>
                <w:numId w:val="3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能够以就诊人和就诊日期为双维度，智能聚合当日全部就诊待办事项，形成统一的陪诊视图，使患者无需在多个功能入口间切换，即可一目了然掌握当日就医全貌及各事项进度；</w:t>
            </w:r>
            <w:r/>
          </w:p>
          <w:p>
            <w:pPr>
              <w:numPr>
                <w:ilvl w:val="0"/>
                <w:numId w:val="3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对每个就诊环节的状态进行实时跟踪与标记，包括待办、进行中、已完成等状态，每个节点的完成信息按天保留并可回顾查看，便于患者掌握当前就诊进度及已办事项记录；</w:t>
            </w:r>
            <w:r/>
          </w:p>
          <w:p>
            <w:pPr>
              <w:numPr>
                <w:ilvl w:val="0"/>
                <w:numId w:val="3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建立清晰的诊前、诊中、诊后就医路径逻辑，在每个阶段根据患者当前状态智能推送下一步操作指引，避免因功能入口分散、流程不清导致患者就医迷失；</w:t>
            </w:r>
            <w:r/>
          </w:p>
          <w:p>
            <w:pPr>
              <w:numPr>
                <w:ilvl w:val="0"/>
                <w:numId w:val="3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预设门诊就诊全流程中的各类陪诊场景节点（如挂号、签到、缴费、检查、取药、报告等），各节点可根据患者实际就诊数据自动触发，形成个性化的就诊引导路径。</w:t>
            </w:r>
            <w:r/>
          </w:p>
        </w:tc>
      </w:tr>
      <w:tr>
        <w:trPr>
          <w:trHeight w:val="2841"/>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用户信息与系统对接</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系统须支持与医院公众号、小程序等现有用户体系进行对接，实现就诊人身份信息的统一关联，确保患者登录后可直接获取个人的就医待办数据信息，无需重复输入个人资料；</w:t>
            </w:r>
            <w:r/>
          </w:p>
          <w:p>
            <w:pPr>
              <w:numPr>
                <w:ilvl w:val="0"/>
                <w:numId w:val="3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在同一账户下管理多个就诊人信息（如家属、子女等），可自由切换查看不同就诊人的就医待办和陪诊引导信息，满足家庭就医管理需求；</w:t>
            </w:r>
            <w:r/>
          </w:p>
          <w:p>
            <w:pPr>
              <w:numPr>
                <w:ilvl w:val="0"/>
                <w:numId w:val="3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能够与医院HIS、检查检验等业务系统进行数据实时同步，确保患者在陪诊页面看到的挂号、缴费、检查、报告等信息为最新状态，避免信息滞后导致误导；</w:t>
            </w:r>
            <w:r/>
          </w:p>
          <w:p>
            <w:pPr>
              <w:numPr>
                <w:ilvl w:val="0"/>
                <w:numId w:val="3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能够根据患者的预约挂号记录、医嘱处方等数据，自动识别并构建患者当日的就诊行程清单，无需患者手动添加或配置。</w:t>
            </w:r>
            <w:r/>
          </w:p>
        </w:tc>
      </w:tr>
      <w:tr>
        <w:trPr>
          <w:trHeight w:val="317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线上就医引导</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系统须与医院现有挂号系统实现深度对接，在患者当前无就诊行程安排时，系统能够主动提供挂号途径引导，患者可通过陪诊系统直接跳转至挂号功能完成科室选择与挂号操作；</w:t>
            </w:r>
            <w:r/>
          </w:p>
          <w:p>
            <w:pPr>
              <w:numPr>
                <w:ilvl w:val="0"/>
                <w:numId w:val="3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集成智能导诊功能，当患者没有明确就诊科室意向时，可通过症状描述等方式触发智能导诊服务，由系统推荐相应的就诊科室并引导挂号，降低患者自行选科的决策难度；</w:t>
            </w:r>
            <w:r/>
          </w:p>
          <w:p>
            <w:pPr>
              <w:numPr>
                <w:ilvl w:val="0"/>
                <w:numId w:val="3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针对首次使用陪诊服务的患者提供新手引导流程，通过简洁的操作指引帮助患者快速了解系统功能布局和核心操作方式，降低首次使用门槛；</w:t>
            </w:r>
            <w:r/>
          </w:p>
          <w:p>
            <w:pPr>
              <w:numPr>
                <w:ilvl w:val="0"/>
                <w:numId w:val="3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在患者当日无就诊安排时提供友好的空状态页面，明确告知无待办事项，并提供预约挂号、智能导诊等常用服务入口，引导患者进行下一步操作。</w:t>
            </w:r>
            <w:r/>
          </w:p>
        </w:tc>
      </w:tr>
      <w:tr>
        <w:trPr>
          <w:trHeight w:val="322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预约挂号引导</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系统须支持查询并展示医疗机构院内的预约挂号记录信息，包括就诊时间、就诊科室、门诊类型、挂号费用、就诊院区等基本信息，使患者对即将到来的就诊安排一目了然；</w:t>
            </w:r>
            <w:r/>
          </w:p>
          <w:p>
            <w:pPr>
              <w:numPr>
                <w:ilvl w:val="0"/>
                <w:numId w:val="3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在到达就诊日时，主动引导患者前往医院已建设的线上挂号功能完成挂号支付操作，支持直接跳转至缴费页面，减少患者自行寻找支付入口的困难；</w:t>
            </w:r>
            <w:r/>
          </w:p>
          <w:p>
            <w:pPr>
              <w:numPr>
                <w:ilvl w:val="0"/>
                <w:numId w:val="3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亮展示医院需要告知患者的就诊前注意事项，包括但不限于空腹要求、携带证件、特殊准备等提醒内容，确保关键信息有效传达；预约挂号详情页面链接跳转功能，患者可通过陪诊页面一键跳转至挂号详情页查看完整的预约信息；</w:t>
            </w:r>
            <w:r/>
          </w:p>
          <w:p>
            <w:pPr>
              <w:numPr>
                <w:ilvl w:val="0"/>
                <w:numId w:val="3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实时同步挂号订单的状态信息（如已预约、已支付、已取消等），在陪诊视图中准确展示当前挂号状态，避免信息不一致。</w:t>
            </w:r>
            <w:r/>
          </w:p>
        </w:tc>
      </w:tr>
      <w:tr>
        <w:trPr>
          <w:trHeight w:val="293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签到候诊引导</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系统须在患者当日挂号支付完成后，主动引导患者前往诊区进行就诊签到，支持跳转至医院已建设的候诊签到功能完成在线签到操作，简化到院后的签到流程；</w:t>
            </w:r>
            <w:r/>
          </w:p>
          <w:p>
            <w:pPr>
              <w:numPr>
                <w:ilvl w:val="0"/>
                <w:numId w:val="3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在签到成功后为患者提供实时的排队信息，包括排队号、当前叫号序号、前方排队人数、预计等候时间等，帮助患者合理安排等候时间；</w:t>
            </w:r>
            <w:r/>
          </w:p>
          <w:p>
            <w:pPr>
              <w:numPr>
                <w:ilvl w:val="0"/>
                <w:numId w:val="3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在签到完成后向患者推送就诊区域位置信息，包括诊区楼层、诊室编号等，便于患者快速定位就诊地点；</w:t>
            </w:r>
            <w:r/>
          </w:p>
          <w:p>
            <w:pPr>
              <w:numPr>
                <w:ilvl w:val="0"/>
                <w:numId w:val="3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在即将轮到患者就诊时发送叫号提醒通知，避免患者因离开候诊区域而错过就诊，提升候诊体验；</w:t>
            </w:r>
            <w:r/>
          </w:p>
          <w:p>
            <w:pPr>
              <w:numPr>
                <w:ilvl w:val="0"/>
                <w:numId w:val="3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在患者已签到但长时间未被叫号时进行候诊超时提醒，告知患者当前排队状态并建议后续操作。</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门诊缴费引导</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系统须在门诊医生开具医嘱处方后，及时提醒患者有新的待缴费项目，并引导患者前往医院已建设的线上缴费功能完成在线缴费操作；</w:t>
            </w:r>
            <w:r/>
          </w:p>
          <w:p>
            <w:pPr>
              <w:numPr>
                <w:ilvl w:val="0"/>
                <w:numId w:val="3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按需展示缴费单的明细信息，包括缴费单名称、开单时间、费用金额、订单号及费用明细等，便于患者核实缴费内容；</w:t>
            </w:r>
            <w:r/>
          </w:p>
          <w:p>
            <w:pPr>
              <w:numPr>
                <w:ilvl w:val="0"/>
                <w:numId w:val="3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同一就诊人在同一次就诊中产生的多笔待缴费项目的统一展示和管理，患者可逐笔确认并完成缴费，避免遗漏；</w:t>
            </w:r>
            <w:r/>
          </w:p>
          <w:p>
            <w:pPr>
              <w:numPr>
                <w:ilvl w:val="0"/>
                <w:numId w:val="3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实时跟踪每笔缴费单的支付状态（待缴费、已缴费等），在陪诊视图中准确更新展示，缴费完成后自动更新节点状态并引导进入下一环节；</w:t>
            </w:r>
            <w:r/>
          </w:p>
          <w:p>
            <w:pPr>
              <w:numPr>
                <w:ilvl w:val="0"/>
                <w:numId w:val="3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从陪诊页面到缴费详情页面的便捷跳转功能，患者可一键查看缴费单详细信息并直接进行支付操作。</w:t>
            </w:r>
            <w:r/>
          </w:p>
        </w:tc>
      </w:tr>
      <w:tr>
        <w:trPr>
          <w:trHeight w:val="476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检查检验引导</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6"/>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系统须能够识别并提醒患者哪些检查检验项目属于即到即检类型，无需预约，缴费完成后可直接前往对应检查区域进行检查，提供项目名称、检查地点等引导信息；</w:t>
            </w:r>
            <w:r/>
          </w:p>
          <w:p>
            <w:pPr>
              <w:numPr>
                <w:ilvl w:val="0"/>
                <w:numId w:val="3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需要预约的检查检验项目提供预约引导服务，引导患者前往对应预约功能完成检查预约，并展示可预约时间段、注意事项等信息；</w:t>
            </w:r>
            <w:r/>
          </w:p>
          <w:p>
            <w:pPr>
              <w:numPr>
                <w:ilvl w:val="0"/>
                <w:numId w:val="3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需要现场取号的检查项目提供线上线下双通道引导，告知患者取号方式及取号地点，支持跳转至线上取号功能或提供线下取号窗口位置指引；</w:t>
            </w:r>
            <w:r/>
          </w:p>
          <w:p>
            <w:pPr>
              <w:numPr>
                <w:ilvl w:val="0"/>
                <w:numId w:val="3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为已到达检查区域的患者展示当前检查项目的候诊信息，包括排队等待人数、排队号等，帮助患者了解等候进度；</w:t>
            </w:r>
            <w:r/>
          </w:p>
          <w:p>
            <w:pPr>
              <w:numPr>
                <w:ilvl w:val="0"/>
                <w:numId w:val="3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患者已预约但尚未到检查日的项目提供日程提醒功能，在检查日前通过智能倒计时等方式提醒患者按时到院完成检查；</w:t>
            </w:r>
            <w:r/>
          </w:p>
          <w:p>
            <w:pPr>
              <w:numPr>
                <w:ilvl w:val="0"/>
                <w:numId w:val="3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同一就诊人同时存在多个检查检验项目时的并行展示和引导管理，按照优先级和时间顺序为患者推荐合理的检查顺序；</w:t>
            </w:r>
            <w:r/>
          </w:p>
          <w:p>
            <w:pPr>
              <w:numPr>
                <w:ilvl w:val="0"/>
                <w:numId w:val="3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针对不同类型的检查检验项目展示对应的检前注意事项（如空腹、憋尿、停药等），确保患者提前做好相关准备，避免因准备不足导致检查无法进行。</w:t>
            </w:r>
            <w:r/>
          </w:p>
        </w:tc>
      </w:tr>
      <w:tr>
        <w:trPr>
          <w:trHeight w:val="345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窗口取药引导</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系统须在药品处方缴费完成后，为患者提供取药引导信息，包括取药号、取药药房名称、药房地址、取药窗口号等关键信息，帮助患者快速定位取药地点；</w:t>
            </w:r>
            <w:r/>
          </w:p>
          <w:p>
            <w:pPr>
              <w:numPr>
                <w:ilvl w:val="0"/>
                <w:numId w:val="3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通过对接医院互联网服务，展示院内电子就诊码或医保电子凭证，为患者提供扫码取药服务能力，减少窗口排队和纸质凭证依赖；</w:t>
            </w:r>
            <w:r/>
          </w:p>
          <w:p>
            <w:pPr>
              <w:numPr>
                <w:ilvl w:val="0"/>
                <w:numId w:val="3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查询取药窗口当前排队人数信息，帮助患者合理安排取药时间，避免长时间在药房窗口等候；</w:t>
            </w:r>
            <w:r/>
          </w:p>
          <w:p>
            <w:pPr>
              <w:numPr>
                <w:ilvl w:val="0"/>
                <w:numId w:val="3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展示本次处方的药品清单信息，便于患者在取药时核对药品名称和数量，确保取药准确无误；</w:t>
            </w:r>
            <w:r/>
          </w:p>
          <w:p>
            <w:pPr>
              <w:numPr>
                <w:ilvl w:val="0"/>
                <w:numId w:val="3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在患者完成取药后自动更新取药节点状态，标记为已完成，并引导患者进入后续环节（如复诊签到、离院等）。</w:t>
            </w:r>
            <w:r/>
          </w:p>
        </w:tc>
      </w:tr>
      <w:tr>
        <w:trPr>
          <w:trHeight w:val="321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智能进度跟踪</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8"/>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系统须在门诊预约环节和检查预约环节，对未到就诊日的预约事项通过智能计算生成就诊日倒计时提醒，在指定日期自动推送陪诊信息引导，确保患者不会遗忘预约；</w:t>
            </w:r>
            <w:r/>
          </w:p>
          <w:p>
            <w:pPr>
              <w:numPr>
                <w:ilvl w:val="0"/>
                <w:numId w:val="3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时间轴形式呈现患者当日或近期的完整就诊行程，各节点按照时间顺序排列并展示对应状态，使患者能够直观掌握整体就医进度；对就诊过程中各环节设定合理的时间预期，当某环节等待时间超出预期时向患者发出提醒，并建议相应处理方式；</w:t>
            </w:r>
            <w:r/>
          </w:p>
          <w:p>
            <w:pPr>
              <w:numPr>
                <w:ilvl w:val="0"/>
                <w:numId w:val="3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在每个就诊节点完成后，根据患者剩余待办事项和当前状态，智能推荐下一步最优操作，引导患者高效完成全部就诊流程。</w:t>
            </w:r>
            <w:r/>
          </w:p>
        </w:tc>
      </w:tr>
      <w:tr>
        <w:trPr>
          <w:trHeight w:val="467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报告进度跟踪及解读</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39"/>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系统须对接检查检验系统，对患者已完成的检查检验项目进行报告出具进度的实时跟踪，展示报告当前状态（检测中、已出具等），使患者无需反复前往窗口询问；</w:t>
            </w:r>
            <w:r/>
          </w:p>
          <w:p>
            <w:pPr>
              <w:numPr>
                <w:ilvl w:val="0"/>
                <w:numId w:val="3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在检查检验报告生成后，及时通过消息推送方式通知患者报告已出，并引导患者查看报告内容或进行回诊签到；</w:t>
            </w:r>
            <w:r/>
          </w:p>
          <w:p>
            <w:pPr>
              <w:numPr>
                <w:ilvl w:val="0"/>
                <w:numId w:val="3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从陪诊页面到报告详情页面的一键跳转功能，患者可直接查看报告的完整内容，包括报告名称、报告类型、检验明细、异常标记等信息；</w:t>
            </w:r>
            <w:r/>
          </w:p>
          <w:p>
            <w:pPr>
              <w:numPr>
                <w:ilvl w:val="0"/>
                <w:numId w:val="3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集成AI报告解读能力，能够直接读取院内数据流的报告信息，通过光学字符识别技术提取报告文字信息并进行深度整合分析，基于全面的数据基础为患者提供精准、个性化的健康建议和指标解读；</w:t>
            </w:r>
            <w:r/>
          </w:p>
          <w:p>
            <w:pPr>
              <w:numPr>
                <w:ilvl w:val="0"/>
                <w:numId w:val="3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将本次检查检验报告与患者历史报告进行关键指标对比，帮助患者直观了解指标变化趋势和健康状况变化；</w:t>
            </w:r>
            <w:r/>
          </w:p>
          <w:p>
            <w:pPr>
              <w:numPr>
                <w:ilvl w:val="0"/>
                <w:numId w:val="3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在展示报告内容时，对超出正常参考范围的异常指标进行高亮标注或醒目提示，帮助患者快速关注到需要重点关注的检验项目。</w:t>
            </w:r>
            <w:r/>
          </w:p>
        </w:tc>
      </w:tr>
      <w:tr>
        <w:trPr>
          <w:trHeight w:val="252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导航服务集成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系统须根据预约挂号中的就诊院区地址信息，为患者提供来院导航服务，支持一键跳转至主流地图应用（如高德、百度地图等），引导患者便捷到达就诊院区；</w:t>
            </w:r>
            <w:r/>
          </w:p>
          <w:p>
            <w:pPr>
              <w:numPr>
                <w:ilvl w:val="0"/>
                <w:numId w:val="4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系统须与互联网智慧服务系统对接，根据就诊区域信息参数跳转至第三方院内导航服务，引导患者在院内快速定位诊室、检查室、药房、缴费窗口等具体位置；</w:t>
            </w:r>
            <w:r/>
          </w:p>
          <w:p>
            <w:pPr>
              <w:numPr>
                <w:ilvl w:val="0"/>
                <w:numId w:val="4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在各陪诊节点中展示对应的位置信息（如院区地址、楼栋楼层、科室房间号等），即使不使用导航功能也能获取基本的位置指引。</w:t>
            </w:r>
            <w:r/>
          </w:p>
        </w:tc>
      </w:tr>
      <w:tr>
        <w:trPr>
          <w:trHeight w:val="257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消息通知与提醒</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系统须支持在就诊全流程各关键节点（挂号成功、签到完成、叫号提醒、缴费提醒、报告出具等）通过微信模板消息、小程序通知等方式向患者推送提醒消息，确保患者及时获知就诊进展；</w:t>
            </w:r>
            <w:r/>
          </w:p>
          <w:p>
            <w:pPr>
              <w:numPr>
                <w:ilvl w:val="0"/>
                <w:numId w:val="4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医院管理方对各类提醒消息的开关、推送时机、推送内容进行灵活配置，满足不同医院对消息推送策略的差异化需求；</w:t>
            </w:r>
            <w:r/>
          </w:p>
          <w:p>
            <w:pPr>
              <w:numPr>
                <w:ilvl w:val="0"/>
                <w:numId w:val="4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保留患者收到的陪诊相关消息记录，患者可随时查阅历史消息，不会因消息遗漏而错失重要就诊提醒。</w:t>
            </w:r>
            <w:r/>
          </w:p>
        </w:tc>
      </w:tr>
      <w:tr>
        <w:trPr>
          <w:trHeight w:val="3153"/>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多终端部署与兼容</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系统须支持在医院微信公众号、微信小程序、支付宝小程序、医院App、互联网医院等多种渠道进行部署，满足不同患者群体的使用习惯和就医场景需求；</w:t>
            </w:r>
            <w:r/>
          </w:p>
          <w:p>
            <w:pPr>
              <w:numPr>
                <w:ilvl w:val="0"/>
                <w:numId w:val="4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确保不同终端设备上的陪诊数据能够实时同步，患者无论通过哪个渠道访问系统都能获取一致的、最新的就诊信息和服务状态；</w:t>
            </w:r>
            <w:r/>
          </w:p>
          <w:p>
            <w:pPr>
              <w:numPr>
                <w:ilvl w:val="0"/>
                <w:numId w:val="4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针对移动端使用场景进行交互界面优化，确保在不同尺寸的手机屏幕上均能良好显示，操作流程简洁流畅，字体大小适中，方便老年患者使用；</w:t>
            </w:r>
            <w:r/>
          </w:p>
          <w:p>
            <w:pPr>
              <w:numPr>
                <w:ilvl w:val="0"/>
                <w:numId w:val="4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适老化设计模式，支持大字体、高对比度、简洁界面等无障碍功能，降低老年患者使用智能就医服务的门槛。</w:t>
            </w:r>
            <w:r/>
          </w:p>
        </w:tc>
      </w:tr>
      <w:tr>
        <w:trPr>
          <w:trHeight w:val="3163"/>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系统集成与数据安全</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系统须提供标准化的API接口规范，能够与医院HIS系统、检查检验系统（LIS/PACS/RIS）、挂号预约系统、缴费支付系统等核心业务系统进行稳定对接，确保数据互通；</w:t>
            </w:r>
            <w:r/>
          </w:p>
          <w:p>
            <w:pPr>
              <w:numPr>
                <w:ilvl w:val="0"/>
                <w:numId w:val="4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严格遵守国家医疗数据安全相关法规要求，对患者个人信息、就诊记录、检查报告等敏感数据采取加密存储和传输措施，保障患者隐私安全；</w:t>
            </w:r>
            <w:r/>
          </w:p>
          <w:p>
            <w:pPr>
              <w:numPr>
                <w:ilvl w:val="0"/>
                <w:numId w:val="4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在前端展示患者敏感信息时进行适当脱敏处理（如身份证号部分隐藏、手机号中段掩码等），防止信息泄露风险；</w:t>
            </w:r>
            <w:r/>
          </w:p>
          <w:p>
            <w:pPr>
              <w:numPr>
                <w:ilvl w:val="0"/>
                <w:numId w:val="4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完整记录用户操作日志和系统运行日志，支持操作行为追溯和系统运行审计，满足医疗信息系统安全合规要求。</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智能病历质控</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数据集成底座</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系统全面兼容并支持主流的医疗数据交互标准，包括HL7及FHIR标准接口，确保跨系统间的数据互通与无缝对接；</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系统须具备与医院现有HIS（医院信息系统）的深度对接能力，对接过程不得要求对现有HIS系统进行大规模改造，以外挂集成方式嵌入院内现有系统；</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够通过异步接口或数据库直连，全量且静默地自动获取病人的入院、病程及出院等全流程病历数据，不干扰临床正常工作流；除结构化表单外，系统须具备获取并读取手术记录、检查检验报告（LIS）及病理图文报告等专科报告内容的能力；</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对单份非结构化病历文本（约5000字）的语义解析时间严格控制在快速响应以内，保障临床实时使用体验；</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高并发病历处理，支持批量并发病历解析；在数据解析失败时（例如出现EMR接口超时断开），系统必须在前端抛出具体、明确且可操作的故障提示信息，便于运维人员快速定位和处理；</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深度NLP能力，将非结构化文本拆解为包含标准化结构化字段体系，实现逐字段深度结构化；对病案中主诊断、其他诊断名称及对应临床依据的自动化提取准确率须达到较高水平（基于标注样本集评测）；</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够精准提取手术相关要素，包括具体手术名称、实施术式（如腹腔镜）及精确至分钟的手术起止时间等关键信息；识别病理报告内容的专属能力，能够精准提炼肿瘤形态学描述（如腺癌）并准确关联至对应部位；</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解析病历中的相对时间描述（如4年前、半月余、术后第3天），推算并对齐至绝对日期时间轴，为时效性质控提供精准时间锚点；依托大量清洗规则，将不同医院的冗余别名统一映射为标准医学实体，消除数据歧义；</w:t>
            </w:r>
            <w:r/>
          </w:p>
          <w:p>
            <w:pPr>
              <w:numPr>
                <w:ilvl w:val="0"/>
                <w:numId w:val="4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针对不同仪器、不同时期造成的检验参考范围差异进行深度归一化，确保后续规则调用检验数据时具备可比性。</w:t>
            </w:r>
            <w:r/>
          </w:p>
        </w:tc>
      </w:tr>
      <w:tr>
        <w:trPr>
          <w:trHeight w:val="291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核心大模型</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系统底层核心须采用大规模参数量的医疗垂直领域大语言模型，不得以通用大模型简单提示词工程替代；</w:t>
            </w:r>
            <w:r/>
          </w:p>
          <w:p>
            <w:pPr>
              <w:numPr>
                <w:ilvl w:val="0"/>
                <w:numId w:val="4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底层大语言模型具备深度上下文理解能力与思维链（CoT）推理能力，能够跨段落整合临床信息进行复杂医学逻辑推演；</w:t>
            </w:r>
            <w:r/>
          </w:p>
          <w:p>
            <w:pPr>
              <w:numPr>
                <w:ilvl w:val="0"/>
                <w:numId w:val="4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底层模型须支持本地化微调（SFT）机制，以适配不同地域医院特有的数据规范与病历书写习惯；在6并发高压场景下，系统对单病例编码处理的最大响应时间须在合理时间内响应，且支持多路并发；在单并发标准场景下，系统对单病例全量数据的编码生成响应及时。</w:t>
            </w:r>
            <w:r/>
          </w:p>
        </w:tc>
      </w:tr>
      <w:tr>
        <w:trPr>
          <w:trHeight w:val="375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透明化分层架构体系</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6"/>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不应采用纯端到端黑盒生成模式，须采用透明化分层架构（或同等满足质控过程可见、可追溯要求的实现方式），大模型能力须与国家质控规则引擎严格分层，实现分层解耦；系统的AI大模型能力必须严格限制在数据采集层，仅负责提取客观临床事实与疾病线索，不得由AI直接生成最终质控判定结论；</w:t>
            </w:r>
            <w:r/>
          </w:p>
          <w:p>
            <w:pPr>
              <w:numPr>
                <w:ilvl w:val="0"/>
                <w:numId w:val="4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动态聚类离散特征的能力，将底层抽取的物理变量准确转化为宏观业务概念，支撑上层规则泛化；</w:t>
            </w:r>
            <w:r/>
          </w:p>
          <w:p>
            <w:pPr>
              <w:numPr>
                <w:ilvl w:val="0"/>
                <w:numId w:val="4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的最终编码决定权须交由规则决策层执行，且内置大量国家及省市级硬性质控规则，不得由AI自由裁量；所有质控判决须由确定性规则引擎严格按逻辑节点图执行，推理结果可逐节点回溯，判定逻辑完全可见、可追溯。</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病历质控前端交互</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rPr>
                <w:rFonts w:hint="eastAsia" w:ascii="宋体" w:hAnsi="宋体" w:eastAsia="宋体" w:cs="宋体"/>
                <w:i w:val="0"/>
                <w:iCs w:val="0"/>
                <w:color w:val="000000"/>
                <w:sz w:val="20"/>
                <w:szCs w:val="20"/>
                <w:u w:val="none"/>
              </w:rPr>
              <w:t xml:space="preserve">.系统须与院内HIS/电子病历系统深度无缝集成，支持医生在HIS系统门诊与住院两大场景下，通过指定操作按钮一键呼起病历质控窗口，无卡顿现象；</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rPr>
                <w:rFonts w:hint="eastAsia" w:ascii="宋体" w:hAnsi="宋体" w:eastAsia="宋体" w:cs="宋体"/>
                <w:i w:val="0"/>
                <w:iCs w:val="0"/>
                <w:color w:val="000000"/>
                <w:sz w:val="20"/>
                <w:szCs w:val="20"/>
                <w:u w:val="none"/>
              </w:rPr>
              <w:t xml:space="preserve">.支持根据用户特定动作（如保存病历、打印病历、开立特定医嘱等）自动触发形式质控计算并实时返回结果；支持事中实时质控触发（医生书写过程中自动触发），保障从事后转向事中、事前覆盖；</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t xml:space="preserve">▲</w:t>
            </w:r>
            <w:r>
              <w:rPr>
                <w:rFonts w:hint="eastAsia" w:ascii="宋体" w:hAnsi="宋体" w:eastAsia="宋体" w:cs="宋体"/>
                <w:i w:val="0"/>
                <w:iCs w:val="0"/>
                <w:color w:val="000000"/>
                <w:sz w:val="20"/>
                <w:szCs w:val="20"/>
                <w:u w:val="none"/>
                <w:lang w:val="en-US" w:eastAsia="zh-CN"/>
              </w:rPr>
              <w:t xml:space="preserve">3</w:t>
            </w:r>
            <w:r>
              <w:rPr>
                <w:rFonts w:hint="eastAsia" w:ascii="宋体" w:hAnsi="宋体" w:eastAsia="宋体" w:cs="宋体"/>
                <w:i w:val="0"/>
                <w:iCs w:val="0"/>
                <w:color w:val="000000"/>
                <w:sz w:val="20"/>
                <w:szCs w:val="20"/>
                <w:u w:val="none"/>
              </w:rPr>
              <w:t xml:space="preserve">.质控启动后直观展示患者基本信息（姓名、性别、年龄、患者ID、就诊科室等），展示质控完成情况、风险等级及扣分分值，数据加载时间快速；</w:t>
            </w:r>
            <w:r>
              <w:rPr>
                <w:rFonts w:hint="eastAsia" w:ascii="宋体" w:hAnsi="宋体" w:eastAsia="宋体" w:cs="宋体"/>
                <w:b/>
                <w:bCs/>
                <w:i w:val="0"/>
                <w:iCs w:val="0"/>
                <w:color w:val="000000"/>
                <w:sz w:val="20"/>
                <w:szCs w:val="20"/>
                <w:u w:val="none"/>
              </w:rPr>
              <w:t xml:space="preserve">（投标人需提供满足技术要求的真实系统截图并加盖投标人公章）</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rPr>
                <w:rFonts w:hint="eastAsia" w:ascii="宋体" w:hAnsi="宋体" w:eastAsia="宋体" w:cs="宋体"/>
                <w:i w:val="0"/>
                <w:iCs w:val="0"/>
                <w:color w:val="000000"/>
                <w:sz w:val="20"/>
                <w:szCs w:val="20"/>
                <w:u w:val="none"/>
              </w:rPr>
              <w:t xml:space="preserve">展示整本病历的最终得分（基于配置评分表计算），根据评分表规则自动划分并展示当前病历的质量等级（甲级/乙级/丙级）；提供全局任务进度条，清晰展示开始→形式质控→内涵质控→完成全流程节点状态，执行逻辑严格遵循先形式后内涵的顺序，过程透明；提供质控异议处理途径，医生点击申诉后按钮及状态变更为已申诉标识（醒目标识），申诉记录同步至管理平台，支持在线申诉与二次核验闭环；</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rPr>
                <w:rFonts w:hint="eastAsia" w:ascii="宋体" w:hAnsi="宋体" w:eastAsia="宋体" w:cs="宋体"/>
                <w:i w:val="0"/>
                <w:iCs w:val="0"/>
                <w:color w:val="000000"/>
                <w:sz w:val="20"/>
                <w:szCs w:val="20"/>
                <w:u w:val="none"/>
              </w:rPr>
              <w:t xml:space="preserve">.提供重新质控与全量质控两种重跑机制，重新质控时间较短时间内，全量质控对该份病历所有文书的所有规则进行重新质控；支持质控点卡片上的查看原文精准跳转功能，支持质控依据可视化展示具体规则编号与规则逻辑，确保每一项质控判定可解释、可追溯；针对每一项质控问题，系统能够基于底层结构化变量反向生成结构化、可直接采用的AI优化建议，支持医生二次编辑与一键复制回写至电子病历系统；医生确认建议后可一键复制至电子病历系统中，粘贴后格式保持完整无乱码，显著减少手动排查与重写成本。</w:t>
            </w:r>
            <w:r/>
          </w:p>
        </w:tc>
      </w:tr>
      <w:tr>
        <w:trPr>
          <w:trHeight w:val="383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三级卡控与提醒体系</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针对不影响诊疗的轻微病历文书问题，采用通知提醒模式，在界面下方以角标形式弹出提醒，在醒目位置提示但不阻断医生日常工作；针对普通病历文书问题，采用弹窗提醒模式，主动提示错误并支持点击跳转至质控界面，允许医生立即或稍后处理；</w:t>
            </w:r>
            <w:r/>
          </w:p>
          <w:p>
            <w:pPr>
              <w:numPr>
                <w:ilvl w:val="0"/>
                <w:numId w:val="4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针对严重且可能导致医疗事故的风险，采用流程卡控模式，强制要求处理，未修改病历前绝对限制提交、打印等关键操作；</w:t>
            </w:r>
            <w:r/>
          </w:p>
          <w:p>
            <w:pPr>
              <w:numPr>
                <w:ilvl w:val="0"/>
                <w:numId w:val="4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支持按预设规则或评分不满足要求等特定条件提前触发三级拦截卡控，支持按风险等级、病历得分阈值灵活配置卡控触发逻辑，卡控提示语支持医院自定义；</w:t>
            </w:r>
            <w:r/>
          </w:p>
          <w:p>
            <w:pPr>
              <w:numPr>
                <w:ilvl w:val="0"/>
                <w:numId w:val="4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质控窗口优先展示三/二/一级高风险质控点，同级下按扣分由高到低排列，支持快速切换排序方式，排序切换后页面加载流畅、无卡顿。</w:t>
            </w:r>
            <w:r/>
          </w:p>
        </w:tc>
      </w:tr>
      <w:tr>
        <w:trPr>
          <w:trHeight w:val="4416"/>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双引擎质控架构</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8"/>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置医院电子病历质控规则库，根据国家病历书写基本规范、地方质控制度及医院个性化要求，对病历书写的及时性、完整性、合法性进行严格的形式质控，规则毫秒级响应；基于医疗大语言模型对临床病历中的医学逻辑、上下文语境进行深度语义分析，覆盖跨文书一致性、医学逻辑自洽、临床路径合理性等深层次问题；</w:t>
            </w:r>
            <w:r/>
          </w:p>
          <w:p>
            <w:pPr>
              <w:numPr>
                <w:ilvl w:val="0"/>
                <w:numId w:val="4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确区分形式与内涵两类规则的配置入口与执行路径，执行逻辑严格遵循先形式后内涵的顺序，双引擎结果统一汇聚至病历质控结果界面；维护的规则类型全面覆盖时效性、合法性（规范性）、完整性、一致性四大病历缺陷分类，覆盖门诊与住院全场景核心文书；事中质控包含医生书写过程中的事中提醒（自查）及提交质控科前的复查提醒（科查）；</w:t>
            </w:r>
            <w:r/>
          </w:p>
          <w:p>
            <w:pPr>
              <w:numPr>
                <w:ilvl w:val="0"/>
                <w:numId w:val="4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事后质控包含质控科开展的内涵质控、任务管理及统计分析（院查）。</w:t>
            </w:r>
            <w:r/>
          </w:p>
        </w:tc>
      </w:tr>
      <w:tr>
        <w:trPr>
          <w:trHeight w:val="3473"/>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住院整体监管</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49"/>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针对当前在院患者的质控情况进行实时监测，内置多项核心指标，支持从机构、院区、科室、诊疗组、主管医生等8个维度查看数据看板，支持可视化报表与图片导出；</w:t>
            </w:r>
            <w:r/>
          </w:p>
          <w:p>
            <w:pPr>
              <w:numPr>
                <w:ilvl w:val="0"/>
                <w:numId w:val="4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针对所有出院且未归档患者，追踪该阶段的整体质控指标与问题整改率，推动出院归档前的最后一道质量把关，并支持按出院月份筛选；</w:t>
            </w:r>
            <w:r/>
          </w:p>
          <w:p>
            <w:pPr>
              <w:numPr>
                <w:ilvl w:val="0"/>
                <w:numId w:val="4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针对已归档患者开展质控回溯与分析，默认追溯近1年数据，科室抽查、院级抽查等场景仅统计终末质控版本，排除运行版本干扰，并提供甲乙丙级趋势分析图；</w:t>
            </w:r>
            <w:r/>
          </w:p>
          <w:p>
            <w:pPr>
              <w:numPr>
                <w:ilvl w:val="0"/>
                <w:numId w:val="4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支持按机构、院区、科室、医生、病历类型等维度切片分析，所有统计图表均支持下钻至具体患者，并提供全量字段的Excel导出功能及图片导出。</w:t>
            </w:r>
            <w:r/>
          </w:p>
        </w:tc>
      </w:tr>
      <w:tr>
        <w:trPr>
          <w:trHeight w:val="5936"/>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运行质控（住院与门诊）</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支持门诊与住院场景下的患者查询，提供查询、重置、筛选设置、生成下载、批量提交、表格设置功能，支持穿透进入病历详情页；</w:t>
            </w:r>
            <w:r/>
          </w:p>
          <w:p>
            <w:pPr>
              <w:numPr>
                <w:ilvl w:val="0"/>
                <w:numId w:val="5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表格设置可自定义列展示与Excel下载字段，支持医院按需导出；支持以问题为维度的查询视图，支持按机构、科室、患者ID、规则编码、质控来源（AI/人工）、提醒等级等十余种维度查询质控问题；支持管理者自定义任务名称、描述、涵盖科室、患者范围与截止时间；</w:t>
            </w:r>
            <w:r/>
          </w:p>
          <w:p>
            <w:pPr>
              <w:numPr>
                <w:ilvl w:val="0"/>
                <w:numId w:val="5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支持导入/导出患者列表，并允许对已分配任务进行编辑修改；支持按份数（随机/顺序）或按日期两种模式进行自动化任务配置，并支持添加执行人与截止时间，同时需手动确认并发布任务；</w:t>
            </w:r>
            <w:r/>
          </w:p>
          <w:p>
            <w:pPr>
              <w:numPr>
                <w:ilvl w:val="0"/>
                <w:numId w:val="5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任务列表实时动态展示执行进度、剩余时间，对到期或延期任务进行颜色高亮预警，支持任务详情入口下钻查看；</w:t>
            </w:r>
            <w:r/>
          </w:p>
          <w:p>
            <w:pPr>
              <w:numPr>
                <w:ilvl w:val="0"/>
                <w:numId w:val="5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支持个人任务跟进与小组任务跟进视图切换，包含未完成、已完成、已关闭、全部四个状态标签，支持多维度筛选与Excel导出；</w:t>
            </w:r>
            <w:r/>
          </w:p>
          <w:p>
            <w:pPr>
              <w:numPr>
                <w:ilvl w:val="0"/>
                <w:numId w:val="5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仅展示质控负责人为当前用户的任务数据，人工审核后的病历版本执行系统级锁定，不再受机器重跑结果影响；</w:t>
            </w:r>
            <w:r/>
          </w:p>
          <w:p>
            <w:pPr>
              <w:numPr>
                <w:ilvl w:val="0"/>
                <w:numId w:val="5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临床医生发起申诉或完成修改后，系统自动反向推送至管理后台触发二次核验，形成强制闭环。</w:t>
            </w:r>
            <w:r/>
          </w:p>
        </w:tc>
      </w:tr>
      <w:tr>
        <w:trPr>
          <w:trHeight w:val="160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住院终末质控</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严格区分住院运行质控与住院终末质控两大业务场景的数据边界，运行版本与终末版本独立存储与查询，人工审核后的病历版本执行系统级锁定；已归档患者数据取自归档时点的终末版本，科室抽查、院级抽查等场景仅统计终末质控版本，排除运行版本干扰。</w:t>
            </w:r>
            <w:r/>
          </w:p>
        </w:tc>
      </w:tr>
      <w:tr>
        <w:trPr>
          <w:trHeight w:val="321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系统提供全局统计看板，支持管理者直观分析全院病历质量情况、科室具体情况以及统计区间的环比数据；</w:t>
            </w:r>
            <w:r/>
          </w:p>
          <w:p>
            <w:pPr>
              <w:numPr>
                <w:ilvl w:val="0"/>
                <w:numId w:val="5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统计全院病历中存在的问题总数、病历数、上月病历数及当月环比，区分甲/乙/丙级进行分类统计；</w:t>
            </w:r>
            <w:r/>
          </w:p>
          <w:p>
            <w:pPr>
              <w:numPr>
                <w:ilvl w:val="0"/>
                <w:numId w:val="5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展示特定时间段内病历数量的日度变化趋势，按完整性、合规性、时效性、一致性等维度统计问题分布；</w:t>
            </w:r>
            <w:r/>
          </w:p>
          <w:p>
            <w:pPr>
              <w:numPr>
                <w:ilvl w:val="0"/>
                <w:numId w:val="5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按临床科室维度精细化统计病历平均得分、总份数及各科室问题类型分布情况，支持月度、季度、年度多时间窗口对比分析；</w:t>
            </w:r>
            <w:r/>
          </w:p>
          <w:p>
            <w:pPr>
              <w:numPr>
                <w:ilvl w:val="0"/>
                <w:numId w:val="5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监测模块表格与可视化趋势图（含门诊、住院运行/终末、监管等模块）均支持自定义字段的Excel下载及图片导出。</w:t>
            </w:r>
            <w:r/>
          </w:p>
        </w:tc>
      </w:tr>
      <w:tr>
        <w:trPr>
          <w:trHeight w:val="345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病案专项指标</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系统内置并支持统计多项病案管理指标（如24小时完成率），所有指标均由底层患者明细数据自动汇聚计算，结果具备客观数据依据，支持指标分子/分母计算逻辑可视化编辑；</w:t>
            </w:r>
            <w:r/>
          </w:p>
          <w:p>
            <w:pPr>
              <w:numPr>
                <w:ilvl w:val="0"/>
                <w:numId w:val="5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内置35项医疗质量安全核心制度落实情况监测指标，按业务场景划分标签页，清晰展示计算公式与分子分母数值，支持科室排名分析与详情下钻，支持导出汇总为Excel；</w:t>
            </w:r>
            <w:r/>
          </w:p>
          <w:p>
            <w:pPr>
              <w:numPr>
                <w:ilvl w:val="0"/>
                <w:numId w:val="5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对35项核心制度指标进行深度的分子/分母规则配置，支持计算预览验证结果，确认无误后保存即可生效；支持病案管理指标的灵活配置，管理人员可自由定义新增指标的分子/分母计算逻辑，将特定质控规则与管理指标深度挂钩。</w:t>
            </w:r>
            <w:r/>
          </w:p>
        </w:tc>
      </w:tr>
      <w:tr>
        <w:trPr>
          <w:trHeight w:val="7613"/>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系统配置与规则维护</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系统提供质控规则管理后台，支持查看所有已开启/关闭规则的完整属性，规则字段包括质控点名称、逻辑、标签、类型、提醒级别、关联评分表等；</w:t>
            </w:r>
            <w:r/>
          </w:p>
          <w:p>
            <w:pPr>
              <w:numPr>
                <w:ilvl w:val="0"/>
                <w:numId w:val="5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支持按规则来源、规则编号、规则/内涵、文书类型、提醒等级等十余个条件进行高级检索，支持按质控点标签快速检索；</w:t>
            </w:r>
            <w:r/>
          </w:p>
          <w:p>
            <w:pPr>
              <w:numPr>
                <w:ilvl w:val="0"/>
                <w:numId w:val="5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形式规则支持管理员直接修改，通过可视化规则引擎画布编排；内涵规则通过规则引擎配置，由大模型实现逻辑；</w:t>
            </w:r>
            <w:r/>
          </w:p>
          <w:p>
            <w:pPr>
              <w:numPr>
                <w:ilvl w:val="0"/>
                <w:numId w:val="5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根据医院质控需求对质控点进行开启/关闭，提醒级别支持自定义配置，支持对时效性质控点进行倒计时提醒时间的配置；支持门诊/住院规则的批量导入，提供增量新增或全量覆盖选项，强制要求导入后须经医学审核确认后方可生效；</w:t>
            </w:r>
            <w:r/>
          </w:p>
          <w:p>
            <w:pPr>
              <w:numPr>
                <w:ilvl w:val="0"/>
                <w:numId w:val="5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支持上传Excel格式的标准化评分表，内置多版本评分表模板，支持新增、修改、删除具体评分项，支持单项扣分与累计扣分两种逻辑；</w:t>
            </w:r>
            <w:r/>
          </w:p>
          <w:p>
            <w:pPr>
              <w:numPr>
                <w:ilvl w:val="0"/>
                <w:numId w:val="5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支持自定义病历得分阈值（如设定&lt;95分触发拦截），允许管理员自定义前端卡控提示语文本，支持按文书类型、按科室单独设置卡控阈值；</w:t>
            </w:r>
            <w:r/>
          </w:p>
          <w:p>
            <w:pPr>
              <w:numPr>
                <w:ilvl w:val="0"/>
                <w:numId w:val="5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已上线科室白名单管理功能，支持按门诊/住院维度从全院范围内勾选科室，支持一键清空列表，便于灰度上线与逐步推广；支持设置多个质控级别（科级质控、院级质控等），病历按照配置的级别流转，支持对质控小组的成员进行维护；</w:t>
            </w:r>
            <w:r/>
          </w:p>
          <w:p>
            <w:pPr>
              <w:numPr>
                <w:ilvl w:val="0"/>
                <w:numId w:val="5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支持管理员设置不同角色权限，支持功能权限与数据权限（机构/院区/科室/医疗组）的自定义配置管理；在配置中严格区分运行质控与终末质控的数据边界，任务执行中的质控负责人字段系统级锁定，不得篡改。</w:t>
            </w:r>
            <w:r/>
          </w:p>
        </w:tc>
      </w:tr>
      <w:tr>
        <w:trPr>
          <w:trHeight w:val="445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可视化规则引擎控制台</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规则引擎最小粒度的患者/字段特征判定单元，支持患者标签与字段标签分类，快速返回判定结果，支持多业务场景复用；</w:t>
            </w:r>
            <w:r/>
          </w:p>
          <w:p>
            <w:pPr>
              <w:numPr>
                <w:ilvl w:val="0"/>
                <w:numId w:val="5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多个基础标签通过逻辑组合构成的复合标签，支持全部满足/任一满足/N选M满足三种逻辑，具备强引用约束与批量导出能力；承载完整业务语义的最终规则定义，支持登记规则编号、文书类型、规则来源、条款信息等元数据，具备双重唯一性校验；</w:t>
            </w:r>
            <w:r/>
          </w:p>
          <w:p>
            <w:pPr>
              <w:numPr>
                <w:ilvl w:val="0"/>
                <w:numId w:val="5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提供十余类节点（推理、决策、时间对比、变量对比等），通过拖拽连线完成复杂医学逻辑编排，零代码操作，支持版本历史与差异对比；</w:t>
            </w:r>
            <w:r/>
          </w:p>
          <w:p>
            <w:pPr>
              <w:numPr>
                <w:ilvl w:val="0"/>
                <w:numId w:val="5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所有规则执行过程全程留痕，支持从核心规则结论逐级展开至基础标签命中情况，整条路径在同一画布视图中高亮呈现；</w:t>
            </w:r>
            <w:r/>
          </w:p>
          <w:p>
            <w:pPr>
              <w:numPr>
                <w:ilvl w:val="0"/>
                <w:numId w:val="5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规则引擎与底层物理表结构解耦，现有规则资产经少量数据方案适配，可复用于医保质控、临床辅助决策、临床试验患者入组等延伸场景。</w:t>
            </w:r>
            <w:r/>
          </w:p>
        </w:tc>
      </w:tr>
      <w:tr>
        <w:trPr>
          <w:trHeight w:val="664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住院形式质控规则</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覆盖患者基本信息、入院信息、出院信息、医师与编码人员、诊断与手术、主表标识项等字段的完整性核验，以及身份证号合规性、时间逻辑校验等规范性核验；</w:t>
            </w:r>
            <w:r/>
          </w:p>
          <w:p>
            <w:pPr>
              <w:numPr>
                <w:ilvl w:val="0"/>
                <w:numId w:val="5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入院记录必须在入院后24小时内完成记录，书写时间应在入院时间之后和出院时间之前，支持24小时倒计时提醒（可自定义提前提醒时间）；</w:t>
            </w:r>
            <w:r/>
          </w:p>
          <w:p>
            <w:pPr>
              <w:numPr>
                <w:ilvl w:val="0"/>
                <w:numId w:val="5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首次病程记录必须在入院后8小时内完成记录，支持8小时内倒计时提醒；覆盖首次查房时效性、常规查房频次（每7天3份主治医师查房等）、危重患者加强查房、围手术期主刀查房、长住院日质控、出院前质控等全维度时效性要求；</w:t>
            </w:r>
            <w:r/>
          </w:p>
          <w:p>
            <w:pPr>
              <w:numPr>
                <w:ilvl w:val="0"/>
                <w:numId w:val="5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术前小结、术前讨论、手术安全核查表、手术风险评估、手术知情同意书、麻醉知情同意书等文书完整性与时效性核验；手术后24小时内需完成手术记录，支持倒计时提醒；</w:t>
            </w:r>
            <w:r/>
          </w:p>
          <w:p>
            <w:pPr>
              <w:numPr>
                <w:ilvl w:val="0"/>
                <w:numId w:val="5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术后需完成术后首次病程记录；死亡患者需要书写抢救记录且数量与抢救医嘱一致，死亡病例讨论需在1周内完成，病危（重）患者需准备通知书；</w:t>
            </w:r>
            <w:r/>
          </w:p>
          <w:p>
            <w:pPr>
              <w:numPr>
                <w:ilvl w:val="0"/>
                <w:numId w:val="5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会诊记录申请文书和意见文书需对齐不能缺失；转科后24小时内需完成转入/转出记录；交班记录和接班记录文书数量需一致，相邻记录书写时间不超过24小时，四级手术当天需有交接班文书；</w:t>
            </w:r>
            <w:r/>
          </w:p>
          <w:p>
            <w:pPr>
              <w:numPr>
                <w:ilvl w:val="0"/>
                <w:numId w:val="5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开立输血医嘱前需创建输血治疗知情同意书；入院后72小时内需创建医患沟通谈话记录；离院类型文书须于出院后24小时内完成。</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住院内涵质控规则</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6"/>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主诉书写需包括症状/诊断描述和时间信息，主要诊断能推导出主诉症状，主诉若提及诊断需与主要诊断属同一类型疾病；</w:t>
            </w:r>
            <w:r/>
          </w:p>
          <w:p>
            <w:pPr>
              <w:numPr>
                <w:ilvl w:val="0"/>
                <w:numId w:val="5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诉和现病史书写一致性核验，现病史时间顺序与叙述逻辑规范，发病情况、诊疗经过和效果、一般情况变化、关键检查检验结果等完整性核验；既往史需规范描述既往疾病、传染病、手术/外伤、过敏、用药；个人史需包括居住地、有害物质接触、吸烟饮酒；家族史需记录遗传病与父母健康；婚育史、月经史完整性；脉搏和心率一致性、体位与患者情况矛盾、瘢痕与手术史一致性、阳性体征与体格检查一致性、辅助检查完整性与医疗机构标注等核验；</w:t>
            </w:r>
            <w:r/>
          </w:p>
          <w:p>
            <w:pPr>
              <w:numPr>
                <w:ilvl w:val="0"/>
                <w:numId w:val="5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初步诊断不能遗漏入院记录中提及的疾病，每条诊断需有明确依据，心衰需NYHA分级，糖尿病需分型，心肌梗死需Killip分级；病例特点不能大量复制现病史，诊断依据不能完全复制病例特点，鉴别诊断书写规范性，首次查房鉴别诊断不能重复首次病程；CT/MRI结果记录分析、病理结果记录、抗菌药物使用记录、会诊意见记录、新增出院诊断记录、危急值记录完整性、病程不合理复制监测（雷同性核验）等；</w:t>
            </w:r>
            <w:r/>
          </w:p>
          <w:p>
            <w:pPr>
              <w:numPr>
                <w:ilvl w:val="0"/>
                <w:numId w:val="5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术前讨论书写日期、手术指征和方案、手术风险，至少包括3名医师和职称及主持人发言，术前诊断需支持手术指征；手术记录需包括起止时间、指征方案、出血量、植入物记录，麻醉方式一致性核验，手术名称部位一致性，知情同意书完整性核验；抢救记录需包括起止时间和人员职称，所有时间精确到分钟，时间顺序合理，书写时间不超过抢救结束6小时；出院小结需书写诊疗经过、抗生素情况、病情转归、出院医嘱；</w:t>
            </w:r>
            <w:r/>
          </w:p>
          <w:p>
            <w:pPr>
              <w:numPr>
                <w:ilvl w:val="0"/>
                <w:numId w:val="5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院诊断与入院诊断一致性核验；肿瘤患者需TNM分期；自动出院需有告知书；首页与入院记录过敏药物/婚姻/入院途径/血型等一致性核验；死亡患者首页规范；抢救次数一致性；主诊断与编码合理性核验；患者姓名和性别跨文书核验、主刀医生姓名跨文书核验、入院日期跨文书一致性核验等；</w:t>
            </w:r>
            <w:r/>
          </w:p>
          <w:p>
            <w:pPr>
              <w:numPr>
                <w:ilvl w:val="0"/>
                <w:numId w:val="5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评估各选项需全部勾选且评分完整，营养评估评分完整且疾病相关评分取最大值，BMI&lt;18.5营养受损评分应为3分等规范核验；过敏药物不能出现在医嘱中，诊断指征用药核验，肝肾功能减退者/老年患者避免使用对应抗生素。</w:t>
            </w:r>
            <w:r/>
          </w:p>
        </w:tc>
      </w:tr>
      <w:tr>
        <w:trPr>
          <w:trHeight w:val="191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门诊形式质控规则</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主诉内容完全缺失核验、缺少时间信息核验、字符数量≤20个、不能出现非客观或涵盖主观意图的词汇；</w:t>
            </w:r>
            <w:r/>
          </w:p>
          <w:p>
            <w:pPr>
              <w:numPr>
                <w:ilvl w:val="0"/>
                <w:numId w:val="5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现病史内容完全缺失核验、体格检查内容完全缺失核验、嘱托内容完全缺失核验、门诊诊断必填核验；</w:t>
            </w:r>
            <w:r/>
          </w:p>
          <w:p>
            <w:pPr>
              <w:numPr>
                <w:ilvl w:val="0"/>
                <w:numId w:val="5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儿内科/儿童保健科患者年龄需≤14岁；妇科/产科性别只能为女；男科性别只能为男。</w:t>
            </w:r>
            <w:r/>
          </w:p>
        </w:tc>
      </w:tr>
      <w:tr>
        <w:trPr>
          <w:trHeight w:val="2563"/>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门诊内涵质控规则</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8"/>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主诉书写基础与扩展规范性核验，主诉中不能出现错别字或重复信息；现病史与主诉相关性核验、完全拷贝主诉核验、起病时间/诱因/阳性症状/伴随症状/阴性症状/诊疗经过等记录完整性；</w:t>
            </w:r>
            <w:r/>
          </w:p>
          <w:p>
            <w:pPr>
              <w:numPr>
                <w:ilvl w:val="0"/>
                <w:numId w:val="5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既往史需记录慢性病、传染病、手术、家族史、特殊生活方式等；过敏史需记录；查体中需记录阳性体征与鉴别诊断阴性体征；辅助检查结果记录、非本院检查注明报告单位和时间；</w:t>
            </w:r>
            <w:r/>
          </w:p>
          <w:p>
            <w:pPr>
              <w:numPr>
                <w:ilvl w:val="0"/>
                <w:numId w:val="5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记录与患者交待的重要注意事项。</w:t>
            </w:r>
            <w:r/>
          </w:p>
        </w:tc>
      </w:tr>
      <w:tr>
        <w:trPr>
          <w:trHeight w:val="225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部署与集成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59"/>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系统支持与医院主流HIS/EMR/电子病历系统无缝对接，兼容标准化接口，以外挂集成方式嵌入院内现有系统；</w:t>
            </w:r>
            <w:r/>
          </w:p>
          <w:p>
            <w:pPr>
              <w:numPr>
                <w:ilvl w:val="0"/>
                <w:numId w:val="5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支持本地化部署（数据不出院、符合等保三级）、一体机部署（软硬一体化交付）、云端SaaS部署（多院区集团或区域质控场景）；</w:t>
            </w:r>
            <w:r/>
          </w:p>
          <w:p>
            <w:pPr>
              <w:numPr>
                <w:ilvl w:val="0"/>
                <w:numId w:val="5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支持多院区协同部署，可实现跨院区病历质控数据统一视图与同质化管理，在任务分配、统计分析等模块支持机构、院区维度精准筛选。</w:t>
            </w:r>
            <w:r/>
          </w:p>
        </w:tc>
      </w:tr>
      <w:tr>
        <w:trPr>
          <w:trHeight w:val="5991"/>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病历生成智能体（门诊+住院）</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患者信息与病历模板管理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多就诊场景下患者信息差异化展示：急救场景显示患者检伤号；急诊、门诊、住院场景显示姓名、性别、年龄、患者ID、就诊时间、就诊类型等基本信息，其中患者ID与就诊时间支持后台统一配置是否显示，默认显示；在急诊场景下自动包含急诊记录模板并默认选中；</w:t>
            </w:r>
            <w:r/>
          </w:p>
          <w:p>
            <w:pPr>
              <w:numPr>
                <w:ilvl w:val="0"/>
                <w:numId w:val="6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门诊场景下自动包含门诊记录模板并默认选中，确保医生进入对应场景后可直接开始病历书写，无需手动选择模板；</w:t>
            </w:r>
            <w:r/>
          </w:p>
          <w:p>
            <w:pPr>
              <w:numPr>
                <w:ilvl w:val="0"/>
                <w:numId w:val="6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住院场景须包含入院记录、首次病程记录、出院记录、疾病证明书、日常查房记录等文书类型。</w:t>
            </w:r>
            <w:r/>
          </w:p>
          <w:p>
            <w:pPr>
              <w:numPr>
                <w:ilvl w:val="0"/>
                <w:numId w:val="6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系统载入时自动判断：患者未生成过病历则默认选中入院记录；已生成过则默认选中上次退出时所操作的文书类型，实现文书操作状态智能记忆；</w:t>
            </w:r>
            <w:r/>
          </w:p>
          <w:p>
            <w:pPr>
              <w:numPr>
                <w:ilvl w:val="0"/>
                <w:numId w:val="6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住院场景下各类文书须支持接收HIS系统传参后自动定位到对应文书类型并打开指定患者文书；</w:t>
            </w:r>
            <w:r/>
          </w:p>
          <w:p>
            <w:pPr>
              <w:numPr>
                <w:ilvl w:val="0"/>
                <w:numId w:val="6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用户自行切换文书类型后，下次载入仍按HIS最新传参定位，确保与HIS业务流程联动一致；</w:t>
            </w:r>
            <w:r/>
          </w:p>
          <w:p>
            <w:pPr>
              <w:numPr>
                <w:ilvl w:val="0"/>
                <w:numId w:val="6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西医病历模式与中医特色病历模式，满足不同诊疗体系下的病历书写需求，确保中西医病历模板均可正常调用与生成；</w:t>
            </w:r>
            <w:r/>
          </w:p>
          <w:p>
            <w:pPr>
              <w:numPr>
                <w:ilvl w:val="0"/>
                <w:numId w:val="6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中医院多个门诊诊室、多个住院病区同时并行运行，保障全院范围内多科室、多终端同时使用时的系统稳定性与响应效率。</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病情采集与录入</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系统须支持西医病历模式与中医特色病历模式，满足中西医结合诊疗体系下的病历书写需求，确保中西医病历模板（含四诊信息、证候诊断字段）均可正常调用与生成；</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多人多轮对话录入模式，自动区分不同说话人语音内容，支持语音回放，便于医生回溯核实对话内容；</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医患对话过程中语音到文字实时转写，支持录入较长录音并实时转化为文本，覆盖中西医问诊场景下的病史、症状、舌脉描述等内容，确保语音采集完整性与时效性；</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多种主流语音识别引擎在本地中医院方言及医疗专业语境下的识别表现测评对比，依据识别准确率等指标筛选最适合中医院部署环境的语音识别方案；语音转写过程中须能自动识别医学专业术语，涵盖西医诊疗术语及中医证候、方剂、穴位等专业词汇，确保专业词汇转写准确性，降低医生后期校对修改工作量；</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内置医学术语纠错引擎，在语音转写及文本录入过程中自动检测并修正常见医学术语拼写错误（含中医证候、方剂名称等专业表述），提升录入内容专业准确性；</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临床医生自主维护语音识别热词库，用于提升对地方方言、中医专业术语（证候、方剂、穴位等）及西医专业术语的识别精准度，辅助医患对话语音转文字精确输出；</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支持对已添加热词实时动态编辑管理；医生在病历生成后多次补充录入病情信息，每次补充录入后自动重新分析患者病情并生成更新后的病历文书，确保病历内容与最新病情保持一致；</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允许医生对已录入的语音转写内容及文本内容实时编辑和删除，所有数据加密传输并留存完整操作日志，保障数据安全与可追溯性；</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语音及文本转写过程中须自动执行术语归一化处理，结构化输出症状、体征、检验值等关键字段信息，为后续病历智能生成提供规范化数据基础；</w:t>
            </w:r>
            <w:r/>
          </w:p>
          <w:p>
            <w:pPr>
              <w:numPr>
                <w:ilvl w:val="0"/>
                <w:numId w:val="6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结合患者病历文书及检验检查报告数据，自动监测并识别患者存在的阳性指征，归纳总结并呈现给医生，辅助中医临床诊断判断。</w:t>
            </w:r>
            <w:r/>
          </w:p>
        </w:tc>
      </w:tr>
      <w:tr>
        <w:trPr>
          <w:trHeight w:val="752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预问诊记录引用</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门诊病历界面须提供"预问诊病历"入口，支持查看与当前患者同一天挂号时间所有科室的预问诊病历（含已发送和待发送状态），展示预问诊科室、挂号时间，点击具体科室可查看详细内容；</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自动判断患者是否存在同一天（挂号日期与门诊日期相同）的预问诊记录（已发送+待发送状态），若无符合条件记录则将"预问诊病历"按钮置灰不可点击，避免无效操作；</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未生成病历状态下须支持一键引用：点击后自动跳转到病历生成页面并显示"正在引用预问诊病历"提示；</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重新生成时根据预问诊原始对话记录及新录入内容重新生成，内容冲突以最新录入为准；</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单字段引用按钮此状态下置灰不可点击；已生成病历状态下一键引用须弹窗确认，确认后将预问诊内容作为补充与现有病历合并去重融入生成；</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重新生成时根据原录入内容、预问诊原始对话记录及新录入内容综合生成，冲突以最新录入为准；</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已生成病历状态下须支持单字段级别引用，弹窗确认后将预问诊对应字段内容与现有病历对应字段合并去重、其他字段保持不变；</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重新生成时综合原录入、导入及新录入内容生成，冲突以最新录入为准；预问诊病历引用须支持开关配置，默认手动引用模式，可按中医院需求配置为自动引用模式，满足不同工作流程灵活适配；</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一键复制和单字段复制两种方式，一键复制包含字段名称及对应内容，单字段复制仅复制该字段对应内容，便于医生灵活使用预问诊信息；</w:t>
            </w:r>
            <w:r/>
          </w:p>
          <w:p>
            <w:pPr>
              <w:numPr>
                <w:ilvl w:val="0"/>
                <w:numId w:val="6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查看预问诊原始对话记录全文，并支持预览预问诊病历中患者上传的影像、检查报告等资料附件。</w:t>
            </w:r>
            <w:r/>
          </w:p>
        </w:tc>
      </w:tr>
      <w:tr>
        <w:trPr>
          <w:trHeight w:val="223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语音智能处理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须对问诊录入的语音内容执行内容降噪与无关信息过滤，识别并去除环境杂音、非问诊类闲聊、无效语气词、口语化冗余描述等无关信息，通过降噪优化语音纯净度，确保后续病历生成输入内容精准干净；基于大语言模型基座能力，从清洗后的语音及文本内容中自动提取有效病情特征信息，过滤口语化描述等冗余内容，为中医病历结构化生成提供高质量数据输入。</w:t>
            </w:r>
            <w:r/>
          </w:p>
        </w:tc>
      </w:tr>
      <w:tr>
        <w:trPr>
          <w:trHeight w:val="783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智能病历生成引擎</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具备基于医疗大语言模型基座的智能病历生成引擎，能基于多维度病情数据（患者基础信息、诊疗数据及病史趋势）智能适配中医院病历规范，自动生成结构化电子病历，实现从原始数据采集到深度分析的全流程内容整合；</w:t>
            </w:r>
            <w:r/>
          </w:p>
          <w:p>
            <w:pPr>
              <w:numPr>
                <w:ilvl w:val="0"/>
                <w:numId w:val="6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融合医患对话语音录入、患者在本院历次住院病历文书、检验检查报告、体征数据等多源异构数据，作为病历智能生成的数据基础，通过深度语义分析和知识推理实现多源信息综合利用；能对主诉、现病史等核心内容智能归纳总结，主诉需包含主要症状及持续时间且字数控制在20字以内（如"发热、咳嗽5天"），提升病历准确性与规范性；既往史、个人史、月经史、婚育史、家族史等内容自动按本院各科室（含中医专科）模板规范结构化输出，确保生成内容与现有科室病历格式一致，满足不同专科个性化模板需求；</w:t>
            </w:r>
            <w:r/>
          </w:p>
          <w:p>
            <w:pPr>
              <w:numPr>
                <w:ilvl w:val="0"/>
                <w:numId w:val="6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成的各类型病历须严格按中医院设定的模板标准自动生成，段落格式、标题层级（如一级标题"现病史"、二级标题"症状描述"）有明显区分，字体字号统一，不同类型病历格式规范清晰可辨，不得出现内容混乱；</w:t>
            </w:r>
            <w:r/>
          </w:p>
          <w:p>
            <w:pPr>
              <w:numPr>
                <w:ilvl w:val="0"/>
                <w:numId w:val="6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病历中涉及的所有时间节点（发病、就诊、入院、手术、查房、检查时间等）须统一采用标准日期时间格式生成，确保时间记录准确一致，便于后续追溯与统计；</w:t>
            </w:r>
            <w:r/>
          </w:p>
          <w:p>
            <w:pPr>
              <w:numPr>
                <w:ilvl w:val="0"/>
                <w:numId w:val="6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成的门诊及住院病历须包含《电子病历基本规范》要求的全部必填项目（主诉、现病史、既往史、过敏史、诊断、处置等），内容须符合医生书写逻辑，现病史需完整连续逻辑清楚、体现患者症状起始发展加重或缓解的完整过程，中医病历还须体现四诊合参的辨证思路。</w:t>
            </w:r>
            <w:r/>
          </w:p>
        </w:tc>
      </w:tr>
      <w:tr>
        <w:trPr>
          <w:trHeight w:val="720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门诊病历智能生成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基于采集的病情数据自动生成结构化急诊病历正文，含主诉、现病史、既往史、过敏史、个人史、婚育史、家族史、查体、辅助检查等字段，基于大模型自动过滤口语化描述等冗余信息、提取有效病情特征生成规范急诊记录；</w:t>
            </w:r>
            <w:r/>
          </w:p>
          <w:p>
            <w:pPr>
              <w:numPr>
                <w:ilvl w:val="0"/>
                <w:numId w:val="6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急诊记录须支持自动开启录音的开关配置（默认关闭），以及录入后自动生成病历的开关配置（默认关闭，可配置为手动点击"生成病历"按钮触发），满足不同医生操作习惯灵活适配；</w:t>
            </w:r>
            <w:r/>
          </w:p>
          <w:p>
            <w:pPr>
              <w:numPr>
                <w:ilvl w:val="0"/>
                <w:numId w:val="6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采集的病情数据自动生成结构化门诊病历正文，含主诉、现病史、既往史、过敏史、个人史、婚育史、家族史、查体、辅助检查等字段，基于大模型自动过滤冗余信息并提取有效病情特征，生成符合门诊病历规范的电子病历文书；</w:t>
            </w:r>
            <w:r/>
          </w:p>
          <w:p>
            <w:pPr>
              <w:numPr>
                <w:ilvl w:val="0"/>
                <w:numId w:val="6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门诊记录须支持自动开启录音的开关配置（默认关闭），以及录入后自动生成病历的开关配置（默认关闭，可配置为手动点击"生成病历"按钮触发），满足不同医生操作习惯灵活适配；</w:t>
            </w:r>
            <w:r/>
          </w:p>
          <w:p>
            <w:pPr>
              <w:numPr>
                <w:ilvl w:val="0"/>
                <w:numId w:val="6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能基于当前门诊患者的院内历史就诊数据，自动识别患者为初诊或复诊状态，为后续差异化病历生成提供判断依据；</w:t>
            </w:r>
            <w:r/>
          </w:p>
          <w:p>
            <w:pPr>
              <w:numPr>
                <w:ilvl w:val="0"/>
                <w:numId w:val="6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在系统后台灵活配置复诊识别规则，如可配置"近3个月内挂号同一科室的患者定为复诊"等规则，适应不同中医院业务定义；</w:t>
            </w:r>
            <w:r/>
          </w:p>
          <w:p>
            <w:pPr>
              <w:numPr>
                <w:ilvl w:val="0"/>
                <w:numId w:val="6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根据患者复诊情况自动拉取相应院内历史就诊数据，基于历史就诊数据及本次就诊问诊数据，生成更符合患者当下病情变化的针对性复诊病历，体现病情演变与诊疗延续性。</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住院病历智能生成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系统须支持在患者已有首次病程记录情况下，直接根据首次病程记录内容智能生成入院记录，实现住院文书间数据联动与内容复用，减少医生重复录入工作量；</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语音/文字录入病史，融合医患对话语音录入、本院历史病历、检验检查报告及体征等多源数据，通过深度语义分析和知识推理智能生成结构化入院记录，文书格式符合院内住院病历模板规范，含患者基本信息、主诉、现病史、既往史等完整字段；</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在患者已有入院记录情况下，直接根据入院记录内容智能生成首次病程记录，实现入院记录与首次病程记录之间的数据联动；</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通过语音/文字录入病史，融合医患对话语音录入及历史诊疗信息智能生成首次病程记录，内容含病例特点（病情回顾、查体、辅助检查）、初步诊断、诊断依据、鉴别诊断及诊疗计划等结构化字段；</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根据不同科室临床需求，自定义配置首次病程记录中输出最相关鉴别诊断的数量，满足各专科对鉴别诊断深度的差异化要求；</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患者全住院周期数据（首次病程记录、检验报告、手术记录、用药记录等），自动调用院内标准化模板生成结构化出院记录，结合入院诊断及出院诊疗经过等数据系统梳理诊疗过程，同时提供诊疗过程可视化回溯能力；</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出院记录中住院期间主要检查结果须支持按时间正序、时间倒序、种类排序三种方式呈现，默认按时间正序排列，检验结果和检查结果分别独立排序，便于医生快速查阅；</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患者出院记录或全住院周期数据（首次病程记录、检验报告、手术记录、用药记录等）自动生成疾病证明书，内容含患者工作单位（或住址）、入院日期、出院日期、共住院天数、出院诊断、出院医嘱及建议等字段；</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手术模板自动提取医生录音或文本描述中的手术记录变量特征值，含手术部位、术式、入路、器官状态、器官大小、器官病变等，支持手术记录自动结构化，提取自定义的特征名称和特征值；</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各科室现有手术记录模板后台配置，便于模板自定义和管理，满足不同科室及手术类型实际需求；</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前端界面支持医生灵活选择手术记录模板，由大模型结合相关录入信息自动生成手术记录文本；</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语音/文字录入查房信息，并支持无需录入即可生成查房记录模式：</w:t>
            </w:r>
            <w:r/>
          </w:p>
          <w:p>
            <w:pPr>
              <w:numPr>
                <w:ilvl w:val="0"/>
                <w:numId w:val="6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上次查房日期自动获取自上次查房至今所有检验检查报告、会诊记录及最新生命体征，结合首次病程记录、当日新开医嘱等信息智能生成所选日期查房记录，同时提供病情分析与诊疗建议，辅助医生日常诊疗工作。</w:t>
            </w:r>
            <w:r/>
          </w:p>
        </w:tc>
      </w:tr>
      <w:tr>
        <w:trPr>
          <w:trHeight w:val="535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辅助诊断与决策建议</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6"/>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系统须具备基于大语言模型基座的智能辅助诊断能力，能对医生提供的主诉、现病史、体征、检验检查结果等信息综合分析，自动提示可能诊断方向、常见鉴别诊断及必要检查建议；</w:t>
            </w:r>
            <w:r/>
          </w:p>
          <w:p>
            <w:pPr>
              <w:numPr>
                <w:ilvl w:val="0"/>
                <w:numId w:val="6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支持医生选择、确认或编辑建议内容；</w:t>
            </w:r>
            <w:r/>
          </w:p>
          <w:p>
            <w:pPr>
              <w:numPr>
                <w:ilvl w:val="0"/>
                <w:numId w:val="6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中医、西医等不同专科场景下的诊断模型优化与持续迭代；基于大语言模型，根据急诊记录或门诊记录录入的病情信息自动给出初步诊断、进一步检验检查建议、推荐治疗方案（含检查、用药建议）、注意事项及复诊计划，结合录入病情和以往病史为医生提供综合决策支持；</w:t>
            </w:r>
            <w:r/>
          </w:p>
          <w:p>
            <w:pPr>
              <w:numPr>
                <w:ilvl w:val="0"/>
                <w:numId w:val="6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基于大语言模型，根据录入病情及入院记录等信息自动生成诊疗计划并提供决策建议，提高住院诊疗决策的科学性和准确性；</w:t>
            </w:r>
            <w:r/>
          </w:p>
          <w:p>
            <w:pPr>
              <w:numPr>
                <w:ilvl w:val="0"/>
                <w:numId w:val="6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基于大语言模型，根据首次病程记录等住院周期信息自动生成出院注意事项及复诊计划，提供出院决策建议，辅助医生完善出院指导内容；</w:t>
            </w:r>
            <w:r/>
          </w:p>
          <w:p>
            <w:pPr>
              <w:numPr>
                <w:ilvl w:val="0"/>
                <w:numId w:val="66"/>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日常查房记录生成时须同时提供病情分析与诊疗建议，基于大模型自动过滤口语化描述等冗余信息、提取有效病情特征，辅助医生进行日常诊疗决策。</w:t>
            </w:r>
            <w:r/>
          </w:p>
        </w:tc>
      </w:tr>
      <w:tr>
        <w:trPr>
          <w:trHeight w:val="2888"/>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中医特色病历应用</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系统须支持与中医四诊仪对接，自动获取舌象、脉象等四诊客观数据，并作为病情采集的数据来源之一纳入病历生成的多源数据基础；</w:t>
            </w:r>
            <w:r/>
          </w:p>
          <w:p>
            <w:pPr>
              <w:numPr>
                <w:ilvl w:val="0"/>
                <w:numId w:val="6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预设中医专科（如治未病科、针灸科、推拿科等）病历文书模板，支持医生在相应科室场景下便捷调用，生成结果支持结构化回写至电子病历系统；</w:t>
            </w:r>
            <w:r/>
          </w:p>
          <w:p>
            <w:pPr>
              <w:numPr>
                <w:ilvl w:val="0"/>
                <w:numId w:val="67"/>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基于采集的病情数据（含四诊信息）智能生成中医诊断内容，作为病历诊断字段的组成部分；基于患者症状、体征及四诊数据智能生成中医证候（辨证）结果，作为病历中医诊断的配套内容体现辨证论治过程。</w:t>
            </w:r>
            <w:r/>
          </w:p>
        </w:tc>
      </w:tr>
      <w:tr>
        <w:trPr>
          <w:trHeight w:val="371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病历管理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8"/>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生成后的病历须支持医生在线预览完整内容并可手动编辑修改，确保医生对生成内容拥有最终审核与调整权限；</w:t>
            </w:r>
            <w:r/>
          </w:p>
          <w:p>
            <w:pPr>
              <w:numPr>
                <w:ilvl w:val="0"/>
                <w:numId w:val="6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将生成的病历内容复制到系统剪贴板，方便粘贴至HIS等外部系统；</w:t>
            </w:r>
            <w:r/>
          </w:p>
          <w:p>
            <w:pPr>
              <w:numPr>
                <w:ilvl w:val="0"/>
                <w:numId w:val="6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同时支持一键复制（含字段名称及内容）和单字段复制（仅复制字段对应内容，含中医诊断、证候等字段）两种方式；</w:t>
            </w:r>
            <w:r/>
          </w:p>
          <w:p>
            <w:pPr>
              <w:numPr>
                <w:ilvl w:val="0"/>
                <w:numId w:val="6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根据已录入内容重新分析病情并重新生成病历，满足医生对生成结果不满意时的重新生成需求；</w:t>
            </w:r>
            <w:r/>
          </w:p>
          <w:p>
            <w:pPr>
              <w:numPr>
                <w:ilvl w:val="0"/>
                <w:numId w:val="6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一键重置当前病历功能，重置后根据已录入的医患对话内容重新生成病历，恢复到基于原始录入数据的生成状态；</w:t>
            </w:r>
            <w:r/>
          </w:p>
          <w:p>
            <w:pPr>
              <w:numPr>
                <w:ilvl w:val="0"/>
                <w:numId w:val="68"/>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记录同一患者同一份文书最新一次生成操作的完整信息，支持追溯原始输入数据和生成结果，确保病历生成过程可追溯。</w:t>
            </w:r>
            <w:r/>
          </w:p>
        </w:tc>
      </w:tr>
      <w:tr>
        <w:trPr>
          <w:trHeight w:val="1857"/>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系统集成与回写</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69"/>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系统须与HIS电子病历系统对接，支持将生成的病历内容一键回写至HIS系统指定位置，保持与就诊记录同步一致；</w:t>
            </w:r>
            <w:r/>
          </w:p>
          <w:p>
            <w:pPr>
              <w:numPr>
                <w:ilvl w:val="0"/>
                <w:numId w:val="6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具体回写方式须根据中医院实际接口规范确定，确保数据与业务系统高效集成；</w:t>
            </w:r>
            <w:r/>
          </w:p>
          <w:p>
            <w:pPr>
              <w:numPr>
                <w:ilvl w:val="0"/>
                <w:numId w:val="69"/>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将病历中单字段内容独立回写至HIS系统对应字段，满足医生对部分内容选择性回写的灵活需求。</w:t>
            </w:r>
            <w:r/>
          </w:p>
        </w:tc>
      </w:tr>
      <w:tr>
        <w:trPr>
          <w:trHeight w:val="2241"/>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高并发智能排队</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7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系统须在大模型并发调用超限时提供智能排队功能，在病历生成步骤位置实时显示前方排队人数和预计等待时间，排队人数根据前方实际排队人数动态实时反馈，确保高峰期用户体验；</w:t>
            </w:r>
            <w:r/>
          </w:p>
          <w:p>
            <w:pPr>
              <w:numPr>
                <w:ilvl w:val="0"/>
                <w:numId w:val="7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预估等待时长须根据文书类型及排队人数动态计算，计算公式为：上一次同类型文书生成时长×同类型文书等待人数÷并发数；</w:t>
            </w:r>
            <w:r/>
          </w:p>
          <w:p>
            <w:pPr>
              <w:numPr>
                <w:ilvl w:val="0"/>
                <w:numId w:val="70"/>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时间显示规则为不足一分钟显示秒数，超过一分钟四舍五入显示整数分钟。</w:t>
            </w:r>
            <w:r/>
          </w:p>
        </w:tc>
      </w:tr>
      <w:tr>
        <w:trPr>
          <w:trHeight w:val="381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移动端智能查房</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71"/>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移动端须支持通过链接携带安全凭证免密登录，医生在PC端扫码或点击链接可直接跳过登录页进入手机端；</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登录成功后显示"登录成功"提示，自动跳转到患者列表页；</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移动端页面顶部须提供入院记录、首次病程记录、查房记录三类记录切换标签；</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下方以卡片列表展示患者信息，每张卡片含姓名、性别、年龄、床号、入院日期、病案号、备注等字段；</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每张患者卡片右下方须设置"开始录音"按钮，点击即唤起录音弹窗；</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点击卡片主体区域可打开该患者的录音列表弹窗查看历史录音记录；患者列表须支持滚动分页加载，滑到底部附近自动加载下一页并显示"加载中…”状态提示；</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全部加载完显示"没有更多数据了”；列表为空时显示占位图和"暂无患者数据"提示；进入或返回页面时自动刷新列表数据；</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列表顶部须提供搜索栏，左侧为筛选维度下拉（全部/床号/姓名/病案号），右侧为输入框；切换维度后输入框占位提示相应变化并清空已输入关键字；</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输入时带适当防抖延迟，停顿后自动发起搜索并重置到第一页；"全部"维度下同时匹配姓名、床号、病案号；</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新增患者功能，表单含姓名、性别（男/女）、年龄、入院时间、类型（入院记录/首次病程记录/查房记录）、床号、病案号、备注等字段；</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除性别和类型外至少填写一项即可提交；入院时间通过底部弹出的日期选择器选择；新增患者提交成功后须显示"新增成功"提示并自动返回患者列表；</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交失败时给出错误提示，按钮恢复可点击状态允许重试；页面须提供独立返回按钮支持取消操作；点击"开始录音"后须先通过环境与设备检测，通过后弹出录音面板，面板提供录音状态动画、计时显示及取消、暂停/继续、确认等操作按钮；</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暂停/继续按钮须在两种状态间切换，录音状态动画相应停止或恢复；录音过程中其他患者的录音按钮须置灰，避免并发录音冲突；</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确认后录音自动保存到该患者名下并自动打开该患者的录音列表弹窗；底部弹出的录音列表弹层，顶部显示患者姓名，每条录音展示识别后的文字内容、播放按钮、时长、波形及编辑按钮；</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支持点击录音卡片选中/取消选中，选中后显示明显的选中标识；录音列表中点击播放按钮可播放/暂停录音，播放进度须实时高亮显示，直观呈现播放位置；</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录音列表底部须提供取消、删除、上传到PC端等操作按钮；删除按钮在未选中录音时置灰，选中后支持批量删除；上传按钮支持将勾选的录音批量回传到PC端；</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在录音列表中点击编辑按钮打开编辑弹窗，展示患者姓名、可编辑的语音识别文字及录音播放器（播放按钮+波形+时长），医生可直接修改识别出的文字内容并保存；</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录音回传过程中须给出进行中提示，完成后显示"上传成功"绿色提示；失败时显示"上传失败"红色提示，不删除本地录音并允许重试；</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上传成功的录音须出现在PC端对应患者名下，医生回到PC端即可据此撰写病历；</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打开录音时系统须依次检查：当前是否为安全环境（HTTPS或本地开发），否则提示"需在HTTPS环境下使用"；</w:t>
            </w:r>
            <w:r/>
          </w:p>
          <w:p>
            <w:pPr>
              <w:numPr>
                <w:ilvl w:val="0"/>
                <w:numId w:val="71"/>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浏览器是否支持录音能力，否则提示浏览器版本要求；患者是否具备就诊编号，否则提示该用户无法录音。</w:t>
            </w:r>
            <w:r/>
          </w:p>
        </w:tc>
      </w:tr>
      <w:tr>
        <w:trPr>
          <w:trHeight w:val="2799"/>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多院区适配</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72"/>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系统须支持根据URL参数或登录信息自动识别当前所在院区，并根据不同院区部署要求动态调整界面功能模块的显隐、数据来源及字段映射关系；</w:t>
            </w:r>
            <w:r/>
          </w:p>
          <w:p>
            <w:pPr>
              <w:numPr>
                <w:ilvl w:val="0"/>
                <w:numId w:val="7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内网部署场景特殊适配，含隐藏记录类型切换标签与新增患者入口、搜索筛选维度中去除"病案号"选项、患者数据来源切换为中医院内网在院患者列表并进行字段兼容映射；</w:t>
            </w:r>
            <w:r/>
          </w:p>
          <w:p>
            <w:pPr>
              <w:numPr>
                <w:ilvl w:val="0"/>
                <w:numId w:val="72"/>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在特定部署场景下进入患者列表时主动检测麦克风设备数量，无麦克风时弹窗提示且患者卡片上的录音按钮置灰不可点击，确保录音功能在硬件就绪后方可使用。</w:t>
            </w:r>
            <w:r/>
          </w:p>
        </w:tc>
      </w:tr>
      <w:tr>
        <w:trPr>
          <w:trHeight w:val="2784"/>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用户反馈</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73"/>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系统须支持用户在前端对生成的病历内容多维度评价，含1-5颗星打分评级、多选项"生成式病历在哪些方面对工作有帮助"、多选项"本次生成式病历有哪些内容还需要改善"、自由文字输入评价。</w:t>
            </w:r>
            <w:r/>
          </w:p>
          <w:p>
            <w:pPr>
              <w:numPr>
                <w:ilvl w:val="0"/>
                <w:numId w:val="7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四项均为选填，至少完成一项即可提交，系统收集反馈数据以供系统运维团队持续改进大模型生成效果；</w:t>
            </w:r>
            <w:r/>
          </w:p>
          <w:p>
            <w:pPr>
              <w:numPr>
                <w:ilvl w:val="0"/>
                <w:numId w:val="73"/>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后台须支持根据文书类型、患者姓名、科室、主治医生、更新时间等条件查询已提交反馈记录，并支持查看具体病历反馈详细内容，便于系统运维团队针对性分析与优化。</w:t>
            </w:r>
            <w:r/>
          </w:p>
        </w:tc>
      </w:tr>
      <w:tr>
        <w:trPr>
          <w:trHeight w:val="330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后台管理</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74"/>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系统须提供通用病历模板，可在此基础上参照院内标准（含中医专科书写习惯）并结合医生个人书写习惯个性化调整后应用；</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模板导入须支持密码保护机制，确保模板资产安全性；</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板导入时须支持以下配置：选择所要配置的科室（单选，含中医专科科室）、选择绑定的大模型、选择文书类型（支持急诊记录、门诊记录、入院记录、首次病程记录、出院记录、疾病证明书、日常查房记录），并提供提交与重置操作；</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管理员统一管理全院病历记录的后台功能，支持通过多种条件（姓名、visitID、就诊类型、所属科室、病历模板、来源、创建人、更新时间等）检索并分页显示病历记录，同时支持修改病历入参及内容；</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针对医联体或多院区部署场景，系统须提供多层级目录树管理能力，实现不同院区、不同终端的病历模板个性化隔离与精细化管理，确保各机构模板资产互不干扰；</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全局视角的模板管理大盘，集中展示入院记录、首次病程记录、出院小结等各类文书模板总览信息，直观呈现底层算力分配及版本迭代动态，便于系统管理人员掌控全局模板资产状态；</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从零新建个性化病历模板，同时提供全局"复制/粘贴"机制，允许系统管理员将试点科室调优成熟的AI生成模板及提示词一键克隆至其他科室或院区，大幅缩短系统上线周期；</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模板资产导出能力，支持将成熟的病历生成规则、数据映射关系打包导出，满足医疗内网环境下跨环境迁移（如从测试环境无缝导入至正式生产环境），或多院区间优秀模板共享复用；</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引入严格的模板版本控制体系，精确记录每次大模型提示词或规则更新的责任人与时间；</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当新版本模板在临床生成病历时出现偏差或不符合质控要求时，须支持一键回退至历史稳定版本，保障医疗文书严谨性与安全性；</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为单份病历模板提供"概要、设置、数据、模板、调试"五位一体的配置工作台，将业务属性、数据来源、大模型提示词（Prompt）解耦管理，实现复杂医疗场景下精细化调优，摒弃黑盒模式；</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在模板联调阶段支持动态切换底层基础模型并绑定特定模板版本，允许工程师对比不同大模型在处理同一种病历（如长文本出院小结与短文本门诊病历）时的生成效果，实现算力与场景最优匹配；</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置开发者友好的结构化仿真环境，系统管理人员可直接输入含主诉、现病史及复杂嵌套结构（如患者身份、病区床号、入院时间等）的JSON报文，真实模拟中医院HIS/EMR系统数据推流，验证系统对临床数据的解析能力；</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对照联调视图，左侧运行"调试模拟数据"，右侧实时捕获并展示"线上真实数据"，帮助系统管理人员在系统上线前直观比对AI在理想测试环境与真实复杂临床环境下的病历生成差异，确保模型输出鲁棒性；</w:t>
            </w:r>
            <w:r/>
          </w:p>
          <w:p>
            <w:pPr>
              <w:numPr>
                <w:ilvl w:val="0"/>
                <w:numId w:val="74"/>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调试功能用于出现问题时快速定位Bug，点击调试按钮即可查看完整入参和完整返回值，支持修改入参后重新调试返回值，辅助技术人员高效排查与优化。</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使用统计分析</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top"/>
            <w:textDirection w:val="lrTb"/>
            <w:noWrap w:val="false"/>
          </w:tcPr>
          <w:p>
            <w:pPr>
              <w:numPr>
                <w:ilvl w:val="0"/>
                <w:numId w:val="75"/>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数据统计须支持按日、周、月、年四个维度筛选：日维度支持选择当天及以前日期，周维度固定选择连续7天，月维度按月选择，年维度按年选择；</w:t>
            </w:r>
            <w:r/>
          </w:p>
          <w:p>
            <w:pPr>
              <w:numPr>
                <w:ilvl w:val="0"/>
                <w:numId w:val="7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以柱状图展示统计区间内的生成病历份数、回写病历次数、使用语音次数（录入成功）三项核心指标，鼠标移入横坐标某日期区间须同时显示三项指标具体数值；</w:t>
            </w:r>
            <w:r/>
          </w:p>
          <w:p>
            <w:pPr>
              <w:numPr>
                <w:ilvl w:val="0"/>
                <w:numId w:val="7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默认展示以当天为维度向前推7天数据，支持用户自由筛选；以条形图展示统计区间内按生成病历份数由多到少倒序排列的Top10科室排行，条形图右侧显示各科室对应生成份数数值；</w:t>
            </w:r>
            <w:r/>
          </w:p>
          <w:p>
            <w:pPr>
              <w:numPr>
                <w:ilvl w:val="0"/>
                <w:numId w:val="7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漏斗图展示使用转化分析：语音和生成病历转化率=生成病历数÷语音使用数（百分比）；生成病历和回写的转化率=回写病历数÷生成病历数×百分比，均保留0位小数并四舍五入；明确各项运营指标统计口径：生成病历份数统计所有科室门诊和住院成功生成的病历数量；语音录入统计成功录入次数；</w:t>
            </w:r>
            <w:r/>
          </w:p>
          <w:p>
            <w:pPr>
              <w:numPr>
                <w:ilvl w:val="0"/>
                <w:numId w:val="7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写病历统计回写成功次数（含单项回写和一键回写）；节省病历书写时长统计；以峰值图根据所选统计区间显示病历生成份数的时间分布，其中"日"维度时须区分显示上午和下午的生成峰值情况，辅助管理者了解系统使用高峰时段；</w:t>
            </w:r>
            <w:r/>
          </w:p>
          <w:p>
            <w:pPr>
              <w:numPr>
                <w:ilvl w:val="0"/>
                <w:numId w:val="7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折线图展示统计区间内门诊和住院所有模板的生成份数趋势，鼠标移入横坐标某日期区间须显示所有已选模板类型的具体数值；以饼状图展示统计区间内门诊和住院分别生成病历份数占比，直观呈现两类就诊场景的病历生成分布情况；</w:t>
            </w:r>
            <w:r/>
          </w:p>
          <w:p>
            <w:pPr>
              <w:numPr>
                <w:ilvl w:val="0"/>
                <w:numId w:val="7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根据姓名、visitID、就诊类型、所属科室、病历模板、来源、创建人、更新时间等多条件组合查询已生成病历记录，并以分页形式展示查询结果；</w:t>
            </w:r>
            <w:r/>
          </w:p>
          <w:p>
            <w:pPr>
              <w:numPr>
                <w:ilvl w:val="0"/>
                <w:numId w:val="75"/>
              </w:num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统计指标须涵盖入院、出院、手术、病程记录等全类型病历生成数据，含但不限于生成份数、语音使用数、采纳病历次数、科室使用次数Top5、生成病历总数及节约病历书写时长等综合指标，为中医院管理决策提供数据支撑。</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智能数据助手</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智能问答</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1.支持通过自然语言问答，多轮对话方式查询维度及指标组合数据，指标体系内数据查询2.面对模糊询问，支持进行多轮对话确认所问指标并给出准确数据，不随意编造。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3.支持对于标准口径获取的数据和智能体自身计算得来的数据进行区分。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4．支持渲染表格和常用统计图表，如柱图、饼图、条形图等；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5.支持查看明细数据并下载CSV文件；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6.支持将分析结论一键导出为Word报告；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7.智能体支持创建插件、技能。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8.智能体支持上传知识至公开知识库及私有知识库，支持上传术语至术语库。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9.支持按全院-科室-用户等细分部门用户进行权限控制，可根据用户权限查看相关数据。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left w:val="single" w:color="000000" w:sz="4" w:space="0"/>
              <w:right w:val="single" w:color="000000" w:sz="4" w:space="0"/>
            </w:tcBorders>
            <w:tcW w:w="6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智能报告</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1.支持针对指标设置固定阈值、指标间比较及公式计算等预警条件，可配置大于、小于、等于、区间等判断方式；支持通过组合条件实现同比、环比、累计次数等复杂预警场景。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2.支持针对不同院区、科室等组织机构，对同一指标统一配置预警规则，系统可根据组织维度自动执行监测，无需为每个机构重复创建规则。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3.支持通过自动化任务执行预警监测，可设置单次、周期性及自定义频率等执行方式；支持查看任务执行情况及预警结果，实现预警规则的持续运行和统一管理。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4.支持将预警指标、触发条件、异常结果等信息推送给相关负责人；支持平台内通知、邮件、短信、企业微信、钉钉、飞书等多种推送方式。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5.支持创建预警规则、评分规则和标签规则，为运营监测、绩效评价、患者画像及业务对象分类等场景提供统一的规则管理能力。</w:t>
            </w:r>
            <w:r/>
          </w:p>
        </w:tc>
      </w:tr>
      <w:tr>
        <w:trPr>
          <w:trHeight w:val="4833"/>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left w:val="single" w:color="000000" w:sz="4" w:space="0"/>
              <w:right w:val="single" w:color="000000" w:sz="4" w:space="0"/>
            </w:tcBorders>
            <w:tcW w:w="6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智能预警</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1.支持针对指标设置固定阈值、指标间比较及公式计算等预警条件，可配置大于、小于、等于、区间等判断方式；支持通过组合条件实现同比、环比、累计次数等复杂预警场景。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2.支持针对不同院区、科室等组织机构，对同一指标统一配置预警规则，系统可根据组织维度自动执行监测，无需为每个机构重复创建规则。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3.支持通过自动化任务执行预警监测，可设置单次、周期性及自定义频率等执行方式；支持查看任务执行情况及预警结果，实现预警规则的持续运行和统一管理。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4.支持将预警指标、触发条件、异常结果等信息推送给相关负责人；支持平台内通知、邮件、短信、企业微信、钉钉、飞书等多种推送方式。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5.支持创建预警规则、评分规则和标签规则，为运营监测、绩效评价、患者画像及业务对象分类等场景提供统一的规则管理能力。</w:t>
            </w:r>
            <w:r/>
          </w:p>
        </w:tc>
      </w:tr>
      <w:tr>
        <w:trPr>
          <w:trHeight w:val="1043"/>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left w:val="single" w:color="000000" w:sz="4" w:space="0"/>
              <w:bottom w:val="single" w:color="000000" w:sz="4" w:space="0"/>
              <w:right w:val="single" w:color="000000" w:sz="4" w:space="0"/>
            </w:tcBorders>
            <w:tcW w:w="640"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智能预测</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1.支持指标时序预测能力：支持ARIMA、Prophet、XGBoost等多种时间序列预测算法，基于历史数据完成医疗指标趋势预测；</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中医经络检测仪</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设备组成及功能</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设备由主机，检测电极（手部电极和脚部电极），辅助电极（头部电极）.电极连接线。电源线。电源适配器。接地线和中医经络检测仪软件组成；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2.利用同步检测方式，对人体 24 穴位进行多维度全覆盖扫描，评估脏腑气血盛衰情况，并能通过经络修复代偿能力制定合理的干预方案；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3.无需手动取穴操作，检测时间≤60s秒；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4.通过双侧手部井穴采集电极、脚部井穴采集电极，头部辅助电极直接接触皮肤的检测方式，方便快捷地采集人体十二经络信息；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▲5.脉冲直流电检测技术，可同时对经络的功能状态与修复能力进行双向评估使检测结果更客观、更精准；检测过程无创无痛，检测时不需空腹；</w:t>
            </w:r>
            <w:r>
              <w:rPr>
                <w:rFonts w:hint="eastAsia" w:ascii="宋体" w:hAnsi="宋体" w:eastAsia="宋体" w:cs="宋体"/>
                <w:b/>
                <w:bCs/>
                <w:i w:val="0"/>
                <w:iCs w:val="0"/>
                <w:color w:val="000000"/>
                <w:sz w:val="20"/>
                <w:szCs w:val="20"/>
                <w:u w:val="none"/>
                <w:lang w:val="en-US" w:eastAsia="zh-CN" w:bidi="ar"/>
              </w:rPr>
              <w:t xml:space="preserve">（提供功能截图证明材料）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6.设备支持手动录入及扫码录入两种模式。能够录入受检者信息（ID 号，姓名，性别，出生日期，身高，体重）；能够显示电阻抗的数据，能够显示检测进度；能够显示报告；具有电极脱落错误提示，结束提示；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7.检测结果提示经络健康数值、虚实及症状描述，有利于对病位、病态、病势的分析，辩证结论符合临床基本症型；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8.工作站可查看并下载设备对应所有检测数据，帮助机构统计管理；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采用密码设置限制，只有授权用户可以访问软件，包括身份验证，权限控制；支持报告上传下发功能，支持医联体机构远程诊断，实现医疗资源共享；支持问诊功能，根据问诊表信息结合经络检测结果，实现精准个性化诊疗服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经络图由十二正经功能状态图和修复能力图两种图形组成。不同颜色分别代表受检者经络功能状态和修复能力的情况；支持对免疫风险，机能水平，精神压力，抗氧化能力，耗氧率以及自主神经等六大功能风险进行评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根据中医五行传变规律提供中医五行图及易发病位、关联病位提示；根据检测日期对应生成四季及二十四节气养生调理建议；具有体质倾向分析并给出具体干预方案，具有情志分析功能；可定制使用医院专属封面，并且支持自动绑定生成医生签名</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技术性能</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1.测量范围：100Ω～10000Ω；检测电压：≤24V（RMS）；检测电流：≤0.5mA</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软件系统</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1.设备搭载中医远程同质化系统工作站对十二正经的功能状态和修复能力多次检测进行智能自动化动态趋势分析，形成动态趋势图，可直观对比病情发展、康复进程；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2.支持生成群体报告，为指定人群设置标签，可精准分析某类人群的健康状况，适用于科研项目及健康数据统计；</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证书与资质</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rPr>
                <w:rFonts w:hint="default" w:ascii="宋体" w:hAnsi="宋体" w:eastAsia="宋体" w:cs="宋体"/>
                <w:i w:val="0"/>
                <w:iCs w:val="0"/>
                <w:color w:val="000000"/>
                <w:sz w:val="20"/>
                <w:szCs w:val="20"/>
                <w:u w:val="none"/>
                <w:lang w:val="en-US"/>
              </w:rPr>
            </w:pPr>
            <w:r>
              <w:rPr>
                <w:rFonts w:hint="eastAsia" w:ascii="宋体" w:hAnsi="宋体" w:eastAsia="宋体" w:cs="宋体"/>
                <w:b/>
                <w:bCs/>
                <w:i/>
                <w:iCs/>
                <w:color w:val="auto"/>
                <w:sz w:val="20"/>
                <w:szCs w:val="20"/>
                <w:u w:val="single"/>
                <w:lang w:val="en-US" w:eastAsia="zh-CN"/>
              </w:rPr>
              <w:t xml:space="preserve">提供医疗器械注册证</w: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配置项</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机（便携式）、检测电极（双侧手部，脚部电极）、辅助电极（头电极）、中医经络检测仪软件、中医远程同质化智能健康管理系统、辅助电极（头电极）、中医经络检测仪软件、中医远程同质化智能健康管理系统</w: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right w:val="single" w:color="000000" w:sz="4" w:space="0"/>
            </w:tcBorders>
            <w:tcW w:w="64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中医人工智能健康状态辨识系统</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调用流程</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1、调用“获取数据查询access_token”接口，使用设备 App 登录用户账号和密码获取授权令牌；授权令牌建议缓存后使用，避免频繁请求。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2、调用“检测报告检索”接口，在请求头中携带授权令牌，并指定检测人手机号、身份证号、体检码或检测记录ID 等查询条件，获取检测报告数据。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3、接口为 HTTP 接口，请求及响应数据格式为 JSON，业务数据位于响应结果的 result 字段中。</w: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left w:val="single" w:color="000000" w:sz="4" w:space="0"/>
              <w:right w:val="single" w:color="000000" w:sz="4" w:space="0"/>
            </w:tcBorders>
            <w:tcW w:w="640" w:type="dxa"/>
            <w:vAlign w:val="center"/>
            <w:vMerge w:val="continue"/>
            <w:textDirection w:val="lrTb"/>
            <w:noWrap w:val="false"/>
          </w:tcPr>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1、超时与重试应成对设置：读取超时必须大于接口正常响应时间，重试间隔应逐次递增，避免故障期间形成流量放大。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2、检测报告检索为幂等查询，失败后可安全重试；登录接口每次调用都会签发新令牌，重试前应先确认上一次调用是否已成功，避免重复登录。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3、批量拉取历史报告时，建议按时间窗口分段（单段不超过 30 天）并控制并发，避免对平台造成突发压力。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4、调用方应记录请求耗时、响应码与返回条数，便于定位性能瓶颈，并在异常时与平台侧核对调用日志。</w: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left w:val="single" w:color="000000" w:sz="4" w:space="0"/>
              <w:right w:val="single" w:color="000000" w:sz="4" w:space="0"/>
            </w:tcBorders>
            <w:tcW w:w="640" w:type="dxa"/>
            <w:vAlign w:val="center"/>
            <w:vMerge w:val="continue"/>
            <w:textDirection w:val="lrTb"/>
            <w:noWrap w:val="false"/>
          </w:tcPr>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1、传输安全，仅通过 HTTPS（TLS 1.2 及以上）调用，禁止使用明文 HTTP；客户端应校验证书有效性，禁止关闭证书校验。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2、凭据管理，tenant-id、username、password 不得硬编码在客户端或提交至代码仓库；password 须按 MD5 加密后传输，口令应定期更换。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3、令牌管理，accessToken 仅保存在服务端或受控的加密存储中，不得下发至浏览器、App 前端，不得拼接在 URL 中，不得明文写入日志。</w: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left w:val="single" w:color="000000" w:sz="4" w:space="0"/>
              <w:bottom w:val="single" w:color="000000" w:sz="4" w:space="0"/>
              <w:right w:val="single" w:color="000000" w:sz="4" w:space="0"/>
            </w:tcBorders>
            <w:tcW w:w="640" w:type="dxa"/>
            <w:vAlign w:val="center"/>
            <w:vMerge w:val="continue"/>
            <w:textDirection w:val="lrTb"/>
            <w:noWrap w:val="false"/>
          </w:tcPr>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检测报告检索</w:t>
            </w:r>
            <w:r/>
          </w:p>
        </w:tc>
        <w:tc>
          <w:tcPr>
            <w:shd w:val="clear" w:color="auto" w:fill="auto"/>
            <w:tcBorders>
              <w:top w:val="single" w:color="000000" w:sz="4" w:space="0"/>
              <w:left w:val="single" w:color="000000" w:sz="4" w:space="0"/>
              <w:bottom w:val="single" w:color="000000" w:sz="4" w:space="0"/>
              <w:right w:val="single" w:color="000000" w:sz="4" w:space="0"/>
            </w:tcBorders>
            <w:tcW w:w="61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1、检测人身份证号 idNumber、检测记录ID（流水号）recordId、体检码 checkCode、检测人手机号 phone 均未指定时，返回获取授权令牌使用的用户数据权限内的检测报告；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2、检测人身份证号 idNumber、检测记录ID（流水号）recordId、体检码 checkCode、检测人手机号 phone 只需指定一个，此时其它参数均无效。优先级：idNumber &gt; recordId &gt; checkCode &gt; phone。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3、开始时间 start 与结束时间 end 需同时指定时才生效；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4、开始时间与结束时间生效时，查询结果数量 size 无效；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5、最大支持查询时长为30天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6、时间支持常用格式设计</w:t>
            </w:r>
            <w:r/>
          </w:p>
        </w:tc>
      </w:tr>
      <w:tr>
        <w:trPr>
          <w:trHeight w:val="1600"/>
        </w:trPr>
        <w:tc>
          <w:tcPr>
            <w:gridSpan w:val="4"/>
            <w:shd w:val="clear" w:color="auto" w:fill="auto"/>
            <w:tcBorders>
              <w:top w:val="single" w:color="000000" w:sz="4" w:space="0"/>
              <w:left w:val="single" w:color="000000" w:sz="4" w:space="0"/>
              <w:bottom w:val="single" w:color="000000" w:sz="4" w:space="0"/>
              <w:right w:val="single" w:color="000000" w:sz="4" w:space="0"/>
            </w:tcBorders>
            <w:tcW w:w="8267" w:type="dxa"/>
            <w:vAlign w:val="bottom"/>
            <w:textDirection w:val="lrTb"/>
            <w:noWrap w:val="false"/>
          </w:tcPr>
          <w:p>
            <w:pPr>
              <w:jc w:val="left"/>
              <w:keepLines w:val="0"/>
              <w:keepNext w:val="0"/>
              <w:widowControl/>
              <w:rPr>
                <w:rFonts w:hint="eastAsia" w:ascii="宋体" w:hAnsi="宋体" w:eastAsia="宋体" w:cs="宋体"/>
                <w:b/>
                <w:bCs/>
                <w:i/>
                <w:iCs/>
                <w:color w:val="auto"/>
                <w:sz w:val="20"/>
                <w:szCs w:val="20"/>
                <w:u w:val="single"/>
                <w:lang w:val="en-US" w:eastAsia="zh-CN" w:bidi="ar"/>
              </w:rPr>
              <w:suppressLineNumbers w:val="0"/>
            </w:pPr>
            <w:r>
              <w:rPr>
                <w:rFonts w:hint="eastAsia" w:ascii="宋体" w:hAnsi="宋体" w:eastAsia="宋体" w:cs="宋体"/>
                <w:b/>
                <w:bCs/>
                <w:i/>
                <w:iCs/>
                <w:color w:val="000000"/>
                <w:sz w:val="20"/>
                <w:szCs w:val="20"/>
                <w:u w:val="single"/>
                <w:lang w:val="en-US" w:eastAsia="zh-CN" w:bidi="ar"/>
              </w:rPr>
              <w:t xml:space="preserve">投标人须充分知晓本项目实施所需的完整技术环境，为保障开发测试、进场验证、上线运行及质保期全流程的服务交付品质，应结合自身服务方案</w:t>
            </w:r>
            <w:r>
              <w:rPr>
                <w:rFonts w:hint="eastAsia" w:ascii="宋体" w:hAnsi="宋体" w:eastAsia="宋体" w:cs="宋体"/>
                <w:b/>
                <w:bCs/>
                <w:i/>
                <w:iCs/>
                <w:color w:val="000000"/>
                <w:sz w:val="20"/>
                <w:szCs w:val="20"/>
                <w:u w:val="single"/>
                <w:lang w:val="en-US" w:eastAsia="zh-CN" w:bidi="ar"/>
              </w:rPr>
              <w:t xml:space="preserve">配齐适配的算力设备、系统软件及配套运行环境。算力配置以稠密算力（INT8，不含稀疏加速）推理集群总算力不低于3200TOPS为参考基准，实际配置以全业务场景下系统稳定运行、性能与响应时效满足项目实际需求为核心目标。上述配套算力设备及相关环境资源由投标人自主配置、自主运维，相关设备为投标人提供服务所需的自有工具，不涉及采购人资产购置与权属变更；设备仅专项用于本项目服务交付，服务到期后投标人按期完成设备撤离与场地复原。涉及的设备采购、部署调试、适配优化及质保期运维等全部相关费用，均由投标人统筹计入本次投标总价，</w:t>
            </w:r>
            <w:r>
              <w:rPr>
                <w:rFonts w:hint="eastAsia" w:ascii="宋体" w:hAnsi="宋体" w:eastAsia="宋体" w:cs="宋体"/>
                <w:b/>
                <w:bCs/>
                <w:i/>
                <w:iCs/>
                <w:color w:val="auto"/>
                <w:sz w:val="20"/>
                <w:szCs w:val="20"/>
                <w:u w:val="single"/>
                <w:lang w:val="en-US" w:eastAsia="zh-CN" w:bidi="ar"/>
              </w:rPr>
              <w:t xml:space="preserve">采购人不另行支付任何费用。</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iCs/>
                <w:color w:val="auto"/>
                <w:sz w:val="20"/>
                <w:szCs w:val="20"/>
                <w:u w:val="single"/>
                <w:lang w:val="en-US" w:eastAsia="zh-CN" w:bidi="ar"/>
              </w:rPr>
              <w:t xml:space="preserve">（投标文件中提交加盖公章的《服务性能及资源配置承诺函》，承诺函格式自拟。承诺函应包含上述算力配置、运维保障、设备权属、费用承担等实质性内容，缺项或内容不完整的视为未实质性响应。）</w:t>
            </w:r>
            <w:r/>
          </w:p>
        </w:tc>
      </w:tr>
    </w:tbl>
    <w:p>
      <w:pPr>
        <w:rPr>
          <w:rFonts w:hint="eastAsia"/>
        </w:rPr>
      </w:pPr>
      <w:r>
        <w:rPr>
          <w:rFonts w:hint="eastAsia"/>
        </w:rPr>
      </w:r>
      <w:r/>
    </w:p>
    <w:p>
      <w:pPr>
        <w:pStyle w:val="997"/>
        <w:rPr>
          <w:rFonts w:hint="eastAsia"/>
          <w:sz w:val="28"/>
          <w:szCs w:val="28"/>
        </w:rPr>
      </w:pPr>
      <w:r>
        <w:rPr>
          <w:rFonts w:hint="eastAsia"/>
          <w:sz w:val="28"/>
          <w:szCs w:val="28"/>
        </w:rPr>
        <w:t xml:space="preserve">3.2“人工智能+”康养服务智慧病房</w:t>
      </w:r>
      <w:r/>
    </w:p>
    <w:tbl>
      <w:tblPr>
        <w:tblStyle w:val="999"/>
        <w:tblW w:w="4832" w:type="pct"/>
        <w:jc w:val="center"/>
        <w:tblLayout w:type="autofit"/>
        <w:tblCellMar>
          <w:left w:w="108" w:type="dxa"/>
          <w:top w:w="0" w:type="dxa"/>
          <w:right w:w="108" w:type="dxa"/>
          <w:bottom w:w="0" w:type="dxa"/>
        </w:tblCellMar>
        <w:tblLook w:val="04A0" w:firstRow="1" w:lastRow="0" w:firstColumn="1" w:lastColumn="0" w:noHBand="0" w:noVBand="1"/>
      </w:tblPr>
      <w:tblGrid>
        <w:gridCol w:w="416"/>
        <w:gridCol w:w="1152"/>
        <w:gridCol w:w="1064"/>
        <w:gridCol w:w="801"/>
        <w:gridCol w:w="824"/>
        <w:gridCol w:w="397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keepNex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Nex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技术参数</w:t>
            </w:r>
            <w:r/>
          </w:p>
        </w:tc>
      </w:tr>
      <w:tr>
        <w:trPr>
          <w:jc w:val="center"/>
          <w:trHeight w:val="9979"/>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699" w:type="pct"/>
            <w:vAlign w:val="center"/>
            <w:vMerge w:val="restart"/>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物联网基础设施平台</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全频数通边缘微站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1.工作频率：至少满足433-6425MHz；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2.增益：≥2.5@433MHz,≥2.3@470MHz,≥3.2@630MHz,≥5.1@868MHz,≥5.7@915MHz,≥6.6@2170MHz,≥6.3@2400MHz,≥6.4@2515MHz,≥6.8@3600MHz,≥7.3@5350MHz,≥7.4@5725MHz,≥7.2@6425MHz；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3.▲驻波比：≤4.4@433MHz，≤3.4@470MHz，≤1.8@630MHz，≤1.3@868MHz，≤1.3@915MHz，≤1.4@2170MHz，≤1.3@2400MHz，≤1.5@2515MHz，≤1.4@3600MHz，≤1.5@5350MHz，≤1.4@5725MHz，≤1.3@6425MHz；</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4、定位：内置定位模块，支持物联网定位功能，包含蓝牙、低频、红外定位功能；</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▲定位模块：支持802.11a/b/g/n协议、支持WiFi2.4GHz和5.8GHz双频连接,支持蓝牙；</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▲BLE配置：支持MAC地址黑、白名单过滤配置，支持NAME黑、白名单过滤，支持广播RSSI过滤配置；</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IBeacon配置：支持广播间隔、增益、通道、Major、Minor、UUID参数配置；</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▲DHCP：支持静态IP分配、支持动态IP获取；</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TCP通信：支持服务器TCP直连通信，IP及端口可配置；</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接口形式：N-Female；</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cs="宋体" w:eastAsiaTheme="minorEastAsia"/>
                <w:color w:val="ff0000"/>
                <w:sz w:val="20"/>
                <w:szCs w:val="20"/>
                <w:lang w:val="en-US" w:eastAsia="zh-CN"/>
              </w:rPr>
            </w:pPr>
            <w:r>
              <w:rPr>
                <w:rFonts w:hint="eastAsia" w:ascii="宋体" w:hAnsi="宋体" w:eastAsia="宋体" w:cs="宋体"/>
                <w:color w:val="auto"/>
                <w:sz w:val="20"/>
                <w:szCs w:val="20"/>
              </w:rPr>
              <w:t xml:space="preserve">全频数通单元</w:t>
            </w: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b w:val="0"/>
                <w:bCs w:val="0"/>
                <w:i w:val="0"/>
                <w:iCs w:val="0"/>
                <w:color w:val="auto"/>
                <w:sz w:val="20"/>
                <w:szCs w:val="20"/>
                <w:u w:val="none"/>
                <w:lang w:val="en-US" w:eastAsia="zh-CN" w:bidi="ar"/>
              </w:rPr>
              <w:t xml:space="preserve">频率范围：至少满足433-6425MHz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▲输入驻波比：≤1.5@433MHz、≤1.4@470MHz、≤1.2@630MHz、≤1.2@868MHz、≤1.3@915MHz、≤1.3@2170MHz、≤1.2@2400MHz、≤1.3@2515MHz、≤1.4@3600MHz、≤1.2@5350MHz、≤1.3@5725MHz、≤1.4@6425MHz</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color w:val="000000" w:themeColor="text1"/>
                <w:sz w:val="20"/>
                <w:szCs w:val="20"/>
                <w:lang w:bidi="ar"/>
                <w14:textFill>
                  <w14:solidFill>
                    <w14:schemeClr w14:val="tx1"/>
                  </w14:solidFill>
                </w14:textFill>
              </w:rPr>
              <w:t xml:space="preserve">输出端口插入损耗：3.3-3.4dBm@433MHz、3.3-3.4dBm@470MHz、3.2-3.3dBm@630MHz、3.2-3.3dBm@868MHz、3.2-3.3dBm@915MHz、3.4-3.5dBm@2170MHz、3.3-3.5dBm@2400MHz、3.3-3.6dBm@2515MHz、3.4-3.7dBm@3600MHz、3.5-4dBm@5350MHz、3.6-4.1dBm@5725MHz、3.9-4.2dBm@6425MHz</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端口形式：3*N-female</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端口导电：支持</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阻抗：50Ω</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ff0000"/>
                <w:sz w:val="20"/>
                <w:szCs w:val="20"/>
                <w:highlight w:val="none"/>
                <w:lang w:val="en-US" w:eastAsia="zh-CN"/>
              </w:rPr>
            </w:pPr>
            <w:r>
              <w:rPr>
                <w:rFonts w:hint="eastAsia" w:ascii="宋体" w:hAnsi="宋体" w:eastAsia="宋体" w:cs="宋体"/>
                <w:color w:val="auto"/>
                <w:sz w:val="20"/>
                <w:szCs w:val="20"/>
                <w:highlight w:val="none"/>
              </w:rPr>
              <w:t xml:space="preserve">全频数通单元</w:t>
            </w:r>
            <w:r>
              <w:rPr>
                <w:rFonts w:hint="eastAsia" w:ascii="宋体" w:hAnsi="宋体" w:eastAsia="宋体" w:cs="宋体"/>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b w:val="0"/>
                <w:bCs w:val="0"/>
                <w:i w:val="0"/>
                <w:iCs w:val="0"/>
                <w:color w:val="auto"/>
                <w:sz w:val="20"/>
                <w:szCs w:val="20"/>
                <w:u w:val="none"/>
                <w:lang w:val="en-US" w:eastAsia="zh-CN" w:bidi="ar"/>
              </w:rPr>
              <w:t xml:space="preserve">频率范围：至少满足433-6425MHz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▲输入驻波比：≤1.5@433MHz、≤1.4@470MHz、≤1.2@630MHz、≤1.4@868MHz、≤1.4@915MHz、≤1.2@2170MHz、≤1.2@2400MHz、≤1.4@2515MHz、≤1.2@3600MHz、≤1.2@5350MHz、≤1.4@5725MHz、≤1.5@6425MHz</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color w:val="000000" w:themeColor="text1"/>
                <w:sz w:val="20"/>
                <w:szCs w:val="20"/>
                <w:lang w:bidi="ar"/>
                <w14:textFill>
                  <w14:solidFill>
                    <w14:schemeClr w14:val="tx1"/>
                  </w14:solidFill>
                </w14:textFill>
              </w:rPr>
              <w:t xml:space="preserve">输出端口插入损耗：</w:t>
            </w:r>
            <w:r>
              <w:rPr>
                <w:rFonts w:hint="eastAsia" w:ascii="宋体" w:hAnsi="宋体" w:eastAsia="宋体" w:cs="宋体"/>
                <w:color w:val="000000" w:themeColor="text1"/>
                <w:sz w:val="20"/>
                <w:szCs w:val="20"/>
                <w:lang w:bidi="ar"/>
                <w14:textFill>
                  <w14:solidFill>
                    <w14:schemeClr w14:val="tx1"/>
                  </w14:solidFill>
                </w14:textFill>
              </w:rPr>
              <w:fldChar w:fldCharType="begin"/>
            </w:r>
            <w:r>
              <w:rPr>
                <w:rFonts w:hint="eastAsia" w:ascii="宋体" w:hAnsi="宋体" w:eastAsia="宋体" w:cs="宋体"/>
                <w:color w:val="000000" w:themeColor="text1"/>
                <w:sz w:val="20"/>
                <w:szCs w:val="20"/>
                <w:lang w:bidi="ar"/>
                <w14:textFill>
                  <w14:solidFill>
                    <w14:schemeClr w14:val="tx1"/>
                  </w14:solidFill>
                </w14:textFill>
              </w:rPr>
              <w:instrText xml:space="preserve"> HYPERLINK "mailto:4.9-5.7dBm@433MHz、4.8-5.7dBm@470MHz、4.8-5.5dBm@630MHz、5-5.3dBm@868MHz、5-5.3dBm@915MHz、5.2-5.3dBm@2170MHz、5.2-5.4dBm@2400MHz、5.2-5.6dBm@2515MHz、5-5.5dBm@3600MHz、4.7-6.1dBm@5350MHz、4.6-6.5dBm@5725MHz、5.7-6.8dBm@6425MHz（）" </w:instrText>
            </w:r>
            <w:r>
              <w:rPr>
                <w:rFonts w:hint="eastAsia" w:ascii="宋体" w:hAnsi="宋体" w:eastAsia="宋体" w:cs="宋体"/>
                <w:color w:val="000000" w:themeColor="text1"/>
                <w:sz w:val="20"/>
                <w:szCs w:val="20"/>
                <w:lang w:bidi="ar"/>
                <w14:textFill>
                  <w14:solidFill>
                    <w14:schemeClr w14:val="tx1"/>
                  </w14:solidFill>
                </w14:textFill>
              </w:rPr>
              <w:fldChar w:fldCharType="separate"/>
            </w:r>
            <w:r>
              <w:rPr>
                <w:rFonts w:hint="eastAsia" w:ascii="宋体" w:hAnsi="宋体" w:eastAsia="宋体" w:cs="宋体"/>
                <w:color w:val="000000" w:themeColor="text1"/>
                <w:sz w:val="20"/>
                <w:szCs w:val="20"/>
                <w:lang w:bidi="ar"/>
                <w14:textFill>
                  <w14:solidFill>
                    <w14:schemeClr w14:val="tx1"/>
                  </w14:solidFill>
                </w14:textFill>
              </w:rPr>
              <w:t xml:space="preserve">4.9-5.7dBm@433MHz、4.8-5.7dBm@470MHz、4.8-5.5dBm@630MHz、5-5.3dBm@868MHz、5-5.3dBm@915MHz、5.2-5.3dBm@2170MHz、5.2-5.4dBm@2400MHz、5.2-5.6dBm@2515MHz、5-5.5dBm@3600MHz、4.7-6.1dBm@5350MHz、4.6-6.5dBm@5725MHz、5.7-6.8dBm@6425MHz</w:t>
            </w:r>
            <w:r>
              <w:rPr>
                <w:rFonts w:hint="eastAsia" w:ascii="宋体" w:hAnsi="宋体" w:eastAsia="宋体" w:cs="宋体"/>
                <w:color w:val="000000" w:themeColor="text1"/>
                <w:sz w:val="20"/>
                <w:szCs w:val="20"/>
                <w:lang w:bidi="ar"/>
                <w14:textFill>
                  <w14:solidFill>
                    <w14:schemeClr w14:val="tx1"/>
                  </w14:solidFill>
                </w14:textFill>
              </w:rPr>
              <w:fldChar w:fldCharType="end"/>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端口形式：4*N-female</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端口导电：支持</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阻抗：50Ω</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4</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ff0000"/>
                <w:sz w:val="20"/>
                <w:szCs w:val="20"/>
                <w:highlight w:val="none"/>
                <w:lang w:val="en-US" w:eastAsia="zh-CN"/>
              </w:rPr>
            </w:pPr>
            <w:r>
              <w:rPr>
                <w:rFonts w:hint="eastAsia" w:ascii="宋体" w:hAnsi="宋体" w:eastAsia="宋体" w:cs="宋体"/>
                <w:color w:val="auto"/>
                <w:sz w:val="20"/>
                <w:szCs w:val="20"/>
                <w:highlight w:val="none"/>
              </w:rPr>
              <w:t xml:space="preserve">全频数通单元</w:t>
            </w:r>
            <w:r>
              <w:rPr>
                <w:rFonts w:hint="eastAsia" w:ascii="宋体" w:hAnsi="宋体" w:eastAsia="宋体" w:cs="宋体"/>
                <w:color w:val="auto"/>
                <w:sz w:val="20"/>
                <w:szCs w:val="20"/>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频率范围：至少满足433-6425MHz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输入驻波比：≤1.2@433MHz、≤1.2@470MHz、≤1.2@630MHz、≤1.4@868MHz、≤1.5@915MHz、≤1.3@2170MHz、≤1.4@2400MHz、≤1.4@2515MHz、≤1.2@3600MHz、≤1.4@5350MHz、≤1.2@5725MHz、≤1.3@6425MHz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输出端口插入损耗：6.2-6.4dBm@433MHz、6.3-6.4dBm@470MHz、6.2-6.5dBm@630MHz、6.3-6.7dBm@868MHz、6.3-6.8dBm@915MHz、6.4-6.9dBm@2170MHz、6.4-7.1dBm@2400MHz、6.4-7.3dBm@2515MHz、6.3-7.7dBm@3600MHz、7-8.6dBm@5350MHz、7.3-7.8dBm@5725MHz、7.9-8.5dBm@6425MHz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端口形式：5*N-female</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端口导电：支持</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阻抗：50Ω</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5</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ff0000"/>
                <w:sz w:val="20"/>
                <w:szCs w:val="20"/>
                <w:highlight w:val="none"/>
                <w:lang w:val="en-US" w:eastAsia="zh-CN"/>
              </w:rPr>
            </w:pPr>
            <w:r>
              <w:rPr>
                <w:rFonts w:hint="eastAsia" w:ascii="宋体" w:hAnsi="宋体" w:eastAsia="宋体" w:cs="宋体"/>
                <w:color w:val="auto"/>
                <w:sz w:val="20"/>
                <w:szCs w:val="20"/>
                <w:highlight w:val="none"/>
              </w:rPr>
              <w:t xml:space="preserve">全频数通单元</w:t>
            </w:r>
            <w:r>
              <w:rPr>
                <w:rFonts w:hint="eastAsia" w:ascii="宋体" w:hAnsi="宋体" w:eastAsia="宋体" w:cs="宋体"/>
                <w:color w:val="auto"/>
                <w:sz w:val="20"/>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频率范围：至少满足433-6425MHz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▲输入驻波比:≤1.4@433MHz、≤1.4@470MHz、≤1.2@630MHz、≤1.1@868MHz、≤1.1@915MHz、≤1.3@2170MHz、≤1.2@2400MHz、≤1.2@2515MHz、≤1.3@3600MHz、≤1.3@5350MHz、≤1.4@5725MHz、≤1.5@6425MHz</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输出端口插入损耗：≤1.7dBm@433MHz、≤1.7dBm@470MHz、≤1.9dBm@630MHz、≤2.4dBm@868MHz、≤2.3dBm@915MHz、≤2dBm@2170MHz、≤2.2dBm@2400MHz、≤2.2dBm@2515MHz、≤2dBm@3600MHz、≤2.5dBm@5350MHz、≤3dBm@5725MHz、≤3.1dBm@6425MHz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耦合端口插入损耗：≤5.8dBm@433MHz、≤5.7dBm@470MHz、≤5dBm@630MHz、≤4.3dBm@868MHz、≤4.4dBm@915MHz、≤5.3dBm@2170MHz、≤5dBm@2400MHz、≤4.9dBm@2515MHz、≤5.9dBm@3600MHz、≤5.7dBm@5350MHz、≤5.3dBm@5725MHz、≤6.1dBm@6425MHz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端口形式：3*N-female</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端口导电：支持</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阻抗：50Ω</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6</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default" w:ascii="宋体" w:hAnsi="宋体" w:eastAsia="宋体" w:cs="宋体"/>
                <w:color w:val="ff0000"/>
                <w:sz w:val="20"/>
                <w:szCs w:val="20"/>
                <w:highlight w:val="none"/>
                <w:lang w:val="en-US" w:eastAsia="zh-CN"/>
              </w:rPr>
            </w:pPr>
            <w:r>
              <w:rPr>
                <w:rFonts w:hint="eastAsia" w:ascii="宋体" w:hAnsi="宋体" w:eastAsia="宋体" w:cs="宋体"/>
                <w:color w:val="auto"/>
                <w:sz w:val="20"/>
                <w:szCs w:val="20"/>
                <w:highlight w:val="none"/>
              </w:rPr>
              <w:t xml:space="preserve">全频数通单元</w:t>
            </w:r>
            <w:r>
              <w:rPr>
                <w:rFonts w:hint="eastAsia" w:ascii="宋体" w:hAnsi="宋体" w:eastAsia="宋体" w:cs="宋体"/>
                <w:color w:val="auto"/>
                <w:sz w:val="20"/>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b w:val="0"/>
                <w:bCs w:val="0"/>
                <w:i w:val="0"/>
                <w:iCs w:val="0"/>
                <w:color w:val="auto"/>
                <w:sz w:val="21"/>
                <w:szCs w:val="21"/>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频率范围：至少满足433-6425MHz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▲输入驻波比:≤1.3@433MHz、≤1.3@470MHz、≤1.1@630MHz、≤1.2@868MHz、≤1.2@915MHz、≤1.2@2170MHz、≤1.2@2400MHz、≤1.3@2515MHz、≤1.2@3600MHz、≤1.2@5350MHz、≤1.4@5725MHz、≤1.2@6425MHz</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输出端口插入损耗：≤0.9dBm@433MHz、≤0.9dBm@470MHz、≤1.2dBm@630MHz、≤1.6dBm@868MHz、≤1.5dBm@915MHz、≤1.5dBm@2170MHz、≤1.3dBm@2400MHz、≤1.4dBm@2515MHz、≤1.4dBm@3600MHz、≤1.3dBm@5350MHz、≤1.7dBm@5725MHz、≤1.1dBm@6425MHz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耦合端口插入损耗：≤7.8dBm@433MHz、≤7.7dBm@470MHz、≤7dBm@630MHz、≤5.6dBm@868MHz、≤5.8dBm@915MHz、≤6.1dBm@2170MHz、≤7dBm@2400MHz、≤6.7dBm@2515MHz、≤6.9dB@3600MHz、≤7.7dBm@5350MHz、≤7.1dBm@5725MHz、≤11.6dBm@6425MHz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端口形式：3*N-female</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端口导电：支持</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阻抗：50Ω</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7</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无线网络接入控制器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前面板：2 USB，6 电口，串口；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转发方式：集中转发、本地转发；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设备管理：支持用户管理，包括用户开户、用户销户、用户修改；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Radius设置：支持内部Radius服务器和外部Radius服务器两种模式，支持Radius账户管理；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信息管理：支持在线用查询、操作日志等；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备份/故障修复功能：AC备份（1+1）、双Firmware备份、分区监测/自动修复、看门狗机制、进程异常检测机制、热补丁修复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设备管理：Web管理、SNMP（v1/v2c/v3 MIB II，私有MIB）、Telnet、SSH、SYSLOG、FTP、Console</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8</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全频融合数通基站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协议标准：支持WiFi 6；支持蓝牙；</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占用带宽：≤160MHz≤80MHz≤40MHz；≤2MHz；</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安全：WPA2-PSK，WPA2-EAP，WPA3-SAE, 无加密；</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无线配置：支持无线网络启动/禁止、MAC地址过滤、隔离客户端、Qos映射、WMM多媒体加速；</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防火墙：支持启动SYN-flood防御、丢弃无效数据包、入站数据、出站数据、转发；</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静态路由：支持静态IPv4路由、静态IPv6路由；</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网络接口：≥4个2.5G网口、≥2个万兆光口；</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扩展接口：POE_OUT端口≥4个；</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物联网配置：可拓展物联网模块；</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散热：为满足密闭环境安装，风扇数量≥2个，支持主动散热；</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IOT拓展接口：内置 5 个 miniPCI-E 接口，支持扩展第三方物联网模组</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9</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医疗物联网平台软件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首页：支持展示系统运行概况；支持展示网关/终端/流量等关键指标与趋势；支持地图可视化展示监控网关位置和状态；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网关管理：支持展示已管理网关与未注册网关列表；支持对网关下发配置指令；支持网关固件远程升级；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协议适配器：支持展示适配器列表与运行状态；支持新建/编辑/删除适配器；支持一键启停适配器；支持端口占用预检查与流量统计查看；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数据采集引擎：支持采集服务管理，支持配置数据源信息；支持采集规则配置；支持准入条件配置；支持采集服务运行时控制与运行状态查看；支持协议库管理；支持标准字段库管理；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定位与地图引擎：支持地图总览/监控展示；支持楼栋/楼层管理；支持位置点管理；支持地图管理；支持地图文件与模型文件上传、列表、删除、重命名；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数据转发管理：支持转发服务管理；支持配置转发协议与目标地址；支持启动/停止转发服务；支持查看转发连接与网关映射状态；</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10</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1/2阻燃馈线</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护套最小厚度：≥0.8mm；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护套最大外径：≤16.4；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内导体直流电阻：≤1.62；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外导体直流电阻：≤2.42；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最大衰减常数：2400MHz：≤12.07dB/100m；5800MHz：≤20.50dB/100m；</w:t>
            </w:r>
            <w:r/>
          </w:p>
        </w:tc>
      </w:tr>
      <w:tr>
        <w:trPr>
          <w:jc w:val="cente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11</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射频连接器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阻抗：50Ω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接口类型：N-Male</w:t>
            </w:r>
            <w:r/>
          </w:p>
        </w:tc>
      </w:tr>
      <w:tr>
        <w:trPr>
          <w:jc w:val="center"/>
          <w:trHeight w:val="1444"/>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12</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平台系统管理站</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1、处理器最低配置要求：≥2核，≥4线程，主频≥3.3GHz</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2、内存：≥4GDDR3</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3、硬盘：≥500GB</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4、网卡：≥1个100M/1000Mbs 自适应以太网卡</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13</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24l POE 802. 3af/at</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14</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CTA6</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16</w:t>
            </w:r>
            <w:r/>
          </w:p>
        </w:tc>
        <w:tc>
          <w:tcPr>
            <w:shd w:val="clear" w:color="auto" w:fill="auto"/>
            <w:tcBorders>
              <w:top w:val="single" w:color="000000" w:sz="4" w:space="0"/>
              <w:left w:val="single" w:color="000000" w:sz="4" w:space="0"/>
              <w:right w:val="single" w:color="000000" w:sz="4" w:space="0"/>
            </w:tcBorders>
            <w:tcW w:w="699" w:type="pct"/>
            <w:vMerge w:val="restart"/>
            <w:textDirection w:val="lrTb"/>
            <w:noWrap w:val="false"/>
          </w:tcPr>
          <w:p>
            <w:pPr>
              <w:jc w:val="center"/>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auto"/>
                <w:sz w:val="20"/>
                <w:szCs w:val="20"/>
                <w:lang w:bidi="ar"/>
              </w:rPr>
              <w:t xml:space="preserve">智能输液系统</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输液系统软件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 可新增科室信息，支持病区输液和大厅输液两种形式；</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2、 可新增床位信息，具备绑定输液设备功能；</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3、 可查看后台操作内容；</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4、 可上传大屏软件最新安装包；</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5、 可分别修改医院名称、平台名称和医院logo；可设置患者姓名脱敏展示；可设置日志保留天数和数据库备份天数，数据还原；可设置用户登录超时时间和密码过期天数；</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6、 可同步HIS科室、床位、病人、医嘱等信息；</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7、 支持显示床患者姓名、输液规格、床位、剩余容量、输液滴速、输液流速、输液状态、剩余时长以及液位变化等信息。当输液速度超过阈值上限则提示输液速度过快，当输液速度低于阈值下限则提示输液速度过慢，当电量低于阈值下限则在床位上出现低电量提示；</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8、 可展示低电的输液监控仪信息；今日输液数据；筛选查看输液完成次数；统计科室输液总量占比；输液监控仪使用时长top6；展示床位报警信息；</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9、 可展示所有输液历史包括输液起始时间、病人姓名、输液开始容量、液袋规格、输液单元编号等；</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10、 可展示所有类型的提示信息；</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11、 可设置显示容量动画、输液下发床位位数、音量大小、提示时长、求助报警持续时长、低电量阈值；可设置输液停止下发至护士手环；可设置开启输液暂停；</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12、 可展示所有输液单元，绑定床位并下发配置信息，解绑输液单元；</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13、可支持护士手环绑定分管的床位，向手环推送对应床位的输液停止报警；</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14、可支持护士站大屏、病房门口屏、走廊屏多屏联动输液报警显示。</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17</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auto"/>
                <w:sz w:val="20"/>
                <w:szCs w:val="20"/>
                <w:lang w:bidi="ar"/>
              </w:rPr>
              <w:t xml:space="preserve">输液监控仪</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
              </w:rPr>
              <w:suppressLineNumbers w:val="0"/>
            </w:pPr>
            <w:r>
              <w:rPr>
                <w:rFonts w:hint="eastAsia" w:ascii="宋体" w:hAnsi="宋体" w:eastAsia="宋体" w:cs="宋体"/>
                <w:b w:val="0"/>
                <w:bCs w:val="0"/>
                <w:i w:val="0"/>
                <w:iCs w:val="0"/>
                <w:color w:val="auto"/>
                <w:sz w:val="20"/>
                <w:szCs w:val="20"/>
                <w:u w:val="none"/>
                <w:lang w:val="en-US" w:eastAsia="zh-CN" w:bidi="ar"/>
              </w:rPr>
              <w:t xml:space="preserve">电池：容量≥5500mAh，电池可拆卸；每天工作6小时，可持续工作时间≥90天。</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重量监测:负重范围0到3kg;</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▲输液监测功能：支持当前时刻的输液平均速度在主机屏幕上以（滴/分钟）的形式体现。输液即将完成进行提示,误差为±1mL。输液速度过快或过慢进行提示,误差为±1mL/min。</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▲提示功能：输液状态支持三色指示灯、声音和屏幕提示，包括但不限于准备输液、开始输液、正在输液、输液结束等状态；</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▲求助功能：开机状态下，短按语音按键，应能进行呼叫；</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模式切换：可在声音模式和静音模式间切换；</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输液速度提示：支持输液速度过快过慢提示;</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喇叭：输液状态可进行语音播报，音量可调节；</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检测方式：具备红外、电容和重力三种检测方式；</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通讯方式：蓝牙；</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▲卡止功能：在输液结束后，设备自动卡住输液管；</w:t>
            </w:r>
            <w:r>
              <w:rPr>
                <w:rFonts w:hint="eastAsia" w:ascii="宋体" w:hAnsi="宋体" w:eastAsia="宋体" w:cs="宋体"/>
                <w:b/>
                <w:bCs/>
                <w:i w:val="0"/>
                <w:iCs w:val="0"/>
                <w:color w:val="auto"/>
                <w:sz w:val="20"/>
                <w:szCs w:val="20"/>
                <w:u w:val="none"/>
                <w:lang w:val="en-US" w:eastAsia="zh-CN" w:bidi="ar"/>
              </w:rPr>
              <w:t xml:space="preserve">（需提供所投产品的第三方检测机构出具的检测报告并加盖投标人公章）</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低电报警：支持设备低电报警；</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安装方式：主机采用挂钩方式；</w:t>
            </w:r>
            <w:r/>
          </w:p>
          <w:p>
            <w:pPr>
              <w:numPr>
                <w:ilvl w:val="0"/>
                <w:numId w:val="76"/>
              </w:num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升级方式：蓝牙OTA升级；</w:t>
            </w:r>
            <w:r/>
          </w:p>
          <w:p>
            <w:pPr>
              <w:numPr>
                <w:ilvl w:val="0"/>
                <w:numId w:val="76"/>
              </w:numPr>
              <w:jc w:val="left"/>
              <w:keepLines w:val="0"/>
              <w:keepNext w:val="0"/>
              <w:widowControl/>
              <w:rPr>
                <w:rFonts w:hint="eastAsia"/>
                <w:lang w:val="en-US" w:eastAsia="zh-CN"/>
              </w:rPr>
              <w:suppressLineNumbers w:val="0"/>
            </w:pPr>
            <w:r>
              <w:rPr>
                <w:rFonts w:hint="eastAsia" w:ascii="宋体" w:hAnsi="宋体" w:eastAsia="宋体" w:cs="宋体"/>
                <w:b/>
                <w:bCs/>
                <w:i/>
                <w:iCs/>
                <w:color w:val="auto"/>
                <w:sz w:val="20"/>
                <w:szCs w:val="20"/>
                <w:u w:val="single"/>
                <w:lang w:val="en-US" w:eastAsia="zh-CN" w:bidi="ar"/>
              </w:rPr>
              <w:t xml:space="preserve">提供医疗器械注册证；</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18</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信息交互平台软件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支持输液监控仪、体征雷达、跌倒检测雷达等多种物联网设备的数据接入以及对象业务功能呈现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开机自启：可设置开机后护理大屏软件自动运行以及每日重启时间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主题切换：可进行浅色和深色模式切换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报警设置：可自定义语音播报时间段以及语音播报内容，床位号或病人姓名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屏显示设置：主要包括服务器地址填写、科室信息选择、行列显示设置、病人姓名开关、输液图标开关、logo开关、自动翻页、输液置顶开关、剩余时长开关、空床位开关、报警置顶开关、求助报警开关、输液结束报警开关、输液暂停报警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屏展示：主要包括顶部的logo展示、连接呼吸灯、中英文切换以及设置按钮和当前版本号；主体内容床位展示，主要可显示所有床位信息（有无病人入住，是否正在输液）、包括床位号、病人姓名、输液监控仪电量；输液剩余容量、液袋规格、滴速、流速和剩余时长；输液状态提示包括输液暂停、输液求助、输液即将完成、输液停止和低电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可支持护士手环绑定分管的床位，向手环推送对应床位的输液停止报警；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可支持护士站大屏、病房门口屏、走廊屏多屏联动输液报警显示。</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19</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智能手环</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1.显示屏：彩色显示屏</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2.供电方式：可充电锂离子电池，电池容量≥130mAh</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3、接收系统提示消息并震动、文字提示</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20</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USB充电器</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充电数量：满足10个终端同时充电</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21</w:t>
            </w:r>
            <w:r/>
          </w:p>
        </w:tc>
        <w:tc>
          <w:tcPr>
            <w:shd w:val="clear" w:color="auto" w:fill="auto"/>
            <w:tcBorders>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产品尺寸：55寸16:9；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触摸方式：红外触控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网卡：内置网卡，WiFi</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22</w:t>
            </w:r>
            <w:r/>
          </w:p>
        </w:tc>
        <w:tc>
          <w:tcPr>
            <w:shd w:val="clear" w:color="auto" w:fill="auto"/>
            <w:tcBorders>
              <w:top w:val="single" w:color="000000" w:sz="4" w:space="0"/>
              <w:left w:val="single" w:color="000000" w:sz="4" w:space="0"/>
              <w:right w:val="single" w:color="000000" w:sz="4" w:space="0"/>
            </w:tcBorders>
            <w:tcW w:w="699" w:type="pct"/>
            <w:vAlign w:val="center"/>
            <w:vMerge w:val="restart"/>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患者防走失系统</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患者防走失软件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rPr>
                <w:rFonts w:hint="eastAsia" w:ascii="宋体" w:hAnsi="宋体" w:eastAsia="宋体" w:cs="宋体"/>
                <w:color w:val="000000" w:themeColor="text1"/>
                <w:sz w:val="20"/>
                <w:szCs w:val="20"/>
                <w:lang w:val="en-US" w:eastAsia="zh-CN" w:bidi="ar"/>
                <w14:textFill>
                  <w14:solidFill>
                    <w14:schemeClr w14:val="tx1"/>
                  </w14:solidFill>
                </w14:textFill>
              </w:rPr>
            </w:pPr>
            <w:r>
              <w:rPr>
                <w:rFonts w:hint="eastAsia" w:ascii="宋体" w:hAnsi="宋体" w:eastAsia="宋体" w:cs="宋体"/>
                <w:color w:val="000000" w:themeColor="text1"/>
                <w:sz w:val="20"/>
                <w:szCs w:val="20"/>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1、报警提示：可显示各类报警提示，包括脱落报警、门禁报警、跌倒报警、离床报警；</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2、室内定位：系统基于室内定位系统更新记录患者室内位置，选择某个病人及时间段，可展示该病人在时间段内的室内轨迹信息；</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3、室外定位：系统基于室外定位系统更新记录患者室外位置，选择某个病人及时间段，可显示该患者在时间段内的室外轨迹信息；</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4、视频联动：选择某个患者时，可查看离该病人位置最接近的摄像头的影像数据；</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5、患者分类：可根据患者类型，展示各分类的详情以及对应的分类颜色；</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23</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地图服务引擎软件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1、室内地图支持根据医院场景搭建2D或3D模型呈现；</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2、室外地图支持高德地图呈现；</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3、支持模型按比例尺放大、缩小、平移，支持旋转；</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4、支持单楼层自定义绘制，可上传不同格式的图纸文件，包括png/jpeg/jpg/tif/dxf/dae等格式；</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5、支持单楼层区域绘制，可自定义区域位置；</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6、支持电子围栏的绘制，可设定围栏的名称、颜色、启用禁用模式；</w:t>
            </w:r>
            <w:r>
              <w:rPr>
                <w:rFonts w:hint="eastAsia" w:ascii="宋体" w:hAnsi="宋体" w:eastAsia="宋体" w:cs="宋体"/>
                <w:color w:val="000000" w:themeColor="text1"/>
                <w:sz w:val="20"/>
                <w:szCs w:val="20"/>
                <w:lang w:bidi="ar"/>
                <w14:textFill>
                  <w14:solidFill>
                    <w14:schemeClr w14:val="tx1"/>
                  </w14:solidFill>
                </w14:textFill>
              </w:rPr>
              <w:br/>
            </w:r>
            <w:r>
              <w:rPr>
                <w:rFonts w:hint="eastAsia" w:ascii="宋体" w:hAnsi="宋体" w:eastAsia="宋体" w:cs="宋体"/>
                <w:color w:val="000000" w:themeColor="text1"/>
                <w:sz w:val="20"/>
                <w:szCs w:val="20"/>
                <w:lang w:bidi="ar"/>
                <w14:textFill>
                  <w14:solidFill>
                    <w14:schemeClr w14:val="tx1"/>
                  </w14:solidFill>
                </w14:textFill>
              </w:rPr>
              <w:t xml:space="preserve">7、支持创建围栏规则，自定义围栏规则名称，可生效的围栏规则类型包括：出界、入界、滞留、聚集等，并可针对人员分类、指定人员、生效时间等进行自定义设置。</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24</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室内3D地图绘制服务</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根据所提供的CAD图纸绘制基础3D室内地图，结构包含地面、墙体</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25</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智能定位手环</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rPr>
                <w:rFonts w:hint="default" w:ascii="宋体" w:hAnsi="宋体" w:eastAsia="宋体" w:cs="宋体"/>
                <w:color w:val="000000" w:themeColor="text1"/>
                <w:sz w:val="20"/>
                <w:szCs w:val="20"/>
                <w:lang w:val="en-US" w:eastAsia="zh-CN" w:bidi="ar"/>
                <w14:textFill>
                  <w14:solidFill>
                    <w14:schemeClr w14:val="tx1"/>
                  </w14:solidFill>
                </w14:textFill>
              </w:rPr>
            </w:pPr>
            <w:r>
              <w:rPr>
                <w:rFonts w:hint="eastAsia" w:ascii="宋体" w:hAnsi="宋体" w:eastAsia="宋体" w:cs="宋体"/>
                <w:color w:val="000000" w:themeColor="text1"/>
                <w:sz w:val="20"/>
                <w:szCs w:val="20"/>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通信方式：蓝牙</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表带：标配环扣表带；</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传感器：具备加速度传感器和心率传感器</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低功耗：支持低功耗模式</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显示屏：OLED显示屏</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按键：机械按键或触屏按键</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体征监测：可监测心率、体温、计步数据</w:t>
            </w:r>
            <w:r/>
          </w:p>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SA"/>
              </w:rPr>
              <w:t xml:space="preserve">防护等级：≥IP44</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26</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APP软件</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eastAsia="zh-CN" w:bidi="ar"/>
                <w14:textFill>
                  <w14:solidFill>
                    <w14:schemeClr w14:val="tx1"/>
                  </w14:solidFill>
                </w14:textFill>
              </w:rPr>
            </w:pPr>
            <w:r>
              <w:rPr>
                <w:rFonts w:hint="eastAsia" w:ascii="宋体" w:hAnsi="宋体" w:eastAsia="宋体" w:cs="宋体"/>
                <w:color w:val="000000" w:themeColor="text1"/>
                <w:sz w:val="20"/>
                <w:szCs w:val="20"/>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定位：当患者逃离室内监控区域时，可在定位地图上展示病人的地理位置，达到定位及追踪效果；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报警：对各类报警信息进行记录，通过弹窗、振动、语音进行提醒，同时可以处理报警；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病人信息：可通过对接HIS系统获取病人信息，包括科室、床位号、姓名等；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绑定解绑：可通过NFC或二维码识别功能，为病人绑定或解绑手环；</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27</w:t>
            </w:r>
            <w:r/>
          </w:p>
        </w:tc>
        <w:tc>
          <w:tcPr>
            <w:shd w:val="clear" w:color="auto" w:fill="auto"/>
            <w:tcBorders>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手持PDA设备</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top"/>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CPU：≥8核，主频≥2.0GHz；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内存：≥8G；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操作系统：Androi5.0以上版本；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WiFi：支持；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蓝牙：支持；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二维扫描：支持；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NFC：支持；</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28</w:t>
            </w:r>
            <w:r/>
          </w:p>
        </w:tc>
        <w:tc>
          <w:tcPr>
            <w:shd w:val="clear" w:color="auto" w:fill="auto"/>
            <w:tcBorders>
              <w:top w:val="single" w:color="000000" w:sz="4" w:space="0"/>
              <w:left w:val="single" w:color="000000" w:sz="4" w:space="0"/>
              <w:right w:val="single" w:color="000000" w:sz="4" w:space="0"/>
            </w:tcBorders>
            <w:tcW w:w="699" w:type="pct"/>
            <w:vAlign w:val="center"/>
            <w:vMerge w:val="restart"/>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夜间监护系统</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夜间监护系统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1、首页：</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1）按照床位进行展示，可展示患者姓名、床位号、绑定的设备编号</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2）可实现更换科室、更换床位，绑定、解绑操作</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3）可展示患者的在床、离床状态</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4）可对心率、呼吸异常情况进行报警、查看睡眠报告</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2、设备管理：对设备进行管理，可自动识别上线的设备数据</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3、呼吸统计：对病人呼吸进行记录，并绘制成图表</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4、心跳统计：对病人心跳进行记录，并绘制成图表</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5、睡眠统计：对病人睡眠进行检测，并绘制成图表，同时记录病人的翻身记录</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6、报警记录：对报警进行记录，报警类型包括心率过快过慢报警、呼吸过快过慢报警、低电报警</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7、基础设置：可以选择是否开启相关报警，同时可设置各类报警阙值</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8、医院管理：可对医院的楼栋、楼层、科室、床位、患者信息进行管理，可在床位上进行床垫的绑定、解绑操作</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29</w:t>
            </w:r>
            <w:r/>
          </w:p>
        </w:tc>
        <w:tc>
          <w:tcPr>
            <w:shd w:val="clear" w:color="auto" w:fill="auto"/>
            <w:tcBorders>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体征雷达</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工作频段：60GHz - 64GHz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工作电压：DC12V、POE供电</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通讯接口：WIFI（2.4G频段）、POE</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内置麦克风：内置麦克风</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内置扬声器：内置扬声器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30</w:t>
            </w:r>
            <w:r/>
          </w:p>
        </w:tc>
        <w:tc>
          <w:tcPr>
            <w:shd w:val="clear" w:color="auto" w:fill="auto"/>
            <w:tcBorders>
              <w:top w:val="single" w:color="000000" w:sz="4" w:space="0"/>
              <w:left w:val="single" w:color="000000" w:sz="4" w:space="0"/>
              <w:right w:val="single" w:color="000000" w:sz="4" w:space="0"/>
            </w:tcBorders>
            <w:tcW w:w="699" w:type="pct"/>
            <w:vAlign w:val="center"/>
            <w:vMerge w:val="restart"/>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无感跌倒检测系统</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无感跌倒检测系统</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1、实时监控：展示室内地图；展示当前科室报警提示，包括跌倒、滞留报警；</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2、报警记录：展示所有报警信息，支持单个或一键处理所有报警，导出报警信息；根据姓名、报警类型、时间和3、科室筛选报警信息；</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跌倒报警器管理：展示所有跌倒报警器信息：绑定跌倒报警器；</w:t>
            </w:r>
            <w:r/>
          </w:p>
          <w:p>
            <w:pPr>
              <w:jc w:val="left"/>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4、公共设置：可分别修改医院名称、平台名称和医院logo；可设置日志保留天数和数据库备份天数，数据还原；可设置用户登录超时时间和密码过期天数；</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31</w:t>
            </w:r>
            <w:r/>
          </w:p>
        </w:tc>
        <w:tc>
          <w:tcPr>
            <w:shd w:val="clear" w:color="auto" w:fill="auto"/>
            <w:tcBorders>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跌倒检测雷达</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u w:val="none"/>
                <w:lang w:val="en-US" w:eastAsia="zh-CN" w:bidi="ar-SA"/>
              </w:rPr>
              <w:suppressLineNumbers w:val="0"/>
            </w:pPr>
            <w:r>
              <w:rPr>
                <w:rFonts w:hint="eastAsia" w:ascii="宋体" w:hAnsi="宋体" w:eastAsia="宋体" w:cs="宋体"/>
                <w:b w:val="0"/>
                <w:bCs w:val="0"/>
                <w:i w:val="0"/>
                <w:iCs w:val="0"/>
                <w:color w:val="auto"/>
                <w:sz w:val="20"/>
                <w:szCs w:val="20"/>
                <w:u w:val="none"/>
                <w:lang w:val="en-US" w:eastAsia="zh-CN" w:bidi="ar"/>
              </w:rPr>
              <w:t xml:space="preserve">工作频段：60GHz ~64GHz</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工作电压：9V~12V DC、POE供电</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通讯接口：WIFI、POE</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内置麦克风：内置麦克风</w:t>
            </w:r>
            <w:r>
              <w:rPr>
                <w:rFonts w:hint="eastAsia" w:ascii="宋体" w:hAnsi="宋体" w:eastAsia="宋体" w:cs="宋体"/>
                <w:b w:val="0"/>
                <w:bCs w:val="0"/>
                <w:i w:val="0"/>
                <w:iCs w:val="0"/>
                <w:color w:val="auto"/>
                <w:sz w:val="20"/>
                <w:szCs w:val="20"/>
                <w:u w:val="none"/>
                <w:lang w:val="en-US" w:eastAsia="zh-CN" w:bidi="ar"/>
              </w:rPr>
              <w:br/>
            </w:r>
            <w:r>
              <w:rPr>
                <w:rFonts w:hint="eastAsia" w:ascii="宋体" w:hAnsi="宋体" w:eastAsia="宋体" w:cs="宋体"/>
                <w:b w:val="0"/>
                <w:bCs w:val="0"/>
                <w:i w:val="0"/>
                <w:iCs w:val="0"/>
                <w:color w:val="auto"/>
                <w:sz w:val="20"/>
                <w:szCs w:val="20"/>
                <w:u w:val="none"/>
                <w:lang w:val="en-US" w:eastAsia="zh-CN" w:bidi="ar"/>
              </w:rPr>
              <w:t xml:space="preserve">内置扬声器：内置扬声器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32</w:t>
            </w:r>
            <w:r/>
          </w:p>
        </w:tc>
        <w:tc>
          <w:tcPr>
            <w:shd w:val="clear" w:color="auto" w:fill="auto"/>
            <w:tcBorders>
              <w:top w:val="single" w:color="000000" w:sz="4" w:space="0"/>
              <w:left w:val="single" w:color="000000" w:sz="4" w:space="0"/>
              <w:right w:val="single" w:color="000000" w:sz="4" w:space="0"/>
            </w:tcBorders>
            <w:tcW w:w="699" w:type="pct"/>
            <w:vAlign w:val="center"/>
            <w:vMerge w:val="restart"/>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医护患对讲</w:t>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护士站呼叫管理主机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设备需具备≥1 个 200 万高清摄像头、1 个≥15.6寸 液晶屏；分辨率不小于1920*1080；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设备需支持外置1个听筒跟1个麦克风；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设备需支持 DC 12V/POE 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设备需支持主动呼叫床头屏进行双向对讲；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设备需支持处置床头屏的呼叫与紧急呼叫、应支持呼叫转接、呼叫等待；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需支持桌面安装，支持壁挂式安装；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33</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值班分机</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显示屏≥ 10 寸液晶屏；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支持呼叫到护士站主机；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分辨率 ≥1024*600；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操作方式支持 电容式触摸；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视频输入 ≥200W摄像头；</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34</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病房床头屏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设备需具有 1 个≥10 寸液晶屏；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手柄需具有指示灯；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设备需支持通过切换后壳，可支持挂板/悬臂安装；</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35</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病房门口屏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设备需具有 1 个≥ 15.6 寸液晶屏，分辨率不小于1920×1080；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设备需具有≥1个前置摄像头；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设备需具有三色提示灯，在不同呼叫状态显示不同颜色；</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36</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液晶双面走廊屏</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val="en-US" w:eastAsia="zh-CN" w:bidi="ar"/>
                <w14:textFill>
                  <w14:solidFill>
                    <w14:schemeClr w14:val="tx1"/>
                  </w14:solidFill>
                </w14:textFill>
              </w:rPr>
            </w:pPr>
            <w:r>
              <w:rPr>
                <w:rFonts w:hint="eastAsia" w:ascii="宋体" w:hAnsi="宋体" w:eastAsia="宋体" w:cs="宋体"/>
                <w:color w:val="000000" w:themeColor="text1"/>
                <w:sz w:val="20"/>
                <w:szCs w:val="20"/>
                <w:lang w:val="en-US" w:eastAsia="zh-CN" w:bidi="ar"/>
                <w14:textFill>
                  <w14:solidFill>
                    <w14:schemeClr w14:val="tx1"/>
                  </w14:solidFill>
                </w14:textFill>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物理分辨率≥ 1920X540；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支持展示医院名称、病区名称、日期、时间、星期；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显示呼叫、增援、换药提醒、卫生间报警消息的轮播展示；</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37</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卫生间防水报警按钮</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防水等级≥IP68；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安装方式：壁装螺丝固定，适配86底盒；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报警方式：按钮+拉绳 2 种方式报警；仅接信号线和接地时，仅有报警输入；加上红色电源和接地时指示灯亮，蜂鸣器响；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开关方式：自动复位；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通讯方式：有线 开关量（配套接收模块或主机使用）；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38</w:t>
            </w:r>
            <w:r/>
          </w:p>
        </w:tc>
        <w:tc>
          <w:tcPr>
            <w:shd w:val="clear" w:color="auto" w:fill="auto"/>
            <w:tcBorders>
              <w:left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智慧护理管理平台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color w:val="000000" w:themeColor="text1"/>
                <w:sz w:val="20"/>
                <w:szCs w:val="20"/>
                <w14:textFill>
                  <w14:solidFill>
                    <w14:schemeClr w14:val="tx1"/>
                  </w14:solidFill>
                </w14:textFill>
              </w:rPr>
              <w:suppressLineNumbers w:val="0"/>
            </w:pPr>
            <w:r>
              <w:rPr>
                <w:rFonts w:hint="eastAsia" w:ascii="宋体" w:hAnsi="宋体" w:eastAsia="宋体" w:cs="宋体"/>
                <w:i w:val="0"/>
                <w:iCs w:val="0"/>
                <w:color w:val="000000"/>
                <w:sz w:val="20"/>
                <w:szCs w:val="20"/>
                <w:u w:val="none"/>
                <w:lang w:val="en-US" w:eastAsia="zh-CN" w:bidi="ar"/>
              </w:rPr>
              <w:t xml:space="preserve">需支持设置医院信息，包含不仅限于：医院名称、医院简称、医院简介，医院LOGO，医院图片、医院宣传视频；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机构图片需支持jpg、jpeg、png格式，宣传视频可以支持mp4、mov；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病区科室管理：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支持对科室、病区信息进行新增、修改、删除；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支持将病房与病区/科室关联，通过病区/科室维度管理下辖的病房设备、患者；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支持与第三方系统的病区进行映射绑定，对接病区相关数据；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支持批量添加楼层、房间、床位，可通过设置编码范围和后缀自动生成楼层、房间名称；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支持通过excel方式批量导入场地信息。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床位管理：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要求支持对病房、床位信息进行新增、修改、删除；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要求支持对床位类型进行区分：核定床、加床、虚拟床；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要求支持通过第三方系统对接查看当前床位的状态：占用、空闲；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要求支持与第三方系统床位信息映射绑定，用以实时获取当前床位上患者信息；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医院人员管理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需支持对医护人员基本信息维护，可以对医护人员信息进行添加、删除、修改、查询。要求支持与第三方系统医护人员进行映射绑定，同步相关医护人员信息；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需支持从HIS系统同步医护人员信息，可以进行增量同步和全量同步；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需支持能够自定义配置医护人员信息的展示列；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支持对患者信息维护，包括基本信息、联系人信息、收治信息、护理信息、其他信息；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支持展示患者的临床标签、风险标签；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医护通行管理：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需支持对医护人员增加通行权限；</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39</w:t>
            </w:r>
            <w:r/>
          </w:p>
        </w:tc>
        <w:tc>
          <w:tcPr>
            <w:shd w:val="clear" w:color="auto" w:fill="auto"/>
            <w:tcBorders>
              <w:left w:val="single" w:color="000000" w:sz="4" w:space="0"/>
              <w:bottom w:val="single" w:color="000000" w:sz="4" w:space="0"/>
              <w:right w:val="single" w:color="000000" w:sz="4" w:space="0"/>
            </w:tcBorders>
            <w:tcW w:w="699" w:type="pct"/>
            <w:vAlign w:val="center"/>
            <w:vMerge w:val="continue"/>
            <w:textDirection w:val="lrTb"/>
            <w:noWrap w:val="false"/>
          </w:tcPr>
          <w:p>
            <w:pPr>
              <w:jc w:val="center"/>
              <w:keepNext/>
              <w:widowControl/>
              <w:tabs>
                <w:tab w:val="left" w:pos="527"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left"/>
              <w:keepNext/>
              <w:widowControl/>
              <w:tabs>
                <w:tab w:val="left" w:pos="360" w:leader="none"/>
              </w:tabs>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智慧病房管理平台</w:t>
            </w:r>
            <w:r/>
          </w:p>
        </w:tc>
        <w:tc>
          <w:tcPr>
            <w:shd w:val="clear" w:color="auto" w:fill="auto"/>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keepNext/>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widowControl/>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5" w:type="pct"/>
            <w:vAlign w:val="center"/>
            <w:textDirection w:val="lrTb"/>
            <w:noWrap w:val="false"/>
          </w:tcPr>
          <w:p>
            <w:pPr>
              <w:jc w:val="left"/>
              <w:keepLines w:val="0"/>
              <w:keepNext w:val="0"/>
              <w:widowControl/>
              <w:rPr>
                <w:rFonts w:hint="eastAsia" w:ascii="宋体" w:hAnsi="宋体" w:eastAsia="宋体" w:cs="宋体"/>
                <w:color w:val="000000" w:themeColor="text1"/>
                <w:sz w:val="20"/>
                <w:szCs w:val="20"/>
                <w:lang w:bidi="ar"/>
                <w14:textFill>
                  <w14:solidFill>
                    <w14:schemeClr w14:val="tx1"/>
                  </w14:solidFill>
                </w14:textFill>
              </w:rPr>
              <w:suppressLineNumbers w:val="0"/>
            </w:pPr>
            <w:r>
              <w:rPr>
                <w:rFonts w:hint="eastAsia" w:ascii="宋体" w:hAnsi="宋体" w:eastAsia="宋体" w:cs="宋体"/>
                <w:i w:val="0"/>
                <w:iCs w:val="0"/>
                <w:color w:val="000000"/>
                <w:sz w:val="20"/>
                <w:szCs w:val="20"/>
                <w:u w:val="none"/>
                <w:lang w:val="en-US" w:eastAsia="zh-CN" w:bidi="ar"/>
              </w:rPr>
              <w:t xml:space="preserve">需支持设置医院信息，包含不仅限于：医院名称、医院简称、医院简介，医院LOGO，医院图片、医院宣传视频；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机构图片需支持jpg、jpeg、png格式，宣传视频可以支持mp4、mov；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病区科室管理：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支持对科室、病区信息进行新增、修改、删除；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支持将病房与病区/科室关联，通过病区/科室维度管理下辖的病房设备、患者；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支持与第三方系统的病区进行映射绑定，对接病区相关数据；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支持批量添加楼层、房间、床位，可通过设置编码范围和后缀自动生成楼层、房间名称；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支持通过excel方式批量导入场地信息。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床位管理：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要求支持对病房、床位信息进行新增、修改、删除；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要求支持对床位类型进行区分：核定床、加床、虚拟床；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要求支持通过第三方系统对接查看当前床位的状态：占用、空闲；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要求支持与第三方系统床位信息映射绑定，用以实时获取当前床位上患者信息；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医院人员管理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需支持对医护人员基本信息维护，可以对医护人员信息进行添加、删除、修改、查询。要求支持与第三方系统医护人员进行映射绑定，同步相关医护人员信息；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需支持从HIS系统同步医护人员信息，可以进行增量同步和全量同步；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需支持能够自定义配置医护人员信息的展示列；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支持对患者信息维护，包括基本信息、联系人信息、收治信息、护理信息、其他信息；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支持展示患者的临床标签、风险标签；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医护通行管理：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需支持对医护人员增加通行权限；</w:t>
            </w:r>
            <w:r/>
          </w:p>
        </w:tc>
      </w:tr>
    </w:tbl>
    <w:p>
      <w:pPr>
        <w:rPr>
          <w:rFonts w:ascii="宋体" w:hAnsi="宋体" w:eastAsia="宋体" w:cs="宋体"/>
          <w:b/>
          <w:bCs/>
          <w:color w:val="000000" w:themeColor="text1"/>
          <w:sz w:val="24"/>
          <w:szCs w:val="24"/>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br w:type="page" w:clear="all"/>
      </w:r>
      <w:r/>
    </w:p>
    <w:p>
      <w:pPr>
        <w:pStyle w:val="997"/>
        <w:rPr>
          <w:rFonts w:hint="eastAsia"/>
          <w:sz w:val="28"/>
          <w:szCs w:val="28"/>
        </w:rPr>
      </w:pPr>
      <w:r>
        <w:rPr>
          <w:rFonts w:hint="eastAsia"/>
          <w:sz w:val="28"/>
          <w:szCs w:val="28"/>
        </w:rPr>
        <w:t xml:space="preserve">3.3“人工智能+”康养服务人工智能应用</w:t>
      </w:r>
      <w:r/>
    </w:p>
    <w:tbl>
      <w:tblPr>
        <w:tblStyle w:val="99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72"/>
        <w:gridCol w:w="786"/>
        <w:gridCol w:w="1142"/>
        <w:gridCol w:w="1166"/>
        <w:gridCol w:w="4953"/>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left"/>
              <w:rPr>
                <w:rFonts w:hint="eastAsia" w:ascii="宋体" w:hAnsi="宋体" w:eastAsia="宋体" w:cs="宋体"/>
                <w:b/>
                <w:bCs/>
                <w:color w:val="000000" w:themeColor="text1"/>
                <w:sz w:val="20"/>
                <w:szCs w:val="20"/>
                <w:lang w:bidi="ar"/>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br w:type="page" w:clear="all"/>
            </w:r>
            <w:r>
              <w:rPr>
                <w:rFonts w:hint="eastAsia" w:ascii="宋体" w:hAnsi="宋体" w:eastAsia="宋体" w:cs="宋体"/>
                <w:b/>
                <w:bCs/>
                <w:color w:val="000000" w:themeColor="text1"/>
                <w:sz w:val="20"/>
                <w:szCs w:val="20"/>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tabs>
                <w:tab w:val="left" w:pos="527" w:leader="none"/>
              </w:tabs>
              <w:rPr>
                <w:rFonts w:hint="eastAsia" w:ascii="宋体" w:hAnsi="宋体" w:eastAsia="宋体" w:cs="宋体"/>
                <w:b/>
                <w:bCs/>
                <w:color w:val="000000" w:themeColor="text1"/>
                <w:sz w:val="20"/>
                <w:szCs w:val="20"/>
                <w:lang w:bidi="ar"/>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left"/>
              <w:tabs>
                <w:tab w:val="left" w:pos="360" w:leader="none"/>
              </w:tabs>
              <w:rPr>
                <w:rFonts w:hint="eastAsia" w:ascii="宋体" w:hAnsi="宋体" w:eastAsia="宋体" w:cs="宋体"/>
                <w:b/>
                <w:bCs/>
                <w:color w:val="000000" w:themeColor="text1"/>
                <w:sz w:val="20"/>
                <w:szCs w:val="20"/>
                <w:lang w:bidi="ar"/>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功能大项</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rPr>
                <w:rFonts w:hint="eastAsia" w:ascii="宋体" w:hAnsi="宋体" w:eastAsia="宋体" w:cs="宋体"/>
                <w:b/>
                <w:bCs/>
                <w:color w:val="000000" w:themeColor="text1"/>
                <w:sz w:val="20"/>
                <w:szCs w:val="20"/>
                <w:lang w:bidi="ar"/>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系统功能项</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center"/>
              <w:rPr>
                <w:rFonts w:hint="eastAsia" w:ascii="宋体" w:hAnsi="宋体" w:eastAsia="宋体" w:cs="宋体"/>
                <w:b/>
                <w:bCs/>
                <w:color w:val="000000" w:themeColor="text1"/>
                <w:sz w:val="20"/>
                <w:szCs w:val="20"/>
                <w:lang w:bidi="ar"/>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系统功能介绍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restart"/>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461" w:type="pct"/>
            <w:vAlign w:val="center"/>
            <w:vMerge w:val="restart"/>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AI自动分析鱼骨图</w:t>
            </w:r>
            <w:r/>
          </w:p>
        </w:tc>
        <w:tc>
          <w:tcPr>
            <w:shd w:val="clear" w:color="auto" w:fill="auto"/>
            <w:tcBorders>
              <w:top w:val="single" w:color="000000" w:sz="4" w:space="0"/>
              <w:left w:val="single" w:color="000000" w:sz="4" w:space="0"/>
              <w:right w:val="single" w:color="000000" w:sz="4" w:space="0"/>
            </w:tcBorders>
            <w:tcW w:w="670" w:type="pct"/>
            <w:vAlign w:val="center"/>
            <w:vMerge w:val="restart"/>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护理不良事件鱼骨图生成智能体</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自动生成</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系统应具有鱼骨图大要因、中要因和小要因AI自动生成功能。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支持向右及向左</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系统应支持鱼头向右的原因型鱼骨图生成和鱼头向左的对策型鱼骨图生成。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内容二次确认</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系统支持鱼骨图生成内容的二次确认。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快捷更换功能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鱼骨图确认页面，支持快捷更换AI生成鱼骨图的功能。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具有明显标识</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系统应具有明显的模型“思考中”标识，便于护理人员了解模型生成的状态。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自动匹配知识库</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智能体应支持自动匹配护理质控管理专业知识库，为鱼骨图要因拆解提供数据支撑。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历史参照依据</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智能体支持历史鱼骨图知识库作为分析的参照依据。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涵盖多个维度</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w:t>
            </w:r>
            <w:r>
              <w:rPr>
                <w:rFonts w:hint="eastAsia" w:ascii="宋体" w:hAnsi="宋体" w:eastAsia="宋体" w:cs="宋体"/>
                <w:color w:val="000000" w:themeColor="text1"/>
                <w:sz w:val="20"/>
                <w:szCs w:val="20"/>
                <w:lang w:bidi="ar"/>
                <w14:textFill>
                  <w14:solidFill>
                    <w14:schemeClr w14:val="tx1"/>
                  </w14:solidFill>
                </w14:textFill>
              </w:rPr>
              <w:t xml:space="preserve"> 智能体生成的鱼骨图应涵盖人、机、料、法、环、测六大维度。</w:t>
            </w:r>
            <w:r>
              <w:rPr>
                <w:rFonts w:hint="eastAsia" w:ascii="宋体" w:hAnsi="宋体" w:eastAsia="宋体" w:cs="宋体"/>
                <w:b/>
                <w:bCs/>
                <w:color w:val="000000" w:themeColor="text1"/>
                <w:sz w:val="20"/>
                <w:szCs w:val="20"/>
                <w:lang w:bidi="ar"/>
                <w14:textFill>
                  <w14:solidFill>
                    <w14:schemeClr w14:val="tx1"/>
                  </w14:solidFill>
                </w14:textFill>
              </w:rPr>
              <w:t xml:space="preserve">（投标人需提供满足技术要求的真实系统截图并加盖投标人公章）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支持修改和删除</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系统应支持修改和删除智能体生成的大要因、中要因和小要因。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具有明确的因果关系</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智能体生成的大、中、小要因之间应具备明确的因果或对应递进关系，禁止出现上下级要因逻辑断裂或文不对题的情况。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支持流式数据传输协议</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w:t>
            </w:r>
            <w:r>
              <w:rPr>
                <w:rFonts w:hint="eastAsia" w:ascii="宋体" w:hAnsi="宋体" w:eastAsia="宋体" w:cs="宋体"/>
                <w:color w:val="000000" w:themeColor="text1"/>
                <w:sz w:val="20"/>
                <w:szCs w:val="20"/>
                <w:lang w:bidi="ar"/>
                <w14:textFill>
                  <w14:solidFill>
                    <w14:schemeClr w14:val="tx1"/>
                  </w14:solidFill>
                </w14:textFill>
              </w:rPr>
              <w:t xml:space="preserve"> 系统前端应支持流式数据传输协议，确保鱼骨图生成的流畅度。</w:t>
            </w:r>
            <w:r>
              <w:rPr>
                <w:rFonts w:hint="eastAsia" w:ascii="宋体" w:hAnsi="宋体" w:eastAsia="宋体" w:cs="宋体"/>
                <w:b/>
                <w:bCs/>
                <w:color w:val="000000" w:themeColor="text1"/>
                <w:sz w:val="20"/>
                <w:szCs w:val="20"/>
                <w:lang w:bidi="ar"/>
                <w14:textFill>
                  <w14:solidFill>
                    <w14:schemeClr w14:val="tx1"/>
                  </w14:solidFill>
                </w14:textFill>
              </w:rPr>
              <w:t xml:space="preserve">（投标人需提供满足技术要求的真实系统截图并加盖投标人公章）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具备较强稳定性</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在鱼骨图流式渲染过程中，系统应保持画面稳定，不得出现画面闪烁、全局重绘或位置跳动现象。</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具有明确覆盖提示</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智能体生成的鱼骨图进行替换前应具有明确的覆盖确认提示。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支持取消功能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系统支持鱼骨图生成过程中取消生成功能。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bottom w:val="non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bottom w:val="non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具有操作日志功能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系统应具有记录每次生成鱼骨图的操作日志，日志内容至少包括操作人、问题ID、分析方向（朝左/朝右）、触发时间。</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restart"/>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2</w:t>
            </w:r>
            <w:r/>
          </w:p>
        </w:tc>
        <w:tc>
          <w:tcPr>
            <w:shd w:val="clear" w:color="auto" w:fill="auto"/>
            <w:tcBorders>
              <w:top w:val="single" w:color="000000" w:sz="4" w:space="0"/>
              <w:left w:val="single" w:color="000000" w:sz="4" w:space="0"/>
              <w:right w:val="single" w:color="000000" w:sz="4" w:space="0"/>
            </w:tcBorders>
            <w:tcW w:w="461" w:type="pct"/>
            <w:vAlign w:val="center"/>
            <w:vMerge w:val="restart"/>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AI自动生成质控报告</w:t>
            </w:r>
            <w:r/>
          </w:p>
        </w:tc>
        <w:tc>
          <w:tcPr>
            <w:shd w:val="clear" w:color="auto" w:fill="auto"/>
            <w:tcBorders>
              <w:top w:val="single" w:color="000000" w:sz="4" w:space="0"/>
              <w:left w:val="single" w:color="000000" w:sz="4" w:space="0"/>
              <w:right w:val="single" w:color="000000" w:sz="4" w:space="0"/>
            </w:tcBorders>
            <w:tcW w:w="670" w:type="pct"/>
            <w:vAlign w:val="center"/>
            <w:vMerge w:val="restart"/>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护理人力资源配置智能体</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支持接入信息系统</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系统应支持实时接入医院临床信息系统，自动获取各病区的工作量数据。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支持自动推荐护理等级</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系统应支持根据SCS评分与ADL评分推荐患者护理等级。</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支持对接人力资源档案</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 系统应支持接入护士人力资源档案，自动获取在职护士的职称、层级、专科资质与执业证书信息。</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具备护理人力预测功能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智能体应支持结合模型推理能力进行各病区护理人力的缺口预测。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支持护理工作量统计</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智能体应支持动态按日、周、月预测各病区的护理工作量。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right w:val="single" w:color="000000" w:sz="4" w:space="0"/>
            </w:tcBorders>
            <w:tcW w:w="684" w:type="pct"/>
            <w:vAlign w:val="center"/>
            <w:vMerge w:val="restart"/>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具备直观展示功能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w:t>
            </w:r>
            <w:r>
              <w:rPr>
                <w:rFonts w:hint="eastAsia" w:ascii="宋体" w:hAnsi="宋体" w:eastAsia="宋体" w:cs="宋体"/>
                <w:color w:val="000000" w:themeColor="text1"/>
                <w:sz w:val="20"/>
                <w:szCs w:val="20"/>
                <w:lang w:bidi="ar"/>
                <w14:textFill>
                  <w14:solidFill>
                    <w14:schemeClr w14:val="tx1"/>
                  </w14:solidFill>
                </w14:textFill>
              </w:rPr>
              <w:t xml:space="preserve"> 系统应支持以看板形式直观展示全院护理人员工作量分布情况。</w:t>
            </w:r>
            <w:r>
              <w:rPr>
                <w:rFonts w:hint="eastAsia" w:ascii="宋体" w:hAnsi="宋体" w:eastAsia="宋体" w:cs="宋体"/>
                <w:b/>
                <w:bCs/>
                <w:color w:val="000000" w:themeColor="text1"/>
                <w:sz w:val="20"/>
                <w:szCs w:val="20"/>
                <w:lang w:bidi="ar"/>
                <w14:textFill>
                  <w14:solidFill>
                    <w14:schemeClr w14:val="tx1"/>
                  </w14:solidFill>
                </w14:textFill>
              </w:rPr>
              <w:t xml:space="preserve">（投标人需提供满足技术要求的真实系统截图并加盖投标人公章）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684" w:type="pct"/>
            <w:vAlign w:val="center"/>
            <w:vMerge w:val="continue"/>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系统应支持以看板形式直观展示当天全院各病区的患者情况及护理人力情况。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自动匹配护理需求及人力调配</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智能体应支持基于护理级别、专科资质与工作量，自动匹配护理需求与可调配人力。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支持接入排班系统</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系统应支持接入护理排班管理系统的数据。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自动生成护理人力调配方案</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智能体应支持跨科室、跨病区的护理人力动态调配方案推荐。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护理自定义配置规则设置</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系统应支持护理部自定义护理人力配置规则（如护患比阈值、资质准入条件）作为调配依据。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数据动态实时更新</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系统应支持工作量和人力数据在前端看板的动态刷新与流式更新。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人力饱和度颜色区分显示</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系统应支持人力饱和度绿/黄/红三色预警仪表盘展示。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具备明显标识</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系统应具有明显的模型“思考中”标识，便于管理人员了解智能体计算与方案生成状态。</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具有操作日志功能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系统应记录每一次AI调用的操作日志，日志至少包括调用时间、操作人工号、对应病区或事件ID、生成耗时。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具备基础的安全过滤功能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系统应具有基础的文本安全过滤功能，防止输出与护理人力资源管理无关或不符合医疗规范的不当言论。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restart"/>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3</w:t>
            </w:r>
            <w:r/>
          </w:p>
        </w:tc>
        <w:tc>
          <w:tcPr>
            <w:shd w:val="clear" w:color="auto" w:fill="auto"/>
            <w:tcBorders>
              <w:top w:val="single" w:color="000000" w:sz="4" w:space="0"/>
              <w:left w:val="single" w:color="000000" w:sz="4" w:space="0"/>
              <w:right w:val="single" w:color="000000" w:sz="4" w:space="0"/>
            </w:tcBorders>
            <w:tcW w:w="461" w:type="pct"/>
            <w:vAlign w:val="center"/>
            <w:vMerge w:val="restart"/>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AI护理人力资源配置</w:t>
            </w:r>
            <w:r/>
          </w:p>
        </w:tc>
        <w:tc>
          <w:tcPr>
            <w:shd w:val="clear" w:color="auto" w:fill="auto"/>
            <w:tcBorders>
              <w:top w:val="single" w:color="000000" w:sz="4" w:space="0"/>
              <w:left w:val="single" w:color="000000" w:sz="4" w:space="0"/>
              <w:right w:val="single" w:color="000000" w:sz="4" w:space="0"/>
            </w:tcBorders>
            <w:tcW w:w="670" w:type="pct"/>
            <w:vAlign w:val="center"/>
            <w:vMerge w:val="restart"/>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护理不良事件报告生成智能体</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自动同步事件登记</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系统应支持无缝对接医院现有的护理不良事件上报系统，自动同步事件登记数据。</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自动提取数据</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lang w:bidi="ar"/>
                <w14:textFill>
                  <w14:solidFill>
                    <w14:schemeClr w14:val="tx1"/>
                  </w14:solidFill>
                </w14:textFill>
              </w:rPr>
              <w:t xml:space="preserve">▲</w:t>
            </w:r>
            <w:r>
              <w:rPr>
                <w:rFonts w:hint="eastAsia" w:ascii="宋体" w:hAnsi="宋体" w:eastAsia="宋体" w:cs="宋体"/>
                <w:color w:val="000000" w:themeColor="text1"/>
                <w:sz w:val="20"/>
                <w:szCs w:val="20"/>
                <w:lang w:bidi="ar"/>
                <w14:textFill>
                  <w14:solidFill>
                    <w14:schemeClr w14:val="tx1"/>
                  </w14:solidFill>
                </w14:textFill>
              </w:rPr>
              <w:t xml:space="preserve"> 系统应支持自动提取不良事件相关的原始数据记录，包括事件类型、发生时间、涉及患者、当事人等。</w:t>
            </w:r>
            <w:r>
              <w:rPr>
                <w:rFonts w:hint="eastAsia" w:ascii="宋体" w:hAnsi="宋体" w:eastAsia="宋体" w:cs="宋体"/>
                <w:b/>
                <w:bCs/>
                <w:color w:val="000000" w:themeColor="text1"/>
                <w:sz w:val="20"/>
                <w:szCs w:val="20"/>
                <w:lang w:bidi="ar"/>
                <w14:textFill>
                  <w14:solidFill>
                    <w14:schemeClr w14:val="tx1"/>
                  </w14:solidFill>
                </w14:textFill>
              </w:rPr>
              <w:t xml:space="preserve">（投标人需提供满足技术要求的真实系统截图并加盖投标人公章）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自动生成清晰准确的事件描述</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智能体应内置护理知识库，结合大语言模型对事件原始记录进行语义梳理，自动生成逻辑清晰的“事件经过”描述。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自动分析事件原因</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智能体应支持基于“鱼骨图”核心质控工具，自动生成事件的原因分析。</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涵盖多个维度</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智能体生成的鱼骨图原因分析应涵盖人、机、料、法、环、测六大维度。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支持匹配标准模板</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系统应支持匹配三甲医院复审与护理要求的《护理不良事件报告》标准模板。</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支持输出符合要求的报告</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系统应支持一键输出符合三甲复审与要求的《护理不良事件报告》。</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生成准确的报告</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系统生成的报告应包含基于鱼骨图分析的精准原因归因内容。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自动分析并推荐改进方案</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智能体应支持结合根因分析结果，生成前瞻性的整改建议与防控措施。</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具备较强的报告输出速率</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系统应支持报告内容的前端流式生成与逐段渲染，提升报告输出效率。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具有明显的标识</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系统应具有明显的模型“思考中”标识，便于护理质控人员了解报告生成进度。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具有操作日志功能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系统应记录每一次AI调用的操作日志，日志至少包括调用时间、操作人工号、对应事件ID、生成耗时。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cente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461"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670" w:type="pct"/>
            <w:vAlign w:val="center"/>
            <w:vMerge w:val="continue"/>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left"/>
              <w:rPr>
                <w:rFonts w:hint="eastAsia" w:ascii="宋体" w:hAnsi="宋体" w:eastAsia="宋体" w:cs="宋体"/>
                <w:color w:val="000000" w:themeColor="text1"/>
                <w:sz w:val="20"/>
                <w:szCs w:val="20"/>
                <w:lang w:bidi="ar"/>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具有基础的安全过滤功能</w:t>
            </w:r>
            <w:r/>
          </w:p>
        </w:tc>
        <w:tc>
          <w:tcPr>
            <w:shd w:val="clear" w:color="auto" w:fill="auto"/>
            <w:tcBorders>
              <w:top w:val="single" w:color="000000" w:sz="4" w:space="0"/>
              <w:left w:val="single" w:color="000000" w:sz="4" w:space="0"/>
              <w:bottom w:val="single" w:color="000000" w:sz="4" w:space="0"/>
              <w:right w:val="single" w:color="000000" w:sz="4" w:space="0"/>
            </w:tcBorders>
            <w:tcW w:w="2906" w:type="pct"/>
            <w:vAlign w:val="center"/>
            <w:textDirection w:val="lrTb"/>
            <w:noWrap w:val="false"/>
          </w:tcPr>
          <w:p>
            <w:pPr>
              <w:jc w:val="lef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lang w:bidi="ar"/>
                <w14:textFill>
                  <w14:solidFill>
                    <w14:schemeClr w14:val="tx1"/>
                  </w14:solidFill>
                </w14:textFill>
              </w:rPr>
              <w:t xml:space="preserve">系统应具有基础的文本安全过滤功能，防止输出与护理质控无关或不符合医疗规范的不当言论。</w:t>
            </w:r>
            <w:r/>
          </w:p>
        </w:tc>
      </w:tr>
    </w:tbl>
    <w:p>
      <w:pPr>
        <w:ind w:firstLine="482"/>
        <w:jc w:val="left"/>
        <w:spacing w:line="500" w:lineRule="exact"/>
        <w:rPr>
          <w:rFonts w:hint="eastAsia"/>
          <w:b/>
          <w:sz w:val="24"/>
          <w:szCs w:val="24"/>
        </w:rPr>
      </w:pPr>
      <w:r>
        <w:rPr>
          <w:rFonts w:hint="eastAsia"/>
          <w:b/>
          <w:sz w:val="24"/>
          <w:szCs w:val="24"/>
        </w:rPr>
      </w:r>
      <w:r/>
    </w:p>
    <w:p>
      <w:pPr>
        <w:ind w:firstLine="482"/>
        <w:jc w:val="left"/>
        <w:spacing w:line="500" w:lineRule="exact"/>
        <w:rPr>
          <w:rFonts w:hint="eastAsia"/>
          <w:b/>
          <w:sz w:val="24"/>
          <w:szCs w:val="24"/>
        </w:rPr>
      </w:pPr>
      <w:r>
        <w:rPr>
          <w:rFonts w:hint="eastAsia"/>
          <w:b/>
          <w:sz w:val="24"/>
          <w:szCs w:val="24"/>
        </w:rPr>
      </w:r>
      <w:r/>
    </w:p>
    <w:p>
      <w:pPr>
        <w:pStyle w:val="996"/>
        <w:rPr>
          <w:rFonts w:hint="eastAsia"/>
          <w:lang w:val="en-US" w:eastAsia="zh-CN"/>
        </w:rPr>
      </w:pPr>
      <w:r>
        <w:rPr>
          <w:rFonts w:hint="eastAsia"/>
          <w:lang w:val="en-US" w:eastAsia="zh-CN"/>
        </w:rPr>
        <w:t xml:space="preserve">四、人员配备要求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本项目配置不少于 7 人专项实施团队，团队覆盖 AI 平台开发、系统集成、数据治理、安全防护、项目管理、业务需求、测试交付全环节，各岗位人员及具体工作职责明确如下：</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项目经理（1 人） 作为项目总负责人，统筹项目全周期管理；负责甲乙双方对接、需求评审、项目计划编制、进度管控、变更管理、风险识别与处置；组织例会、阶段性评审、内部质量把关，统筹协调团队所有资源，保障项目按期交付，对项目整体质量、工期负总责。</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AI 平台开发工程师（2 人） 负责 AI 应用平台、中医 RAG 知识库、辅助诊疗、文书生成、数字人导诊模块的代码开发、模型调优、接口封装；完成大模型能力对接、Prompt 工程、知识库检索逻辑开发；开展单元测试，解决平台功能缺陷，支撑各 AI 业务场景落地，负责平台迭代优化。</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系统集成工程师（1 人） 负责与医院现有 HIS、EMR、LIS、PACS、统一身份认证平台对接，完成接口调研、接口开发、联调测试；网络部署、服务器 / 算力环境部署；保障跨系统数据交互稳定，完成双院区网络环境适配，处理集成过程中的对接异常问题。</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数据治理工程师（1 人） 负责中医病案、方剂、院内规范等原始资料梳理、数据清洗、文档标准化、结构化处理；医疗数据脱敏、数据分级分类；构建中医知识库素材库，完成 RAG 向量库构建与数据入库；保障医疗数据合规，对知识库内容质量负责。</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信息安全工程师（1 人） 负责本项目整体安全方案落地，医疗隐私防护体系实施；等保 2.0 三级适配、权限体系设计、日志审计、数据出域管控、内容安全审查；安全配置、漏洞扫描、安全测试；制定安全应急预案，落实医疗信息保密要求。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 &amp; 交付实施工程师（1 人） 负责全系统功能测试、性能测试、集成联调测试，编写测试用例、缺陷跟踪闭环；编制用户手册、培训材料；开展院内分层培训（信息科、医生、护士、导诊）；组织系统试运行、问题收集整改，配合完成项目验收、文档归档交付。</w:t>
      </w:r>
      <w:r/>
    </w:p>
    <w:p>
      <w:pPr>
        <w:ind w:firstLine="482"/>
        <w:spacing w:line="360" w:lineRule="auto"/>
        <w:rPr>
          <w:rFonts w:ascii="黑体" w:hAnsi="黑体" w:eastAsia="黑体"/>
          <w:b/>
          <w:sz w:val="24"/>
        </w:rPr>
      </w:pPr>
      <w:r>
        <w:rPr>
          <w:rFonts w:ascii="黑体" w:hAnsi="黑体" w:eastAsia="黑体"/>
          <w:b/>
          <w:sz w:val="24"/>
        </w:rPr>
      </w:r>
      <w:r/>
    </w:p>
    <w:p>
      <w:pPr>
        <w:pStyle w:val="996"/>
        <w:rPr>
          <w:rFonts w:hint="eastAsia"/>
          <w:lang w:val="en-US" w:eastAsia="zh-CN"/>
        </w:rPr>
      </w:pPr>
      <w:r>
        <w:rPr>
          <w:rFonts w:hint="eastAsia"/>
          <w:lang w:val="en-US" w:eastAsia="zh-CN"/>
        </w:rPr>
        <w:t xml:space="preserve">五、服务期限与项目进度安排</w:t>
      </w:r>
      <w:r/>
    </w:p>
    <w:p>
      <w:pPr>
        <w:ind w:firstLine="482"/>
        <w:spacing w:line="360" w:lineRule="auto"/>
        <w:rPr>
          <w:rFonts w:ascii="宋体" w:hAnsi="宋体" w:eastAsia="宋体"/>
          <w:color w:val="auto"/>
          <w:sz w:val="24"/>
          <w:highlight w:val="none"/>
        </w:rPr>
      </w:pPr>
      <w:r>
        <w:rPr>
          <w:rFonts w:hint="eastAsia" w:ascii="宋体" w:hAnsi="宋体" w:eastAsia="宋体" w:cs="宋体"/>
          <w:color w:val="auto"/>
          <w:sz w:val="24"/>
          <w:highlight w:val="none"/>
        </w:rPr>
        <w:t xml:space="preserve">合同履行期限（服务期限）：</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年</w:t>
      </w:r>
      <w:r>
        <w:rPr>
          <w:rFonts w:hint="eastAsia"/>
          <w:sz w:val="24"/>
        </w:rPr>
        <w:t xml:space="preserve">。</w:t>
      </w:r>
      <w:r/>
    </w:p>
    <w:p>
      <w:pPr>
        <w:spacing w:line="360" w:lineRule="auto"/>
        <w:rPr>
          <w:rFonts w:ascii="黑体" w:hAnsi="黑体" w:eastAsia="黑体"/>
          <w:b/>
          <w:sz w:val="24"/>
        </w:rPr>
      </w:pPr>
      <w:r>
        <w:rPr>
          <w:rFonts w:ascii="黑体" w:hAnsi="黑体" w:eastAsia="黑体"/>
          <w:b/>
          <w:sz w:val="24"/>
        </w:rPr>
      </w:r>
      <w:r/>
    </w:p>
    <w:p>
      <w:pPr>
        <w:pStyle w:val="996"/>
        <w:rPr>
          <w:rFonts w:hint="eastAsia"/>
          <w:lang w:val="en-US" w:eastAsia="zh-CN"/>
        </w:rPr>
      </w:pPr>
      <w:r>
        <w:rPr>
          <w:rFonts w:hint="eastAsia"/>
          <w:lang w:val="en-US" w:eastAsia="zh-CN"/>
        </w:rPr>
        <w:t xml:space="preserve">六、服务标准</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采购标的需执行的国家相关标准、行业标准、地方标准或者其他标准、规范如下：</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《中华人民共和国网络安全法》</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《国家健康医疗大数据标准、安全和服务管理办法（试行）》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《医疗卫生机构数据安全和个人信息保护管理办法（试行）》</w:t>
      </w:r>
      <w:r/>
    </w:p>
    <w:p>
      <w:pPr>
        <w:ind w:firstLine="720"/>
        <w:spacing w:line="360" w:lineRule="auto"/>
        <w:rPr>
          <w:rStyle w:val="1011"/>
          <w:rFonts w:ascii="宋体" w:hAnsi="宋体" w:eastAsia="宋体" w:cs="宋体"/>
          <w:b w:val="0"/>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GB/T22239-2019《信息安全技术网络安全等级保护基本要求》</w:t>
      </w:r>
      <w:r>
        <w:rPr>
          <w:rStyle w:val="1011"/>
          <w:rFonts w:ascii="宋体" w:hAnsi="宋体" w:eastAsia="宋体" w:cs="宋体"/>
          <w:b w:val="0"/>
          <w:color w:val="000000" w:themeColor="text1"/>
          <w:sz w:val="24"/>
          <w:szCs w:val="24"/>
          <w:highlight w:val="none"/>
          <w14:textFill>
            <w14:solidFill>
              <w14:schemeClr w14:val="tx1"/>
            </w14:solidFill>
          </w14:textFill>
        </w:rPr>
        <w:t xml:space="preserve">等保 2.0，三级</w:t>
      </w:r>
      <w:r/>
    </w:p>
    <w:p>
      <w:pPr>
        <w:ind w:firstLine="72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GB/T 35273《信息安全技术个人信息安全规范》</w:t>
      </w:r>
      <w:r/>
    </w:p>
    <w:p>
      <w:pPr>
        <w:ind w:firstLine="480"/>
        <w:spacing w:line="360" w:lineRule="auto"/>
        <w:rPr>
          <w:rFonts w:ascii="黑体" w:hAnsi="黑体" w:eastAsia="黑体"/>
          <w:b/>
          <w:sz w:val="24"/>
        </w:rPr>
      </w:pPr>
      <w:r>
        <w:rPr>
          <w:rFonts w:hint="eastAsia" w:ascii="宋体" w:hAnsi="宋体" w:cs="宋体"/>
          <w:color w:val="000000"/>
          <w:sz w:val="24"/>
          <w:szCs w:val="24"/>
          <w:highlight w:val="none"/>
        </w:rPr>
        <w:t xml:space="preserve">上述所列标准，</w:t>
      </w:r>
      <w:r>
        <w:rPr>
          <w:rFonts w:hint="eastAsia" w:ascii="宋体" w:hAnsi="宋体" w:cs="宋体"/>
          <w:sz w:val="24"/>
          <w:szCs w:val="24"/>
          <w:highlight w:val="none"/>
        </w:rPr>
        <w:t xml:space="preserve">在项目履约期间，如有最新标准，按照最新规范标准执行。</w:t>
      </w:r>
      <w:r/>
    </w:p>
    <w:p>
      <w:pPr>
        <w:ind w:firstLine="482"/>
        <w:spacing w:line="360" w:lineRule="auto"/>
        <w:rPr>
          <w:rFonts w:ascii="黑体" w:hAnsi="黑体" w:eastAsia="黑体"/>
          <w:b/>
          <w:sz w:val="24"/>
        </w:rPr>
      </w:pPr>
      <w:r>
        <w:rPr>
          <w:rFonts w:ascii="黑体" w:hAnsi="黑体" w:eastAsia="黑体"/>
          <w:b/>
          <w:sz w:val="24"/>
        </w:rPr>
      </w:r>
      <w:r/>
    </w:p>
    <w:p>
      <w:pPr>
        <w:pStyle w:val="996"/>
        <w:rPr>
          <w:rFonts w:hint="eastAsia"/>
          <w:lang w:val="en-US" w:eastAsia="zh-CN"/>
        </w:rPr>
      </w:pPr>
      <w:r>
        <w:rPr>
          <w:rFonts w:hint="eastAsia"/>
          <w:lang w:val="en-US" w:eastAsia="zh-CN"/>
        </w:rPr>
        <w:t xml:space="preserve">七、培训要求</w:t>
      </w:r>
      <w:r/>
    </w:p>
    <w:p>
      <w:pPr>
        <w:ind w:firstLine="480"/>
        <w:spacing w:line="360" w:lineRule="auto"/>
        <w:rPr>
          <w:rFonts w:ascii="黑体" w:hAnsi="黑体" w:eastAsia="黑体"/>
          <w:b/>
          <w:sz w:val="24"/>
        </w:rPr>
      </w:pPr>
      <w:r>
        <w:rPr>
          <w:rFonts w:ascii="宋体" w:hAnsi="宋体" w:eastAsia="宋体" w:cs="宋体"/>
          <w:sz w:val="24"/>
          <w:szCs w:val="24"/>
          <w:highlight w:val="none"/>
        </w:rPr>
        <w:t xml:space="preserve">本项目</w:t>
      </w:r>
      <w:r>
        <w:rPr>
          <w:rFonts w:hint="eastAsia" w:ascii="宋体" w:hAnsi="宋体" w:eastAsia="宋体" w:cs="宋体"/>
          <w:sz w:val="24"/>
          <w:szCs w:val="24"/>
          <w:highlight w:val="none"/>
        </w:rPr>
        <w:t xml:space="preserve">需</w:t>
      </w:r>
      <w:r>
        <w:rPr>
          <w:rFonts w:ascii="宋体" w:hAnsi="宋体" w:eastAsia="宋体" w:cs="宋体"/>
          <w:sz w:val="24"/>
          <w:szCs w:val="24"/>
          <w:highlight w:val="none"/>
        </w:rPr>
        <w:t xml:space="preserve">建立智慧医院 AI 平台分阶段培训体系，面向医院管理人员、医护、信息科三类人员，结合现场授课、一对一实操、线上回看及考核方式，分上线前、试运行、质保期 3 轮培训。培训包含平台操作、AI 功能、数据规范、故障排查、数据安全等内容，配套课件、操作手册与教学视频，培训后组织考核，保障各岗位人员熟练使用系统。</w:t>
      </w:r>
      <w:r/>
    </w:p>
    <w:p>
      <w:pPr>
        <w:spacing w:line="360" w:lineRule="auto"/>
        <w:rPr>
          <w:rFonts w:ascii="黑体" w:hAnsi="黑体" w:eastAsia="黑体"/>
          <w:b/>
          <w:sz w:val="24"/>
        </w:rPr>
      </w:pPr>
      <w:r>
        <w:rPr>
          <w:rFonts w:ascii="黑体" w:hAnsi="黑体" w:eastAsia="黑体"/>
          <w:b/>
          <w:sz w:val="24"/>
        </w:rPr>
      </w:r>
      <w:r/>
    </w:p>
    <w:p>
      <w:pPr>
        <w:pStyle w:val="996"/>
        <w:rPr>
          <w:rFonts w:hint="eastAsia"/>
          <w:lang w:val="en-US" w:eastAsia="zh-CN"/>
        </w:rPr>
      </w:pPr>
      <w:r>
        <w:rPr>
          <w:rFonts w:hint="eastAsia"/>
          <w:lang w:val="en-US" w:eastAsia="zh-CN"/>
        </w:rPr>
        <w:t xml:space="preserve">八、知识产权归属和处理方式</w:t>
      </w:r>
      <w:r/>
    </w:p>
    <w:p>
      <w:pPr>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.本项目服务期限内涉及的所有成果、知识产权归采购人所有，中标人不得在项目实施过程中获取的相关内容及成果用于其它用途。 </w:t>
      </w:r>
      <w:r/>
    </w:p>
    <w:p>
      <w:pPr>
        <w:ind w:firstLine="480"/>
        <w:jc w:val="left"/>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482"/>
        <w:spacing w:line="360" w:lineRule="auto"/>
        <w:rPr>
          <w:rFonts w:ascii="黑体" w:hAnsi="黑体" w:eastAsia="黑体"/>
          <w:b/>
          <w:sz w:val="24"/>
        </w:rPr>
      </w:pPr>
      <w:r>
        <w:rPr>
          <w:rFonts w:ascii="黑体" w:hAnsi="黑体" w:eastAsia="黑体"/>
          <w:b/>
          <w:sz w:val="24"/>
        </w:rPr>
      </w:r>
      <w:r/>
    </w:p>
    <w:p>
      <w:pPr>
        <w:pStyle w:val="996"/>
        <w:rPr>
          <w:rFonts w:hint="eastAsia"/>
          <w:lang w:val="en-US" w:eastAsia="zh-CN"/>
        </w:rPr>
      </w:pPr>
      <w:r>
        <w:rPr>
          <w:rFonts w:hint="eastAsia"/>
          <w:lang w:val="en-US" w:eastAsia="zh-CN"/>
        </w:rPr>
        <w:t xml:space="preserve">九、考核标准及考核办法</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9.1</w:t>
      </w:r>
      <w:r>
        <w:rPr>
          <w:rFonts w:hint="eastAsia" w:ascii="宋体" w:hAnsi="宋体" w:eastAsia="宋体"/>
          <w:color w:val="000000" w:themeColor="text1"/>
          <w:sz w:val="24"/>
          <w14:textFill>
            <w14:solidFill>
              <w14:schemeClr w14:val="tx1"/>
            </w14:solidFill>
          </w14:textFill>
        </w:rPr>
        <w:t xml:space="preserve"> 考核目的</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为规范本项目硬件货物、软件系统履约质量管控，对设备供货质量、系统功能实现、性能指标、集成对接、安全合规、文档交付等开展量化考核，保障全部货物及系统满足招标文件采购需求、合同约定及医院实际业务使用要求，为项目分阶段验收、售后服务提供客观依据。</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9.2</w:t>
      </w:r>
      <w:r>
        <w:rPr>
          <w:rFonts w:hint="eastAsia" w:ascii="宋体" w:hAnsi="宋体" w:eastAsia="宋体"/>
          <w:color w:val="000000" w:themeColor="text1"/>
          <w:sz w:val="24"/>
          <w14:textFill>
            <w14:solidFill>
              <w14:schemeClr w14:val="tx1"/>
            </w14:solidFill>
          </w14:textFill>
        </w:rPr>
        <w:t xml:space="preserve"> 考核对象</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本项目全部交付内容，</w:t>
      </w:r>
      <w:r>
        <w:rPr>
          <w:rFonts w:hint="eastAsia" w:ascii="宋体" w:hAnsi="宋体" w:eastAsia="宋体"/>
          <w:color w:val="000000" w:themeColor="text1"/>
          <w:sz w:val="24"/>
          <w14:textFill>
            <w14:solidFill>
              <w14:schemeClr w14:val="tx1"/>
            </w14:solidFill>
          </w14:textFill>
        </w:rPr>
        <w:t xml:space="preserve">包含： 1）硬件货物：中医经络检测仪、中医人工智能健康状态辨识系统配套采集设备；智慧病房物联网基础设施（边缘微站、各类全频数通单元）；智能输液系统、患者防走失系统、夜间监护系统、无感跌倒检测系统、医护患对讲系统相关硬件设备。 2）软件系统：大模型及数据智能支撑底座、患者智慧管理、智能预问诊、智能病历质控、病历生成智能体、智能数据助手；AI 自动分析鱼骨图、AI 护理人力资源配置、AI 自动生成质控报告，以及全部配套业务软件、接口程序。 3）配套成果：技术文档、测试报告、第三方佐证材料、培训资料等全部交付物。</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9</w:t>
      </w:r>
      <w:r>
        <w:rPr>
          <w:rFonts w:hint="eastAsia" w:ascii="宋体" w:hAnsi="宋体" w:eastAsia="宋体"/>
          <w:color w:val="000000" w:themeColor="text1"/>
          <w:sz w:val="24"/>
          <w14:textFill>
            <w14:solidFill>
              <w14:schemeClr w14:val="tx1"/>
            </w14:solidFill>
          </w14:textFill>
        </w:rPr>
        <w:t xml:space="preserve">.3 考核周期</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到货考核：全部硬件货物到货后开展，考核设备外观、型号规格、数量、合格证、检测报告、原厂佐证资料。</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试运行考核：系统部署完成后，在 7 天试运行周期内，对硬件运行稳定性、软件功能、性能、接口集成、安全合规开展考核。</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竣工验收考核：项目正式竣工验收阶段，对软硬件开展全项综合考核。</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质保运维期考核：竣工验收完成后，24 个月质保期内，每季度开展一次软硬件运行状态考核。</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9</w:t>
      </w:r>
      <w:r>
        <w:rPr>
          <w:rFonts w:hint="eastAsia" w:ascii="宋体" w:hAnsi="宋体" w:eastAsia="宋体"/>
          <w:color w:val="000000" w:themeColor="text1"/>
          <w:sz w:val="24"/>
          <w14:textFill>
            <w14:solidFill>
              <w14:schemeClr w14:val="tx1"/>
            </w14:solidFill>
          </w14:textFill>
        </w:rPr>
        <w:t xml:space="preserve">.4 考核指标及考核标准（总分 100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（一）硬件货物供货及到货验收（25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供货设备型号、规格、数量、关键技术参数完全响应招标文件采购需求，无擅自更换型号、无降档替代（12 分）；设备参数与招标要求不符、私自替换型号，每项扣 6 分，严重不符本项得 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设备外观完好无破损变形，出厂合格证、第三方检测报告、无线电型号核准证、软件著作权证书等佐证资料齐全、复印件加盖对应公章，资料满足招标实质性要求（8 分）；资料缺失、设备外观损坏，每台 / 每套扣 3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按照合同约定时间完成全部硬件到货，到货流程无延误（5 分）；无故到货延期，每延期 1 个工作日扣 1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（二）软件系统功能完整性（30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AI 中医应用全部模块（数据智能底座、患者智慧管理、预问诊、病历质控、病历生成智能体、数据助手、经络检测、健康状态辨识）功能完整，满足招标文件参数要求（12 分）；单项功能缺失、不满足业务需求扣 4 分，重大功能缺失本项得 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“人工智能 +” 康养智慧病房、康养服务模块（物联网底座、智能输液、防走失、跌倒检测、夜间监护、医护患对讲；鱼骨图分析、护理人力配置、质控报告生成）全部功能实现（10 分），功能不满足每项扣 3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与医院现有 HIS、EMR、LIS、PACS、治未病随访系统集成对接正常，数据交互准确可靠；配套部署手册、接口文档、用户手册、管理员手册完整齐全（8 分）；接口异常、交互错误单次扣 4 分；文档缺失每份扣 2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（三）软硬件性能与运行稳定性（20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算力满足整套环境稠密 INT8 峰值算力不少于 3200TOPS；系统各模块响应时间、并发能力、NLP 处理速度满足招标技术指标（8 分）；性能指标不达标，经整改后仍不满足扣 4</w:t>
      </w:r>
      <w:r>
        <w:rPr>
          <w:rFonts w:hint="eastAsia" w:ascii="宋体" w:hAnsi="宋体" w:eastAsia="宋体"/>
          <w:color w:val="000000" w:themeColor="text1"/>
          <w:sz w:val="24"/>
          <w14:textFill>
            <w14:solidFill>
              <w14:schemeClr w14:val="tx1"/>
            </w14:solidFill>
          </w14:textFill>
        </w:rPr>
        <w:noBreakHyphen/>
      </w:r>
      <w:r>
        <w:rPr>
          <w:rFonts w:hint="eastAsia" w:ascii="宋体" w:hAnsi="宋体" w:eastAsia="宋体"/>
          <w:color w:val="000000" w:themeColor="text1"/>
          <w:sz w:val="24"/>
          <w14:textFill>
            <w14:solidFill>
              <w14:schemeClr w14:val="tx1"/>
            </w14:solidFill>
          </w14:textFill>
        </w:rPr>
        <w:t xml:space="preserve">8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试运行周期内软件系统无频繁崩溃、卡死、服务中断，病历生成、质控、预问诊、数据查询业务流程运行稳定（6 分）；发生系统业务中断故障，单次扣 3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所有硬件设备连续运行稳定，无硬件报错、传感器异常、通信离线故障（6 分）；硬件故障每台次扣 2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（四）系统、医疗数据安全与合规（15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严格落实患者医疗隐私保护，实现敏感数据脱敏、传输存储加密，无患者隐私泄露风险（6 分）；一旦发生患者隐私泄露事件本项得 0 分，并承担对应的法律及合同责任。</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权限管控、全链路操作审计日志完整有效，满足网络安全等级保护 2.0 三级相关要求，无高危安全漏洞（6 分）；高危安全漏洞逾期未完成修复，单次扣 3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中医经络检测、舌面象、脉象、体质辨识输出内容合规，报告内容无错误、违规内容（3 分）；报告输出错误，视严重程度扣 1</w:t>
      </w:r>
      <w:r>
        <w:rPr>
          <w:rFonts w:hint="eastAsia" w:ascii="宋体" w:hAnsi="宋体" w:eastAsia="宋体"/>
          <w:color w:val="000000" w:themeColor="text1"/>
          <w:sz w:val="24"/>
          <w14:textFill>
            <w14:solidFill>
              <w14:schemeClr w14:val="tx1"/>
            </w14:solidFill>
          </w14:textFill>
        </w:rPr>
        <w:noBreakHyphen/>
      </w:r>
      <w:r>
        <w:rPr>
          <w:rFonts w:hint="eastAsia" w:ascii="宋体" w:hAnsi="宋体" w:eastAsia="宋体"/>
          <w:color w:val="000000" w:themeColor="text1"/>
          <w:sz w:val="24"/>
          <w14:textFill>
            <w14:solidFill>
              <w14:schemeClr w14:val="tx1"/>
            </w14:solidFill>
          </w14:textFill>
        </w:rPr>
        <w:t xml:space="preserve">3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（五）交付物、培训及质保服务（10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全套测试报告、硬件佐证材料、培训课件、签到记录等交付资料完整齐全（5 分）；交付资料存在缺失酌情扣 1</w:t>
      </w:r>
      <w:r>
        <w:rPr>
          <w:rFonts w:hint="eastAsia" w:ascii="宋体" w:hAnsi="宋体" w:eastAsia="宋体"/>
          <w:color w:val="000000" w:themeColor="text1"/>
          <w:sz w:val="24"/>
          <w14:textFill>
            <w14:solidFill>
              <w14:schemeClr w14:val="tx1"/>
            </w14:solidFill>
          </w14:textFill>
        </w:rPr>
        <w:noBreakHyphen/>
      </w:r>
      <w:r>
        <w:rPr>
          <w:rFonts w:hint="eastAsia" w:ascii="宋体" w:hAnsi="宋体" w:eastAsia="宋体"/>
          <w:color w:val="000000" w:themeColor="text1"/>
          <w:sz w:val="24"/>
          <w14:textFill>
            <w14:solidFill>
              <w14:schemeClr w14:val="tx1"/>
            </w14:solidFill>
          </w14:textFill>
        </w:rPr>
        <w:t xml:space="preserve">5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质保期内硬件故障处置、软件 BUG 修复、版本迭代优化、配合等保测评等运维服务按承诺落实到位（5 分）；未按约定执行运维服务，单次扣 2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9</w:t>
      </w:r>
      <w:r>
        <w:rPr>
          <w:rFonts w:hint="eastAsia" w:ascii="宋体" w:hAnsi="宋体" w:eastAsia="宋体"/>
          <w:color w:val="000000" w:themeColor="text1"/>
          <w:sz w:val="24"/>
          <w14:textFill>
            <w14:solidFill>
              <w14:schemeClr w14:val="tx1"/>
            </w14:solidFill>
          </w14:textFill>
        </w:rPr>
        <w:t xml:space="preserve">.5 考核办法</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考核组织：由建设单位组织信息科、医务科、护理部相关人员共同组成考核小组，按照各节点开展考核打分。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评分等级划分（总分 100） </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优秀：≥90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合格：70～89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不合格：＜70 分</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考核结果处置 </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到货 / 试运行考核不合格：</w:t>
      </w:r>
      <w:r>
        <w:rPr>
          <w:rFonts w:hint="eastAsia" w:ascii="宋体" w:hAnsi="宋体" w:eastAsia="宋体"/>
          <w:color w:val="000000" w:themeColor="text1"/>
          <w:sz w:val="24"/>
          <w:lang w:eastAsia="zh-CN"/>
          <w14:textFill>
            <w14:solidFill>
              <w14:schemeClr w14:val="tx1"/>
            </w14:solidFill>
          </w14:textFill>
        </w:rPr>
        <w:t xml:space="preserve">投标人</w:t>
      </w:r>
      <w:r>
        <w:rPr>
          <w:rFonts w:hint="eastAsia" w:ascii="宋体" w:hAnsi="宋体" w:eastAsia="宋体"/>
          <w:color w:val="000000" w:themeColor="text1"/>
          <w:sz w:val="24"/>
          <w14:textFill>
            <w14:solidFill>
              <w14:schemeClr w14:val="tx1"/>
            </w14:solidFill>
          </w14:textFill>
        </w:rPr>
        <w:t xml:space="preserve">须提交书面整改方案，在建设单位规定时限内完成全部整改；逾期未整改或者整改后仍然不合格，建设单位有权按照政府采购合同相关约定追究违约责任。</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竣工验收考核不合格，不予通过竣工验收，</w:t>
      </w:r>
      <w:r>
        <w:rPr>
          <w:rFonts w:hint="eastAsia" w:ascii="宋体" w:hAnsi="宋体" w:eastAsia="宋体"/>
          <w:color w:val="000000" w:themeColor="text1"/>
          <w:sz w:val="24"/>
          <w:lang w:eastAsia="zh-CN"/>
          <w14:textFill>
            <w14:solidFill>
              <w14:schemeClr w14:val="tx1"/>
            </w14:solidFill>
          </w14:textFill>
        </w:rPr>
        <w:t xml:space="preserve">投标人</w:t>
      </w:r>
      <w:r>
        <w:rPr>
          <w:rFonts w:hint="eastAsia" w:ascii="宋体" w:hAnsi="宋体" w:eastAsia="宋体"/>
          <w:color w:val="000000" w:themeColor="text1"/>
          <w:sz w:val="24"/>
          <w14:textFill>
            <w14:solidFill>
              <w14:schemeClr w14:val="tx1"/>
            </w14:solidFill>
          </w14:textFill>
        </w:rPr>
        <w:t xml:space="preserve">持续完成整改直至达标，由此产生的工期延误全部由</w:t>
      </w:r>
      <w:r>
        <w:rPr>
          <w:rFonts w:hint="eastAsia" w:ascii="宋体" w:hAnsi="宋体" w:eastAsia="宋体"/>
          <w:color w:val="000000" w:themeColor="text1"/>
          <w:sz w:val="24"/>
          <w:lang w:eastAsia="zh-CN"/>
          <w14:textFill>
            <w14:solidFill>
              <w14:schemeClr w14:val="tx1"/>
            </w14:solidFill>
          </w14:textFill>
        </w:rPr>
        <w:t xml:space="preserve">投标人</w:t>
      </w:r>
      <w:r>
        <w:rPr>
          <w:rFonts w:hint="eastAsia" w:ascii="宋体" w:hAnsi="宋体" w:eastAsia="宋体"/>
          <w:color w:val="000000" w:themeColor="text1"/>
          <w:sz w:val="24"/>
          <w14:textFill>
            <w14:solidFill>
              <w14:schemeClr w14:val="tx1"/>
            </w14:solidFill>
          </w14:textFill>
        </w:rPr>
        <w:t xml:space="preserve">承担。</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质保期季度考核不合格，</w:t>
      </w:r>
      <w:r>
        <w:rPr>
          <w:rFonts w:hint="eastAsia" w:ascii="宋体" w:hAnsi="宋体" w:eastAsia="宋体"/>
          <w:color w:val="000000" w:themeColor="text1"/>
          <w:sz w:val="24"/>
          <w:lang w:eastAsia="zh-CN"/>
          <w14:textFill>
            <w14:solidFill>
              <w14:schemeClr w14:val="tx1"/>
            </w14:solidFill>
          </w14:textFill>
        </w:rPr>
        <w:t xml:space="preserve">投标人</w:t>
      </w:r>
      <w:r>
        <w:rPr>
          <w:rFonts w:hint="eastAsia" w:ascii="宋体" w:hAnsi="宋体" w:eastAsia="宋体"/>
          <w:color w:val="000000" w:themeColor="text1"/>
          <w:sz w:val="24"/>
          <w14:textFill>
            <w14:solidFill>
              <w14:schemeClr w14:val="tx1"/>
            </w14:solidFill>
          </w14:textFill>
        </w:rPr>
        <w:t xml:space="preserve">限期完成整改；质保周期内累计 2 次考核不合格，建设单位有权按照合同约定处置履约保证金。</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申诉机制：</w:t>
      </w:r>
      <w:r>
        <w:rPr>
          <w:rFonts w:hint="eastAsia" w:ascii="宋体" w:hAnsi="宋体" w:eastAsia="宋体"/>
          <w:color w:val="000000" w:themeColor="text1"/>
          <w:sz w:val="24"/>
          <w:lang w:eastAsia="zh-CN"/>
          <w14:textFill>
            <w14:solidFill>
              <w14:schemeClr w14:val="tx1"/>
            </w14:solidFill>
          </w14:textFill>
        </w:rPr>
        <w:t xml:space="preserve">投标人</w:t>
      </w:r>
      <w:r>
        <w:rPr>
          <w:rFonts w:hint="eastAsia" w:ascii="宋体" w:hAnsi="宋体" w:eastAsia="宋体"/>
          <w:color w:val="000000" w:themeColor="text1"/>
          <w:sz w:val="24"/>
          <w14:textFill>
            <w14:solidFill>
              <w14:schemeClr w14:val="tx1"/>
            </w14:solidFill>
          </w14:textFill>
        </w:rPr>
        <w:t xml:space="preserve">收到考核结果后 3 个工作日内，可以向考核小组提交书面申诉材料，考核小组复核之后出具最终考核结论。</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资料归档：所有考核打分表、整改回执、测试记录，全部作为项目验收归档资料。</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9</w:t>
      </w:r>
      <w:r>
        <w:rPr>
          <w:rFonts w:hint="eastAsia" w:ascii="宋体" w:hAnsi="宋体" w:eastAsia="宋体"/>
          <w:color w:val="000000" w:themeColor="text1"/>
          <w:sz w:val="24"/>
          <w14:textFill>
            <w14:solidFill>
              <w14:schemeClr w14:val="tx1"/>
            </w14:solidFill>
          </w14:textFill>
        </w:rPr>
        <w:t xml:space="preserve">.6 其他约定</w:t>
      </w:r>
      <w:r/>
    </w:p>
    <w:p>
      <w:pPr>
        <w:ind w:firstLine="480"/>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本考核仅作为项目履约管控手段，不免除</w:t>
      </w:r>
      <w:r>
        <w:rPr>
          <w:rFonts w:hint="eastAsia" w:ascii="宋体" w:hAnsi="宋体" w:eastAsia="宋体"/>
          <w:color w:val="000000" w:themeColor="text1"/>
          <w:sz w:val="24"/>
          <w:lang w:eastAsia="zh-CN"/>
          <w14:textFill>
            <w14:solidFill>
              <w14:schemeClr w14:val="tx1"/>
            </w14:solidFill>
          </w14:textFill>
        </w:rPr>
        <w:t xml:space="preserve">投标人</w:t>
      </w:r>
      <w:r>
        <w:rPr>
          <w:rFonts w:hint="eastAsia" w:ascii="宋体" w:hAnsi="宋体" w:eastAsia="宋体"/>
          <w:color w:val="000000" w:themeColor="text1"/>
          <w:sz w:val="24"/>
          <w14:textFill>
            <w14:solidFill>
              <w14:schemeClr w14:val="tx1"/>
            </w14:solidFill>
          </w14:textFill>
        </w:rPr>
        <w:t xml:space="preserve">在采购合同、招标文件、投标文件中约定的质量责任、安全责任、工期违约责任。</w:t>
      </w:r>
      <w:r/>
    </w:p>
    <w:p>
      <w:pPr>
        <w:ind w:firstLine="482"/>
        <w:spacing w:line="360" w:lineRule="auto"/>
        <w:rPr>
          <w:rFonts w:ascii="黑体" w:hAnsi="黑体" w:eastAsia="黑体"/>
          <w:b/>
          <w:sz w:val="24"/>
        </w:rPr>
      </w:pPr>
      <w:r>
        <w:rPr>
          <w:rFonts w:ascii="黑体" w:hAnsi="黑体" w:eastAsia="黑体"/>
          <w:b/>
          <w:sz w:val="24"/>
        </w:rPr>
      </w:r>
      <w:r/>
    </w:p>
    <w:p>
      <w:pPr>
        <w:pStyle w:val="996"/>
        <w:rPr>
          <w:rFonts w:hint="eastAsia"/>
        </w:rPr>
      </w:pPr>
      <w:r>
        <w:rPr>
          <w:rFonts w:hint="eastAsia"/>
          <w:lang w:val="en-US" w:eastAsia="zh-CN"/>
        </w:rPr>
        <w:t xml:space="preserve">十</w:t>
      </w:r>
      <w:r>
        <w:rPr>
          <w:rFonts w:hint="eastAsia"/>
        </w:rPr>
        <w:t xml:space="preserve">、履约验收</w:t>
      </w:r>
      <w:r/>
    </w:p>
    <w:p>
      <w:pPr>
        <w:ind w:firstLine="480"/>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lang w:val="en-US" w:eastAsia="zh-CN"/>
          <w14:textFill>
            <w14:solidFill>
              <w14:schemeClr w14:val="tx1"/>
            </w14:solidFill>
          </w14:textFill>
        </w:rPr>
        <w:t xml:space="preserve">中标</w:t>
      </w:r>
      <w:r>
        <w:rPr>
          <w:rFonts w:hint="eastAsia" w:ascii="宋体" w:hAnsi="宋体" w:eastAsia="宋体"/>
          <w:color w:val="000000" w:themeColor="text1"/>
          <w:sz w:val="24"/>
          <w:lang w:eastAsia="zh-CN"/>
          <w14:textFill>
            <w14:solidFill>
              <w14:schemeClr w14:val="tx1"/>
            </w14:solidFill>
          </w14:textFill>
        </w:rPr>
        <w:t xml:space="preserve">人</w:t>
      </w:r>
      <w:r>
        <w:rPr>
          <w:rFonts w:hint="eastAsia" w:ascii="宋体" w:hAnsi="宋体" w:eastAsia="宋体"/>
          <w:color w:val="000000" w:themeColor="text1"/>
          <w:sz w:val="24"/>
          <w14:textFill>
            <w14:solidFill>
              <w14:schemeClr w14:val="tx1"/>
            </w14:solidFill>
          </w14:textFill>
        </w:rPr>
        <w:t xml:space="preserve">按合同约定完成建设任务，在服务到期后，采购单位在15日内组织验收。</w:t>
      </w:r>
      <w:r/>
    </w:p>
    <w:p>
      <w:pPr>
        <w:ind w:firstLine="480"/>
        <w:jc w:val="left"/>
        <w:spacing w:line="360" w:lineRule="auto"/>
        <w:rPr>
          <w:rFonts w:ascii="宋体" w:hAnsi="宋体" w:eastAsia="宋体" w:cs="Times New Roman"/>
          <w:color w:val="000000" w:themeColor="text1"/>
          <w:sz w:val="24"/>
          <w:szCs w:val="24"/>
          <w:highlight w:val="yellow"/>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中标</w:t>
      </w:r>
      <w:r>
        <w:rPr>
          <w:rFonts w:hint="eastAsia" w:ascii="宋体" w:hAnsi="宋体" w:eastAsia="宋体" w:cs="Times New Roman"/>
          <w:color w:val="000000" w:themeColor="text1"/>
          <w:sz w:val="24"/>
          <w:szCs w:val="24"/>
          <w:lang w:eastAsia="zh-CN"/>
          <w14:textFill>
            <w14:solidFill>
              <w14:schemeClr w14:val="tx1"/>
            </w14:solidFill>
          </w14:textFill>
        </w:rPr>
        <w:t xml:space="preserve">人</w:t>
      </w:r>
      <w:r>
        <w:rPr>
          <w:rFonts w:hint="eastAsia" w:ascii="宋体" w:hAnsi="宋体" w:eastAsia="宋体" w:cs="Times New Roman"/>
          <w:color w:val="000000" w:themeColor="text1"/>
          <w:sz w:val="24"/>
          <w:szCs w:val="24"/>
          <w14:textFill>
            <w14:solidFill>
              <w14:schemeClr w14:val="tx1"/>
            </w14:solidFill>
          </w14:textFill>
        </w:rPr>
        <w:t xml:space="preserve">提供在整个项目实施过程中相关技术文档。采购人组成验收小组，验收人员应当按照采购文件、响应文件、合同及相关技术标准，对</w:t>
      </w:r>
      <w:r>
        <w:rPr>
          <w:rFonts w:hint="eastAsia" w:ascii="宋体" w:hAnsi="宋体" w:eastAsia="宋体" w:cs="Times New Roman"/>
          <w:color w:val="000000" w:themeColor="text1"/>
          <w:sz w:val="24"/>
          <w:szCs w:val="24"/>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4"/>
          <w14:textFill>
            <w14:solidFill>
              <w14:schemeClr w14:val="tx1"/>
            </w14:solidFill>
          </w14:textFill>
        </w:rPr>
        <w:t xml:space="preserve">的履约情况开展验收。验收结束后，验收人员应当出具验收报告并签字。</w:t>
      </w:r>
      <w:r/>
    </w:p>
    <w:p>
      <w:pPr>
        <w:spacing w:line="360" w:lineRule="auto"/>
        <w:rPr>
          <w:sz w:val="24"/>
        </w:rPr>
      </w:pPr>
      <w:r>
        <w:rPr>
          <w:sz w:val="24"/>
        </w:rPr>
      </w:r>
      <w:r/>
    </w:p>
    <w:p>
      <w:pPr>
        <w:pStyle w:val="996"/>
        <w:rPr>
          <w:rFonts w:hint="eastAsia"/>
        </w:rPr>
      </w:pPr>
      <w:r>
        <w:rPr>
          <w:rFonts w:hint="eastAsia"/>
        </w:rPr>
        <w:t xml:space="preserve">十</w:t>
      </w:r>
      <w:r>
        <w:rPr>
          <w:rFonts w:hint="eastAsia"/>
          <w:lang w:val="en-US" w:eastAsia="zh-CN"/>
        </w:rPr>
        <w:t xml:space="preserve">一</w:t>
      </w:r>
      <w:r>
        <w:rPr>
          <w:rFonts w:hint="eastAsia"/>
        </w:rPr>
        <w:t xml:space="preserve">、付款方式与履约保证金</w:t>
      </w:r>
      <w:r/>
    </w:p>
    <w:p>
      <w:pPr>
        <w:ind w:firstLine="480"/>
        <w:spacing w:line="360" w:lineRule="auto"/>
        <w:rPr>
          <w:rFonts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1、付款方式</w:t>
      </w:r>
      <w:r/>
    </w:p>
    <w:p>
      <w:pPr>
        <w:ind w:firstLine="480"/>
        <w:jc w:val="left"/>
        <w:spacing w:line="360" w:lineRule="auto"/>
        <w:rPr>
          <w:rFonts w:ascii="宋体" w:hAnsi="宋体" w:eastAsia="宋体"/>
          <w:bCs/>
          <w:color w:val="000000" w:themeColor="text1"/>
          <w:sz w:val="24"/>
          <w:u w:val="none"/>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合同签订后十个工作日采购人向</w:t>
      </w:r>
      <w:r>
        <w:rPr>
          <w:rFonts w:hint="eastAsia" w:ascii="宋体" w:hAnsi="宋体" w:eastAsia="宋体"/>
          <w:bCs/>
          <w:color w:val="000000" w:themeColor="text1"/>
          <w:sz w:val="24"/>
          <w:lang w:val="en-US" w:eastAsia="zh-CN"/>
          <w14:textFill>
            <w14:solidFill>
              <w14:schemeClr w14:val="tx1"/>
            </w14:solidFill>
          </w14:textFill>
        </w:rPr>
        <w:t xml:space="preserve">中标人</w:t>
      </w:r>
      <w:r>
        <w:rPr>
          <w:rFonts w:hint="eastAsia" w:ascii="宋体" w:hAnsi="宋体" w:eastAsia="宋体"/>
          <w:bCs/>
          <w:color w:val="000000" w:themeColor="text1"/>
          <w:sz w:val="24"/>
          <w14:textFill>
            <w14:solidFill>
              <w14:schemeClr w14:val="tx1"/>
            </w14:solidFill>
          </w14:textFill>
        </w:rPr>
        <w:t xml:space="preserve">支付合同总价款的</w:t>
      </w:r>
      <w:r>
        <w:rPr>
          <w:rFonts w:hint="eastAsia" w:ascii="宋体" w:hAnsi="宋体" w:eastAsia="宋体"/>
          <w:bCs/>
          <w:color w:val="000000" w:themeColor="text1"/>
          <w:sz w:val="24"/>
          <w:highlight w:val="none"/>
          <w14:textFill>
            <w14:solidFill>
              <w14:schemeClr w14:val="tx1"/>
            </w14:solidFill>
          </w14:textFill>
        </w:rPr>
        <w:t xml:space="preserve">30%</w:t>
      </w:r>
      <w:r>
        <w:rPr>
          <w:rFonts w:hint="eastAsia" w:ascii="宋体" w:hAnsi="宋体" w:eastAsia="宋体"/>
          <w:bCs/>
          <w:color w:val="000000" w:themeColor="text1"/>
          <w:sz w:val="24"/>
          <w14:textFill>
            <w14:solidFill>
              <w14:schemeClr w14:val="tx1"/>
            </w14:solidFill>
          </w14:textFill>
        </w:rPr>
        <w:t xml:space="preserve">；</w:t>
      </w:r>
      <w:r>
        <w:rPr>
          <w:rFonts w:hint="eastAsia" w:cs="Times New Roman"/>
          <w:sz w:val="24"/>
          <w:szCs w:val="24"/>
          <w:u w:val="none"/>
        </w:rPr>
        <w:t xml:space="preserve">项目建成验收合格且试运行合格后支付至合同价款总额的100%</w:t>
      </w:r>
      <w:r>
        <w:rPr>
          <w:rFonts w:hint="eastAsia" w:cs="Times New Roman" w:asciiTheme="minorEastAsia" w:hAnsiTheme="minorEastAsia"/>
          <w:bCs/>
          <w:iCs/>
          <w:sz w:val="24"/>
          <w:szCs w:val="24"/>
          <w:u w:val="none"/>
        </w:rPr>
        <w:t xml:space="preserve">。</w:t>
      </w:r>
      <w:r/>
    </w:p>
    <w:p>
      <w:pPr>
        <w:ind w:firstLine="480"/>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2、履约保证金</w:t>
      </w:r>
      <w:r/>
    </w:p>
    <w:p>
      <w:pPr>
        <w:ind w:firstLine="480"/>
        <w:spacing w:line="360" w:lineRule="auto"/>
        <w:rPr>
          <w:rFonts w:hint="eastAsia" w:ascii="Times New Roman" w:hAnsi="Times New Roman" w:eastAsia="宋体" w:cs="Times New Roman"/>
          <w:b/>
          <w:sz w:val="28"/>
          <w:szCs w:val="28"/>
        </w:rPr>
      </w:pPr>
      <w:r>
        <w:rPr>
          <w:rFonts w:hint="eastAsia" w:ascii="宋体" w:hAnsi="宋体" w:eastAsia="宋体"/>
          <w:color w:val="000000" w:themeColor="text1"/>
          <w:sz w:val="24"/>
          <w14:textFill>
            <w14:solidFill>
              <w14:schemeClr w14:val="tx1"/>
            </w14:solidFill>
          </w14:textFill>
        </w:rPr>
        <w:t xml:space="preserve">本项目不收取履约保证金。</w:t>
      </w:r>
      <w:r/>
    </w:p>
    <w:p>
      <w:pPr>
        <w:pStyle w:val="1025"/>
      </w:pPr>
      <w:r/>
      <w:r/>
    </w:p>
    <w:p>
      <w:pPr>
        <w:pStyle w:val="996"/>
        <w:rPr>
          <w:rFonts w:hint="eastAsia"/>
        </w:rPr>
      </w:pPr>
      <w:r>
        <w:rPr>
          <w:rFonts w:hint="eastAsia"/>
        </w:rPr>
        <w:t xml:space="preserve">十</w:t>
      </w:r>
      <w:r>
        <w:rPr>
          <w:rFonts w:hint="eastAsia"/>
          <w:lang w:val="en-US" w:eastAsia="zh-CN"/>
        </w:rPr>
        <w:t xml:space="preserve">二</w:t>
      </w:r>
      <w:r>
        <w:rPr>
          <w:rFonts w:hint="eastAsia"/>
        </w:rPr>
        <w:t xml:space="preserve">、报价要求</w:t>
      </w:r>
      <w:r/>
    </w:p>
    <w:p>
      <w:pPr>
        <w:ind w:firstLine="480"/>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本项目不接受备选的方案或有选择的报价。报价内容包括：人工费、服务费、设备损耗、税金以及项目实施过程中涉及到的其他一切费用。</w:t>
      </w:r>
      <w:r/>
    </w:p>
    <w:p>
      <w:pPr>
        <w:ind w:firstLine="420"/>
        <w:spacing w:line="360" w:lineRule="auto"/>
        <w:rPr>
          <w:rFonts w:ascii="黑体" w:hAnsi="黑体" w:eastAsia="黑体"/>
          <w:b/>
          <w:sz w:val="24"/>
        </w:rPr>
      </w:pPr>
      <w:r>
        <w:rPr>
          <w:rFonts w:hint="eastAsia" w:ascii="宋体" w:hAnsi="宋体" w:eastAsia="宋体"/>
          <w:color w:val="000000" w:themeColor="text1"/>
          <w14:textFill>
            <w14:solidFill>
              <w14:schemeClr w14:val="tx1"/>
            </w14:solidFill>
          </w14:textFill>
        </w:rPr>
        <w:t xml:space="preserve"> </w:t>
      </w:r>
      <w:r>
        <w:rPr>
          <w:rFonts w:hint="eastAsia" w:ascii="宋体" w:hAnsi="宋体" w:eastAsia="宋体"/>
          <w:color w:val="000000" w:themeColor="text1"/>
          <w:sz w:val="24"/>
          <w:lang w:eastAsia="zh-CN"/>
          <w14:textFill>
            <w14:solidFill>
              <w14:schemeClr w14:val="tx1"/>
            </w14:solidFill>
          </w14:textFill>
        </w:rPr>
        <w:t xml:space="preserve">投标人</w:t>
      </w:r>
      <w:r>
        <w:rPr>
          <w:rFonts w:hint="eastAsia" w:ascii="宋体" w:hAnsi="宋体" w:eastAsia="宋体"/>
          <w:color w:val="000000" w:themeColor="text1"/>
          <w:sz w:val="24"/>
          <w14:textFill>
            <w14:solidFill>
              <w14:schemeClr w14:val="tx1"/>
            </w14:solidFill>
          </w14:textFill>
        </w:rPr>
        <w:t xml:space="preserve">按照开标一览表和分项报价表的格式要求填写报价。</w:t>
      </w:r>
      <w:r/>
    </w:p>
    <w:p>
      <w:pPr>
        <w:ind w:firstLine="482"/>
        <w:spacing w:line="360" w:lineRule="auto"/>
        <w:rPr>
          <w:rFonts w:ascii="黑体" w:hAnsi="黑体" w:eastAsia="黑体"/>
          <w:b/>
          <w:sz w:val="24"/>
        </w:rPr>
      </w:pPr>
      <w:r>
        <w:rPr>
          <w:rFonts w:ascii="黑体" w:hAnsi="黑体" w:eastAsia="黑体"/>
          <w:b/>
          <w:sz w:val="24"/>
        </w:rPr>
      </w:r>
      <w:r/>
    </w:p>
    <w:p>
      <w:pPr>
        <w:pStyle w:val="996"/>
        <w:rPr>
          <w:rFonts w:hint="eastAsia"/>
        </w:rPr>
      </w:pPr>
      <w:r>
        <w:rPr>
          <w:rFonts w:hint="eastAsia"/>
        </w:rPr>
        <w:t xml:space="preserve">十三、其他</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本项目报价不得超过预算价（最高限价）。</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特别提醒投标人：应根据国家收费标准并结合市场实际进行报价，总价包干。</w:t>
      </w:r>
      <w:r/>
    </w:p>
    <w:p>
      <w:pPr>
        <w:ind w:firstLine="480"/>
        <w:spacing w:line="360" w:lineRule="auto"/>
        <w:rPr>
          <w:rFonts w:ascii="黑体" w:hAnsi="黑体" w:eastAsia="黑体"/>
          <w:b/>
          <w:color w:val="000000" w:themeColor="text1"/>
          <w14:textFill>
            <w14:solidFill>
              <w14:schemeClr w14:val="tx1"/>
            </w14:solidFill>
          </w14:textFill>
        </w:rPr>
      </w:pPr>
      <w:r>
        <w:rPr>
          <w:rFonts w:hint="eastAsia"/>
          <w:color w:val="000000" w:themeColor="text1"/>
          <w:sz w:val="24"/>
          <w14:textFill>
            <w14:solidFill>
              <w14:schemeClr w14:val="tx1"/>
            </w14:solidFill>
          </w14:textFill>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color w:val="000000" w:themeColor="text1"/>
          <w14:textFill>
            <w14:solidFill>
              <w14:schemeClr w14:val="tx1"/>
            </w14:solidFill>
          </w14:textFill>
        </w:rPr>
      </w:pPr>
      <w:r>
        <w:rPr>
          <w:rFonts w:ascii="黑体" w:hAnsi="黑体" w:eastAsia="黑体"/>
          <w:b/>
          <w:color w:val="000000" w:themeColor="text1"/>
          <w14:textFill>
            <w14:solidFill>
              <w14:schemeClr w14:val="tx1"/>
            </w14:solidFill>
          </w14:textFill>
        </w:rPr>
      </w:r>
      <w:r/>
    </w:p>
    <w:p>
      <w:r/>
      <w:r/>
    </w:p>
    <w:p>
      <w:r/>
      <w:r/>
    </w:p>
    <w:p>
      <w:r/>
      <w:r/>
    </w:p>
    <w:p>
      <w:pPr>
        <w:rPr>
          <w:rFonts w:ascii="黑体" w:hAnsi="黑体" w:eastAsia="黑体"/>
          <w:b w:val="0"/>
        </w:rPr>
      </w:pPr>
      <w:r/>
      <w:bookmarkStart w:id="9" w:name="_Toc10210"/>
      <w:r>
        <w:rPr>
          <w:rFonts w:ascii="黑体" w:hAnsi="黑体" w:eastAsia="黑体"/>
          <w:b w:val="0"/>
        </w:rPr>
        <w:br w:type="page" w:clear="all"/>
      </w:r>
      <w:r/>
    </w:p>
    <w:p>
      <w:pPr>
        <w:pStyle w:val="995"/>
        <w:jc w:val="center"/>
        <w:spacing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9"/>
      <w:r/>
      <w:r/>
    </w:p>
    <w:p>
      <w:pPr>
        <w:ind w:firstLine="482"/>
        <w:jc w:val="left"/>
        <w:spacing w:line="500" w:lineRule="exact"/>
        <w:rPr>
          <w:rFonts w:asciiTheme="minorEastAsia" w:hAnsiTheme="minorEastAsia"/>
          <w:b/>
          <w:color w:val="000000" w:themeColor="text1"/>
          <w:sz w:val="24"/>
          <w:szCs w:val="24"/>
          <w14:textFill>
            <w14:solidFill>
              <w14:schemeClr w14:val="tx1"/>
            </w14:solidFill>
          </w14:textFill>
        </w:rPr>
      </w:pPr>
      <w:r>
        <w:rPr>
          <w:rFonts w:hint="eastAsia" w:asciiTheme="minorEastAsia" w:hAnsiTheme="minorEastAsia"/>
          <w:b/>
          <w:color w:val="000000" w:themeColor="text1"/>
          <w:sz w:val="24"/>
          <w:szCs w:val="24"/>
          <w14:textFill>
            <w14:solidFill>
              <w14:schemeClr w14:val="tx1"/>
            </w14:solidFill>
          </w14:textFill>
        </w:rPr>
        <w:t xml:space="preserve">一、评标方法</w:t>
      </w:r>
      <w:r/>
    </w:p>
    <w:p>
      <w:pPr>
        <w:ind w:firstLine="480"/>
        <w:jc w:val="left"/>
        <w:spacing w:line="50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color w:val="000000" w:themeColor="text1"/>
          <w:sz w:val="24"/>
          <w:szCs w:val="24"/>
          <w14:textFill>
            <w14:solidFill>
              <w14:schemeClr w14:val="tx1"/>
            </w14:solidFill>
          </w14:textFill>
        </w:rPr>
      </w:pPr>
      <w:r>
        <w:rPr>
          <w:rFonts w:hint="eastAsia" w:asciiTheme="minorEastAsia" w:hAnsiTheme="minorEastAsia"/>
          <w:b/>
          <w:color w:val="000000" w:themeColor="text1"/>
          <w:sz w:val="24"/>
          <w:szCs w:val="24"/>
          <w14:textFill>
            <w14:solidFill>
              <w14:schemeClr w14:val="tx1"/>
            </w14:solidFill>
          </w14:textFill>
        </w:rPr>
        <w:t xml:space="preserve">二、评标标准</w:t>
      </w:r>
      <w:r/>
    </w:p>
    <w:p>
      <w:pPr>
        <w:ind w:firstLine="480"/>
        <w:jc w:val="left"/>
        <w:spacing w:line="50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（2）本项目评分总分为100分，按四舍五入取至小数点后两位。</w:t>
      </w:r>
      <w:r/>
    </w:p>
    <w:p>
      <w:pPr>
        <w:ind w:firstLine="480"/>
        <w:jc w:val="left"/>
        <w:spacing w:line="500" w:lineRule="exac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（3）总得分=价格分+技术分+商务分。</w:t>
      </w:r>
      <w:r/>
    </w:p>
    <w:p>
      <w:pPr>
        <w:ind w:firstLine="482"/>
        <w:jc w:val="left"/>
        <w:spacing w:line="500" w:lineRule="exact"/>
        <w:rPr>
          <w:rFonts w:asciiTheme="minorEastAsia" w:hAnsiTheme="minorEastAsia"/>
          <w:b/>
          <w:color w:val="000000" w:themeColor="text1"/>
          <w:sz w:val="24"/>
          <w:szCs w:val="24"/>
          <w14:textFill>
            <w14:solidFill>
              <w14:schemeClr w14:val="tx1"/>
            </w14:solidFill>
          </w14:textFill>
        </w:rPr>
      </w:pPr>
      <w:r>
        <w:rPr>
          <w:rFonts w:hint="eastAsia" w:asciiTheme="minorEastAsia" w:hAnsiTheme="minorEastAsia"/>
          <w:b/>
          <w:color w:val="000000" w:themeColor="text1"/>
          <w:sz w:val="24"/>
          <w:szCs w:val="24"/>
          <w14:textFill>
            <w14:solidFill>
              <w14:schemeClr w14:val="tx1"/>
            </w14:solidFill>
          </w14:textFill>
        </w:rPr>
        <w:t xml:space="preserve">三、中标标准</w:t>
      </w:r>
      <w:r/>
    </w:p>
    <w:p>
      <w:pPr>
        <w:ind w:firstLine="480"/>
        <w:jc w:val="left"/>
        <w:spacing w:line="500" w:lineRule="exact"/>
        <w:rPr>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评标结果按评审后得分由高到低顺序排列。得分相同的，按投标报价由低到高顺序排列。得分且投标报价相同的并列。评标委员会按照评审得分由高到低顺序推荐</w:t>
      </w:r>
      <w:r>
        <w:rPr>
          <w:rFonts w:hint="eastAsia" w:asciiTheme="minorEastAsia" w:hAnsiTheme="minorEastAsia"/>
          <w:color w:val="000000" w:themeColor="text1"/>
          <w:sz w:val="24"/>
          <w:szCs w:val="24"/>
          <w:lang w:val="en-US" w:eastAsia="zh-CN"/>
          <w14:textFill>
            <w14:solidFill>
              <w14:schemeClr w14:val="tx1"/>
            </w14:solidFill>
          </w14:textFill>
        </w:rPr>
        <w:t xml:space="preserve">3</w:t>
      </w:r>
      <w:r>
        <w:rPr>
          <w:rFonts w:hint="eastAsia" w:asciiTheme="minorEastAsia" w:hAnsiTheme="minorEastAsia"/>
          <w:color w:val="000000" w:themeColor="text1"/>
          <w:sz w:val="24"/>
          <w:szCs w:val="24"/>
          <w14:textFill>
            <w14:solidFill>
              <w14:schemeClr w14:val="tx1"/>
            </w14:solidFill>
          </w14:textFill>
        </w:rPr>
        <w:t xml:space="preserve">名中标候选人。</w:t>
      </w:r>
      <w:r/>
    </w:p>
    <w:p>
      <w:pPr>
        <w:jc w:val="center"/>
        <w:spacing w:line="500" w:lineRule="exact"/>
        <w:rPr>
          <w:rFonts w:ascii="黑体" w:hAnsi="黑体" w:eastAsia="黑体"/>
          <w:color w:val="000000" w:themeColor="text1"/>
          <w:sz w:val="32"/>
          <w:szCs w:val="24"/>
          <w14:textFill>
            <w14:solidFill>
              <w14:schemeClr w14:val="tx1"/>
            </w14:solidFill>
          </w14:textFill>
        </w:rPr>
      </w:pPr>
      <w:r>
        <w:rPr>
          <w:rFonts w:hint="eastAsia" w:ascii="黑体" w:hAnsi="黑体" w:eastAsia="黑体"/>
          <w:color w:val="000000" w:themeColor="text1"/>
          <w:sz w:val="32"/>
          <w:szCs w:val="24"/>
          <w14:textFill>
            <w14:solidFill>
              <w14:schemeClr w14:val="tx1"/>
            </w14:solidFill>
          </w14:textFill>
        </w:rPr>
        <w:t xml:space="preserve">综合评分法</w:t>
      </w:r>
      <w:r/>
    </w:p>
    <w:p>
      <w:pPr>
        <w:ind w:firstLine="482"/>
        <w:jc w:val="left"/>
        <w:spacing w:line="500" w:lineRule="exact"/>
        <w:rPr>
          <w:b/>
          <w:color w:val="000000" w:themeColor="text1"/>
          <w:sz w:val="24"/>
          <w:szCs w:val="24"/>
          <w14:textFill>
            <w14:solidFill>
              <w14:schemeClr w14:val="tx1"/>
            </w14:solidFill>
          </w14:textFill>
        </w:rPr>
      </w:pPr>
      <w:r>
        <w:rPr>
          <w:rFonts w:hint="eastAsia" w:asciiTheme="minorEastAsia" w:hAnsiTheme="minorEastAsia"/>
          <w:b/>
          <w:color w:val="000000" w:themeColor="text1"/>
          <w:sz w:val="24"/>
          <w:szCs w:val="24"/>
          <w14:textFill>
            <w14:solidFill>
              <w14:schemeClr w14:val="tx1"/>
            </w14:solidFill>
          </w14:textFill>
        </w:rPr>
        <w:t xml:space="preserve">1.价格分（10分）</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投标报价得分=（评标基准价/投标报价）×10分。</w:t>
      </w:r>
      <w:r/>
    </w:p>
    <w:p>
      <w:pPr>
        <w:ind w:firstLine="480"/>
        <w:jc w:val="left"/>
        <w:spacing w:line="5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2.技术分（</w:t>
      </w:r>
      <w:r>
        <w:rPr>
          <w:rFonts w:hint="eastAsia" w:ascii="宋体" w:hAnsi="宋体" w:eastAsia="宋体" w:cs="宋体"/>
          <w:b/>
          <w:color w:val="000000" w:themeColor="text1"/>
          <w:sz w:val="24"/>
          <w:szCs w:val="24"/>
          <w:lang w:val="en-US" w:eastAsia="zh-CN"/>
          <w14:textFill>
            <w14:solidFill>
              <w14:schemeClr w14:val="tx1"/>
            </w14:solidFill>
          </w14:textFill>
        </w:rPr>
        <w:t xml:space="preserve">70</w:t>
      </w:r>
      <w:r>
        <w:rPr>
          <w:rFonts w:hint="eastAsia" w:ascii="宋体" w:hAnsi="宋体" w:eastAsia="宋体" w:cs="宋体"/>
          <w:b/>
          <w:color w:val="000000" w:themeColor="text1"/>
          <w:sz w:val="24"/>
          <w:szCs w:val="24"/>
          <w14:textFill>
            <w14:solidFill>
              <w14:schemeClr w14:val="tx1"/>
            </w14:solidFill>
          </w14:textFill>
        </w:rPr>
        <w:t xml:space="preserve">分）</w:t>
      </w:r>
      <w:r/>
    </w:p>
    <w:tbl>
      <w:tblPr>
        <w:tblStyle w:val="99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themeColor="text1"/>
                <w:sz w:val="24"/>
                <w:szCs w:val="24"/>
                <w14:textFill>
                  <w14:solidFill>
                    <w14:schemeClr w14:val="tx1"/>
                  </w14:solidFill>
                </w14:textFill>
              </w:rPr>
            </w:pPr>
            <w:r>
              <w:rPr>
                <w:rFonts w:hint="eastAsia" w:cs="Times New Roman" w:asciiTheme="minorEastAsia" w:hAnsiTheme="minorEastAsia"/>
                <w:b/>
                <w:color w:val="000000" w:themeColor="text1"/>
                <w:sz w:val="24"/>
                <w:szCs w:val="24"/>
                <w14:textFill>
                  <w14:solidFill>
                    <w14:schemeClr w14:val="tx1"/>
                  </w14:solidFill>
                </w14:textFill>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themeColor="text1"/>
                <w:sz w:val="24"/>
                <w:szCs w:val="24"/>
                <w14:textFill>
                  <w14:solidFill>
                    <w14:schemeClr w14:val="tx1"/>
                  </w14:solidFill>
                </w14:textFill>
              </w:rPr>
            </w:pPr>
            <w:r>
              <w:rPr>
                <w:rFonts w:hint="eastAsia" w:cs="Times New Roman" w:asciiTheme="minorEastAsia" w:hAnsiTheme="minorEastAsia"/>
                <w:b/>
                <w:color w:val="000000" w:themeColor="text1"/>
                <w:sz w:val="24"/>
                <w:szCs w:val="24"/>
                <w14:textFill>
                  <w14:solidFill>
                    <w14:schemeClr w14:val="tx1"/>
                  </w14:solidFill>
                </w14:textFill>
              </w:rPr>
              <w:t xml:space="preserve">评审标准</w:t>
            </w:r>
            <w:r/>
          </w:p>
        </w:tc>
      </w:tr>
      <w:tr>
        <w:trPr>
          <w:jc w:val="center"/>
          <w:trHeight w:val="621"/>
        </w:trPr>
        <w:tc>
          <w:tcPr>
            <w:tcW w:w="1804" w:type="dxa"/>
            <w:vAlign w:val="center"/>
            <w:textDirection w:val="lrTb"/>
            <w:noWrap w:val="false"/>
          </w:tcPr>
          <w:p>
            <w:pPr>
              <w:jc w:val="center"/>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技术响应</w:t>
            </w:r>
            <w:r/>
          </w:p>
          <w:p>
            <w:pPr>
              <w:jc w:val="center"/>
              <w:spacing w:line="276" w:lineRule="auto"/>
              <w:rPr>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40</w:t>
            </w:r>
            <w:r>
              <w:rPr>
                <w:rFonts w:hint="eastAsia" w:ascii="宋体" w:hAnsi="宋体" w:eastAsia="宋体" w:cs="宋体"/>
                <w:color w:val="000000" w:themeColor="text1"/>
                <w:sz w:val="22"/>
                <w:szCs w:val="22"/>
                <w14:textFill>
                  <w14:solidFill>
                    <w14:schemeClr w14:val="tx1"/>
                  </w14:solidFill>
                </w14:textFill>
              </w:rPr>
              <w:t xml:space="preserve">分）</w:t>
            </w:r>
            <w:r/>
          </w:p>
        </w:tc>
        <w:tc>
          <w:tcPr>
            <w:tcW w:w="6493" w:type="dxa"/>
            <w:vAlign w:val="center"/>
            <w:textDirection w:val="lrTb"/>
            <w:noWrap w:val="false"/>
          </w:tcPr>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技术参数评审基准分</w:t>
            </w:r>
            <w:r>
              <w:rPr>
                <w:rFonts w:hint="eastAsia" w:ascii="宋体" w:hAnsi="宋体" w:eastAsia="宋体" w:cs="宋体"/>
                <w:color w:val="auto"/>
                <w:sz w:val="22"/>
                <w:szCs w:val="22"/>
                <w:lang w:val="en-US" w:eastAsia="zh-CN"/>
              </w:rPr>
              <w:t xml:space="preserve">40</w:t>
            </w:r>
            <w:r>
              <w:rPr>
                <w:rFonts w:hint="eastAsia" w:ascii="宋体" w:hAnsi="宋体" w:eastAsia="宋体" w:cs="宋体"/>
                <w:color w:val="000000" w:themeColor="text1"/>
                <w:sz w:val="22"/>
                <w:szCs w:val="22"/>
                <w14:textFill>
                  <w14:solidFill>
                    <w14:schemeClr w14:val="tx1"/>
                  </w14:solidFill>
                </w14:textFill>
              </w:rPr>
              <w:t xml:space="preserve">分，其中标▲部分为重要技术参数，要求提供证明材料的投标文件中每缺少一项证明材料或每有一项负偏离扣</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分。其它未标▲部分技术参数，每有一项负偏离</w:t>
            </w:r>
            <w:r>
              <w:rPr>
                <w:rFonts w:hint="eastAsia" w:ascii="宋体" w:hAnsi="宋体" w:eastAsia="宋体" w:cs="宋体"/>
                <w:color w:val="000000" w:themeColor="text1"/>
                <w:sz w:val="22"/>
                <w:szCs w:val="22"/>
                <w:lang w:val="en-US" w:eastAsia="zh-CN"/>
                <w14:textFill>
                  <w14:solidFill>
                    <w14:schemeClr w14:val="tx1"/>
                  </w14:solidFill>
                </w14:textFill>
              </w:rPr>
              <w:t xml:space="preserve">0.5</w:t>
            </w:r>
            <w:r>
              <w:rPr>
                <w:rFonts w:hint="eastAsia" w:ascii="宋体" w:hAnsi="宋体" w:eastAsia="宋体" w:cs="宋体"/>
                <w:color w:val="000000" w:themeColor="text1"/>
                <w:sz w:val="22"/>
                <w:szCs w:val="22"/>
                <w14:textFill>
                  <w14:solidFill>
                    <w14:schemeClr w14:val="tx1"/>
                  </w14:solidFill>
                </w14:textFill>
              </w:rPr>
              <w:t xml:space="preserve">分，本项扣完为止。投标人必须提供技术偏离表，不提供本项不得分。</w:t>
            </w:r>
            <w:r/>
          </w:p>
          <w:p>
            <w:pPr>
              <w:jc w:val="left"/>
              <w:spacing w:line="276" w:lineRule="auto"/>
              <w:rPr>
                <w:rFonts w:hint="eastAsia" w:eastAsia="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 xml:space="preserve">（投标文件中详细填写技术要求响应及偏离表，逐条响应。要求提供证明材料的未提供证明材料或提供的证明材料与要求不符合的，视为负偏离。</w:t>
            </w:r>
            <w:r>
              <w:rPr>
                <w:rFonts w:hint="eastAsia" w:ascii="宋体" w:hAnsi="宋体" w:eastAsia="宋体" w:cs="宋体"/>
                <w:b/>
                <w:bCs/>
                <w:color w:val="000000" w:themeColor="text1"/>
                <w:sz w:val="22"/>
                <w:szCs w:val="22"/>
                <w:lang w:eastAsia="zh-CN"/>
                <w14:textFill>
                  <w14:solidFill>
                    <w14:schemeClr w14:val="tx1"/>
                  </w14:solidFill>
                </w14:textFill>
              </w:rPr>
              <w:t xml:space="preserve">）</w:t>
            </w:r>
            <w:r/>
          </w:p>
        </w:tc>
      </w:tr>
      <w:tr>
        <w:trPr>
          <w:jc w:val="center"/>
          <w:trHeight w:val="621"/>
        </w:trPr>
        <w:tc>
          <w:tcPr>
            <w:tcW w:w="1804" w:type="dxa"/>
            <w:vAlign w:val="center"/>
            <w:textDirection w:val="lrTb"/>
            <w:noWrap w:val="false"/>
          </w:tcPr>
          <w:p>
            <w:pPr>
              <w:jc w:val="center"/>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总体功能设计方案</w:t>
            </w:r>
            <w:r/>
          </w:p>
          <w:p>
            <w:pPr>
              <w:jc w:val="center"/>
              <w:spacing w:line="276" w:lineRule="auto"/>
              <w:rPr>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tc>
        <w:tc>
          <w:tcPr>
            <w:tcW w:w="6493" w:type="dxa"/>
            <w:vAlign w:val="center"/>
            <w:textDirection w:val="lrTb"/>
            <w:noWrap w:val="false"/>
          </w:tcPr>
          <w:p>
            <w:pPr>
              <w:jc w:val="left"/>
              <w:spacing w:line="360"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 xml:space="preserve">投标人根据项目需求提供总体功能设计方案，包括但不限于技术路线、功能设计等内容。</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 xml:space="preserve">方案内容完善全面，技术路线具有前瞻性，功能设计先进，得</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ascii="宋体" w:hAnsi="宋体" w:eastAsia="宋体" w:cs="宋体"/>
                <w:color w:val="000000" w:themeColor="text1"/>
                <w:sz w:val="22"/>
                <w:szCs w:val="22"/>
                <w14:textFill>
                  <w14:solidFill>
                    <w14:schemeClr w14:val="tx1"/>
                  </w14:solidFill>
                </w14:textFill>
              </w:rPr>
              <w:t xml:space="preserve">分</w:t>
            </w:r>
            <w:r>
              <w:rPr>
                <w:rFonts w:hint="eastAsia" w:ascii="宋体" w:hAnsi="宋体" w:eastAsia="宋体" w:cs="宋体"/>
                <w:color w:val="000000" w:themeColor="text1"/>
                <w:sz w:val="22"/>
                <w:szCs w:val="22"/>
                <w14:textFill>
                  <w14:solidFill>
                    <w14:schemeClr w14:val="tx1"/>
                  </w14:solidFill>
                </w14:textFill>
              </w:rPr>
              <w:t xml:space="preserve">；</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 xml:space="preserve">方案内容比较全面，技术路线具有一定前瞻性，功能设计比较先进，得</w:t>
            </w:r>
            <w:r>
              <w:rPr>
                <w:rFonts w:hint="eastAsia" w:ascii="宋体" w:hAnsi="宋体" w:eastAsia="宋体" w:cs="宋体"/>
                <w:color w:val="000000" w:themeColor="text1"/>
                <w:sz w:val="22"/>
                <w:szCs w:val="22"/>
                <w:lang w:val="en-US" w:eastAsia="zh-CN"/>
                <w14:textFill>
                  <w14:solidFill>
                    <w14:schemeClr w14:val="tx1"/>
                  </w14:solidFill>
                </w14:textFill>
              </w:rPr>
              <w:t xml:space="preserve">4</w:t>
            </w:r>
            <w:r>
              <w:rPr>
                <w:rFonts w:ascii="宋体" w:hAnsi="宋体" w:eastAsia="宋体" w:cs="宋体"/>
                <w:color w:val="000000" w:themeColor="text1"/>
                <w:sz w:val="22"/>
                <w:szCs w:val="22"/>
                <w14:textFill>
                  <w14:solidFill>
                    <w14:schemeClr w14:val="tx1"/>
                  </w14:solidFill>
                </w14:textFill>
              </w:rPr>
              <w:t xml:space="preserve">分</w:t>
            </w:r>
            <w:r>
              <w:rPr>
                <w:rFonts w:hint="eastAsia" w:ascii="宋体" w:hAnsi="宋体" w:eastAsia="宋体" w:cs="宋体"/>
                <w:color w:val="000000" w:themeColor="text1"/>
                <w:sz w:val="22"/>
                <w:szCs w:val="22"/>
                <w14:textFill>
                  <w14:solidFill>
                    <w14:schemeClr w14:val="tx1"/>
                  </w14:solidFill>
                </w14:textFill>
              </w:rPr>
              <w:t xml:space="preserve">；</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 xml:space="preserve">方案内容简单，技术路线、功能设计基本符合采购需求，得</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ascii="宋体" w:hAnsi="宋体" w:eastAsia="宋体" w:cs="宋体"/>
                <w:color w:val="000000" w:themeColor="text1"/>
                <w:sz w:val="22"/>
                <w:szCs w:val="22"/>
                <w14:textFill>
                  <w14:solidFill>
                    <w14:schemeClr w14:val="tx1"/>
                  </w14:solidFill>
                </w14:textFill>
              </w:rPr>
              <w:t xml:space="preserve">分</w:t>
            </w:r>
            <w:r>
              <w:rPr>
                <w:rFonts w:hint="eastAsia" w:ascii="宋体" w:hAnsi="宋体" w:eastAsia="宋体" w:cs="宋体"/>
                <w:color w:val="000000" w:themeColor="text1"/>
                <w:sz w:val="22"/>
                <w:szCs w:val="22"/>
                <w14:textFill>
                  <w14:solidFill>
                    <w14:schemeClr w14:val="tx1"/>
                  </w14:solidFill>
                </w14:textFill>
              </w:rPr>
              <w:t xml:space="preserve">；</w:t>
            </w:r>
            <w:r/>
          </w:p>
          <w:p>
            <w:pPr>
              <w:jc w:val="left"/>
              <w:spacing w:line="276" w:lineRule="auto"/>
              <w:rPr>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 xml:space="preserve">未见阐述不得分。</w:t>
            </w:r>
            <w:r/>
          </w:p>
        </w:tc>
      </w:tr>
      <w:tr>
        <w:trPr>
          <w:jc w:val="center"/>
          <w:trHeight w:val="621"/>
        </w:trPr>
        <w:tc>
          <w:tcPr>
            <w:tcW w:w="1804" w:type="dxa"/>
            <w:vAlign w:val="center"/>
            <w:textDirection w:val="lrTb"/>
            <w:noWrap w:val="false"/>
          </w:tcPr>
          <w:p>
            <w:pPr>
              <w:jc w:val="center"/>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项目实施方案</w:t>
            </w:r>
            <w:r/>
          </w:p>
          <w:p>
            <w:pPr>
              <w:jc w:val="center"/>
              <w:spacing w:line="276" w:lineRule="auto"/>
              <w:rPr>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tc>
        <w:tc>
          <w:tcPr>
            <w:tcW w:w="6493" w:type="dxa"/>
            <w:vAlign w:val="center"/>
            <w:textDirection w:val="lrTb"/>
            <w:noWrap w:val="false"/>
          </w:tcPr>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投标人提供项目实施实施方案，内容包含但不限于项目组织规划、项目实施进度安排、保证措施等。</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项目组织架构清晰、实施规划进度安排合理，AI应用对接保证措施完善的，得</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项目组织架构比较清晰、实施规划进度安排比较合理，AI应用对接保证措施比较完善的，得</w:t>
            </w:r>
            <w:r>
              <w:rPr>
                <w:rFonts w:hint="eastAsia" w:ascii="宋体" w:hAnsi="宋体" w:eastAsia="宋体" w:cs="宋体"/>
                <w:color w:val="000000" w:themeColor="text1"/>
                <w:sz w:val="22"/>
                <w:szCs w:val="22"/>
                <w:lang w:val="en-US" w:eastAsia="zh-CN"/>
                <w14:textFill>
                  <w14:solidFill>
                    <w14:schemeClr w14:val="tx1"/>
                  </w14:solidFill>
                </w14:textFill>
              </w:rPr>
              <w:t xml:space="preserve">4</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项目组织架构清晰度一般、实施规划进度安排一般，AI应用对接保证措施一般的，得2分。</w:t>
            </w:r>
            <w:r/>
          </w:p>
          <w:p>
            <w:pPr>
              <w:jc w:val="left"/>
              <w:spacing w:line="276" w:lineRule="auto"/>
              <w:rPr>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差的、</w:t>
            </w:r>
            <w:r>
              <w:rPr>
                <w:rFonts w:hint="eastAsia" w:ascii="宋体" w:hAnsi="宋体" w:eastAsia="宋体" w:cs="宋体"/>
                <w:color w:val="000000" w:themeColor="text1"/>
                <w:sz w:val="22"/>
                <w:szCs w:val="22"/>
                <w14:textFill>
                  <w14:solidFill>
                    <w14:schemeClr w14:val="tx1"/>
                  </w14:solidFill>
                </w14:textFill>
              </w:rPr>
              <w:t xml:space="preserve">未提供方案的不得分。</w:t>
            </w:r>
            <w:r/>
          </w:p>
        </w:tc>
      </w:tr>
      <w:tr>
        <w:trPr>
          <w:jc w:val="center"/>
          <w:trHeight w:val="621"/>
        </w:trPr>
        <w:tc>
          <w:tcPr>
            <w:tcW w:w="1804" w:type="dxa"/>
            <w:vAlign w:val="center"/>
            <w:textDirection w:val="lrTb"/>
            <w:noWrap w:val="false"/>
          </w:tcPr>
          <w:p>
            <w:pPr>
              <w:jc w:val="center"/>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项目需求分析方案</w:t>
            </w:r>
            <w:r/>
          </w:p>
          <w:p>
            <w:pPr>
              <w:jc w:val="center"/>
              <w:spacing w:line="276" w:lineRule="auto"/>
              <w:rPr>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tc>
        <w:tc>
          <w:tcPr>
            <w:tcW w:w="6493" w:type="dxa"/>
            <w:vAlign w:val="center"/>
            <w:textDirection w:val="lrTb"/>
            <w:noWrap w:val="false"/>
          </w:tcPr>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投标人根据项目需求提供需求分析方案，包括但不限于对医院信息化建设相关现状、问题和需求的理解及综合分析，提出项目的核心需求点、重点难点及解决方案等内容。</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医院信息化建设相关现状及存在的问题分析透彻，充分合理，解决方案针对性、可行性强，得</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医院信息化建设相关现状及存在的问题分析比较合理，解决方案针对性、可行性一般，得</w:t>
            </w:r>
            <w:r>
              <w:rPr>
                <w:rFonts w:hint="eastAsia" w:ascii="宋体" w:hAnsi="宋体" w:eastAsia="宋体" w:cs="宋体"/>
                <w:color w:val="000000" w:themeColor="text1"/>
                <w:sz w:val="22"/>
                <w:szCs w:val="22"/>
                <w:lang w:val="en-US" w:eastAsia="zh-CN"/>
                <w14:textFill>
                  <w14:solidFill>
                    <w14:schemeClr w14:val="tx1"/>
                  </w14:solidFill>
                </w14:textFill>
              </w:rPr>
              <w:t xml:space="preserve">4</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医院信息化建设相关现状及存在的问题分析简单，解决方案针对性、可行性较差，得</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w:t>
            </w:r>
            <w:r/>
          </w:p>
          <w:p>
            <w:pPr>
              <w:spacing w:line="360" w:lineRule="auto"/>
              <w:rPr>
                <w:rFonts w:asciiTheme="minorEastAsia" w:hAnsiTheme="minorEastAsia"/>
                <w:b/>
                <w:color w:val="000000" w:themeColor="text1"/>
                <w:sz w:val="22"/>
                <w:szCs w:val="22"/>
                <w14:textFill>
                  <w14:solidFill>
                    <w14:schemeClr w14:val="tx1"/>
                  </w14:solidFill>
                </w14:textFill>
              </w:rPr>
            </w:pPr>
            <w:r>
              <w:rPr>
                <w:rFonts w:ascii="宋体" w:hAnsi="宋体" w:eastAsia="宋体" w:cs="宋体"/>
                <w:color w:val="000000" w:themeColor="text1"/>
                <w:sz w:val="22"/>
                <w:szCs w:val="22"/>
                <w14:textFill>
                  <w14:solidFill>
                    <w14:schemeClr w14:val="tx1"/>
                  </w14:solidFill>
                </w14:textFill>
              </w:rPr>
              <w:t xml:space="preserve">未见阐述不得分。</w:t>
            </w:r>
            <w:r/>
          </w:p>
        </w:tc>
      </w:tr>
      <w:tr>
        <w:trPr>
          <w:jc w:val="center"/>
          <w:trHeight w:val="621"/>
        </w:trPr>
        <w:tc>
          <w:tcPr>
            <w:tcW w:w="1804" w:type="dxa"/>
            <w:vAlign w:val="center"/>
            <w:textDirection w:val="lrTb"/>
            <w:noWrap w:val="false"/>
          </w:tcPr>
          <w:p>
            <w:pPr>
              <w:jc w:val="center"/>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售后服务方案</w:t>
            </w:r>
            <w:r/>
          </w:p>
          <w:p>
            <w:pPr>
              <w:jc w:val="center"/>
              <w:spacing w:line="276"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tc>
        <w:tc>
          <w:tcPr>
            <w:tcW w:w="6493" w:type="dxa"/>
            <w:vAlign w:val="center"/>
            <w:textDirection w:val="lrTb"/>
            <w:noWrap w:val="false"/>
          </w:tcPr>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投标文件提供售后服务方案，方案包含但不限于服务流程机制、服务内容、售后人员安排等内容：</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方案内容详细具体，服务流程机制可行性强，内容优于招标需求，人员安排科学合理的得</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方案内容比较详细，服务流程机制可行性较强，内容满足招标需求，人员安排合理性较强的得</w:t>
            </w:r>
            <w:r>
              <w:rPr>
                <w:rFonts w:hint="eastAsia" w:ascii="宋体" w:hAnsi="宋体" w:eastAsia="宋体" w:cs="宋体"/>
                <w:color w:val="000000" w:themeColor="text1"/>
                <w:sz w:val="22"/>
                <w:szCs w:val="22"/>
                <w:lang w:val="en-US" w:eastAsia="zh-CN"/>
                <w14:textFill>
                  <w14:solidFill>
                    <w14:schemeClr w14:val="tx1"/>
                  </w14:solidFill>
                </w14:textFill>
              </w:rPr>
              <w:t xml:space="preserve">4</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方案内容简单，服务流程机制可行性一般，内容基本满足招标需求，人员安排合理性一般的得</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w:t>
            </w:r>
            <w:r/>
          </w:p>
          <w:p>
            <w:pPr>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差的、</w:t>
            </w:r>
            <w:r>
              <w:rPr>
                <w:rFonts w:hint="eastAsia" w:ascii="宋体" w:hAnsi="宋体" w:eastAsia="宋体" w:cs="宋体"/>
                <w:color w:val="000000" w:themeColor="text1"/>
                <w:sz w:val="22"/>
                <w:szCs w:val="22"/>
                <w14:textFill>
                  <w14:solidFill>
                    <w14:schemeClr w14:val="tx1"/>
                  </w14:solidFill>
                </w14:textFill>
              </w:rPr>
              <w:t xml:space="preserve">未提供方案的不得分。</w:t>
            </w:r>
            <w:r/>
          </w:p>
        </w:tc>
      </w:tr>
      <w:tr>
        <w:trPr>
          <w:jc w:val="center"/>
          <w:trHeight w:val="621"/>
        </w:trPr>
        <w:tc>
          <w:tcPr>
            <w:tcW w:w="1804" w:type="dxa"/>
            <w:vAlign w:val="center"/>
            <w:textDirection w:val="lrTb"/>
            <w:noWrap w:val="false"/>
          </w:tcPr>
          <w:p>
            <w:pPr>
              <w:jc w:val="center"/>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培训方案</w:t>
            </w:r>
            <w:r/>
          </w:p>
          <w:p>
            <w:pPr>
              <w:jc w:val="center"/>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tc>
        <w:tc>
          <w:tcPr>
            <w:tcW w:w="6493" w:type="dxa"/>
            <w:vAlign w:val="center"/>
            <w:textDirection w:val="lrTb"/>
            <w:noWrap w:val="false"/>
          </w:tcPr>
          <w:p>
            <w:pPr>
              <w:jc w:val="left"/>
              <w:spacing w:line="276"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投标</w:t>
            </w:r>
            <w:r>
              <w:rPr>
                <w:rFonts w:hint="eastAsia" w:ascii="宋体" w:hAnsi="宋体" w:eastAsia="宋体" w:cs="宋体"/>
                <w:color w:val="000000" w:themeColor="text1"/>
                <w:sz w:val="22"/>
                <w:szCs w:val="22"/>
                <w14:textFill>
                  <w14:solidFill>
                    <w14:schemeClr w14:val="tx1"/>
                  </w14:solidFill>
                </w14:textFill>
              </w:rPr>
              <w:t xml:space="preserve">文件提供培训方案，方案包括但不限于培训计划、培训内容、培训方式等内容</w:t>
            </w:r>
            <w:r>
              <w:rPr>
                <w:rFonts w:hint="eastAsia" w:ascii="宋体" w:hAnsi="宋体" w:eastAsia="宋体" w:cs="宋体"/>
                <w:color w:val="000000" w:themeColor="text1"/>
                <w:sz w:val="22"/>
                <w:szCs w:val="22"/>
                <w:lang w:eastAsia="zh-CN"/>
                <w14:textFill>
                  <w14:solidFill>
                    <w14:schemeClr w14:val="tx1"/>
                  </w14:solidFill>
                </w14:textFill>
              </w:rPr>
              <w:t xml:space="preserve">；</w:t>
            </w:r>
            <w:r/>
          </w:p>
          <w:p>
            <w:pPr>
              <w:jc w:val="left"/>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方案内容详尽完善，培训计划安排合理性强、培训内容全面、培训方式切实可行</w:t>
            </w:r>
            <w:r>
              <w:rPr>
                <w:rFonts w:hint="eastAsia" w:ascii="宋体" w:hAnsi="宋体" w:eastAsia="宋体" w:cs="宋体"/>
                <w:color w:val="000000" w:themeColor="text1"/>
                <w:sz w:val="22"/>
                <w:szCs w:val="22"/>
                <w:lang w:val="en-US" w:eastAsia="zh-CN"/>
                <w14:textFill>
                  <w14:solidFill>
                    <w14:schemeClr w14:val="tx1"/>
                  </w14:solidFill>
                </w14:textFill>
              </w:rPr>
              <w:t xml:space="preserve">的</w:t>
            </w:r>
            <w:r>
              <w:rPr>
                <w:rFonts w:hint="eastAsia" w:ascii="宋体" w:hAnsi="宋体" w:eastAsia="宋体" w:cs="宋体"/>
                <w:color w:val="000000" w:themeColor="text1"/>
                <w:sz w:val="22"/>
                <w:szCs w:val="22"/>
                <w14:textFill>
                  <w14:solidFill>
                    <w14:schemeClr w14:val="tx1"/>
                  </w14:solidFill>
                </w14:textFill>
              </w:rPr>
              <w:t xml:space="preserve">得</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方案内容比较完善，培训计划安排较合理、培训内容比较全面、培训方式可行性较强</w:t>
            </w:r>
            <w:r>
              <w:rPr>
                <w:rFonts w:hint="eastAsia" w:ascii="宋体" w:hAnsi="宋体" w:eastAsia="宋体" w:cs="宋体"/>
                <w:color w:val="000000" w:themeColor="text1"/>
                <w:sz w:val="22"/>
                <w:szCs w:val="22"/>
                <w:lang w:val="en-US" w:eastAsia="zh-CN"/>
                <w14:textFill>
                  <w14:solidFill>
                    <w14:schemeClr w14:val="tx1"/>
                  </w14:solidFill>
                </w14:textFill>
              </w:rPr>
              <w:t xml:space="preserve">的</w:t>
            </w:r>
            <w:r>
              <w:rPr>
                <w:rFonts w:hint="eastAsia" w:ascii="宋体" w:hAnsi="宋体" w:eastAsia="宋体" w:cs="宋体"/>
                <w:color w:val="000000" w:themeColor="text1"/>
                <w:sz w:val="22"/>
                <w:szCs w:val="22"/>
                <w14:textFill>
                  <w14:solidFill>
                    <w14:schemeClr w14:val="tx1"/>
                  </w14:solidFill>
                </w14:textFill>
              </w:rPr>
              <w:t xml:space="preserve">得</w:t>
            </w:r>
            <w:r>
              <w:rPr>
                <w:rFonts w:hint="eastAsia" w:ascii="宋体" w:hAnsi="宋体" w:eastAsia="宋体" w:cs="宋体"/>
                <w:color w:val="000000" w:themeColor="text1"/>
                <w:sz w:val="22"/>
                <w:szCs w:val="22"/>
                <w:lang w:val="en-US" w:eastAsia="zh-CN"/>
                <w14:textFill>
                  <w14:solidFill>
                    <w14:schemeClr w14:val="tx1"/>
                  </w14:solidFill>
                </w14:textFill>
              </w:rPr>
              <w:t xml:space="preserve">4</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方案内容简单粗糙，培训计划安排合理性一般、培训内容单一、培训方式可行性一般</w:t>
            </w:r>
            <w:r>
              <w:rPr>
                <w:rFonts w:hint="eastAsia" w:ascii="宋体" w:hAnsi="宋体" w:eastAsia="宋体" w:cs="宋体"/>
                <w:color w:val="000000" w:themeColor="text1"/>
                <w:sz w:val="22"/>
                <w:szCs w:val="22"/>
                <w:lang w:val="en-US" w:eastAsia="zh-CN"/>
                <w14:textFill>
                  <w14:solidFill>
                    <w14:schemeClr w14:val="tx1"/>
                  </w14:solidFill>
                </w14:textFill>
              </w:rPr>
              <w:t xml:space="preserve">的</w:t>
            </w:r>
            <w:r>
              <w:rPr>
                <w:rFonts w:hint="eastAsia" w:ascii="宋体" w:hAnsi="宋体" w:eastAsia="宋体" w:cs="宋体"/>
                <w:color w:val="000000" w:themeColor="text1"/>
                <w:sz w:val="22"/>
                <w:szCs w:val="22"/>
                <w14:textFill>
                  <w14:solidFill>
                    <w14:schemeClr w14:val="tx1"/>
                  </w14:solidFill>
                </w14:textFill>
              </w:rPr>
              <w:t xml:space="preserve">得</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276"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该项未见阐述不得分</w:t>
            </w:r>
            <w:r>
              <w:rPr>
                <w:rFonts w:hint="eastAsia" w:ascii="宋体" w:hAnsi="宋体" w:eastAsia="宋体" w:cs="宋体"/>
                <w:color w:val="000000" w:themeColor="text1"/>
                <w:sz w:val="22"/>
                <w:szCs w:val="22"/>
                <w14:textFill>
                  <w14:solidFill>
                    <w14:schemeClr w14:val="tx1"/>
                  </w14:solidFill>
                </w14:textFill>
              </w:rPr>
              <w:t xml:space="preserve">。</w:t>
            </w:r>
            <w:r/>
          </w:p>
        </w:tc>
      </w:tr>
    </w:tbl>
    <w:p>
      <w:pPr>
        <w:ind w:firstLine="482"/>
        <w:jc w:val="left"/>
        <w:spacing w:line="360" w:lineRule="auto"/>
        <w:rPr>
          <w:rFonts w:ascii="宋体" w:hAnsi="宋体" w:cs="宋体"/>
          <w:b/>
          <w:color w:val="000000" w:themeColor="text1"/>
          <w:sz w:val="24"/>
          <w:szCs w:val="24"/>
          <w:highlight w:val="yellow"/>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3.商务分（</w:t>
      </w:r>
      <w:r>
        <w:rPr>
          <w:rFonts w:hint="eastAsia" w:ascii="宋体" w:hAnsi="宋体" w:eastAsia="宋体" w:cs="宋体"/>
          <w:b/>
          <w:color w:val="000000" w:themeColor="text1"/>
          <w:sz w:val="24"/>
          <w:szCs w:val="24"/>
          <w:lang w:val="en-US" w:eastAsia="zh-CN"/>
          <w14:textFill>
            <w14:solidFill>
              <w14:schemeClr w14:val="tx1"/>
            </w14:solidFill>
          </w14:textFill>
        </w:rPr>
        <w:t xml:space="preserve">20</w:t>
      </w:r>
      <w:r>
        <w:rPr>
          <w:rFonts w:hint="eastAsia" w:ascii="宋体" w:hAnsi="宋体" w:eastAsia="宋体" w:cs="宋体"/>
          <w:b/>
          <w:color w:val="000000" w:themeColor="text1"/>
          <w:sz w:val="24"/>
          <w:szCs w:val="24"/>
          <w14:textFill>
            <w14:solidFill>
              <w14:schemeClr w14:val="tx1"/>
            </w14:solidFill>
          </w14:textFill>
        </w:rPr>
        <w:t xml:space="preserve">分）</w:t>
      </w:r>
      <w:r/>
    </w:p>
    <w:tbl>
      <w:tblPr>
        <w:tblStyle w:val="99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themeColor="text1"/>
                <w:sz w:val="22"/>
                <w:szCs w:val="22"/>
                <w14:textFill>
                  <w14:solidFill>
                    <w14:schemeClr w14:val="tx1"/>
                  </w14:solidFill>
                </w14:textFill>
              </w:rPr>
            </w:pPr>
            <w:r>
              <w:rPr>
                <w:rFonts w:hint="eastAsia" w:cs="Times New Roman" w:asciiTheme="minorEastAsia" w:hAnsiTheme="minorEastAsia"/>
                <w:b/>
                <w:color w:val="000000" w:themeColor="text1"/>
                <w:sz w:val="22"/>
                <w:szCs w:val="22"/>
                <w14:textFill>
                  <w14:solidFill>
                    <w14:schemeClr w14:val="tx1"/>
                  </w14:solidFill>
                </w14:textFill>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themeColor="text1"/>
                <w:sz w:val="22"/>
                <w:szCs w:val="22"/>
                <w14:textFill>
                  <w14:solidFill>
                    <w14:schemeClr w14:val="tx1"/>
                  </w14:solidFill>
                </w14:textFill>
              </w:rPr>
            </w:pPr>
            <w:r>
              <w:rPr>
                <w:rFonts w:hint="eastAsia" w:cs="Times New Roman" w:asciiTheme="minorEastAsia" w:hAnsiTheme="minorEastAsia"/>
                <w:b/>
                <w:color w:val="000000" w:themeColor="text1"/>
                <w:sz w:val="22"/>
                <w:szCs w:val="22"/>
                <w14:textFill>
                  <w14:solidFill>
                    <w14:schemeClr w14:val="tx1"/>
                  </w14:solidFill>
                </w14:textFill>
              </w:rPr>
              <w:t xml:space="preserve">评审标准</w:t>
            </w:r>
            <w:r/>
          </w:p>
        </w:tc>
      </w:tr>
      <w:tr>
        <w:trPr>
          <w:jc w:val="center"/>
          <w:trHeight w:val="621"/>
        </w:trPr>
        <w:tc>
          <w:tcPr>
            <w:tcW w:w="1754" w:type="dxa"/>
            <w:vAlign w:val="center"/>
            <w:textDirection w:val="lrTb"/>
            <w:noWrap w:val="false"/>
          </w:tcPr>
          <w:p>
            <w:pPr>
              <w:jc w:val="center"/>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项目实施保障</w:t>
            </w:r>
            <w:r/>
          </w:p>
          <w:p>
            <w:pPr>
              <w:jc w:val="center"/>
              <w:spacing w:line="276" w:lineRule="auto"/>
              <w:rPr>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6</w:t>
            </w:r>
            <w:r>
              <w:rPr>
                <w:rFonts w:hint="eastAsia" w:ascii="宋体" w:hAnsi="宋体" w:eastAsia="宋体" w:cs="宋体"/>
                <w:color w:val="000000" w:themeColor="text1"/>
                <w:sz w:val="22"/>
                <w:szCs w:val="22"/>
                <w14:textFill>
                  <w14:solidFill>
                    <w14:schemeClr w14:val="tx1"/>
                  </w14:solidFill>
                </w14:textFill>
              </w:rPr>
              <w:t xml:space="preserve">分）</w:t>
            </w:r>
            <w:r/>
          </w:p>
        </w:tc>
        <w:tc>
          <w:tcPr>
            <w:tcW w:w="6576" w:type="dxa"/>
            <w:vAlign w:val="center"/>
            <w:textDirection w:val="lrTb"/>
            <w:noWrap w:val="false"/>
          </w:tcPr>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1.</w:t>
            </w:r>
            <w:r>
              <w:rPr>
                <w:rFonts w:hint="eastAsia" w:ascii="宋体" w:hAnsi="宋体" w:eastAsia="宋体" w:cs="宋体"/>
                <w:color w:val="000000" w:themeColor="text1"/>
                <w:sz w:val="22"/>
                <w:szCs w:val="22"/>
                <w14:textFill>
                  <w14:solidFill>
                    <w14:schemeClr w14:val="tx1"/>
                  </w14:solidFill>
                </w14:textFill>
              </w:rPr>
              <w:t xml:space="preserve">投标人具有质量管理体系认证证书，得</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投标人具有信息安全管理体系认证证书，得</w:t>
            </w: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分。</w:t>
            </w:r>
            <w:r/>
          </w:p>
          <w:p>
            <w:pPr>
              <w:jc w:val="left"/>
              <w:spacing w:line="360" w:lineRule="auto"/>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3.</w:t>
            </w:r>
            <w:r>
              <w:rPr>
                <w:rFonts w:hint="eastAsia" w:ascii="宋体" w:hAnsi="宋体" w:eastAsia="宋体" w:cs="宋体"/>
                <w:color w:val="000000" w:themeColor="text1"/>
                <w:sz w:val="22"/>
                <w:szCs w:val="22"/>
                <w14:textFill>
                  <w14:solidFill>
                    <w14:schemeClr w14:val="tx1"/>
                  </w14:solidFill>
                </w14:textFill>
              </w:rPr>
              <w:t xml:space="preserve">投标人具有人工智能管理体系认证证书</w:t>
            </w:r>
            <w:r>
              <w:rPr>
                <w:rFonts w:hint="eastAsia" w:ascii="宋体" w:hAnsi="宋体" w:eastAsia="宋体" w:cs="宋体"/>
                <w:color w:val="000000" w:themeColor="text1"/>
                <w:sz w:val="22"/>
                <w:szCs w:val="22"/>
                <w:lang w:eastAsia="zh-CN"/>
                <w14:textFill>
                  <w14:solidFill>
                    <w14:schemeClr w14:val="tx1"/>
                  </w14:solidFill>
                </w14:textFill>
              </w:rPr>
              <w:t xml:space="preserve">，</w:t>
            </w:r>
            <w:r>
              <w:rPr>
                <w:rFonts w:hint="eastAsia" w:ascii="宋体" w:hAnsi="宋体" w:eastAsia="宋体" w:cs="宋体"/>
                <w:color w:val="000000" w:themeColor="text1"/>
                <w:sz w:val="22"/>
                <w:szCs w:val="22"/>
                <w:lang w:val="en-US" w:eastAsia="zh-CN"/>
                <w14:textFill>
                  <w14:solidFill>
                    <w14:schemeClr w14:val="tx1"/>
                  </w14:solidFill>
                </w14:textFill>
              </w:rPr>
              <w:t xml:space="preserve">得2分</w:t>
            </w:r>
            <w:r/>
          </w:p>
          <w:p>
            <w:pPr>
              <w:jc w:val="left"/>
              <w:spacing w:line="276" w:lineRule="auto"/>
              <w:rPr>
                <w:rFonts w:hint="eastAsia" w:eastAsia="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 xml:space="preserve">（</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上述1-3项</w:t>
            </w:r>
            <w:r>
              <w:rPr>
                <w:rFonts w:hint="eastAsia" w:ascii="宋体" w:hAnsi="宋体" w:eastAsia="宋体" w:cs="宋体"/>
                <w:b/>
                <w:bCs/>
                <w:color w:val="000000" w:themeColor="text1"/>
                <w:sz w:val="22"/>
                <w:szCs w:val="22"/>
                <w14:textFill>
                  <w14:solidFill>
                    <w14:schemeClr w14:val="tx1"/>
                  </w14:solidFill>
                </w14:textFill>
              </w:rPr>
              <w:t xml:space="preserve">投标文件中提供相关证书的复印件、扫描件或电子件并加盖投标人公章，未提供不得分。</w:t>
            </w:r>
            <w:r>
              <w:rPr>
                <w:rFonts w:hint="eastAsia" w:ascii="宋体" w:hAnsi="宋体" w:eastAsia="宋体" w:cs="宋体"/>
                <w:b/>
                <w:bCs/>
                <w:color w:val="000000" w:themeColor="text1"/>
                <w:sz w:val="22"/>
                <w:szCs w:val="22"/>
                <w:lang w:eastAsia="zh-CN"/>
                <w14:textFill>
                  <w14:solidFill>
                    <w14:schemeClr w14:val="tx1"/>
                  </w14:solidFill>
                </w14:textFill>
              </w:rPr>
              <w:t xml:space="preserve">）</w:t>
            </w:r>
            <w:r/>
          </w:p>
        </w:tc>
      </w:tr>
      <w:tr>
        <w:trPr>
          <w:jc w:val="center"/>
          <w:trHeight w:val="621"/>
        </w:trPr>
        <w:tc>
          <w:tcPr>
            <w:tcW w:w="1754" w:type="dxa"/>
            <w:vAlign w:val="center"/>
            <w:textDirection w:val="lrTb"/>
            <w:noWrap w:val="false"/>
          </w:tcPr>
          <w:p>
            <w:pPr>
              <w:jc w:val="center"/>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团队资质</w:t>
            </w:r>
            <w:r/>
          </w:p>
          <w:p>
            <w:pPr>
              <w:jc w:val="center"/>
              <w:spacing w:line="276"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（8分）</w:t>
            </w:r>
            <w:r/>
          </w:p>
        </w:tc>
        <w:tc>
          <w:tcPr>
            <w:tcW w:w="6576" w:type="dxa"/>
            <w:vAlign w:val="center"/>
            <w:textDirection w:val="lrTb"/>
            <w:noWrap w:val="false"/>
          </w:tcPr>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1.</w:t>
            </w:r>
            <w:r>
              <w:rPr>
                <w:rFonts w:hint="eastAsia" w:ascii="宋体" w:hAnsi="宋体" w:eastAsia="宋体" w:cs="宋体"/>
                <w:color w:val="000000" w:themeColor="text1"/>
                <w:sz w:val="22"/>
                <w:szCs w:val="22"/>
                <w14:textFill>
                  <w14:solidFill>
                    <w14:schemeClr w14:val="tx1"/>
                  </w14:solidFill>
                </w14:textFill>
              </w:rPr>
              <w:t xml:space="preserve">拟派项目经理同时具备信息系统项目管理师证书</w:t>
            </w:r>
            <w:r>
              <w:rPr>
                <w:rFonts w:hint="eastAsia" w:ascii="宋体" w:hAnsi="宋体" w:cs="宋体"/>
                <w:color w:val="000000" w:themeColor="text1"/>
                <w:sz w:val="22"/>
                <w:szCs w:val="22"/>
                <w14:textFill>
                  <w14:solidFill>
                    <w14:schemeClr w14:val="tx1"/>
                  </w14:solidFill>
                </w14:textFill>
              </w:rPr>
              <w:t xml:space="preserve">，</w:t>
            </w:r>
            <w:r>
              <w:rPr>
                <w:rFonts w:hint="eastAsia" w:ascii="宋体" w:hAnsi="Calibri" w:eastAsia="宋体" w:cs="黑体"/>
                <w:color w:val="000000" w:themeColor="text1"/>
                <w:sz w:val="22"/>
                <w:szCs w:val="22"/>
                <w14:textFill>
                  <w14:solidFill>
                    <w14:schemeClr w14:val="tx1"/>
                  </w14:solidFill>
                </w14:textFill>
              </w:rPr>
              <w:t xml:space="preserve">系统规划与管理师</w:t>
            </w:r>
            <w:r>
              <w:rPr>
                <w:rFonts w:hint="eastAsia" w:ascii="宋体" w:hAnsi="宋体" w:cs="宋体"/>
                <w:color w:val="000000" w:themeColor="text1"/>
                <w:sz w:val="22"/>
                <w:szCs w:val="22"/>
                <w14:textFill>
                  <w14:solidFill>
                    <w14:schemeClr w14:val="tx1"/>
                  </w14:solidFill>
                </w14:textFill>
              </w:rPr>
              <w:t xml:space="preserve">的，</w:t>
            </w:r>
            <w:r>
              <w:rPr>
                <w:rFonts w:hint="eastAsia" w:ascii="宋体" w:hAnsi="宋体" w:eastAsia="宋体" w:cs="宋体"/>
                <w:color w:val="000000" w:themeColor="text1"/>
                <w:sz w:val="22"/>
                <w:szCs w:val="22"/>
                <w14:textFill>
                  <w14:solidFill>
                    <w14:schemeClr w14:val="tx1"/>
                  </w14:solidFill>
                </w14:textFill>
              </w:rPr>
              <w:t xml:space="preserve">得2分；</w:t>
            </w:r>
            <w:r/>
          </w:p>
          <w:p>
            <w:pPr>
              <w:jc w:val="left"/>
              <w:spacing w:line="36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 xml:space="preserve">2.</w:t>
            </w:r>
            <w:r>
              <w:rPr>
                <w:rFonts w:hint="eastAsia" w:ascii="宋体" w:hAnsi="宋体" w:eastAsia="宋体" w:cs="宋体"/>
                <w:color w:val="000000" w:themeColor="text1"/>
                <w:sz w:val="22"/>
                <w:szCs w:val="22"/>
                <w14:textFill>
                  <w14:solidFill>
                    <w14:schemeClr w14:val="tx1"/>
                  </w14:solidFill>
                </w14:textFill>
              </w:rPr>
              <w:t xml:space="preserve">拟派项目团队成员具备系统集成项目管理工程师、</w:t>
            </w:r>
            <w:r>
              <w:rPr>
                <w:rFonts w:hint="eastAsia" w:ascii="宋体" w:hAnsi="Calibri" w:eastAsia="宋体" w:cs="黑体"/>
                <w:color w:val="000000" w:themeColor="text1"/>
                <w:sz w:val="22"/>
                <w:szCs w:val="22"/>
                <w14:textFill>
                  <w14:solidFill>
                    <w14:schemeClr w14:val="tx1"/>
                  </w14:solidFill>
                </w14:textFill>
              </w:rPr>
              <w:t xml:space="preserve">电子信息工程高级工程师</w:t>
            </w:r>
            <w:r>
              <w:rPr>
                <w:rFonts w:hint="eastAsia" w:ascii="宋体" w:hAnsi="宋体" w:eastAsia="宋体" w:cs="宋体"/>
                <w:color w:val="000000" w:themeColor="text1"/>
                <w:sz w:val="22"/>
                <w:szCs w:val="22"/>
                <w14:textFill>
                  <w14:solidFill>
                    <w14:schemeClr w14:val="tx1"/>
                  </w14:solidFill>
                </w14:textFill>
              </w:rPr>
              <w:t xml:space="preserve">、数据库认证工程师</w:t>
            </w:r>
            <w:r>
              <w:rPr>
                <w:rFonts w:hint="eastAsia" w:ascii="宋体" w:hAnsi="宋体" w:eastAsia="宋体" w:cs="宋体"/>
                <w:color w:val="000000" w:themeColor="text1"/>
                <w:sz w:val="22"/>
                <w:szCs w:val="22"/>
                <w:lang w:eastAsia="zh-CN"/>
                <w14:textFill>
                  <w14:solidFill>
                    <w14:schemeClr w14:val="tx1"/>
                  </w14:solidFill>
                </w14:textFill>
              </w:rPr>
              <w:t xml:space="preserve">、</w:t>
            </w:r>
            <w:r>
              <w:rPr>
                <w:rFonts w:hint="eastAsia" w:ascii="宋体" w:hAnsi="宋体" w:eastAsia="宋体" w:cs="宋体"/>
                <w:color w:val="000000" w:themeColor="text1"/>
                <w:sz w:val="22"/>
                <w:szCs w:val="22"/>
                <w14:textFill>
                  <w14:solidFill>
                    <w14:schemeClr w14:val="tx1"/>
                  </w14:solidFill>
                </w14:textFill>
              </w:rPr>
              <w:t xml:space="preserve">人工智能训练师</w:t>
            </w:r>
            <w:r>
              <w:rPr>
                <w:rFonts w:hint="eastAsia" w:ascii="宋体" w:hAnsi="宋体" w:eastAsia="宋体" w:cs="宋体"/>
                <w:color w:val="000000" w:themeColor="text1"/>
                <w:sz w:val="22"/>
                <w:szCs w:val="22"/>
                <w:lang w:eastAsia="zh-CN"/>
                <w14:textFill>
                  <w14:solidFill>
                    <w14:schemeClr w14:val="tx1"/>
                  </w14:solidFill>
                </w14:textFill>
              </w:rPr>
              <w:t xml:space="preserve">、</w:t>
            </w:r>
            <w:r>
              <w:rPr>
                <w:rFonts w:hint="eastAsia" w:ascii="宋体" w:hAnsi="宋体" w:eastAsia="宋体" w:cs="宋体"/>
                <w:color w:val="000000" w:themeColor="text1"/>
                <w:sz w:val="22"/>
                <w:szCs w:val="22"/>
                <w14:textFill>
                  <w14:solidFill>
                    <w14:schemeClr w14:val="tx1"/>
                  </w14:solidFill>
                </w14:textFill>
              </w:rPr>
              <w:t xml:space="preserve">CISAW信息安全保障人员认证、CISP认证，每有一个得1分，本项最高得6分。（一人多证不重复计分）</w:t>
            </w:r>
            <w:r/>
          </w:p>
          <w:p>
            <w:pPr>
              <w:jc w:val="left"/>
              <w:spacing w:line="276"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 xml:space="preserve">（</w:t>
            </w:r>
            <w:r>
              <w:rPr>
                <w:rFonts w:hint="eastAsia" w:ascii="宋体" w:hAnsi="宋体" w:eastAsia="宋体" w:cs="宋体"/>
                <w:b/>
                <w:bCs/>
                <w:color w:val="000000" w:themeColor="text1"/>
                <w:sz w:val="22"/>
                <w:szCs w:val="22"/>
                <w:lang w:val="en-US" w:eastAsia="zh-CN"/>
                <w14:textFill>
                  <w14:solidFill>
                    <w14:schemeClr w14:val="tx1"/>
                  </w14:solidFill>
                </w14:textFill>
              </w:rPr>
              <w:t xml:space="preserve">上述1-2项</w:t>
            </w:r>
            <w:r>
              <w:rPr>
                <w:rFonts w:hint="eastAsia" w:ascii="宋体" w:hAnsi="宋体" w:eastAsia="宋体" w:cs="宋体"/>
                <w:b/>
                <w:bCs/>
                <w:color w:val="000000" w:themeColor="text1"/>
                <w:sz w:val="22"/>
                <w:szCs w:val="22"/>
                <w14:textFill>
                  <w14:solidFill>
                    <w14:schemeClr w14:val="tx1"/>
                  </w14:solidFill>
                </w14:textFill>
              </w:rPr>
              <w:t xml:space="preserve">投标文件中提供项目成员名单，附相关证书、证明的扫描件或电子件，同时提供近三个月任意一个月由投标人为其缴纳社保证明材料扫描件，并加盖投标人公章，缺项或未提供不得分。</w:t>
            </w:r>
            <w:r>
              <w:rPr>
                <w:rFonts w:hint="eastAsia" w:ascii="宋体" w:hAnsi="宋体" w:eastAsia="宋体" w:cs="宋体"/>
                <w:b/>
                <w:bCs/>
                <w:color w:val="000000" w:themeColor="text1"/>
                <w:sz w:val="22"/>
                <w:szCs w:val="22"/>
                <w:lang w:eastAsia="zh-CN"/>
                <w14:textFill>
                  <w14:solidFill>
                    <w14:schemeClr w14:val="tx1"/>
                  </w14:solidFill>
                </w14:textFill>
              </w:rPr>
              <w:t xml:space="preserve">）</w:t>
            </w:r>
            <w:r/>
          </w:p>
        </w:tc>
      </w:tr>
      <w:tr>
        <w:trPr>
          <w:jc w:val="center"/>
          <w:trHeight w:val="621"/>
        </w:trPr>
        <w:tc>
          <w:tcPr>
            <w:tcW w:w="1754" w:type="dxa"/>
            <w:vAlign w:val="center"/>
            <w:textDirection w:val="lrTb"/>
            <w:noWrap w:val="false"/>
          </w:tcPr>
          <w:p>
            <w:pPr>
              <w:jc w:val="center"/>
              <w:spacing w:line="276" w:lineRule="auto"/>
              <w:rPr>
                <w:rFonts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业绩（</w:t>
            </w:r>
            <w:r>
              <w:rPr>
                <w:rFonts w:hint="eastAsia" w:ascii="宋体" w:hAnsi="宋体" w:cs="宋体"/>
                <w:color w:val="000000" w:themeColor="text1"/>
                <w:sz w:val="22"/>
                <w:szCs w:val="22"/>
                <w:lang w:val="en-US" w:eastAsia="zh-CN"/>
                <w14:textFill>
                  <w14:solidFill>
                    <w14:schemeClr w14:val="tx1"/>
                  </w14:solidFill>
                </w14:textFill>
              </w:rPr>
              <w:t xml:space="preserve">6</w:t>
            </w:r>
            <w:r>
              <w:rPr>
                <w:rFonts w:hint="eastAsia" w:ascii="宋体" w:hAnsi="宋体" w:cs="宋体"/>
                <w:color w:val="000000" w:themeColor="text1"/>
                <w:sz w:val="22"/>
                <w:szCs w:val="22"/>
                <w14:textFill>
                  <w14:solidFill>
                    <w14:schemeClr w14:val="tx1"/>
                  </w14:solidFill>
                </w14:textFill>
              </w:rPr>
              <w:t xml:space="preserve">分）</w:t>
            </w:r>
            <w:r/>
          </w:p>
        </w:tc>
        <w:tc>
          <w:tcPr>
            <w:tcW w:w="6576" w:type="dxa"/>
            <w:vAlign w:val="center"/>
            <w:textDirection w:val="lrTb"/>
            <w:noWrap w:val="false"/>
          </w:tcPr>
          <w:p>
            <w:pPr>
              <w:jc w:val="left"/>
              <w:spacing w:line="276" w:lineRule="auto"/>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投标人自2023年1月1日以来，提供</w:t>
            </w:r>
            <w:r>
              <w:rPr>
                <w:rFonts w:hint="eastAsia" w:ascii="宋体" w:hAnsi="宋体" w:cs="宋体"/>
                <w:color w:val="000000" w:themeColor="text1"/>
                <w:sz w:val="22"/>
                <w:szCs w:val="22"/>
                <w:lang w:val="en-US" w:eastAsia="zh-CN"/>
                <w14:textFill>
                  <w14:solidFill>
                    <w14:schemeClr w14:val="tx1"/>
                  </w14:solidFill>
                </w14:textFill>
              </w:rPr>
              <w:t xml:space="preserve">与智慧医疗</w:t>
            </w:r>
            <w:r>
              <w:rPr>
                <w:rFonts w:hint="eastAsia"/>
                <w:lang w:val="en-US" w:eastAsia="zh-CN"/>
              </w:rPr>
              <w:t xml:space="preserve">或医疗信息化</w:t>
            </w:r>
            <w:r>
              <w:rPr>
                <w:rFonts w:hint="eastAsia" w:ascii="宋体" w:hAnsi="宋体" w:cs="宋体"/>
                <w:color w:val="000000" w:themeColor="text1"/>
                <w:sz w:val="22"/>
                <w:szCs w:val="22"/>
                <w:lang w:val="en-US" w:eastAsia="zh-CN"/>
                <w14:textFill>
                  <w14:solidFill>
                    <w14:schemeClr w14:val="tx1"/>
                  </w14:solidFill>
                </w14:textFill>
              </w:rPr>
              <w:t xml:space="preserve">相关</w:t>
            </w:r>
            <w:r>
              <w:rPr>
                <w:rFonts w:hint="eastAsia" w:ascii="宋体" w:hAnsi="宋体" w:cs="宋体"/>
                <w:color w:val="000000" w:themeColor="text1"/>
                <w:sz w:val="22"/>
                <w:szCs w:val="22"/>
                <w14:textFill>
                  <w14:solidFill>
                    <w14:schemeClr w14:val="tx1"/>
                  </w14:solidFill>
                </w14:textFill>
              </w:rPr>
              <w:t xml:space="preserve">类似业绩的，每提供一个得</w:t>
            </w:r>
            <w:r>
              <w:rPr>
                <w:rFonts w:hint="eastAsia" w:ascii="宋体" w:hAnsi="宋体" w:cs="宋体"/>
                <w:color w:val="000000" w:themeColor="text1"/>
                <w:sz w:val="22"/>
                <w:szCs w:val="22"/>
                <w:lang w:val="en-US" w:eastAsia="zh-CN"/>
                <w14:textFill>
                  <w14:solidFill>
                    <w14:schemeClr w14:val="tx1"/>
                  </w14:solidFill>
                </w14:textFill>
              </w:rPr>
              <w:t xml:space="preserve">2</w:t>
            </w:r>
            <w:r>
              <w:rPr>
                <w:rFonts w:hint="eastAsia" w:ascii="宋体" w:hAnsi="宋体" w:cs="宋体"/>
                <w:color w:val="000000" w:themeColor="text1"/>
                <w:sz w:val="22"/>
                <w:szCs w:val="22"/>
                <w14:textFill>
                  <w14:solidFill>
                    <w14:schemeClr w14:val="tx1"/>
                  </w14:solidFill>
                </w14:textFill>
              </w:rPr>
              <w:t xml:space="preserve">分，本项最高得分</w:t>
            </w:r>
            <w:r>
              <w:rPr>
                <w:rFonts w:hint="eastAsia" w:ascii="宋体" w:hAnsi="宋体" w:cs="宋体"/>
                <w:color w:val="000000" w:themeColor="text1"/>
                <w:sz w:val="22"/>
                <w:szCs w:val="22"/>
                <w:lang w:val="en-US" w:eastAsia="zh-CN"/>
                <w14:textFill>
                  <w14:solidFill>
                    <w14:schemeClr w14:val="tx1"/>
                  </w14:solidFill>
                </w14:textFill>
              </w:rPr>
              <w:t xml:space="preserve">6</w:t>
            </w:r>
            <w:r>
              <w:rPr>
                <w:rFonts w:hint="eastAsia" w:ascii="宋体" w:hAnsi="宋体" w:cs="宋体"/>
                <w:color w:val="000000" w:themeColor="text1"/>
                <w:sz w:val="22"/>
                <w:szCs w:val="22"/>
                <w14:textFill>
                  <w14:solidFill>
                    <w14:schemeClr w14:val="tx1"/>
                  </w14:solidFill>
                </w14:textFill>
              </w:rPr>
              <w:t xml:space="preserve">分。</w:t>
            </w:r>
            <w:r/>
          </w:p>
          <w:p>
            <w:pPr>
              <w:jc w:val="left"/>
              <w:spacing w:line="276" w:lineRule="auto"/>
              <w:rPr>
                <w:rFonts w:ascii="宋体" w:hAnsi="宋体" w:eastAsia="宋体" w:cs="宋体"/>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w:t>
            </w:r>
            <w:r>
              <w:rPr>
                <w:rFonts w:hint="eastAsia" w:ascii="宋体" w:hAnsi="宋体" w:cs="宋体"/>
                <w:b/>
                <w:bCs/>
                <w:color w:val="000000" w:themeColor="text1"/>
                <w:sz w:val="22"/>
                <w:szCs w:val="22"/>
                <w:lang w:val="en-US" w:eastAsia="zh-CN"/>
                <w14:textFill>
                  <w14:solidFill>
                    <w14:schemeClr w14:val="tx1"/>
                  </w14:solidFill>
                </w14:textFill>
              </w:rPr>
              <w:t xml:space="preserve">投标文件中</w:t>
            </w:r>
            <w:r>
              <w:rPr>
                <w:rFonts w:hint="eastAsia" w:ascii="宋体" w:hAnsi="宋体" w:cs="宋体"/>
                <w:b/>
                <w:bCs/>
                <w:color w:val="000000" w:themeColor="text1"/>
                <w:sz w:val="22"/>
                <w:szCs w:val="22"/>
                <w14:textFill>
                  <w14:solidFill>
                    <w14:schemeClr w14:val="tx1"/>
                  </w14:solidFill>
                </w14:textFill>
              </w:rPr>
              <w:t xml:space="preserve">提供完整合同并加盖公章，</w:t>
            </w:r>
            <w:r>
              <w:rPr>
                <w:rFonts w:hint="eastAsia" w:ascii="宋体" w:hAnsi="宋体" w:cs="宋体"/>
                <w:b/>
                <w:bCs/>
                <w:color w:val="000000" w:themeColor="text1"/>
                <w:sz w:val="22"/>
                <w:szCs w:val="22"/>
                <w:lang w:val="en-US" w:eastAsia="zh-CN"/>
                <w14:textFill>
                  <w14:solidFill>
                    <w14:schemeClr w14:val="tx1"/>
                  </w14:solidFill>
                </w14:textFill>
              </w:rPr>
              <w:t xml:space="preserve">时间</w:t>
            </w:r>
            <w:r>
              <w:rPr>
                <w:rFonts w:hint="eastAsia" w:ascii="宋体" w:hAnsi="宋体" w:cs="宋体"/>
                <w:b/>
                <w:bCs/>
                <w:color w:val="000000" w:themeColor="text1"/>
                <w:sz w:val="22"/>
                <w:szCs w:val="22"/>
                <w14:textFill>
                  <w14:solidFill>
                    <w14:schemeClr w14:val="tx1"/>
                  </w14:solidFill>
                </w14:textFill>
              </w:rPr>
              <w:t xml:space="preserve">以合同签订时间为准，未提供合同、合同内容不清晰或与要求不符的不得分。)</w:t>
            </w:r>
            <w:r/>
          </w:p>
        </w:tc>
      </w:tr>
    </w:tbl>
    <w:p>
      <w:pPr>
        <w:rPr>
          <w:rFonts w:hint="eastAsia" w:ascii="黑体" w:hAnsi="黑体" w:eastAsia="黑体"/>
          <w:b w:val="0"/>
        </w:rPr>
      </w:pPr>
      <w:r/>
      <w:bookmarkStart w:id="10" w:name="_Toc6316"/>
      <w:r>
        <w:rPr>
          <w:rFonts w:hint="eastAsia" w:ascii="黑体" w:hAnsi="黑体" w:eastAsia="黑体"/>
          <w:b w:val="0"/>
        </w:rPr>
        <w:br w:type="page" w:clear="all"/>
      </w:r>
      <w:r/>
    </w:p>
    <w:p>
      <w:pPr>
        <w:pStyle w:val="995"/>
        <w:jc w:val="center"/>
        <w:spacing w:line="360" w:lineRule="auto"/>
        <w:rPr>
          <w:rFonts w:ascii="黑体" w:hAnsi="黑体" w:eastAsia="黑体"/>
          <w:b w:val="0"/>
        </w:rPr>
      </w:pPr>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keepLines w:val="0"/>
        <w:keepNext w:val="0"/>
        <w:pageBreakBefore w:val="0"/>
        <w:spacing w:line="500" w:lineRule="exact"/>
        <w:widowControl w:val="off"/>
        <w:rPr>
          <w:sz w:val="24"/>
          <w:szCs w:val="24"/>
        </w:rPr>
        <w:outlineLvl w:val="1"/>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eastAsia="宋体"/>
          <w:sz w:val="24"/>
          <w:szCs w:val="24"/>
          <w:u w:val="single"/>
          <w:lang w:eastAsia="zh-CN"/>
        </w:rPr>
        <w:t xml:space="preserve">投标人</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w:t>
      </w:r>
      <w:r>
        <w:rPr>
          <w:rFonts w:hint="eastAsia" w:ascii="Calibri" w:hAnsi="Calibri" w:eastAsia="宋体" w:cs="Times New Roman"/>
          <w:sz w:val="24"/>
          <w:szCs w:val="24"/>
          <w:lang w:eastAsia="zh-CN"/>
        </w:rPr>
        <w:t xml:space="preserve">投标人</w:t>
      </w:r>
      <w:r>
        <w:rPr>
          <w:rFonts w:hint="eastAsia" w:ascii="Calibri" w:hAnsi="Calibri" w:eastAsia="宋体" w:cs="Times New Roman"/>
          <w:sz w:val="24"/>
          <w:szCs w:val="24"/>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9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w:t>
      </w:r>
      <w:r>
        <w:rPr>
          <w:rFonts w:hint="eastAsia" w:ascii="Calibri" w:hAnsi="Calibri" w:eastAsia="宋体" w:cs="Times New Roman"/>
          <w:sz w:val="24"/>
          <w:szCs w:val="24"/>
          <w:lang w:eastAsia="zh-CN"/>
        </w:rPr>
        <w:t xml:space="preserve">投标人</w:t>
      </w:r>
      <w:r>
        <w:rPr>
          <w:rFonts w:ascii="Calibri" w:hAnsi="Calibri" w:eastAsia="宋体" w:cs="Times New Roman"/>
          <w:sz w:val="24"/>
          <w:szCs w:val="24"/>
        </w:rPr>
        <w:t xml:space="preserve">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lang w:eastAsia="zh-CN"/>
        </w:rPr>
        <w:t xml:space="preserve">投标人</w:t>
      </w:r>
      <w:r>
        <w:rPr>
          <w:rFonts w:hint="eastAsia" w:ascii="Calibri" w:hAnsi="Calibri" w:eastAsia="宋体" w:cs="Times New Roman"/>
          <w:sz w:val="24"/>
          <w:szCs w:val="24"/>
        </w:rPr>
        <w:t xml:space="preserve">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w:t>
      </w:r>
      <w:r>
        <w:rPr>
          <w:rFonts w:hint="eastAsia"/>
          <w:sz w:val="24"/>
          <w:szCs w:val="24"/>
          <w:lang w:eastAsia="zh-CN"/>
        </w:rPr>
        <w:t xml:space="preserve">投标人</w:t>
      </w:r>
      <w:r>
        <w:rPr>
          <w:rFonts w:hint="eastAsia"/>
          <w:sz w:val="24"/>
          <w:szCs w:val="24"/>
        </w:rPr>
        <w:t xml:space="preserve">如实填写联系方式并在评审过程中保持联系方式畅通，评审过程中如联系不上，由</w:t>
      </w:r>
      <w:r>
        <w:rPr>
          <w:rFonts w:hint="eastAsia"/>
          <w:sz w:val="24"/>
          <w:szCs w:val="24"/>
          <w:lang w:eastAsia="zh-CN"/>
        </w:rPr>
        <w:t xml:space="preserve">投标人</w:t>
      </w:r>
      <w:r>
        <w:rPr>
          <w:rFonts w:hint="eastAsia"/>
          <w:sz w:val="24"/>
          <w:szCs w:val="24"/>
        </w:rPr>
        <w:t xml:space="preserve">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99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w:t>
      </w:r>
      <w:r>
        <w:rPr>
          <w:rFonts w:hint="eastAsia"/>
          <w:sz w:val="24"/>
          <w:szCs w:val="24"/>
          <w:lang w:eastAsia="zh-CN"/>
        </w:rPr>
        <w:t xml:space="preserve">投标人</w:t>
      </w:r>
      <w:r>
        <w:rPr>
          <w:rFonts w:hint="eastAsia"/>
          <w:sz w:val="24"/>
          <w:szCs w:val="24"/>
        </w:rPr>
        <w:t xml:space="preserve">如实填写联系方式并在评审过程中保持联系方式畅通，评审过程中如联系不上，由</w:t>
      </w:r>
      <w:r>
        <w:rPr>
          <w:rFonts w:hint="eastAsia"/>
          <w:sz w:val="24"/>
          <w:szCs w:val="24"/>
          <w:lang w:eastAsia="zh-CN"/>
        </w:rPr>
        <w:t xml:space="preserve">投标人</w:t>
      </w:r>
      <w:r>
        <w:rPr>
          <w:rFonts w:hint="eastAsia"/>
          <w:sz w:val="24"/>
          <w:szCs w:val="24"/>
        </w:rPr>
        <w:t xml:space="preserve">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rPr>
          <w:rFonts w:hint="eastAsia" w:ascii="Arial" w:hAnsi="Arial" w:eastAsia="宋体" w:cs="Arial"/>
          <w:b/>
          <w:sz w:val="36"/>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w:t>
      </w:r>
      <w:r>
        <w:rPr>
          <w:rFonts w:hint="eastAsia" w:ascii="宋体" w:hAnsi="宋体" w:eastAsia="宋体" w:cs="Times New Roman"/>
          <w:color w:val="000000"/>
          <w:sz w:val="24"/>
          <w:szCs w:val="21"/>
          <w:u w:val="single"/>
          <w:lang w:eastAsia="zh-CN"/>
        </w:rPr>
        <w:t xml:space="preserve">投标人</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lang w:eastAsia="zh-CN"/>
        </w:rPr>
        <w:t xml:space="preserve">投标人</w:t>
      </w:r>
      <w:r>
        <w:rPr>
          <w:rFonts w:hint="eastAsia"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lang w:eastAsia="zh-CN"/>
        </w:rPr>
        <w:t xml:space="preserve">投标人</w:t>
      </w:r>
      <w:r>
        <w:rPr>
          <w:rFonts w:hint="eastAsia" w:ascii="宋体" w:hAnsi="宋体" w:eastAsia="宋体" w:cs="Times New Roman"/>
          <w:color w:val="000000"/>
          <w:sz w:val="24"/>
          <w:szCs w:val="21"/>
          <w:u w:val="single"/>
        </w:rPr>
        <w:t xml:space="preserve">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u w:val="single"/>
          <w:lang w:eastAsia="zh-CN"/>
        </w:rPr>
        <w:t xml:space="preserve">投标人</w:t>
      </w:r>
      <w:r>
        <w:rPr>
          <w:rFonts w:hint="eastAsia"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u w:val="single"/>
          <w:lang w:eastAsia="zh-CN"/>
        </w:rPr>
        <w:t xml:space="preserve">投标人</w:t>
      </w:r>
      <w:r>
        <w:rPr>
          <w:rFonts w:hint="eastAsia" w:ascii="宋体" w:hAnsi="宋体" w:eastAsia="宋体" w:cs="Times New Roman"/>
          <w:color w:val="000000"/>
          <w:sz w:val="24"/>
          <w:szCs w:val="21"/>
          <w:u w:val="single"/>
        </w:rPr>
        <w:t xml:space="preserve">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u w:val="single"/>
          <w:lang w:eastAsia="zh-CN"/>
        </w:rPr>
        <w:t xml:space="preserve">投标人</w:t>
      </w:r>
      <w:r>
        <w:rPr>
          <w:rFonts w:hint="eastAsia" w:ascii="宋体" w:hAnsi="宋体" w:eastAsia="宋体" w:cs="Times New Roman"/>
          <w:color w:val="000000"/>
          <w:sz w:val="24"/>
          <w:szCs w:val="21"/>
          <w:u w:val="single"/>
        </w:rPr>
        <w:t xml:space="preserve">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w:t>
      </w:r>
      <w:r>
        <w:rPr>
          <w:rFonts w:hint="eastAsia" w:ascii="宋体" w:hAnsi="宋体" w:eastAsia="宋体" w:cs="Times New Roman"/>
          <w:color w:val="000000"/>
          <w:sz w:val="24"/>
          <w:szCs w:val="21"/>
          <w:lang w:eastAsia="zh-CN"/>
        </w:rPr>
        <w:t xml:space="preserve">投标人</w:t>
      </w:r>
      <w:r>
        <w:rPr>
          <w:rFonts w:hint="eastAsia" w:ascii="宋体" w:hAnsi="宋体" w:eastAsia="宋体" w:cs="Times New Roman"/>
          <w:color w:val="000000"/>
          <w:sz w:val="24"/>
          <w:szCs w:val="21"/>
        </w:rPr>
        <w:t xml:space="preserve">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投标人</w:t>
      </w:r>
      <w:r>
        <w:rPr>
          <w:rFonts w:hint="eastAsia" w:ascii="宋体" w:hAnsi="宋体" w:eastAsia="宋体" w:cs="Times New Roman"/>
          <w:color w:val="000000"/>
          <w:sz w:val="24"/>
          <w:szCs w:val="21"/>
        </w:rPr>
        <w:t xml:space="preserve">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投标人</w:t>
      </w:r>
      <w:r>
        <w:rPr>
          <w:rFonts w:hint="eastAsia" w:ascii="宋体" w:hAnsi="宋体" w:eastAsia="宋体" w:cs="Times New Roman"/>
          <w:color w:val="000000"/>
          <w:sz w:val="24"/>
          <w:szCs w:val="21"/>
        </w:rPr>
        <w:t xml:space="preserve">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rPr>
          <w:rFonts w:hint="eastAsia" w:ascii="Arial" w:hAnsi="Arial" w:eastAsia="宋体" w:cs="Arial"/>
          <w:b/>
          <w:iCs/>
          <w:sz w:val="36"/>
          <w:highlight w:val="yellow"/>
        </w:rPr>
        <w:t xml:space="preserve">（分包号：**）</w:t>
      </w:r>
      <w:r/>
    </w:p>
    <w:p>
      <w:r/>
      <w:r/>
    </w:p>
    <w:p>
      <w:r/>
      <w:bookmarkStart w:id="24" w:name="_GoBack"/>
      <w:r/>
      <w:bookmarkEnd w:id="24"/>
      <w:r/>
      <w:r/>
    </w:p>
    <w:p>
      <w:pPr>
        <w:jc w:val="center"/>
        <w:spacing w:line="360" w:lineRule="auto"/>
        <w:tabs>
          <w:tab w:val="left" w:pos="360" w:leader="none"/>
        </w:tabs>
        <w:rPr>
          <w:rFonts w:ascii="Times New Roman" w:hAnsi="Times New Roman" w:eastAsia="黑体" w:cs="Times New Roman"/>
          <w:bCs/>
          <w:sz w:val="36"/>
          <w:szCs w:val="28"/>
        </w:rPr>
      </w:pPr>
      <w:r>
        <w:rPr>
          <w:rFonts w:ascii="Times New Roman" w:hAnsi="Times New Roman" w:eastAsia="黑体" w:cs="Times New Roman"/>
          <w:bCs/>
          <w:sz w:val="36"/>
          <w:szCs w:val="28"/>
        </w:rPr>
        <w:t xml:space="preserve">投标分项报价</w:t>
      </w:r>
      <w:r>
        <w:rPr>
          <w:rFonts w:hint="eastAsia" w:ascii="Times New Roman" w:hAnsi="Times New Roman" w:eastAsia="黑体" w:cs="Times New Roman"/>
          <w:bCs/>
          <w:sz w:val="36"/>
          <w:szCs w:val="28"/>
        </w:rPr>
        <w:t xml:space="preserve">总</w:t>
      </w:r>
      <w:r>
        <w:rPr>
          <w:rFonts w:ascii="Times New Roman" w:hAnsi="Times New Roman" w:eastAsia="黑体" w:cs="Times New Roman"/>
          <w:bCs/>
          <w:sz w:val="36"/>
          <w:szCs w:val="28"/>
        </w:rPr>
        <w:t xml:space="preserve">表</w:t>
      </w:r>
      <w:r>
        <w:rPr>
          <w:rFonts w:hint="eastAsia" w:ascii="Times New Roman" w:hAnsi="Times New Roman" w:eastAsia="黑体" w:cs="Times New Roman"/>
          <w:bCs/>
          <w:sz w:val="36"/>
          <w:szCs w:val="28"/>
        </w:rPr>
        <w:t xml:space="preserve">（一）</w:t>
      </w:r>
      <w:r/>
    </w:p>
    <w:p>
      <w:pPr>
        <w:jc w:val="left"/>
        <w:spacing w:line="560" w:lineRule="exact"/>
        <w:rPr>
          <w:rFonts w:ascii="Times New Roman" w:hAnsi="Times New Roman" w:cs="Times New Roman"/>
          <w:b/>
          <w:bCs/>
          <w:color w:val="000000"/>
          <w:sz w:val="24"/>
        </w:rPr>
      </w:pPr>
      <w:r>
        <w:rPr>
          <w:rFonts w:hint="eastAsia" w:ascii="Times New Roman" w:hAnsi="Times New Roman" w:cs="Times New Roman"/>
          <w:b/>
          <w:bCs/>
          <w:color w:val="000000"/>
          <w:sz w:val="24"/>
        </w:rPr>
        <w:t xml:space="preserve">注：本表格为总报价表（包含服务、货物等涉及本项目所有报价）</w:t>
      </w:r>
      <w:r/>
    </w:p>
    <w:p>
      <w:pPr>
        <w:jc w:val="left"/>
        <w:spacing w:line="360" w:lineRule="auto"/>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项目名称：      项目编号：      分包号：</w:t>
      </w:r>
      <w:r>
        <w:rPr>
          <w:rFonts w:ascii="Times New Roman" w:hAnsi="Times New Roman" w:eastAsia="宋体" w:cs="Times New Roman"/>
          <w:bCs/>
          <w:color w:val="000000"/>
          <w:sz w:val="24"/>
          <w:szCs w:val="24"/>
        </w:rPr>
        <w:t xml:space="preserve"> </w:t>
      </w:r>
      <w:r/>
    </w:p>
    <w:p>
      <w:pPr>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单位：元</w:t>
      </w:r>
      <w:r/>
    </w:p>
    <w:tbl>
      <w:tblPr>
        <w:tblStyle w:val="999"/>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hint="eastAsia" w:ascii="Times New Roman" w:hAnsi="Times New Roman" w:cs="Times New Roman"/>
                <w:color w:val="000000"/>
                <w:sz w:val="24"/>
              </w:rPr>
              <w:t xml:space="preserve">产品、</w:t>
            </w:r>
            <w:r>
              <w:rPr>
                <w:rFonts w:ascii="Times New Roman" w:hAnsi="Times New Roman" w:cs="Times New Roman"/>
                <w:color w:val="000000"/>
                <w:sz w:val="24"/>
              </w:rPr>
              <w:t xml:space="preserve">服务（标的）名称</w:t>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单价</w:t>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单项</w:t>
            </w:r>
            <w:r/>
          </w:p>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2083"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6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134"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b/>
                <w:bCs/>
                <w:color w:val="000000"/>
                <w:sz w:val="24"/>
              </w:rPr>
              <w:t xml:space="preserve">总计（元）</w:t>
            </w:r>
            <w:r>
              <w:rPr>
                <w:rFonts w:hint="eastAsia" w:ascii="Times New Roman" w:hAnsi="Times New Roman" w:cs="Times New Roman"/>
                <w:b/>
                <w:bCs/>
                <w:color w:val="000000"/>
                <w:sz w:val="24"/>
              </w:rPr>
              <w:t xml:space="preserve">（须与开标一览表中总价一致）</w:t>
            </w:r>
            <w:r/>
          </w:p>
        </w:tc>
        <w:tc>
          <w:tcPr>
            <w:tcW w:w="1491" w:type="dxa"/>
            <w:vAlign w:val="center"/>
            <w:textDirection w:val="lrTb"/>
            <w:noWrap w:val="false"/>
          </w:tcPr>
          <w:p>
            <w:pPr>
              <w:jc w:val="center"/>
              <w:spacing w:line="560" w:lineRule="exact"/>
              <w:rPr>
                <w:rFonts w:ascii="Times New Roman" w:hAnsi="Times New Roman" w:cs="Times New Roman"/>
                <w:color w:val="000000"/>
                <w:sz w:val="24"/>
              </w:rPr>
            </w:pPr>
            <w:r>
              <w:rPr>
                <w:rFonts w:ascii="Times New Roman" w:hAnsi="Times New Roman" w:cs="Times New Roman"/>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法定代表人（单位负责人）或委托代理人（签字或盖章）：</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highlight w:val="yellow"/>
        </w:rPr>
      </w:pPr>
      <w:r>
        <w:rPr>
          <w:rFonts w:ascii="Times New Roman" w:hAnsi="Times New Roman" w:eastAsia="宋体" w:cs="Times New Roman"/>
          <w:color w:val="000000"/>
          <w:sz w:val="24"/>
          <w:szCs w:val="24"/>
          <w:highlight w:val="yellow"/>
        </w:rPr>
      </w:r>
      <w:r/>
    </w:p>
    <w:p>
      <w:pPr>
        <w:jc w:val="center"/>
        <w:spacing w:line="360" w:lineRule="auto"/>
        <w:tabs>
          <w:tab w:val="left" w:pos="360" w:leader="none"/>
        </w:tabs>
        <w:rPr>
          <w:rFonts w:ascii="Times New Roman" w:hAnsi="Times New Roman" w:cs="Times New Roman"/>
          <w:b/>
          <w:bCs/>
          <w:color w:val="000000"/>
          <w:sz w:val="24"/>
        </w:rPr>
      </w:pPr>
      <w:r>
        <w:rPr>
          <w:rFonts w:hint="eastAsia" w:ascii="黑体" w:hAnsi="黑体" w:eastAsia="黑体" w:cs="宋体"/>
          <w:bCs/>
          <w:sz w:val="36"/>
          <w:szCs w:val="28"/>
        </w:rPr>
        <w:t xml:space="preserve">货物投标分项报价表（二）</w:t>
      </w:r>
      <w:r/>
    </w:p>
    <w:p>
      <w:pPr>
        <w:jc w:val="left"/>
        <w:spacing w:line="560" w:lineRule="exact"/>
        <w:rPr>
          <w:rFonts w:ascii="Times New Roman" w:hAnsi="Times New Roman" w:cs="Times New Roman"/>
          <w:b/>
          <w:bCs/>
          <w:color w:val="000000"/>
          <w:sz w:val="24"/>
        </w:rPr>
      </w:pPr>
      <w:r>
        <w:rPr>
          <w:rFonts w:hint="eastAsia" w:ascii="Times New Roman" w:hAnsi="Times New Roman" w:cs="Times New Roman"/>
          <w:b/>
          <w:bCs/>
          <w:color w:val="000000"/>
          <w:sz w:val="24"/>
        </w:rPr>
        <w:t xml:space="preserve">注：本表格仅针对本项目中涉及的货物报价详细表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999"/>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gree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jc w:val="left"/>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1.“制造商企业类型”栏填写内容为“大型”“中型”“小型”“微型”“监狱企业”或“残疾人福利性单位”。</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2.请供应商如实、正确填写本表，所填内容将作为评审的依据，其内容应与对应的证明资料相符。</w:t>
      </w:r>
      <w:r/>
    </w:p>
    <w:p>
      <w:pPr>
        <w:ind w:firstLine="480"/>
        <w:jc w:val="left"/>
        <w:spacing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3.行数或事项不够，可自行增加。投标人需认真填写本报价表，尤其注意规格型号的准确填写。</w:t>
      </w:r>
      <w:r/>
    </w:p>
    <w:p>
      <w:r>
        <w:rPr>
          <w:rFonts w:hint="eastAsia" w:asciiTheme="minorEastAsia" w:hAnsiTheme="minorEastAsia" w:cstheme="minorEastAsia"/>
          <w:bCs/>
          <w:sz w:val="24"/>
          <w:szCs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rPr>
          <w:rFonts w:hint="eastAsia" w:ascii="Arial" w:hAnsi="Arial" w:eastAsia="宋体" w:cs="Arial"/>
          <w:b/>
          <w:iCs/>
          <w:sz w:val="36"/>
          <w:highlight w:val="yellow"/>
        </w:rPr>
        <w:t xml:space="preserve">（分包号：**）（如有请提供）</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99"/>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1" w:name="_Hlt26955054"/>
      <w:r/>
      <w:bookmarkEnd w:id="11"/>
      <w:r>
        <w:rPr>
          <w:rFonts w:hint="eastAsia" w:ascii="Arial" w:hAnsi="Arial" w:eastAsia="宋体" w:cs="Arial"/>
          <w:b/>
          <w:iCs/>
          <w:sz w:val="36"/>
        </w:rPr>
        <w:t xml:space="preserve">十六、商务要求响应及偏离表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99"/>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2" w:name="_Hlt26955064"/>
            <w:r/>
            <w:bookmarkEnd w:id="12"/>
            <w:r/>
            <w:bookmarkStart w:id="13" w:name="_Hlt26580838"/>
            <w:r/>
            <w:bookmarkEnd w:id="13"/>
            <w:r/>
            <w:bookmarkStart w:id="14" w:name="_Hlt26782999"/>
            <w:r/>
            <w:bookmarkEnd w:id="14"/>
            <w:r/>
            <w:bookmarkStart w:id="15" w:name="_Hlt26609391"/>
            <w:r/>
            <w:bookmarkEnd w:id="15"/>
            <w:r/>
            <w:bookmarkStart w:id="16" w:name="_Hlt26671343"/>
            <w:r/>
            <w:bookmarkEnd w:id="16"/>
            <w:r/>
            <w:bookmarkStart w:id="17" w:name="_Hlt26955056"/>
            <w:r/>
            <w:bookmarkEnd w:id="17"/>
            <w:r/>
            <w:bookmarkStart w:id="18" w:name="_Hlt24879081"/>
            <w:r/>
            <w:bookmarkEnd w:id="18"/>
            <w:r/>
            <w:bookmarkStart w:id="19" w:name="_Hlt26671372"/>
            <w:r/>
            <w:bookmarkEnd w:id="19"/>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0" w:name="_Hlt26671374"/>
      <w:r/>
      <w:bookmarkEnd w:id="20"/>
      <w:r/>
      <w:bookmarkStart w:id="21" w:name="_Hlt26955066"/>
      <w:r/>
      <w:bookmarkEnd w:id="21"/>
      <w:r/>
      <w:bookmarkStart w:id="22" w:name="_Hlt26609389"/>
      <w:r/>
      <w:bookmarkEnd w:id="22"/>
      <w:r/>
      <w:bookmarkStart w:id="23" w:name="_格式2__法定代表人授权书"/>
      <w:r/>
      <w:bookmarkEnd w:id="23"/>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rPr>
          <w:rFonts w:hint="eastAsia" w:ascii="Arial" w:hAnsi="Arial" w:eastAsia="宋体" w:cs="Arial"/>
          <w:b/>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99"/>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999"/>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101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720"/>
        <w:jc w:val="center"/>
        <w:spacing w:line="500" w:lineRule="exact"/>
        <w:rPr>
          <w:rFonts w:hint="eastAsia" w:ascii="黑体" w:hAnsi="黑体" w:eastAsia="黑体" w:cs="黑体"/>
          <w:sz w:val="36"/>
          <w:szCs w:val="36"/>
          <w:highlight w:val="none"/>
        </w:rPr>
      </w:pPr>
      <w:r>
        <w:rPr>
          <w:rFonts w:hint="eastAsia" w:ascii="黑体" w:hAnsi="黑体" w:eastAsia="黑体" w:cs="黑体"/>
          <w:sz w:val="36"/>
          <w:szCs w:val="36"/>
          <w:highlight w:val="none"/>
        </w:rPr>
      </w:r>
      <w:r/>
    </w:p>
    <w:p>
      <w:pPr>
        <w:rPr>
          <w:rFonts w:hint="eastAsia" w:ascii="黑体" w:hAnsi="黑体" w:eastAsia="黑体" w:cs="黑体"/>
          <w:sz w:val="36"/>
          <w:szCs w:val="36"/>
          <w:highlight w:val="none"/>
        </w:rPr>
      </w:pPr>
      <w:r>
        <w:rPr>
          <w:rFonts w:hint="eastAsia" w:ascii="黑体" w:hAnsi="黑体" w:eastAsia="黑体" w:cs="黑体"/>
          <w:sz w:val="36"/>
          <w:szCs w:val="36"/>
          <w:highlight w:val="none"/>
        </w:rPr>
      </w:r>
      <w:r/>
    </w:p>
    <w:p>
      <w:pPr>
        <w:jc w:val="left"/>
        <w:keepLines/>
        <w:keepNext/>
        <w:spacing w:before="360" w:after="200" w:line="360" w:lineRule="auto"/>
        <w:rPr>
          <w:rFonts w:hint="eastAsia" w:ascii="Arial" w:hAnsi="Arial" w:eastAsia="宋体" w:cs="Arial"/>
          <w:b/>
          <w:iCs/>
          <w:sz w:val="36"/>
        </w:rPr>
        <w:outlineLvl w:val="1"/>
      </w:pPr>
      <w:r>
        <w:rPr>
          <w:rFonts w:hint="eastAsia" w:ascii="Arial" w:hAnsi="Arial" w:eastAsia="宋体" w:cs="Arial"/>
          <w:b/>
          <w:iCs/>
          <w:sz w:val="36"/>
        </w:rPr>
        <w:t xml:space="preserve">二十、分包承诺函</w:t>
      </w:r>
      <w:r/>
    </w:p>
    <w:p>
      <w:pPr>
        <w:ind w:firstLine="720"/>
        <w:jc w:val="center"/>
        <w:spacing w:line="500" w:lineRule="exact"/>
        <w:rPr>
          <w:rFonts w:hint="eastAsia" w:ascii="宋体" w:hAnsi="宋体" w:cs="宋体"/>
          <w:sz w:val="24"/>
          <w:szCs w:val="24"/>
          <w:highlight w:val="none"/>
        </w:rPr>
      </w:pPr>
      <w:r>
        <w:rPr>
          <w:rFonts w:hint="eastAsia" w:ascii="黑体" w:hAnsi="黑体" w:eastAsia="黑体" w:cs="黑体"/>
          <w:sz w:val="36"/>
          <w:szCs w:val="36"/>
          <w:highlight w:val="none"/>
        </w:rPr>
        <w:t xml:space="preserve">分包承诺函</w:t>
      </w:r>
      <w:r/>
    </w:p>
    <w:p>
      <w:pPr>
        <w:spacing w:line="500" w:lineRule="exact"/>
        <w:rPr>
          <w:rFonts w:ascii="宋体" w:hAnsi="宋体" w:cs="宋体"/>
          <w:sz w:val="24"/>
          <w:szCs w:val="24"/>
          <w:highlight w:val="none"/>
        </w:rPr>
      </w:pPr>
      <w:r>
        <w:rPr>
          <w:rFonts w:ascii="宋体" w:hAnsi="宋体" w:cs="宋体"/>
          <w:sz w:val="24"/>
          <w:szCs w:val="24"/>
          <w:highlight w:val="none"/>
        </w:rPr>
        <w:t xml:space="preserve">致：【</w:t>
      </w:r>
      <w:r>
        <w:rPr>
          <w:rFonts w:hint="eastAsia" w:ascii="宋体" w:hAnsi="宋体" w:cs="宋体"/>
          <w:sz w:val="24"/>
          <w:szCs w:val="24"/>
          <w:highlight w:val="none"/>
        </w:rPr>
        <w:t xml:space="preserve">连云港市中医院</w:t>
      </w:r>
      <w:r>
        <w:rPr>
          <w:rFonts w:ascii="宋体" w:hAnsi="宋体" w:cs="宋体"/>
          <w:sz w:val="24"/>
          <w:szCs w:val="24"/>
          <w:highlight w:val="none"/>
        </w:rPr>
        <w:t xml:space="preserve">】</w:t>
      </w:r>
      <w:r/>
    </w:p>
    <w:p>
      <w:pPr>
        <w:ind w:firstLine="480"/>
        <w:spacing w:line="500" w:lineRule="exact"/>
        <w:rPr>
          <w:rFonts w:ascii="宋体" w:hAnsi="宋体" w:cs="宋体"/>
          <w:sz w:val="24"/>
          <w:szCs w:val="24"/>
          <w:highlight w:val="none"/>
        </w:rPr>
      </w:pPr>
      <w:r>
        <w:rPr>
          <w:rFonts w:ascii="宋体" w:hAnsi="宋体" w:cs="宋体"/>
          <w:sz w:val="24"/>
          <w:szCs w:val="24"/>
          <w:highlight w:val="none"/>
        </w:rPr>
        <w:t xml:space="preserve">我单位拟在中标后将</w:t>
      </w:r>
      <w:r>
        <w:rPr>
          <w:rFonts w:hint="eastAsia" w:asciiTheme="minorEastAsia" w:hAnsiTheme="minorEastAsia"/>
          <w:b/>
          <w:bCs/>
          <w:sz w:val="24"/>
          <w:szCs w:val="24"/>
          <w:lang w:val="en-US" w:eastAsia="zh-CN"/>
        </w:rPr>
        <w:t xml:space="preserve">中医经络检测仪、输液监控仪的采购</w:t>
      </w:r>
      <w:r>
        <w:rPr>
          <w:rFonts w:ascii="宋体" w:hAnsi="宋体" w:cs="宋体"/>
          <w:sz w:val="24"/>
          <w:szCs w:val="24"/>
          <w:highlight w:val="none"/>
        </w:rPr>
        <w:t xml:space="preserve">予以分包</w:t>
      </w:r>
      <w:r>
        <w:rPr>
          <w:rFonts w:hint="eastAsia" w:ascii="宋体" w:hAnsi="宋体" w:cs="宋体"/>
          <w:sz w:val="24"/>
          <w:szCs w:val="24"/>
          <w:highlight w:val="none"/>
          <w:lang w:eastAsia="zh-CN"/>
        </w:rPr>
        <w:t xml:space="preserve">，分包</w:t>
      </w:r>
      <w:r>
        <w:rPr>
          <w:rFonts w:hint="eastAsia" w:ascii="宋体" w:hAnsi="宋体" w:cs="宋体"/>
          <w:sz w:val="24"/>
          <w:szCs w:val="24"/>
          <w:highlight w:val="none"/>
          <w:lang w:val="en-US" w:eastAsia="zh-CN"/>
        </w:rPr>
        <w:t xml:space="preserve">商</w:t>
      </w:r>
      <w:r>
        <w:rPr>
          <w:rFonts w:hint="eastAsia" w:ascii="宋体" w:hAnsi="宋体" w:cs="宋体"/>
          <w:sz w:val="24"/>
          <w:szCs w:val="24"/>
          <w:highlight w:val="none"/>
          <w:lang w:eastAsia="zh-CN"/>
        </w:rPr>
        <w:t xml:space="preserve">的合同份额占到合同总金额</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yellow"/>
          <w:u w:val="single"/>
          <w:lang w:val="en-US" w:eastAsia="zh-CN"/>
        </w:rPr>
        <w:t xml:space="preserve">     </w:t>
      </w:r>
      <w:r>
        <w:rPr>
          <w:rFonts w:hint="eastAsia" w:ascii="宋体" w:hAnsi="宋体" w:cs="宋体"/>
          <w:sz w:val="24"/>
          <w:szCs w:val="24"/>
          <w:highlight w:val="none"/>
          <w:lang w:eastAsia="zh-CN"/>
        </w:rPr>
        <w:t xml:space="preserve">%</w:t>
      </w:r>
      <w:r>
        <w:rPr>
          <w:rFonts w:ascii="宋体" w:hAnsi="宋体" w:cs="宋体"/>
          <w:sz w:val="24"/>
          <w:szCs w:val="24"/>
          <w:highlight w:val="none"/>
        </w:rPr>
        <w:t xml:space="preserve">。我公司郑重承诺：</w:t>
      </w:r>
      <w:r>
        <w:rPr>
          <w:rFonts w:ascii="宋体" w:hAnsi="宋体" w:cs="宋体"/>
          <w:b/>
          <w:bCs/>
          <w:sz w:val="24"/>
          <w:szCs w:val="24"/>
          <w:highlight w:val="none"/>
        </w:rPr>
        <w:t xml:space="preserve">分包承担主体应当具备相应资质条件，且不得再次分包</w:t>
      </w:r>
      <w:r>
        <w:rPr>
          <w:rFonts w:ascii="宋体" w:hAnsi="宋体" w:cs="宋体"/>
          <w:sz w:val="24"/>
          <w:szCs w:val="24"/>
          <w:highlight w:val="none"/>
        </w:rPr>
        <w:t xml:space="preserve">。</w:t>
      </w:r>
      <w:r/>
    </w:p>
    <w:p>
      <w:pPr>
        <w:ind w:firstLine="480"/>
        <w:spacing w:line="500" w:lineRule="exact"/>
        <w:rPr>
          <w:rFonts w:ascii="宋体" w:hAnsi="宋体" w:cs="宋体"/>
          <w:sz w:val="24"/>
          <w:szCs w:val="24"/>
          <w:highlight w:val="none"/>
        </w:rPr>
      </w:pPr>
      <w:r>
        <w:rPr>
          <w:rFonts w:ascii="宋体" w:hAnsi="宋体" w:cs="宋体"/>
          <w:sz w:val="24"/>
          <w:szCs w:val="24"/>
          <w:highlight w:val="none"/>
        </w:rPr>
        <w:t xml:space="preserve">如未能履行上述事项，采购人有权按违约处理。</w:t>
      </w:r>
      <w:r/>
    </w:p>
    <w:p>
      <w:pPr>
        <w:ind w:firstLine="480"/>
        <w:spacing w:line="500" w:lineRule="exact"/>
        <w:rPr>
          <w:rFonts w:hint="eastAsia" w:ascii="宋体" w:hAnsi="宋体"/>
          <w:bCs/>
          <w:color w:val="000000"/>
          <w:sz w:val="24"/>
          <w:szCs w:val="21"/>
          <w:highlight w:val="none"/>
        </w:rPr>
      </w:pPr>
      <w:r>
        <w:rPr>
          <w:rFonts w:ascii="宋体" w:hAnsi="宋体" w:cs="宋体"/>
          <w:sz w:val="24"/>
          <w:szCs w:val="24"/>
          <w:highlight w:val="none"/>
        </w:rPr>
        <w:t xml:space="preserve">特此承诺。</w:t>
      </w:r>
      <w:r/>
    </w:p>
    <w:p>
      <w:pPr>
        <w:rPr>
          <w14:ligatures w14:val="none"/>
        </w:rPr>
      </w:pPr>
      <w:r>
        <w:rPr>
          <w14:ligatures w14:val="none"/>
        </w:rPr>
      </w:r>
      <w:r/>
    </w:p>
    <w:p>
      <w:pPr>
        <w:rPr>
          <w14:ligatures w14:val="none"/>
        </w:rPr>
      </w:pPr>
      <w:r>
        <w:rPr>
          <w14:ligatures w14:val="none"/>
        </w:rPr>
      </w:r>
      <w:r/>
    </w:p>
    <w:p>
      <w:pPr>
        <w:rPr>
          <w14:ligatures w14:val="none"/>
        </w:rPr>
      </w:pPr>
      <w:r>
        <w:rPr>
          <w14:ligatures w14:val="none"/>
        </w:rPr>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法定代表人（单位负责人）或委托代理人（签字或盖章）：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r/>
      <w:r/>
    </w:p>
    <w:p>
      <w:r/>
      <w:r/>
    </w:p>
    <w:p>
      <w:r/>
      <w:r/>
    </w:p>
    <w:p>
      <w:r/>
      <w:r/>
    </w:p>
    <w:p>
      <w:pPr>
        <w:jc w:val="left"/>
        <w:keepLines/>
        <w:keepNext/>
        <w:spacing w:before="360" w:after="200" w:line="360" w:lineRule="auto"/>
        <w:rPr>
          <w:rFonts w:hint="eastAsia" w:ascii="Arial" w:hAnsi="Arial" w:eastAsia="宋体" w:cs="Arial"/>
          <w:sz w:val="32"/>
          <w:highlight w:val="none"/>
        </w:rPr>
        <w:outlineLvl w:val="1"/>
      </w:pPr>
      <w:r>
        <w:rPr>
          <w:rFonts w:hint="eastAsia" w:ascii="Arial" w:hAnsi="Arial" w:eastAsia="宋体" w:cs="Arial"/>
          <w:sz w:val="32"/>
          <w:highlight w:val="none"/>
          <w:lang w:val="en-US" w:eastAsia="zh-CN"/>
        </w:rPr>
        <w:t xml:space="preserve">二十一、</w:t>
      </w:r>
      <w:r>
        <w:rPr>
          <w:rFonts w:hint="eastAsia" w:ascii="Arial" w:hAnsi="Arial" w:eastAsia="宋体" w:cs="Arial"/>
          <w:sz w:val="32"/>
          <w:highlight w:val="none"/>
        </w:rPr>
        <w:t xml:space="preserve">关于符合本国产品标准的声明函（</w:t>
      </w:r>
      <w:r>
        <w:rPr>
          <w:rFonts w:hint="eastAsia" w:ascii="Arial" w:hAnsi="Arial" w:eastAsia="宋体" w:cs="Arial"/>
          <w:sz w:val="32"/>
          <w:highlight w:val="none"/>
          <w:lang w:val="en-US" w:eastAsia="zh-CN"/>
        </w:rPr>
        <w:t xml:space="preserve">分</w:t>
      </w:r>
      <w:r>
        <w:rPr>
          <w:rFonts w:hint="eastAsia" w:ascii="Arial" w:hAnsi="Arial" w:eastAsia="宋体" w:cs="Arial"/>
          <w:sz w:val="32"/>
          <w:highlight w:val="none"/>
        </w:rPr>
        <w:t xml:space="preserve">包号：**）</w:t>
      </w:r>
      <w:r/>
    </w:p>
    <w:p>
      <w:pPr>
        <w:pStyle w:val="100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1009"/>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1012"/>
          <w:rFonts w:hint="eastAsia" w:ascii="宋体" w:hAnsi="宋体" w:eastAsia="宋体" w:cs="宋体"/>
          <w:i w:val="0"/>
          <w:color w:val="auto"/>
          <w:sz w:val="24"/>
          <w:szCs w:val="24"/>
          <w:highlight w:val="none"/>
          <w:u w:val="single"/>
          <w:shd w:val="clear" w:color="auto" w:fill="ffffff"/>
        </w:rPr>
        <w:t xml:space="preserve">（产品名称1）</w:t>
      </w:r>
      <w:r>
        <w:rPr>
          <w:rStyle w:val="1012"/>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1012"/>
          <w:rFonts w:hint="eastAsia" w:ascii="宋体" w:hAnsi="宋体" w:eastAsia="宋体" w:cs="宋体"/>
          <w:i w:val="0"/>
          <w:color w:val="auto"/>
          <w:sz w:val="24"/>
          <w:szCs w:val="24"/>
          <w:highlight w:val="none"/>
          <w:u w:val="single"/>
          <w:shd w:val="clear" w:color="auto" w:fill="ffffff"/>
        </w:rPr>
        <w:t xml:space="preserve">（厂名）</w:t>
      </w:r>
      <w:r>
        <w:rPr>
          <w:rStyle w:val="1012"/>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101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1012"/>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1012"/>
          <w:rFonts w:hint="eastAsia" w:ascii="宋体" w:hAnsi="宋体" w:eastAsia="宋体" w:cs="宋体"/>
          <w:i w:val="0"/>
          <w:color w:val="auto"/>
          <w:sz w:val="24"/>
          <w:szCs w:val="24"/>
          <w:highlight w:val="none"/>
          <w:u w:val="single"/>
          <w:shd w:val="clear" w:color="auto" w:fill="ffffff"/>
        </w:rPr>
        <w:t xml:space="preserve">（规定比例）</w:t>
      </w:r>
      <w:r>
        <w:rPr>
          <w:rStyle w:val="1012"/>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101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1012"/>
          <w:rFonts w:hint="eastAsia" w:ascii="宋体" w:hAnsi="宋体" w:eastAsia="宋体" w:cs="宋体"/>
          <w:i w:val="0"/>
          <w:color w:val="auto"/>
          <w:sz w:val="24"/>
          <w:szCs w:val="24"/>
          <w:highlight w:val="none"/>
          <w:u w:val="single"/>
          <w:shd w:val="clear" w:color="auto" w:fill="ffffff"/>
        </w:rPr>
        <w:t xml:space="preserve">（关键组件）</w:t>
      </w:r>
      <w:r>
        <w:rPr>
          <w:rStyle w:val="1012"/>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101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1012"/>
          <w:rFonts w:hint="eastAsia" w:ascii="宋体" w:hAnsi="宋体" w:eastAsia="宋体" w:cs="宋体"/>
          <w:i w:val="0"/>
          <w:color w:val="auto"/>
          <w:sz w:val="24"/>
          <w:szCs w:val="24"/>
          <w:highlight w:val="none"/>
          <w:u w:val="single"/>
          <w:shd w:val="clear" w:color="auto" w:fill="ffffff"/>
        </w:rPr>
        <w:t xml:space="preserve">（关键工序）</w:t>
      </w:r>
      <w:r>
        <w:rPr>
          <w:rStyle w:val="1012"/>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0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101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1012"/>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101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101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1012"/>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101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1012"/>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1012"/>
          <w:rFonts w:hint="eastAsia" w:ascii="宋体" w:hAnsi="宋体" w:eastAsia="宋体" w:cs="宋体"/>
          <w:i w:val="0"/>
          <w:color w:val="auto"/>
          <w:sz w:val="24"/>
          <w:szCs w:val="24"/>
          <w:highlight w:val="none"/>
          <w:u w:val="single"/>
          <w:shd w:val="clear" w:color="auto" w:fill="ffffff"/>
        </w:rPr>
        <w:t xml:space="preserve">（产品名称</w:t>
      </w:r>
      <w:r>
        <w:rPr>
          <w:rStyle w:val="1012"/>
          <w:rFonts w:hint="eastAsia" w:ascii="宋体" w:hAnsi="宋体" w:eastAsia="宋体" w:cs="宋体"/>
          <w:i w:val="0"/>
          <w:color w:val="auto"/>
          <w:sz w:val="24"/>
          <w:szCs w:val="24"/>
          <w:highlight w:val="none"/>
          <w:u w:val="single"/>
          <w:shd w:val="clear" w:color="auto" w:fill="ffffff"/>
          <w:lang w:val="en-US" w:eastAsia="zh-CN"/>
        </w:rPr>
        <w:t xml:space="preserve">2</w:t>
      </w:r>
      <w:r>
        <w:rPr>
          <w:rStyle w:val="1012"/>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1012"/>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100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1009"/>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0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9"/>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1009"/>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100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0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0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0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09"/>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供应商提供虚假《声明函》、虚假证明文件谋取中标的，依照《中华人民共和国政府采购法》等法律法规规定追究相应责任。</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shd w:val="clear" w:color="auto" w:fill="ffffff"/>
        </w:rPr>
        <w:t xml:space="preserve">中标人的《声明函》或有关证明文件随中标结果公开，接受社会监督。</w:t>
      </w:r>
      <w:r/>
    </w:p>
    <w:p>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w:t>
      </w:r>
      <w:r>
        <w:rPr>
          <w:rFonts w:hint="eastAsia" w:ascii="黑体" w:hAnsi="黑体" w:eastAsia="黑体" w:cs="仿宋"/>
          <w:bCs/>
          <w:color w:val="000000"/>
          <w:sz w:val="24"/>
          <w:szCs w:val="24"/>
          <w:lang w:eastAsia="zh-CN"/>
        </w:rPr>
        <w:t xml:space="preserve">投标人</w:t>
      </w:r>
      <w:r>
        <w:rPr>
          <w:rFonts w:hint="eastAsia" w:ascii="黑体" w:hAnsi="黑体" w:eastAsia="黑体" w:cs="仿宋"/>
          <w:bCs/>
          <w:color w:val="000000"/>
          <w:sz w:val="24"/>
          <w:szCs w:val="24"/>
        </w:rPr>
        <w:t xml:space="preserve">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ascii="宋体" w:hAnsi="宋体" w:eastAsia="宋体" w:cs="仿宋"/>
          <w:color w:val="000000"/>
          <w:sz w:val="24"/>
          <w:szCs w:val="24"/>
          <w:lang w:eastAsia="zh-CN"/>
        </w:rPr>
        <w:t xml:space="preserve">投标人</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签署的授权委托书。授权委托书应载明代理人的姓名或者名称、代理事项、具体权限、期限和相关事项。</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为自然人的，应当由本人签字；</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为自然人的，质疑函应附自然人身份证明复印件并由本人签字；质疑</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1003"/>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方正仿宋_GBK">
    <w:panose1 w:val="020B0503020202020204"/>
  </w:font>
  <w:font w:name="Cambria">
    <w:panose1 w:val="02040503050406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1006"/>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2"/>
  </w:num>
  <w:num w:numId="2">
    <w:abstractNumId w:val="59"/>
  </w:num>
  <w:num w:numId="3">
    <w:abstractNumId w:val="42"/>
  </w:num>
  <w:num w:numId="4">
    <w:abstractNumId w:val="29"/>
  </w:num>
  <w:num w:numId="5">
    <w:abstractNumId w:val="12"/>
  </w:num>
  <w:num w:numId="6">
    <w:abstractNumId w:val="1"/>
  </w:num>
  <w:num w:numId="7">
    <w:abstractNumId w:val="31"/>
  </w:num>
  <w:num w:numId="8">
    <w:abstractNumId w:val="48"/>
  </w:num>
  <w:num w:numId="9">
    <w:abstractNumId w:val="15"/>
  </w:num>
  <w:num w:numId="10">
    <w:abstractNumId w:val="23"/>
  </w:num>
  <w:num w:numId="11">
    <w:abstractNumId w:val="71"/>
  </w:num>
  <w:num w:numId="12">
    <w:abstractNumId w:val="27"/>
  </w:num>
  <w:num w:numId="13">
    <w:abstractNumId w:val="66"/>
  </w:num>
  <w:num w:numId="14">
    <w:abstractNumId w:val="16"/>
  </w:num>
  <w:num w:numId="15">
    <w:abstractNumId w:val="51"/>
  </w:num>
  <w:num w:numId="16">
    <w:abstractNumId w:val="2"/>
  </w:num>
  <w:num w:numId="17">
    <w:abstractNumId w:val="43"/>
  </w:num>
  <w:num w:numId="18">
    <w:abstractNumId w:val="49"/>
  </w:num>
  <w:num w:numId="19">
    <w:abstractNumId w:val="65"/>
  </w:num>
  <w:num w:numId="20">
    <w:abstractNumId w:val="58"/>
  </w:num>
  <w:num w:numId="21">
    <w:abstractNumId w:val="9"/>
  </w:num>
  <w:num w:numId="22">
    <w:abstractNumId w:val="70"/>
  </w:num>
  <w:num w:numId="23">
    <w:abstractNumId w:val="22"/>
  </w:num>
  <w:num w:numId="24">
    <w:abstractNumId w:val="5"/>
  </w:num>
  <w:num w:numId="25">
    <w:abstractNumId w:val="24"/>
  </w:num>
  <w:num w:numId="26">
    <w:abstractNumId w:val="52"/>
  </w:num>
  <w:num w:numId="27">
    <w:abstractNumId w:val="47"/>
  </w:num>
  <w:num w:numId="28">
    <w:abstractNumId w:val="20"/>
  </w:num>
  <w:num w:numId="29">
    <w:abstractNumId w:val="41"/>
  </w:num>
  <w:num w:numId="30">
    <w:abstractNumId w:val="25"/>
  </w:num>
  <w:num w:numId="31">
    <w:abstractNumId w:val="13"/>
  </w:num>
  <w:num w:numId="32">
    <w:abstractNumId w:val="74"/>
  </w:num>
  <w:num w:numId="33">
    <w:abstractNumId w:val="75"/>
  </w:num>
  <w:num w:numId="34">
    <w:abstractNumId w:val="68"/>
  </w:num>
  <w:num w:numId="35">
    <w:abstractNumId w:val="8"/>
  </w:num>
  <w:num w:numId="36">
    <w:abstractNumId w:val="53"/>
  </w:num>
  <w:num w:numId="37">
    <w:abstractNumId w:val="72"/>
  </w:num>
  <w:num w:numId="38">
    <w:abstractNumId w:val="56"/>
  </w:num>
  <w:num w:numId="39">
    <w:abstractNumId w:val="18"/>
  </w:num>
  <w:num w:numId="40">
    <w:abstractNumId w:val="62"/>
  </w:num>
  <w:num w:numId="41">
    <w:abstractNumId w:val="35"/>
  </w:num>
  <w:num w:numId="42">
    <w:abstractNumId w:val="50"/>
  </w:num>
  <w:num w:numId="43">
    <w:abstractNumId w:val="26"/>
  </w:num>
  <w:num w:numId="44">
    <w:abstractNumId w:val="44"/>
  </w:num>
  <w:num w:numId="45">
    <w:abstractNumId w:val="7"/>
  </w:num>
  <w:num w:numId="46">
    <w:abstractNumId w:val="57"/>
  </w:num>
  <w:num w:numId="47">
    <w:abstractNumId w:val="19"/>
  </w:num>
  <w:num w:numId="48">
    <w:abstractNumId w:val="40"/>
  </w:num>
  <w:num w:numId="49">
    <w:abstractNumId w:val="67"/>
  </w:num>
  <w:num w:numId="50">
    <w:abstractNumId w:val="28"/>
  </w:num>
  <w:num w:numId="51">
    <w:abstractNumId w:val="4"/>
  </w:num>
  <w:num w:numId="52">
    <w:abstractNumId w:val="45"/>
  </w:num>
  <w:num w:numId="53">
    <w:abstractNumId w:val="39"/>
  </w:num>
  <w:num w:numId="54">
    <w:abstractNumId w:val="60"/>
  </w:num>
  <w:num w:numId="55">
    <w:abstractNumId w:val="38"/>
  </w:num>
  <w:num w:numId="56">
    <w:abstractNumId w:val="64"/>
  </w:num>
  <w:num w:numId="57">
    <w:abstractNumId w:val="0"/>
  </w:num>
  <w:num w:numId="58">
    <w:abstractNumId w:val="3"/>
  </w:num>
  <w:num w:numId="59">
    <w:abstractNumId w:val="73"/>
  </w:num>
  <w:num w:numId="60">
    <w:abstractNumId w:val="30"/>
  </w:num>
  <w:num w:numId="61">
    <w:abstractNumId w:val="54"/>
  </w:num>
  <w:num w:numId="62">
    <w:abstractNumId w:val="55"/>
  </w:num>
  <w:num w:numId="63">
    <w:abstractNumId w:val="11"/>
  </w:num>
  <w:num w:numId="64">
    <w:abstractNumId w:val="36"/>
  </w:num>
  <w:num w:numId="65">
    <w:abstractNumId w:val="46"/>
  </w:num>
  <w:num w:numId="66">
    <w:abstractNumId w:val="10"/>
  </w:num>
  <w:num w:numId="67">
    <w:abstractNumId w:val="63"/>
  </w:num>
  <w:num w:numId="68">
    <w:abstractNumId w:val="17"/>
  </w:num>
  <w:num w:numId="69">
    <w:abstractNumId w:val="34"/>
  </w:num>
  <w:num w:numId="70">
    <w:abstractNumId w:val="6"/>
  </w:num>
  <w:num w:numId="71">
    <w:abstractNumId w:val="69"/>
  </w:num>
  <w:num w:numId="72">
    <w:abstractNumId w:val="61"/>
  </w:num>
  <w:num w:numId="73">
    <w:abstractNumId w:val="14"/>
  </w:num>
  <w:num w:numId="74">
    <w:abstractNumId w:val="37"/>
  </w:num>
  <w:num w:numId="75">
    <w:abstractNumId w:val="21"/>
  </w:num>
  <w:num w:numId="7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98"/>
    <w:link w:val="995"/>
    <w:uiPriority w:val="9"/>
    <w:rPr>
      <w:rFonts w:ascii="Arial" w:hAnsi="Arial" w:eastAsia="Arial" w:cs="Arial"/>
      <w:sz w:val="40"/>
      <w:szCs w:val="40"/>
    </w:rPr>
  </w:style>
  <w:style w:type="character" w:styleId="825">
    <w:name w:val="Heading 2 Char"/>
    <w:basedOn w:val="998"/>
    <w:link w:val="996"/>
    <w:uiPriority w:val="9"/>
    <w:rPr>
      <w:rFonts w:ascii="Arial" w:hAnsi="Arial" w:eastAsia="Arial" w:cs="Arial"/>
      <w:sz w:val="34"/>
    </w:rPr>
  </w:style>
  <w:style w:type="character" w:styleId="826">
    <w:name w:val="Heading 3 Char"/>
    <w:basedOn w:val="998"/>
    <w:link w:val="997"/>
    <w:uiPriority w:val="9"/>
    <w:rPr>
      <w:rFonts w:ascii="Arial" w:hAnsi="Arial" w:eastAsia="Arial" w:cs="Arial"/>
      <w:sz w:val="30"/>
      <w:szCs w:val="30"/>
    </w:rPr>
  </w:style>
  <w:style w:type="paragraph" w:styleId="827">
    <w:name w:val="Heading 4"/>
    <w:basedOn w:val="994"/>
    <w:next w:val="994"/>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basedOn w:val="998"/>
    <w:link w:val="827"/>
    <w:uiPriority w:val="9"/>
    <w:rPr>
      <w:rFonts w:ascii="Arial" w:hAnsi="Arial" w:eastAsia="Arial" w:cs="Arial"/>
      <w:b/>
      <w:bCs/>
      <w:sz w:val="26"/>
      <w:szCs w:val="26"/>
    </w:rPr>
  </w:style>
  <w:style w:type="paragraph" w:styleId="829">
    <w:name w:val="Heading 5"/>
    <w:basedOn w:val="994"/>
    <w:next w:val="994"/>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basedOn w:val="998"/>
    <w:link w:val="829"/>
    <w:uiPriority w:val="9"/>
    <w:rPr>
      <w:rFonts w:ascii="Arial" w:hAnsi="Arial" w:eastAsia="Arial" w:cs="Arial"/>
      <w:b/>
      <w:bCs/>
      <w:sz w:val="24"/>
      <w:szCs w:val="24"/>
    </w:rPr>
  </w:style>
  <w:style w:type="paragraph" w:styleId="831">
    <w:name w:val="Heading 6"/>
    <w:basedOn w:val="994"/>
    <w:next w:val="994"/>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basedOn w:val="998"/>
    <w:link w:val="831"/>
    <w:uiPriority w:val="9"/>
    <w:rPr>
      <w:rFonts w:ascii="Arial" w:hAnsi="Arial" w:eastAsia="Arial" w:cs="Arial"/>
      <w:b/>
      <w:bCs/>
      <w:sz w:val="22"/>
      <w:szCs w:val="22"/>
    </w:rPr>
  </w:style>
  <w:style w:type="paragraph" w:styleId="833">
    <w:name w:val="Heading 7"/>
    <w:basedOn w:val="994"/>
    <w:next w:val="994"/>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basedOn w:val="998"/>
    <w:link w:val="833"/>
    <w:uiPriority w:val="9"/>
    <w:rPr>
      <w:rFonts w:ascii="Arial" w:hAnsi="Arial" w:eastAsia="Arial" w:cs="Arial"/>
      <w:b/>
      <w:bCs/>
      <w:i/>
      <w:iCs/>
      <w:sz w:val="22"/>
      <w:szCs w:val="22"/>
    </w:rPr>
  </w:style>
  <w:style w:type="paragraph" w:styleId="835">
    <w:name w:val="Heading 8"/>
    <w:basedOn w:val="994"/>
    <w:next w:val="994"/>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basedOn w:val="998"/>
    <w:link w:val="835"/>
    <w:uiPriority w:val="9"/>
    <w:rPr>
      <w:rFonts w:ascii="Arial" w:hAnsi="Arial" w:eastAsia="Arial" w:cs="Arial"/>
      <w:i/>
      <w:iCs/>
      <w:sz w:val="22"/>
      <w:szCs w:val="22"/>
    </w:rPr>
  </w:style>
  <w:style w:type="paragraph" w:styleId="837">
    <w:name w:val="Heading 9"/>
    <w:basedOn w:val="994"/>
    <w:next w:val="994"/>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basedOn w:val="998"/>
    <w:link w:val="837"/>
    <w:uiPriority w:val="9"/>
    <w:rPr>
      <w:rFonts w:ascii="Arial" w:hAnsi="Arial" w:eastAsia="Arial" w:cs="Arial"/>
      <w:i/>
      <w:iCs/>
      <w:sz w:val="21"/>
      <w:szCs w:val="21"/>
    </w:rPr>
  </w:style>
  <w:style w:type="paragraph" w:styleId="839">
    <w:name w:val="List Paragraph"/>
    <w:basedOn w:val="994"/>
    <w:uiPriority w:val="34"/>
    <w:qFormat/>
    <w:pPr>
      <w:contextualSpacing/>
      <w:ind w:left="720"/>
    </w:pPr>
  </w:style>
  <w:style w:type="paragraph" w:styleId="840">
    <w:name w:val="No Spacing"/>
    <w:uiPriority w:val="1"/>
    <w:qFormat/>
    <w:pPr>
      <w:spacing w:before="0" w:after="0" w:line="240" w:lineRule="auto"/>
    </w:pPr>
  </w:style>
  <w:style w:type="paragraph" w:styleId="841">
    <w:name w:val="Title"/>
    <w:basedOn w:val="994"/>
    <w:next w:val="994"/>
    <w:link w:val="842"/>
    <w:uiPriority w:val="10"/>
    <w:qFormat/>
    <w:pPr>
      <w:contextualSpacing/>
      <w:spacing w:before="300" w:after="200"/>
    </w:pPr>
    <w:rPr>
      <w:sz w:val="48"/>
      <w:szCs w:val="48"/>
    </w:rPr>
  </w:style>
  <w:style w:type="character" w:styleId="842">
    <w:name w:val="Title Char"/>
    <w:basedOn w:val="998"/>
    <w:link w:val="841"/>
    <w:uiPriority w:val="10"/>
    <w:rPr>
      <w:sz w:val="48"/>
      <w:szCs w:val="48"/>
    </w:rPr>
  </w:style>
  <w:style w:type="paragraph" w:styleId="843">
    <w:name w:val="Subtitle"/>
    <w:basedOn w:val="994"/>
    <w:next w:val="994"/>
    <w:link w:val="844"/>
    <w:uiPriority w:val="11"/>
    <w:qFormat/>
    <w:pPr>
      <w:spacing w:before="200" w:after="200"/>
    </w:pPr>
    <w:rPr>
      <w:sz w:val="24"/>
      <w:szCs w:val="24"/>
    </w:rPr>
  </w:style>
  <w:style w:type="character" w:styleId="844">
    <w:name w:val="Subtitle Char"/>
    <w:basedOn w:val="998"/>
    <w:link w:val="843"/>
    <w:uiPriority w:val="11"/>
    <w:rPr>
      <w:sz w:val="24"/>
      <w:szCs w:val="24"/>
    </w:rPr>
  </w:style>
  <w:style w:type="paragraph" w:styleId="845">
    <w:name w:val="Quote"/>
    <w:basedOn w:val="994"/>
    <w:next w:val="994"/>
    <w:link w:val="846"/>
    <w:uiPriority w:val="29"/>
    <w:qFormat/>
    <w:pPr>
      <w:ind w:left="720" w:right="720"/>
    </w:pPr>
    <w:rPr>
      <w:i/>
    </w:rPr>
  </w:style>
  <w:style w:type="character" w:styleId="846">
    <w:name w:val="Quote Char"/>
    <w:link w:val="845"/>
    <w:uiPriority w:val="29"/>
    <w:rPr>
      <w:i/>
    </w:rPr>
  </w:style>
  <w:style w:type="paragraph" w:styleId="847">
    <w:name w:val="Intense Quote"/>
    <w:basedOn w:val="994"/>
    <w:next w:val="994"/>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8"/>
    <w:link w:val="1007"/>
    <w:uiPriority w:val="99"/>
  </w:style>
  <w:style w:type="character" w:styleId="850">
    <w:name w:val="Footer Char"/>
    <w:basedOn w:val="998"/>
    <w:link w:val="1006"/>
    <w:uiPriority w:val="99"/>
  </w:style>
  <w:style w:type="paragraph" w:styleId="851">
    <w:name w:val="Caption"/>
    <w:basedOn w:val="994"/>
    <w:next w:val="994"/>
    <w:uiPriority w:val="35"/>
    <w:semiHidden/>
    <w:unhideWhenUsed/>
    <w:qFormat/>
    <w:pPr>
      <w:spacing w:line="276" w:lineRule="auto"/>
    </w:pPr>
    <w:rPr>
      <w:b/>
      <w:bCs/>
      <w:color w:val="4f81bd" w:themeColor="accent1"/>
      <w:sz w:val="18"/>
      <w:szCs w:val="18"/>
    </w:rPr>
  </w:style>
  <w:style w:type="character" w:styleId="852">
    <w:name w:val="Caption Char"/>
    <w:basedOn w:val="851"/>
    <w:link w:val="1006"/>
    <w:uiPriority w:val="99"/>
  </w:style>
  <w:style w:type="table" w:styleId="853">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8">
    <w:name w:val="footnote text"/>
    <w:basedOn w:val="994"/>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basedOn w:val="998"/>
    <w:uiPriority w:val="99"/>
    <w:unhideWhenUsed/>
    <w:rPr>
      <w:vertAlign w:val="superscript"/>
    </w:rPr>
  </w:style>
  <w:style w:type="paragraph" w:styleId="981">
    <w:name w:val="endnote text"/>
    <w:basedOn w:val="994"/>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basedOn w:val="998"/>
    <w:uiPriority w:val="99"/>
    <w:semiHidden/>
    <w:unhideWhenUsed/>
    <w:rPr>
      <w:vertAlign w:val="superscript"/>
    </w:r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95">
    <w:name w:val="Heading 1"/>
    <w:basedOn w:val="994"/>
    <w:next w:val="994"/>
    <w:link w:val="1018"/>
    <w:uiPriority w:val="9"/>
    <w:qFormat/>
    <w:pPr>
      <w:keepLines/>
      <w:keepNext/>
      <w:spacing w:before="340" w:after="330" w:line="578" w:lineRule="auto"/>
      <w:outlineLvl w:val="0"/>
    </w:pPr>
    <w:rPr>
      <w:b/>
      <w:bCs/>
      <w:sz w:val="44"/>
      <w:szCs w:val="44"/>
    </w:rPr>
  </w:style>
  <w:style w:type="paragraph" w:styleId="996">
    <w:name w:val="Heading 2"/>
    <w:basedOn w:val="994"/>
    <w:next w:val="994"/>
    <w:link w:val="102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97">
    <w:name w:val="Heading 3"/>
    <w:basedOn w:val="994"/>
    <w:next w:val="994"/>
    <w:link w:val="1021"/>
    <w:uiPriority w:val="9"/>
    <w:unhideWhenUsed/>
    <w:qFormat/>
    <w:pPr>
      <w:keepLines/>
      <w:keepNext/>
      <w:spacing w:before="260" w:after="260" w:line="416" w:lineRule="auto"/>
      <w:outlineLvl w:val="2"/>
    </w:pPr>
    <w:rPr>
      <w:b/>
      <w:bCs/>
      <w:sz w:val="32"/>
      <w:szCs w:val="32"/>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Document Map"/>
    <w:basedOn w:val="994"/>
    <w:link w:val="1019"/>
    <w:uiPriority w:val="99"/>
    <w:semiHidden/>
    <w:unhideWhenUsed/>
    <w:qFormat/>
    <w:rPr>
      <w:rFonts w:ascii="宋体" w:eastAsia="宋体"/>
      <w:sz w:val="18"/>
      <w:szCs w:val="18"/>
    </w:rPr>
  </w:style>
  <w:style w:type="paragraph" w:styleId="1001">
    <w:name w:val="annotation text"/>
    <w:basedOn w:val="994"/>
    <w:link w:val="1023"/>
    <w:uiPriority w:val="0"/>
    <w:qFormat/>
    <w:pPr>
      <w:ind w:firstLine="922"/>
      <w:jc w:val="left"/>
      <w:spacing w:line="360" w:lineRule="auto"/>
    </w:pPr>
    <w:rPr>
      <w:rFonts w:ascii="Times New Roman" w:hAnsi="Times New Roman" w:eastAsia="宋体" w:cs="Times New Roman"/>
      <w:szCs w:val="24"/>
    </w:rPr>
  </w:style>
  <w:style w:type="paragraph" w:styleId="1002">
    <w:name w:val="index 4"/>
    <w:basedOn w:val="994"/>
    <w:next w:val="994"/>
    <w:uiPriority w:val="99"/>
    <w:unhideWhenUsed/>
    <w:qFormat/>
    <w:pPr>
      <w:ind w:left="600"/>
    </w:pPr>
  </w:style>
  <w:style w:type="paragraph" w:styleId="1003">
    <w:name w:val="Plain Text"/>
    <w:basedOn w:val="994"/>
    <w:link w:val="1027"/>
    <w:uiPriority w:val="0"/>
    <w:qFormat/>
    <w:rPr>
      <w:rFonts w:ascii="宋体" w:hAnsi="Courier New" w:eastAsia="宋体" w:cs="Times New Roman"/>
      <w:szCs w:val="20"/>
    </w:rPr>
  </w:style>
  <w:style w:type="paragraph" w:styleId="1004">
    <w:name w:val="Date"/>
    <w:basedOn w:val="994"/>
    <w:next w:val="994"/>
    <w:link w:val="1022"/>
    <w:uiPriority w:val="99"/>
    <w:semiHidden/>
    <w:unhideWhenUsed/>
    <w:qFormat/>
    <w:pPr>
      <w:ind w:left="100"/>
    </w:pPr>
  </w:style>
  <w:style w:type="paragraph" w:styleId="1005">
    <w:name w:val="Balloon Text"/>
    <w:basedOn w:val="994"/>
    <w:link w:val="1024"/>
    <w:uiPriority w:val="99"/>
    <w:semiHidden/>
    <w:unhideWhenUsed/>
    <w:qFormat/>
    <w:rPr>
      <w:sz w:val="18"/>
      <w:szCs w:val="18"/>
    </w:rPr>
  </w:style>
  <w:style w:type="paragraph" w:styleId="1006">
    <w:name w:val="Footer"/>
    <w:basedOn w:val="994"/>
    <w:link w:val="1017"/>
    <w:uiPriority w:val="99"/>
    <w:unhideWhenUsed/>
    <w:qFormat/>
    <w:pPr>
      <w:jc w:val="left"/>
      <w:tabs>
        <w:tab w:val="center" w:pos="4153" w:leader="none"/>
        <w:tab w:val="right" w:pos="8306" w:leader="none"/>
      </w:tabs>
    </w:pPr>
    <w:rPr>
      <w:sz w:val="18"/>
      <w:szCs w:val="18"/>
    </w:rPr>
  </w:style>
  <w:style w:type="paragraph" w:styleId="1007">
    <w:name w:val="Header"/>
    <w:basedOn w:val="994"/>
    <w:link w:val="101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1008">
    <w:name w:val="toc 1"/>
    <w:basedOn w:val="994"/>
    <w:next w:val="994"/>
    <w:uiPriority w:val="39"/>
    <w:unhideWhenUsed/>
    <w:qFormat/>
    <w:pPr>
      <w:jc w:val="center"/>
      <w:spacing w:line="360" w:lineRule="auto"/>
      <w:tabs>
        <w:tab w:val="right" w:pos="9628" w:leader="dot"/>
      </w:tabs>
    </w:pPr>
    <w:rPr>
      <w:sz w:val="32"/>
    </w:rPr>
  </w:style>
  <w:style w:type="paragraph" w:styleId="1009">
    <w:name w:val="Normal (Web)"/>
    <w:basedOn w:val="994"/>
    <w:uiPriority w:val="99"/>
    <w:unhideWhenUsed/>
    <w:qFormat/>
    <w:pPr>
      <w:ind w:left="0" w:right="0"/>
      <w:jc w:val="left"/>
      <w:spacing w:before="100" w:beforeAutospacing="1" w:after="100" w:afterAutospacing="1"/>
    </w:pPr>
    <w:rPr>
      <w:sz w:val="24"/>
      <w:lang w:val="en-US" w:eastAsia="zh-CN" w:bidi="ar"/>
    </w:rPr>
  </w:style>
  <w:style w:type="table" w:styleId="1010">
    <w:name w:val="Table Grid"/>
    <w:basedOn w:val="9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1">
    <w:name w:val="Strong"/>
    <w:basedOn w:val="998"/>
    <w:uiPriority w:val="22"/>
    <w:qFormat/>
    <w:rPr>
      <w:b/>
    </w:rPr>
  </w:style>
  <w:style w:type="character" w:styleId="1012">
    <w:name w:val="Emphasis"/>
    <w:uiPriority w:val="0"/>
    <w:qFormat/>
    <w:rPr>
      <w:i/>
    </w:rPr>
  </w:style>
  <w:style w:type="character" w:styleId="1013">
    <w:name w:val="Hyperlink"/>
    <w:uiPriority w:val="99"/>
    <w:qFormat/>
    <w:rPr>
      <w:color w:val="0000ff"/>
      <w:u w:val="none"/>
    </w:rPr>
  </w:style>
  <w:style w:type="character" w:styleId="1014">
    <w:name w:val="annotation reference"/>
    <w:uiPriority w:val="0"/>
    <w:qFormat/>
    <w:rPr>
      <w:sz w:val="21"/>
      <w:szCs w:val="21"/>
    </w:rPr>
  </w:style>
  <w:style w:type="paragraph" w:styleId="1015" w:customStyle="1">
    <w:name w:val="标题 21"/>
    <w:basedOn w:val="994"/>
    <w:next w:val="994"/>
    <w:uiPriority w:val="9"/>
    <w:qFormat/>
    <w:pPr>
      <w:keepLines/>
      <w:keepNext/>
      <w:spacing w:before="260" w:after="260" w:line="416" w:lineRule="auto"/>
      <w:outlineLvl w:val="1"/>
    </w:pPr>
    <w:rPr>
      <w:rFonts w:ascii="Cambria" w:hAnsi="Cambria"/>
      <w:b/>
      <w:bCs/>
      <w:sz w:val="32"/>
      <w:szCs w:val="32"/>
    </w:rPr>
  </w:style>
  <w:style w:type="character" w:styleId="1016" w:customStyle="1">
    <w:name w:val="页眉 Char"/>
    <w:basedOn w:val="998"/>
    <w:link w:val="1007"/>
    <w:uiPriority w:val="99"/>
    <w:semiHidden/>
    <w:qFormat/>
    <w:rPr>
      <w:sz w:val="18"/>
      <w:szCs w:val="18"/>
    </w:rPr>
  </w:style>
  <w:style w:type="character" w:styleId="1017" w:customStyle="1">
    <w:name w:val="页脚 Char"/>
    <w:basedOn w:val="998"/>
    <w:link w:val="1006"/>
    <w:uiPriority w:val="99"/>
    <w:qFormat/>
    <w:rPr>
      <w:sz w:val="18"/>
      <w:szCs w:val="18"/>
    </w:rPr>
  </w:style>
  <w:style w:type="character" w:styleId="1018" w:customStyle="1">
    <w:name w:val="标题 1 Char"/>
    <w:basedOn w:val="998"/>
    <w:link w:val="995"/>
    <w:uiPriority w:val="9"/>
    <w:qFormat/>
    <w:rPr>
      <w:b/>
      <w:bCs/>
      <w:sz w:val="44"/>
      <w:szCs w:val="44"/>
    </w:rPr>
  </w:style>
  <w:style w:type="character" w:styleId="1019" w:customStyle="1">
    <w:name w:val="文档结构图 Char"/>
    <w:basedOn w:val="998"/>
    <w:link w:val="1000"/>
    <w:uiPriority w:val="99"/>
    <w:semiHidden/>
    <w:qFormat/>
    <w:rPr>
      <w:rFonts w:ascii="宋体" w:eastAsia="宋体"/>
      <w:sz w:val="18"/>
      <w:szCs w:val="18"/>
    </w:rPr>
  </w:style>
  <w:style w:type="character" w:styleId="1020" w:customStyle="1">
    <w:name w:val="标题 2 Char"/>
    <w:basedOn w:val="998"/>
    <w:link w:val="996"/>
    <w:uiPriority w:val="9"/>
    <w:qFormat/>
    <w:rPr>
      <w:rFonts w:asciiTheme="majorHAnsi" w:hAnsiTheme="majorHAnsi" w:eastAsiaTheme="majorEastAsia" w:cstheme="majorBidi"/>
      <w:b/>
      <w:bCs/>
      <w:sz w:val="32"/>
      <w:szCs w:val="32"/>
    </w:rPr>
  </w:style>
  <w:style w:type="character" w:styleId="1021" w:customStyle="1">
    <w:name w:val="标题 3 Char"/>
    <w:basedOn w:val="998"/>
    <w:link w:val="997"/>
    <w:uiPriority w:val="9"/>
    <w:qFormat/>
    <w:rPr>
      <w:b/>
      <w:bCs/>
      <w:sz w:val="32"/>
      <w:szCs w:val="32"/>
    </w:rPr>
  </w:style>
  <w:style w:type="character" w:styleId="1022" w:customStyle="1">
    <w:name w:val="日期 Char"/>
    <w:basedOn w:val="998"/>
    <w:link w:val="1004"/>
    <w:uiPriority w:val="99"/>
    <w:semiHidden/>
    <w:qFormat/>
  </w:style>
  <w:style w:type="character" w:styleId="1023" w:customStyle="1">
    <w:name w:val="批注文字 Char"/>
    <w:basedOn w:val="998"/>
    <w:link w:val="1001"/>
    <w:uiPriority w:val="0"/>
    <w:qFormat/>
    <w:rPr>
      <w:rFonts w:ascii="Times New Roman" w:hAnsi="Times New Roman" w:eastAsia="宋体" w:cs="Times New Roman"/>
      <w:szCs w:val="24"/>
    </w:rPr>
  </w:style>
  <w:style w:type="character" w:styleId="1024" w:customStyle="1">
    <w:name w:val="批注框文本 Char"/>
    <w:basedOn w:val="998"/>
    <w:link w:val="1005"/>
    <w:uiPriority w:val="99"/>
    <w:semiHidden/>
    <w:qFormat/>
    <w:rPr>
      <w:sz w:val="18"/>
      <w:szCs w:val="18"/>
    </w:rPr>
  </w:style>
  <w:style w:type="paragraph" w:styleId="1025" w:customStyle="1">
    <w:name w:val="Default"/>
    <w:link w:val="1026"/>
    <w:uiPriority w:val="99"/>
    <w:qFormat/>
    <w:pPr>
      <w:widowControl w:val="off"/>
    </w:pPr>
    <w:rPr>
      <w:rFonts w:ascii="MS Mincho" w:hAnsi="Calibri" w:eastAsia="宋体" w:cs="Times New Roman"/>
      <w:color w:val="000000"/>
      <w:sz w:val="21"/>
      <w:szCs w:val="24"/>
      <w:lang w:val="en-US" w:eastAsia="zh-CN" w:bidi="ar-SA"/>
    </w:rPr>
  </w:style>
  <w:style w:type="character" w:styleId="1026" w:customStyle="1">
    <w:name w:val="Default Char"/>
    <w:link w:val="1025"/>
    <w:uiPriority w:val="99"/>
    <w:qFormat/>
    <w:rPr>
      <w:rFonts w:ascii="MS Mincho" w:hAnsi="Calibri" w:eastAsia="宋体" w:cs="Times New Roman"/>
      <w:color w:val="000000"/>
      <w:szCs w:val="24"/>
    </w:rPr>
  </w:style>
  <w:style w:type="character" w:styleId="1027" w:customStyle="1">
    <w:name w:val="纯文本 Char"/>
    <w:basedOn w:val="998"/>
    <w:link w:val="1003"/>
    <w:uiPriority w:val="0"/>
    <w:qFormat/>
    <w:rPr>
      <w:rFonts w:ascii="宋体" w:hAnsi="Courier New" w:eastAsia="宋体" w:cs="Times New Roman"/>
      <w:szCs w:val="20"/>
    </w:rPr>
  </w:style>
  <w:style w:type="character" w:styleId="1028" w:customStyle="1">
    <w:name w:val="font21"/>
    <w:basedOn w:val="998"/>
    <w:uiPriority w:val="0"/>
    <w:qFormat/>
    <w:rPr>
      <w:rFonts w:hint="eastAsia" w:ascii="宋体" w:hAnsi="宋体" w:eastAsia="宋体" w:cs="宋体"/>
      <w:color w:val="000000"/>
      <w:sz w:val="20"/>
      <w:szCs w:val="20"/>
      <w:u w:val="none"/>
    </w:rPr>
  </w:style>
  <w:style w:type="character" w:styleId="1029" w:customStyle="1">
    <w:name w:val="font31"/>
    <w:basedOn w:val="998"/>
    <w:uiPriority w:val="0"/>
    <w:qFormat/>
    <w:rPr>
      <w:rFonts w:hint="eastAsia" w:ascii="宋体" w:hAnsi="宋体" w:eastAsia="宋体" w:cs="宋体"/>
      <w:color w:val="ff0000"/>
      <w:sz w:val="20"/>
      <w:szCs w:val="20"/>
      <w:u w:val="none"/>
    </w:rPr>
  </w:style>
  <w:style w:type="character" w:styleId="1030" w:customStyle="1">
    <w:name w:val="font41"/>
    <w:basedOn w:val="998"/>
    <w:uiPriority w:val="0"/>
    <w:qFormat/>
    <w:rPr>
      <w:rFonts w:hint="default" w:ascii="Times New Roman" w:hAnsi="Times New Roman" w:cs="Times New Roman"/>
      <w:color w:val="000000"/>
      <w:sz w:val="20"/>
      <w:szCs w:val="20"/>
      <w:u w:val="none"/>
    </w:rPr>
  </w:style>
  <w:style w:type="character" w:styleId="1031" w:customStyle="1">
    <w:name w:val="font51"/>
    <w:basedOn w:val="998"/>
    <w:uiPriority w:val="0"/>
    <w:qFormat/>
    <w:rPr>
      <w:rFonts w:ascii="Calibri" w:hAnsi="Calibri" w:cs="Calibri"/>
      <w:color w:val="000000"/>
      <w:sz w:val="20"/>
      <w:szCs w:val="20"/>
      <w:u w:val="none"/>
    </w:rPr>
  </w:style>
  <w:style w:type="character" w:styleId="1032" w:customStyle="1">
    <w:name w:val="fontstyle01"/>
    <w:basedOn w:val="1033"/>
    <w:uiPriority w:val="0"/>
    <w:qFormat/>
    <w:rPr>
      <w:rFonts w:asciiTheme="minorHAnsi" w:hAnsiTheme="minorHAnsi" w:eastAsiaTheme="minorEastAsia" w:cstheme="minorBidi"/>
      <w:sz w:val="21"/>
      <w:szCs w:val="22"/>
      <w:lang w:val="en-US" w:eastAsia="zh-CN" w:bidi="ar-SA"/>
    </w:rPr>
  </w:style>
  <w:style w:type="character" w:styleId="1033" w:customStyle="1">
    <w:name w:val="默认段落字体1"/>
    <w:uiPriority w:val="1"/>
    <w:unhideWhenUsed/>
    <w:qFormat/>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3</cp:revision>
  <dcterms:created xsi:type="dcterms:W3CDTF">2024-01-04T03:50:00Z</dcterms:created>
  <dcterms:modified xsi:type="dcterms:W3CDTF">2026-10-28T01:35:10Z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2052-12.1.0.29161</vt:lpwstr>
  </property>
  <property fmtid="{D5CDD505-2E9C-101B-9397-08002B2CF9AE}" pid="4" name="ICV">
    <vt:lpwstr>220651D539734F93B6E5FA32D75EDE3B_13</vt:lpwstr>
  </property>
</Properties>
</file>