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56"/>
          <w:szCs w:val="56"/>
          <w:highlight w:val="none"/>
        </w:rPr>
      </w:pPr>
      <w:r>
        <w:rPr>
          <w:rFonts w:hint="eastAsia" w:ascii="仿宋" w:hAnsi="仿宋" w:eastAsia="仿宋" w:cs="仿宋"/>
          <w:b/>
          <w:bCs/>
          <w:color w:val="000000"/>
          <w:sz w:val="56"/>
          <w:szCs w:val="56"/>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（全流程电子化-</w:t>
      </w:r>
      <w:r>
        <w:rPr>
          <w:rFonts w:hint="eastAsia" w:ascii="仿宋" w:hAnsi="仿宋" w:eastAsia="仿宋" w:cs="仿宋"/>
          <w:b/>
          <w:bCs/>
          <w:color w:val="000000"/>
          <w:sz w:val="30"/>
          <w:szCs w:val="30"/>
          <w:highlight w:val="none"/>
          <w:lang w:val="en-US" w:eastAsia="zh-CN"/>
        </w:rPr>
        <w:t xml:space="preserve">货物</w:t>
      </w:r>
      <w:r>
        <w:rPr>
          <w:rFonts w:hint="eastAsia" w:ascii="仿宋" w:hAnsi="仿宋" w:eastAsia="仿宋" w:cs="仿宋"/>
          <w:b/>
          <w:bCs/>
          <w:color w:val="000000"/>
          <w:sz w:val="30"/>
          <w:szCs w:val="30"/>
          <w:highlight w:val="none"/>
        </w:rPr>
        <w:t xml:space="preserve">类项目，适用苏采云系统，</w:t>
      </w:r>
      <w:r>
        <w:rPr>
          <w:rFonts w:hint="eastAsia" w:ascii="仿宋" w:hAnsi="仿宋" w:eastAsia="仿宋" w:cs="仿宋"/>
          <w:b/>
          <w:bCs/>
          <w:color w:val="000000"/>
          <w:sz w:val="30"/>
          <w:szCs w:val="30"/>
          <w:highlight w:val="none"/>
          <w:lang w:val="en-US" w:eastAsia="zh-CN"/>
        </w:rPr>
        <w:t xml:space="preserve">不</w:t>
      </w:r>
      <w:r>
        <w:rPr>
          <w:rFonts w:hint="eastAsia" w:ascii="仿宋" w:hAnsi="仿宋" w:eastAsia="仿宋" w:cs="仿宋"/>
          <w:b/>
          <w:bCs/>
          <w:color w:val="000000"/>
          <w:sz w:val="30"/>
          <w:szCs w:val="30"/>
          <w:highlight w:val="none"/>
        </w:rPr>
        <w:t xml:space="preserve">专门面向中小企业）</w:t>
      </w:r>
      <w:r>
        <w:rPr>
          <w:rFonts w:hint="eastAsia" w:ascii="仿宋" w:hAnsi="仿宋" w:eastAsia="仿宋" w:cs="仿宋"/>
          <w:b/>
          <w:bCs/>
          <w:color w:val="000000"/>
          <w:sz w:val="30"/>
          <w:szCs w:val="30"/>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59"/>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92"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净水站</w:t>
            </w:r>
            <w:r>
              <w:rPr>
                <w:rFonts w:hint="eastAsia" w:ascii="仿宋" w:hAnsi="仿宋" w:eastAsia="仿宋" w:cs="仿宋"/>
                <w:b/>
                <w:color w:val="000000"/>
                <w:sz w:val="32"/>
                <w:szCs w:val="32"/>
                <w:highlight w:val="none"/>
                <w:u w:val="single"/>
                <w:lang w:val="en-US" w:eastAsia="zh-CN"/>
              </w:rPr>
              <w:t xml:space="preserve">运行所需</w:t>
            </w:r>
            <w:r>
              <w:rPr>
                <w:rFonts w:hint="eastAsia" w:ascii="仿宋" w:hAnsi="仿宋" w:eastAsia="仿宋" w:cs="仿宋"/>
                <w:b/>
                <w:color w:val="000000"/>
                <w:sz w:val="32"/>
                <w:szCs w:val="32"/>
                <w:highlight w:val="none"/>
                <w:u w:val="single"/>
                <w:lang w:eastAsia="zh-CN"/>
              </w:rPr>
              <w:t xml:space="preserve">药剂采购</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bookmarkEnd w:id="0"/>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JSZC-320400-SCJX-G2026-0015</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常州市排水管理处</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259"/>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259"/>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九</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259"/>
        <w:ind w:firstLine="7228"/>
        <w:spacing w:line="360" w:lineRule="auto"/>
        <w:rPr>
          <w:rFonts w:hint="eastAsia" w:ascii="仿宋" w:hAnsi="仿宋" w:eastAsia="仿宋" w:cs="仿宋"/>
          <w:b/>
          <w:color w:val="000000"/>
          <w:sz w:val="72"/>
          <w:highlight w:val="none"/>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587" w:right="1134" w:bottom="1587" w:left="1134" w:header="851" w:footer="1247" w:gutter="0"/>
          <w:pgNumType w:start="1"/>
          <w:cols w:num="1" w:sep="0" w:space="1701" w:equalWidth="1"/>
          <w:docGrid w:linePitch="360"/>
          <w:titlePg/>
        </w:sectPr>
      </w:pPr>
      <w:r>
        <w:rPr>
          <w:rFonts w:hint="eastAsia" w:ascii="仿宋" w:hAnsi="仿宋" w:eastAsia="仿宋" w:cs="仿宋"/>
          <w:b/>
          <w:color w:val="000000"/>
          <w:sz w:val="72"/>
          <w:highlight w:val="none"/>
        </w:rPr>
        <w:br w:type="page" w:clear="all"/>
      </w:r>
      <w:r/>
    </w:p>
    <w:p>
      <w:pPr>
        <w:pStyle w:val="1259"/>
        <w:jc w:val="center"/>
        <w:spacing w:line="360" w:lineRule="auto"/>
        <w:rPr>
          <w:rFonts w:hint="eastAsia" w:ascii="仿宋" w:hAnsi="仿宋" w:eastAsia="仿宋" w:cs="仿宋"/>
          <w:b/>
          <w:color w:val="000000"/>
          <w:sz w:val="36"/>
          <w:szCs w:val="36"/>
          <w:highlight w:val="none"/>
        </w:rPr>
        <w:outlineLvl w:val="0"/>
      </w:pPr>
      <w:r/>
      <w:bookmarkStart w:id="1" w:name="_Toc99301418"/>
      <w:r/>
      <w:bookmarkStart w:id="2" w:name="_Toc108044427"/>
      <w:r>
        <w:rPr>
          <w:rFonts w:hint="eastAsia" w:ascii="仿宋" w:hAnsi="仿宋" w:eastAsia="仿宋" w:cs="仿宋"/>
          <w:b/>
          <w:color w:val="000000"/>
          <w:sz w:val="36"/>
          <w:szCs w:val="36"/>
          <w:highlight w:val="none"/>
        </w:rPr>
      </w:r>
      <w:r/>
    </w:p>
    <w:p>
      <w:pPr>
        <w:pStyle w:val="1259"/>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b w:val="0"/>
          <w:color w:val="000000"/>
          <w:sz w:val="28"/>
          <w:szCs w:val="28"/>
          <w:highlight w:val="none"/>
        </w:rPr>
        <w:fldChar w:fldCharType="begin"/>
      </w:r>
      <w:r>
        <w:rPr>
          <w:rFonts w:hint="eastAsia" w:ascii="仿宋" w:hAnsi="仿宋" w:eastAsia="仿宋" w:cs="仿宋"/>
          <w:b w:val="0"/>
          <w:color w:val="000000"/>
          <w:sz w:val="28"/>
          <w:szCs w:val="28"/>
          <w:highlight w:val="none"/>
        </w:rPr>
        <w:instrText xml:space="preserve"> TOC \o "1-1" \h \z \u </w:instrText>
      </w:r>
      <w:r>
        <w:rPr>
          <w:rFonts w:hint="eastAsia" w:ascii="仿宋" w:hAnsi="仿宋" w:eastAsia="仿宋" w:cs="仿宋"/>
          <w:b w:val="0"/>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_Toc22570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_Toc22570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_Toc16582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_Toc16582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_Toc8933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第三章   资格审查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_Toc8933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_Toc2784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第四章   评标程序、评标方法和评标标准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_Toc2784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19</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_Toc16730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第五章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_Toc16730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_Toc27617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第六章   拟签订的合同文本</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_Toc27617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_Toc29624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bidi="ar-SA"/>
        </w:rPr>
        <w:t xml:space="preserve">第七章   投标文件格式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_Toc29624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311"/>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259"/>
        <w:jc w:val="center"/>
        <w:spacing w:line="480" w:lineRule="auto"/>
        <w:rPr>
          <w:rFonts w:hint="eastAsia" w:ascii="仿宋" w:hAnsi="仿宋" w:eastAsia="仿宋" w:cs="仿宋"/>
          <w:b/>
          <w:color w:val="000000"/>
          <w:sz w:val="28"/>
          <w:szCs w:val="28"/>
          <w:highlight w:val="none"/>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1701" w:equalWidth="1"/>
          <w:docGrid w:linePitch="360"/>
          <w:titlePg/>
        </w:sectPr>
        <w:outlineLvl w:val="0"/>
      </w:pPr>
      <w:r>
        <w:rPr>
          <w:rFonts w:hint="eastAsia" w:ascii="仿宋" w:hAnsi="仿宋" w:eastAsia="仿宋" w:cs="仿宋"/>
          <w:b/>
          <w:color w:val="000000"/>
          <w:sz w:val="28"/>
          <w:szCs w:val="28"/>
          <w:highlight w:val="none"/>
        </w:rPr>
        <w:br w:type="page" w:clear="all"/>
      </w:r>
      <w:r/>
    </w:p>
    <w:p>
      <w:pPr>
        <w:pStyle w:val="1260"/>
        <w:rPr>
          <w:rFonts w:hint="eastAsia" w:ascii="仿宋" w:hAnsi="仿宋" w:eastAsia="仿宋" w:cs="仿宋"/>
          <w:color w:val="000000"/>
          <w:szCs w:val="32"/>
          <w:highlight w:val="none"/>
        </w:rPr>
      </w:pPr>
      <w:r/>
      <w:bookmarkStart w:id="3" w:name="_Toc22570"/>
      <w:r>
        <w:rPr>
          <w:rFonts w:hint="eastAsia" w:ascii="仿宋" w:hAnsi="仿宋" w:eastAsia="仿宋" w:cs="仿宋"/>
          <w:color w:val="000000"/>
          <w:szCs w:val="32"/>
          <w:highlight w:val="none"/>
        </w:rPr>
        <w:t xml:space="preserve">第一章   投标邀请</w:t>
      </w:r>
      <w:bookmarkEnd w:id="3"/>
      <w:r>
        <w:rPr>
          <w:rFonts w:hint="eastAsia" w:ascii="仿宋" w:hAnsi="仿宋" w:eastAsia="仿宋" w:cs="仿宋"/>
          <w:color w:val="000000"/>
          <w:szCs w:val="32"/>
          <w:highlight w:val="none"/>
        </w:rPr>
      </w:r>
      <w:r/>
    </w:p>
    <w:p>
      <w:pPr>
        <w:pStyle w:val="1261"/>
        <w:jc w:val="left"/>
        <w:spacing w:before="0" w:line="360" w:lineRule="auto"/>
        <w:rPr>
          <w:rFonts w:hint="eastAsia" w:ascii="仿宋" w:hAnsi="仿宋" w:eastAsia="仿宋" w:cs="仿宋"/>
          <w:color w:val="000000"/>
          <w:sz w:val="21"/>
          <w:szCs w:val="21"/>
          <w:highlight w:val="none"/>
        </w:rPr>
      </w:pPr>
      <w:r/>
      <w:bookmarkStart w:id="4" w:name="_Toc28359079"/>
      <w:r/>
      <w:bookmarkStart w:id="5" w:name="_Toc35393790"/>
      <w:r/>
      <w:bookmarkStart w:id="6" w:name="_Toc28359002"/>
      <w:r/>
      <w:bookmarkStart w:id="7" w:name="_Toc35393621"/>
      <w:r/>
      <w:bookmarkStart w:id="8" w:name="_Hlk24379207"/>
      <w:r/>
      <w:bookmarkStart w:id="9" w:name="_Hlk138939735"/>
      <w:r/>
      <w:bookmarkStart w:id="10" w:name="_Hlk13962682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259"/>
        <w:ind w:firstLine="420"/>
        <w:spacing w:line="360" w:lineRule="auto"/>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项目编号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lang w:eastAsia="zh-CN"/>
        </w:rPr>
        <w:t xml:space="preserve">JSZC-320400-SCJX-G2026-0015</w:t>
      </w:r>
      <w:r>
        <w:rPr>
          <w:rFonts w:hint="eastAsia" w:ascii="仿宋" w:hAnsi="仿宋" w:eastAsia="仿宋" w:cs="仿宋"/>
          <w:color w:val="000000"/>
          <w:sz w:val="21"/>
          <w:szCs w:val="21"/>
          <w:highlight w:val="none"/>
          <w:u w:val="single"/>
          <w:lang w:eastAsia="zh-CN"/>
        </w:rPr>
      </w:r>
      <w:r/>
    </w:p>
    <w:p>
      <w:pPr>
        <w:pStyle w:val="1259"/>
        <w:ind w:firstLine="420"/>
        <w:spacing w:line="360" w:lineRule="auto"/>
        <w:rPr>
          <w:rFonts w:hint="eastAsia" w:ascii="仿宋" w:hAnsi="仿宋" w:eastAsia="仿宋" w:cs="仿宋"/>
          <w:color w:val="000000"/>
          <w:sz w:val="21"/>
          <w:szCs w:val="21"/>
          <w:highlight w:val="none"/>
          <w:u w:val="single"/>
          <w:lang w:val="en-US"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项目名称</w:t>
      </w:r>
      <w:r>
        <w:rPr>
          <w:rFonts w:hint="eastAsia" w:ascii="仿宋" w:hAnsi="仿宋" w:eastAsia="仿宋" w:cs="仿宋"/>
          <w:color w:val="000000"/>
          <w:sz w:val="21"/>
          <w:szCs w:val="21"/>
          <w:highlight w:val="none"/>
        </w:rPr>
        <w:t xml:space="preserve">：</w:t>
      </w:r>
      <w:bookmarkEnd w:id="8"/>
      <w:r>
        <w:rPr>
          <w:rFonts w:hint="eastAsia" w:ascii="仿宋" w:hAnsi="仿宋" w:eastAsia="仿宋" w:cs="仿宋"/>
          <w:color w:val="000000"/>
          <w:sz w:val="21"/>
          <w:szCs w:val="21"/>
          <w:highlight w:val="none"/>
          <w:u w:val="single"/>
          <w:lang w:eastAsia="zh-CN"/>
        </w:rPr>
        <w:t xml:space="preserve">净水站</w:t>
      </w:r>
      <w:r>
        <w:rPr>
          <w:rFonts w:hint="eastAsia" w:ascii="仿宋" w:hAnsi="仿宋" w:eastAsia="仿宋" w:cs="仿宋"/>
          <w:color w:val="000000"/>
          <w:sz w:val="21"/>
          <w:szCs w:val="21"/>
          <w:highlight w:val="none"/>
          <w:u w:val="single"/>
          <w:lang w:val="en-US" w:eastAsia="zh-CN"/>
        </w:rPr>
        <w:t xml:space="preserve">运行所需</w:t>
      </w:r>
      <w:r>
        <w:rPr>
          <w:rFonts w:hint="eastAsia" w:ascii="仿宋" w:hAnsi="仿宋" w:eastAsia="仿宋" w:cs="仿宋"/>
          <w:color w:val="000000"/>
          <w:sz w:val="21"/>
          <w:szCs w:val="21"/>
          <w:highlight w:val="none"/>
          <w:u w:val="single"/>
          <w:lang w:eastAsia="zh-CN"/>
        </w:rPr>
        <w:t xml:space="preserve">药剂采购</w:t>
      </w:r>
      <w:r>
        <w:rPr>
          <w:rFonts w:hint="eastAsia" w:ascii="仿宋" w:hAnsi="仿宋" w:eastAsia="仿宋" w:cs="仿宋"/>
          <w:color w:val="000000"/>
          <w:sz w:val="21"/>
          <w:szCs w:val="21"/>
          <w:highlight w:val="none"/>
          <w:u w:val="single"/>
          <w:lang w:val="en-US" w:eastAsia="zh-CN"/>
        </w:rPr>
      </w:r>
      <w:r/>
    </w:p>
    <w:p>
      <w:pPr>
        <w:pStyle w:val="1259"/>
        <w:ind w:firstLine="420"/>
        <w:spacing w:line="360" w:lineRule="auto"/>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rPr>
        <w:t xml:space="preserve">3.项目预算金额：</w:t>
      </w:r>
      <w:r>
        <w:rPr>
          <w:rFonts w:hint="eastAsia" w:ascii="仿宋" w:hAnsi="仿宋" w:eastAsia="仿宋" w:cs="仿宋"/>
          <w:color w:val="000000"/>
          <w:sz w:val="21"/>
          <w:szCs w:val="21"/>
          <w:highlight w:val="none"/>
          <w:u w:val="single"/>
          <w:lang w:val="en-US" w:eastAsia="zh-CN"/>
        </w:rPr>
        <w:t xml:space="preserve">人民币233.80万元</w:t>
      </w:r>
      <w:r>
        <w:rPr>
          <w:rFonts w:hint="eastAsia" w:ascii="仿宋" w:hAnsi="仿宋" w:eastAsia="仿宋" w:cs="仿宋"/>
          <w:color w:val="000000"/>
          <w:sz w:val="21"/>
          <w:szCs w:val="21"/>
          <w:highlight w:val="none"/>
          <w:u w:val="single"/>
          <w:lang w:eastAsia="zh-CN"/>
        </w:rPr>
      </w:r>
      <w:r/>
    </w:p>
    <w:p>
      <w:pPr>
        <w:pStyle w:val="1259"/>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 w:val="21"/>
          <w:szCs w:val="21"/>
          <w:highlight w:val="none"/>
        </w:rPr>
        <w:t xml:space="preserve">项目最高限价：</w:t>
      </w:r>
      <w:bookmarkStart w:id="11" w:name="_Hlk170393484"/>
      <w:r>
        <w:rPr>
          <w:rFonts w:hint="eastAsia" w:ascii="仿宋" w:hAnsi="仿宋" w:eastAsia="仿宋" w:cs="仿宋"/>
          <w:color w:val="000000"/>
          <w:sz w:val="21"/>
          <w:szCs w:val="21"/>
          <w:highlight w:val="none"/>
          <w:u w:val="single"/>
          <w:lang w:val="en-US" w:eastAsia="zh-CN"/>
        </w:rPr>
        <w:t xml:space="preserve">本项目采用优惠率报价方式，优惠率应＞0%，否则按无效投标处理。</w:t>
      </w:r>
      <w:r>
        <w:rPr>
          <w:rFonts w:hint="eastAsia" w:ascii="仿宋" w:hAnsi="仿宋" w:eastAsia="仿宋" w:cs="仿宋"/>
          <w:color w:val="000000"/>
          <w:szCs w:val="21"/>
          <w:highlight w:val="none"/>
          <w:lang w:val="en-US" w:eastAsia="zh-CN"/>
        </w:rPr>
      </w:r>
      <w:r/>
    </w:p>
    <w:tbl>
      <w:tblPr>
        <w:tblW w:w="7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443"/>
        <w:gridCol w:w="1662"/>
        <w:gridCol w:w="1636"/>
        <w:gridCol w:w="1395"/>
      </w:tblGrid>
      <w:tr>
        <w:trPr>
          <w:tblHeade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序号</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货物名称</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预估数量</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吨）</w:t>
            </w:r>
            <w:r>
              <w:rPr>
                <w:rFonts w:hint="eastAsia" w:ascii="仿宋" w:hAnsi="仿宋" w:eastAsia="仿宋" w:cs="仿宋"/>
                <w:b w:val="0"/>
                <w:bCs/>
                <w:color w:val="000000"/>
                <w:sz w:val="21"/>
                <w:szCs w:val="21"/>
                <w:highlight w:val="none"/>
                <w:lang w:val="en-US" w:eastAsia="zh-CN"/>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最高限价</w:t>
            </w:r>
            <w:r>
              <w:rPr>
                <w:rFonts w:hint="eastAsia" w:ascii="仿宋" w:hAnsi="仿宋" w:eastAsia="仿宋" w:cs="仿宋"/>
                <w:b w:val="0"/>
                <w:bCs/>
                <w:color w:val="000000"/>
                <w:sz w:val="21"/>
                <w:szCs w:val="21"/>
                <w:highlight w:val="none"/>
                <w:lang w:val="en-US" w:eastAsia="zh-CN"/>
              </w:rPr>
              <w:t xml:space="preserve">单价</w:t>
            </w:r>
            <w:r>
              <w:rPr>
                <w:rFonts w:hint="eastAsia" w:ascii="仿宋" w:hAnsi="仿宋" w:eastAsia="仿宋" w:cs="仿宋"/>
                <w:b w:val="0"/>
                <w:bCs/>
                <w:color w:val="000000"/>
                <w:sz w:val="21"/>
                <w:szCs w:val="21"/>
                <w:highlight w:val="none"/>
                <w:lang w:val="en-US" w:eastAsia="zh-CN"/>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（元/吨）</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备注</w:t>
            </w:r>
            <w:r>
              <w:rPr>
                <w:rFonts w:hint="eastAsia" w:ascii="仿宋" w:hAnsi="仿宋" w:eastAsia="仿宋" w:cs="仿宋"/>
                <w:b w:val="0"/>
                <w:bCs/>
                <w:color w:val="000000"/>
                <w:sz w:val="21"/>
                <w:szCs w:val="21"/>
                <w:highlight w:val="none"/>
                <w:lang w:val="en-US" w:eastAsia="zh-CN"/>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1</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聚氯化铝（液体）</w:t>
            </w:r>
            <w:r>
              <w:rPr>
                <w:rFonts w:hint="eastAsia" w:ascii="仿宋" w:hAnsi="仿宋" w:eastAsia="仿宋" w:cs="仿宋"/>
                <w:b w:val="0"/>
                <w:bCs/>
                <w:color w:val="000000"/>
                <w:sz w:val="21"/>
                <w:szCs w:val="21"/>
                <w:highlight w:val="none"/>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w:t>
            </w:r>
            <w:r>
              <w:rPr>
                <w:rFonts w:hint="eastAsia" w:ascii="仿宋" w:hAnsi="仿宋" w:eastAsia="仿宋" w:cs="仿宋"/>
                <w:b w:val="0"/>
                <w:bCs/>
                <w:color w:val="000000"/>
                <w:spacing w:val="-4"/>
                <w:sz w:val="21"/>
                <w:szCs w:val="21"/>
                <w:highlight w:val="none"/>
              </w:rPr>
              <w:t xml:space="preserve">核心产品】</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2900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540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聚丙烯酰胺（阴离子）</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70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8800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3</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磁种</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60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2600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bl>
    <w:p>
      <w:pPr>
        <w:pStyle w:val="1259"/>
        <w:ind w:firstLine="420"/>
        <w:pageBreakBefore w:val="0"/>
        <w:spacing w:line="360" w:lineRule="auto"/>
        <w:rPr>
          <w:rFonts w:hint="eastAsia" w:ascii="仿宋" w:hAnsi="仿宋" w:eastAsia="仿宋" w:cs="仿宋"/>
          <w:color w:val="000000"/>
          <w:szCs w:val="21"/>
          <w:highlight w:val="none"/>
          <w:lang w:val="en-US" w:eastAsia="zh-CN"/>
        </w:rPr>
      </w:pPr>
      <w:r/>
      <w:bookmarkEnd w:id="11"/>
      <w:r>
        <w:rPr>
          <w:rFonts w:hint="eastAsia" w:ascii="仿宋" w:hAnsi="仿宋" w:eastAsia="仿宋" w:cs="仿宋"/>
          <w:color w:val="000000"/>
          <w:szCs w:val="21"/>
          <w:highlight w:val="none"/>
          <w:lang w:val="en-US" w:eastAsia="zh-CN"/>
        </w:rPr>
        <w:t xml:space="preserve">注：供应商在“苏采云”系统中填报固定优惠率（优惠率应＞0%），则本项目结算（中标）费率为（1-优惠率），每项货物的结算单价=对应货物的最高限价单价*结算（中标）费率，数量按实际配送的合格货物数量结算。</w:t>
      </w:r>
      <w:r>
        <w:rPr>
          <w:rFonts w:hint="eastAsia" w:ascii="仿宋" w:hAnsi="仿宋" w:eastAsia="仿宋" w:cs="仿宋"/>
          <w:color w:val="000000"/>
          <w:szCs w:val="21"/>
          <w:highlight w:val="none"/>
          <w:lang w:val="en-US" w:eastAsia="zh-CN"/>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259"/>
        <w:ind w:firstLine="422"/>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接采购人通知后3个日历日内按要求将聚氯化铝（液体）、聚丙烯酰胺（阴离子）和磁种送至指定交货地点并安全卸货，具体品种、数量、质量等按照采购人要求执行。详细内容见本招标文件采购需求。</w:t>
      </w:r>
      <w:r>
        <w:rPr>
          <w:rFonts w:hint="eastAsia" w:ascii="仿宋" w:hAnsi="仿宋" w:eastAsia="仿宋" w:cs="仿宋"/>
          <w:b/>
          <w:bCs/>
          <w:color w:val="000000"/>
          <w:sz w:val="21"/>
          <w:szCs w:val="21"/>
          <w:highlight w:val="none"/>
          <w:lang w:val="en-US" w:eastAsia="zh-CN"/>
        </w:rPr>
      </w:r>
      <w:r/>
    </w:p>
    <w:p>
      <w:pPr>
        <w:pStyle w:val="1259"/>
        <w:numPr>
          <w:ilvl w:val="0"/>
          <w:numId w:val="0"/>
        </w:numPr>
        <w:ind w:firstLine="420"/>
        <w:pageBreakBefore w:val="0"/>
        <w:spacing w:line="360" w:lineRule="auto"/>
        <w:rPr>
          <w:rFonts w:hint="eastAsia" w:ascii="仿宋" w:hAnsi="仿宋" w:eastAsia="仿宋" w:cs="仿宋"/>
          <w:color w:val="000000"/>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自合同签订之日起至2027年11月30日。</w:t>
      </w:r>
      <w:r>
        <w:rPr>
          <w:rFonts w:hint="eastAsia" w:ascii="仿宋" w:hAnsi="仿宋" w:eastAsia="仿宋" w:cs="仿宋"/>
          <w:color w:val="000000"/>
          <w:szCs w:val="21"/>
          <w:highlight w:val="none"/>
          <w:lang w:val="en-US"/>
        </w:rPr>
      </w:r>
      <w:r/>
    </w:p>
    <w:p>
      <w:pPr>
        <w:pStyle w:val="1259"/>
        <w:numPr>
          <w:ilvl w:val="0"/>
          <w:numId w:val="0"/>
        </w:numPr>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Cs w:val="21"/>
          <w:highlight w:val="none"/>
        </w:rPr>
        <w:t xml:space="preserve">本项目是否接受联合体投标：不接受。</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261"/>
        <w:ind w:firstLine="422"/>
        <w:jc w:val="left"/>
        <w:pageBreakBefore w:val="0"/>
        <w:spacing w:before="0" w:line="360" w:lineRule="auto"/>
        <w:rPr>
          <w:rFonts w:hint="eastAsia" w:ascii="仿宋" w:hAnsi="仿宋" w:eastAsia="仿宋" w:cs="仿宋"/>
          <w:color w:val="000000"/>
          <w:sz w:val="21"/>
          <w:szCs w:val="21"/>
          <w:highlight w:val="none"/>
        </w:rPr>
      </w:pPr>
      <w:r/>
      <w:bookmarkStart w:id="12" w:name="_Toc28359080"/>
      <w:r/>
      <w:bookmarkStart w:id="13" w:name="_Toc35393791"/>
      <w:r/>
      <w:bookmarkStart w:id="14" w:name="_Toc35393622"/>
      <w:r/>
      <w:bookmarkStart w:id="15" w:name="_Toc28359003"/>
      <w:r>
        <w:rPr>
          <w:rFonts w:hint="eastAsia" w:ascii="仿宋" w:hAnsi="仿宋" w:eastAsia="仿宋" w:cs="仿宋"/>
          <w:color w:val="000000"/>
          <w:sz w:val="21"/>
          <w:szCs w:val="21"/>
          <w:highlight w:val="none"/>
        </w:rPr>
        <w:t xml:space="preserve">二、申请人的资格要求（须同时满足）</w:t>
      </w:r>
      <w:bookmarkEnd w:id="12"/>
      <w:r/>
      <w:bookmarkEnd w:id="13"/>
      <w:r/>
      <w:bookmarkEnd w:id="14"/>
      <w:r/>
      <w:bookmarkEnd w:id="15"/>
      <w:r>
        <w:rPr>
          <w:rFonts w:hint="eastAsia" w:ascii="仿宋" w:hAnsi="仿宋" w:eastAsia="仿宋" w:cs="仿宋"/>
          <w:color w:val="000000"/>
          <w:sz w:val="21"/>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bookmarkStart w:id="16" w:name="_Toc28359081"/>
      <w:r/>
      <w:bookmarkStart w:id="17" w:name="_Toc28359004"/>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259"/>
        <w:ind w:firstLine="422"/>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w:t>
      </w:r>
      <w:r>
        <w:rPr>
          <w:rFonts w:hint="eastAsia" w:ascii="仿宋" w:hAnsi="仿宋" w:eastAsia="仿宋" w:cs="仿宋"/>
          <w:b/>
          <w:bCs/>
          <w:color w:val="000000"/>
          <w:szCs w:val="21"/>
          <w:highlight w:val="none"/>
          <w:lang w:val="en-US" w:eastAsia="zh-CN"/>
        </w:rPr>
        <w:t xml:space="preserve">不</w:t>
      </w:r>
      <w:r>
        <w:rPr>
          <w:rFonts w:hint="eastAsia" w:ascii="仿宋" w:hAnsi="仿宋" w:eastAsia="仿宋" w:cs="仿宋"/>
          <w:b/>
          <w:bCs/>
          <w:color w:val="000000"/>
          <w:szCs w:val="21"/>
          <w:highlight w:val="none"/>
        </w:rPr>
        <w:t xml:space="preserve">专门面向中小、小微企业采购。</w:t>
      </w:r>
      <w:r>
        <w:rPr>
          <w:rFonts w:hint="eastAsia" w:ascii="仿宋" w:hAnsi="仿宋" w:eastAsia="仿宋" w:cs="仿宋"/>
          <w:b/>
          <w:bCs/>
          <w:color w:val="000000"/>
          <w:szCs w:val="21"/>
          <w:highlight w:val="none"/>
        </w:rPr>
      </w:r>
      <w:r/>
    </w:p>
    <w:p>
      <w:pPr>
        <w:pStyle w:val="1259"/>
        <w:ind w:firstLine="42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59"/>
        <w:ind w:firstLine="420"/>
        <w:pageBreakBefore w:val="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lang w:val="en-US" w:eastAsia="zh-CN"/>
        </w:rPr>
      </w:pPr>
      <w:r>
        <w:rPr>
          <w:rFonts w:hint="eastAsia" w:ascii="仿宋" w:hAnsi="仿宋" w:eastAsia="仿宋" w:cs="仿宋"/>
          <w:color w:val="000000"/>
          <w:szCs w:val="21"/>
          <w:highlight w:val="none"/>
        </w:rPr>
        <w:t xml:space="preserve">3.3其他特定资格要求：</w:t>
      </w:r>
      <w:bookmarkEnd w:id="16"/>
      <w:r/>
      <w:bookmarkEnd w:id="17"/>
      <w:r/>
      <w:bookmarkStart w:id="18" w:name="_Toc35393623"/>
      <w:r/>
      <w:bookmarkStart w:id="19" w:name="_Toc35393792"/>
      <w:r>
        <w:rPr>
          <w:rFonts w:hint="eastAsia" w:ascii="仿宋" w:hAnsi="仿宋" w:eastAsia="仿宋" w:cs="仿宋"/>
          <w:color w:val="000000"/>
          <w:szCs w:val="21"/>
          <w:highlight w:val="none"/>
          <w:lang w:val="en-US" w:eastAsia="zh-CN"/>
        </w:rPr>
        <w:t xml:space="preserve">无</w:t>
      </w:r>
      <w:r>
        <w:rPr>
          <w:rFonts w:hint="eastAsia" w:ascii="仿宋" w:hAnsi="仿宋" w:eastAsia="仿宋" w:cs="仿宋"/>
          <w:b/>
          <w:bCs/>
          <w:color w:val="000000"/>
          <w:szCs w:val="21"/>
          <w:highlight w:val="none"/>
          <w:lang w:val="en-US" w:eastAsia="zh-CN"/>
        </w:rPr>
        <w:t xml:space="preserve">。</w:t>
      </w:r>
      <w:r>
        <w:rPr>
          <w:rFonts w:hint="eastAsia" w:ascii="仿宋" w:hAnsi="仿宋" w:eastAsia="仿宋" w:cs="仿宋"/>
          <w:b/>
          <w:bCs/>
          <w:color w:val="000000"/>
          <w:szCs w:val="21"/>
          <w:highlight w:val="none"/>
          <w:lang w:val="en-US" w:eastAsia="zh-CN"/>
        </w:rPr>
      </w:r>
      <w:r/>
    </w:p>
    <w:p>
      <w:pPr>
        <w:pStyle w:val="1261"/>
        <w:ind w:firstLine="422"/>
        <w:jc w:val="left"/>
        <w:pageBreakBefore w:val="0"/>
        <w:spacing w:before="0"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三、获取招标文件</w:t>
      </w:r>
      <w:bookmarkEnd w:id="18"/>
      <w:r/>
      <w:bookmarkEnd w:id="19"/>
      <w:r>
        <w:rPr>
          <w:rFonts w:hint="eastAsia" w:ascii="仿宋" w:hAnsi="仿宋" w:eastAsia="仿宋" w:cs="仿宋"/>
          <w:color w:val="000000"/>
          <w:sz w:val="21"/>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bookmarkStart w:id="20" w:name="_Toc28359085"/>
      <w:r/>
      <w:bookmarkStart w:id="21" w:name="_Toc35393796"/>
      <w:r/>
      <w:bookmarkStart w:id="22" w:name="_Toc28359008"/>
      <w:r/>
      <w:bookmarkStart w:id="23" w:name="_Toc35393627"/>
      <w:r>
        <w:rPr>
          <w:rFonts w:hint="eastAsia" w:ascii="仿宋" w:hAnsi="仿宋" w:eastAsia="仿宋" w:cs="仿宋"/>
          <w:b w:val="0"/>
          <w:bCs w:val="0"/>
          <w:color w:val="000000"/>
          <w:szCs w:val="21"/>
          <w:highlight w:val="none"/>
        </w:rPr>
        <w:t xml:space="preserve">1.时间：自招标文件公告发布之日起</w:t>
      </w:r>
      <w:r>
        <w:rPr>
          <w:rFonts w:hint="eastAsia" w:ascii="仿宋" w:hAnsi="仿宋" w:eastAsia="仿宋" w:cs="仿宋"/>
          <w:b w:val="0"/>
          <w:bCs w:val="0"/>
          <w:color w:val="000000"/>
          <w:szCs w:val="21"/>
          <w:highlight w:val="none"/>
          <w:lang w:val="en-US" w:eastAsia="zh-CN"/>
        </w:rPr>
        <w:t xml:space="preserve">5个工作日</w:t>
      </w:r>
      <w:r>
        <w:rPr>
          <w:rFonts w:hint="eastAsia" w:ascii="仿宋" w:hAnsi="仿宋" w:eastAsia="仿宋" w:cs="仿宋"/>
          <w:b w:val="0"/>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2.地点：“苏采云”政府采购一体化平台</w:t>
      </w:r>
      <w:r>
        <w:rPr>
          <w:rFonts w:hint="eastAsia" w:ascii="仿宋" w:hAnsi="仿宋" w:eastAsia="仿宋" w:cs="仿宋"/>
          <w:b w:val="0"/>
          <w:bCs w:val="0"/>
          <w:color w:val="000000"/>
          <w:szCs w:val="21"/>
          <w:highlight w:val="none"/>
        </w:rPr>
      </w:r>
      <w:r/>
    </w:p>
    <w:p>
      <w:pPr>
        <w:pStyle w:val="1259"/>
        <w:ind w:firstLine="420"/>
        <w:jc w:val="left"/>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3.方式：“苏采云”政府采购一体化平台自行免费下载。</w:t>
      </w:r>
      <w:r>
        <w:rPr>
          <w:rFonts w:hint="eastAsia" w:ascii="仿宋" w:hAnsi="仿宋" w:eastAsia="仿宋" w:cs="仿宋"/>
          <w:b w:val="0"/>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259"/>
        <w:ind w:firstLine="422"/>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四、提交投标文件截止时间、开标时间和地点</w:t>
      </w:r>
      <w:r>
        <w:rPr>
          <w:rFonts w:hint="eastAsia" w:ascii="仿宋" w:hAnsi="仿宋" w:eastAsia="仿宋" w:cs="仿宋"/>
          <w:b/>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投标截止时间、开标时间：202</w:t>
      </w:r>
      <w:r>
        <w:rPr>
          <w:rFonts w:hint="eastAsia" w:ascii="仿宋" w:hAnsi="仿宋" w:eastAsia="仿宋" w:cs="仿宋"/>
          <w:b w:val="0"/>
          <w:bCs w:val="0"/>
          <w:color w:val="000000"/>
          <w:szCs w:val="21"/>
          <w:highlight w:val="none"/>
          <w:lang w:val="en-US" w:eastAsia="zh-CN"/>
        </w:rPr>
        <w:t xml:space="preserve">6</w:t>
      </w:r>
      <w:r>
        <w:rPr>
          <w:rFonts w:hint="eastAsia" w:ascii="仿宋" w:hAnsi="仿宋" w:eastAsia="仿宋" w:cs="仿宋"/>
          <w:b w:val="0"/>
          <w:bCs w:val="0"/>
          <w:color w:val="000000"/>
          <w:szCs w:val="21"/>
          <w:highlight w:val="none"/>
        </w:rPr>
        <w:t xml:space="preserve">年</w:t>
      </w:r>
      <w:r>
        <w:rPr>
          <w:rFonts w:hint="eastAsia" w:ascii="仿宋" w:hAnsi="仿宋" w:eastAsia="仿宋" w:cs="仿宋"/>
          <w:b w:val="0"/>
          <w:bCs w:val="0"/>
          <w:color w:val="000000"/>
          <w:szCs w:val="21"/>
          <w:highlight w:val="none"/>
          <w:lang w:val="en-US" w:eastAsia="zh-CN"/>
        </w:rPr>
        <w:t xml:space="preserve">10</w:t>
      </w:r>
      <w:r>
        <w:rPr>
          <w:rFonts w:hint="eastAsia" w:ascii="仿宋" w:hAnsi="仿宋" w:eastAsia="仿宋" w:cs="仿宋"/>
          <w:b w:val="0"/>
          <w:bCs w:val="0"/>
          <w:color w:val="000000"/>
          <w:szCs w:val="21"/>
          <w:highlight w:val="none"/>
        </w:rPr>
        <w:t xml:space="preserve">月</w:t>
      </w:r>
      <w:r>
        <w:rPr>
          <w:rFonts w:hint="eastAsia" w:ascii="仿宋" w:hAnsi="仿宋" w:eastAsia="仿宋" w:cs="仿宋"/>
          <w:b w:val="0"/>
          <w:bCs w:val="0"/>
          <w:color w:val="000000"/>
          <w:szCs w:val="21"/>
          <w:highlight w:val="none"/>
          <w:lang w:val="en-US" w:eastAsia="zh-CN"/>
        </w:rPr>
        <w:t xml:space="preserve">19</w:t>
      </w:r>
      <w:r>
        <w:rPr>
          <w:rFonts w:hint="eastAsia" w:ascii="仿宋" w:hAnsi="仿宋" w:eastAsia="仿宋" w:cs="仿宋"/>
          <w:b w:val="0"/>
          <w:bCs w:val="0"/>
          <w:color w:val="000000"/>
          <w:szCs w:val="21"/>
          <w:highlight w:val="none"/>
        </w:rPr>
        <w:t xml:space="preserve">日</w:t>
      </w:r>
      <w:r>
        <w:rPr>
          <w:rFonts w:hint="eastAsia" w:ascii="仿宋" w:hAnsi="仿宋" w:eastAsia="仿宋" w:cs="仿宋"/>
          <w:b w:val="0"/>
          <w:bCs w:val="0"/>
          <w:color w:val="000000"/>
          <w:szCs w:val="21"/>
          <w:highlight w:val="none"/>
          <w:lang w:val="en-US" w:eastAsia="zh-CN"/>
        </w:rPr>
        <w:t xml:space="preserve">14</w:t>
      </w:r>
      <w:r>
        <w:rPr>
          <w:rFonts w:hint="eastAsia" w:ascii="仿宋" w:hAnsi="仿宋" w:eastAsia="仿宋" w:cs="仿宋"/>
          <w:b w:val="0"/>
          <w:bCs w:val="0"/>
          <w:color w:val="000000"/>
          <w:szCs w:val="21"/>
          <w:highlight w:val="none"/>
        </w:rPr>
        <w:t xml:space="preserve">点</w:t>
      </w:r>
      <w:r>
        <w:rPr>
          <w:rFonts w:hint="eastAsia" w:ascii="仿宋" w:hAnsi="仿宋" w:eastAsia="仿宋" w:cs="仿宋"/>
          <w:b w:val="0"/>
          <w:bCs w:val="0"/>
          <w:color w:val="000000"/>
          <w:szCs w:val="21"/>
          <w:highlight w:val="none"/>
          <w:lang w:val="en-US" w:eastAsia="zh-CN"/>
        </w:rPr>
        <w:t xml:space="preserve">00</w:t>
      </w:r>
      <w:r>
        <w:rPr>
          <w:rFonts w:hint="eastAsia" w:ascii="仿宋" w:hAnsi="仿宋" w:eastAsia="仿宋" w:cs="仿宋"/>
          <w:b w:val="0"/>
          <w:bCs w:val="0"/>
          <w:color w:val="000000"/>
          <w:szCs w:val="21"/>
          <w:highlight w:val="none"/>
        </w:rPr>
        <w:t xml:space="preserve">分（北京时间）。</w:t>
      </w:r>
      <w:r>
        <w:rPr>
          <w:rFonts w:hint="eastAsia" w:ascii="仿宋" w:hAnsi="仿宋" w:eastAsia="仿宋" w:cs="仿宋"/>
          <w:b w:val="0"/>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地点：“苏采云”政府采购一体化平台。</w:t>
      </w:r>
      <w:r>
        <w:rPr>
          <w:rFonts w:hint="eastAsia" w:ascii="仿宋" w:hAnsi="仿宋" w:eastAsia="仿宋" w:cs="仿宋"/>
          <w:b w:val="0"/>
          <w:bCs w:val="0"/>
          <w:color w:val="000000"/>
          <w:szCs w:val="21"/>
          <w:highlight w:val="none"/>
        </w:rPr>
      </w:r>
      <w:r/>
    </w:p>
    <w:p>
      <w:pPr>
        <w:pStyle w:val="1259"/>
        <w:ind w:firstLine="422"/>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五、公告期限</w:t>
      </w:r>
      <w:r>
        <w:rPr>
          <w:rFonts w:hint="eastAsia" w:ascii="仿宋" w:hAnsi="仿宋" w:eastAsia="仿宋" w:cs="仿宋"/>
          <w:b/>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259"/>
        <w:ind w:firstLine="422"/>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六、其他补充事宜</w:t>
      </w:r>
      <w:r>
        <w:rPr>
          <w:rFonts w:hint="eastAsia" w:ascii="仿宋" w:hAnsi="仿宋" w:eastAsia="仿宋" w:cs="仿宋"/>
          <w:b/>
          <w:bCs w:val="0"/>
          <w:color w:val="000000"/>
          <w:szCs w:val="21"/>
          <w:highlight w:val="none"/>
        </w:rPr>
      </w:r>
      <w:r/>
    </w:p>
    <w:p>
      <w:pPr>
        <w:pStyle w:val="1259"/>
        <w:ind w:firstLine="420"/>
        <w:pageBreakBefore w:val="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w:t>
      </w:r>
      <w:r>
        <w:rPr>
          <w:rFonts w:hint="eastAsia" w:ascii="仿宋" w:hAnsi="仿宋" w:eastAsia="仿宋" w:cs="仿宋"/>
          <w:bCs/>
          <w:color w:val="000000"/>
          <w:szCs w:val="21"/>
          <w:highlight w:val="none"/>
          <w:lang w:val="en-US" w:eastAsia="zh-CN"/>
        </w:rPr>
        <w:t xml:space="preserve">详见</w:t>
      </w:r>
      <w:r>
        <w:rPr>
          <w:rFonts w:hint="eastAsia" w:ascii="仿宋" w:hAnsi="仿宋" w:eastAsia="仿宋" w:cs="仿宋"/>
          <w:bCs/>
          <w:color w:val="000000"/>
          <w:szCs w:val="21"/>
          <w:highlight w:val="none"/>
          <w:lang w:val="en-US" w:eastAsia="zh-CN"/>
        </w:rPr>
        <w:t xml:space="preserve">招标文件</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rPr>
      </w:r>
      <w:r/>
    </w:p>
    <w:p>
      <w:pPr>
        <w:pStyle w:val="1259"/>
        <w:ind w:firstLine="422"/>
        <w:jc w:val="left"/>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2.供应商通过苏采云系统参与政府采购项目，具体办理指南和操作手册</w:t>
      </w:r>
      <w:r>
        <w:rPr>
          <w:rFonts w:hint="eastAsia" w:ascii="仿宋" w:hAnsi="仿宋" w:eastAsia="仿宋" w:cs="仿宋"/>
          <w:b/>
          <w:bCs/>
          <w:color w:val="000000"/>
          <w:szCs w:val="21"/>
          <w:highlight w:val="none"/>
          <w:lang w:val="en-US" w:eastAsia="zh-CN"/>
        </w:rPr>
        <w:t xml:space="preserve">详见《江苏省政府采购管理交易系统(苏采云)供应商操作指南》，</w:t>
      </w:r>
      <w:r>
        <w:rPr>
          <w:rFonts w:hint="eastAsia" w:ascii="仿宋" w:hAnsi="仿宋" w:eastAsia="仿宋" w:cs="仿宋"/>
          <w:b/>
          <w:bCs/>
          <w:color w:val="000000"/>
          <w:szCs w:val="21"/>
          <w:highlight w:val="none"/>
          <w:lang w:val="en-US" w:eastAsia="zh-CN"/>
        </w:rPr>
        <w:t xml:space="preserve">网站</w:t>
      </w:r>
      <w:r>
        <w:rPr>
          <w:rFonts w:hint="eastAsia" w:ascii="仿宋" w:hAnsi="仿宋" w:eastAsia="仿宋" w:cs="仿宋"/>
          <w:b/>
          <w:bCs/>
          <w:color w:val="000000"/>
          <w:szCs w:val="21"/>
          <w:highlight w:val="none"/>
        </w:rPr>
        <w:t xml:space="preserve">链接：江苏政府采购网  http://www.ccgp-jiangsu.gov.cn/jiangsu/zlxz/ee/ee3a4bc5a3454aa2b0d9312230633ce9.html。</w:t>
      </w:r>
      <w:r>
        <w:rPr>
          <w:rFonts w:hint="eastAsia" w:ascii="仿宋" w:hAnsi="仿宋" w:eastAsia="仿宋" w:cs="仿宋"/>
          <w:b/>
          <w:bCs/>
          <w:color w:val="000000"/>
          <w:szCs w:val="21"/>
          <w:highlight w:val="none"/>
        </w:rPr>
      </w:r>
      <w:r/>
    </w:p>
    <w:p>
      <w:pPr>
        <w:pStyle w:val="1259"/>
        <w:ind w:firstLine="440"/>
        <w:pageBreakBefore w:val="0"/>
        <w:spacing w:line="360" w:lineRule="auto"/>
        <w:rPr>
          <w:rFonts w:hint="eastAsia" w:ascii="仿宋" w:hAnsi="仿宋" w:eastAsia="仿宋" w:cs="仿宋"/>
          <w:i w:val="0"/>
          <w:iCs w:val="0"/>
          <w:caps w:val="0"/>
          <w:color w:val="000000"/>
          <w:spacing w:val="0"/>
          <w:sz w:val="22"/>
          <w:szCs w:val="22"/>
          <w:highlight w:val="none"/>
        </w:rPr>
      </w:pPr>
      <w:r>
        <w:rPr>
          <w:rFonts w:hint="eastAsia" w:ascii="仿宋" w:hAnsi="仿宋" w:eastAsia="仿宋" w:cs="仿宋"/>
          <w:i w:val="0"/>
          <w:iCs w:val="0"/>
          <w:caps w:val="0"/>
          <w:color w:val="000000"/>
          <w:spacing w:val="0"/>
          <w:sz w:val="22"/>
          <w:szCs w:val="22"/>
          <w:highlight w:val="none"/>
        </w:rPr>
        <w:t xml:space="preserve">电子化招投标技术支持电话：0519-85588210</w:t>
      </w:r>
      <w:r>
        <w:rPr>
          <w:rFonts w:hint="eastAsia" w:ascii="仿宋" w:hAnsi="仿宋" w:eastAsia="仿宋" w:cs="仿宋"/>
          <w:i w:val="0"/>
          <w:iCs w:val="0"/>
          <w:caps w:val="0"/>
          <w:color w:val="000000"/>
          <w:spacing w:val="0"/>
          <w:sz w:val="22"/>
          <w:szCs w:val="22"/>
          <w:highlight w:val="none"/>
        </w:rPr>
      </w:r>
      <w:r/>
    </w:p>
    <w:p>
      <w:pPr>
        <w:pStyle w:val="1259"/>
        <w:ind w:firstLine="420"/>
        <w:pageBreakBefore w:val="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3.关于常州市中小企业政府采购信用融资：</w:t>
      </w:r>
      <w:r>
        <w:rPr>
          <w:rFonts w:hint="eastAsia" w:ascii="仿宋" w:hAnsi="仿宋" w:eastAsia="仿宋" w:cs="仿宋"/>
          <w:color w:val="000000"/>
          <w:szCs w:val="21"/>
          <w:highlight w:val="none"/>
          <w:lang w:val="zh-TW"/>
        </w:rPr>
      </w:r>
      <w:r/>
    </w:p>
    <w:p>
      <w:pPr>
        <w:pStyle w:val="1259"/>
        <w:ind w:firstLine="420"/>
        <w:pageBreakBefore w:val="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259"/>
        <w:ind w:firstLine="420"/>
        <w:pageBreakBefore w:val="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259"/>
        <w:ind w:firstLine="420"/>
        <w:pageBreakBefore w:val="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TW"/>
        </w:rPr>
        <w:t xml:space="preserve">.特别说明：因工作需要，本次采购项目涉及的单位及个人相关信息已经取得机构或本人同意后对外公布。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259"/>
        <w:contextualSpacing/>
        <w:ind w:firstLine="422"/>
        <w:jc w:val="left"/>
        <w:pageBreakBefore w:val="0"/>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20"/>
      <w:r/>
      <w:bookmarkEnd w:id="21"/>
      <w:r/>
      <w:bookmarkEnd w:id="22"/>
      <w:r/>
      <w:bookmarkEnd w:id="23"/>
      <w:r>
        <w:rPr>
          <w:rFonts w:hint="eastAsia" w:ascii="仿宋" w:hAnsi="仿宋" w:eastAsia="仿宋" w:cs="仿宋"/>
          <w:b/>
          <w:bCs/>
          <w:color w:val="000000"/>
          <w:szCs w:val="21"/>
          <w:highlight w:val="none"/>
          <w:lang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bidi="ar"/>
        </w:rPr>
      </w:pPr>
      <w:r/>
      <w:bookmarkEnd w:id="10"/>
      <w:r/>
      <w:bookmarkStart w:id="24" w:name="_Toc127151777"/>
      <w:r/>
      <w:bookmarkStart w:id="25" w:name="_Toc264969275"/>
      <w:r/>
      <w:bookmarkStart w:id="26" w:name="_Toc353825548"/>
      <w:r/>
      <w:bookmarkStart w:id="27" w:name="_Toc305158928"/>
      <w:r/>
      <w:bookmarkStart w:id="28" w:name="_Toc353873938"/>
      <w:r/>
      <w:bookmarkStart w:id="29" w:name="_Toc127161488"/>
      <w:r/>
      <w:bookmarkStart w:id="30" w:name="_Toc265228423"/>
      <w:r/>
      <w:bookmarkStart w:id="31" w:name="_Toc512937850"/>
      <w:r/>
      <w:bookmarkStart w:id="32" w:name="_Toc195842950"/>
      <w:r/>
      <w:bookmarkStart w:id="33" w:name="_Toc150774783"/>
      <w:r/>
      <w:bookmarkStart w:id="34" w:name="_Toc305158854"/>
      <w:r/>
      <w:bookmarkStart w:id="35" w:name="_Toc226965856"/>
      <w:r>
        <w:rPr>
          <w:rFonts w:hint="eastAsia" w:ascii="仿宋" w:hAnsi="仿宋" w:eastAsia="仿宋" w:cs="仿宋"/>
          <w:color w:val="000000"/>
          <w:szCs w:val="21"/>
          <w:highlight w:val="none"/>
          <w:lang w:bidi="ar"/>
        </w:rPr>
        <w:t xml:space="preserve">1.采购人信息</w:t>
      </w:r>
      <w:r>
        <w:rPr>
          <w:rFonts w:hint="eastAsia" w:ascii="仿宋" w:hAnsi="仿宋" w:eastAsia="仿宋" w:cs="仿宋"/>
          <w:color w:val="000000"/>
          <w:szCs w:val="21"/>
          <w:highlight w:val="none"/>
          <w:lang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eastAsia="zh-CN" w:bidi="ar"/>
        </w:rPr>
      </w:pPr>
      <w:r>
        <w:rPr>
          <w:rFonts w:hint="eastAsia" w:ascii="仿宋" w:hAnsi="仿宋" w:eastAsia="仿宋" w:cs="仿宋"/>
          <w:color w:val="000000"/>
          <w:szCs w:val="21"/>
          <w:highlight w:val="none"/>
          <w:lang w:val="zh-TW" w:bidi="ar"/>
        </w:rPr>
        <w:t xml:space="preserve">名  称：</w:t>
      </w:r>
      <w:r>
        <w:rPr>
          <w:rFonts w:hint="eastAsia" w:ascii="仿宋" w:hAnsi="仿宋" w:eastAsia="仿宋" w:cs="仿宋"/>
          <w:color w:val="000000"/>
          <w:szCs w:val="21"/>
          <w:highlight w:val="none"/>
          <w:lang w:val="zh-TW" w:eastAsia="zh-CN" w:bidi="ar"/>
        </w:rPr>
        <w:t xml:space="preserve">常州市排水管理处</w:t>
      </w:r>
      <w:r>
        <w:rPr>
          <w:rFonts w:hint="eastAsia" w:ascii="仿宋" w:hAnsi="仿宋" w:eastAsia="仿宋" w:cs="仿宋"/>
          <w:color w:val="000000"/>
          <w:szCs w:val="21"/>
          <w:highlight w:val="none"/>
          <w:lang w:val="zh-TW" w:eastAsia="zh-CN"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地    址：常州市天宁区飞龙东路116号</w:t>
      </w:r>
      <w:r>
        <w:rPr>
          <w:rFonts w:hint="eastAsia" w:ascii="仿宋" w:hAnsi="仿宋" w:eastAsia="仿宋" w:cs="仿宋"/>
          <w:color w:val="000000"/>
          <w:szCs w:val="21"/>
          <w:highlight w:val="none"/>
          <w:lang w:val="zh-TW"/>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联系方式：0519-85570873</w:t>
      </w:r>
      <w:r>
        <w:rPr>
          <w:rFonts w:hint="eastAsia" w:ascii="仿宋" w:hAnsi="仿宋" w:eastAsia="仿宋" w:cs="仿宋"/>
          <w:color w:val="000000"/>
          <w:szCs w:val="21"/>
          <w:highlight w:val="none"/>
          <w:lang w:val="zh-TW"/>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联系人：姜红</w:t>
      </w:r>
      <w:r>
        <w:rPr>
          <w:rFonts w:hint="eastAsia" w:ascii="仿宋" w:hAnsi="仿宋" w:eastAsia="仿宋" w:cs="仿宋"/>
          <w:color w:val="000000"/>
          <w:szCs w:val="21"/>
          <w:highlight w:val="none"/>
          <w:lang w:val="en-US" w:eastAsia="zh-CN"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联系方式：19906113189、0519-86908235-8305</w:t>
      </w:r>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邮  箱：jscjxzb@163.com  　</w:t>
      </w:r>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bookmarkStart w:id="36" w:name="_Toc28359021"/>
      <w:r/>
      <w:bookmarkStart w:id="37" w:name="_Toc35393639"/>
      <w:r/>
      <w:bookmarkStart w:id="38" w:name="_Toc35393808"/>
      <w:r/>
      <w:bookmarkStart w:id="39" w:name="_Toc63761646"/>
      <w:r/>
      <w:bookmarkStart w:id="40" w:name="_Toc45235310"/>
      <w:r/>
      <w:bookmarkStart w:id="41" w:name="_Toc45235156"/>
      <w:r/>
      <w:bookmarkStart w:id="42" w:name="_Toc63761585"/>
      <w:r/>
      <w:bookmarkStart w:id="43" w:name="_Toc28359098"/>
      <w:r>
        <w:rPr>
          <w:rFonts w:hint="eastAsia" w:ascii="仿宋" w:hAnsi="仿宋" w:eastAsia="仿宋" w:cs="仿宋"/>
          <w:color w:val="000000"/>
          <w:szCs w:val="21"/>
          <w:highlight w:val="none"/>
          <w:lang w:val="zh-TW" w:bidi="ar"/>
        </w:rPr>
        <w:t xml:space="preserve">3.项目联系方式</w:t>
      </w:r>
      <w:bookmarkEnd w:id="36"/>
      <w:r/>
      <w:bookmarkEnd w:id="37"/>
      <w:r/>
      <w:bookmarkEnd w:id="38"/>
      <w:r/>
      <w:bookmarkEnd w:id="39"/>
      <w:r/>
      <w:bookmarkEnd w:id="40"/>
      <w:r/>
      <w:bookmarkEnd w:id="41"/>
      <w:r/>
      <w:bookmarkEnd w:id="42"/>
      <w:r/>
      <w:bookmarkEnd w:id="43"/>
      <w:r>
        <w:rPr>
          <w:rFonts w:hint="eastAsia" w:ascii="仿宋" w:hAnsi="仿宋" w:eastAsia="仿宋" w:cs="仿宋"/>
          <w:color w:val="000000"/>
          <w:szCs w:val="21"/>
          <w:highlight w:val="none"/>
          <w:lang w:val="zh-TW"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zh-TW" w:bidi="ar"/>
        </w:rPr>
        <w:t xml:space="preserve">项目联系人：</w:t>
      </w:r>
      <w:r>
        <w:rPr>
          <w:rFonts w:hint="eastAsia" w:ascii="仿宋" w:hAnsi="仿宋" w:eastAsia="仿宋" w:cs="仿宋"/>
          <w:color w:val="000000"/>
          <w:szCs w:val="21"/>
          <w:highlight w:val="none"/>
          <w:lang w:val="en-US" w:eastAsia="zh-CN" w:bidi="ar"/>
        </w:rPr>
        <w:t xml:space="preserve">姜红</w:t>
      </w:r>
      <w:r>
        <w:rPr>
          <w:rFonts w:hint="eastAsia" w:ascii="仿宋" w:hAnsi="仿宋" w:eastAsia="仿宋" w:cs="仿宋"/>
          <w:color w:val="000000"/>
          <w:szCs w:val="21"/>
          <w:highlight w:val="none"/>
          <w:lang w:val="en-US" w:eastAsia="zh-CN" w:bidi="ar"/>
        </w:rPr>
      </w:r>
      <w:r/>
    </w:p>
    <w:p>
      <w:pPr>
        <w:pStyle w:val="1259"/>
        <w:contextualSpacing/>
        <w:ind w:firstLine="420"/>
        <w:jc w:val="left"/>
        <w:pageBreakBefore w:val="0"/>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电　话：19906113189 </w:t>
      </w:r>
      <w:r>
        <w:rPr>
          <w:rFonts w:hint="eastAsia" w:ascii="仿宋" w:hAnsi="仿宋" w:eastAsia="仿宋" w:cs="仿宋"/>
          <w:color w:val="000000"/>
          <w:szCs w:val="21"/>
          <w:highlight w:val="none"/>
          <w:lang w:val="zh-TW" w:bidi="ar"/>
        </w:rPr>
      </w:r>
      <w:r/>
    </w:p>
    <w:p>
      <w:pPr>
        <w:pStyle w:val="1259"/>
        <w:contextualSpacing/>
        <w:ind w:firstLine="420"/>
        <w:jc w:val="center"/>
        <w:spacing w:line="360" w:lineRule="auto"/>
        <w:widowControl/>
        <w:rPr>
          <w:rStyle w:val="1271"/>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zh-TW" w:bidi="ar"/>
        </w:rPr>
        <w:br w:type="page" w:clear="all"/>
      </w:r>
      <w:bookmarkEnd w:id="9"/>
      <w:r/>
      <w:bookmarkStart w:id="44" w:name="_Toc16582"/>
      <w:r>
        <w:rPr>
          <w:rStyle w:val="1271"/>
          <w:rFonts w:hint="eastAsia" w:ascii="仿宋" w:hAnsi="仿宋" w:eastAsia="仿宋" w:cs="仿宋"/>
          <w:color w:val="000000"/>
          <w:highlight w:val="none"/>
          <w:lang w:val="en-US" w:eastAsia="zh-CN"/>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271"/>
          <w:rFonts w:hint="eastAsia" w:ascii="仿宋" w:hAnsi="仿宋" w:eastAsia="仿宋" w:cs="仿宋"/>
          <w:color w:val="000000"/>
          <w:highlight w:val="none"/>
          <w:lang w:val="en-US" w:eastAsia="zh-CN"/>
        </w:rPr>
      </w:r>
      <w:r/>
    </w:p>
    <w:p>
      <w:pPr>
        <w:pStyle w:val="1261"/>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44"/>
      <w:r/>
      <w:bookmarkStart w:id="45" w:name="_Toc150774724"/>
      <w:r/>
      <w:bookmarkStart w:id="46" w:name="_Toc195842884"/>
      <w:r/>
      <w:bookmarkStart w:id="47" w:name="_Toc164351613"/>
      <w:r/>
      <w:bookmarkStart w:id="48" w:name="_Toc142311021"/>
      <w:r/>
      <w:bookmarkStart w:id="49" w:name="_Toc151193617"/>
      <w:r/>
      <w:bookmarkStart w:id="50" w:name="_Toc151193833"/>
      <w:r/>
      <w:bookmarkStart w:id="51" w:name="_Toc151193761"/>
      <w:r/>
      <w:bookmarkStart w:id="52" w:name="_Toc150774619"/>
      <w:r/>
      <w:bookmarkStart w:id="53" w:name="_Toc226309763"/>
      <w:r/>
      <w:bookmarkStart w:id="54" w:name="_Toc164229360"/>
      <w:r/>
      <w:bookmarkStart w:id="55" w:name="_Toc127151720"/>
      <w:r/>
      <w:bookmarkStart w:id="56" w:name="_Toc164229214"/>
      <w:r/>
      <w:bookmarkStart w:id="57" w:name="_Toc151193907"/>
      <w:r/>
      <w:bookmarkStart w:id="58" w:name="_Toc127151519"/>
      <w:r/>
      <w:bookmarkStart w:id="59" w:name="_Toc226337215"/>
      <w:r/>
      <w:bookmarkStart w:id="60" w:name="_Toc164608788"/>
      <w:r/>
      <w:bookmarkStart w:id="61" w:name="_Toc226965792"/>
      <w:r/>
      <w:bookmarkStart w:id="62" w:name="_Toc150509270"/>
      <w:r/>
      <w:bookmarkStart w:id="63" w:name="_Toc149720812"/>
      <w:r/>
      <w:bookmarkStart w:id="64" w:name="_Toc520356144"/>
      <w:r/>
      <w:bookmarkStart w:id="65" w:name="_Toc226965709"/>
      <w:r/>
      <w:bookmarkStart w:id="66" w:name="_Toc151193689"/>
      <w:r/>
      <w:bookmarkStart w:id="67" w:name="_Toc164608633"/>
      <w:r/>
      <w:bookmarkStart w:id="68" w:name="_Toc151190146"/>
      <w:r/>
      <w:bookmarkStart w:id="69" w:name="_Toc127161433"/>
      <w:r/>
      <w:bookmarkStart w:id="70" w:name="_Toc150480757"/>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434"/>
          <w:tblHeader/>
        </w:trPr>
        <w:tc>
          <w:tcPr>
            <w:tcW w:w="988" w:type="dxa"/>
            <w:vAlign w:val="center"/>
            <w:textDirection w:val="lrTb"/>
            <w:noWrap w:val="false"/>
          </w:tcPr>
          <w:p>
            <w:pPr>
              <w:pStyle w:val="1259"/>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259"/>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259"/>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项目属性：</w:t>
            </w:r>
            <w:r>
              <w:rPr>
                <w:rFonts w:hint="eastAsia" w:ascii="仿宋" w:hAnsi="仿宋" w:eastAsia="仿宋" w:cs="仿宋"/>
                <w:b/>
                <w:bCs/>
                <w:color w:val="000000"/>
                <w:szCs w:val="21"/>
                <w:highlight w:val="none"/>
                <w:lang w:val="en-US" w:eastAsia="zh-CN"/>
              </w:rPr>
              <w:t xml:space="preserve">货物</w:t>
            </w:r>
            <w:r>
              <w:rPr>
                <w:rFonts w:hint="eastAsia" w:ascii="仿宋" w:hAnsi="仿宋" w:eastAsia="仿宋" w:cs="仿宋"/>
                <w:color w:val="000000"/>
                <w:szCs w:val="21"/>
                <w:highlight w:val="none"/>
                <w:u w:val="single"/>
                <w:lang w:eastAsia="zh-CN"/>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numPr>
                <w:ilvl w:val="0"/>
                <w:numId w:val="0"/>
              </w:numPr>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 w:val="21"/>
                <w:szCs w:val="21"/>
                <w:highlight w:val="none"/>
                <w:lang w:val="en-US" w:eastAsia="zh-CN" w:bidi="ar-SA"/>
              </w:rPr>
              <w:t xml:space="preserve">1.</w:t>
            </w:r>
            <w:r>
              <w:rPr>
                <w:rFonts w:hint="eastAsia" w:ascii="仿宋" w:hAnsi="仿宋" w:eastAsia="仿宋" w:cs="仿宋"/>
                <w:b/>
                <w:bCs/>
                <w:color w:val="000000"/>
                <w:szCs w:val="21"/>
                <w:highlight w:val="none"/>
                <w:lang w:val="en-US" w:eastAsia="zh-CN"/>
              </w:rPr>
              <w:t xml:space="preserve">本项目核心产品为：聚氯化铝（液体）</w:t>
            </w:r>
            <w:r>
              <w:rPr>
                <w:rFonts w:hint="eastAsia" w:ascii="仿宋" w:hAnsi="仿宋" w:eastAsia="仿宋" w:cs="仿宋"/>
                <w:b/>
                <w:bCs/>
                <w:color w:val="000000"/>
                <w:szCs w:val="21"/>
                <w:highlight w:val="none"/>
                <w:lang w:val="en-US" w:eastAsia="zh-CN"/>
              </w:rPr>
            </w:r>
            <w:r/>
          </w:p>
          <w:p>
            <w:pPr>
              <w:pStyle w:val="1259"/>
              <w:numPr>
                <w:ilvl w:val="0"/>
                <w:numId w:val="0"/>
              </w:numPr>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2.相同品牌供应商数量的认定：</w:t>
            </w:r>
            <w:r>
              <w:rPr>
                <w:rFonts w:hint="eastAsia" w:ascii="仿宋" w:hAnsi="仿宋" w:eastAsia="仿宋" w:cs="仿宋"/>
                <w:b/>
                <w:bCs/>
                <w:color w:val="000000"/>
                <w:szCs w:val="21"/>
                <w:highlight w:val="none"/>
                <w:lang w:val="en-US" w:eastAsia="zh-CN"/>
              </w:rPr>
            </w:r>
            <w:r/>
          </w:p>
          <w:p>
            <w:pPr>
              <w:pStyle w:val="1259"/>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1）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b/>
                <w:bCs/>
                <w:color w:val="000000"/>
                <w:szCs w:val="21"/>
                <w:highlight w:val="none"/>
                <w:lang w:val="en-US" w:eastAsia="zh-CN"/>
              </w:rPr>
            </w:r>
            <w:r/>
          </w:p>
          <w:p>
            <w:pPr>
              <w:pStyle w:val="1259"/>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（2）若所投产品无独立品牌，则将该产品的制造商视为品牌。</w:t>
            </w:r>
            <w:r>
              <w:rPr>
                <w:rFonts w:hint="eastAsia" w:ascii="仿宋" w:hAnsi="仿宋" w:eastAsia="仿宋" w:cs="仿宋"/>
                <w:b/>
                <w:bCs/>
                <w:color w:val="000000"/>
                <w:szCs w:val="21"/>
                <w:highlight w:val="none"/>
                <w:lang w:val="en-US" w:eastAsia="zh-CN"/>
              </w:rPr>
            </w:r>
            <w:r/>
          </w:p>
        </w:tc>
      </w:tr>
      <w:tr>
        <w:trPr>
          <w:trHeight w:val="20"/>
        </w:trPr>
        <w:tc>
          <w:tcPr>
            <w:tcW w:w="988" w:type="dxa"/>
            <w:vAlign w:val="center"/>
            <w:vMerge w:val="restart"/>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298"/>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355"/>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5.2.5</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rPr>
                <w:rFonts w:hint="eastAsia" w:ascii="仿宋" w:hAnsi="仿宋" w:eastAsia="仿宋" w:cs="仿宋"/>
                <w:color w:val="000000"/>
                <w:highlight w:val="none"/>
                <w:lang w:eastAsia="zh-CN"/>
              </w:rPr>
            </w:pPr>
            <w:r>
              <w:rPr>
                <w:rFonts w:hint="eastAsia" w:ascii="仿宋" w:hAnsi="仿宋" w:eastAsia="仿宋" w:cs="仿宋"/>
                <w:b/>
                <w:bCs/>
                <w:color w:val="000000"/>
                <w:szCs w:val="21"/>
                <w:highlight w:val="none"/>
              </w:rPr>
              <w:t xml:space="preserve">本项目采购标的对应的中小企业划分标准所属行业：工业</w:t>
            </w:r>
            <w:r>
              <w:rPr>
                <w:rFonts w:hint="eastAsia" w:ascii="仿宋" w:hAnsi="仿宋" w:eastAsia="仿宋" w:cs="仿宋"/>
                <w:color w:val="000000"/>
                <w:highlight w:val="none"/>
                <w:lang w:eastAsia="zh-CN"/>
              </w:rPr>
            </w:r>
            <w:r/>
          </w:p>
        </w:tc>
      </w:tr>
      <w:tr>
        <w:trPr>
          <w:trHeight w:val="409"/>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报价的特殊规定：有</w:t>
            </w:r>
            <w:r>
              <w:rPr>
                <w:rFonts w:hint="eastAsia" w:ascii="仿宋" w:hAnsi="仿宋" w:eastAsia="仿宋" w:cs="仿宋"/>
                <w:b/>
                <w:bCs/>
                <w:color w:val="000000"/>
                <w:szCs w:val="21"/>
                <w:highlight w:val="none"/>
                <w:lang w:val="en-US" w:eastAsia="zh-CN"/>
              </w:rPr>
            </w:r>
            <w:r/>
          </w:p>
          <w:p>
            <w:pPr>
              <w:pStyle w:val="1259"/>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具体情形：本项目采用优惠率报价方式，优惠率应＞0%，否则按无效投标处理。</w:t>
            </w:r>
            <w:r>
              <w:rPr>
                <w:rFonts w:hint="eastAsia" w:ascii="仿宋" w:hAnsi="仿宋" w:eastAsia="仿宋" w:cs="仿宋"/>
                <w:b/>
                <w:bCs/>
                <w:color w:val="000000"/>
                <w:szCs w:val="21"/>
                <w:highlight w:val="none"/>
                <w:lang w:val="en-US" w:eastAsia="zh-CN"/>
              </w:rPr>
            </w:r>
            <w:r/>
          </w:p>
          <w:p>
            <w:pPr>
              <w:pStyle w:val="1259"/>
              <w:jc w:val="left"/>
              <w:spacing w:line="276"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注：供应商在“苏采云”系统中填报固定优惠率（优惠率应＞0%），则本项目结算（中标）费率为（1-优惠率），每项货物的结算单价=对应货物的最高限价单价*结算（中标）费率。</w:t>
            </w:r>
            <w:r>
              <w:rPr>
                <w:rFonts w:hint="eastAsia" w:ascii="仿宋" w:hAnsi="仿宋" w:eastAsia="仿宋" w:cs="仿宋"/>
                <w:b/>
                <w:bCs/>
                <w:color w:val="000000"/>
                <w:szCs w:val="21"/>
                <w:highlight w:val="none"/>
                <w:lang w:val="en-US" w:eastAsia="zh-CN"/>
              </w:rPr>
            </w:r>
            <w:r/>
          </w:p>
          <w:p>
            <w:pPr>
              <w:pStyle w:val="1259"/>
              <w:jc w:val="left"/>
              <w:spacing w:line="276" w:lineRule="auto"/>
              <w:rPr>
                <w:rFonts w:hint="eastAsia" w:ascii="仿宋" w:hAnsi="仿宋" w:eastAsia="仿宋" w:cs="仿宋"/>
                <w:color w:val="000000"/>
                <w:highlight w:val="none"/>
                <w:lang w:val="en-US" w:eastAsia="zh-CN"/>
              </w:rPr>
            </w:pPr>
            <w:r>
              <w:rPr>
                <w:rFonts w:hint="eastAsia" w:ascii="仿宋" w:hAnsi="仿宋" w:eastAsia="仿宋" w:cs="仿宋"/>
                <w:b/>
                <w:bCs/>
                <w:color w:val="000000"/>
                <w:szCs w:val="21"/>
                <w:highlight w:val="none"/>
                <w:lang w:val="en-US" w:eastAsia="zh-CN"/>
              </w:rPr>
              <w:t xml:space="preserve">例如：投标人所报优惠率为20%，则本项目结算（中标）费率为（1-20%）=80%，每项货物的结算单价=对应货物的最高限价单价×80%</w:t>
            </w:r>
            <w:r>
              <w:rPr>
                <w:rFonts w:hint="eastAsia" w:ascii="仿宋" w:hAnsi="仿宋" w:eastAsia="仿宋" w:cs="仿宋"/>
                <w:color w:val="000000"/>
                <w:highlight w:val="none"/>
                <w:lang w:val="en-US" w:eastAsia="zh-CN"/>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中标结果确定后中标单位应提交胶装并加盖公章的纸质版投标文件叁份，纸质投标文件应与“苏采云”政府采购一体化平台中的电子文件内容、格式一致。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340"/>
        </w:trPr>
        <w:tc>
          <w:tcPr>
            <w:tcW w:w="988" w:type="dxa"/>
            <w:vAlign w:val="center"/>
            <w:textDirection w:val="lrTb"/>
            <w:noWrap w:val="false"/>
          </w:tcPr>
          <w:p>
            <w:pPr>
              <w:pStyle w:val="129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25.5</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40"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967"/>
        </w:trPr>
        <w:tc>
          <w:tcPr>
            <w:tcW w:w="988" w:type="dxa"/>
            <w:vAlign w:val="center"/>
            <w:textDirection w:val="lrTb"/>
            <w:noWrap w:val="false"/>
          </w:tcPr>
          <w:p>
            <w:pPr>
              <w:pStyle w:val="129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26.1</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26.2</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26.3</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 系 人：姜工</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联系电话：19906113189</w:t>
            </w:r>
            <w:r>
              <w:rPr>
                <w:rFonts w:hint="eastAsia" w:ascii="仿宋" w:hAnsi="仿宋" w:eastAsia="仿宋" w:cs="仿宋"/>
                <w:color w:val="000000"/>
                <w:szCs w:val="21"/>
                <w:highlight w:val="none"/>
              </w:rPr>
            </w:r>
            <w:r/>
          </w:p>
          <w:p>
            <w:pPr>
              <w:pStyle w:val="1259"/>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9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rPr>
                <w:rFonts w:hint="eastAsia" w:ascii="仿宋" w:hAnsi="仿宋" w:eastAsia="仿宋" w:cs="仿宋"/>
                <w:color w:val="000000"/>
                <w:szCs w:val="21"/>
                <w:highlight w:val="none"/>
              </w:rPr>
            </w:r>
            <w:r/>
          </w:p>
        </w:tc>
        <w:tc>
          <w:tcPr>
            <w:tcW w:w="1701" w:type="dxa"/>
            <w:vAlign w:val="center"/>
            <w:textDirection w:val="lrTb"/>
            <w:noWrap w:val="false"/>
          </w:tcPr>
          <w:p>
            <w:pPr>
              <w:pStyle w:val="1259"/>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259"/>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收费对象：中标人</w:t>
            </w:r>
            <w:r>
              <w:rPr>
                <w:rFonts w:hint="eastAsia" w:ascii="仿宋" w:hAnsi="仿宋" w:eastAsia="仿宋" w:cs="仿宋"/>
                <w:b/>
                <w:bCs/>
                <w:color w:val="000000"/>
                <w:szCs w:val="21"/>
                <w:highlight w:val="none"/>
              </w:rPr>
            </w:r>
            <w:r/>
          </w:p>
          <w:p>
            <w:pPr>
              <w:pStyle w:val="1259"/>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收费标准：代理服务费</w:t>
            </w:r>
            <w:r>
              <w:rPr>
                <w:rFonts w:hint="eastAsia" w:ascii="仿宋" w:hAnsi="仿宋" w:eastAsia="仿宋" w:cs="仿宋"/>
                <w:b/>
                <w:bCs/>
                <w:color w:val="000000"/>
                <w:szCs w:val="21"/>
                <w:highlight w:val="none"/>
                <w:lang w:val="en-US" w:eastAsia="zh-CN"/>
              </w:rPr>
              <w:t xml:space="preserve">按项目预算金额的0.8%计取，投标人在投标报价时综合考虑</w:t>
            </w: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rPr>
            </w:r>
            <w:r/>
          </w:p>
          <w:p>
            <w:pPr>
              <w:pStyle w:val="1259"/>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缴纳时间：领取中标通知书前一次性缴纳。</w:t>
            </w:r>
            <w:r>
              <w:rPr>
                <w:rFonts w:hint="eastAsia" w:ascii="仿宋" w:hAnsi="仿宋" w:eastAsia="仿宋" w:cs="仿宋"/>
                <w:b/>
                <w:bCs/>
                <w:color w:val="000000"/>
                <w:szCs w:val="21"/>
                <w:highlight w:val="none"/>
              </w:rPr>
            </w:r>
            <w:r/>
          </w:p>
          <w:p>
            <w:pPr>
              <w:pStyle w:val="1290"/>
              <w:spacing w:line="240" w:lineRule="auto"/>
              <w:tabs>
                <w:tab w:val="left" w:pos="567"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收款账号：</w:t>
            </w:r>
            <w:r>
              <w:rPr>
                <w:rFonts w:hint="eastAsia" w:ascii="仿宋" w:hAnsi="仿宋" w:eastAsia="仿宋" w:cs="仿宋"/>
                <w:b/>
                <w:bCs/>
                <w:color w:val="000000"/>
                <w:sz w:val="21"/>
                <w:szCs w:val="21"/>
                <w:highlight w:val="none"/>
              </w:rPr>
            </w:r>
            <w:r/>
          </w:p>
          <w:p>
            <w:pPr>
              <w:pStyle w:val="1259"/>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收款单位： 江苏城建校工程咨询有限公司</w:t>
            </w:r>
            <w:r>
              <w:rPr>
                <w:rFonts w:hint="eastAsia" w:ascii="仿宋" w:hAnsi="仿宋" w:eastAsia="仿宋" w:cs="仿宋"/>
                <w:b/>
                <w:bCs/>
                <w:color w:val="000000"/>
                <w:szCs w:val="21"/>
                <w:highlight w:val="none"/>
              </w:rPr>
            </w:r>
            <w:r/>
          </w:p>
          <w:p>
            <w:pPr>
              <w:pStyle w:val="1259"/>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开户银行：江苏银行常州怀德支行</w:t>
            </w:r>
            <w:r>
              <w:rPr>
                <w:rFonts w:hint="eastAsia" w:ascii="仿宋" w:hAnsi="仿宋" w:eastAsia="仿宋" w:cs="仿宋"/>
                <w:b/>
                <w:bCs/>
                <w:color w:val="000000"/>
                <w:szCs w:val="21"/>
                <w:highlight w:val="none"/>
              </w:rPr>
            </w:r>
            <w:r/>
          </w:p>
          <w:p>
            <w:pPr>
              <w:pStyle w:val="1259"/>
              <w:jc w:val="left"/>
              <w:spacing w:line="240" w:lineRule="auto"/>
              <w:rPr>
                <w:rFonts w:hint="eastAsia" w:ascii="仿宋" w:hAnsi="仿宋" w:eastAsia="仿宋" w:cs="仿宋"/>
                <w:color w:val="000000"/>
                <w:highlight w:val="none"/>
              </w:rPr>
            </w:pPr>
            <w:r>
              <w:rPr>
                <w:rFonts w:hint="eastAsia" w:ascii="仿宋" w:hAnsi="仿宋" w:eastAsia="仿宋" w:cs="仿宋"/>
                <w:b/>
                <w:bCs/>
                <w:color w:val="000000"/>
                <w:szCs w:val="21"/>
                <w:highlight w:val="none"/>
              </w:rPr>
              <w:t xml:space="preserve">账号：81700188000089469</w:t>
            </w:r>
            <w:r>
              <w:rPr>
                <w:rFonts w:hint="eastAsia" w:ascii="仿宋" w:hAnsi="仿宋" w:eastAsia="仿宋" w:cs="仿宋"/>
                <w:color w:val="000000"/>
                <w:highlight w:val="none"/>
              </w:rPr>
            </w:r>
            <w:r/>
          </w:p>
        </w:tc>
      </w:tr>
      <w:tr>
        <w:trPr>
          <w:trHeight w:val="20"/>
        </w:trPr>
        <w:tc>
          <w:tcPr>
            <w:tcW w:w="988" w:type="dxa"/>
            <w:vAlign w:val="center"/>
            <w:textDirection w:val="lrTb"/>
            <w:noWrap w:val="false"/>
          </w:tcPr>
          <w:p>
            <w:pPr>
              <w:pStyle w:val="1259"/>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其他</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259"/>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本国产品政策支持</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259"/>
              <w:jc w:val="left"/>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关于对采购本国产品给予政策支持，本项目：</w:t>
            </w:r>
            <w:r>
              <w:rPr>
                <w:rFonts w:ascii="Wingdings 2" w:hAnsi="Wingdings 2" w:eastAsia="Wingdings 2" w:cs="Wingdings 2"/>
                <w:b/>
                <w:bCs/>
                <w:color w:val="000000"/>
                <w:szCs w:val="21"/>
                <w:highlight w:val="none"/>
                <w:lang w:val="en-US" w:eastAsia="zh-CN"/>
              </w:rPr>
              <w:t xml:space="preserve">R</w:t>
            </w:r>
            <w:r>
              <w:rPr>
                <w:rFonts w:hint="eastAsia" w:ascii="仿宋" w:hAnsi="仿宋" w:eastAsia="仿宋" w:cs="仿宋"/>
                <w:b/>
                <w:bCs/>
                <w:color w:val="000000"/>
                <w:szCs w:val="21"/>
                <w:highlight w:val="none"/>
                <w:lang w:val="en-US" w:eastAsia="zh-CN"/>
              </w:rPr>
              <w:t xml:space="preserve">适用 </w:t>
            </w:r>
            <w:r>
              <w:rPr>
                <w:rFonts w:ascii="Wingdings 2" w:hAnsi="Wingdings 2" w:eastAsia="Wingdings 2" w:cs="Wingdings 2"/>
                <w:b/>
                <w:bCs/>
                <w:color w:val="000000"/>
                <w:szCs w:val="21"/>
                <w:highlight w:val="none"/>
                <w:lang w:val="en-US" w:eastAsia="zh-CN"/>
              </w:rPr>
              <w:t xml:space="preserve">£</w:t>
            </w:r>
            <w:r>
              <w:rPr>
                <w:rFonts w:hint="eastAsia" w:ascii="仿宋" w:hAnsi="仿宋" w:eastAsia="仿宋" w:cs="仿宋"/>
                <w:b/>
                <w:bCs/>
                <w:color w:val="000000"/>
                <w:szCs w:val="21"/>
                <w:highlight w:val="none"/>
                <w:lang w:val="en-US" w:eastAsia="zh-CN"/>
              </w:rPr>
              <w:t xml:space="preserve">不适用</w:t>
            </w:r>
            <w:r>
              <w:rPr>
                <w:rFonts w:ascii="Wingdings 2" w:hAnsi="Wingdings 2" w:eastAsia="Wingdings 2" w:cs="Wingdings 2"/>
                <w:b/>
                <w:bCs/>
                <w:color w:val="000000"/>
                <w:szCs w:val="21"/>
                <w:highlight w:val="none"/>
                <w:lang w:val="en-US" w:eastAsia="zh-CN"/>
              </w:rPr>
              <w:t xml:space="preserve">£</w:t>
            </w:r>
            <w:r>
              <w:rPr>
                <w:rFonts w:hint="eastAsia" w:ascii="仿宋" w:hAnsi="仿宋" w:eastAsia="仿宋" w:cs="仿宋"/>
                <w:b/>
                <w:bCs/>
                <w:color w:val="000000"/>
                <w:szCs w:val="21"/>
                <w:highlight w:val="none"/>
                <w:lang w:val="en-US" w:eastAsia="zh-CN"/>
              </w:rPr>
              <w:t xml:space="preserve">部分适用（请根据《关于在政府采购中实施本国产品标准及相关政策的通知》执行）。</w:t>
            </w:r>
            <w:r>
              <w:rPr>
                <w:rFonts w:hint="eastAsia" w:ascii="仿宋" w:hAnsi="仿宋" w:eastAsia="仿宋" w:cs="仿宋"/>
                <w:b/>
                <w:bCs/>
                <w:color w:val="000000"/>
                <w:szCs w:val="21"/>
                <w:highlight w:val="none"/>
                <w:lang w:val="en-US" w:eastAsia="zh-CN"/>
              </w:rPr>
            </w:r>
            <w:r/>
          </w:p>
          <w:p>
            <w:pPr>
              <w:pStyle w:val="1259"/>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b/>
                <w:bCs/>
                <w:color w:val="000000"/>
                <w:szCs w:val="21"/>
                <w:highlight w:val="none"/>
              </w:rPr>
            </w:r>
            <w:r/>
          </w:p>
        </w:tc>
      </w:tr>
    </w:tbl>
    <w:p>
      <w:pPr>
        <w:pStyle w:val="1259"/>
        <w:jc w:val="both"/>
        <w:spacing w:line="360" w:lineRule="auto"/>
        <w:tabs>
          <w:tab w:val="left" w:pos="5580" w:leader="none"/>
        </w:tabs>
        <w:rPr>
          <w:rFonts w:hint="eastAsia" w:ascii="仿宋" w:hAnsi="仿宋" w:eastAsia="仿宋" w:cs="仿宋"/>
          <w:color w:val="000000"/>
          <w:sz w:val="24"/>
          <w:highlight w:val="none"/>
        </w:rPr>
        <w:sectPr>
          <w:headerReference w:type="first" r:id="rId13"/>
          <w:footerReference w:type="default" r:id="rId24"/>
          <w:footerReference w:type="first" r:id="rId25"/>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pStyle w:val="1259"/>
        <w:jc w:val="center"/>
        <w:spacing w:before="240" w:after="240"/>
        <w:rPr>
          <w:rFonts w:hint="eastAsia" w:ascii="仿宋" w:hAnsi="仿宋" w:eastAsia="仿宋" w:cs="仿宋"/>
          <w:b/>
          <w:color w:val="000000"/>
          <w:sz w:val="28"/>
          <w:szCs w:val="28"/>
          <w:highlight w:val="none"/>
        </w:rPr>
      </w:pPr>
      <w:r/>
      <w:bookmarkStart w:id="71" w:name="_Toc127151517"/>
      <w:r/>
      <w:bookmarkStart w:id="72" w:name="_Toc305158785"/>
      <w:r/>
      <w:bookmarkStart w:id="73" w:name="_Toc264969207"/>
      <w:r/>
      <w:bookmarkStart w:id="74" w:name="_Toc195842882"/>
      <w:r/>
      <w:bookmarkStart w:id="75" w:name="_Toc353825542"/>
      <w:r/>
      <w:bookmarkStart w:id="76" w:name="_Toc142311019"/>
      <w:r/>
      <w:bookmarkStart w:id="77" w:name="_Toc226337213"/>
      <w:r/>
      <w:bookmarkStart w:id="78" w:name="_Toc265228355"/>
      <w:r/>
      <w:bookmarkStart w:id="79" w:name="_Toc226965790"/>
      <w:r/>
      <w:bookmarkStart w:id="80" w:name="_Toc305158859"/>
      <w:r/>
      <w:bookmarkStart w:id="81" w:name="_Toc353873662"/>
      <w:r/>
      <w:bookmarkStart w:id="82" w:name="_Toc353873932"/>
      <w:r/>
      <w:bookmarkStart w:id="83" w:name="_Toc150774722"/>
      <w:r/>
      <w:bookmarkStart w:id="84" w:name="_Toc150480755"/>
      <w:r>
        <w:rPr>
          <w:rFonts w:hint="eastAsia" w:ascii="仿宋" w:hAnsi="仿宋" w:eastAsia="仿宋" w:cs="仿宋"/>
          <w:b/>
          <w:color w:val="000000"/>
          <w:sz w:val="28"/>
          <w:szCs w:val="28"/>
          <w:highlight w:val="none"/>
        </w:rPr>
        <w:t xml:space="preserve">供应商须知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仿宋" w:hAnsi="仿宋" w:eastAsia="仿宋" w:cs="仿宋"/>
          <w:b/>
          <w:color w:val="000000"/>
          <w:sz w:val="28"/>
          <w:szCs w:val="28"/>
          <w:highlight w:val="none"/>
        </w:rPr>
      </w:r>
      <w:r/>
    </w:p>
    <w:p>
      <w:pPr>
        <w:pStyle w:val="1261"/>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85" w:name="_Toc520356143"/>
      <w:r/>
      <w:bookmarkStart w:id="86" w:name="_Toc127151518"/>
      <w:r>
        <w:rPr>
          <w:rFonts w:hint="eastAsia" w:ascii="仿宋" w:hAnsi="仿宋" w:eastAsia="仿宋" w:cs="仿宋"/>
          <w:color w:val="000000"/>
          <w:sz w:val="28"/>
          <w:highlight w:val="none"/>
        </w:rPr>
        <w:tab/>
      </w:r>
      <w:bookmarkStart w:id="87" w:name="_Toc151193760"/>
      <w:r/>
      <w:bookmarkStart w:id="88" w:name="_Toc226309762"/>
      <w:r/>
      <w:bookmarkStart w:id="89" w:name="_Toc150509269"/>
      <w:r/>
      <w:bookmarkStart w:id="90" w:name="_Toc151190145"/>
      <w:r/>
      <w:bookmarkStart w:id="91" w:name="_Toc150774618"/>
      <w:r/>
      <w:bookmarkStart w:id="92" w:name="_Toc226337214"/>
      <w:r/>
      <w:bookmarkStart w:id="93" w:name="_Toc226965791"/>
      <w:r/>
      <w:bookmarkStart w:id="94" w:name="_Toc150774723"/>
      <w:r/>
      <w:bookmarkStart w:id="95" w:name="_Toc150480756"/>
      <w:r/>
      <w:bookmarkStart w:id="96" w:name="_Toc151193688"/>
      <w:r/>
      <w:bookmarkStart w:id="97" w:name="_Toc264969208"/>
      <w:r/>
      <w:bookmarkStart w:id="98" w:name="_Toc151193832"/>
      <w:r/>
      <w:bookmarkStart w:id="99" w:name="_Toc151193616"/>
      <w:r/>
      <w:bookmarkStart w:id="100" w:name="_Toc151193906"/>
      <w:r/>
      <w:bookmarkStart w:id="101" w:name="_Toc305158860"/>
      <w:r/>
      <w:bookmarkStart w:id="102" w:name="_Toc305158786"/>
      <w:r/>
      <w:bookmarkStart w:id="103" w:name="_Toc195842883"/>
      <w:r/>
      <w:bookmarkStart w:id="104" w:name="_Toc142311020"/>
      <w:r/>
      <w:bookmarkStart w:id="105" w:name="_Toc226965708"/>
      <w:r/>
      <w:bookmarkStart w:id="106" w:name="_Toc265228356"/>
      <w:r>
        <w:rPr>
          <w:rFonts w:hint="eastAsia" w:ascii="仿宋" w:hAnsi="仿宋" w:eastAsia="仿宋" w:cs="仿宋"/>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107" w:name="_Toc305158787"/>
      <w:r/>
      <w:bookmarkStart w:id="108" w:name="_Toc264969209"/>
      <w:r/>
      <w:bookmarkStart w:id="109" w:name="_Toc265228357"/>
      <w:r/>
      <w:bookmarkStart w:id="110" w:name="_Toc305158861"/>
      <w:r>
        <w:rPr>
          <w:rFonts w:hint="eastAsia" w:ascii="仿宋" w:hAnsi="仿宋" w:eastAsia="仿宋" w:cs="仿宋"/>
          <w:color w:val="000000"/>
          <w:sz w:val="21"/>
          <w:szCs w:val="21"/>
          <w:highlight w:val="none"/>
        </w:rPr>
        <w:t xml:space="preserve">1.采购人、采购代理机构、</w:t>
      </w:r>
      <w:bookmarkEnd w:id="107"/>
      <w:r/>
      <w:bookmarkEnd w:id="108"/>
      <w:r/>
      <w:bookmarkEnd w:id="109"/>
      <w:r/>
      <w:bookmarkEnd w:id="110"/>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”、“申请人”）：指向采购人提供货物、工程或者服务的法人、其他组织或者自然人。</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111" w:name="_Toc164351614"/>
      <w:r/>
      <w:bookmarkStart w:id="112" w:name="_Toc151193834"/>
      <w:r/>
      <w:bookmarkStart w:id="113" w:name="_Toc226965710"/>
      <w:r/>
      <w:bookmarkStart w:id="114" w:name="_Toc150509271"/>
      <w:r/>
      <w:bookmarkStart w:id="115" w:name="_Toc151193908"/>
      <w:r/>
      <w:bookmarkStart w:id="116" w:name="_Toc127151721"/>
      <w:r/>
      <w:bookmarkStart w:id="117" w:name="_Toc264969210"/>
      <w:r/>
      <w:bookmarkStart w:id="118" w:name="_Toc127161434"/>
      <w:r/>
      <w:bookmarkStart w:id="119" w:name="_Toc195842885"/>
      <w:r/>
      <w:bookmarkStart w:id="120" w:name="_Toc142311022"/>
      <w:r/>
      <w:bookmarkStart w:id="121" w:name="_Toc151193762"/>
      <w:r/>
      <w:bookmarkStart w:id="122" w:name="_Toc305158862"/>
      <w:r/>
      <w:bookmarkStart w:id="123" w:name="_Toc226965793"/>
      <w:r/>
      <w:bookmarkStart w:id="124" w:name="_Toc151193690"/>
      <w:r/>
      <w:bookmarkStart w:id="125" w:name="_Toc305158788"/>
      <w:r/>
      <w:bookmarkStart w:id="126" w:name="_Toc164229361"/>
      <w:r/>
      <w:bookmarkStart w:id="127" w:name="_Toc265228358"/>
      <w:r/>
      <w:bookmarkStart w:id="128" w:name="_Toc151193618"/>
      <w:r/>
      <w:bookmarkStart w:id="129" w:name="_Toc164608634"/>
      <w:r/>
      <w:bookmarkStart w:id="130" w:name="_Toc150774620"/>
      <w:r/>
      <w:bookmarkStart w:id="131" w:name="_Toc226337216"/>
      <w:r/>
      <w:bookmarkStart w:id="132" w:name="_Toc164229215"/>
      <w:r/>
      <w:bookmarkStart w:id="133" w:name="_Toc226309764"/>
      <w:r/>
      <w:bookmarkStart w:id="134" w:name="_Toc150774725"/>
      <w:r/>
      <w:bookmarkStart w:id="135" w:name="_Toc150480758"/>
      <w:r/>
      <w:bookmarkStart w:id="136" w:name="_Toc151190147"/>
      <w:r/>
      <w:bookmarkStart w:id="137" w:name="_Toc127151520"/>
      <w:r/>
      <w:bookmarkStart w:id="138" w:name="_Toc164608789"/>
      <w:r/>
      <w:bookmarkStart w:id="139" w:name="_Toc149720813"/>
      <w:r>
        <w:rPr>
          <w:rFonts w:hint="eastAsia" w:ascii="仿宋" w:hAnsi="仿宋" w:eastAsia="仿宋" w:cs="仿宋"/>
          <w:color w:val="000000"/>
          <w:sz w:val="21"/>
          <w:szCs w:val="21"/>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40" w:name="_Toc151193620"/>
      <w:r/>
      <w:bookmarkStart w:id="141" w:name="_Toc265228360"/>
      <w:r/>
      <w:bookmarkStart w:id="142" w:name="_Toc150774727"/>
      <w:r/>
      <w:bookmarkStart w:id="143" w:name="_Toc151193836"/>
      <w:r/>
      <w:bookmarkStart w:id="144" w:name="_Toc151190149"/>
      <w:r/>
      <w:bookmarkStart w:id="145" w:name="_Toc520356146"/>
      <w:r/>
      <w:bookmarkStart w:id="146" w:name="_Toc226965795"/>
      <w:r/>
      <w:bookmarkStart w:id="147" w:name="_Toc305158790"/>
      <w:r/>
      <w:bookmarkStart w:id="148" w:name="_Toc226309766"/>
      <w:r/>
      <w:bookmarkStart w:id="149" w:name="_Toc151193910"/>
      <w:r/>
      <w:bookmarkStart w:id="150" w:name="_Toc151193764"/>
      <w:r/>
      <w:bookmarkStart w:id="151" w:name="_Toc150480760"/>
      <w:r/>
      <w:bookmarkStart w:id="152" w:name="_Toc142311024"/>
      <w:r/>
      <w:bookmarkStart w:id="153" w:name="_Toc264969212"/>
      <w:r/>
      <w:bookmarkStart w:id="154" w:name="_Toc226965712"/>
      <w:r/>
      <w:bookmarkStart w:id="155" w:name="_Toc195842887"/>
      <w:r/>
      <w:bookmarkStart w:id="156" w:name="_Toc150774622"/>
      <w:r/>
      <w:bookmarkStart w:id="157" w:name="_Toc151193692"/>
      <w:r/>
      <w:bookmarkStart w:id="158" w:name="_Toc127151522"/>
      <w:r/>
      <w:bookmarkStart w:id="159" w:name="_Toc150509273"/>
      <w:r/>
      <w:bookmarkStart w:id="160" w:name="_Toc305158864"/>
      <w:r/>
      <w:bookmarkStart w:id="161" w:name="_Toc226337218"/>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5.8电子履约保函政策</w:t>
      </w:r>
      <w:r>
        <w:rPr>
          <w:rFonts w:hint="eastAsia" w:ascii="仿宋" w:hAnsi="仿宋" w:eastAsia="仿宋" w:cs="仿宋"/>
          <w:b/>
          <w:bCs/>
          <w:color w:val="000000"/>
          <w:sz w:val="21"/>
          <w:szCs w:val="21"/>
          <w:highlight w:val="none"/>
        </w:rPr>
      </w:r>
      <w:r/>
    </w:p>
    <w:p>
      <w:pPr>
        <w:pStyle w:val="1357"/>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为进一步优化政府采购营商环境，规范我省政府采购履约保证金管理，持续降低供应商参与政府采购成本，根据</w:t>
      </w:r>
      <w:r>
        <w:rPr>
          <w:rFonts w:hint="eastAsia" w:ascii="仿宋" w:hAnsi="仿宋" w:eastAsia="仿宋" w:cs="仿宋"/>
          <w:b/>
          <w:bCs/>
          <w:color w:val="000000"/>
          <w:sz w:val="21"/>
          <w:szCs w:val="21"/>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仿宋" w:hAnsi="仿宋" w:eastAsia="仿宋" w:cs="仿宋"/>
          <w:b/>
          <w:bCs/>
          <w:color w:val="000000"/>
          <w:sz w:val="21"/>
          <w:szCs w:val="21"/>
          <w:highlight w:val="none"/>
        </w:rPr>
      </w:r>
      <w:r/>
    </w:p>
    <w:p>
      <w:pPr>
        <w:pStyle w:val="1357"/>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5.9政府采购中实施本国产品标准及相关政策</w:t>
      </w:r>
      <w:r>
        <w:rPr>
          <w:rFonts w:hint="eastAsia" w:ascii="仿宋" w:hAnsi="仿宋" w:eastAsia="仿宋" w:cs="仿宋"/>
          <w:b/>
          <w:bCs/>
          <w:color w:val="000000"/>
          <w:sz w:val="21"/>
          <w:szCs w:val="21"/>
          <w:highlight w:val="none"/>
        </w:rPr>
      </w:r>
      <w:r/>
    </w:p>
    <w:p>
      <w:pPr>
        <w:pStyle w:val="1357"/>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国产品标准适用于货物，包括政府采购货物项目和服务项目中涉及的货物。完成本服务项目中涉及的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
          <w:bCs/>
          <w:color w:val="000000"/>
          <w:sz w:val="21"/>
          <w:szCs w:val="21"/>
          <w:highlight w:val="none"/>
        </w:rPr>
      </w:r>
      <w:r/>
    </w:p>
    <w:p>
      <w:pPr>
        <w:pStyle w:val="1357"/>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仿宋" w:hAnsi="仿宋" w:eastAsia="仿宋" w:cs="仿宋"/>
          <w:b/>
          <w:bCs/>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8"/>
          <w:szCs w:val="28"/>
          <w:highlight w:val="none"/>
        </w:rPr>
      </w:pPr>
      <w:r/>
      <w:bookmarkStart w:id="162" w:name="_1.8_计量单位"/>
      <w:r/>
      <w:bookmarkEnd w:id="162"/>
      <w:r>
        <w:rPr>
          <w:rFonts w:hint="eastAsia" w:ascii="仿宋" w:hAnsi="仿宋" w:eastAsia="仿宋" w:cs="仿宋"/>
          <w:color w:val="000000"/>
          <w:sz w:val="28"/>
          <w:szCs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仿宋" w:hAnsi="仿宋" w:eastAsia="仿宋" w:cs="仿宋"/>
          <w:color w:val="000000"/>
          <w:sz w:val="28"/>
          <w:szCs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163" w:name="_Toc151193621"/>
      <w:r/>
      <w:bookmarkStart w:id="164" w:name="_Toc127161437"/>
      <w:r/>
      <w:bookmarkStart w:id="165" w:name="_Toc151193693"/>
      <w:r/>
      <w:bookmarkStart w:id="166" w:name="_Toc305158865"/>
      <w:r/>
      <w:bookmarkStart w:id="167" w:name="_Toc164229218"/>
      <w:r/>
      <w:bookmarkStart w:id="168" w:name="_Toc150774623"/>
      <w:r/>
      <w:bookmarkStart w:id="169" w:name="_Toc150774728"/>
      <w:r/>
      <w:bookmarkStart w:id="170" w:name="_Toc226337219"/>
      <w:r/>
      <w:bookmarkStart w:id="171" w:name="_Toc127151523"/>
      <w:r/>
      <w:bookmarkStart w:id="172" w:name="_Toc142311025"/>
      <w:r/>
      <w:bookmarkStart w:id="173" w:name="_Toc226309767"/>
      <w:r/>
      <w:bookmarkStart w:id="174" w:name="_Toc149720816"/>
      <w:r/>
      <w:bookmarkStart w:id="175" w:name="_Toc151193911"/>
      <w:r/>
      <w:bookmarkStart w:id="176" w:name="_Toc226965713"/>
      <w:r/>
      <w:bookmarkStart w:id="177" w:name="_Toc164351617"/>
      <w:r/>
      <w:bookmarkStart w:id="178" w:name="_Toc164608792"/>
      <w:r/>
      <w:bookmarkStart w:id="179" w:name="_Toc151190150"/>
      <w:r/>
      <w:bookmarkStart w:id="180" w:name="_Toc150480761"/>
      <w:r/>
      <w:bookmarkStart w:id="181" w:name="_Toc164608637"/>
      <w:r/>
      <w:bookmarkStart w:id="182" w:name="_Toc150509274"/>
      <w:r/>
      <w:bookmarkStart w:id="183" w:name="_Toc305158791"/>
      <w:r/>
      <w:bookmarkStart w:id="184" w:name="_Toc226965796"/>
      <w:r/>
      <w:bookmarkStart w:id="185" w:name="_Toc151193837"/>
      <w:r/>
      <w:bookmarkStart w:id="186" w:name="_Toc520356147"/>
      <w:r/>
      <w:bookmarkStart w:id="187" w:name="_Toc164229364"/>
      <w:r/>
      <w:bookmarkStart w:id="188" w:name="_Toc195842888"/>
      <w:r/>
      <w:bookmarkStart w:id="189" w:name="_Toc151193765"/>
      <w:r/>
      <w:bookmarkStart w:id="190" w:name="_Toc265228361"/>
      <w:r/>
      <w:bookmarkStart w:id="191" w:name="_Toc127151724"/>
      <w:r/>
      <w:bookmarkStart w:id="192" w:name="_Toc264969213"/>
      <w:r>
        <w:rPr>
          <w:rFonts w:hint="eastAsia" w:ascii="仿宋" w:hAnsi="仿宋" w:eastAsia="仿宋" w:cs="仿宋"/>
          <w:color w:val="000000"/>
          <w:sz w:val="21"/>
          <w:szCs w:val="21"/>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8"/>
          <w:szCs w:val="28"/>
          <w:highlight w:val="none"/>
        </w:rPr>
      </w:pPr>
      <w:r/>
      <w:bookmarkStart w:id="193" w:name="_Toc195842891"/>
      <w:r/>
      <w:bookmarkStart w:id="194" w:name="_Toc151193914"/>
      <w:r/>
      <w:bookmarkStart w:id="195" w:name="_Toc150774626"/>
      <w:r/>
      <w:bookmarkStart w:id="196" w:name="_Toc226965716"/>
      <w:r/>
      <w:bookmarkStart w:id="197" w:name="_Toc151190153"/>
      <w:r/>
      <w:bookmarkStart w:id="198" w:name="_Toc142311028"/>
      <w:r/>
      <w:bookmarkStart w:id="199" w:name="_Toc150774731"/>
      <w:r/>
      <w:bookmarkStart w:id="200" w:name="_Toc151193624"/>
      <w:r/>
      <w:bookmarkStart w:id="201" w:name="_Toc151193840"/>
      <w:r/>
      <w:bookmarkStart w:id="202" w:name="_Toc226309770"/>
      <w:r/>
      <w:bookmarkStart w:id="203" w:name="_Toc264969216"/>
      <w:r/>
      <w:bookmarkStart w:id="204" w:name="_Toc127151526"/>
      <w:r/>
      <w:bookmarkStart w:id="205" w:name="_Toc151193696"/>
      <w:r/>
      <w:bookmarkStart w:id="206" w:name="_Toc516367020"/>
      <w:r/>
      <w:bookmarkStart w:id="207" w:name="_Toc305158868"/>
      <w:r/>
      <w:bookmarkStart w:id="208" w:name="_Toc226337222"/>
      <w:r/>
      <w:bookmarkStart w:id="209" w:name="_Toc226965799"/>
      <w:r/>
      <w:bookmarkStart w:id="210" w:name="_Toc150509277"/>
      <w:r/>
      <w:bookmarkStart w:id="211" w:name="_Toc150480764"/>
      <w:r/>
      <w:bookmarkStart w:id="212" w:name="_Toc265228364"/>
      <w:r/>
      <w:bookmarkStart w:id="213" w:name="_Toc305158794"/>
      <w:r/>
      <w:bookmarkStart w:id="214" w:name="_Toc151193768"/>
      <w:r/>
      <w:bookmarkStart w:id="215" w:name="_Toc520356150"/>
      <w:r>
        <w:rPr>
          <w:rFonts w:hint="eastAsia" w:ascii="仿宋" w:hAnsi="仿宋" w:eastAsia="仿宋" w:cs="仿宋"/>
          <w:color w:val="000000"/>
          <w:sz w:val="28"/>
          <w:szCs w:val="28"/>
          <w:highlight w:val="none"/>
        </w:rPr>
        <w:t xml:space="preserve">三   投标文件</w:t>
      </w:r>
      <w:bookmarkEnd w:id="206"/>
      <w:r>
        <w:rPr>
          <w:rFonts w:hint="eastAsia" w:ascii="仿宋" w:hAnsi="仿宋" w:eastAsia="仿宋" w:cs="仿宋"/>
          <w:color w:val="000000"/>
          <w:sz w:val="28"/>
          <w:szCs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color w:val="000000"/>
          <w:sz w:val="28"/>
          <w:szCs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216" w:name="_Toc516367021"/>
      <w:r/>
      <w:bookmarkStart w:id="217" w:name="_Toc150774627"/>
      <w:r/>
      <w:bookmarkStart w:id="218" w:name="_Toc226337223"/>
      <w:r/>
      <w:bookmarkStart w:id="219" w:name="_Toc164229368"/>
      <w:r/>
      <w:bookmarkStart w:id="220" w:name="_Toc127151728"/>
      <w:r/>
      <w:bookmarkStart w:id="221" w:name="_Toc264969217"/>
      <w:r/>
      <w:bookmarkStart w:id="222" w:name="_Toc151193697"/>
      <w:r/>
      <w:bookmarkStart w:id="223" w:name="_Toc151193915"/>
      <w:r/>
      <w:bookmarkStart w:id="224" w:name="_Toc151193841"/>
      <w:r/>
      <w:bookmarkStart w:id="225" w:name="_Toc127161441"/>
      <w:r/>
      <w:bookmarkStart w:id="226" w:name="_Toc265228365"/>
      <w:r/>
      <w:bookmarkStart w:id="227" w:name="_Toc150509278"/>
      <w:r/>
      <w:bookmarkStart w:id="228" w:name="_Toc150774732"/>
      <w:r/>
      <w:bookmarkStart w:id="229" w:name="_Toc520356151"/>
      <w:r/>
      <w:bookmarkStart w:id="230" w:name="_Toc305158869"/>
      <w:r/>
      <w:bookmarkStart w:id="231" w:name="_Toc151193769"/>
      <w:r/>
      <w:bookmarkStart w:id="232" w:name="_Toc151193625"/>
      <w:r/>
      <w:bookmarkStart w:id="233" w:name="_Toc164608641"/>
      <w:r/>
      <w:bookmarkStart w:id="234" w:name="_Toc164608796"/>
      <w:r/>
      <w:bookmarkStart w:id="235" w:name="_Toc305158795"/>
      <w:r/>
      <w:bookmarkStart w:id="236" w:name="_Toc149720820"/>
      <w:r/>
      <w:bookmarkStart w:id="237" w:name="_Toc226965800"/>
      <w:r/>
      <w:bookmarkStart w:id="238" w:name="_Toc195842892"/>
      <w:r/>
      <w:bookmarkStart w:id="239" w:name="_Toc226309771"/>
      <w:r/>
      <w:bookmarkStart w:id="240" w:name="_Toc142311029"/>
      <w:r/>
      <w:bookmarkStart w:id="241" w:name="_Toc164351621"/>
      <w:r/>
      <w:bookmarkStart w:id="242" w:name="_Toc150480765"/>
      <w:r/>
      <w:bookmarkStart w:id="243" w:name="_Toc164229222"/>
      <w:r/>
      <w:bookmarkStart w:id="244" w:name="_Toc127151527"/>
      <w:r/>
      <w:bookmarkStart w:id="245" w:name="_Toc151190154"/>
      <w:r/>
      <w:bookmarkStart w:id="246" w:name="_Toc226965717"/>
      <w:r>
        <w:rPr>
          <w:rFonts w:hint="eastAsia" w:ascii="仿宋" w:hAnsi="仿宋" w:eastAsia="仿宋" w:cs="仿宋"/>
          <w:color w:val="000000"/>
          <w:sz w:val="21"/>
          <w:szCs w:val="21"/>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247" w:name="_Toc151193626"/>
      <w:r/>
      <w:bookmarkStart w:id="248" w:name="_Toc150480766"/>
      <w:r/>
      <w:bookmarkStart w:id="249" w:name="_Toc127151528"/>
      <w:r/>
      <w:bookmarkStart w:id="250" w:name="_Toc127161442"/>
      <w:r/>
      <w:bookmarkStart w:id="251" w:name="_Toc150774733"/>
      <w:r/>
      <w:bookmarkStart w:id="252" w:name="_Toc305158870"/>
      <w:r/>
      <w:bookmarkStart w:id="253" w:name="_Toc151193842"/>
      <w:r/>
      <w:bookmarkStart w:id="254" w:name="_Ref467306676"/>
      <w:r/>
      <w:bookmarkStart w:id="255" w:name="_Toc516367022"/>
      <w:r/>
      <w:bookmarkStart w:id="256" w:name="_Ref467306195"/>
      <w:r/>
      <w:bookmarkStart w:id="257" w:name="_Toc226965801"/>
      <w:r/>
      <w:bookmarkStart w:id="258" w:name="_Toc520356152"/>
      <w:r/>
      <w:bookmarkStart w:id="259" w:name="_Toc142311030"/>
      <w:r/>
      <w:bookmarkStart w:id="260" w:name="_Toc226965718"/>
      <w:r/>
      <w:bookmarkStart w:id="261" w:name="_Toc265228366"/>
      <w:r/>
      <w:bookmarkStart w:id="262" w:name="_Toc149720821"/>
      <w:r/>
      <w:bookmarkStart w:id="263" w:name="_Toc127151729"/>
      <w:r/>
      <w:bookmarkStart w:id="264" w:name="_Toc164608642"/>
      <w:r/>
      <w:bookmarkStart w:id="265" w:name="_Toc151193916"/>
      <w:r/>
      <w:bookmarkStart w:id="266" w:name="_Toc151190155"/>
      <w:r/>
      <w:bookmarkStart w:id="267" w:name="_Toc164229223"/>
      <w:r/>
      <w:bookmarkStart w:id="268" w:name="_Toc151193770"/>
      <w:r/>
      <w:bookmarkStart w:id="269" w:name="_Toc151193698"/>
      <w:r/>
      <w:bookmarkStart w:id="270" w:name="_Toc164229369"/>
      <w:r/>
      <w:bookmarkStart w:id="271" w:name="_Toc164351622"/>
      <w:r/>
      <w:bookmarkStart w:id="272" w:name="_Toc226337224"/>
      <w:r/>
      <w:bookmarkStart w:id="273" w:name="_Toc226309772"/>
      <w:r/>
      <w:bookmarkStart w:id="274" w:name="_Toc195842893"/>
      <w:r/>
      <w:bookmarkStart w:id="275" w:name="_Toc305158796"/>
      <w:r/>
      <w:bookmarkStart w:id="276" w:name="_Toc150774628"/>
      <w:r/>
      <w:bookmarkStart w:id="277" w:name="_Toc164608797"/>
      <w:r/>
      <w:bookmarkStart w:id="278" w:name="_Toc150509279"/>
      <w:r/>
      <w:bookmarkStart w:id="279" w:name="_Toc264969218"/>
      <w:r>
        <w:rPr>
          <w:rFonts w:hint="eastAsia" w:ascii="仿宋" w:hAnsi="仿宋" w:eastAsia="仿宋" w:cs="仿宋"/>
          <w:color w:val="000000"/>
          <w:sz w:val="21"/>
          <w:szCs w:val="21"/>
          <w:highlight w:val="none"/>
        </w:rPr>
        <w:t xml:space="preserve">10.投标文件</w:t>
      </w:r>
      <w:bookmarkEnd w:id="254"/>
      <w:r/>
      <w:bookmarkEnd w:id="255"/>
      <w:r/>
      <w:bookmarkEnd w:id="256"/>
      <w:r>
        <w:rPr>
          <w:rFonts w:hint="eastAsia" w:ascii="仿宋" w:hAnsi="仿宋" w:eastAsia="仿宋" w:cs="仿宋"/>
          <w:color w:val="000000"/>
          <w:sz w:val="21"/>
          <w:szCs w:val="21"/>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280"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80"/>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281" w:name="_Toc164229371"/>
      <w:r/>
      <w:bookmarkStart w:id="282" w:name="_Toc164351624"/>
      <w:r/>
      <w:bookmarkStart w:id="283" w:name="_Toc195842895"/>
      <w:r/>
      <w:bookmarkStart w:id="284" w:name="_Toc142311032"/>
      <w:r/>
      <w:bookmarkStart w:id="285" w:name="_Toc150509281"/>
      <w:r/>
      <w:bookmarkStart w:id="286" w:name="_Toc151193772"/>
      <w:r/>
      <w:bookmarkStart w:id="287" w:name="_Toc151193918"/>
      <w:r/>
      <w:bookmarkStart w:id="288" w:name="_Toc150480768"/>
      <w:r/>
      <w:bookmarkStart w:id="289" w:name="_Toc151193844"/>
      <w:r/>
      <w:bookmarkStart w:id="290" w:name="_Toc164608644"/>
      <w:r/>
      <w:bookmarkStart w:id="291" w:name="_Toc151193628"/>
      <w:r/>
      <w:bookmarkStart w:id="292" w:name="_Toc520356155"/>
      <w:r/>
      <w:bookmarkStart w:id="293" w:name="_Toc151190157"/>
      <w:r/>
      <w:bookmarkStart w:id="294" w:name="_Toc164229225"/>
      <w:r/>
      <w:bookmarkStart w:id="295" w:name="_Toc150774630"/>
      <w:r/>
      <w:bookmarkStart w:id="296" w:name="_Toc149720823"/>
      <w:r/>
      <w:bookmarkStart w:id="297" w:name="_Toc127151731"/>
      <w:r/>
      <w:bookmarkStart w:id="298" w:name="_Toc164608799"/>
      <w:r/>
      <w:bookmarkStart w:id="299" w:name="_Toc127161444"/>
      <w:r/>
      <w:bookmarkStart w:id="300" w:name="_Toc127151530"/>
      <w:r/>
      <w:bookmarkStart w:id="301" w:name="_Toc151193700"/>
      <w:r/>
      <w:bookmarkStart w:id="302" w:name="_Toc150774735"/>
      <w:r>
        <w:rPr>
          <w:rFonts w:hint="eastAsia" w:ascii="仿宋" w:hAnsi="仿宋" w:eastAsia="仿宋" w:cs="仿宋"/>
          <w:color w:val="000000"/>
          <w:sz w:val="21"/>
          <w:szCs w:val="21"/>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含代理服务费）</w:t>
      </w:r>
      <w:r>
        <w:rPr>
          <w:rFonts w:hint="eastAsia" w:ascii="仿宋" w:hAnsi="仿宋" w:eastAsia="仿宋" w:cs="仿宋"/>
          <w:color w:val="000000"/>
          <w:sz w:val="21"/>
          <w:szCs w:val="21"/>
          <w:highlight w:val="none"/>
        </w:rPr>
        <w:t xml:space="preserve">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 </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303" w:name="_Toc305158873"/>
      <w:r/>
      <w:bookmarkStart w:id="304" w:name="_Toc164351625"/>
      <w:r/>
      <w:bookmarkStart w:id="305" w:name="_Toc151193773"/>
      <w:r/>
      <w:bookmarkStart w:id="306" w:name="_Toc520356156"/>
      <w:r/>
      <w:bookmarkStart w:id="307" w:name="_Toc151193629"/>
      <w:r/>
      <w:bookmarkStart w:id="308" w:name="_Toc264969221"/>
      <w:r/>
      <w:bookmarkStart w:id="309" w:name="_Toc164608645"/>
      <w:r/>
      <w:bookmarkStart w:id="310" w:name="_Toc150509282"/>
      <w:r/>
      <w:bookmarkStart w:id="311" w:name="_Toc226337227"/>
      <w:r/>
      <w:bookmarkStart w:id="312" w:name="_Toc265228369"/>
      <w:r/>
      <w:bookmarkStart w:id="313" w:name="_Toc164229226"/>
      <w:r/>
      <w:bookmarkStart w:id="314" w:name="_Toc127151531"/>
      <w:r/>
      <w:bookmarkStart w:id="315" w:name="_Toc127161445"/>
      <w:r/>
      <w:bookmarkStart w:id="316" w:name="_Toc226965804"/>
      <w:r/>
      <w:bookmarkStart w:id="317" w:name="_Toc149720824"/>
      <w:r/>
      <w:bookmarkStart w:id="318" w:name="_Toc164229372"/>
      <w:r/>
      <w:bookmarkStart w:id="319" w:name="_Toc151190158"/>
      <w:r/>
      <w:bookmarkStart w:id="320" w:name="_Toc151193919"/>
      <w:r/>
      <w:bookmarkStart w:id="321" w:name="_Toc142311033"/>
      <w:r/>
      <w:bookmarkStart w:id="322" w:name="_Toc150480769"/>
      <w:r/>
      <w:bookmarkStart w:id="323" w:name="_Toc305158799"/>
      <w:r/>
      <w:bookmarkStart w:id="324" w:name="_Toc226309775"/>
      <w:r/>
      <w:bookmarkStart w:id="325" w:name="_Toc226965721"/>
      <w:r/>
      <w:bookmarkStart w:id="326" w:name="_Toc195842896"/>
      <w:r/>
      <w:bookmarkStart w:id="327" w:name="_Toc164608800"/>
      <w:r/>
      <w:bookmarkStart w:id="328" w:name="_Toc127151732"/>
      <w:r/>
      <w:bookmarkStart w:id="329" w:name="_Toc150774736"/>
      <w:r/>
      <w:bookmarkStart w:id="330" w:name="_Toc150774631"/>
      <w:r/>
      <w:bookmarkStart w:id="331" w:name="_Toc151193845"/>
      <w:r/>
      <w:bookmarkStart w:id="332" w:name="_Ref467306513"/>
      <w:r/>
      <w:bookmarkStart w:id="333" w:name="_Toc151193701"/>
      <w:r>
        <w:rPr>
          <w:rFonts w:hint="eastAsia" w:ascii="仿宋" w:hAnsi="仿宋" w:eastAsia="仿宋" w:cs="仿宋"/>
          <w:color w:val="000000"/>
          <w:sz w:val="21"/>
          <w:szCs w:val="21"/>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334" w:name="_Toc164351626"/>
      <w:r/>
      <w:bookmarkStart w:id="335" w:name="_Toc151193846"/>
      <w:r/>
      <w:bookmarkStart w:id="336" w:name="_Toc226337228"/>
      <w:r/>
      <w:bookmarkStart w:id="337" w:name="_Toc226965805"/>
      <w:r/>
      <w:bookmarkStart w:id="338" w:name="_Toc150774632"/>
      <w:r/>
      <w:bookmarkStart w:id="339" w:name="_Toc150509283"/>
      <w:r/>
      <w:bookmarkStart w:id="340" w:name="_Toc264969222"/>
      <w:r/>
      <w:bookmarkStart w:id="341" w:name="_Toc164229227"/>
      <w:r/>
      <w:bookmarkStart w:id="342" w:name="_Toc305158874"/>
      <w:r/>
      <w:bookmarkStart w:id="343" w:name="_Toc195842897"/>
      <w:r/>
      <w:bookmarkStart w:id="344" w:name="_Toc305158800"/>
      <w:r/>
      <w:bookmarkStart w:id="345" w:name="_Toc520356157"/>
      <w:r/>
      <w:bookmarkStart w:id="346" w:name="_Toc151193774"/>
      <w:r/>
      <w:bookmarkStart w:id="347" w:name="_Toc151190159"/>
      <w:r/>
      <w:bookmarkStart w:id="348" w:name="_Toc226309776"/>
      <w:r/>
      <w:bookmarkStart w:id="349" w:name="_Toc151193920"/>
      <w:r/>
      <w:bookmarkStart w:id="350" w:name="_Toc127151532"/>
      <w:r/>
      <w:bookmarkStart w:id="351" w:name="_Toc150480770"/>
      <w:r/>
      <w:bookmarkStart w:id="352" w:name="_Toc142311034"/>
      <w:r/>
      <w:bookmarkStart w:id="353" w:name="_Toc149720825"/>
      <w:r/>
      <w:bookmarkStart w:id="354" w:name="_Toc265228370"/>
      <w:r/>
      <w:bookmarkStart w:id="355" w:name="_Toc226965722"/>
      <w:r/>
      <w:bookmarkStart w:id="356" w:name="_Toc151193630"/>
      <w:r/>
      <w:bookmarkStart w:id="357" w:name="_Toc150774737"/>
      <w:r/>
      <w:bookmarkStart w:id="358" w:name="_Toc127161446"/>
      <w:r/>
      <w:bookmarkStart w:id="359" w:name="_Toc151193702"/>
      <w:r/>
      <w:bookmarkStart w:id="360" w:name="_Toc127151733"/>
      <w:r/>
      <w:bookmarkStart w:id="361" w:name="_Toc164608801"/>
      <w:r/>
      <w:bookmarkStart w:id="362" w:name="_Toc164229373"/>
      <w:r/>
      <w:bookmarkStart w:id="363" w:name="_Toc164608646"/>
      <w:r>
        <w:rPr>
          <w:rFonts w:hint="eastAsia" w:ascii="仿宋" w:hAnsi="仿宋" w:eastAsia="仿宋" w:cs="仿宋"/>
          <w:color w:val="000000"/>
          <w:sz w:val="21"/>
          <w:szCs w:val="21"/>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364" w:name="_Toc151193775"/>
      <w:r/>
      <w:bookmarkStart w:id="365" w:name="_Toc127161447"/>
      <w:r/>
      <w:bookmarkStart w:id="366" w:name="_Toc151193847"/>
      <w:r/>
      <w:bookmarkStart w:id="367" w:name="_Toc151193631"/>
      <w:r/>
      <w:bookmarkStart w:id="368" w:name="_Toc305158801"/>
      <w:r/>
      <w:bookmarkStart w:id="369" w:name="_Toc127151734"/>
      <w:r/>
      <w:bookmarkStart w:id="370" w:name="_Toc164608802"/>
      <w:r/>
      <w:bookmarkStart w:id="371" w:name="_Toc226337229"/>
      <w:r/>
      <w:bookmarkStart w:id="372" w:name="_Toc520356158"/>
      <w:r/>
      <w:bookmarkStart w:id="373" w:name="_Toc151193703"/>
      <w:r/>
      <w:bookmarkStart w:id="374" w:name="_Toc164229228"/>
      <w:r/>
      <w:bookmarkStart w:id="375" w:name="_Toc127151533"/>
      <w:r/>
      <w:bookmarkStart w:id="376" w:name="_Toc150480771"/>
      <w:r/>
      <w:bookmarkStart w:id="377" w:name="_Toc264969223"/>
      <w:r/>
      <w:bookmarkStart w:id="378" w:name="_Toc150509284"/>
      <w:r/>
      <w:bookmarkStart w:id="379" w:name="_Toc150774633"/>
      <w:r/>
      <w:bookmarkStart w:id="380" w:name="_Toc164608647"/>
      <w:r/>
      <w:bookmarkStart w:id="381" w:name="_Toc226965723"/>
      <w:r/>
      <w:bookmarkStart w:id="382" w:name="_Toc164351627"/>
      <w:r/>
      <w:bookmarkStart w:id="383" w:name="_Toc142311035"/>
      <w:r/>
      <w:bookmarkStart w:id="384" w:name="_Toc164229374"/>
      <w:r/>
      <w:bookmarkStart w:id="385" w:name="_Toc195842898"/>
      <w:r/>
      <w:bookmarkStart w:id="386" w:name="_Toc149720826"/>
      <w:r/>
      <w:bookmarkStart w:id="387" w:name="_Toc151193921"/>
      <w:r/>
      <w:bookmarkStart w:id="388" w:name="_Toc151190160"/>
      <w:r/>
      <w:bookmarkStart w:id="389" w:name="_Toc226965806"/>
      <w:r/>
      <w:bookmarkStart w:id="390" w:name="_Toc150774738"/>
      <w:r/>
      <w:bookmarkStart w:id="391" w:name="_Toc265228371"/>
      <w:r/>
      <w:bookmarkStart w:id="392" w:name="_Toc305158875"/>
      <w:r/>
      <w:bookmarkStart w:id="393" w:name="_Toc226309777"/>
      <w:r>
        <w:rPr>
          <w:rFonts w:hint="eastAsia" w:ascii="仿宋" w:hAnsi="仿宋" w:eastAsia="仿宋" w:cs="仿宋"/>
          <w:color w:val="000000"/>
          <w:sz w:val="21"/>
          <w:szCs w:val="21"/>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394" w:name="_Toc151193922"/>
      <w:r/>
      <w:bookmarkStart w:id="395" w:name="_Toc150480772"/>
      <w:r/>
      <w:bookmarkStart w:id="396" w:name="_Toc265228372"/>
      <w:r/>
      <w:bookmarkStart w:id="397" w:name="_Toc305158876"/>
      <w:r/>
      <w:bookmarkStart w:id="398" w:name="_Toc264969224"/>
      <w:r/>
      <w:bookmarkStart w:id="399" w:name="_Toc151193848"/>
      <w:r/>
      <w:bookmarkStart w:id="400" w:name="_Toc226309778"/>
      <w:r/>
      <w:bookmarkStart w:id="401" w:name="_Toc520356159"/>
      <w:r/>
      <w:bookmarkStart w:id="402" w:name="_Toc142311036"/>
      <w:r/>
      <w:bookmarkStart w:id="403" w:name="_Toc127151534"/>
      <w:r/>
      <w:bookmarkStart w:id="404" w:name="_Toc226337230"/>
      <w:r/>
      <w:bookmarkStart w:id="405" w:name="_Toc150774634"/>
      <w:r/>
      <w:bookmarkStart w:id="406" w:name="_Toc151193776"/>
      <w:r/>
      <w:bookmarkStart w:id="407" w:name="_Toc305158802"/>
      <w:r/>
      <w:bookmarkStart w:id="408" w:name="_Toc226965807"/>
      <w:r/>
      <w:bookmarkStart w:id="409" w:name="_Toc151190161"/>
      <w:r/>
      <w:bookmarkStart w:id="410" w:name="_Toc226965724"/>
      <w:r/>
      <w:bookmarkStart w:id="411" w:name="_Toc151193632"/>
      <w:r/>
      <w:bookmarkStart w:id="412" w:name="_Toc151193704"/>
      <w:r/>
      <w:bookmarkStart w:id="413" w:name="_Toc195842899"/>
      <w:r/>
      <w:bookmarkStart w:id="414" w:name="_Toc150509285"/>
      <w:r/>
      <w:bookmarkStart w:id="415" w:name="_Toc150774739"/>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仿宋" w:hAnsi="仿宋" w:eastAsia="仿宋" w:cs="仿宋"/>
          <w:color w:val="000000"/>
          <w:sz w:val="28"/>
          <w:szCs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416" w:name="_Toc226337232"/>
      <w:r/>
      <w:bookmarkStart w:id="417" w:name="_Toc226309780"/>
      <w:r/>
      <w:bookmarkStart w:id="418" w:name="_Toc127161450"/>
      <w:r/>
      <w:bookmarkStart w:id="419" w:name="_Toc150480774"/>
      <w:r/>
      <w:bookmarkStart w:id="420" w:name="_Toc150509289"/>
      <w:r/>
      <w:bookmarkStart w:id="421" w:name="_Toc264969226"/>
      <w:r/>
      <w:bookmarkStart w:id="422" w:name="_Toc151193708"/>
      <w:r/>
      <w:bookmarkStart w:id="423" w:name="_Toc520356163"/>
      <w:r/>
      <w:bookmarkStart w:id="424" w:name="_Toc226965728"/>
      <w:r/>
      <w:bookmarkStart w:id="425" w:name="_Toc151193852"/>
      <w:r/>
      <w:bookmarkStart w:id="426" w:name="_Toc305158806"/>
      <w:r/>
      <w:bookmarkStart w:id="427" w:name="_Toc151193636"/>
      <w:r/>
      <w:bookmarkStart w:id="428" w:name="_Toc305158880"/>
      <w:r/>
      <w:bookmarkStart w:id="429" w:name="_Toc151190165"/>
      <w:r/>
      <w:bookmarkStart w:id="430" w:name="_Toc150774743"/>
      <w:r/>
      <w:bookmarkStart w:id="431" w:name="_Toc265228376"/>
      <w:r/>
      <w:bookmarkStart w:id="432" w:name="_Toc151193780"/>
      <w:r/>
      <w:bookmarkStart w:id="433" w:name="_Toc195842903"/>
      <w:r/>
      <w:bookmarkStart w:id="434" w:name="_Toc226309782"/>
      <w:r/>
      <w:bookmarkStart w:id="435" w:name="_Toc151193926"/>
      <w:r/>
      <w:bookmarkStart w:id="436" w:name="_Toc150774638"/>
      <w:r/>
      <w:bookmarkStart w:id="437" w:name="_Toc226965811"/>
      <w:r/>
      <w:bookmarkStart w:id="438" w:name="_Toc226337234"/>
      <w:r/>
      <w:bookmarkStart w:id="439" w:name="_Toc264969228"/>
      <w:r/>
      <w:bookmarkStart w:id="440" w:name="_Toc142311040"/>
      <w:r/>
      <w:bookmarkStart w:id="441" w:name="_Toc127151538"/>
      <w:r/>
      <w:bookmarkStart w:id="442" w:name="_Toc520356161"/>
      <w:r/>
      <w:bookmarkStart w:id="443" w:name="_Toc265228374"/>
      <w:r/>
      <w:bookmarkStart w:id="444" w:name="_Toc150480776"/>
      <w:r/>
      <w:bookmarkStart w:id="445" w:name="_Toc127151536"/>
      <w:r/>
      <w:bookmarkStart w:id="446" w:name="_Toc151193634"/>
      <w:r/>
      <w:bookmarkStart w:id="447" w:name="_Toc150774741"/>
      <w:r/>
      <w:bookmarkStart w:id="448" w:name="_Toc127151737"/>
      <w:r/>
      <w:bookmarkStart w:id="449" w:name="_Toc305158878"/>
      <w:r/>
      <w:bookmarkStart w:id="450" w:name="_Toc164229231"/>
      <w:r/>
      <w:bookmarkStart w:id="451" w:name="_Toc164608805"/>
      <w:r/>
      <w:bookmarkStart w:id="452" w:name="_Toc151193778"/>
      <w:r/>
      <w:bookmarkStart w:id="453" w:name="_Toc195842901"/>
      <w:r/>
      <w:bookmarkStart w:id="454" w:name="_Toc150774636"/>
      <w:r/>
      <w:bookmarkStart w:id="455" w:name="_Toc149720829"/>
      <w:r/>
      <w:bookmarkStart w:id="456" w:name="_Toc151193850"/>
      <w:r/>
      <w:bookmarkStart w:id="457" w:name="_Toc226965726"/>
      <w:r/>
      <w:bookmarkStart w:id="458" w:name="_Toc142311038"/>
      <w:r/>
      <w:bookmarkStart w:id="459" w:name="_Toc164608650"/>
      <w:r/>
      <w:bookmarkStart w:id="460" w:name="_Toc164229377"/>
      <w:r/>
      <w:bookmarkStart w:id="461" w:name="_Toc151193924"/>
      <w:r/>
      <w:bookmarkStart w:id="462" w:name="_Toc305158804"/>
      <w:r/>
      <w:bookmarkStart w:id="463" w:name="_Toc164351630"/>
      <w:r/>
      <w:bookmarkStart w:id="464" w:name="_Toc226965809"/>
      <w:r/>
      <w:bookmarkStart w:id="465" w:name="_Toc150509287"/>
      <w:r/>
      <w:bookmarkStart w:id="466" w:name="_Toc151190163"/>
      <w:r/>
      <w:bookmarkStart w:id="467" w:name="_Toc151193706"/>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End w:id="416"/>
      <w:r/>
      <w:bookmarkEnd w:id="417"/>
      <w:r/>
      <w:bookmarkEnd w:id="418"/>
      <w:r/>
      <w:bookmarkEnd w:id="419"/>
      <w:r/>
      <w:bookmarkEnd w:id="421"/>
      <w:r/>
      <w:bookmarkEnd w:id="442"/>
      <w:r/>
      <w:bookmarkEnd w:id="443"/>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68" w:name="_Toc164351631"/>
      <w:r/>
      <w:bookmarkStart w:id="469" w:name="_Toc195842902"/>
      <w:r/>
      <w:bookmarkStart w:id="470" w:name="_Toc151190164"/>
      <w:r/>
      <w:bookmarkStart w:id="471" w:name="_Toc226337233"/>
      <w:r/>
      <w:bookmarkStart w:id="472" w:name="_Toc127161451"/>
      <w:r/>
      <w:bookmarkStart w:id="473" w:name="_Toc164608806"/>
      <w:r/>
      <w:bookmarkStart w:id="474" w:name="_Toc127151738"/>
      <w:r/>
      <w:bookmarkStart w:id="475" w:name="_Toc149720830"/>
      <w:r/>
      <w:bookmarkStart w:id="476" w:name="_Toc164608651"/>
      <w:r/>
      <w:bookmarkStart w:id="477" w:name="_Toc151193635"/>
      <w:r/>
      <w:bookmarkStart w:id="478" w:name="_Toc226965727"/>
      <w:r/>
      <w:bookmarkStart w:id="479" w:name="_Toc226965810"/>
      <w:r/>
      <w:bookmarkStart w:id="480" w:name="_Toc151193851"/>
      <w:r/>
      <w:bookmarkStart w:id="481" w:name="_Toc305158879"/>
      <w:r/>
      <w:bookmarkStart w:id="482" w:name="_Toc151193707"/>
      <w:r/>
      <w:bookmarkStart w:id="483" w:name="_Toc142311039"/>
      <w:r/>
      <w:bookmarkStart w:id="484" w:name="_Toc151193779"/>
      <w:r/>
      <w:bookmarkStart w:id="485" w:name="_Toc150774637"/>
      <w:r/>
      <w:bookmarkStart w:id="486" w:name="_Toc127151537"/>
      <w:r/>
      <w:bookmarkStart w:id="487" w:name="_Toc164229378"/>
      <w:r/>
      <w:bookmarkStart w:id="488" w:name="_Toc305158805"/>
      <w:r/>
      <w:bookmarkStart w:id="489" w:name="_Toc226309781"/>
      <w:r/>
      <w:bookmarkStart w:id="490" w:name="_Toc265228375"/>
      <w:r/>
      <w:bookmarkStart w:id="491" w:name="_Toc150509288"/>
      <w:r/>
      <w:bookmarkStart w:id="492" w:name="_Toc164229232"/>
      <w:r/>
      <w:bookmarkStart w:id="493" w:name="_Toc151193925"/>
      <w:r/>
      <w:bookmarkStart w:id="494" w:name="_Toc264969227"/>
      <w:r/>
      <w:bookmarkStart w:id="495" w:name="_Toc150774742"/>
      <w:r/>
      <w:bookmarkStart w:id="496" w:name="_Toc520356162"/>
      <w:r/>
      <w:bookmarkStart w:id="497" w:name="_Toc150480775"/>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苏采云”政府采购一体化平台。</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   开标、资格审查及评标</w:t>
      </w:r>
      <w:bookmarkEnd w:id="420"/>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4"/>
      <w:r>
        <w:rPr>
          <w:rFonts w:hint="eastAsia" w:ascii="仿宋" w:hAnsi="仿宋" w:eastAsia="仿宋" w:cs="仿宋"/>
          <w:color w:val="000000"/>
          <w:sz w:val="28"/>
          <w:szCs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498" w:name="_Toc520356164"/>
      <w:r/>
      <w:bookmarkStart w:id="499" w:name="_Toc151193781"/>
      <w:r/>
      <w:bookmarkStart w:id="500" w:name="_Toc142311041"/>
      <w:r/>
      <w:bookmarkStart w:id="501" w:name="_Toc226965812"/>
      <w:r/>
      <w:bookmarkStart w:id="502" w:name="_Toc150774750"/>
      <w:r/>
      <w:bookmarkStart w:id="503" w:name="_Toc151190172"/>
      <w:r/>
      <w:bookmarkStart w:id="504" w:name="_Toc264969235"/>
      <w:r/>
      <w:bookmarkStart w:id="505" w:name="_Toc195842910"/>
      <w:r/>
      <w:bookmarkStart w:id="506" w:name="_Toc150509296"/>
      <w:r/>
      <w:bookmarkStart w:id="507" w:name="_Toc305158881"/>
      <w:r/>
      <w:bookmarkStart w:id="508" w:name="_Toc164351633"/>
      <w:r/>
      <w:bookmarkStart w:id="509" w:name="_Toc151193637"/>
      <w:r/>
      <w:bookmarkStart w:id="510" w:name="_Toc226337235"/>
      <w:r/>
      <w:bookmarkStart w:id="511" w:name="_Toc151193853"/>
      <w:r/>
      <w:bookmarkStart w:id="512" w:name="_Toc151193927"/>
      <w:r/>
      <w:bookmarkStart w:id="513" w:name="_Toc127151740"/>
      <w:r/>
      <w:bookmarkStart w:id="514" w:name="_Toc265228377"/>
      <w:r/>
      <w:bookmarkStart w:id="515" w:name="_Toc164229380"/>
      <w:r/>
      <w:bookmarkStart w:id="516" w:name="_Toc305158813"/>
      <w:r/>
      <w:bookmarkStart w:id="517" w:name="_Toc151190166"/>
      <w:r/>
      <w:bookmarkStart w:id="518" w:name="_Toc149720832"/>
      <w:r/>
      <w:bookmarkStart w:id="519" w:name="_Toc164608653"/>
      <w:r/>
      <w:bookmarkStart w:id="520" w:name="_Toc150509290"/>
      <w:r/>
      <w:bookmarkStart w:id="521" w:name="_Toc150480777"/>
      <w:r/>
      <w:bookmarkStart w:id="522" w:name="_Toc150774744"/>
      <w:r/>
      <w:bookmarkStart w:id="523" w:name="_Toc127161453"/>
      <w:r/>
      <w:bookmarkStart w:id="524" w:name="_Toc226965729"/>
      <w:r/>
      <w:bookmarkStart w:id="525" w:name="_Toc195842904"/>
      <w:r/>
      <w:bookmarkStart w:id="526" w:name="_Toc151193709"/>
      <w:r/>
      <w:bookmarkStart w:id="527" w:name="_Toc150774639"/>
      <w:r/>
      <w:bookmarkStart w:id="528" w:name="_Toc127151539"/>
      <w:r/>
      <w:bookmarkStart w:id="529" w:name="_Toc164608808"/>
      <w:r/>
      <w:bookmarkStart w:id="530" w:name="_Toc226309783"/>
      <w:r/>
      <w:bookmarkStart w:id="531" w:name="_Toc305158807"/>
      <w:r/>
      <w:bookmarkStart w:id="532" w:name="_Toc264969229"/>
      <w:r/>
      <w:bookmarkStart w:id="533" w:name="_Toc520356169"/>
      <w:r/>
      <w:bookmarkStart w:id="534" w:name="_Toc164229234"/>
      <w:r/>
      <w:bookmarkStart w:id="535" w:name="_Toc226965818"/>
      <w:r/>
      <w:bookmarkStart w:id="536" w:name="_Toc151193859"/>
      <w:r/>
      <w:bookmarkStart w:id="537" w:name="_Toc151193715"/>
      <w:r/>
      <w:bookmarkStart w:id="538" w:name="_Toc265228383"/>
      <w:r/>
      <w:bookmarkStart w:id="539" w:name="_Toc150774645"/>
      <w:r/>
      <w:bookmarkStart w:id="540" w:name="_Toc151193787"/>
      <w:r/>
      <w:bookmarkStart w:id="541" w:name="_Toc151193643"/>
      <w:r/>
      <w:bookmarkStart w:id="542" w:name="_Toc150480783"/>
      <w:r/>
      <w:bookmarkStart w:id="543" w:name="_Toc142311047"/>
      <w:r/>
      <w:bookmarkStart w:id="544" w:name="_Toc305158887"/>
      <w:r/>
      <w:bookmarkStart w:id="545" w:name="_Toc226309789"/>
      <w:r/>
      <w:bookmarkStart w:id="546" w:name="_Toc226965735"/>
      <w:r/>
      <w:bookmarkStart w:id="547" w:name="_Toc226337241"/>
      <w:r/>
      <w:bookmarkStart w:id="548" w:name="_Toc127151545"/>
      <w:r/>
      <w:bookmarkStart w:id="549" w:name="_Toc151193933"/>
      <w:r>
        <w:rPr>
          <w:rFonts w:hint="eastAsia" w:ascii="仿宋" w:hAnsi="仿宋" w:eastAsia="仿宋" w:cs="仿宋"/>
          <w:color w:val="000000"/>
          <w:sz w:val="21"/>
          <w:szCs w:val="21"/>
          <w:highlight w:val="none"/>
        </w:rPr>
        <w:t xml:space="preserve">18.开标</w:t>
      </w:r>
      <w:bookmarkEnd w:id="498"/>
      <w:r/>
      <w:bookmarkEnd w:id="499"/>
      <w:r/>
      <w:bookmarkEnd w:id="500"/>
      <w:r/>
      <w:bookmarkEnd w:id="501"/>
      <w:r/>
      <w:bookmarkEnd w:id="507"/>
      <w:r/>
      <w:bookmarkEnd w:id="508"/>
      <w:r/>
      <w:bookmarkEnd w:id="509"/>
      <w:r/>
      <w:bookmarkEnd w:id="510"/>
      <w:r/>
      <w:bookmarkEnd w:id="511"/>
      <w:r/>
      <w:bookmarkEnd w:id="512"/>
      <w:r/>
      <w:bookmarkEnd w:id="513"/>
      <w:r/>
      <w:bookmarkEnd w:id="514"/>
      <w:r/>
      <w:bookmarkEnd w:id="515"/>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4"/>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550"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不予开标。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End w:id="550"/>
      <w:r/>
      <w:bookmarkStart w:id="551" w:name="_Toc150480778"/>
      <w:r/>
      <w:bookmarkStart w:id="552" w:name="_Toc265228378"/>
      <w:r/>
      <w:bookmarkStart w:id="553" w:name="_Toc127151741"/>
      <w:r/>
      <w:bookmarkStart w:id="554" w:name="_Toc195842905"/>
      <w:r/>
      <w:bookmarkStart w:id="555" w:name="_Toc226309784"/>
      <w:r/>
      <w:bookmarkStart w:id="556" w:name="_Toc226965730"/>
      <w:r/>
      <w:bookmarkStart w:id="557" w:name="_Toc151193710"/>
      <w:r/>
      <w:bookmarkStart w:id="558" w:name="_Toc127151540"/>
      <w:r/>
      <w:bookmarkStart w:id="559" w:name="_Toc151193928"/>
      <w:r/>
      <w:bookmarkStart w:id="560" w:name="_Toc164229381"/>
      <w:r/>
      <w:bookmarkStart w:id="561" w:name="_Toc150774745"/>
      <w:r/>
      <w:bookmarkStart w:id="562" w:name="_Toc164351634"/>
      <w:r/>
      <w:bookmarkStart w:id="563" w:name="_Toc151193854"/>
      <w:r/>
      <w:bookmarkStart w:id="564" w:name="_Toc305158808"/>
      <w:r/>
      <w:bookmarkStart w:id="565" w:name="_Toc149720833"/>
      <w:r/>
      <w:bookmarkStart w:id="566" w:name="_Toc151193638"/>
      <w:r/>
      <w:bookmarkStart w:id="567" w:name="_Toc150509291"/>
      <w:r/>
      <w:bookmarkStart w:id="568" w:name="_Toc151190167"/>
      <w:r/>
      <w:bookmarkStart w:id="569" w:name="_Toc305158882"/>
      <w:r/>
      <w:bookmarkStart w:id="570" w:name="_Toc151193782"/>
      <w:r/>
      <w:bookmarkStart w:id="571" w:name="_Toc164608654"/>
      <w:r/>
      <w:bookmarkStart w:id="572" w:name="_Toc142311042"/>
      <w:r/>
      <w:bookmarkStart w:id="573" w:name="_Toc264969230"/>
      <w:r/>
      <w:bookmarkStart w:id="574" w:name="_Toc226965813"/>
      <w:r/>
      <w:bookmarkStart w:id="575" w:name="_Toc150774640"/>
      <w:r/>
      <w:bookmarkStart w:id="576" w:name="_Toc164229235"/>
      <w:r/>
      <w:bookmarkStart w:id="577" w:name="_Toc164608809"/>
      <w:r/>
      <w:bookmarkStart w:id="578" w:name="_Toc226337236"/>
      <w:r/>
      <w:bookmarkStart w:id="579" w:name="_Toc127161454"/>
      <w:r>
        <w:rPr>
          <w:rFonts w:hint="eastAsia" w:ascii="仿宋" w:hAnsi="仿宋" w:eastAsia="仿宋" w:cs="仿宋"/>
          <w:color w:val="000000"/>
          <w:sz w:val="21"/>
          <w:szCs w:val="21"/>
          <w:highlight w:val="none"/>
        </w:rPr>
        <w:t xml:space="preserve">20.评标委员会</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80" w:name="_Toc520356166"/>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0"/>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61"/>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   </w:t>
      </w:r>
      <w:bookmarkEnd w:id="533"/>
      <w:r>
        <w:rPr>
          <w:rFonts w:hint="eastAsia" w:ascii="仿宋" w:hAnsi="仿宋" w:eastAsia="仿宋" w:cs="仿宋"/>
          <w:color w:val="000000"/>
          <w:sz w:val="28"/>
          <w:szCs w:val="28"/>
          <w:highlight w:val="none"/>
        </w:rPr>
        <w:t xml:space="preserve">确定中标</w:t>
      </w:r>
      <w:bookmarkEnd w:id="502"/>
      <w:r/>
      <w:bookmarkEnd w:id="503"/>
      <w:r/>
      <w:bookmarkEnd w:id="504"/>
      <w:r/>
      <w:bookmarkEnd w:id="505"/>
      <w:r/>
      <w:bookmarkEnd w:id="506"/>
      <w:r/>
      <w:bookmarkEnd w:id="516"/>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81" w:name="_Toc151193717"/>
      <w:r/>
      <w:bookmarkStart w:id="582" w:name="_Toc264969237"/>
      <w:r/>
      <w:bookmarkStart w:id="583" w:name="_Toc127161461"/>
      <w:r/>
      <w:bookmarkStart w:id="584" w:name="_Toc195842912"/>
      <w:r/>
      <w:bookmarkStart w:id="585" w:name="_Toc305158889"/>
      <w:r/>
      <w:bookmarkStart w:id="586" w:name="_Toc127151547"/>
      <w:r/>
      <w:bookmarkStart w:id="587" w:name="_Toc151193935"/>
      <w:r/>
      <w:bookmarkStart w:id="588" w:name="_Toc305158815"/>
      <w:r/>
      <w:bookmarkStart w:id="589" w:name="_Toc150509298"/>
      <w:r/>
      <w:bookmarkStart w:id="590" w:name="_Toc150480785"/>
      <w:r/>
      <w:bookmarkStart w:id="591" w:name="_Toc164229242"/>
      <w:r/>
      <w:bookmarkStart w:id="592" w:name="_Toc142311049"/>
      <w:r/>
      <w:bookmarkStart w:id="593" w:name="_Toc150774647"/>
      <w:r/>
      <w:bookmarkStart w:id="594" w:name="_Toc149720840"/>
      <w:r/>
      <w:bookmarkStart w:id="595" w:name="_Toc226337243"/>
      <w:r/>
      <w:bookmarkStart w:id="596" w:name="_Toc164608816"/>
      <w:r/>
      <w:bookmarkStart w:id="597" w:name="_Toc226965737"/>
      <w:r/>
      <w:bookmarkStart w:id="598" w:name="_Toc151193789"/>
      <w:r/>
      <w:bookmarkStart w:id="599" w:name="_Toc151193645"/>
      <w:r/>
      <w:bookmarkStart w:id="600" w:name="_Toc127151748"/>
      <w:r/>
      <w:bookmarkStart w:id="601" w:name="_Toc151193861"/>
      <w:r/>
      <w:bookmarkStart w:id="602" w:name="_Toc150774752"/>
      <w:r/>
      <w:bookmarkStart w:id="603" w:name="_Toc265228385"/>
      <w:r/>
      <w:bookmarkStart w:id="604" w:name="_Toc164351641"/>
      <w:r/>
      <w:bookmarkStart w:id="605" w:name="_Toc226965820"/>
      <w:r/>
      <w:bookmarkStart w:id="606" w:name="_Toc151190174"/>
      <w:r/>
      <w:bookmarkStart w:id="607" w:name="_Toc164608661"/>
      <w:r/>
      <w:bookmarkStart w:id="608" w:name="_Toc164229388"/>
      <w:r/>
      <w:bookmarkStart w:id="609" w:name="_Toc226309791"/>
      <w:r>
        <w:rPr>
          <w:rFonts w:hint="eastAsia" w:ascii="仿宋" w:hAnsi="仿宋" w:eastAsia="仿宋" w:cs="仿宋"/>
          <w:color w:val="000000"/>
          <w:sz w:val="28"/>
          <w:szCs w:val="28"/>
          <w:highlight w:val="none"/>
        </w:rPr>
      </w:r>
      <w:r/>
    </w:p>
    <w:p>
      <w:pPr>
        <w:pStyle w:val="1357"/>
        <w:ind w:firstLine="420"/>
        <w:spacing w:line="360" w:lineRule="auto"/>
        <w:rPr>
          <w:rFonts w:hint="eastAsia" w:ascii="仿宋" w:hAnsi="仿宋" w:eastAsia="仿宋" w:cs="仿宋"/>
          <w:color w:val="000000"/>
          <w:sz w:val="21"/>
          <w:szCs w:val="21"/>
          <w:highlight w:val="none"/>
        </w:rPr>
      </w:pPr>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Start w:id="610" w:name="_Toc151193647"/>
      <w:r/>
      <w:bookmarkStart w:id="611" w:name="_Toc164608818"/>
      <w:r/>
      <w:bookmarkStart w:id="612" w:name="_Toc127151549"/>
      <w:r/>
      <w:bookmarkStart w:id="613" w:name="_Toc150509300"/>
      <w:r/>
      <w:bookmarkStart w:id="614" w:name="_Toc265228387"/>
      <w:r/>
      <w:bookmarkStart w:id="615" w:name="_Toc164351643"/>
      <w:r/>
      <w:bookmarkStart w:id="616" w:name="_Toc151193863"/>
      <w:r/>
      <w:bookmarkStart w:id="617" w:name="_Toc151190176"/>
      <w:r/>
      <w:bookmarkStart w:id="618" w:name="_Ref467306425"/>
      <w:r/>
      <w:bookmarkStart w:id="619" w:name="_Ref467307090"/>
      <w:r/>
      <w:bookmarkStart w:id="620" w:name="_Toc520356176"/>
      <w:r/>
      <w:bookmarkStart w:id="621" w:name="_Toc226309793"/>
      <w:r/>
      <w:bookmarkStart w:id="622" w:name="_Toc195842914"/>
      <w:r/>
      <w:bookmarkStart w:id="623" w:name="_Toc150480787"/>
      <w:r/>
      <w:bookmarkStart w:id="624" w:name="_Toc226965739"/>
      <w:r/>
      <w:bookmarkStart w:id="625" w:name="_Toc264969239"/>
      <w:r/>
      <w:bookmarkStart w:id="626" w:name="_Toc127151750"/>
      <w:r/>
      <w:bookmarkStart w:id="627" w:name="_Toc150774649"/>
      <w:r/>
      <w:bookmarkStart w:id="628" w:name="_Toc127161463"/>
      <w:r/>
      <w:bookmarkStart w:id="629" w:name="_Toc305158817"/>
      <w:r/>
      <w:bookmarkStart w:id="630" w:name="_Toc305158891"/>
      <w:r/>
      <w:bookmarkStart w:id="631" w:name="_Toc164229244"/>
      <w:r/>
      <w:bookmarkStart w:id="632" w:name="_Toc150774754"/>
      <w:r/>
      <w:bookmarkStart w:id="633" w:name="_Toc151193937"/>
      <w:r/>
      <w:bookmarkStart w:id="634" w:name="_Toc226965822"/>
      <w:r/>
      <w:bookmarkStart w:id="635" w:name="_Toc226337245"/>
      <w:r/>
      <w:bookmarkStart w:id="636" w:name="_Toc149720842"/>
      <w:r/>
      <w:bookmarkStart w:id="637" w:name="_Toc151193719"/>
      <w:r/>
      <w:bookmarkStart w:id="638" w:name="_Toc164608663"/>
      <w:r/>
      <w:bookmarkStart w:id="639" w:name="_Toc164229390"/>
      <w:r/>
      <w:bookmarkStart w:id="640" w:name="_Toc142311051"/>
      <w:r/>
      <w:bookmarkStart w:id="641" w:name="_Toc151193791"/>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29"/>
      <w:r/>
      <w:bookmarkEnd w:id="630"/>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符合专业条件的供应商或者对</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招标文件作实质响应的供应商不足三家的；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.1.4因重大变故，采购任务取消的。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End w:id="610"/>
      <w:r/>
      <w:bookmarkEnd w:id="611"/>
      <w:r/>
      <w:bookmarkEnd w:id="612"/>
      <w:r/>
      <w:bookmarkEnd w:id="613"/>
      <w:r/>
      <w:bookmarkEnd w:id="614"/>
      <w:r/>
      <w:bookmarkEnd w:id="615"/>
      <w:r/>
      <w:bookmarkEnd w:id="616"/>
      <w:r/>
      <w:bookmarkEnd w:id="617"/>
      <w:r/>
      <w:bookmarkEnd w:id="621"/>
      <w:r/>
      <w:bookmarkEnd w:id="622"/>
      <w:r/>
      <w:bookmarkEnd w:id="623"/>
      <w:r/>
      <w:bookmarkEnd w:id="624"/>
      <w:r/>
      <w:bookmarkEnd w:id="625"/>
      <w:r/>
      <w:bookmarkEnd w:id="626"/>
      <w:r/>
      <w:bookmarkEnd w:id="627"/>
      <w:r/>
      <w:bookmarkEnd w:id="628"/>
      <w:r/>
      <w:bookmarkEnd w:id="631"/>
      <w:r/>
      <w:bookmarkEnd w:id="632"/>
      <w:r/>
      <w:bookmarkEnd w:id="633"/>
      <w:r/>
      <w:bookmarkEnd w:id="634"/>
      <w:r/>
      <w:bookmarkEnd w:id="635"/>
      <w:r/>
      <w:bookmarkEnd w:id="636"/>
      <w:r/>
      <w:bookmarkEnd w:id="637"/>
      <w:r/>
      <w:bookmarkEnd w:id="638"/>
      <w:r/>
      <w:bookmarkEnd w:id="639"/>
      <w:r/>
      <w:bookmarkEnd w:id="640"/>
      <w:r/>
      <w:bookmarkEnd w:id="641"/>
      <w:r/>
      <w:bookmarkStart w:id="642" w:name="_Toc164229245"/>
      <w:r/>
      <w:bookmarkStart w:id="643" w:name="_Toc195842915"/>
      <w:r/>
      <w:bookmarkStart w:id="644" w:name="_Toc127151751"/>
      <w:r/>
      <w:bookmarkStart w:id="645" w:name="_Toc127151550"/>
      <w:r/>
      <w:bookmarkStart w:id="646" w:name="_Toc151193864"/>
      <w:r/>
      <w:bookmarkStart w:id="647" w:name="_Ref467306978"/>
      <w:r/>
      <w:bookmarkStart w:id="648" w:name="_Toc226965823"/>
      <w:r/>
      <w:bookmarkStart w:id="649" w:name="_Toc226337246"/>
      <w:r/>
      <w:bookmarkStart w:id="650" w:name="_Toc305158818"/>
      <w:r/>
      <w:bookmarkStart w:id="651" w:name="_Toc149720843"/>
      <w:r/>
      <w:bookmarkStart w:id="652" w:name="_Toc164608819"/>
      <w:r/>
      <w:bookmarkStart w:id="653" w:name="_Toc150480788"/>
      <w:r/>
      <w:bookmarkStart w:id="654" w:name="_Toc226309794"/>
      <w:r/>
      <w:bookmarkStart w:id="655" w:name="_Ref467306377"/>
      <w:r/>
      <w:bookmarkStart w:id="656" w:name="_Toc151193720"/>
      <w:r/>
      <w:bookmarkStart w:id="657" w:name="_Toc226965740"/>
      <w:r/>
      <w:bookmarkStart w:id="658" w:name="_Toc264969240"/>
      <w:r/>
      <w:bookmarkStart w:id="659" w:name="_Toc164608664"/>
      <w:r/>
      <w:bookmarkStart w:id="660" w:name="_Toc265228388"/>
      <w:r/>
      <w:bookmarkStart w:id="661" w:name="_Toc151190177"/>
      <w:r/>
      <w:bookmarkStart w:id="662" w:name="_Ref467307062"/>
      <w:r/>
      <w:bookmarkStart w:id="663" w:name="_Toc150774755"/>
      <w:r/>
      <w:bookmarkStart w:id="664" w:name="_Toc164351644"/>
      <w:r/>
      <w:bookmarkStart w:id="665" w:name="_Toc164229391"/>
      <w:r/>
      <w:bookmarkStart w:id="666" w:name="_Toc150774650"/>
      <w:r/>
      <w:bookmarkStart w:id="667" w:name="_Toc151193792"/>
      <w:r/>
      <w:bookmarkStart w:id="668" w:name="_Toc142311052"/>
      <w:r/>
      <w:bookmarkStart w:id="669" w:name="_Ref467307204"/>
      <w:r/>
      <w:bookmarkStart w:id="670" w:name="_Toc127161464"/>
      <w:r/>
      <w:bookmarkStart w:id="671" w:name="_Toc151193648"/>
      <w:r/>
      <w:bookmarkStart w:id="672" w:name="_Toc150509301"/>
      <w:r/>
      <w:bookmarkStart w:id="673" w:name="_Toc520356175"/>
      <w:r/>
      <w:bookmarkStart w:id="674" w:name="_Toc305158892"/>
      <w:r/>
      <w:bookmarkStart w:id="675" w:name="_Toc151193938"/>
      <w:r>
        <w:rPr>
          <w:rFonts w:hint="eastAsia" w:ascii="仿宋" w:hAnsi="仿宋" w:eastAsia="仿宋" w:cs="仿宋"/>
          <w:color w:val="000000"/>
          <w:sz w:val="21"/>
          <w:szCs w:val="21"/>
          <w:highlight w:val="none"/>
        </w:rPr>
        <w:t xml:space="preserve">25.签订合同</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bookmarkEnd w:id="618"/>
      <w:r/>
      <w:bookmarkEnd w:id="619"/>
      <w:r/>
      <w:bookmarkEnd w:id="620"/>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357"/>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76" w:name="_Hlt100654014"/>
      <w:r>
        <w:rPr>
          <w:rFonts w:hint="eastAsia" w:ascii="仿宋" w:hAnsi="仿宋" w:eastAsia="仿宋" w:cs="仿宋"/>
          <w:color w:val="000000"/>
          <w:sz w:val="21"/>
          <w:szCs w:val="21"/>
          <w:highlight w:val="none"/>
        </w:rPr>
        <w:t xml:space="preserve">s</w:t>
      </w:r>
      <w:bookmarkEnd w:id="676"/>
      <w:r>
        <w:rPr>
          <w:rFonts w:hint="eastAsia" w:ascii="仿宋" w:hAnsi="仿宋" w:eastAsia="仿宋" w:cs="仿宋"/>
          <w:color w:val="000000"/>
          <w:sz w:val="21"/>
          <w:szCs w:val="21"/>
          <w:highlight w:val="none"/>
        </w:rPr>
        <w:t xml:space="preserve">.m</w:t>
      </w:r>
      <w:bookmarkStart w:id="677" w:name="_Hlt100653993"/>
      <w:r/>
      <w:bookmarkStart w:id="678" w:name="_Hlt100653994"/>
      <w:r>
        <w:rPr>
          <w:rFonts w:hint="eastAsia" w:ascii="仿宋" w:hAnsi="仿宋" w:eastAsia="仿宋" w:cs="仿宋"/>
          <w:color w:val="000000"/>
          <w:sz w:val="21"/>
          <w:szCs w:val="21"/>
          <w:highlight w:val="none"/>
        </w:rPr>
        <w:t xml:space="preserve">o</w:t>
      </w:r>
      <w:bookmarkEnd w:id="677"/>
      <w:r/>
      <w:bookmarkEnd w:id="678"/>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35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59"/>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259"/>
        <w:jc w:val="center"/>
        <w:spacing w:line="360" w:lineRule="auto"/>
        <w:rPr>
          <w:rStyle w:val="1271"/>
          <w:rFonts w:hint="eastAsia" w:ascii="仿宋" w:hAnsi="仿宋" w:eastAsia="仿宋" w:cs="仿宋"/>
          <w:color w:val="000000"/>
          <w:highlight w:val="none"/>
          <w:lang w:val="en-US" w:eastAsia="zh-CN"/>
        </w:rPr>
        <w:outlineLvl w:val="0"/>
      </w:pPr>
      <w:r/>
      <w:bookmarkStart w:id="679" w:name="_Toc265228392"/>
      <w:r/>
      <w:bookmarkStart w:id="680" w:name="_Toc305158822"/>
      <w:r/>
      <w:bookmarkStart w:id="681" w:name="_Toc353825544"/>
      <w:r/>
      <w:bookmarkStart w:id="682" w:name="_Toc150774759"/>
      <w:r/>
      <w:bookmarkStart w:id="683" w:name="_Toc264969244"/>
      <w:r/>
      <w:bookmarkStart w:id="684" w:name="_Toc305158896"/>
      <w:r/>
      <w:bookmarkStart w:id="685" w:name="_Toc142311056"/>
      <w:r/>
      <w:bookmarkStart w:id="686" w:name="_Toc353873664"/>
      <w:r/>
      <w:bookmarkStart w:id="687" w:name="_Toc226337250"/>
      <w:r/>
      <w:bookmarkStart w:id="688" w:name="_Toc353873934"/>
      <w:r/>
      <w:bookmarkStart w:id="689" w:name="_Toc226965827"/>
      <w:r/>
      <w:bookmarkStart w:id="690" w:name="_Toc127151554"/>
      <w:r/>
      <w:bookmarkStart w:id="691" w:name="_Toc150480792"/>
      <w:r>
        <w:rPr>
          <w:rFonts w:hint="eastAsia" w:ascii="仿宋" w:hAnsi="仿宋" w:eastAsia="仿宋" w:cs="仿宋"/>
          <w:color w:val="000000"/>
          <w:sz w:val="24"/>
          <w:highlight w:val="none"/>
        </w:rPr>
        <w:br w:type="page" w:clear="all"/>
      </w:r>
      <w:bookmarkStart w:id="692" w:name="_Toc8933"/>
      <w:r>
        <w:rPr>
          <w:rStyle w:val="1271"/>
          <w:rFonts w:hint="eastAsia" w:ascii="仿宋" w:hAnsi="仿宋" w:eastAsia="仿宋" w:cs="仿宋"/>
          <w:color w:val="000000"/>
          <w:highlight w:val="none"/>
          <w:lang w:val="en-US" w:eastAsia="zh-CN"/>
        </w:rPr>
        <w:t xml:space="preserve">第三章   </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Style w:val="1271"/>
          <w:rFonts w:hint="eastAsia" w:ascii="仿宋" w:hAnsi="仿宋" w:eastAsia="仿宋" w:cs="仿宋"/>
          <w:color w:val="000000"/>
          <w:highlight w:val="none"/>
          <w:lang w:val="en-US" w:eastAsia="zh-CN"/>
        </w:rPr>
        <w:t xml:space="preserve">资格审查</w:t>
      </w:r>
      <w:bookmarkEnd w:id="692"/>
      <w:r/>
      <w:bookmarkStart w:id="693" w:name="_Toc487900382"/>
      <w:r>
        <w:rPr>
          <w:rStyle w:val="1271"/>
          <w:rFonts w:hint="eastAsia" w:ascii="仿宋" w:hAnsi="仿宋" w:eastAsia="仿宋" w:cs="仿宋"/>
          <w:color w:val="000000"/>
          <w:highlight w:val="none"/>
          <w:lang w:val="en-US" w:eastAsia="zh-CN"/>
        </w:rPr>
      </w:r>
      <w:r/>
    </w:p>
    <w:p>
      <w:pPr>
        <w:pStyle w:val="1259"/>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694" w:name="_Toc99301422"/>
      <w:r>
        <w:rPr>
          <w:rFonts w:hint="eastAsia" w:ascii="仿宋" w:hAnsi="仿宋" w:eastAsia="仿宋" w:cs="仿宋"/>
          <w:b/>
          <w:color w:val="000000"/>
          <w:sz w:val="24"/>
          <w:highlight w:val="none"/>
        </w:rPr>
        <w:t xml:space="preserve">一、资格审查程序</w:t>
      </w:r>
      <w:bookmarkEnd w:id="694"/>
      <w:r>
        <w:rPr>
          <w:rFonts w:hint="eastAsia" w:ascii="仿宋" w:hAnsi="仿宋" w:eastAsia="仿宋" w:cs="仿宋"/>
          <w:b/>
          <w:color w:val="000000"/>
          <w:sz w:val="24"/>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资格审查合格的供应商不足3家的，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不进行评标。</w:t>
      </w:r>
      <w:r>
        <w:rPr>
          <w:rFonts w:hint="eastAsia" w:ascii="仿宋" w:hAnsi="仿宋" w:eastAsia="仿宋" w:cs="仿宋"/>
          <w:color w:val="000000"/>
          <w:sz w:val="21"/>
          <w:szCs w:val="21"/>
          <w:highlight w:val="none"/>
        </w:rPr>
      </w:r>
      <w:r/>
    </w:p>
    <w:p>
      <w:pPr>
        <w:pStyle w:val="1259"/>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59"/>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hint="eastAsia" w:ascii="仿宋" w:hAnsi="仿宋" w:eastAsia="仿宋" w:cs="仿宋"/>
          <w:b/>
          <w:color w:val="000000"/>
          <w:szCs w:val="21"/>
          <w:highlight w:val="none"/>
        </w:rPr>
      </w:r>
      <w:r/>
    </w:p>
    <w:p>
      <w:pPr>
        <w:pStyle w:val="1259"/>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624"/>
        <w:gridCol w:w="5155"/>
        <w:gridCol w:w="2179"/>
      </w:tblGrid>
      <w:tr>
        <w:trPr>
          <w:trHeight w:val="468"/>
          <w:tblHeader/>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bookmarkStart w:id="695" w:name="_Hlt487972895"/>
            <w:r/>
            <w:bookmarkEnd w:id="695"/>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515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至少应提供：</w:t>
            </w:r>
            <w:r>
              <w:rPr>
                <w:rFonts w:hint="eastAsia" w:ascii="仿宋" w:hAnsi="仿宋" w:eastAsia="仿宋" w:cs="仿宋"/>
                <w:color w:val="000000"/>
                <w:szCs w:val="21"/>
                <w:highlight w:val="none"/>
                <w:lang w:val="en-US" w:eastAsia="zh-CN"/>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提供营业执照副本扫描件</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上一</w:t>
            </w:r>
            <w:r>
              <w:rPr>
                <w:rFonts w:hint="eastAsia" w:ascii="仿宋" w:hAnsi="仿宋" w:eastAsia="仿宋" w:cs="仿宋"/>
                <w:color w:val="000000"/>
                <w:szCs w:val="21"/>
                <w:highlight w:val="none"/>
                <w:lang w:val="en-US" w:eastAsia="zh-CN"/>
              </w:rPr>
              <w:t xml:space="preserve">年度的财务状况报告（成立不满一年不需提供），财务状况报告至少应包含资产负债表、利润表、现金流量表；</w:t>
            </w:r>
            <w:r>
              <w:rPr>
                <w:rFonts w:hint="eastAsia" w:ascii="仿宋" w:hAnsi="仿宋" w:eastAsia="仿宋" w:cs="仿宋"/>
                <w:color w:val="000000"/>
                <w:szCs w:val="21"/>
                <w:highlight w:val="none"/>
                <w:lang w:val="en-US" w:eastAsia="zh-CN"/>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依法缴纳税收和社会保障资金的相关材料（提供提交开标时间前一年内至少一个月依法缴纳税收及缴纳社会保障资金的证明材料。供应商存在依法享受缓缴、免缴税收、社会保障资金的情形的，应提供证明材料）；</w:t>
            </w:r>
            <w:r>
              <w:rPr>
                <w:rFonts w:hint="eastAsia" w:ascii="仿宋" w:hAnsi="仿宋" w:eastAsia="仿宋" w:cs="仿宋"/>
                <w:color w:val="000000"/>
                <w:szCs w:val="21"/>
                <w:highlight w:val="none"/>
                <w:lang w:val="en-US" w:eastAsia="zh-CN"/>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2179" w:type="dxa"/>
            <w:vAlign w:val="center"/>
            <w:textDirection w:val="lrTb"/>
            <w:noWrap w:val="false"/>
          </w:tcPr>
          <w:p>
            <w:pPr>
              <w:pStyle w:val="1259"/>
              <w:spacing w:line="240" w:lineRule="exact"/>
              <w:tabs>
                <w:tab w:val="left" w:pos="1080" w:leader="none"/>
              </w:tabs>
              <w:rPr>
                <w:rFonts w:hint="eastAsia" w:ascii="仿宋" w:hAnsi="仿宋" w:eastAsia="仿宋" w:cs="仿宋"/>
                <w:color w:val="000000"/>
                <w:szCs w:val="21"/>
                <w:highlight w:val="none"/>
                <w:lang w:val="en-US"/>
              </w:rPr>
            </w:pPr>
            <w:r>
              <w:rPr>
                <w:rFonts w:hint="eastAsia" w:ascii="仿宋" w:hAnsi="仿宋" w:eastAsia="仿宋" w:cs="仿宋"/>
                <w:b/>
                <w:bCs/>
                <w:color w:val="000000"/>
                <w:highlight w:val="none"/>
                <w:lang w:val="en-US" w:eastAsia="zh-CN"/>
              </w:rPr>
              <w:t xml:space="preserve">按采购文件及“苏采云”系统明确的要求提供证明材料并加盖公章。</w:t>
            </w:r>
            <w:r>
              <w:rPr>
                <w:rFonts w:hint="eastAsia" w:ascii="仿宋" w:hAnsi="仿宋" w:eastAsia="仿宋" w:cs="仿宋"/>
                <w:color w:val="000000"/>
                <w:szCs w:val="21"/>
                <w:highlight w:val="none"/>
                <w:lang w:val="en-US"/>
              </w:rPr>
            </w:r>
            <w:r/>
          </w:p>
        </w:tc>
      </w:tr>
      <w:tr>
        <w:trPr>
          <w:trHeight w:val="468"/>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327"/>
              <w:ind w:left="0" w:firstLine="0"/>
              <w:jc w:val="left"/>
              <w:keepLines w:val="0"/>
              <w:keepNext w:val="0"/>
              <w:pageBreakBefore w:val="0"/>
              <w:spacing w:after="0" w:line="30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687"/>
        </w:trPr>
        <w:tc>
          <w:tcPr>
            <w:tcW w:w="454" w:type="dxa"/>
            <w:vAlign w:val="center"/>
            <w:textDirection w:val="lrTb"/>
            <w:noWrap w:val="false"/>
          </w:tcPr>
          <w:p>
            <w:pPr>
              <w:pStyle w:val="1259"/>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详见第一章《投标邀请》</w:t>
            </w:r>
            <w:r>
              <w:rPr>
                <w:rFonts w:hint="eastAsia" w:ascii="仿宋" w:hAnsi="仿宋" w:eastAsia="仿宋" w:cs="仿宋"/>
                <w:color w:val="000000"/>
                <w:szCs w:val="21"/>
                <w:highlight w:val="none"/>
                <w:lang w:val="en-US" w:eastAsia="zh-CN"/>
              </w:rPr>
            </w:r>
            <w:r/>
          </w:p>
        </w:tc>
        <w:tc>
          <w:tcPr>
            <w:tcW w:w="1105" w:type="dxa"/>
            <w:vAlign w:val="center"/>
            <w:textDirection w:val="lrTb"/>
            <w:noWrap w:val="false"/>
          </w:tcPr>
          <w:p>
            <w:pPr>
              <w:pStyle w:val="1259"/>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提供证明文件电子件或电子证照</w:t>
            </w:r>
            <w:r>
              <w:rPr>
                <w:rFonts w:hint="eastAsia" w:ascii="仿宋" w:hAnsi="仿宋" w:eastAsia="仿宋" w:cs="仿宋"/>
                <w:color w:val="000000"/>
                <w:szCs w:val="21"/>
                <w:highlight w:val="none"/>
                <w:lang w:val="en-US" w:eastAsia="zh-CN"/>
              </w:rPr>
              <w:t xml:space="preserve">的扫描件</w:t>
            </w:r>
            <w:r>
              <w:rPr>
                <w:rFonts w:hint="eastAsia" w:ascii="仿宋" w:hAnsi="仿宋" w:eastAsia="仿宋" w:cs="仿宋"/>
                <w:color w:val="000000"/>
                <w:szCs w:val="21"/>
                <w:highlight w:val="none"/>
                <w:lang w:val="en-US" w:eastAsia="zh-CN"/>
              </w:rPr>
            </w:r>
            <w:r/>
          </w:p>
        </w:tc>
      </w:tr>
    </w:tbl>
    <w:p>
      <w:pPr>
        <w:pStyle w:val="1290"/>
        <w:jc w:val="center"/>
        <w:spacing w:line="360" w:lineRule="auto"/>
        <w:tabs>
          <w:tab w:val="left" w:pos="567" w:leader="none"/>
        </w:tabs>
        <w:rPr>
          <w:rStyle w:val="1271"/>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693"/>
      <w:r/>
      <w:bookmarkStart w:id="696" w:name="_Toc127161490"/>
      <w:r/>
      <w:bookmarkStart w:id="697" w:name="_Toc127151779"/>
      <w:r/>
      <w:bookmarkStart w:id="698" w:name="_Toc226965858"/>
      <w:r/>
      <w:bookmarkStart w:id="699" w:name="_Toc353825550"/>
      <w:r/>
      <w:bookmarkStart w:id="700" w:name="_Toc353873940"/>
      <w:r/>
      <w:bookmarkStart w:id="701" w:name="_Toc2784"/>
      <w:r>
        <w:rPr>
          <w:rStyle w:val="1271"/>
          <w:rFonts w:hint="eastAsia" w:ascii="仿宋" w:hAnsi="仿宋" w:eastAsia="仿宋" w:cs="仿宋"/>
          <w:color w:val="000000"/>
          <w:highlight w:val="none"/>
          <w:lang w:val="en-US" w:eastAsia="zh-CN"/>
        </w:rPr>
        <w:t xml:space="preserve">第四章   </w:t>
      </w:r>
      <w:bookmarkEnd w:id="696"/>
      <w:r/>
      <w:bookmarkEnd w:id="697"/>
      <w:r/>
      <w:bookmarkEnd w:id="698"/>
      <w:r/>
      <w:bookmarkEnd w:id="699"/>
      <w:r/>
      <w:bookmarkEnd w:id="700"/>
      <w:r/>
      <w:bookmarkStart w:id="702" w:name="_Hlt164229061"/>
      <w:r/>
      <w:bookmarkEnd w:id="702"/>
      <w:r>
        <w:rPr>
          <w:rStyle w:val="1271"/>
          <w:rFonts w:hint="eastAsia" w:ascii="仿宋" w:hAnsi="仿宋" w:eastAsia="仿宋" w:cs="仿宋"/>
          <w:color w:val="000000"/>
          <w:highlight w:val="none"/>
          <w:lang w:val="en-US" w:eastAsia="zh-CN"/>
        </w:rPr>
        <w:t xml:space="preserve">评标程序、评标方法和评标标准</w:t>
      </w:r>
      <w:bookmarkEnd w:id="701"/>
      <w:r>
        <w:rPr>
          <w:rStyle w:val="1271"/>
          <w:rFonts w:hint="eastAsia" w:ascii="仿宋" w:hAnsi="仿宋" w:eastAsia="仿宋" w:cs="仿宋"/>
          <w:color w:val="000000"/>
          <w:highlight w:val="none"/>
          <w:lang w:val="en-US" w:eastAsia="zh-CN"/>
        </w:rPr>
      </w:r>
      <w:r/>
    </w:p>
    <w:p>
      <w:pPr>
        <w:pStyle w:val="1259"/>
        <w:jc w:val="center"/>
        <w:spacing w:line="360" w:lineRule="auto"/>
        <w:tabs>
          <w:tab w:val="left" w:pos="360" w:leader="none"/>
          <w:tab w:val="left" w:pos="900" w:leader="none"/>
        </w:tabs>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一、评标程序</w:t>
      </w:r>
      <w:r>
        <w:rPr>
          <w:rFonts w:hint="eastAsia" w:ascii="仿宋" w:hAnsi="仿宋" w:eastAsia="仿宋" w:cs="仿宋"/>
          <w:b/>
          <w:color w:val="000000"/>
          <w:sz w:val="28"/>
          <w:szCs w:val="28"/>
          <w:highlight w:val="none"/>
        </w:rPr>
      </w:r>
      <w:r/>
    </w:p>
    <w:p>
      <w:pPr>
        <w:pStyle w:val="1357"/>
        <w:ind w:firstLine="420"/>
        <w:rPr>
          <w:rFonts w:hint="eastAsia" w:ascii="仿宋" w:hAnsi="仿宋" w:eastAsia="仿宋" w:cs="仿宋"/>
          <w:color w:val="000000"/>
          <w:sz w:val="21"/>
          <w:szCs w:val="21"/>
          <w:highlight w:val="none"/>
        </w:rPr>
      </w:pPr>
      <w:r/>
      <w:bookmarkStart w:id="703" w:name="_Toc305158809"/>
      <w:r/>
      <w:bookmarkStart w:id="704" w:name="_Toc195842906"/>
      <w:r/>
      <w:bookmarkStart w:id="705" w:name="_Toc226965814"/>
      <w:r/>
      <w:bookmarkStart w:id="706" w:name="_Toc151193855"/>
      <w:r/>
      <w:bookmarkStart w:id="707" w:name="_Toc226965731"/>
      <w:r/>
      <w:bookmarkStart w:id="708" w:name="_Toc150509292"/>
      <w:r/>
      <w:bookmarkStart w:id="709" w:name="_Toc151193783"/>
      <w:r/>
      <w:bookmarkStart w:id="710" w:name="_Toc127161455"/>
      <w:r/>
      <w:bookmarkStart w:id="711" w:name="_Toc164608810"/>
      <w:r/>
      <w:bookmarkStart w:id="712" w:name="_Toc264969231"/>
      <w:r/>
      <w:bookmarkStart w:id="713" w:name="_Toc151190168"/>
      <w:r/>
      <w:bookmarkStart w:id="714" w:name="_Toc151193639"/>
      <w:r/>
      <w:bookmarkStart w:id="715" w:name="_Toc305158883"/>
      <w:r/>
      <w:bookmarkStart w:id="716" w:name="_Toc151193711"/>
      <w:r/>
      <w:bookmarkStart w:id="717" w:name="_Toc164608655"/>
      <w:r/>
      <w:bookmarkStart w:id="718" w:name="_Toc226337237"/>
      <w:r/>
      <w:bookmarkStart w:id="719" w:name="_Toc150774641"/>
      <w:r/>
      <w:bookmarkStart w:id="720" w:name="_Toc150480779"/>
      <w:r/>
      <w:bookmarkStart w:id="721" w:name="_Toc127151541"/>
      <w:r/>
      <w:bookmarkStart w:id="722" w:name="_Toc164229382"/>
      <w:r/>
      <w:bookmarkStart w:id="723" w:name="_Toc127151742"/>
      <w:r/>
      <w:bookmarkStart w:id="724" w:name="_Toc164229236"/>
      <w:r/>
      <w:bookmarkStart w:id="725" w:name="_Toc142311043"/>
      <w:r/>
      <w:bookmarkStart w:id="726" w:name="_Toc265228379"/>
      <w:r/>
      <w:bookmarkStart w:id="727" w:name="_Toc150774746"/>
      <w:r/>
      <w:bookmarkStart w:id="728" w:name="_Toc226309785"/>
      <w:r/>
      <w:bookmarkStart w:id="729" w:name="_Toc149720834"/>
      <w:r/>
      <w:bookmarkStart w:id="730" w:name="_Toc151193929"/>
      <w:r/>
      <w:bookmarkStart w:id="731" w:name="_Toc164351635"/>
      <w:r/>
      <w:bookmarkStart w:id="732" w:name="_Toc353825551"/>
      <w:r/>
      <w:bookmarkStart w:id="733" w:name="_Toc353873941"/>
      <w:r/>
      <w:bookmarkStart w:id="734" w:name="_Toc127151555"/>
      <w:r/>
      <w:bookmarkStart w:id="735" w:name="_Toc150480793"/>
      <w:r/>
      <w:bookmarkStart w:id="736" w:name="_Toc353873665"/>
      <w:r/>
      <w:bookmarkStart w:id="737" w:name="_Toc142311057"/>
      <w:r/>
      <w:bookmarkStart w:id="738" w:name="_Toc265228393"/>
      <w:r/>
      <w:bookmarkStart w:id="739" w:name="_Toc150774760"/>
      <w:r/>
      <w:bookmarkStart w:id="740" w:name="_Toc353825545"/>
      <w:r/>
      <w:bookmarkStart w:id="741" w:name="_Toc264969245"/>
      <w:r/>
      <w:bookmarkStart w:id="742" w:name="_Toc305158823"/>
      <w:r/>
      <w:bookmarkStart w:id="743" w:name="_Toc226337251"/>
      <w:r/>
      <w:bookmarkStart w:id="744" w:name="_Toc195842920"/>
      <w:r/>
      <w:bookmarkStart w:id="745" w:name="_Toc305158897"/>
      <w:r/>
      <w:bookmarkStart w:id="746" w:name="_Toc226965828"/>
      <w:r/>
      <w:bookmarkStart w:id="747" w:name="_Toc353873935"/>
      <w:r>
        <w:rPr>
          <w:rFonts w:hint="eastAsia" w:ascii="仿宋" w:hAnsi="仿宋" w:eastAsia="仿宋" w:cs="仿宋"/>
          <w:color w:val="000000"/>
          <w:sz w:val="21"/>
          <w:szCs w:val="21"/>
          <w:highlight w:val="none"/>
        </w:rPr>
        <w:t xml:space="preserve">1.投标文件的符合性审查</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ascii="仿宋" w:hAnsi="仿宋" w:eastAsia="仿宋" w:cs="仿宋"/>
          <w:color w:val="000000"/>
          <w:sz w:val="21"/>
          <w:szCs w:val="21"/>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48" w:name="_Toc520356167"/>
      <w:r>
        <w:rPr>
          <w:rFonts w:hint="eastAsia" w:ascii="仿宋" w:hAnsi="仿宋" w:eastAsia="仿宋" w:cs="仿宋"/>
          <w:color w:val="000000"/>
          <w:sz w:val="21"/>
          <w:szCs w:val="21"/>
          <w:highlight w:val="none"/>
        </w:rPr>
      </w:r>
      <w:r/>
    </w:p>
    <w:p>
      <w:pPr>
        <w:pStyle w:val="1357"/>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48"/>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357"/>
        <w:ind w:left="0" w:firstLine="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4" w:type="pct"/>
        <w:jc w:val="center"/>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314"/>
        <w:gridCol w:w="7219"/>
      </w:tblGrid>
      <w:tr>
        <w:trPr>
          <w:trHeight w:val="489"/>
          <w:tblHeader/>
        </w:trPr>
        <w:tc>
          <w:tcPr>
            <w:tcW w:w="353" w:type="dxa"/>
            <w:vAlign w:val="center"/>
            <w:textDirection w:val="lrTb"/>
            <w:noWrap w:val="false"/>
          </w:tcPr>
          <w:p>
            <w:pPr>
              <w:pStyle w:val="1259"/>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128" w:type="dxa"/>
            <w:vAlign w:val="center"/>
            <w:textDirection w:val="lrTb"/>
            <w:noWrap w:val="false"/>
          </w:tcPr>
          <w:p>
            <w:pPr>
              <w:pStyle w:val="1259"/>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3518" w:type="dxa"/>
            <w:vAlign w:val="center"/>
            <w:textDirection w:val="lrTb"/>
            <w:noWrap w:val="false"/>
          </w:tcPr>
          <w:p>
            <w:pPr>
              <w:pStyle w:val="1259"/>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投标函、</w:t>
            </w:r>
            <w:r>
              <w:rPr>
                <w:rFonts w:hint="eastAsia" w:ascii="仿宋" w:hAnsi="仿宋" w:eastAsia="仿宋" w:cs="仿宋"/>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按招标文件要求提供投标函、</w:t>
            </w:r>
            <w:r>
              <w:rPr>
                <w:rFonts w:hint="eastAsia" w:ascii="仿宋" w:hAnsi="仿宋" w:eastAsia="仿宋" w:cs="仿宋"/>
                <w:b/>
                <w:bCs/>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投标完整性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未将一个采购包中的内容拆开投标；（由评委审查，无需供应商提供材料）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投标报价未</w:t>
            </w:r>
            <w:r>
              <w:rPr>
                <w:rFonts w:hint="eastAsia" w:ascii="仿宋" w:hAnsi="仿宋" w:eastAsia="仿宋" w:cs="仿宋"/>
                <w:color w:val="000000"/>
                <w:sz w:val="21"/>
                <w:szCs w:val="21"/>
                <w:highlight w:val="none"/>
              </w:rPr>
              <w:t xml:space="preserve">超过招标文件中规定的项目/采购包预算金额或者项目/采购包最高限价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报价唯一性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w:t>
            </w:r>
            <w:r>
              <w:rPr>
                <w:rFonts w:hint="eastAsia" w:ascii="仿宋" w:hAnsi="仿宋" w:eastAsia="仿宋" w:cs="仿宋"/>
                <w:color w:val="000000"/>
                <w:sz w:val="21"/>
                <w:szCs w:val="21"/>
                <w:highlight w:val="none"/>
              </w:rPr>
              <w:t xml:space="preserve">出现可选择性或可调整的报价（招标文件另有规定的除外）</w:t>
            </w:r>
            <w:r>
              <w:rPr>
                <w:rFonts w:hint="eastAsia" w:ascii="仿宋" w:hAnsi="仿宋" w:eastAsia="仿宋" w:cs="仿宋"/>
                <w:color w:val="000000"/>
                <w:sz w:val="21"/>
                <w:szCs w:val="21"/>
                <w:highlight w:val="none"/>
              </w:rPr>
              <w:t xml:space="preserve">；提供《开标一览表》《投标分项报价表》，格式见《投标文件格式》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投标文件中承诺的投标有效期满足招标文件中载明的投标有效期的；提供承诺书。</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签署、加盖公章</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按照招标文件要求签署、加盖公章的；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 w:val="21"/>
                <w:szCs w:val="21"/>
                <w:highlight w:val="none"/>
              </w:rPr>
              <w:t xml:space="preserve">还需提供：合同条款偏离表，采购需求偏离表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★号条款响应</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投标文件满足招标文件</w:t>
            </w:r>
            <w:r>
              <w:rPr>
                <w:rFonts w:hint="eastAsia" w:ascii="仿宋" w:hAnsi="仿宋" w:eastAsia="仿宋" w:cs="仿宋"/>
                <w:color w:val="000000"/>
                <w:sz w:val="21"/>
                <w:szCs w:val="21"/>
                <w:highlight w:val="none"/>
              </w:rPr>
              <w:t xml:space="preserve">第五章《采购需求》</w:t>
            </w:r>
            <w:r>
              <w:rPr>
                <w:rFonts w:hint="eastAsia" w:ascii="仿宋" w:hAnsi="仿宋" w:eastAsia="仿宋" w:cs="仿宋"/>
                <w:color w:val="000000"/>
                <w:sz w:val="21"/>
                <w:szCs w:val="21"/>
                <w:highlight w:val="none"/>
              </w:rPr>
              <w:t xml:space="preserve">中★号条款要求的；</w:t>
            </w:r>
            <w:r>
              <w:rPr>
                <w:rFonts w:hint="eastAsia" w:ascii="仿宋" w:hAnsi="仿宋" w:eastAsia="仿宋" w:cs="仿宋"/>
                <w:b/>
                <w:color w:val="000000"/>
                <w:sz w:val="21"/>
                <w:szCs w:val="21"/>
                <w:highlight w:val="none"/>
              </w:rPr>
              <w:t xml:space="preserve">如有的，根据列出的实质性条款，按照序号逐项提供相关证明材料；</w:t>
            </w:r>
            <w:r>
              <w:rPr>
                <w:rFonts w:hint="eastAsia" w:ascii="仿宋" w:hAnsi="仿宋" w:eastAsia="仿宋" w:cs="仿宋"/>
                <w:color w:val="000000"/>
                <w:sz w:val="21"/>
                <w:szCs w:val="21"/>
                <w:highlight w:val="none"/>
              </w:rPr>
              <w:t xml:space="preserve">如没有，则无需供应商提供材料。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分包承担主体资质（如有）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分包承担主体具备《供应商须知资料表》载明的资质条件且提供了资质证书电子件（如有）；</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分包意向协议</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按招标文件规定签订并提供分包意向协议原件的电子件的；（如有）格式见《投标文件格式》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报价的修正（如有）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不涉及报价修正，或投标文件报价出现前后不一致时，供应商对修正后的报价予以确认；（如有）</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报价合理，或</w:t>
            </w:r>
            <w:r>
              <w:rPr>
                <w:rFonts w:hint="eastAsia" w:ascii="仿宋" w:hAnsi="仿宋" w:eastAsia="仿宋" w:cs="仿宋"/>
                <w:color w:val="000000"/>
                <w:sz w:val="21"/>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进口产品</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1"/>
                <w:szCs w:val="21"/>
                <w:highlight w:val="none"/>
              </w:rPr>
            </w:r>
            <w:r/>
          </w:p>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绿色</w:t>
            </w:r>
            <w:r>
              <w:rPr>
                <w:rFonts w:hint="eastAsia" w:ascii="仿宋" w:hAnsi="仿宋" w:eastAsia="仿宋" w:cs="仿宋"/>
                <w:color w:val="000000"/>
                <w:sz w:val="21"/>
                <w:szCs w:val="21"/>
                <w:highlight w:val="none"/>
              </w:rPr>
              <w:t xml:space="preserve">数据中心</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公平竞争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串通投标</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附加条件</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投标文件未含有采购人不能接受的附加条件的；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59"/>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其他无效情形</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59"/>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 w:val="21"/>
                <w:szCs w:val="21"/>
                <w:highlight w:val="none"/>
              </w:rPr>
            </w:r>
            <w:r/>
          </w:p>
        </w:tc>
      </w:tr>
    </w:tbl>
    <w:p>
      <w:pPr>
        <w:pStyle w:val="1290"/>
        <w:tabs>
          <w:tab w:val="left" w:pos="567" w:leader="none"/>
        </w:tabs>
        <w:rPr>
          <w:rFonts w:hint="eastAsia" w:ascii="仿宋" w:hAnsi="仿宋" w:eastAsia="仿宋" w:cs="仿宋"/>
          <w:color w:val="000000"/>
          <w:highlight w:val="none"/>
        </w:rPr>
        <w:sectPr>
          <w:headerReference w:type="even" r:id="rId14"/>
          <w:headerReference w:type="first" r:id="rId15"/>
          <w:footerReference w:type="even" r:id="rId26"/>
          <w:footerReference w:type="first" r:id="rId27"/>
          <w:footnotePr/>
          <w:endnotePr/>
          <w:type w:val="nextPage"/>
          <w:pgSz w:w="11907" w:h="16840" w:orient="portrait"/>
          <w:pgMar w:top="1418" w:right="1134" w:bottom="1418" w:left="1134" w:header="851" w:footer="851" w:gutter="0"/>
          <w:cols w:num="1" w:sep="0" w:space="1701" w:equalWidth="1"/>
          <w:docGrid w:linePitch="360"/>
        </w:sectPr>
      </w:pPr>
      <w:r>
        <w:rPr>
          <w:rFonts w:hint="eastAsia" w:ascii="仿宋" w:hAnsi="仿宋" w:eastAsia="仿宋" w:cs="仿宋"/>
          <w:color w:val="000000"/>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低于全部通过符合性审查的投标人</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平均值50%的，即</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&lt;全部通过符合性审查投标人</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平均值×50%；</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低于通过符合性审查的次低报价投标人</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50%的，即</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&lt;通过符合性审查的次低报价投标人</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×50%；</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低于采购项目最高限价45%的，即</w:t>
      </w:r>
      <w:r>
        <w:rPr>
          <w:rFonts w:hint="eastAsia" w:ascii="仿宋" w:hAnsi="仿宋" w:eastAsia="仿宋" w:cs="仿宋"/>
          <w:b/>
          <w:bCs/>
          <w:color w:val="000000"/>
          <w:sz w:val="21"/>
          <w:szCs w:val="21"/>
          <w:highlight w:val="none"/>
          <w:lang w:eastAsia="zh-CN"/>
        </w:rPr>
        <w:t xml:space="preserve">投标（响应）报价(1-优惠率）</w:t>
      </w:r>
      <w:r>
        <w:rPr>
          <w:rFonts w:hint="eastAsia" w:ascii="仿宋" w:hAnsi="仿宋" w:eastAsia="仿宋" w:cs="仿宋"/>
          <w:b/>
          <w:bCs/>
          <w:color w:val="000000"/>
          <w:sz w:val="21"/>
          <w:szCs w:val="21"/>
          <w:highlight w:val="none"/>
        </w:rPr>
        <w:t xml:space="preserve">&lt;采购项目最高限价×45%；</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357"/>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w:t>
      </w:r>
      <w:r>
        <w:rPr>
          <w:rFonts w:hint="eastAsia" w:ascii="仿宋" w:hAnsi="仿宋" w:eastAsia="仿宋" w:cs="仿宋"/>
          <w:b/>
          <w:bCs/>
          <w:color w:val="000000"/>
          <w:sz w:val="21"/>
          <w:szCs w:val="21"/>
          <w:highlight w:val="none"/>
          <w:lang w:val="en-US" w:eastAsia="zh-CN"/>
        </w:rPr>
        <w:t xml:space="preserve">采购</w:t>
      </w:r>
      <w:r>
        <w:rPr>
          <w:rFonts w:hint="eastAsia" w:ascii="仿宋" w:hAnsi="仿宋" w:eastAsia="仿宋" w:cs="仿宋"/>
          <w:b/>
          <w:bCs/>
          <w:color w:val="000000"/>
          <w:sz w:val="21"/>
          <w:szCs w:val="21"/>
          <w:highlight w:val="none"/>
        </w:rPr>
        <w:t xml:space="preserve">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2.5.9采购本国产品的支持政策</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b/>
          <w:bCs/>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32"/>
      <w:r/>
      <w:bookmarkEnd w:id="733"/>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bookmarkStart w:id="749" w:name="_Hlk107696993"/>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bookmarkEnd w:id="749"/>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50" w:name="_Toc151193860"/>
      <w:r/>
      <w:bookmarkStart w:id="751" w:name="_Toc127161460"/>
      <w:r/>
      <w:bookmarkStart w:id="752" w:name="_Toc164229387"/>
      <w:r/>
      <w:bookmarkStart w:id="753" w:name="_Toc164351640"/>
      <w:r/>
      <w:bookmarkStart w:id="754" w:name="_Toc226965736"/>
      <w:r/>
      <w:bookmarkStart w:id="755" w:name="_Toc164608815"/>
      <w:r/>
      <w:bookmarkStart w:id="756" w:name="_Toc127151546"/>
      <w:r/>
      <w:bookmarkStart w:id="757" w:name="_Toc226965819"/>
      <w:r/>
      <w:bookmarkStart w:id="758" w:name="_Toc151193934"/>
      <w:r/>
      <w:bookmarkStart w:id="759" w:name="_Ref467307010"/>
      <w:r/>
      <w:bookmarkStart w:id="760" w:name="_Toc164608660"/>
      <w:r/>
      <w:bookmarkStart w:id="761" w:name="_Toc151193788"/>
      <w:r/>
      <w:bookmarkStart w:id="762" w:name="_Toc151190173"/>
      <w:r/>
      <w:bookmarkStart w:id="763" w:name="_Toc142311048"/>
      <w:r/>
      <w:bookmarkStart w:id="764" w:name="_Toc305158814"/>
      <w:r/>
      <w:bookmarkStart w:id="765" w:name="_Toc195842911"/>
      <w:r/>
      <w:bookmarkStart w:id="766" w:name="_Toc150480784"/>
      <w:r/>
      <w:bookmarkStart w:id="767" w:name="_Toc150509297"/>
      <w:r/>
      <w:bookmarkStart w:id="768" w:name="_Toc150774751"/>
      <w:r/>
      <w:bookmarkStart w:id="769" w:name="_Toc264969236"/>
      <w:r/>
      <w:bookmarkStart w:id="770" w:name="_Toc151193644"/>
      <w:r/>
      <w:bookmarkStart w:id="771" w:name="_Toc520356170"/>
      <w:r/>
      <w:bookmarkStart w:id="772" w:name="_Toc305158888"/>
      <w:r/>
      <w:bookmarkStart w:id="773" w:name="_Toc149720839"/>
      <w:r/>
      <w:bookmarkStart w:id="774" w:name="_Toc151193716"/>
      <w:r/>
      <w:bookmarkStart w:id="775" w:name="_Toc164229241"/>
      <w:r/>
      <w:bookmarkStart w:id="776" w:name="_Toc226337242"/>
      <w:r/>
      <w:bookmarkStart w:id="777" w:name="_Toc150774646"/>
      <w:r/>
      <w:bookmarkStart w:id="778" w:name="_Toc226309790"/>
      <w:r/>
      <w:bookmarkStart w:id="779" w:name="_Toc127151747"/>
      <w:r/>
      <w:bookmarkStart w:id="780" w:name="_Toc265228384"/>
      <w:r>
        <w:rPr>
          <w:rFonts w:hint="eastAsia" w:ascii="仿宋" w:hAnsi="仿宋" w:eastAsia="仿宋" w:cs="仿宋"/>
          <w:color w:val="000000"/>
          <w:sz w:val="21"/>
          <w:szCs w:val="21"/>
          <w:highlight w:val="none"/>
        </w:rPr>
        <w:t xml:space="preserve">中标候选人名单</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35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25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259"/>
        <w:numPr>
          <w:ilvl w:val="0"/>
          <w:numId w:val="0"/>
        </w:numPr>
        <w:jc w:val="center"/>
        <w:spacing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bidi="ar-SA"/>
        </w:rPr>
        <w:br w:type="page" w:clear="all"/>
      </w:r>
      <w:r>
        <w:rPr>
          <w:rFonts w:hint="eastAsia" w:ascii="仿宋" w:hAnsi="仿宋" w:eastAsia="仿宋" w:cs="仿宋"/>
          <w:b/>
          <w:color w:val="000000"/>
          <w:sz w:val="28"/>
          <w:szCs w:val="28"/>
          <w:highlight w:val="none"/>
          <w:lang w:val="en-US" w:eastAsia="zh-CN" w:bidi="ar-SA"/>
        </w:rPr>
        <w:t xml:space="preserve">二、</w:t>
      </w:r>
      <w:r>
        <w:rPr>
          <w:rFonts w:hint="eastAsia" w:ascii="仿宋" w:hAnsi="仿宋" w:eastAsia="仿宋" w:cs="仿宋"/>
          <w:b/>
          <w:color w:val="000000"/>
          <w:sz w:val="28"/>
          <w:szCs w:val="28"/>
          <w:highlight w:val="none"/>
        </w:rPr>
        <w:t xml:space="preserve">评标标准</w:t>
      </w:r>
      <w:r>
        <w:rPr>
          <w:rFonts w:hint="eastAsia" w:ascii="仿宋" w:hAnsi="仿宋" w:eastAsia="仿宋" w:cs="仿宋"/>
          <w:b/>
          <w:color w:val="000000"/>
          <w:sz w:val="28"/>
          <w:szCs w:val="28"/>
          <w:highlight w:val="none"/>
        </w:rPr>
      </w:r>
      <w:r/>
    </w:p>
    <w:tbl>
      <w:tblPr>
        <w:tblW w:w="5600" w:type="pct"/>
        <w:jc w:val="center"/>
        <w:tblInd w:w="-478" w:type="dxa"/>
        <w:tblLayout w:type="autofit"/>
        <w:tblCellMar>
          <w:left w:w="108" w:type="dxa"/>
          <w:top w:w="0" w:type="dxa"/>
          <w:right w:w="108" w:type="dxa"/>
          <w:bottom w:w="0" w:type="dxa"/>
        </w:tblCellMar>
        <w:tblLook w:val="04A0" w:firstRow="1" w:lastRow="0" w:firstColumn="1" w:lastColumn="0" w:noHBand="0" w:noVBand="1"/>
      </w:tblPr>
      <w:tblGrid>
        <w:gridCol w:w="683"/>
        <w:gridCol w:w="1769"/>
        <w:gridCol w:w="5547"/>
        <w:gridCol w:w="687"/>
        <w:gridCol w:w="641"/>
        <w:gridCol w:w="797"/>
        <w:gridCol w:w="815"/>
      </w:tblGrid>
      <w:tr>
        <w:trPr>
          <w:trHeight w:val="420"/>
          <w:tblHeader/>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评分因素</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评分标准和评审材料</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最低分值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6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是否暗标评审</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是否客观分</w:t>
            </w:r>
            <w:r>
              <w:rPr>
                <w:rFonts w:hint="eastAsia" w:ascii="仿宋" w:hAnsi="仿宋" w:eastAsia="仿宋" w:cs="仿宋"/>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98"/>
              <w:jc w:val="left"/>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采用优惠最多优先法计算，即满足招标文件要求且优惠率最高的投标报价为评标基准优惠率，其价格分为满分。其他供应商的价格分统一按照下列公式计算</w:t>
            </w:r>
            <w:r>
              <w:rPr>
                <w:rFonts w:hint="eastAsia" w:ascii="仿宋" w:hAnsi="仿宋" w:eastAsia="仿宋" w:cs="仿宋"/>
                <w:color w:val="000000"/>
                <w:highlight w:val="none"/>
                <w:lang w:val="en-US" w:eastAsia="zh-CN"/>
              </w:rPr>
              <w:t xml:space="preserve">（计算结果四舍五入保留两位小数）</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259"/>
              <w:numPr>
                <w:ilvl w:val="0"/>
                <w:numId w:val="0"/>
              </w:numPr>
              <w:jc w:val="left"/>
              <w:keepLines w:val="0"/>
              <w:keepNext w:val="0"/>
              <w:pageBreakBefore w:val="0"/>
              <w:spacing w:line="24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投标报价得分=</w:t>
            </w:r>
            <w:r>
              <w:rPr>
                <w:rFonts w:hint="eastAsia" w:ascii="仿宋" w:hAnsi="仿宋" w:eastAsia="仿宋" w:cs="仿宋"/>
                <w:color w:val="000000"/>
                <w:highlight w:val="none"/>
                <w:lang w:val="en-US" w:eastAsia="zh-CN"/>
              </w:rPr>
              <w:t xml:space="preserve">[（1-评标基准优惠率）/（1-投标优惠率）]×价格分分值</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259"/>
              <w:numPr>
                <w:ilvl w:val="0"/>
                <w:numId w:val="0"/>
              </w:numPr>
              <w:jc w:val="left"/>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highlight w:val="none"/>
                <w:lang w:val="en-US" w:eastAsia="zh-CN"/>
              </w:rPr>
              <w:t xml:space="preserve">此处投标报价指经过报价修正，及因落实政府采购政策进行价格调整后的报价。</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商务分</w:t>
            </w:r>
            <w:r>
              <w:rPr>
                <w:rFonts w:hint="eastAsia" w:ascii="仿宋" w:hAnsi="仿宋" w:eastAsia="仿宋" w:cs="仿宋"/>
                <w:color w:val="000000"/>
                <w:sz w:val="21"/>
                <w:szCs w:val="21"/>
                <w:highlight w:val="none"/>
              </w:rPr>
            </w:r>
            <w:r/>
          </w:p>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98"/>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59"/>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企业业绩</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59"/>
              <w:jc w:val="left"/>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投标人自2023年1月1日（以合同签订时间为准）以来，每有一份同类业绩（至少包含本次采购的一种药剂）得1分，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259"/>
              <w:jc w:val="left"/>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同一采购单位不同年度的业绩仅计一次得分。</w:t>
            </w:r>
            <w:r>
              <w:rPr>
                <w:rFonts w:hint="eastAsia" w:ascii="仿宋" w:hAnsi="仿宋" w:eastAsia="仿宋" w:cs="仿宋"/>
                <w:b/>
                <w:bCs/>
                <w:color w:val="000000"/>
                <w:sz w:val="21"/>
                <w:szCs w:val="21"/>
                <w:highlight w:val="none"/>
                <w:lang w:val="en-US" w:eastAsia="zh-CN"/>
              </w:rPr>
            </w:r>
            <w:r/>
          </w:p>
          <w:p>
            <w:pPr>
              <w:pStyle w:val="1259"/>
              <w:jc w:val="left"/>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lang w:val="en-US" w:eastAsia="zh-CN"/>
              </w:rPr>
              <w:t xml:space="preserve">以合同签订时间为准，内容以合同明确的为准</w:t>
            </w:r>
            <w:r>
              <w:rPr>
                <w:rFonts w:hint="eastAsia" w:ascii="仿宋" w:hAnsi="仿宋" w:eastAsia="仿宋" w:cs="仿宋"/>
                <w:color w:val="000000"/>
                <w:sz w:val="21"/>
                <w:szCs w:val="21"/>
                <w:highlight w:val="none"/>
              </w:rPr>
              <w:t xml:space="preserve">，投标文件中提供完整合同</w:t>
            </w:r>
            <w:r>
              <w:rPr>
                <w:rFonts w:hint="eastAsia" w:ascii="仿宋" w:hAnsi="仿宋" w:eastAsia="仿宋" w:cs="仿宋"/>
                <w:color w:val="000000"/>
                <w:sz w:val="21"/>
                <w:szCs w:val="21"/>
                <w:highlight w:val="none"/>
                <w:lang w:val="en-US" w:eastAsia="zh-CN"/>
              </w:rPr>
              <w:t xml:space="preserve">扫描件</w:t>
            </w:r>
            <w:r>
              <w:rPr>
                <w:rFonts w:hint="eastAsia" w:ascii="仿宋" w:hAnsi="仿宋" w:eastAsia="仿宋" w:cs="仿宋"/>
                <w:color w:val="000000"/>
                <w:sz w:val="21"/>
                <w:szCs w:val="21"/>
                <w:highlight w:val="none"/>
              </w:rPr>
              <w:t xml:space="preserve">并加盖</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公章</w:t>
            </w:r>
            <w:r>
              <w:rPr>
                <w:rFonts w:hint="eastAsia" w:ascii="仿宋" w:hAnsi="仿宋" w:eastAsia="仿宋" w:cs="仿宋"/>
                <w:color w:val="000000"/>
                <w:sz w:val="21"/>
                <w:szCs w:val="21"/>
                <w:highlight w:val="none"/>
                <w:lang w:val="en-US" w:eastAsia="zh-CN"/>
              </w:rPr>
              <w:t xml:space="preserve">。未提供或未按要求提供的均不得分。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4"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298"/>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bl>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259"/>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2.评标标准中要求提供的证明文件及资料等按要求在投标文件中提供复印件并加盖供应商公章；扫描件材料内容、印章必须完整、清晰可辨且在有效期内。评标委员会成员半数以上认定模糊无法辨认的不得分。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259"/>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3.评标时，未能按以上要求提供相应证明的，不作为评标依据，不得分。</w:t>
      </w:r>
      <w:r>
        <w:rPr>
          <w:rFonts w:hint="eastAsia" w:ascii="仿宋" w:hAnsi="仿宋" w:eastAsia="仿宋" w:cs="仿宋"/>
          <w:color w:val="000000"/>
          <w:szCs w:val="21"/>
          <w:highlight w:val="none"/>
        </w:rPr>
      </w:r>
      <w:r/>
    </w:p>
    <w:p>
      <w:pPr>
        <w:pStyle w:val="1259"/>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4.扫描件必须直接用原件扫描，要求字迹清晰，确保文字内容能看清无变形。</w:t>
      </w:r>
      <w:r>
        <w:rPr>
          <w:rFonts w:hint="eastAsia" w:ascii="仿宋" w:hAnsi="仿宋" w:eastAsia="仿宋" w:cs="仿宋"/>
          <w:color w:val="000000"/>
          <w:szCs w:val="21"/>
          <w:highlight w:val="none"/>
        </w:rPr>
      </w:r>
      <w:r/>
    </w:p>
    <w:p>
      <w:pPr>
        <w:pStyle w:val="1259"/>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259"/>
        <w:contextualSpacing/>
        <w:ind w:firstLine="420"/>
        <w:jc w:val="both"/>
        <w:spacing w:line="360" w:lineRule="auto"/>
        <w:widowControl/>
        <w:rPr>
          <w:rFonts w:hint="eastAsia" w:ascii="仿宋" w:hAnsi="仿宋" w:eastAsia="仿宋" w:cs="仿宋"/>
          <w:color w:val="000000"/>
          <w:szCs w:val="21"/>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6.供应商按评分细则所有得分项目均视为对本次招标的承诺，成交后均作为合同的组成部分。</w:t>
      </w:r>
      <w:bookmarkStart w:id="781" w:name="_Hlk138940374"/>
      <w:r/>
      <w:bookmarkStart w:id="782" w:name="_Hlk139629014"/>
      <w:r>
        <w:rPr>
          <w:rFonts w:hint="eastAsia" w:ascii="仿宋" w:hAnsi="仿宋" w:eastAsia="仿宋" w:cs="仿宋"/>
          <w:color w:val="000000"/>
          <w:szCs w:val="21"/>
          <w:highlight w:val="none"/>
        </w:rPr>
      </w:r>
      <w:r/>
    </w:p>
    <w:p>
      <w:pPr>
        <w:pStyle w:val="1259"/>
        <w:contextualSpacing/>
        <w:ind w:firstLine="643"/>
        <w:jc w:val="center"/>
        <w:spacing w:line="360" w:lineRule="auto"/>
        <w:widowControl/>
        <w:rPr>
          <w:rStyle w:val="1271"/>
          <w:rFonts w:hint="eastAsia" w:ascii="仿宋" w:hAnsi="仿宋" w:eastAsia="仿宋" w:cs="仿宋"/>
          <w:color w:val="000000"/>
          <w:highlight w:val="none"/>
          <w:lang w:val="en-US" w:eastAsia="zh-CN"/>
        </w:rPr>
      </w:pPr>
      <w:r/>
      <w:bookmarkStart w:id="783" w:name="_Toc16730"/>
      <w:r>
        <w:rPr>
          <w:rStyle w:val="1271"/>
          <w:rFonts w:hint="eastAsia" w:ascii="仿宋" w:hAnsi="仿宋" w:eastAsia="仿宋" w:cs="仿宋"/>
          <w:color w:val="000000"/>
          <w:highlight w:val="none"/>
          <w:lang w:val="en-US" w:eastAsia="zh-CN"/>
        </w:rPr>
        <w:t xml:space="preserve">第五章   </w:t>
      </w:r>
      <w:bookmarkStart w:id="784" w:name="_Hlk119590621"/>
      <w:r>
        <w:rPr>
          <w:rStyle w:val="1271"/>
          <w:rFonts w:hint="eastAsia" w:ascii="仿宋" w:hAnsi="仿宋" w:eastAsia="仿宋" w:cs="仿宋"/>
          <w:color w:val="000000"/>
          <w:highlight w:val="none"/>
          <w:lang w:val="en-US" w:eastAsia="zh-CN"/>
        </w:rPr>
        <w:t xml:space="preserve">采购需求</w:t>
      </w:r>
      <w:r>
        <w:rPr>
          <w:rStyle w:val="1271"/>
          <w:rFonts w:hint="eastAsia" w:ascii="仿宋" w:hAnsi="仿宋" w:eastAsia="仿宋" w:cs="仿宋"/>
          <w:color w:val="000000"/>
          <w:highlight w:val="none"/>
          <w:lang w:val="en-US" w:eastAsia="zh-CN"/>
        </w:rPr>
      </w:r>
      <w:r/>
    </w:p>
    <w:p>
      <w:pPr>
        <w:pStyle w:val="155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bookmarkEnd w:id="783"/>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Cs w:val="21"/>
          <w:highlight w:val="none"/>
          <w:u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eastAsia="zh-CN"/>
        </w:rPr>
        <w:t xml:space="preserve">项目名称</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none"/>
          <w:lang w:eastAsia="zh-CN"/>
        </w:rPr>
        <w:t xml:space="preserve">净水站</w:t>
      </w:r>
      <w:r>
        <w:rPr>
          <w:rFonts w:hint="eastAsia" w:ascii="仿宋" w:hAnsi="仿宋" w:eastAsia="仿宋" w:cs="仿宋"/>
          <w:color w:val="000000"/>
          <w:szCs w:val="21"/>
          <w:highlight w:val="none"/>
          <w:u w:val="none"/>
          <w:lang w:val="en-US" w:eastAsia="zh-CN"/>
        </w:rPr>
        <w:t xml:space="preserve">运行所需</w:t>
      </w:r>
      <w:r>
        <w:rPr>
          <w:rFonts w:hint="eastAsia" w:ascii="仿宋" w:hAnsi="仿宋" w:eastAsia="仿宋" w:cs="仿宋"/>
          <w:color w:val="000000"/>
          <w:szCs w:val="21"/>
          <w:highlight w:val="none"/>
          <w:u w:val="none"/>
          <w:lang w:eastAsia="zh-CN"/>
        </w:rPr>
        <w:t xml:space="preserve">药剂采购</w:t>
      </w:r>
      <w:r>
        <w:rPr>
          <w:rFonts w:hint="eastAsia" w:ascii="仿宋" w:hAnsi="仿宋" w:eastAsia="仿宋" w:cs="仿宋"/>
          <w:color w:val="000000"/>
          <w:szCs w:val="21"/>
          <w:highlight w:val="none"/>
          <w:u w:val="none"/>
          <w:lang w:val="en-US"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.项目预算金额：</w:t>
      </w:r>
      <w:r>
        <w:rPr>
          <w:rFonts w:hint="eastAsia" w:ascii="仿宋" w:hAnsi="仿宋" w:eastAsia="仿宋" w:cs="仿宋"/>
          <w:color w:val="000000"/>
          <w:szCs w:val="21"/>
          <w:highlight w:val="none"/>
          <w:lang w:val="en-US" w:eastAsia="zh-CN"/>
        </w:rPr>
        <w:t xml:space="preserve">人民币233.80万元</w:t>
      </w:r>
      <w:r>
        <w:rPr>
          <w:rFonts w:hint="eastAsia" w:ascii="仿宋" w:hAnsi="仿宋" w:eastAsia="仿宋" w:cs="仿宋"/>
          <w:color w:val="000000"/>
          <w:szCs w:val="21"/>
          <w:highlight w:val="none"/>
          <w:lang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项目最高限价：</w:t>
      </w:r>
      <w:r>
        <w:rPr>
          <w:rFonts w:hint="eastAsia" w:ascii="仿宋" w:hAnsi="仿宋" w:eastAsia="仿宋" w:cs="仿宋"/>
          <w:color w:val="000000"/>
          <w:szCs w:val="21"/>
          <w:highlight w:val="none"/>
          <w:lang w:val="en-US" w:eastAsia="zh-CN"/>
        </w:rPr>
        <w:t xml:space="preserve">本项目采用优惠率报价方式，优惠率应＞0%，否则按无效投标处理。</w:t>
      </w:r>
      <w:r>
        <w:rPr>
          <w:rFonts w:hint="eastAsia" w:ascii="仿宋" w:hAnsi="仿宋" w:eastAsia="仿宋" w:cs="仿宋"/>
          <w:color w:val="000000"/>
          <w:szCs w:val="21"/>
          <w:highlight w:val="none"/>
          <w:lang w:val="en-US" w:eastAsia="zh-CN"/>
        </w:rPr>
      </w:r>
      <w:r/>
    </w:p>
    <w:tbl>
      <w:tblPr>
        <w:tblW w:w="7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443"/>
        <w:gridCol w:w="1662"/>
        <w:gridCol w:w="1636"/>
        <w:gridCol w:w="1395"/>
      </w:tblGrid>
      <w:tr>
        <w:trPr>
          <w:tblHeade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序号</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货物名称</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预估数量</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吨）</w:t>
            </w:r>
            <w:r>
              <w:rPr>
                <w:rFonts w:hint="eastAsia" w:ascii="仿宋" w:hAnsi="仿宋" w:eastAsia="仿宋" w:cs="仿宋"/>
                <w:b w:val="0"/>
                <w:bCs/>
                <w:color w:val="000000"/>
                <w:sz w:val="21"/>
                <w:szCs w:val="21"/>
                <w:highlight w:val="none"/>
                <w:lang w:val="en-US" w:eastAsia="zh-CN"/>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最高限价</w:t>
            </w:r>
            <w:r>
              <w:rPr>
                <w:rFonts w:hint="eastAsia" w:ascii="仿宋" w:hAnsi="仿宋" w:eastAsia="仿宋" w:cs="仿宋"/>
                <w:b w:val="0"/>
                <w:bCs/>
                <w:color w:val="000000"/>
                <w:sz w:val="21"/>
                <w:szCs w:val="21"/>
                <w:highlight w:val="none"/>
                <w:lang w:val="en-US" w:eastAsia="zh-CN"/>
              </w:rPr>
              <w:t xml:space="preserve">单价</w:t>
            </w:r>
            <w:r>
              <w:rPr>
                <w:rFonts w:hint="eastAsia" w:ascii="仿宋" w:hAnsi="仿宋" w:eastAsia="仿宋" w:cs="仿宋"/>
                <w:b w:val="0"/>
                <w:bCs/>
                <w:color w:val="000000"/>
                <w:sz w:val="21"/>
                <w:szCs w:val="21"/>
                <w:highlight w:val="none"/>
                <w:lang w:val="en-US" w:eastAsia="zh-CN"/>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（元/吨）</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备注</w:t>
            </w:r>
            <w:r>
              <w:rPr>
                <w:rFonts w:hint="eastAsia" w:ascii="仿宋" w:hAnsi="仿宋" w:eastAsia="仿宋" w:cs="仿宋"/>
                <w:b w:val="0"/>
                <w:bCs/>
                <w:color w:val="000000"/>
                <w:sz w:val="21"/>
                <w:szCs w:val="21"/>
                <w:highlight w:val="none"/>
                <w:lang w:val="en-US" w:eastAsia="zh-CN"/>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1</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聚氯化铝（液体）</w:t>
            </w:r>
            <w:r>
              <w:rPr>
                <w:rFonts w:hint="eastAsia" w:ascii="仿宋" w:hAnsi="仿宋" w:eastAsia="仿宋" w:cs="仿宋"/>
                <w:b w:val="0"/>
                <w:bCs/>
                <w:color w:val="000000"/>
                <w:sz w:val="21"/>
                <w:szCs w:val="21"/>
                <w:highlight w:val="none"/>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w:t>
            </w:r>
            <w:r>
              <w:rPr>
                <w:rFonts w:hint="eastAsia" w:ascii="仿宋" w:hAnsi="仿宋" w:eastAsia="仿宋" w:cs="仿宋"/>
                <w:b w:val="0"/>
                <w:bCs/>
                <w:color w:val="000000"/>
                <w:spacing w:val="-4"/>
                <w:sz w:val="21"/>
                <w:szCs w:val="21"/>
                <w:highlight w:val="none"/>
              </w:rPr>
              <w:t xml:space="preserve">核心产品】</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2900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540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聚丙烯酰胺（阴离子）</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70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8800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3</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磁种</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60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2600</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bl>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注：供应商在“苏采云”系统中填报固定优惠率（优惠率应＞0%），则本项目结算（中标）费率为（1-优惠率），每项货物的结算单价=对应货物的最高限价单价*结算（中标）费率，数量按实际配送的合格货物数量结算。</w:t>
      </w:r>
      <w:r>
        <w:rPr>
          <w:rFonts w:hint="eastAsia" w:ascii="仿宋" w:hAnsi="仿宋" w:eastAsia="仿宋" w:cs="仿宋"/>
          <w:color w:val="000000"/>
          <w:sz w:val="21"/>
          <w:szCs w:val="21"/>
          <w:highlight w:val="none"/>
          <w:lang w:val="en-US"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4.采购需求（简介）：</w:t>
      </w:r>
      <w:r>
        <w:rPr>
          <w:rFonts w:hint="eastAsia" w:ascii="仿宋" w:hAnsi="仿宋" w:eastAsia="仿宋" w:cs="仿宋"/>
          <w:color w:val="000000"/>
          <w:sz w:val="21"/>
          <w:szCs w:val="21"/>
          <w:highlight w:val="none"/>
        </w:rPr>
      </w:r>
      <w:r/>
    </w:p>
    <w:p>
      <w:pPr>
        <w:pStyle w:val="1259"/>
        <w:ind w:firstLine="422"/>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接采购人通知后3个日历日内按要求将聚氯化铝（液体）、聚丙烯酰胺（阴离子）和磁种送至指定交货地点并安全卸货，具体品种、数量、质量等按照采购人要求执行。</w:t>
      </w:r>
      <w:r>
        <w:rPr>
          <w:rFonts w:hint="eastAsia" w:ascii="仿宋" w:hAnsi="仿宋" w:eastAsia="仿宋" w:cs="仿宋"/>
          <w:color w:val="000000"/>
          <w:sz w:val="21"/>
          <w:szCs w:val="21"/>
          <w:highlight w:val="none"/>
          <w:lang w:eastAsia="zh-CN"/>
        </w:rPr>
      </w:r>
      <w:r/>
    </w:p>
    <w:p>
      <w:pPr>
        <w:pStyle w:val="1259"/>
        <w:numPr>
          <w:ilvl w:val="0"/>
          <w:numId w:val="0"/>
        </w:numPr>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 w:val="21"/>
          <w:szCs w:val="21"/>
          <w:highlight w:val="none"/>
        </w:rPr>
        <w:t xml:space="preserve">合同履行期限：</w:t>
      </w:r>
      <w:r>
        <w:rPr>
          <w:rFonts w:hint="eastAsia" w:ascii="仿宋" w:hAnsi="仿宋" w:eastAsia="仿宋" w:cs="仿宋"/>
          <w:color w:val="000000"/>
          <w:sz w:val="21"/>
          <w:szCs w:val="21"/>
          <w:highlight w:val="none"/>
          <w:lang w:val="en-US" w:eastAsia="zh-CN"/>
        </w:rPr>
        <w:t xml:space="preserve">自合同签订之日起至2027年11月30日。</w:t>
      </w:r>
      <w:r>
        <w:rPr>
          <w:rFonts w:hint="eastAsia" w:ascii="仿宋" w:hAnsi="仿宋" w:eastAsia="仿宋" w:cs="仿宋"/>
          <w:color w:val="000000"/>
          <w:sz w:val="21"/>
          <w:szCs w:val="21"/>
          <w:highlight w:val="none"/>
          <w:lang w:val="en-US"/>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7．是/否接受分支机构参与响应：否</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8．是/否属于政府购买服务：否</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9．是/否接受进口产品投标：否</w:t>
      </w:r>
      <w:r>
        <w:rPr>
          <w:rFonts w:hint="eastAsia" w:ascii="仿宋" w:hAnsi="仿宋" w:eastAsia="仿宋" w:cs="仿宋"/>
          <w:color w:val="000000"/>
          <w:sz w:val="21"/>
          <w:szCs w:val="21"/>
          <w:highlight w:val="none"/>
        </w:rPr>
      </w:r>
      <w:r/>
    </w:p>
    <w:p>
      <w:pPr>
        <w:pStyle w:val="1259"/>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10．是/否专门面向中小企业预留采购份额：</w:t>
      </w:r>
      <w:r>
        <w:rPr>
          <w:rFonts w:hint="eastAsia" w:ascii="仿宋" w:hAnsi="仿宋" w:eastAsia="仿宋" w:cs="仿宋"/>
          <w:b/>
          <w:bCs/>
          <w:color w:val="000000"/>
          <w:sz w:val="21"/>
          <w:szCs w:val="21"/>
          <w:highlight w:val="none"/>
          <w:lang w:val="en-US" w:eastAsia="zh-CN"/>
        </w:rPr>
        <w:t xml:space="preserve">否</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259"/>
        <w:ind w:firstLine="42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color w:val="000000"/>
          <w:sz w:val="21"/>
          <w:szCs w:val="21"/>
          <w:highlight w:val="none"/>
          <w:lang w:val="en-US" w:eastAsia="zh-CN"/>
        </w:rPr>
        <w:t xml:space="preserve">无</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eastAsia="zh-CN"/>
        </w:rPr>
      </w:r>
      <w:r/>
    </w:p>
    <w:p>
      <w:pPr>
        <w:pStyle w:val="1320"/>
        <w:ind w:left="0" w:right="0" w:firstLine="422"/>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 </w:t>
      </w:r>
      <w:r>
        <w:rPr>
          <w:rFonts w:hint="eastAsia" w:ascii="仿宋" w:hAnsi="仿宋" w:eastAsia="仿宋" w:cs="仿宋"/>
          <w:color w:val="000000"/>
          <w:sz w:val="21"/>
          <w:szCs w:val="21"/>
          <w:highlight w:val="none"/>
        </w:rPr>
        <w:t xml:space="preserve">12．项目类别：</w:t>
      </w:r>
      <w:r>
        <w:rPr>
          <w:rFonts w:hint="eastAsia" w:ascii="仿宋" w:hAnsi="仿宋" w:eastAsia="仿宋" w:cs="仿宋"/>
          <w:color w:val="000000"/>
          <w:sz w:val="21"/>
          <w:szCs w:val="21"/>
          <w:highlight w:val="none"/>
          <w:lang w:val="en-US" w:eastAsia="zh-CN"/>
        </w:rPr>
        <w:t xml:space="preserve">货物</w:t>
      </w:r>
      <w:r>
        <w:rPr>
          <w:rFonts w:hint="eastAsia" w:ascii="仿宋" w:hAnsi="仿宋" w:eastAsia="仿宋" w:cs="仿宋"/>
          <w:color w:val="000000"/>
          <w:sz w:val="21"/>
          <w:szCs w:val="21"/>
          <w:highlight w:val="none"/>
        </w:rPr>
        <w:t xml:space="preserve">类</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实施</w:t>
      </w:r>
      <w:r>
        <w:rPr>
          <w:rFonts w:hint="eastAsia" w:ascii="仿宋" w:hAnsi="仿宋" w:eastAsia="仿宋" w:cs="仿宋"/>
          <w:color w:val="000000"/>
          <w:sz w:val="21"/>
          <w:szCs w:val="21"/>
          <w:highlight w:val="none"/>
        </w:rPr>
        <w:t xml:space="preserve">的时间和地点</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实施</w:t>
      </w: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lang w:val="en-US" w:eastAsia="zh-CN"/>
        </w:rPr>
        <w:t xml:space="preserve">自合同签订之日起至2027年11月30日。合同期内</w:t>
      </w:r>
      <w:r>
        <w:rPr>
          <w:rFonts w:hint="eastAsia" w:ascii="仿宋" w:hAnsi="仿宋" w:eastAsia="仿宋" w:cs="仿宋"/>
          <w:b/>
          <w:bCs/>
          <w:color w:val="000000"/>
          <w:sz w:val="21"/>
          <w:szCs w:val="21"/>
          <w:highlight w:val="none"/>
          <w:lang w:val="en-US" w:eastAsia="zh-CN"/>
        </w:rPr>
        <w:t xml:space="preserve">接采购人通知后3个日历日内按要求送至指定交货地点并安全卸货，</w:t>
      </w:r>
      <w:r>
        <w:rPr>
          <w:rFonts w:hint="eastAsia" w:ascii="仿宋" w:hAnsi="仿宋" w:eastAsia="仿宋" w:cs="仿宋"/>
          <w:color w:val="000000"/>
          <w:sz w:val="21"/>
          <w:szCs w:val="21"/>
          <w:highlight w:val="none"/>
          <w:lang w:val="en-US" w:eastAsia="zh-CN"/>
        </w:rPr>
        <w:t xml:space="preserve">具体品种、</w:t>
      </w:r>
      <w:r>
        <w:rPr>
          <w:rFonts w:hint="eastAsia" w:ascii="仿宋" w:hAnsi="仿宋" w:eastAsia="仿宋" w:cs="仿宋"/>
          <w:b/>
          <w:bCs/>
          <w:color w:val="000000"/>
          <w:sz w:val="21"/>
          <w:szCs w:val="21"/>
          <w:highlight w:val="none"/>
          <w:lang w:val="en-US" w:eastAsia="zh-CN"/>
        </w:rPr>
        <w:t xml:space="preserve">数量、质量等</w:t>
      </w:r>
      <w:r>
        <w:rPr>
          <w:rFonts w:hint="eastAsia" w:ascii="仿宋" w:hAnsi="仿宋" w:eastAsia="仿宋" w:cs="仿宋"/>
          <w:color w:val="000000"/>
          <w:sz w:val="21"/>
          <w:szCs w:val="21"/>
          <w:highlight w:val="none"/>
          <w:lang w:val="en-US" w:eastAsia="zh-CN"/>
        </w:rPr>
        <w:t xml:space="preserve">按照采购人要求执行。</w:t>
      </w:r>
      <w:r>
        <w:rPr>
          <w:rFonts w:hint="eastAsia" w:ascii="仿宋" w:hAnsi="仿宋" w:eastAsia="仿宋" w:cs="仿宋"/>
          <w:color w:val="000000"/>
          <w:sz w:val="21"/>
          <w:szCs w:val="21"/>
          <w:highlight w:val="none"/>
          <w:lang w:val="en-US" w:eastAsia="zh-CN"/>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实施</w:t>
      </w:r>
      <w:r>
        <w:rPr>
          <w:rFonts w:hint="eastAsia" w:ascii="仿宋" w:hAnsi="仿宋" w:eastAsia="仿宋" w:cs="仿宋"/>
          <w:color w:val="000000"/>
          <w:sz w:val="21"/>
          <w:szCs w:val="21"/>
          <w:highlight w:val="none"/>
        </w:rPr>
        <w:t xml:space="preserve">地点</w:t>
      </w:r>
      <w:r>
        <w:rPr>
          <w:rFonts w:hint="eastAsia" w:ascii="仿宋" w:hAnsi="仿宋" w:eastAsia="仿宋" w:cs="仿宋"/>
          <w:color w:val="000000"/>
          <w:sz w:val="21"/>
          <w:szCs w:val="21"/>
          <w:highlight w:val="none"/>
          <w:lang w:val="en-US" w:eastAsia="zh-CN"/>
        </w:rPr>
        <w:t xml:space="preserve">和范围</w:t>
      </w:r>
      <w:r>
        <w:rPr>
          <w:rFonts w:hint="eastAsia" w:ascii="仿宋" w:hAnsi="仿宋" w:eastAsia="仿宋" w:cs="仿宋"/>
          <w:color w:val="000000"/>
          <w:sz w:val="21"/>
          <w:szCs w:val="21"/>
          <w:highlight w:val="none"/>
        </w:rPr>
        <w:t xml:space="preserve">：常州市排水管理处净水站</w:t>
      </w:r>
      <w:r>
        <w:rPr>
          <w:rFonts w:hint="eastAsia" w:ascii="仿宋" w:hAnsi="仿宋" w:eastAsia="仿宋" w:cs="仿宋"/>
          <w:color w:val="000000"/>
          <w:sz w:val="21"/>
          <w:szCs w:val="21"/>
          <w:highlight w:val="none"/>
          <w:lang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rPr>
        <w:t xml:space="preserve">2．</w:t>
      </w:r>
      <w:r>
        <w:rPr>
          <w:rFonts w:hint="eastAsia" w:ascii="仿宋" w:hAnsi="仿宋" w:eastAsia="仿宋" w:cs="仿宋"/>
          <w:color w:val="000000"/>
          <w:spacing w:val="-4"/>
          <w:sz w:val="21"/>
          <w:szCs w:val="21"/>
          <w:highlight w:val="none"/>
          <w:lang w:val="en-US" w:eastAsia="zh-CN"/>
        </w:rPr>
        <w:t xml:space="preserve">履约保证金：</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（1）因签订合同时结算数量未定，本项目履约保证金金额按项目预算金额的10%计取，中标人应在中标通知书发出之日起 15 个日历日内、合同签订前向招标人提交履约保证金，可采用支票、汇票、本票、金融机构或担保机构出具的保函、保证保险等非现金形式提交，否则视为中标人拒绝与招标人签订合同。 </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（2）若提交履约保函，保函应为不可撤销、不可转让的见索即付独立保函，有效期应覆盖合同履行期（含续签期），格式详见附件。 </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（3）履约保证金在本项目合同全部履约完毕，全部供货验收合格且完成全部款项结算后30个日历日内无息退还（扣除应当扣除的违约金后）</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lang w:val="en-US" w:eastAsia="zh-CN"/>
        </w:rPr>
        <w:t xml:space="preserve">（4）履约保证金不予退还的情形：中标人不履行合同不予退还、中标人未按合同约定全面履行义务，从履约保证金中取得补偿或赔偿。</w:t>
      </w:r>
      <w:r>
        <w:rPr>
          <w:rFonts w:hint="eastAsia" w:ascii="仿宋" w:hAnsi="仿宋" w:eastAsia="仿宋" w:cs="仿宋"/>
          <w:color w:val="000000"/>
          <w:spacing w:val="-4"/>
          <w:sz w:val="21"/>
          <w:szCs w:val="21"/>
          <w:highlight w:val="none"/>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3.付款条件（进度和方式）：</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bookmarkStart w:id="785" w:name="_Toc111547764"/>
      <w:r>
        <w:rPr>
          <w:rFonts w:hint="eastAsia" w:ascii="仿宋" w:hAnsi="仿宋" w:eastAsia="仿宋" w:cs="仿宋"/>
          <w:color w:val="000000"/>
          <w:spacing w:val="-4"/>
          <w:sz w:val="21"/>
          <w:szCs w:val="21"/>
          <w:highlight w:val="none"/>
          <w:lang w:val="en-US" w:eastAsia="zh-CN"/>
        </w:rPr>
        <w:t xml:space="preserve">（1）货到现场后至使用结束，凭送货单和净水站在该批货使用期间统计情况汇总后开票（增值税专用发票）结算。</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（2）当月供应的药剂在收到全部验收资料后的次月进行结算，中标人应在结算当期及时开具并提交合格增值税专用发票及完整结算资料；招标人在收到合格发票及完整结算资料并审核无误后60天内支付对应款项。</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（3）中标人凭下列单据办理相关支付手续，结清货款：</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1）验收单；</w:t>
      </w:r>
      <w:r>
        <w:rPr>
          <w:rFonts w:hint="eastAsia" w:ascii="仿宋" w:hAnsi="仿宋" w:eastAsia="仿宋" w:cs="仿宋"/>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2）合格的增值税销售发票。</w:t>
      </w:r>
      <w:r>
        <w:rPr>
          <w:rFonts w:hint="eastAsia" w:ascii="仿宋" w:hAnsi="仿宋" w:eastAsia="仿宋" w:cs="仿宋"/>
          <w:color w:val="000000"/>
          <w:spacing w:val="-4"/>
          <w:sz w:val="21"/>
          <w:szCs w:val="21"/>
          <w:highlight w:val="none"/>
          <w:lang w:val="en-US" w:eastAsia="zh-CN"/>
        </w:rPr>
      </w:r>
      <w:r/>
    </w:p>
    <w:p>
      <w:pPr>
        <w:pStyle w:val="1259"/>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bookmarkEnd w:id="785"/>
      <w:r>
        <w:rPr>
          <w:rFonts w:hint="eastAsia" w:ascii="仿宋" w:hAnsi="仿宋" w:eastAsia="仿宋" w:cs="仿宋"/>
          <w:b/>
          <w:bCs/>
          <w:color w:val="000000"/>
          <w:spacing w:val="-4"/>
          <w:sz w:val="21"/>
          <w:szCs w:val="21"/>
          <w:highlight w:val="none"/>
          <w:lang w:val="en-US" w:eastAsia="zh-CN"/>
        </w:rPr>
        <w:t xml:space="preserve">（4）税费：本合同执行中相关的一切税费均包含在合同价内由中标人方负担。</w:t>
      </w:r>
      <w:r>
        <w:rPr>
          <w:rFonts w:hint="eastAsia" w:ascii="仿宋" w:hAnsi="仿宋" w:eastAsia="仿宋" w:cs="仿宋"/>
          <w:b/>
          <w:bCs/>
          <w:color w:val="000000"/>
          <w:spacing w:val="-4"/>
          <w:sz w:val="21"/>
          <w:szCs w:val="21"/>
          <w:highlight w:val="none"/>
          <w:lang w:val="en-US" w:eastAsia="zh-CN"/>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pacing w:val="-4"/>
          <w:sz w:val="21"/>
          <w:szCs w:val="21"/>
          <w:highlight w:val="none"/>
        </w:rPr>
        <w:t xml:space="preserve"> </w:t>
      </w:r>
      <w:r>
        <w:rPr>
          <w:rFonts w:hint="eastAsia" w:ascii="仿宋" w:hAnsi="仿宋" w:eastAsia="仿宋" w:cs="仿宋"/>
          <w:color w:val="000000"/>
          <w:spacing w:val="-4"/>
          <w:sz w:val="21"/>
          <w:szCs w:val="21"/>
          <w:highlight w:val="none"/>
          <w:lang w:val="en-US" w:eastAsia="zh-CN"/>
        </w:rPr>
        <w:t xml:space="preserve">4</w:t>
      </w:r>
      <w:r>
        <w:rPr>
          <w:rFonts w:hint="eastAsia" w:ascii="仿宋" w:hAnsi="仿宋" w:eastAsia="仿宋" w:cs="仿宋"/>
          <w:color w:val="000000"/>
          <w:sz w:val="21"/>
          <w:szCs w:val="21"/>
          <w:highlight w:val="none"/>
        </w:rPr>
        <w:t xml:space="preserve">．包装和运输</w:t>
      </w:r>
      <w:r>
        <w:rPr>
          <w:rFonts w:hint="eastAsia" w:ascii="仿宋" w:hAnsi="仿宋" w:eastAsia="仿宋" w:cs="仿宋"/>
          <w:color w:val="000000"/>
          <w:sz w:val="21"/>
          <w:szCs w:val="21"/>
          <w:highlight w:val="none"/>
        </w:rPr>
      </w:r>
      <w:r/>
    </w:p>
    <w:p>
      <w:pPr>
        <w:pStyle w:val="1259"/>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保质期</w:t>
      </w:r>
      <w:r>
        <w:rPr>
          <w:rFonts w:hint="eastAsia" w:ascii="仿宋" w:hAnsi="仿宋" w:eastAsia="仿宋" w:cs="仿宋"/>
          <w:color w:val="000000"/>
          <w:sz w:val="21"/>
          <w:szCs w:val="21"/>
          <w:highlight w:val="none"/>
        </w:rPr>
        <w:t xml:space="preserve">：交付的各批次药剂保质期（或建议使用期限）</w:t>
      </w:r>
      <w:r>
        <w:rPr>
          <w:rFonts w:hint="eastAsia" w:ascii="仿宋" w:hAnsi="仿宋" w:eastAsia="仿宋" w:cs="仿宋"/>
          <w:color w:val="000000"/>
          <w:sz w:val="21"/>
          <w:szCs w:val="21"/>
          <w:highlight w:val="none"/>
          <w:lang w:val="en-US" w:eastAsia="zh-CN"/>
        </w:rPr>
        <w:t xml:space="preserve">满足采购人使用要求</w:t>
      </w:r>
      <w:r>
        <w:rPr>
          <w:rFonts w:hint="eastAsia" w:ascii="仿宋" w:hAnsi="仿宋" w:eastAsia="仿宋" w:cs="仿宋"/>
          <w:color w:val="000000"/>
          <w:sz w:val="21"/>
          <w:szCs w:val="21"/>
          <w:highlight w:val="none"/>
        </w:rPr>
        <w:t xml:space="preserve">，产品包装/罐体应标注生产日期和批号。</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（2）售后服务</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满足采购人要求。</w:t>
      </w:r>
      <w:r>
        <w:rPr>
          <w:rFonts w:ascii="仿宋" w:hAnsi="仿宋" w:eastAsia="仿宋" w:cs="仿宋"/>
          <w:color w:val="000000"/>
          <w:sz w:val="21"/>
          <w:szCs w:val="21"/>
          <w:highlight w:val="none"/>
          <w:lang w:val="en-US" w:eastAsia="zh-CN"/>
        </w:rPr>
      </w:r>
      <w:r/>
    </w:p>
    <w:p>
      <w:pPr>
        <w:pStyle w:val="155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三、技术要求</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（指对采购标的功能和质量要求，包括性能、材料、结构、外观、安全，或者服务内容和标准等。）</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1．基本要求</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本项目所有</w:t>
      </w:r>
      <w:r>
        <w:rPr>
          <w:rFonts w:hint="eastAsia" w:ascii="仿宋" w:hAnsi="仿宋" w:eastAsia="仿宋" w:cs="仿宋"/>
          <w:b w:val="0"/>
          <w:bCs w:val="0"/>
          <w:color w:val="000000"/>
          <w:sz w:val="21"/>
          <w:szCs w:val="21"/>
          <w:highlight w:val="none"/>
          <w:lang w:val="en-US" w:eastAsia="zh-CN"/>
        </w:rPr>
        <w:t xml:space="preserve">药剂</w:t>
      </w:r>
      <w:r>
        <w:rPr>
          <w:rFonts w:hint="eastAsia" w:ascii="仿宋" w:hAnsi="仿宋" w:eastAsia="仿宋" w:cs="仿宋"/>
          <w:b w:val="0"/>
          <w:bCs w:val="0"/>
          <w:color w:val="000000"/>
          <w:sz w:val="21"/>
          <w:szCs w:val="21"/>
          <w:highlight w:val="none"/>
        </w:rPr>
        <w:t xml:space="preserve">的</w:t>
      </w:r>
      <w:r>
        <w:rPr>
          <w:rFonts w:hint="eastAsia" w:ascii="仿宋" w:hAnsi="仿宋" w:eastAsia="仿宋" w:cs="仿宋"/>
          <w:b w:val="0"/>
          <w:bCs w:val="0"/>
          <w:color w:val="000000"/>
          <w:sz w:val="21"/>
          <w:szCs w:val="21"/>
          <w:highlight w:val="none"/>
          <w:lang w:val="en-US" w:eastAsia="zh-CN"/>
        </w:rPr>
        <w:t xml:space="preserve">采购、</w:t>
      </w:r>
      <w:r>
        <w:rPr>
          <w:rFonts w:hint="eastAsia" w:ascii="仿宋" w:hAnsi="仿宋" w:eastAsia="仿宋" w:cs="仿宋"/>
          <w:b w:val="0"/>
          <w:bCs w:val="0"/>
          <w:color w:val="000000"/>
          <w:sz w:val="21"/>
          <w:szCs w:val="21"/>
          <w:highlight w:val="none"/>
        </w:rPr>
        <w:t xml:space="preserve">配送具体品种和数量</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时间均</w:t>
      </w:r>
      <w:r>
        <w:rPr>
          <w:rFonts w:hint="eastAsia" w:ascii="仿宋" w:hAnsi="仿宋" w:eastAsia="仿宋" w:cs="仿宋"/>
          <w:b w:val="0"/>
          <w:bCs w:val="0"/>
          <w:color w:val="000000"/>
          <w:sz w:val="21"/>
          <w:szCs w:val="21"/>
          <w:highlight w:val="none"/>
        </w:rPr>
        <w:t xml:space="preserve">按照采购人要求执行，配送的所有</w:t>
      </w:r>
      <w:r>
        <w:rPr>
          <w:rFonts w:hint="eastAsia" w:ascii="仿宋" w:hAnsi="仿宋" w:eastAsia="仿宋" w:cs="仿宋"/>
          <w:b w:val="0"/>
          <w:bCs w:val="0"/>
          <w:color w:val="000000"/>
          <w:sz w:val="21"/>
          <w:szCs w:val="21"/>
          <w:highlight w:val="none"/>
          <w:lang w:val="en-US" w:eastAsia="zh-CN"/>
        </w:rPr>
        <w:t xml:space="preserve">药剂</w:t>
      </w:r>
      <w:r>
        <w:rPr>
          <w:rFonts w:hint="eastAsia" w:ascii="仿宋" w:hAnsi="仿宋" w:eastAsia="仿宋" w:cs="仿宋"/>
          <w:b w:val="0"/>
          <w:bCs w:val="0"/>
          <w:color w:val="000000"/>
          <w:sz w:val="21"/>
          <w:szCs w:val="21"/>
          <w:highlight w:val="none"/>
        </w:rPr>
        <w:t xml:space="preserve">均须符合国家、行业最新强制性质量标准及安全标准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t xml:space="preserve">根据合同约定的品种、规格、品牌、数量、质量要求在规定的时间内及时送到。</w:t>
      </w:r>
      <w:r>
        <w:rPr>
          <w:rFonts w:hint="eastAsia" w:ascii="仿宋" w:hAnsi="仿宋" w:eastAsia="仿宋" w:cs="仿宋"/>
          <w:color w:val="000000"/>
          <w:sz w:val="21"/>
          <w:szCs w:val="21"/>
          <w:highlight w:val="none"/>
          <w:lang w:eastAsia="zh-CN"/>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本项目涉及的所有货物、服务等内容的技术规格及技术标准均采用相关产品的国家、行业及企业标准，当相关标准互相冲突时，以高一级的标准为准，所有采用的标准应是有关机构发布的最新版本的标准。</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2．货物技术要求</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keepLines w:val="0"/>
        <w:keepNext w:val="0"/>
        <w:pageBreakBefore w:val="0"/>
        <w:spacing w:line="360" w:lineRule="auto"/>
        <w:widowControl w:val="o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rPr>
        <w:t xml:space="preserve">聚氯化铝</w:t>
      </w:r>
      <w:r>
        <w:rPr>
          <w:rFonts w:hint="eastAsia" w:ascii="仿宋" w:hAnsi="仿宋" w:eastAsia="仿宋" w:cs="仿宋"/>
          <w:bCs/>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聚氯化铝需完全达到《生活饮用水用聚氯化铝》（GB 15892-2020）规定的指标，指标如下：</w:t>
      </w:r>
      <w:r>
        <w:rPr>
          <w:rFonts w:hint="eastAsia" w:ascii="仿宋" w:hAnsi="仿宋" w:eastAsia="仿宋" w:cs="仿宋"/>
          <w:color w:val="000000"/>
          <w:sz w:val="21"/>
          <w:szCs w:val="21"/>
          <w:highlight w:val="none"/>
        </w:rPr>
      </w:r>
      <w:r/>
    </w:p>
    <w:p>
      <w:pPr>
        <w:pStyle w:val="1259"/>
        <w:jc w:val="left"/>
        <w:spacing w:line="36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5317731" cy="334532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317731" cy="334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8.7pt;height:263.4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color w:val="000000"/>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（2）聚丙烯酰胺</w:t>
      </w:r>
      <w:r>
        <w:rPr>
          <w:rFonts w:hint="eastAsia" w:ascii="仿宋" w:hAnsi="仿宋" w:eastAsia="仿宋" w:cs="仿宋"/>
          <w:color w:val="000000"/>
          <w:sz w:val="21"/>
          <w:szCs w:val="21"/>
          <w:highlight w:val="none"/>
          <w:lang w:val="en-US"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聚丙烯酰胺相对分子质量≥1600万，同时需完全达到《水处理剂 阴离子和非离子型聚丙烯酰胺》（GB/T 17514-2017）规定的一等品指标，指标如下：</w:t>
      </w:r>
      <w:r>
        <w:rPr>
          <w:rFonts w:hint="eastAsia" w:ascii="仿宋" w:hAnsi="仿宋" w:eastAsia="仿宋" w:cs="仿宋"/>
          <w:color w:val="000000"/>
          <w:sz w:val="21"/>
          <w:szCs w:val="21"/>
          <w:highlight w:val="none"/>
          <w:lang w:val="en-US" w:eastAsia="zh-CN"/>
        </w:rPr>
      </w:r>
      <w:r/>
    </w:p>
    <w:p>
      <w:pPr>
        <w:pStyle w:val="1259"/>
        <w:jc w:val="left"/>
        <w:spacing w:line="36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5341709" cy="238457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341709" cy="2384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20.6pt;height:187.8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color w:val="000000"/>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（3）磁种：粉末细度为325目，磁性物含量≥96.0%，水分含量≤8.0%。</w:t>
      </w:r>
      <w:r>
        <w:rPr>
          <w:rFonts w:hint="eastAsia" w:ascii="仿宋" w:hAnsi="仿宋" w:eastAsia="仿宋" w:cs="仿宋"/>
          <w:color w:val="000000"/>
          <w:sz w:val="21"/>
          <w:szCs w:val="21"/>
          <w:highlight w:val="none"/>
          <w:lang w:val="en-US"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2.2 项目清单：</w:t>
      </w:r>
      <w:r>
        <w:rPr>
          <w:rFonts w:hint="eastAsia" w:ascii="仿宋" w:hAnsi="仿宋" w:eastAsia="仿宋" w:cs="仿宋"/>
          <w:color w:val="000000"/>
          <w:sz w:val="21"/>
          <w:szCs w:val="21"/>
          <w:highlight w:val="none"/>
          <w:lang w:val="en-US" w:eastAsia="zh-CN"/>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2829"/>
        <w:gridCol w:w="2392"/>
        <w:gridCol w:w="1637"/>
        <w:gridCol w:w="1458"/>
      </w:tblGrid>
      <w:tr>
        <w:trPr>
          <w:tblHeader/>
        </w:trPr>
        <w:tc>
          <w:tcPr>
            <w:tcW w:w="1646" w:type="dxa"/>
            <w:vAlign w:val="center"/>
            <w:textDirection w:val="lrTb"/>
            <w:noWrap/>
          </w:tcPr>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药剂名称</w:t>
            </w:r>
            <w:r>
              <w:rPr>
                <w:rFonts w:hint="eastAsia" w:ascii="仿宋" w:hAnsi="仿宋" w:eastAsia="仿宋" w:cs="仿宋"/>
                <w:b/>
                <w:color w:val="000000"/>
                <w:sz w:val="21"/>
                <w:szCs w:val="21"/>
                <w:highlight w:val="none"/>
              </w:rPr>
            </w:r>
            <w:r/>
          </w:p>
        </w:tc>
        <w:tc>
          <w:tcPr>
            <w:tcW w:w="2829" w:type="dxa"/>
            <w:vAlign w:val="center"/>
            <w:textDirection w:val="lrTb"/>
            <w:noWrap/>
          </w:tcPr>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规格要求</w:t>
            </w:r>
            <w:r>
              <w:rPr>
                <w:rFonts w:hint="eastAsia" w:ascii="仿宋" w:hAnsi="仿宋" w:eastAsia="仿宋" w:cs="仿宋"/>
                <w:b/>
                <w:color w:val="000000"/>
                <w:sz w:val="21"/>
                <w:szCs w:val="21"/>
                <w:highlight w:val="none"/>
              </w:rPr>
            </w:r>
            <w:r/>
          </w:p>
        </w:tc>
        <w:tc>
          <w:tcPr>
            <w:tcW w:w="2392" w:type="dxa"/>
            <w:vAlign w:val="center"/>
            <w:textDirection w:val="lrTb"/>
            <w:noWrap/>
          </w:tcPr>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预估数量</w:t>
            </w:r>
            <w:r>
              <w:rPr>
                <w:rFonts w:hint="eastAsia" w:ascii="仿宋" w:hAnsi="仿宋" w:eastAsia="仿宋" w:cs="仿宋"/>
                <w:b/>
                <w:color w:val="000000"/>
                <w:sz w:val="21"/>
                <w:szCs w:val="21"/>
                <w:highlight w:val="none"/>
              </w:rPr>
            </w:r>
            <w:r/>
          </w:p>
        </w:tc>
        <w:tc>
          <w:tcPr>
            <w:tcW w:w="1637" w:type="dxa"/>
            <w:vAlign w:val="center"/>
            <w:textDirection w:val="lrTb"/>
            <w:noWrap/>
          </w:tcPr>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单价最高限价</w:t>
            </w:r>
            <w:r>
              <w:rPr>
                <w:rFonts w:hint="eastAsia" w:ascii="仿宋" w:hAnsi="仿宋" w:eastAsia="仿宋" w:cs="仿宋"/>
                <w:b/>
                <w:color w:val="000000"/>
                <w:sz w:val="21"/>
                <w:szCs w:val="21"/>
                <w:highlight w:val="none"/>
              </w:rPr>
            </w:r>
            <w:r/>
          </w:p>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（元/吨）</w:t>
            </w:r>
            <w:r>
              <w:rPr>
                <w:rFonts w:hint="eastAsia" w:ascii="仿宋" w:hAnsi="仿宋" w:eastAsia="仿宋" w:cs="仿宋"/>
                <w:b/>
                <w:color w:val="000000"/>
                <w:sz w:val="21"/>
                <w:szCs w:val="21"/>
                <w:highlight w:val="none"/>
              </w:rPr>
            </w:r>
            <w:r/>
          </w:p>
        </w:tc>
        <w:tc>
          <w:tcPr>
            <w:tcW w:w="1458" w:type="dxa"/>
            <w:vAlign w:val="center"/>
            <w:textDirection w:val="lrTb"/>
            <w:noWrap/>
          </w:tcPr>
          <w:p>
            <w:pPr>
              <w:pStyle w:val="1259"/>
              <w:ind w:left="0" w:right="0" w:firstLine="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备注</w:t>
            </w:r>
            <w:r>
              <w:rPr>
                <w:rFonts w:hint="eastAsia" w:ascii="仿宋" w:hAnsi="仿宋" w:eastAsia="仿宋" w:cs="仿宋"/>
                <w:b/>
                <w:color w:val="000000"/>
                <w:sz w:val="21"/>
                <w:szCs w:val="21"/>
                <w:highlight w:val="none"/>
              </w:rPr>
            </w:r>
            <w:r/>
          </w:p>
        </w:tc>
      </w:tr>
      <w:tr>
        <w:trPr/>
        <w:tc>
          <w:tcPr>
            <w:tcW w:w="1646"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聚氯化铝（液体）</w:t>
            </w:r>
            <w:r>
              <w:rPr>
                <w:rFonts w:hint="eastAsia" w:ascii="仿宋" w:hAnsi="仿宋" w:eastAsia="仿宋" w:cs="仿宋"/>
                <w:color w:val="000000"/>
                <w:sz w:val="21"/>
                <w:szCs w:val="21"/>
                <w:highlight w:val="none"/>
              </w:rPr>
            </w:r>
            <w:r/>
          </w:p>
        </w:tc>
        <w:tc>
          <w:tcPr>
            <w:tcW w:w="2829"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无色至淡黄色透明液体，氧化铝的质量分数≥10.0%，完全达到《生活饮用水用聚氯化铝》（GB 15892-2020）规定的指标</w:t>
            </w:r>
            <w:r>
              <w:rPr>
                <w:rFonts w:hint="eastAsia" w:ascii="仿宋" w:hAnsi="仿宋" w:eastAsia="仿宋" w:cs="仿宋"/>
                <w:color w:val="000000"/>
                <w:sz w:val="21"/>
                <w:szCs w:val="21"/>
                <w:highlight w:val="none"/>
              </w:rPr>
            </w:r>
            <w:r/>
          </w:p>
        </w:tc>
        <w:tc>
          <w:tcPr>
            <w:tcW w:w="2392"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约2900吨，以实际需求量为准</w:t>
            </w:r>
            <w:r>
              <w:rPr>
                <w:rFonts w:hint="eastAsia" w:ascii="仿宋" w:hAnsi="仿宋" w:eastAsia="仿宋" w:cs="仿宋"/>
                <w:color w:val="000000"/>
                <w:sz w:val="21"/>
                <w:szCs w:val="21"/>
                <w:highlight w:val="none"/>
              </w:rPr>
            </w:r>
            <w:r/>
          </w:p>
        </w:tc>
        <w:tc>
          <w:tcPr>
            <w:tcW w:w="1637"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540</w:t>
            </w:r>
            <w:r>
              <w:rPr>
                <w:rFonts w:hint="eastAsia" w:ascii="仿宋" w:hAnsi="仿宋" w:eastAsia="仿宋" w:cs="仿宋"/>
                <w:color w:val="000000"/>
                <w:sz w:val="21"/>
                <w:szCs w:val="21"/>
                <w:highlight w:val="none"/>
              </w:rPr>
            </w:r>
            <w:r/>
          </w:p>
        </w:tc>
        <w:tc>
          <w:tcPr>
            <w:tcW w:w="1458"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545"/>
        </w:trPr>
        <w:tc>
          <w:tcPr>
            <w:tcW w:w="1646"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聚丙烯酰胺（阴离子）</w:t>
            </w:r>
            <w:r>
              <w:rPr>
                <w:rFonts w:hint="eastAsia" w:ascii="仿宋" w:hAnsi="仿宋" w:eastAsia="仿宋" w:cs="仿宋"/>
                <w:color w:val="000000"/>
                <w:sz w:val="21"/>
                <w:szCs w:val="21"/>
                <w:highlight w:val="none"/>
              </w:rPr>
            </w:r>
            <w:r/>
          </w:p>
        </w:tc>
        <w:tc>
          <w:tcPr>
            <w:tcW w:w="2829"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白色颗粒或粉末，相对分子质量≥1600万，固含量≥90.0%，完全达到《水处理剂 阴离子和非离子型聚丙烯酰胺》（GB/T 17514-2017）规定的一等品指标</w:t>
            </w:r>
            <w:r>
              <w:rPr>
                <w:rFonts w:hint="eastAsia" w:ascii="仿宋" w:hAnsi="仿宋" w:eastAsia="仿宋" w:cs="仿宋"/>
                <w:color w:val="000000"/>
                <w:sz w:val="21"/>
                <w:szCs w:val="21"/>
                <w:highlight w:val="none"/>
              </w:rPr>
            </w:r>
            <w:r/>
          </w:p>
        </w:tc>
        <w:tc>
          <w:tcPr>
            <w:tcW w:w="2392"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约70吨，以实际需求量为准</w:t>
            </w:r>
            <w:r>
              <w:rPr>
                <w:rFonts w:hint="eastAsia" w:ascii="仿宋" w:hAnsi="仿宋" w:eastAsia="仿宋" w:cs="仿宋"/>
                <w:color w:val="000000"/>
                <w:sz w:val="21"/>
                <w:szCs w:val="21"/>
                <w:highlight w:val="none"/>
              </w:rPr>
            </w:r>
            <w:r/>
          </w:p>
        </w:tc>
        <w:tc>
          <w:tcPr>
            <w:tcW w:w="1637"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8800</w:t>
            </w:r>
            <w:r>
              <w:rPr>
                <w:rFonts w:hint="eastAsia" w:ascii="仿宋" w:hAnsi="仿宋" w:eastAsia="仿宋" w:cs="仿宋"/>
                <w:color w:val="000000"/>
                <w:sz w:val="21"/>
                <w:szCs w:val="21"/>
                <w:highlight w:val="none"/>
              </w:rPr>
            </w:r>
            <w:r/>
          </w:p>
        </w:tc>
        <w:tc>
          <w:tcPr>
            <w:tcW w:w="1458"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净水站中阴离子聚丙烯酰胺与混凝剂聚氯化铝联用，形成较大粒径、且不易破碎的絮凝体</w:t>
            </w:r>
            <w:r>
              <w:rPr>
                <w:rFonts w:hint="eastAsia" w:ascii="仿宋" w:hAnsi="仿宋" w:eastAsia="仿宋" w:cs="仿宋"/>
                <w:color w:val="000000"/>
                <w:sz w:val="21"/>
                <w:szCs w:val="21"/>
                <w:highlight w:val="none"/>
              </w:rPr>
            </w:r>
            <w:r/>
          </w:p>
        </w:tc>
      </w:tr>
      <w:tr>
        <w:trPr/>
        <w:tc>
          <w:tcPr>
            <w:tcW w:w="1646"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磁种</w:t>
            </w:r>
            <w:r>
              <w:rPr>
                <w:rFonts w:hint="eastAsia" w:ascii="仿宋" w:hAnsi="仿宋" w:eastAsia="仿宋" w:cs="仿宋"/>
                <w:color w:val="000000"/>
                <w:sz w:val="21"/>
                <w:szCs w:val="21"/>
                <w:highlight w:val="none"/>
              </w:rPr>
            </w:r>
            <w:r/>
          </w:p>
        </w:tc>
        <w:tc>
          <w:tcPr>
            <w:tcW w:w="2829"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离散状黑色固体粉末，325目，磁性物含量≥96.0%，水分含量 ≤ 8.0%</w:t>
            </w:r>
            <w:r>
              <w:rPr>
                <w:rFonts w:hint="eastAsia" w:ascii="仿宋" w:hAnsi="仿宋" w:eastAsia="仿宋" w:cs="仿宋"/>
                <w:color w:val="000000"/>
                <w:sz w:val="21"/>
                <w:szCs w:val="21"/>
                <w:highlight w:val="none"/>
              </w:rPr>
            </w:r>
            <w:r/>
          </w:p>
        </w:tc>
        <w:tc>
          <w:tcPr>
            <w:tcW w:w="2392"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约60吨，以实际需求量为准</w:t>
            </w:r>
            <w:r>
              <w:rPr>
                <w:rFonts w:hint="eastAsia" w:ascii="仿宋" w:hAnsi="仿宋" w:eastAsia="仿宋" w:cs="仿宋"/>
                <w:color w:val="000000"/>
                <w:sz w:val="21"/>
                <w:szCs w:val="21"/>
                <w:highlight w:val="none"/>
              </w:rPr>
            </w:r>
            <w:r/>
          </w:p>
        </w:tc>
        <w:tc>
          <w:tcPr>
            <w:tcW w:w="1637"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2600</w:t>
            </w:r>
            <w:r>
              <w:rPr>
                <w:rFonts w:hint="eastAsia" w:ascii="仿宋" w:hAnsi="仿宋" w:eastAsia="仿宋" w:cs="仿宋"/>
                <w:color w:val="000000"/>
                <w:sz w:val="21"/>
                <w:szCs w:val="21"/>
                <w:highlight w:val="none"/>
              </w:rPr>
            </w:r>
            <w:r/>
          </w:p>
        </w:tc>
        <w:tc>
          <w:tcPr>
            <w:tcW w:w="1458" w:type="dxa"/>
            <w:vAlign w:val="center"/>
            <w:textDirection w:val="lrTb"/>
            <w:noWrap/>
          </w:tcPr>
          <w:p>
            <w:pPr>
              <w:pStyle w:val="1259"/>
              <w:ind w:left="0" w:righ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259"/>
        <w:ind w:firstLine="422"/>
        <w:jc w:val="left"/>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注：预估用量仅做参考，不作为结算依据，实际使用量以招标人通知交货清单为准，以中标单价乘以数量按实结算。中标人需根据招标人要求分批次分地点供货，中标人不得以单次供应量过少或总供货量超预计量为由拒绝供货。</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2.3 采购标的需满足的服务标准、期限、效率等要求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中标人送至招标人现场的聚氯化铝应采用槽罐车运输，车况应完好无跑、冒、滴、漏的情况，并自带卸料管、卸料泵等。</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中标人送至招标人现场的聚丙烯酰胺（阴离子）和磁种应以袋装供货，包装上需标明重量。</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bCs/>
          <w:color w:val="000000"/>
          <w:spacing w:val="1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在实际供货过程中，中标人必须在接到招标人通知后</w:t>
      </w:r>
      <w:r>
        <w:rPr>
          <w:rFonts w:hint="eastAsia" w:ascii="仿宋" w:hAnsi="仿宋" w:eastAsia="仿宋" w:cs="仿宋"/>
          <w:b/>
          <w:bCs/>
          <w:color w:val="000000"/>
          <w:sz w:val="21"/>
          <w:szCs w:val="21"/>
          <w:highlight w:val="none"/>
        </w:rPr>
        <w:t xml:space="preserve">3个日历日内</w:t>
      </w:r>
      <w:r>
        <w:rPr>
          <w:rFonts w:hint="eastAsia" w:ascii="仿宋" w:hAnsi="仿宋" w:eastAsia="仿宋" w:cs="仿宋"/>
          <w:color w:val="000000"/>
          <w:sz w:val="21"/>
          <w:szCs w:val="21"/>
          <w:highlight w:val="none"/>
        </w:rPr>
        <w:t xml:space="preserve">，</w:t>
      </w:r>
      <w:r>
        <w:rPr>
          <w:rFonts w:hint="eastAsia" w:ascii="仿宋" w:hAnsi="仿宋" w:eastAsia="仿宋" w:cs="仿宋"/>
          <w:bCs/>
          <w:color w:val="000000"/>
          <w:spacing w:val="10"/>
          <w:sz w:val="21"/>
          <w:szCs w:val="21"/>
          <w:highlight w:val="none"/>
        </w:rPr>
        <w:t xml:space="preserve">将各药剂按招标人要求送至常州市区范围内的各处净水站卸货，卸货时间需避开交通高峰期。</w:t>
      </w:r>
      <w:r>
        <w:rPr>
          <w:rFonts w:hint="eastAsia" w:ascii="仿宋" w:hAnsi="仿宋" w:eastAsia="仿宋" w:cs="仿宋"/>
          <w:bCs/>
          <w:color w:val="000000"/>
          <w:spacing w:val="10"/>
          <w:sz w:val="21"/>
          <w:szCs w:val="21"/>
          <w:highlight w:val="none"/>
        </w:rPr>
      </w:r>
      <w:r/>
    </w:p>
    <w:p>
      <w:pPr>
        <w:pStyle w:val="1259"/>
        <w:ind w:firstLine="46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bCs/>
          <w:color w:val="000000"/>
          <w:spacing w:val="10"/>
          <w:sz w:val="21"/>
          <w:szCs w:val="21"/>
          <w:highlight w:val="none"/>
        </w:rPr>
        <w:t xml:space="preserve">中标人需承担药剂的运输费用及卸货费用。</w:t>
      </w:r>
      <w:r>
        <w:rPr>
          <w:rFonts w:hint="eastAsia" w:ascii="仿宋" w:hAnsi="仿宋" w:eastAsia="仿宋" w:cs="仿宋"/>
          <w:color w:val="000000"/>
          <w:sz w:val="21"/>
          <w:szCs w:val="21"/>
          <w:highlight w:val="none"/>
        </w:rPr>
      </w:r>
      <w:r/>
    </w:p>
    <w:p>
      <w:pPr>
        <w:pStyle w:val="1259"/>
        <w:ind w:firstLine="460"/>
        <w:jc w:val="left"/>
        <w:keepLines w:val="0"/>
        <w:keepNext w:val="0"/>
        <w:pageBreakBefore w:val="0"/>
        <w:spacing w:line="360" w:lineRule="auto"/>
        <w:widowControl/>
        <w:rPr>
          <w:rFonts w:hint="eastAsia" w:ascii="仿宋" w:hAnsi="仿宋" w:eastAsia="仿宋" w:cs="仿宋"/>
          <w:bCs/>
          <w:color w:val="000000"/>
          <w:spacing w:val="10"/>
          <w:sz w:val="21"/>
          <w:szCs w:val="21"/>
          <w:highlight w:val="none"/>
        </w:rPr>
      </w:pPr>
      <w:r>
        <w:rPr>
          <w:rFonts w:hint="eastAsia" w:ascii="仿宋" w:hAnsi="仿宋" w:eastAsia="仿宋" w:cs="仿宋"/>
          <w:bCs/>
          <w:color w:val="000000"/>
          <w:spacing w:val="10"/>
          <w:sz w:val="21"/>
          <w:szCs w:val="21"/>
          <w:highlight w:val="none"/>
        </w:rPr>
        <w:t xml:space="preserve">涉及交通限行区域送货的，需由中标人自行办理通行证。</w:t>
      </w:r>
      <w:r>
        <w:rPr>
          <w:rFonts w:hint="eastAsia" w:ascii="仿宋" w:hAnsi="仿宋" w:eastAsia="仿宋" w:cs="仿宋"/>
          <w:bCs/>
          <w:color w:val="000000"/>
          <w:spacing w:val="10"/>
          <w:sz w:val="21"/>
          <w:szCs w:val="21"/>
          <w:highlight w:val="none"/>
        </w:rPr>
      </w:r>
      <w:r/>
    </w:p>
    <w:p>
      <w:pPr>
        <w:pStyle w:val="1259"/>
        <w:ind w:firstLine="46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bCs/>
          <w:color w:val="000000"/>
          <w:spacing w:val="10"/>
          <w:sz w:val="21"/>
          <w:szCs w:val="21"/>
          <w:highlight w:val="none"/>
        </w:rPr>
        <w:t xml:space="preserve">中标人</w:t>
      </w:r>
      <w:r>
        <w:rPr>
          <w:rFonts w:hint="eastAsia" w:ascii="仿宋" w:hAnsi="仿宋" w:eastAsia="仿宋" w:cs="仿宋"/>
          <w:color w:val="000000"/>
          <w:sz w:val="21"/>
          <w:szCs w:val="21"/>
          <w:highlight w:val="none"/>
        </w:rPr>
        <w:t xml:space="preserve">不得因招标人阶段性需求量过小而延误供货。</w:t>
      </w:r>
      <w:r>
        <w:rPr>
          <w:rFonts w:hint="eastAsia" w:ascii="仿宋" w:hAnsi="仿宋" w:eastAsia="仿宋" w:cs="仿宋"/>
          <w:color w:val="000000"/>
          <w:sz w:val="21"/>
          <w:szCs w:val="21"/>
          <w:highlight w:val="none"/>
        </w:rPr>
      </w:r>
      <w:r/>
    </w:p>
    <w:p>
      <w:pPr>
        <w:pStyle w:val="1259"/>
        <w:ind w:firstLine="460"/>
        <w:keepLines w:val="0"/>
        <w:keepNext w:val="0"/>
        <w:pageBreakBefore w:val="0"/>
        <w:spacing w:line="360" w:lineRule="auto"/>
        <w:rPr>
          <w:rFonts w:hint="eastAsia" w:ascii="仿宋" w:hAnsi="仿宋" w:eastAsia="仿宋" w:cs="仿宋"/>
          <w:bCs/>
          <w:color w:val="000000"/>
          <w:spacing w:val="10"/>
          <w:sz w:val="21"/>
          <w:szCs w:val="21"/>
          <w:highlight w:val="none"/>
        </w:rPr>
      </w:pPr>
      <w:r>
        <w:rPr>
          <w:rFonts w:hint="eastAsia" w:ascii="仿宋" w:hAnsi="仿宋" w:eastAsia="仿宋" w:cs="仿宋"/>
          <w:bCs/>
          <w:color w:val="000000"/>
          <w:spacing w:val="10"/>
          <w:sz w:val="21"/>
          <w:szCs w:val="21"/>
          <w:highlight w:val="none"/>
        </w:rPr>
        <w:t xml:space="preserve">净水站详细地点见下表：</w:t>
      </w:r>
      <w:r>
        <w:rPr>
          <w:rFonts w:hint="eastAsia" w:ascii="仿宋" w:hAnsi="仿宋" w:eastAsia="仿宋" w:cs="仿宋"/>
          <w:bCs/>
          <w:color w:val="000000"/>
          <w:spacing w:val="10"/>
          <w:sz w:val="21"/>
          <w:szCs w:val="21"/>
          <w:highlight w:val="none"/>
        </w:rPr>
      </w:r>
      <w:r/>
    </w:p>
    <w:tbl>
      <w:tblPr>
        <w:tblW w:w="996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83"/>
        <w:gridCol w:w="3132"/>
        <w:gridCol w:w="3132"/>
        <w:gridCol w:w="2316"/>
      </w:tblGrid>
      <w:tr>
        <w:trPr>
          <w:tblHeade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center"/>
              <w:keepNex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净水站名称</w:t>
            </w:r>
            <w:r>
              <w:rPr>
                <w:rFonts w:hint="eastAsia" w:ascii="仿宋" w:hAnsi="仿宋" w:eastAsia="仿宋" w:cs="仿宋"/>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center"/>
              <w:keepNex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详细地址</w:t>
            </w:r>
            <w:r>
              <w:rPr>
                <w:rFonts w:hint="eastAsia" w:ascii="仿宋" w:hAnsi="仿宋" w:eastAsia="仿宋" w:cs="仿宋"/>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center"/>
              <w:keepNex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停车条件</w:t>
            </w:r>
            <w:r>
              <w:rPr>
                <w:rFonts w:hint="eastAsia" w:ascii="仿宋" w:hAnsi="仿宋" w:eastAsia="仿宋" w:cs="仿宋"/>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pStyle w:val="1259"/>
              <w:ind w:left="0" w:right="0" w:firstLine="0"/>
              <w:jc w:val="center"/>
              <w:keepNex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搬运要求</w:t>
            </w:r>
            <w:r>
              <w:rPr>
                <w:rFonts w:hint="eastAsia" w:ascii="仿宋" w:hAnsi="仿宋" w:eastAsia="仿宋" w:cs="仿宋"/>
                <w:b/>
                <w:bCs/>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广化桥</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常州市钟楼区广化桥西南堍</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货车仅可停在市政道路上</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2316" w:type="dxa"/>
            <w:vAlign w:val="center"/>
            <w:vMerge w:val="restart"/>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聚氯化铝通过管道卸货，聚丙烯酰胺（阴离子PAM）和磁种需人工搬运至车间内或地下一层的指定地点</w:t>
            </w: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双桥浜</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常州市新北区惠国路与龙城大道交叉口东南角</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货车仅可停在市政道路上</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椿桂园</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常州市钟楼区怀德北路23号附近椿桂园内</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货车可行进至椿桂园内设施旁道路</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青山绿地</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常州市天宁区关河西路与青山路交叉口东北角绿地内</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货车仅可停在市政道路上</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五星</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常州市钟楼区三堡街与五星路交叉口路北侧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货车可到车间门口</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章家浜</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中海·云樾里北区-19栋对面（天宁区东方西路东风工业园）</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货车可到车间门口</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叶家浜</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钟楼区荆川北路上书房4期藏书桥旁</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货车可到车间门口</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白家浜</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常州市钟楼区长江中路225号</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pStyle w:val="1259"/>
              <w:ind w:left="0" w:right="0" w:firstLine="0"/>
              <w:jc w:val="left"/>
              <w:keepNex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货车可到车间门口</w:t>
            </w:r>
            <w:r>
              <w:rPr>
                <w:rFonts w:hint="eastAsia" w:ascii="仿宋" w:hAnsi="仿宋" w:eastAsia="仿宋" w:cs="仿宋"/>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2316" w:type="dxa"/>
            <w:vAlign w:val="center"/>
            <w:vMerge w:val="continue"/>
            <w:textDirection w:val="lrTb"/>
            <w:noWrap/>
          </w:tcPr>
          <w:p>
            <w:pPr>
              <w:pStyle w:val="1259"/>
              <w:ind w:left="0" w:right="0" w:firstLine="0"/>
              <w:jc w:val="left"/>
              <w:keepNex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3．验收标准</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称重验收：按时按需供货时，由中标人协助，招标人组织人员验收并填写验收单据。每批药剂送至净水站的都应附生产厂的出厂货物称重单据。</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聚氯化铝送到现场后招标人根据中标人提供的出厂磅单作为结算计量依据，但招标人有权抽检，要求运输车辆绕行其他地点进行复磅称重，或采用容积法、流量计法进行复核，抽检验收不合格的应按合同违约责任条款进行处理。</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聚丙烯酰胺（阴离子）和磁种送到现场后招标人根据中标人提供的出厂重量单据作为结算计量依据，但招标人有权对每批药剂进行抽检称重；抽检不合格，即视为该批次供货重量验收不合格，应按合同违约责任条款进行处理。</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成分检测验收：每批药剂送至净水站的都应附生产厂的质量证明书（合格证），内容包括生产厂家信息、产品净含量、成分指标等，作为成分验收的资料凭证。</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但是，招标人有权委托具有资质的检测机构对中标人所供的药剂进行成分抽样检测，抽样检测合格的，检测费用由招标人承担；抽样检测不合格的，抽样批次认定为不合格，并由中标人承担检测费用。同时以抽样检测化验结果作为成分验收依据。</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各类验收的方法及违约责任详见合同格式。</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无</w:t>
      </w:r>
      <w:r>
        <w:rPr>
          <w:rFonts w:hint="eastAsia" w:ascii="仿宋" w:hAnsi="仿宋" w:eastAsia="仿宋" w:cs="仿宋"/>
          <w:b/>
          <w:bCs/>
          <w:color w:val="000000"/>
          <w:sz w:val="21"/>
          <w:szCs w:val="21"/>
          <w:highlight w:val="none"/>
          <w:lang w:val="en-US" w:eastAsia="zh-CN"/>
        </w:rPr>
      </w:r>
      <w:r/>
    </w:p>
    <w:p>
      <w:pPr>
        <w:pStyle w:val="1259"/>
        <w:numPr>
          <w:ilvl w:val="0"/>
          <w:numId w:val="0"/>
        </w:numPr>
        <w:ind w:firstLine="420"/>
        <w:jc w:val="left"/>
        <w:keepLines w:val="0"/>
        <w:keepNext w:val="0"/>
        <w:pageBreakBefore w:val="0"/>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5.核心产品要求：</w:t>
      </w:r>
      <w:r>
        <w:rPr>
          <w:rFonts w:hint="eastAsia" w:ascii="仿宋" w:hAnsi="仿宋" w:eastAsia="仿宋" w:cs="仿宋"/>
          <w:b/>
          <w:bCs/>
          <w:color w:val="000000"/>
          <w:sz w:val="21"/>
          <w:szCs w:val="21"/>
          <w:highlight w:val="none"/>
          <w:lang w:val="en-US" w:eastAsia="zh-CN"/>
        </w:rPr>
        <w:t xml:space="preserve">本项目核心产品为：聚氯化铝（液体）</w:t>
      </w:r>
      <w:r>
        <w:rPr>
          <w:rFonts w:hint="eastAsia" w:ascii="仿宋" w:hAnsi="仿宋" w:eastAsia="仿宋" w:cs="仿宋"/>
          <w:b/>
          <w:bCs/>
          <w:color w:val="000000"/>
          <w:sz w:val="21"/>
          <w:szCs w:val="21"/>
          <w:highlight w:val="none"/>
          <w:lang w:val="en-US" w:eastAsia="zh-CN"/>
        </w:rPr>
      </w:r>
      <w:r/>
    </w:p>
    <w:p>
      <w:pPr>
        <w:pStyle w:val="1259"/>
        <w:numPr>
          <w:ilvl w:val="0"/>
          <w:numId w:val="0"/>
        </w:numPr>
        <w:ind w:firstLine="422"/>
        <w:jc w:val="left"/>
        <w:keepLines w:val="0"/>
        <w:keepNext w:val="0"/>
        <w:pageBreakBefore w:val="0"/>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注：相同品牌供应商数量的认定：</w:t>
      </w:r>
      <w:r>
        <w:rPr>
          <w:rFonts w:hint="eastAsia" w:ascii="仿宋" w:hAnsi="仿宋" w:eastAsia="仿宋" w:cs="仿宋"/>
          <w:b/>
          <w:bCs/>
          <w:color w:val="000000"/>
          <w:sz w:val="21"/>
          <w:szCs w:val="21"/>
          <w:highlight w:val="none"/>
          <w:lang w:val="en-US" w:eastAsia="zh-CN"/>
        </w:rPr>
      </w:r>
      <w:r/>
    </w:p>
    <w:p>
      <w:pPr>
        <w:pStyle w:val="1259"/>
        <w:ind w:firstLine="422"/>
        <w:jc w:val="left"/>
        <w:keepLines w:val="0"/>
        <w:keepNext w:val="0"/>
        <w:pageBreakBefore w:val="0"/>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b/>
          <w:bCs/>
          <w:color w:val="000000"/>
          <w:sz w:val="21"/>
          <w:szCs w:val="21"/>
          <w:highlight w:val="none"/>
          <w:lang w:val="en-US" w:eastAsia="zh-CN"/>
        </w:rPr>
      </w:r>
      <w:r/>
    </w:p>
    <w:p>
      <w:pPr>
        <w:pStyle w:val="1259"/>
        <w:numPr>
          <w:ilvl w:val="0"/>
          <w:numId w:val="0"/>
        </w:numPr>
        <w:ind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rPr>
        <w:t xml:space="preserve">（2）若所投产品无独立品牌，则将该产品的制造商视为品牌。</w:t>
      </w:r>
      <w:r>
        <w:rPr>
          <w:rFonts w:hint="eastAsia" w:ascii="仿宋" w:hAnsi="仿宋" w:eastAsia="仿宋" w:cs="仿宋"/>
          <w:color w:val="000000"/>
          <w:sz w:val="21"/>
          <w:szCs w:val="21"/>
          <w:highlight w:val="none"/>
          <w:lang w:val="en-US" w:eastAsia="zh-CN" w:bidi="ar-SA"/>
        </w:rPr>
      </w:r>
      <w:r/>
    </w:p>
    <w:p>
      <w:pPr>
        <w:pStyle w:val="1259"/>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6301"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51"/>
        <w:gridCol w:w="3750"/>
      </w:tblGrid>
      <w:tr>
        <w:trPr>
          <w:trHeight w:val="227"/>
        </w:trPr>
        <w:tc>
          <w:tcPr>
            <w:tcW w:w="2551" w:type="dxa"/>
            <w:vAlign w:val="center"/>
            <w:textDirection w:val="lrTb"/>
            <w:noWrap w:val="false"/>
          </w:tcPr>
          <w:p>
            <w:pPr>
              <w:pStyle w:val="1259"/>
              <w:ind w:firstLine="422"/>
              <w:jc w:val="center"/>
              <w:keepLines w:val="0"/>
              <w:keepNext w:val="0"/>
              <w:pageBreakBefore w:val="0"/>
              <w:spacing w:line="360" w:lineRule="auto"/>
              <w:widowControl/>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采购标的</w:t>
            </w:r>
            <w:r>
              <w:rPr>
                <w:rFonts w:hint="eastAsia" w:ascii="仿宋" w:hAnsi="仿宋" w:eastAsia="仿宋" w:cs="仿宋"/>
                <w:b/>
                <w:bCs/>
                <w:color w:val="000000"/>
                <w:sz w:val="21"/>
                <w:szCs w:val="21"/>
                <w:highlight w:val="none"/>
                <w:lang w:eastAsia="zh-CN"/>
              </w:rPr>
            </w:r>
            <w:r/>
          </w:p>
        </w:tc>
        <w:tc>
          <w:tcPr>
            <w:tcW w:w="3750" w:type="dxa"/>
            <w:vAlign w:val="center"/>
            <w:textDirection w:val="lrTb"/>
            <w:noWrap w:val="false"/>
          </w:tcPr>
          <w:p>
            <w:pPr>
              <w:pStyle w:val="1259"/>
              <w:ind w:firstLine="422"/>
              <w:jc w:val="center"/>
              <w:keepLines w:val="0"/>
              <w:keepNext w:val="0"/>
              <w:pageBreakBefore w:val="0"/>
              <w:spacing w:line="360" w:lineRule="auto"/>
              <w:widowControl/>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对应中小企业划分标准所属行业</w:t>
            </w:r>
            <w:r>
              <w:rPr>
                <w:rFonts w:hint="eastAsia" w:ascii="仿宋" w:hAnsi="仿宋" w:eastAsia="仿宋" w:cs="仿宋"/>
                <w:b/>
                <w:bCs/>
                <w:color w:val="000000"/>
                <w:sz w:val="21"/>
                <w:szCs w:val="21"/>
                <w:highlight w:val="none"/>
                <w:lang w:val="en-US" w:eastAsia="zh-CN"/>
              </w:rPr>
            </w:r>
            <w:r/>
          </w:p>
        </w:tc>
      </w:tr>
      <w:tr>
        <w:trPr>
          <w:trHeight w:val="227"/>
        </w:trPr>
        <w:tc>
          <w:tcPr>
            <w:tcW w:w="2551" w:type="dxa"/>
            <w:vAlign w:val="center"/>
            <w:textDirection w:val="lrTb"/>
            <w:noWrap w:val="false"/>
          </w:tcPr>
          <w:p>
            <w:pPr>
              <w:pStyle w:val="1259"/>
              <w:ind w:left="0" w:right="0" w:firstLine="0"/>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聚氯化铝（液体）</w:t>
            </w:r>
            <w:r>
              <w:rPr>
                <w:rFonts w:hint="eastAsia" w:ascii="仿宋" w:hAnsi="仿宋" w:eastAsia="仿宋" w:cs="仿宋"/>
                <w:color w:val="000000"/>
                <w:sz w:val="21"/>
                <w:szCs w:val="21"/>
                <w:highlight w:val="none"/>
                <w:lang w:eastAsia="zh-CN"/>
              </w:rPr>
            </w:r>
            <w:r/>
          </w:p>
        </w:tc>
        <w:tc>
          <w:tcPr>
            <w:tcW w:w="3750" w:type="dxa"/>
            <w:vAlign w:val="center"/>
            <w:textDirection w:val="lrTb"/>
            <w:noWrap w:val="false"/>
          </w:tcPr>
          <w:p>
            <w:pPr>
              <w:pStyle w:val="1259"/>
              <w:ind w:firstLine="420"/>
              <w:jc w:val="center"/>
              <w:keepLines w:val="0"/>
              <w:keepNext w:val="0"/>
              <w:pageBreakBefore w:val="0"/>
              <w:spacing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w:t>
            </w:r>
            <w:r>
              <w:rPr>
                <w:rFonts w:hint="eastAsia" w:ascii="仿宋" w:hAnsi="仿宋" w:eastAsia="仿宋" w:cs="仿宋"/>
                <w:color w:val="000000"/>
                <w:sz w:val="21"/>
                <w:szCs w:val="21"/>
                <w:highlight w:val="none"/>
                <w:lang w:val="en-US" w:eastAsia="zh-CN"/>
              </w:rPr>
            </w:r>
            <w:r/>
          </w:p>
        </w:tc>
      </w:tr>
      <w:tr>
        <w:trPr>
          <w:trHeight w:val="227"/>
        </w:trPr>
        <w:tc>
          <w:tcPr>
            <w:tcW w:w="2551" w:type="dxa"/>
            <w:vAlign w:val="center"/>
            <w:textDirection w:val="lrTb"/>
            <w:noWrap w:val="false"/>
          </w:tcPr>
          <w:p>
            <w:pPr>
              <w:pStyle w:val="1259"/>
              <w:ind w:left="0" w:right="0" w:firstLine="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聚丙烯酰胺（阴离子）</w:t>
            </w:r>
            <w:r>
              <w:rPr>
                <w:rFonts w:hint="eastAsia" w:ascii="仿宋" w:hAnsi="仿宋" w:eastAsia="仿宋" w:cs="仿宋"/>
                <w:color w:val="000000"/>
                <w:sz w:val="21"/>
                <w:szCs w:val="21"/>
                <w:highlight w:val="none"/>
                <w:lang w:val="en-US" w:eastAsia="zh-CN"/>
              </w:rPr>
            </w:r>
            <w:r/>
          </w:p>
        </w:tc>
        <w:tc>
          <w:tcPr>
            <w:tcW w:w="3750" w:type="dxa"/>
            <w:vAlign w:val="center"/>
            <w:textDirection w:val="lrTb"/>
            <w:noWrap w:val="false"/>
          </w:tcPr>
          <w:p>
            <w:pPr>
              <w:pStyle w:val="1259"/>
              <w:ind w:firstLine="420"/>
              <w:jc w:val="center"/>
              <w:keepLines w:val="0"/>
              <w:keepNext w:val="0"/>
              <w:pageBreakBefore w:val="0"/>
              <w:spacing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w:t>
            </w:r>
            <w:r>
              <w:rPr>
                <w:rFonts w:hint="eastAsia" w:ascii="仿宋" w:hAnsi="仿宋" w:eastAsia="仿宋" w:cs="仿宋"/>
                <w:color w:val="000000"/>
                <w:sz w:val="21"/>
                <w:szCs w:val="21"/>
                <w:highlight w:val="none"/>
                <w:lang w:val="en-US" w:eastAsia="zh-CN"/>
              </w:rPr>
            </w:r>
            <w:r/>
          </w:p>
        </w:tc>
      </w:tr>
      <w:tr>
        <w:trPr>
          <w:trHeight w:val="227"/>
        </w:trPr>
        <w:tc>
          <w:tcPr>
            <w:tcW w:w="2551" w:type="dxa"/>
            <w:vAlign w:val="center"/>
            <w:textDirection w:val="lrTb"/>
            <w:noWrap w:val="false"/>
          </w:tcPr>
          <w:p>
            <w:pPr>
              <w:pStyle w:val="1259"/>
              <w:ind w:left="0" w:right="0" w:firstLine="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磁种</w:t>
            </w:r>
            <w:r>
              <w:rPr>
                <w:rFonts w:hint="eastAsia" w:ascii="仿宋" w:hAnsi="仿宋" w:eastAsia="仿宋" w:cs="仿宋"/>
                <w:color w:val="000000"/>
                <w:sz w:val="21"/>
                <w:szCs w:val="21"/>
                <w:highlight w:val="none"/>
                <w:lang w:val="en-US" w:eastAsia="zh-CN"/>
              </w:rPr>
            </w:r>
            <w:r/>
          </w:p>
        </w:tc>
        <w:tc>
          <w:tcPr>
            <w:tcW w:w="3750" w:type="dxa"/>
            <w:vAlign w:val="center"/>
            <w:textDirection w:val="lrTb"/>
            <w:noWrap w:val="false"/>
          </w:tcPr>
          <w:p>
            <w:pPr>
              <w:pStyle w:val="1259"/>
              <w:ind w:firstLine="420"/>
              <w:jc w:val="center"/>
              <w:keepLines w:val="0"/>
              <w:keepNext w:val="0"/>
              <w:pageBreakBefore w:val="0"/>
              <w:spacing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w:t>
            </w:r>
            <w:r>
              <w:rPr>
                <w:rFonts w:hint="eastAsia" w:ascii="仿宋" w:hAnsi="仿宋" w:eastAsia="仿宋" w:cs="仿宋"/>
                <w:color w:val="000000"/>
                <w:sz w:val="21"/>
                <w:szCs w:val="21"/>
                <w:highlight w:val="none"/>
                <w:lang w:val="en-US" w:eastAsia="zh-CN"/>
              </w:rPr>
            </w:r>
            <w:r/>
          </w:p>
        </w:tc>
      </w:tr>
    </w:tbl>
    <w:p>
      <w:pPr>
        <w:pStyle w:val="1259"/>
        <w:ind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w:t>
      </w:r>
      <w:r>
        <w:rPr>
          <w:rFonts w:hint="eastAsia" w:ascii="仿宋" w:hAnsi="仿宋" w:eastAsia="仿宋" w:cs="仿宋"/>
          <w:color w:val="000000"/>
          <w:sz w:val="21"/>
          <w:szCs w:val="21"/>
          <w:highlight w:val="none"/>
        </w:rPr>
      </w:r>
      <w:r/>
    </w:p>
    <w:p>
      <w:pPr>
        <w:pStyle w:val="1259"/>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2"/>
        <w:jc w:val="left"/>
        <w:keepLines w:val="0"/>
        <w:keepNext w:val="0"/>
        <w:pageBreakBefore w:val="0"/>
        <w:spacing w:line="360" w:lineRule="auto"/>
        <w:shd w:val="clear" w:color="auto" w:fill="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7.政府采购中实施本国产品标准及相关政策</w:t>
      </w:r>
      <w:r>
        <w:rPr>
          <w:rFonts w:hint="eastAsia" w:ascii="仿宋" w:hAnsi="仿宋" w:eastAsia="仿宋" w:cs="仿宋"/>
          <w:b/>
          <w:bCs/>
          <w:color w:val="000000"/>
          <w:sz w:val="21"/>
          <w:szCs w:val="21"/>
          <w:highlight w:val="none"/>
          <w:lang w:val="en-US" w:eastAsia="zh-CN"/>
        </w:rPr>
      </w:r>
      <w:r/>
    </w:p>
    <w:p>
      <w:pPr>
        <w:pStyle w:val="1259"/>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（1）本项目对采购本国产品给予政策支持，具体内容见招标文件“第四章 评标方法与评标标准”。</w:t>
      </w:r>
      <w:r>
        <w:rPr>
          <w:rFonts w:hint="eastAsia" w:ascii="仿宋" w:hAnsi="仿宋" w:eastAsia="仿宋" w:cs="仿宋"/>
          <w:color w:val="000000"/>
          <w:sz w:val="21"/>
          <w:szCs w:val="21"/>
          <w:highlight w:val="none"/>
          <w:lang w:val="en-US" w:eastAsia="zh-CN"/>
        </w:rPr>
      </w:r>
      <w:r/>
    </w:p>
    <w:p>
      <w:pPr>
        <w:pStyle w:val="1259"/>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1"/>
          <w:szCs w:val="21"/>
          <w:highlight w:val="none"/>
          <w:lang w:val="en-US" w:eastAsia="zh-CN"/>
        </w:rPr>
      </w:r>
      <w:r/>
    </w:p>
    <w:p>
      <w:pPr>
        <w:pStyle w:val="1259"/>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1"/>
          <w:szCs w:val="21"/>
          <w:highlight w:val="none"/>
          <w:lang w:val="en-US" w:eastAsia="zh-CN"/>
        </w:rPr>
      </w:r>
      <w:r/>
    </w:p>
    <w:p>
      <w:pPr>
        <w:pStyle w:val="1259"/>
        <w:spacing w:line="360" w:lineRule="auto"/>
        <w:rPr>
          <w:rFonts w:hint="eastAsia" w:ascii="仿宋" w:hAnsi="仿宋" w:eastAsia="仿宋" w:cs="仿宋"/>
          <w:color w:val="000000"/>
          <w:sz w:val="24"/>
          <w:highlight w:val="none"/>
        </w:rPr>
        <w:outlineLvl w:val="1"/>
      </w:pPr>
      <w:r>
        <w:rPr>
          <w:rFonts w:hint="eastAsia" w:ascii="仿宋" w:hAnsi="仿宋" w:eastAsia="仿宋" w:cs="仿宋"/>
          <w:color w:val="000000"/>
          <w:sz w:val="21"/>
          <w:szCs w:val="21"/>
          <w:highlight w:val="none"/>
          <w:lang w:val="en-US" w:eastAsia="zh-CN"/>
        </w:rPr>
        <w:br w:type="page" w:clear="all"/>
      </w:r>
      <w:r>
        <w:rPr>
          <w:rFonts w:hint="eastAsia" w:ascii="仿宋" w:hAnsi="仿宋" w:eastAsia="仿宋" w:cs="仿宋"/>
          <w:b/>
          <w:bCs/>
          <w:color w:val="000000"/>
          <w:sz w:val="24"/>
          <w:highlight w:val="none"/>
        </w:rPr>
        <w:t xml:space="preserve">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履约保函格式</w:t>
      </w:r>
      <w:r>
        <w:rPr>
          <w:rFonts w:hint="eastAsia" w:ascii="仿宋" w:hAnsi="仿宋" w:eastAsia="仿宋" w:cs="仿宋"/>
          <w:color w:val="000000"/>
          <w:sz w:val="24"/>
          <w:highlight w:val="none"/>
        </w:rPr>
      </w:r>
      <w:r/>
    </w:p>
    <w:p>
      <w:pPr>
        <w:pStyle w:val="1259"/>
        <w:jc w:val="center"/>
        <w:spacing w:line="5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见索即付履约保函（独立保函）模板 （仅供参考）</w:t>
      </w:r>
      <w:r>
        <w:rPr>
          <w:rFonts w:hint="eastAsia" w:ascii="仿宋" w:hAnsi="仿宋" w:eastAsia="仿宋" w:cs="仿宋"/>
          <w:b/>
          <w:bCs/>
          <w:color w:val="000000"/>
          <w:sz w:val="28"/>
          <w:szCs w:val="28"/>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申请人：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受益人：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开立人：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鉴于</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（以下简称“受益人”）已确定</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公司，地址：</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 （以下简称“申请人”）于XXXX年XX月XX日为</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项目（以下简称“本项目”） 中标人，我方（即“开立人”）应申请人的申请，同意就申请人履行与贵方签订的基础合同项下的义务，向贵方提供不可撤销、不可转让的见索即付独立保函（以下简称“本保函”）。 </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本保函担保范围：无论基础合同存在任何争议、申请人提出任何抗辩，只要受益人提交的付款通知符合本保函第四条约定的形式要件，开立人均需承担担保责任，范围包括但不限于申请人未按照基础合同的约定履行义务，应当向贵方承担的违约责任和赔偿因此造成的损失、利息、律师费、诉讼费用、仲裁费用等实现债权的费用。</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二、本保函担保金额最高不超过人民币（大写）XXXX元整（CNY XXXX）。受益人累计索赔金额不超过前述最高担保金额的，开立人均应足额支付，不得无故扣减任何款项。</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w:t>
      </w:r>
      <w:r>
        <w:rPr>
          <w:rFonts w:hint="eastAsia" w:ascii="仿宋" w:hAnsi="仿宋" w:eastAsia="仿宋" w:cs="仿宋"/>
          <w:color w:val="000000"/>
          <w:sz w:val="21"/>
          <w:szCs w:val="21"/>
          <w:highlight w:val="none"/>
        </w:rPr>
        <w:t xml:space="preserve">本保函自出具之日起生效，有效期至基础合同有效期届满（含续签期）之日后60天；基础合同提前终止的，至终止之日后60天。</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（1）付款通知到达的日期在本保函的有效期内；</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（2）载明要求支付的金额；</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（3）载明申请人违反合同义务的条款和内容；</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（4）附受益人声明，声明申请人违反合同义务的具体情况。上述付款通知送达我方的地址为：XXXX。</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六、本保函应受国际商会制定的《见索即付保函统一规则》（第七百五十八号出版物）的约束。</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七、本保函适用中华人民共和国法律。在本保函履行期间，如发生争议，任何一方可向常州仲裁委员会申请仲裁，仲裁裁决是终局的，对各方均具有约束力。</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八、发生下列情形之一的，本保函终止：</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（1）有效期届满；（2）受益人向开立人退还本保函正本；（3）本保函项下应付金额全部付清。</w:t>
      </w:r>
      <w:r>
        <w:rPr>
          <w:rFonts w:hint="eastAsia" w:ascii="仿宋" w:hAnsi="仿宋" w:eastAsia="仿宋" w:cs="仿宋"/>
          <w:color w:val="000000"/>
          <w:sz w:val="21"/>
          <w:szCs w:val="21"/>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right"/>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保函开立人名称（盖章）：</w:t>
      </w:r>
      <w:r>
        <w:rPr>
          <w:rFonts w:hint="eastAsia" w:ascii="仿宋" w:hAnsi="仿宋" w:eastAsia="仿宋" w:cs="仿宋"/>
          <w:color w:val="000000"/>
          <w:sz w:val="21"/>
          <w:szCs w:val="21"/>
          <w:highlight w:val="none"/>
        </w:rPr>
      </w:r>
      <w:r/>
    </w:p>
    <w:p>
      <w:pPr>
        <w:pStyle w:val="1259"/>
        <w:ind w:firstLine="480"/>
        <w:jc w:val="left"/>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20"/>
        <w:jc w:val="left"/>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本保函一式三份，申请人、受益人、开立人各执一份，具有同等法律效力。</w:t>
      </w:r>
      <w:r>
        <w:rPr>
          <w:rFonts w:hint="eastAsia" w:ascii="仿宋" w:hAnsi="仿宋" w:eastAsia="仿宋" w:cs="仿宋"/>
          <w:color w:val="000000"/>
          <w:sz w:val="21"/>
          <w:szCs w:val="21"/>
          <w:highlight w:val="none"/>
        </w:rPr>
      </w:r>
      <w:r/>
    </w:p>
    <w:p>
      <w:pPr>
        <w:pStyle w:val="1259"/>
        <w:ind w:firstLine="420"/>
        <w:jc w:val="left"/>
        <w:spacing w:line="560" w:lineRule="exact"/>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rPr>
        <w:t xml:space="preserve">未经受益人书面同意，开立人不得单方变更、解除本保函</w:t>
      </w:r>
      <w:r>
        <w:rPr>
          <w:rFonts w:hint="eastAsia" w:ascii="仿宋" w:hAnsi="仿宋" w:eastAsia="仿宋" w:cs="仿宋"/>
          <w:color w:val="000000"/>
          <w:sz w:val="21"/>
          <w:szCs w:val="21"/>
          <w:highlight w:val="none"/>
          <w:lang w:eastAsia="zh-CN"/>
        </w:rPr>
      </w:r>
      <w:r/>
    </w:p>
    <w:p>
      <w:pPr>
        <w:pStyle w:val="1259"/>
        <w:jc w:val="left"/>
        <w:spacing w:line="560" w:lineRule="exact"/>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lang w:eastAsia="zh-CN"/>
        </w:rPr>
      </w:r>
      <w:r/>
    </w:p>
    <w:p>
      <w:pPr>
        <w:pStyle w:val="1259"/>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290"/>
        <w:ind w:firstLine="480"/>
        <w:keepLines w:val="0"/>
        <w:keepNext w:val="0"/>
        <w:pageBreakBefore w:val="0"/>
        <w:spacing w:before="0" w:line="360"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420"/>
        <w:jc w:val="center"/>
        <w:keepLines w:val="0"/>
        <w:keepNext w:val="0"/>
        <w:pageBreakBefore w:val="0"/>
        <w:spacing w:line="360" w:lineRule="auto"/>
        <w:widowControl w:val="off"/>
        <w:rPr>
          <w:rStyle w:val="1271"/>
          <w:rFonts w:hint="eastAsia" w:ascii="仿宋" w:hAnsi="仿宋" w:eastAsia="仿宋" w:cs="仿宋"/>
          <w:color w:val="000000"/>
          <w:highlight w:val="none"/>
          <w:lang w:val="en-US" w:eastAsia="zh-CN"/>
        </w:rPr>
      </w:pPr>
      <w:r/>
      <w:bookmarkEnd w:id="781"/>
      <w:r/>
      <w:bookmarkEnd w:id="782"/>
      <w:r/>
      <w:bookmarkEnd w:id="784"/>
      <w:r/>
      <w:bookmarkStart w:id="786" w:name="_Hlk139628515"/>
      <w:r/>
      <w:bookmarkStart w:id="787" w:name="_Toc111457323"/>
      <w:r/>
      <w:bookmarkEnd w:id="787"/>
      <w:r>
        <w:rPr>
          <w:rFonts w:hint="eastAsia" w:ascii="仿宋" w:hAnsi="仿宋" w:eastAsia="仿宋" w:cs="仿宋"/>
          <w:color w:val="000000"/>
          <w:sz w:val="21"/>
          <w:szCs w:val="21"/>
          <w:highlight w:val="none"/>
          <w:lang w:eastAsia="zh-CN"/>
        </w:rPr>
        <w:br w:type="page" w:clear="all"/>
      </w:r>
      <w:bookmarkStart w:id="788" w:name="_Toc27617"/>
      <w:r>
        <w:rPr>
          <w:rStyle w:val="1271"/>
          <w:rFonts w:hint="eastAsia" w:ascii="仿宋" w:hAnsi="仿宋" w:eastAsia="仿宋" w:cs="仿宋"/>
          <w:color w:val="000000"/>
          <w:highlight w:val="none"/>
          <w:lang w:val="en-US" w:eastAsia="zh-CN"/>
        </w:rPr>
        <w:t xml:space="preserve">第六章  </w:t>
      </w:r>
      <w:bookmarkStart w:id="789" w:name="_Hlk138941606"/>
      <w:r>
        <w:rPr>
          <w:rStyle w:val="1271"/>
          <w:rFonts w:hint="eastAsia" w:ascii="仿宋" w:hAnsi="仿宋" w:eastAsia="仿宋" w:cs="仿宋"/>
          <w:color w:val="000000"/>
          <w:highlight w:val="none"/>
          <w:lang w:val="en-US" w:eastAsia="zh-CN"/>
        </w:rPr>
        <w:t xml:space="preserve"> </w:t>
      </w:r>
      <w:bookmarkStart w:id="790" w:name="_Hlk119591849"/>
      <w:r>
        <w:rPr>
          <w:rStyle w:val="1271"/>
          <w:rFonts w:hint="eastAsia" w:ascii="仿宋" w:hAnsi="仿宋" w:eastAsia="仿宋" w:cs="仿宋"/>
          <w:color w:val="000000"/>
          <w:highlight w:val="none"/>
          <w:lang w:val="en-US" w:eastAsia="zh-CN"/>
        </w:rPr>
        <w:t xml:space="preserve">拟签订的合同文本</w:t>
      </w:r>
      <w:r>
        <w:rPr>
          <w:rStyle w:val="1271"/>
          <w:rFonts w:hint="eastAsia" w:ascii="仿宋" w:hAnsi="仿宋" w:eastAsia="仿宋" w:cs="仿宋"/>
          <w:color w:val="000000"/>
          <w:highlight w:val="none"/>
          <w:lang w:val="en-US" w:eastAsia="zh-CN"/>
        </w:rPr>
      </w:r>
      <w:r/>
    </w:p>
    <w:p>
      <w:pPr>
        <w:pStyle w:val="1260"/>
        <w:contextualSpacing/>
        <w:ind w:firstLine="422"/>
        <w:spacing w:before="0" w:after="0" w:line="360" w:lineRule="auto"/>
        <w:rPr>
          <w:rFonts w:hint="eastAsia" w:ascii="仿宋" w:hAnsi="仿宋" w:eastAsia="仿宋" w:cs="仿宋"/>
          <w:color w:val="000000"/>
          <w:sz w:val="21"/>
          <w:szCs w:val="21"/>
          <w:highlight w:val="none"/>
        </w:rPr>
      </w:pPr>
      <w:r/>
      <w:bookmarkEnd w:id="788"/>
      <w:r/>
      <w:bookmarkEnd w:id="789"/>
      <w:r/>
      <w:bookmarkEnd w:id="790"/>
      <w:r/>
      <w:bookmarkStart w:id="791" w:name="_Hlk132754170"/>
      <w:r>
        <w:rPr>
          <w:rFonts w:hint="eastAsia" w:ascii="仿宋" w:hAnsi="仿宋" w:eastAsia="仿宋" w:cs="仿宋"/>
          <w:color w:val="000000"/>
          <w:sz w:val="21"/>
          <w:szCs w:val="21"/>
          <w:highlight w:val="none"/>
        </w:rPr>
      </w:r>
      <w:r/>
    </w:p>
    <w:p>
      <w:pPr>
        <w:pStyle w:val="1259"/>
        <w:rPr>
          <w:rFonts w:hint="eastAsia" w:ascii="仿宋" w:hAnsi="仿宋" w:eastAsia="仿宋" w:cs="仿宋"/>
          <w:color w:val="000000"/>
          <w:highlight w:val="none"/>
        </w:rPr>
      </w:pPr>
      <w:r/>
      <w:bookmarkEnd w:id="786"/>
      <w:r/>
      <w:bookmarkEnd w:id="791"/>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bookmarkStart w:id="792" w:name="_Toc331685783"/>
      <w:r>
        <w:rPr>
          <w:rFonts w:hint="eastAsia" w:ascii="仿宋" w:hAnsi="仿宋" w:eastAsia="仿宋" w:cs="仿宋"/>
          <w:color w:val="000000"/>
          <w:highlight w:val="none"/>
        </w:rPr>
      </w:r>
      <w:r/>
    </w:p>
    <w:p>
      <w:pPr>
        <w:pStyle w:val="1259"/>
        <w:jc w:val="center"/>
        <w:keepNext/>
        <w:spacing w:line="360" w:lineRule="auto"/>
        <w:rPr>
          <w:rFonts w:hint="eastAsia" w:ascii="仿宋" w:hAnsi="仿宋" w:eastAsia="仿宋" w:cs="仿宋"/>
          <w:b/>
          <w:color w:val="000000"/>
          <w:sz w:val="44"/>
          <w:highlight w:val="none"/>
        </w:rPr>
      </w:pPr>
      <w:r>
        <w:rPr>
          <w:rFonts w:hint="eastAsia" w:ascii="仿宋" w:hAnsi="仿宋" w:eastAsia="仿宋" w:cs="仿宋"/>
          <w:b/>
          <w:color w:val="000000"/>
          <w:sz w:val="44"/>
          <w:highlight w:val="none"/>
        </w:rPr>
        <w:t xml:space="preserve">净水站</w:t>
      </w:r>
      <w:r>
        <w:rPr>
          <w:rFonts w:hint="eastAsia" w:ascii="仿宋" w:hAnsi="仿宋" w:eastAsia="仿宋" w:cs="仿宋"/>
          <w:b/>
          <w:color w:val="000000"/>
          <w:sz w:val="44"/>
          <w:highlight w:val="none"/>
          <w:lang w:val="en-US" w:eastAsia="zh-CN"/>
        </w:rPr>
        <w:t xml:space="preserve">运行所需</w:t>
      </w:r>
      <w:r>
        <w:rPr>
          <w:rFonts w:hint="eastAsia" w:ascii="仿宋" w:hAnsi="仿宋" w:eastAsia="仿宋" w:cs="仿宋"/>
          <w:b/>
          <w:color w:val="000000"/>
          <w:sz w:val="44"/>
          <w:highlight w:val="none"/>
        </w:rPr>
        <w:t xml:space="preserve">药剂采购合同</w:t>
      </w:r>
      <w:r>
        <w:rPr>
          <w:rFonts w:hint="eastAsia" w:ascii="仿宋" w:hAnsi="仿宋" w:eastAsia="仿宋" w:cs="仿宋"/>
          <w:b/>
          <w:color w:val="000000"/>
          <w:sz w:val="44"/>
          <w:highlight w:val="none"/>
        </w:rPr>
      </w:r>
      <w:r/>
    </w:p>
    <w:p>
      <w:pPr>
        <w:pStyle w:val="1259"/>
        <w:ind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合同编号：</w:t>
      </w:r>
      <w:r>
        <w:rPr>
          <w:rFonts w:hint="eastAsia" w:ascii="仿宋" w:hAnsi="仿宋" w:eastAsia="仿宋" w:cs="仿宋"/>
          <w:color w:val="000000"/>
          <w:sz w:val="21"/>
          <w:szCs w:val="21"/>
          <w:highlight w:val="none"/>
          <w:u w:val="single"/>
        </w:rPr>
      </w:r>
      <w:r/>
    </w:p>
    <w:p>
      <w:pPr>
        <w:pStyle w:val="1259"/>
        <w:ind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签订时间：</w:t>
      </w: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w:t>
      </w: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住所地： </w:t>
      </w: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w:t>
      </w: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统一社会信用代码：</w:t>
      </w: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555"/>
        <w:ind w:firstLine="420"/>
        <w:keepLines w:val="0"/>
        <w:keepNext w:val="0"/>
        <w:pageBreakBefore w:val="0"/>
        <w:spacing w:line="360" w:lineRule="auto"/>
        <w:widowControl w:val="off"/>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 xml:space="preserve">乙方：</w:t>
      </w:r>
      <w:r>
        <w:rPr>
          <w:rFonts w:hint="eastAsia" w:ascii="仿宋" w:hAnsi="仿宋" w:eastAsia="仿宋" w:cs="仿宋"/>
          <w:b/>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住所地：</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w:t>
      </w:r>
      <w:r>
        <w:rPr>
          <w:rFonts w:hint="eastAsia" w:ascii="仿宋" w:hAnsi="仿宋" w:eastAsia="仿宋" w:cs="仿宋"/>
          <w:color w:val="000000"/>
          <w:sz w:val="21"/>
          <w:szCs w:val="21"/>
          <w:highlight w:val="none"/>
          <w:u w:val="singl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统一社会信用代码：</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根据《中华人民共和国政府采购法》、《中华人民共和国民法典》等法律法规的规定，甲乙双方按照公开招标的采购结果（招标编号：             ），签订本合同。</w:t>
      </w:r>
      <w:r>
        <w:rPr>
          <w:rFonts w:hint="eastAsia" w:ascii="仿宋" w:hAnsi="仿宋" w:eastAsia="仿宋" w:cs="仿宋"/>
          <w:color w:val="000000"/>
          <w:sz w:val="21"/>
          <w:szCs w:val="21"/>
          <w:highlight w:val="none"/>
        </w:rPr>
      </w:r>
      <w:r/>
    </w:p>
    <w:p>
      <w:pPr>
        <w:pStyle w:val="1259"/>
        <w:ind w:firstLine="422"/>
        <w:keepLines w:val="0"/>
        <w:keepNext w:val="0"/>
        <w:pageBreakBefore w:val="0"/>
        <w:spacing w:line="360"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第一条  合同概况</w:t>
      </w:r>
      <w:r>
        <w:rPr>
          <w:rFonts w:hint="eastAsia" w:ascii="仿宋" w:hAnsi="仿宋" w:eastAsia="仿宋" w:cs="仿宋"/>
          <w:b/>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（一）药剂名称：</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（二）交货地点：</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（三）合同有效期：自合同签订之日起至</w:t>
      </w:r>
      <w:r>
        <w:rPr>
          <w:rFonts w:hint="eastAsia" w:ascii="仿宋" w:hAnsi="仿宋" w:eastAsia="仿宋" w:cs="仿宋"/>
          <w:color w:val="000000"/>
          <w:sz w:val="21"/>
          <w:szCs w:val="21"/>
          <w:highlight w:val="none"/>
          <w:lang w:val="en-US" w:eastAsia="zh-CN"/>
        </w:rPr>
        <w:t xml:space="preserve">2027</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highlight w:val="none"/>
        </w:rPr>
        <w:t xml:space="preserve">日止。</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交货期：乙方应在收到甲方通知（通知方式包括但不限于：电话、短信、微信等）后3个日历日内交货。乙方必须按甲方要求送货至指定交货地点，确保及时供货，不得以药剂使用地点交通不便、阶段性需求量过小等为由拒绝或延误供货。未接到甲方发货指令前，乙方不得擅自发货。乙方擅自发货的，甲方有权拒收，由此产生的运输、仓储、保管等全部费用由乙方自行承担。</w:t>
      </w:r>
      <w:r>
        <w:rPr>
          <w:rFonts w:hint="eastAsia" w:ascii="仿宋" w:hAnsi="仿宋" w:eastAsia="仿宋" w:cs="仿宋"/>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（五）主要技术要求：</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1.聚氯化铝</w:t>
      </w:r>
      <w:r>
        <w:rPr>
          <w:rFonts w:hint="eastAsia" w:ascii="仿宋" w:hAnsi="仿宋" w:eastAsia="仿宋" w:cs="仿宋"/>
          <w:bCs/>
          <w:color w:val="000000"/>
          <w:sz w:val="21"/>
          <w:szCs w:val="21"/>
          <w:highlight w:val="none"/>
        </w:rPr>
      </w:r>
      <w:r/>
    </w:p>
    <w:p>
      <w:pPr>
        <w:pStyle w:val="125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聚氯化铝需完全达到《生活饮用水用聚氯化铝》（GB15892-2020）规定的指标，指标如下：</w:t>
      </w:r>
      <w:r>
        <w:rPr>
          <w:rFonts w:hint="eastAsia" w:ascii="仿宋" w:hAnsi="仿宋" w:eastAsia="仿宋" w:cs="仿宋"/>
          <w:color w:val="000000"/>
          <w:sz w:val="21"/>
          <w:szCs w:val="21"/>
          <w:highlight w:val="none"/>
        </w:rPr>
      </w:r>
      <w:r/>
    </w:p>
    <w:p>
      <w:pPr>
        <w:pStyle w:val="125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5317731" cy="334532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317731" cy="334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8.7pt;height:263.4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color w:val="000000"/>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2.聚丙烯酰胺</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聚丙烯酰胺相对分子质量≥1600万，同时需完全达到《水处理剂 阴离子和非离子型聚丙烯酰胺》（GB/T 17514-2017）规定的一等品指标，指标如下：</w:t>
      </w:r>
      <w:r>
        <w:rPr>
          <w:rFonts w:hint="eastAsia" w:ascii="仿宋" w:hAnsi="仿宋" w:eastAsia="仿宋" w:cs="仿宋"/>
          <w:color w:val="000000"/>
          <w:sz w:val="21"/>
          <w:szCs w:val="21"/>
          <w:highlight w:val="none"/>
        </w:rPr>
      </w:r>
      <w:r/>
    </w:p>
    <w:p>
      <w:pPr>
        <w:pStyle w:val="1259"/>
        <w:spacing w:line="360" w:lineRule="auto"/>
        <w:rPr>
          <w:rFonts w:hint="eastAsia" w:ascii="仿宋" w:hAnsi="仿宋" w:eastAsia="仿宋" w:cs="仿宋"/>
          <w:color w:val="000000"/>
          <w:sz w:val="24"/>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5341709" cy="238457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341709" cy="2384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20.6pt;height:187.8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color w:val="000000"/>
          <w:sz w:val="24"/>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3.磁种：粉末细度为325目，磁性物含量≥96.0%，水分含量 ≤8.0%。</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第二条  合同文件组成</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本合同与下列文件一起构成合同文件：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（一）关于本合同的补充协议；</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（二）本合同；</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（三）中标通知书；</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（四）招标文件及相关说明；</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（五）投标文件；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（六）乙方在招投标过程中所作的其它承诺、声明、书面澄清等。</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合同文件互相解释，互为说明，当合同文件出现含糊不清或不相一致，按以上优先顺序进行解释。</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第三条  履约保证金</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w:t>
      </w:r>
      <w:r>
        <w:rPr>
          <w:rFonts w:hint="eastAsia" w:ascii="仿宋" w:hAnsi="仿宋" w:eastAsia="仿宋" w:cs="仿宋"/>
          <w:color w:val="000000"/>
          <w:sz w:val="21"/>
          <w:szCs w:val="21"/>
          <w:highlight w:val="none"/>
        </w:rPr>
        <w:t xml:space="preserve">乙方在中</w:t>
      </w:r>
      <w:r>
        <w:rPr>
          <w:rFonts w:hint="eastAsia" w:ascii="仿宋" w:hAnsi="仿宋" w:eastAsia="仿宋" w:cs="仿宋"/>
          <w:color w:val="000000"/>
          <w:spacing w:val="-4"/>
          <w:sz w:val="21"/>
          <w:szCs w:val="21"/>
          <w:highlight w:val="none"/>
          <w:lang w:val="en-US" w:eastAsia="zh-CN"/>
        </w:rPr>
        <w:t xml:space="preserve">标通知书发出之日起15个日历日内</w:t>
      </w:r>
      <w:r>
        <w:rPr>
          <w:rFonts w:hint="eastAsia" w:ascii="仿宋" w:hAnsi="仿宋" w:eastAsia="仿宋" w:cs="仿宋"/>
          <w:color w:val="000000"/>
          <w:spacing w:val="-4"/>
          <w:sz w:val="21"/>
          <w:szCs w:val="21"/>
          <w:highlight w:val="none"/>
          <w:lang w:val="en-US" w:eastAsia="zh-CN"/>
        </w:rPr>
        <w:t xml:space="preserve">合同签订前向甲方提交履约保证金人民币（元，大写），</w:t>
      </w:r>
      <w:r>
        <w:rPr>
          <w:rFonts w:hint="eastAsia" w:ascii="仿宋" w:hAnsi="仿宋" w:eastAsia="仿宋" w:cs="仿宋"/>
          <w:color w:val="000000"/>
          <w:spacing w:val="-4"/>
          <w:sz w:val="21"/>
          <w:szCs w:val="21"/>
          <w:highlight w:val="none"/>
          <w:lang w:val="en-US" w:eastAsia="zh-CN"/>
        </w:rPr>
        <w:t xml:space="preserve">可采用支票、汇票、本票、金融机构或担保机构出具的保函、保证保险等非现金形式提交，</w:t>
      </w:r>
      <w:r>
        <w:rPr>
          <w:rFonts w:hint="eastAsia" w:ascii="仿宋" w:hAnsi="仿宋" w:eastAsia="仿宋" w:cs="仿宋"/>
          <w:color w:val="000000"/>
          <w:sz w:val="21"/>
          <w:szCs w:val="21"/>
          <w:highlight w:val="none"/>
          <w:lang w:val="en-US" w:eastAsia="zh-CN"/>
        </w:rPr>
        <w:t xml:space="preserve">如提供</w:t>
      </w:r>
      <w:r>
        <w:rPr>
          <w:rFonts w:hint="eastAsia" w:ascii="仿宋" w:hAnsi="仿宋" w:eastAsia="仿宋" w:cs="仿宋"/>
          <w:color w:val="000000"/>
          <w:sz w:val="21"/>
          <w:szCs w:val="21"/>
          <w:highlight w:val="none"/>
        </w:rPr>
        <w:t xml:space="preserve">银行履约保函，银行履约保函应当由国有（或国有控股）股份制银行二级及以上分行出具，应当是以甲方为受益人、可凭甲方首次申请索赔即作无条件付款、不可撤销、不可转让的人民币银行保函。若乙方提供的保函有效期届满，且乙方也未将保函延期或重新开具新保函的，甲方有权在应付款项中扣除与保函总额相等的金额作为履约保证金。</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（二）如乙方未能履行合同规定的义务，甲方有权从履约保证金中扣除相应金额作为补偿。</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（三）合同期限届满且乙方无未结清的违约金、赔偿金等款项及未解决争议或违约行为的，甲方应在30个日历日内无息退还履约保证金剩余部分。</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第四条  合同价格、计量与支付</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（一）合同价格</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1.合同单价</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本合同采用固定单价方式，合同单价包括提供本服务所需的人工、材料、设备、装车、运输、卸料、安全、保险、税金等全部费用。药剂单价在供货期内不作调整。</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乙方中标优惠率为</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结算（中标）费率为（1-优惠率），每项货物的结算单价=对应货物的最高限价单价*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，数量按实际配送的合格货物数量结算。</w:t>
      </w:r>
      <w:r>
        <w:rPr>
          <w:rFonts w:hint="eastAsia" w:ascii="仿宋" w:hAnsi="仿宋" w:eastAsia="仿宋" w:cs="仿宋"/>
          <w:color w:val="000000"/>
          <w:sz w:val="21"/>
          <w:szCs w:val="21"/>
          <w:highlight w:val="none"/>
          <w:lang w:val="en-US"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本合同分类结算单价为：</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均为含税单价）</w:t>
      </w:r>
      <w:r>
        <w:rPr>
          <w:rFonts w:hint="eastAsia" w:ascii="仿宋" w:hAnsi="仿宋" w:eastAsia="仿宋" w:cs="仿宋"/>
          <w:color w:val="000000"/>
          <w:sz w:val="21"/>
          <w:szCs w:val="21"/>
          <w:highlight w:val="none"/>
          <w:lang w:val="en-US" w:eastAsia="zh-CN"/>
        </w:rPr>
      </w:r>
      <w:r/>
    </w:p>
    <w:tbl>
      <w:tblPr>
        <w:tblW w:w="7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443"/>
        <w:gridCol w:w="1662"/>
        <w:gridCol w:w="1636"/>
        <w:gridCol w:w="1395"/>
      </w:tblGrid>
      <w:tr>
        <w:trPr>
          <w:tblHeade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序号</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货物名称</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预估数量</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吨）</w:t>
            </w:r>
            <w:r>
              <w:rPr>
                <w:rFonts w:hint="eastAsia" w:ascii="仿宋" w:hAnsi="仿宋" w:eastAsia="仿宋" w:cs="仿宋"/>
                <w:b w:val="0"/>
                <w:bCs/>
                <w:color w:val="000000"/>
                <w:sz w:val="21"/>
                <w:szCs w:val="21"/>
                <w:highlight w:val="none"/>
                <w:lang w:val="en-US" w:eastAsia="zh-CN"/>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rPr>
              <w:t xml:space="preserve">最高限价</w:t>
            </w:r>
            <w:r>
              <w:rPr>
                <w:rFonts w:hint="eastAsia" w:ascii="仿宋" w:hAnsi="仿宋" w:eastAsia="仿宋" w:cs="仿宋"/>
                <w:b w:val="0"/>
                <w:bCs/>
                <w:color w:val="000000"/>
                <w:sz w:val="21"/>
                <w:szCs w:val="21"/>
                <w:highlight w:val="none"/>
                <w:lang w:val="en-US" w:eastAsia="zh-CN"/>
              </w:rPr>
              <w:t xml:space="preserve">单价</w:t>
            </w:r>
            <w:r>
              <w:rPr>
                <w:rFonts w:hint="eastAsia" w:ascii="仿宋" w:hAnsi="仿宋" w:eastAsia="仿宋" w:cs="仿宋"/>
                <w:b w:val="0"/>
                <w:bCs/>
                <w:color w:val="000000"/>
                <w:sz w:val="21"/>
                <w:szCs w:val="21"/>
                <w:highlight w:val="none"/>
                <w:lang w:val="en-US" w:eastAsia="zh-CN"/>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（元/吨）</w:t>
            </w: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备注</w:t>
            </w:r>
            <w:r>
              <w:rPr>
                <w:rFonts w:hint="eastAsia" w:ascii="仿宋" w:hAnsi="仿宋" w:eastAsia="仿宋" w:cs="仿宋"/>
                <w:b w:val="0"/>
                <w:bCs/>
                <w:color w:val="000000"/>
                <w:sz w:val="21"/>
                <w:szCs w:val="21"/>
                <w:highlight w:val="none"/>
                <w:lang w:val="en-US" w:eastAsia="zh-CN"/>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1</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聚氯化铝（液体）</w:t>
            </w:r>
            <w:r>
              <w:rPr>
                <w:rFonts w:hint="eastAsia" w:ascii="仿宋" w:hAnsi="仿宋" w:eastAsia="仿宋" w:cs="仿宋"/>
                <w:b w:val="0"/>
                <w:bCs/>
                <w:color w:val="000000"/>
                <w:sz w:val="21"/>
                <w:szCs w:val="21"/>
                <w:highlight w:val="none"/>
              </w:rPr>
            </w:r>
            <w:r/>
          </w:p>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w:t>
            </w:r>
            <w:r>
              <w:rPr>
                <w:rFonts w:hint="eastAsia" w:ascii="仿宋" w:hAnsi="仿宋" w:eastAsia="仿宋" w:cs="仿宋"/>
                <w:b w:val="0"/>
                <w:bCs/>
                <w:color w:val="000000"/>
                <w:spacing w:val="-4"/>
                <w:sz w:val="21"/>
                <w:szCs w:val="21"/>
                <w:highlight w:val="none"/>
              </w:rPr>
              <w:t xml:space="preserve">核心产品】</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2900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聚丙烯酰胺（阴离子）</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70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684"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3</w:t>
            </w:r>
            <w:r>
              <w:rPr>
                <w:rFonts w:hint="eastAsia" w:ascii="仿宋" w:hAnsi="仿宋" w:eastAsia="仿宋" w:cs="仿宋"/>
                <w:b w:val="0"/>
                <w:bCs/>
                <w:color w:val="000000"/>
                <w:sz w:val="21"/>
                <w:szCs w:val="21"/>
                <w:highlight w:val="none"/>
              </w:rPr>
            </w:r>
            <w:r/>
          </w:p>
        </w:tc>
        <w:tc>
          <w:tcPr>
            <w:tcW w:w="2443"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磁种</w:t>
            </w:r>
            <w:r>
              <w:rPr>
                <w:rFonts w:hint="eastAsia" w:ascii="仿宋" w:hAnsi="仿宋" w:eastAsia="仿宋" w:cs="仿宋"/>
                <w:b w:val="0"/>
                <w:bCs/>
                <w:color w:val="000000"/>
                <w:sz w:val="21"/>
                <w:szCs w:val="21"/>
                <w:highlight w:val="none"/>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60</w:t>
            </w: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gridSpan w:val="2"/>
            <w:tcW w:w="3127"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lang w:val="en-US"/>
              </w:rPr>
            </w:pPr>
            <w:r>
              <w:rPr>
                <w:rFonts w:hint="eastAsia" w:ascii="仿宋" w:hAnsi="仿宋" w:eastAsia="仿宋" w:cs="仿宋"/>
                <w:b w:val="0"/>
                <w:bCs/>
                <w:color w:val="000000"/>
                <w:sz w:val="21"/>
                <w:szCs w:val="21"/>
                <w:highlight w:val="none"/>
                <w:lang w:val="en-US" w:eastAsia="zh-CN"/>
              </w:rPr>
              <w:t xml:space="preserve">预估总价（元）</w:t>
            </w:r>
            <w:r>
              <w:rPr>
                <w:rFonts w:hint="eastAsia" w:ascii="仿宋" w:hAnsi="仿宋" w:eastAsia="仿宋" w:cs="仿宋"/>
                <w:b w:val="0"/>
                <w:bCs/>
                <w:color w:val="000000"/>
                <w:sz w:val="21"/>
                <w:szCs w:val="21"/>
                <w:highlight w:val="none"/>
                <w:lang w:val="en-US"/>
              </w:rPr>
            </w:r>
            <w:r/>
          </w:p>
        </w:tc>
        <w:tc>
          <w:tcPr>
            <w:tcW w:w="166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636"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395"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bl>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2.合同预估总价为</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万元。</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3.费用计算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结算价格=∑（聚氯化铝单价×供货量+聚丙烯酰胺单价×供货量+磁种单价×供货量）。</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按实际供货重量进行结算。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（二）计量</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1.乙方送至甲方的聚氯化铝应采用槽罐车运输，单车重量以乙方提供的出厂磅单所载明的重量作为计量依据</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无出厂磅单或未能将药剂完全卸货清空的，甲方</w:t>
      </w:r>
      <w:r>
        <w:rPr>
          <w:rFonts w:hint="eastAsia" w:ascii="仿宋" w:hAnsi="仿宋" w:eastAsia="仿宋" w:cs="仿宋"/>
          <w:color w:val="000000"/>
          <w:sz w:val="21"/>
          <w:szCs w:val="21"/>
          <w:highlight w:val="none"/>
          <w:lang w:val="en-US" w:eastAsia="zh-CN"/>
        </w:rPr>
        <w:t xml:space="preserve">不予计量及结算</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2.乙方送至甲方的聚丙烯酰胺（阴离子）和磁种应以袋装供货，包装上需标明重量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.甲方有权按本合同第五条约定进行抽检，抽检不合格的，按抽检重量计量。</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（三）价款支付</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1.乙方应提供以下结算资料申请支付货款：</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（1）药剂结算每车次的生产厂出厂货物称重单据、原厂质量证明书或出厂检测报告单</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（2）甲方对送货药剂的复磅证明</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（3）甲方对送货药剂的验收单据。</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2.甲方每月结算一次货款，乙方凭上述结算资料和开具的货物类</w:t>
      </w:r>
      <w:r>
        <w:rPr>
          <w:rFonts w:hint="eastAsia" w:ascii="仿宋" w:hAnsi="仿宋" w:eastAsia="仿宋" w:cs="仿宋"/>
          <w:color w:val="000000"/>
          <w:sz w:val="21"/>
          <w:szCs w:val="21"/>
          <w:highlight w:val="none"/>
          <w:lang w:eastAsia="zh-CN"/>
        </w:rPr>
        <w:t xml:space="preserve">增值税专用发票</w:t>
      </w:r>
      <w:r>
        <w:rPr>
          <w:rFonts w:hint="eastAsia" w:ascii="仿宋" w:hAnsi="仿宋" w:eastAsia="仿宋" w:cs="仿宋"/>
          <w:color w:val="000000"/>
          <w:sz w:val="21"/>
          <w:szCs w:val="21"/>
          <w:highlight w:val="none"/>
        </w:rPr>
        <w:t xml:space="preserve">，向甲方申请付款。甲方于货到现场验收合格且收到乙方提交的完整结算资料、发票后两个月内完成支付。若乙方提交的结算资料不全、或开具的发票不符合法定要求或甲方入账要求的，甲方有权顺延付款时间，直至乙方补正完毕，甲方不承担任何逾期付款责任。</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第五条  验收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（一）称重验收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1.乙方送至甲方的聚氯化铝，单车重量以乙方提供的出厂磅单所载明的重量作为计量依据，但甲方有权要求运输车辆绕行其他地点抽检进行复磅称重，或采用容积法、流量计法进行复核。</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2.乙方送至甲方的聚丙烯酰胺（阴离子）和磁种，甲方有权对药剂进行抽检称重。</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甲方复磅称重与乙方提供出厂磅单或包装表明重量相比，抽检重量负偏差超过1%（不含）的，称重验收不合格。称重抽检不合格的，自上一次抽检合格后的批次至该批次，称重验收均认定为不合格，并按本合同违约责任条款</w:t>
      </w:r>
      <w:r>
        <w:rPr>
          <w:rFonts w:hint="eastAsia" w:ascii="仿宋" w:hAnsi="仿宋" w:eastAsia="仿宋" w:cs="仿宋"/>
          <w:color w:val="000000"/>
          <w:sz w:val="21"/>
          <w:szCs w:val="21"/>
          <w:highlight w:val="none"/>
          <w:lang w:val="en-US" w:eastAsia="zh-CN"/>
        </w:rPr>
        <w:t xml:space="preserve">进行</w:t>
      </w:r>
      <w:r>
        <w:rPr>
          <w:rFonts w:hint="eastAsia" w:ascii="仿宋" w:hAnsi="仿宋" w:eastAsia="仿宋" w:cs="仿宋"/>
          <w:color w:val="000000"/>
          <w:sz w:val="21"/>
          <w:szCs w:val="21"/>
          <w:highlight w:val="none"/>
        </w:rPr>
        <w:t xml:space="preserve">处理。</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4.复磅称重单由甲方药剂使用部门签字，作为验收依据。</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乙方对于过磅复秤结果存在争议的，应当场提出，并由甲方指定第三方具有资质的机构进行复检，以第三方机构出具的报告为准，该结果对双方均有约束力，并以该结果作为验收依据。第三方机构复检结果与甲方复磅称重结果间的偏差在法定允许范围内，复检费用由乙方承担；否则，复检费用由甲方承担。</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（二）成分检测验收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1.乙方应提供生产厂家出具的质检资料，作为成分验收和费用支付的凭证。</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甲方有权委托具有资质的检测机构对乙方所供的药剂进行成分抽样检测，抽样检测合格的，检测费用由甲方承担；抽样检测不合格的，抽样批次认定为不合格，并由乙方承担检测费用。同时以抽样检测化验结果作为成分验收依据。</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第六条  安全责任</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乙方有义务接受甲方的工作监督和安全检查。涉及危险化学品运输的，需由具备相关资质的运输车辆及运输人员负责送货，乙方需在合同签订后15个日历日内将运输单位相关资质和车辆人员配备资料提交给甲方备案。涉及交通限行区域送货的，需由乙方自行办理通行证。</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乙方承诺送货员工的劳动关系隶属于乙方。在工作中发生的所有涉及人员伤亡、财产损失的事故均由乙方自行承担全部责任，与甲方无关；如因乙方处理不善造成甲方影响或损失的，乙方应全额赔偿甲方损失。</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第七条  违约责任</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乙方必须按合同约定保质保量按期供货，如发生延期供货（不可抗力原因除外），每逾期一个日历日甲方按该车次药剂应付总费用的2%扣除逾期供货违约金，违约金最高不超过该车次药剂总费用的6%，但给甲方造成其他损失的除外。甲方发出供货通知之日起超过7个日历日仍不供货的，甲方可根据实际情况另行采购药剂，以保证正常运行，甲方有权扣除履约保证金，如履约保证金不足以弥补甲方损失，乙方应在收到通知后30个日历日内补足差额。</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甲方复磅称重抽检的，若抽检结果不合格，自上一次抽检合格后的批次至该批次，称重验收均认定为不合格，被认定为不合格的批次每批均扣除抽检不合格批次所缺重量5倍（抽检不合格批次负偏差在5‰（含）以上不到1%的）或10倍（抽检不合格批次负偏差在1%（含）以上的）的结算款作为违约金。</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经甲方抽样委托第三方检测，乙方所供药剂成分指标不达标的，甲方有权按下列约定收取违约金。当因乙方所供药剂成分指标不达标，进而导致甲方净水站出水效果变差，影响水环境质量的，甲方保留进一步索赔的权利。</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当聚氯化铝的氧化铝（Al2O3）的质量分数≥10.0%、阴离子聚丙烯酰胺的固含量≥90.0%、磁种的磁性物含量≥96.0%指标不合格的，质量分数每下降1%，当月所送批次货物结算单价下浮10%作为违约金（例：聚氯化铝氧化铝（Al2O3）的质量分数9%的，当月所送批次货物结算单价下浮10%；阴离子聚丙烯酰胺的固含量质量分数为88%的，当月所送批次药剂结算单价下浮20%；以此类推）。不足1%的，按相应比例计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当聚氯化铝的盐基度、密度、不溶物的质量分数、pH值、铁的质量分数等指标不合格的，每有一项指标不合格，所送批次药剂结算单价下浮10%作为违约金；如有四项及以上指标全部不合格，认定为不合格产品，所送批次不予结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当阴离子聚丙烯酰胺的相对分子量、丙烯酰胺单体含量、溶解时间、水不溶物、筛余物、氯化物含量、硫酸盐含量等指标不合格的，每有一项指标不合格，当月所送批次药剂结算单价下浮10%作为违约金；如有四项及以上指标全部不合格，认定为不合格产品，当月所送批次不予结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4.当磁种的粉末细度、水分含量指标不合格，每有一项指标不合格，所送批次药剂结算单价下浮10%作为违约金；如两项指标全部不合格认定所供批次为不合格产品，该批次不予结算。</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因乙方违约造成甲方损失的，乙方应赔偿甲方因此受到的直接和间接经济损失，包括但不限于甲方实际经济损失及预期的经济利益、行政机关因乙方原因对甲方作出的罚款、滞纳金等行政处罚及产生其他的税费损失、甲方为履行本合同已支付且无法收回的成本、律师费用、仲裁费用、调查取证费用、交通费用等。</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（五）本合同规定的违约金、损失赔偿金等乙方应承担的费用，甲方均有权在履约保证金或结算款中扣除，履约保证金金额及结算款不足时，甲方有权向乙方进行进一步的索赔。</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（六）本合同规定的违约金均为惩罚性违约金，其目的不仅包括事先确定违约后的赔偿金额，更是为了督促对方守约而约定的违约金。</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第八条  合同的变更和终止</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（一）本合同内容如需变更或补充，应经甲乙双方协商后，共同签署书面补充协议。</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（二）合同的解除</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1.如甲方和乙方协商一致，可以解除部分或全部合同。</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2.乙方在履约过程中，有下列情形之一的，除扣除相应违约金外，甲方有权解除合同，同时没收履约保证金：</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（1）逾期供货超过7个日历日或逾期累计达两次及以上的； </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（2）乙方累计两次（含）以上药剂重量负偏差的；</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（3）乙方累计两次（含）以上药剂成分指标含量不达标的；</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（4）乙方未能履行本合同约定的其他主要义务，经甲方催告后仍未履行的，或者有其他违约行为致使不能实现合同目的的。</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甲方依据本合同约定解除合同的，应当书面通知乙方，合同自通知送达乙方之日起解除。合同解除后，甲方有权就已履行部分进行结算，扣除乙方应承担的违约金、赔偿金后，剩余款项予以支付，不足部分甲方有权向乙方追偿。</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（三）合同的终止</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满足以下任一条件，本合同予以终止：</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1.本合同预估总价使用完毕；</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2.本合同有效期满。</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第九条  合同的转让</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本项目不得部分或全部转让。</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第十条  通知和送达</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（一）合同履行过程中的任何联络及相关文件的签署，均应通过双方指定的联系人和联系方式进行。</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甲方受送达人：，电话：，地址：。</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乙方受送达人：，电话：，地址：。</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任何一方变更本合同约定的联系人、联系方式或送达地址的，应当提前10个日历日书面通知对方；未履行书面通知义务的，按原地址送达视为有效送达。</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（二）合同履行中的相关联络，送达到上述指定的联系人即视为送达。</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（三）合同履行中若产生争议，当需要提交司法或仲裁裁决时，上述地址及联系人均作为相关文书的接收地址和接收人。</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第十一条  不可抗力</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（一）不可抗力指下列事件：战争、动乱、瘟疫、严重火灾、洪水、地震、风暴或其他自然灾害，以及本合同各方不可预见、不可防止并不能避免或克服的一切其他事件。</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若不可抗力发生使合同执行受阻，则合同执行时间根据受影响的时间相应延长，但合同价格不得调整。</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（二）任何一方因不可抗力不能履行本合同规定的全部或部分义务，该方应尽快通知对方，并须在不可抗力发生后3个日历日内以书面形式向对方提供详细情况报告及不可抗力对履行本合同的影响程度的说明。</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（四）合同双方应根据不可抗力对本合同履行的影响程度，协商确定是否终止本合同，或继续履行本合同。</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第十二条  争议的解决</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（一）与本合同有关的任何争议，双方应通过友好协商解决。如双方协商不成，则争议解决方式为向常州仲裁委员会申请仲裁。</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（二）在仲裁期间，乙方应继续履行本合同，不得以解决争议为由影响甲方的正常运行。</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第十三条  诚实信用</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（一）乙方应诚实信用，严格履行合同，不向甲方进行商业贿赂或者提供不正当利益。</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乙方对在本合同签订及履行过程中获悉的甲方未公开的运营信息、技术信息、采购信息等相关信息应当承担保密义务，未经甲方事先书面同意，不得向任何第三方披露或用于本合同以外的任何用途。本保密义务不因本合同的终止而终止，在本合同终止后仍长期有效。</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第十四条  合同生效及其他</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（一）本合同自双方签字盖章之日起生效。</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（二）本合同一式柒份，甲方执肆份、乙方执贰份、代理机构壹份。</w:t>
      </w:r>
      <w:r>
        <w:rPr>
          <w:rFonts w:hint="eastAsia" w:ascii="仿宋" w:hAnsi="仿宋" w:eastAsia="仿宋" w:cs="仿宋"/>
          <w:color w:val="000000"/>
          <w:sz w:val="21"/>
          <w:szCs w:val="21"/>
          <w:highlight w:val="none"/>
        </w:rPr>
      </w:r>
      <w:r/>
    </w:p>
    <w:p>
      <w:pPr>
        <w:pStyle w:val="1259"/>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（以下为签署页，无正文）</w:t>
      </w:r>
      <w:r>
        <w:rPr>
          <w:rFonts w:hint="eastAsia" w:ascii="仿宋" w:hAnsi="仿宋" w:eastAsia="仿宋" w:cs="仿宋"/>
          <w:color w:val="000000"/>
          <w:sz w:val="21"/>
          <w:szCs w:val="21"/>
          <w:highlight w:val="none"/>
        </w:rPr>
      </w:r>
      <w:r/>
    </w:p>
    <w:p>
      <w:pPr>
        <w:pStyle w:val="125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合同签章页</w:t>
      </w:r>
      <w:r>
        <w:rPr>
          <w:rFonts w:hint="eastAsia" w:ascii="仿宋" w:hAnsi="仿宋" w:eastAsia="仿宋" w:cs="仿宋"/>
          <w:b/>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    方：</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单位名称（章）：</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单位地址：</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经办人：</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  话：</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账号：</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税号：</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    方：</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单位名称（章）：</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单位地址：</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委托代理人：</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  话：</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账号：</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税号：</w:t>
      </w: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554"/>
        <w:ind w:firstLine="480"/>
        <w:spacing w:line="360" w:lineRule="exact"/>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本合同由甲乙双方于本合同正文首页载明的时间于</w:t>
      </w:r>
      <w:r>
        <w:rPr>
          <w:rFonts w:hint="eastAsia" w:ascii="仿宋" w:hAnsi="仿宋" w:eastAsia="仿宋" w:cs="仿宋"/>
          <w:color w:val="000000"/>
          <w:highlight w:val="none"/>
          <w:u w:val="single"/>
        </w:rPr>
        <w:t xml:space="preserve">常州市天宁区</w:t>
      </w:r>
      <w:r>
        <w:rPr>
          <w:rFonts w:hint="eastAsia" w:ascii="仿宋" w:hAnsi="仿宋" w:eastAsia="仿宋" w:cs="仿宋"/>
          <w:color w:val="000000"/>
          <w:highlight w:val="none"/>
        </w:rPr>
        <w:t xml:space="preserve">签订。</w:t>
      </w:r>
      <w:r>
        <w:rPr>
          <w:rFonts w:hint="eastAsia" w:ascii="仿宋" w:hAnsi="仿宋" w:eastAsia="仿宋" w:cs="仿宋"/>
          <w:color w:val="000000"/>
          <w:highlight w:val="none"/>
        </w:rPr>
      </w:r>
      <w:r/>
    </w:p>
    <w:p>
      <w:pPr>
        <w:pStyle w:val="1259"/>
        <w:spacing w:line="360" w:lineRule="auto"/>
        <w:rPr>
          <w:rFonts w:hint="eastAsia" w:ascii="仿宋" w:hAnsi="仿宋" w:eastAsia="仿宋" w:cs="仿宋"/>
          <w:color w:val="000000"/>
          <w:sz w:val="24"/>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bCs/>
          <w:color w:val="000000"/>
          <w:sz w:val="24"/>
          <w:highlight w:val="none"/>
        </w:rPr>
        <w:t xml:space="preserve">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履约保函格式</w:t>
      </w:r>
      <w:r>
        <w:rPr>
          <w:rFonts w:hint="eastAsia" w:ascii="仿宋" w:hAnsi="仿宋" w:eastAsia="仿宋" w:cs="仿宋"/>
          <w:color w:val="000000"/>
          <w:sz w:val="24"/>
          <w:highlight w:val="none"/>
        </w:rPr>
      </w:r>
      <w:r/>
    </w:p>
    <w:p>
      <w:pPr>
        <w:pStyle w:val="1259"/>
        <w:jc w:val="center"/>
        <w:spacing w:line="5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见索即付履约保函（独立保函）模板 （仅供参考）</w:t>
      </w:r>
      <w:r>
        <w:rPr>
          <w:rFonts w:hint="eastAsia" w:ascii="仿宋" w:hAnsi="仿宋" w:eastAsia="仿宋" w:cs="仿宋"/>
          <w:b/>
          <w:bCs/>
          <w:color w:val="000000"/>
          <w:sz w:val="28"/>
          <w:szCs w:val="28"/>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申请人：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受益人：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开立人：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鉴于</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（以下简称“受益人”）已确定</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公司，地址：</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 （以下简称“申请人”）于XXXX年XX月XX日为</w:t>
      </w:r>
      <w:r>
        <w:rPr>
          <w:rFonts w:hint="eastAsia" w:ascii="仿宋" w:hAnsi="仿宋" w:eastAsia="仿宋" w:cs="仿宋"/>
          <w:color w:val="000000"/>
          <w:sz w:val="21"/>
          <w:szCs w:val="21"/>
          <w:highlight w:val="none"/>
          <w:u w:val="single"/>
        </w:rPr>
        <w:t xml:space="preserve">XXXX</w:t>
      </w:r>
      <w:r>
        <w:rPr>
          <w:rFonts w:hint="eastAsia" w:ascii="仿宋" w:hAnsi="仿宋" w:eastAsia="仿宋" w:cs="仿宋"/>
          <w:color w:val="000000"/>
          <w:sz w:val="21"/>
          <w:szCs w:val="21"/>
          <w:highlight w:val="none"/>
        </w:rPr>
        <w:t xml:space="preserve">项目（以下简称“本项目”） 中标人，我方（即“开立人”）应申请人的申请，同意就申请人履行与贵方签订的基础合同项下的义务，向贵方提供不可撤销、不可转让的见索即付独立保函（以下简称“本保函”）。 </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本保函担保范围：无论基础合同存在任何争议、申请人提出任何抗辩，只要受益人提交的付款通知符合本保函第四条约定的形式要件，开立人均需承担担保责任，范围包括但不限于申请人未按照基础合同的约定履行义务，应当向贵方承担的违约责任和赔偿因此造成的损失、利息、律师费、诉讼费用、仲裁费用等实现债权的费用。</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二、本保函担保金额最高不超过人民币（大写）XXXX元整（CNY XXXX）。受益人累计索赔金额不超过前述最高担保金额的，开立人均应足额支付，不得无故扣减任何款项。</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三、本保函自出具之日起生效，有效期至基础合同有效期届满（含续签期）之日后60天；基础合同提前终止的，至终止之日后60天。</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（1）付款通知到达的日期在本保函的有效期内；</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（2）载明要求支付的金额；</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（3）载明申请人违反合同义务的条款和内容；</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（4）附受益人声明，声明申请人违反合同义务的具体情况。上述付款通知送达我方的地址为：XXXX。</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六、本保函应受国际商会制定的《见索即付保函统一规则》（第七百五十八号出版物）的约束。</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七、本保函适用中华人民共和国法律。在本保函履行期间，如发生争议，任何一方可向常州仲裁委员会申请仲裁，仲裁裁决是终局的，对各方均具有约束力。</w:t>
      </w:r>
      <w:r>
        <w:rPr>
          <w:rFonts w:hint="eastAsia" w:ascii="仿宋" w:hAnsi="仿宋" w:eastAsia="仿宋" w:cs="仿宋"/>
          <w:color w:val="000000"/>
          <w:sz w:val="21"/>
          <w:szCs w:val="21"/>
          <w:highlight w:val="none"/>
        </w:rPr>
      </w:r>
      <w:r/>
    </w:p>
    <w:p>
      <w:pPr>
        <w:pStyle w:val="1259"/>
        <w:ind w:firstLine="420"/>
        <w:keepLines w:val="0"/>
        <w:keepNext w:val="0"/>
        <w:pageBreakBefore w:val="0"/>
        <w:spacing w:line="56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八、发生下列情形之一的，本保函终止：（1）有效期届满；（2）受益人向开立人退还本保函正本；（3）本保函项下应付金额全部付清。</w:t>
      </w:r>
      <w:r>
        <w:rPr>
          <w:rFonts w:hint="eastAsia" w:ascii="仿宋" w:hAnsi="仿宋" w:eastAsia="仿宋" w:cs="仿宋"/>
          <w:color w:val="000000"/>
          <w:sz w:val="21"/>
          <w:szCs w:val="21"/>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right"/>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保函开立人名称（盖章）：</w:t>
      </w:r>
      <w:r>
        <w:rPr>
          <w:rFonts w:hint="eastAsia" w:ascii="仿宋" w:hAnsi="仿宋" w:eastAsia="仿宋" w:cs="仿宋"/>
          <w:color w:val="000000"/>
          <w:sz w:val="21"/>
          <w:szCs w:val="21"/>
          <w:highlight w:val="none"/>
        </w:rPr>
      </w:r>
      <w:r/>
    </w:p>
    <w:p>
      <w:pPr>
        <w:pStyle w:val="1259"/>
        <w:ind w:firstLine="480"/>
        <w:jc w:val="left"/>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20"/>
        <w:jc w:val="left"/>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本保函一式三份，申请人、受益人、开立人各执一份，具有同等法律效力。</w:t>
      </w:r>
      <w:r>
        <w:rPr>
          <w:rFonts w:hint="eastAsia" w:ascii="仿宋" w:hAnsi="仿宋" w:eastAsia="仿宋" w:cs="仿宋"/>
          <w:color w:val="000000"/>
          <w:sz w:val="21"/>
          <w:szCs w:val="21"/>
          <w:highlight w:val="none"/>
        </w:rPr>
      </w:r>
      <w:r/>
    </w:p>
    <w:p>
      <w:pPr>
        <w:pStyle w:val="1259"/>
        <w:ind w:firstLine="420"/>
        <w:jc w:val="left"/>
        <w:spacing w:line="560" w:lineRule="exact"/>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rPr>
        <w:t xml:space="preserve">未经受益人书面同意，开立人不得单方变更、解除本保函</w:t>
      </w:r>
      <w:r>
        <w:rPr>
          <w:rFonts w:hint="eastAsia" w:ascii="仿宋" w:hAnsi="仿宋" w:eastAsia="仿宋" w:cs="仿宋"/>
          <w:color w:val="000000"/>
          <w:sz w:val="21"/>
          <w:szCs w:val="21"/>
          <w:highlight w:val="none"/>
          <w:lang w:eastAsia="zh-CN"/>
        </w:rPr>
      </w:r>
      <w:r/>
    </w:p>
    <w:p>
      <w:pPr>
        <w:pStyle w:val="1259"/>
        <w:jc w:val="left"/>
        <w:spacing w:line="560" w:lineRule="exact"/>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lang w:eastAsia="zh-CN"/>
        </w:rPr>
      </w:r>
      <w:r/>
    </w:p>
    <w:p>
      <w:pPr>
        <w:pStyle w:val="1554"/>
        <w:ind w:firstLine="480"/>
        <w:spacing w:line="360" w:lineRule="exact"/>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left="0" w:firstLine="420"/>
        <w:jc w:val="left"/>
        <w:keepLines w:val="0"/>
        <w:keepNext w:val="0"/>
        <w:pageBreakBefore w:val="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4"/>
          <w:highlight w:val="none"/>
          <w:lang w:val="zh-CN"/>
        </w:rPr>
        <w:t xml:space="preserve">            </w:t>
      </w:r>
      <w:bookmarkEnd w:id="792"/>
      <w:r>
        <w:rPr>
          <w:rFonts w:hint="eastAsia" w:ascii="仿宋" w:hAnsi="仿宋" w:eastAsia="仿宋" w:cs="仿宋"/>
          <w:color w:val="000000"/>
          <w:sz w:val="24"/>
          <w:highlight w:val="none"/>
          <w:lang w:val="en-US" w:eastAsia="zh-CN"/>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20"/>
        <w:contextualSpacing/>
        <w:ind w:firstLine="200"/>
        <w:jc w:val="center"/>
        <w:spacing w:before="0" w:beforeAutospacing="0" w:after="0" w:afterAutospacing="0" w:line="360" w:lineRule="auto"/>
        <w:rPr>
          <w:rStyle w:val="1271"/>
          <w:rFonts w:hint="eastAsia" w:ascii="仿宋" w:hAnsi="仿宋" w:eastAsia="仿宋" w:cs="仿宋"/>
          <w:color w:val="000000"/>
          <w:szCs w:val="24"/>
          <w:highlight w:val="none"/>
          <w:lang w:val="en-US" w:eastAsia="zh-CN" w:bidi="ar-SA"/>
        </w:rPr>
      </w:pPr>
      <w:r>
        <w:rPr>
          <w:rStyle w:val="1271"/>
          <w:rFonts w:hint="eastAsia" w:ascii="仿宋" w:hAnsi="仿宋" w:eastAsia="仿宋" w:cs="仿宋"/>
          <w:color w:val="000000"/>
          <w:sz w:val="36"/>
          <w:szCs w:val="36"/>
          <w:highlight w:val="none"/>
        </w:rPr>
        <w:br w:type="page" w:clear="all"/>
      </w:r>
      <w:bookmarkStart w:id="793" w:name="_Toc29624"/>
      <w:r>
        <w:rPr>
          <w:rStyle w:val="1271"/>
          <w:rFonts w:hint="eastAsia" w:ascii="仿宋" w:hAnsi="仿宋" w:eastAsia="仿宋" w:cs="仿宋"/>
          <w:color w:val="000000"/>
          <w:szCs w:val="24"/>
          <w:highlight w:val="none"/>
          <w:lang w:val="en-US" w:eastAsia="zh-CN" w:bidi="ar-SA"/>
        </w:rPr>
        <w:t xml:space="preserve">第七章   投标文件格式</w:t>
      </w:r>
      <w:r>
        <w:rPr>
          <w:rStyle w:val="1271"/>
          <w:rFonts w:hint="eastAsia" w:ascii="仿宋" w:hAnsi="仿宋" w:eastAsia="仿宋" w:cs="仿宋"/>
          <w:color w:val="000000"/>
          <w:szCs w:val="24"/>
          <w:highlight w:val="none"/>
          <w:lang w:val="en-US" w:eastAsia="zh-CN" w:bidi="ar-SA"/>
        </w:rPr>
      </w:r>
      <w:r/>
    </w:p>
    <w:p>
      <w:pPr>
        <w:pStyle w:val="1259"/>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793"/>
      <w:r>
        <w:rPr>
          <w:rFonts w:hint="eastAsia" w:ascii="仿宋" w:hAnsi="仿宋" w:eastAsia="仿宋" w:cs="仿宋"/>
          <w:b/>
          <w:color w:val="000000"/>
          <w:sz w:val="24"/>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259"/>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259"/>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t xml:space="preserve">对于招标文件中标记了“实质性格式”文件的，</w:t>
      </w:r>
      <w:r>
        <w:rPr>
          <w:rFonts w:hint="eastAsia" w:ascii="仿宋" w:hAnsi="仿宋" w:eastAsia="仿宋" w:cs="仿宋"/>
          <w:color w:val="000000"/>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color w:val="000000"/>
          <w:szCs w:val="21"/>
          <w:highlight w:val="none"/>
        </w:rPr>
        <w:t xml:space="preserve">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w:t>
      </w:r>
      <w:r>
        <w:rPr>
          <w:rFonts w:hint="eastAsia" w:ascii="仿宋" w:hAnsi="仿宋" w:eastAsia="仿宋" w:cs="仿宋"/>
          <w:color w:val="000000"/>
          <w:szCs w:val="21"/>
          <w:highlight w:val="none"/>
        </w:rPr>
        <w:t xml:space="preserve">标文件未提供格式的内容，可由供应商自行编写。</w:t>
      </w:r>
      <w:r>
        <w:rPr>
          <w:rFonts w:hint="eastAsia" w:ascii="仿宋" w:hAnsi="仿宋" w:eastAsia="仿宋" w:cs="仿宋"/>
          <w:color w:val="000000"/>
          <w:szCs w:val="21"/>
          <w:highlight w:val="none"/>
        </w:rPr>
      </w:r>
      <w:r/>
    </w:p>
    <w:p>
      <w:pPr>
        <w:pStyle w:val="1259"/>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w:t>
      </w:r>
      <w:r>
        <w:rPr>
          <w:rFonts w:hint="eastAsia" w:ascii="仿宋" w:hAnsi="仿宋" w:eastAsia="仿宋" w:cs="仿宋"/>
          <w:color w:val="000000"/>
          <w:szCs w:val="21"/>
          <w:highlight w:val="none"/>
        </w:rPr>
        <w:t xml:space="preserve">附材料必须是真实的、准确的和完整的。</w:t>
      </w:r>
      <w:r>
        <w:rPr>
          <w:rFonts w:hint="eastAsia" w:ascii="仿宋" w:hAnsi="仿宋" w:eastAsia="仿宋" w:cs="仿宋"/>
          <w:color w:val="000000"/>
          <w:szCs w:val="21"/>
          <w:highlight w:val="none"/>
        </w:rPr>
      </w:r>
      <w:r/>
    </w:p>
    <w:p>
      <w:pPr>
        <w:pStyle w:val="1259"/>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259"/>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259"/>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259"/>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259"/>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59"/>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259"/>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259"/>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259"/>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259"/>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259"/>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259"/>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35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净水站</w:t>
            </w:r>
            <w:r>
              <w:rPr>
                <w:rFonts w:hint="eastAsia" w:ascii="仿宋" w:hAnsi="仿宋" w:eastAsia="仿宋" w:cs="仿宋"/>
                <w:b/>
                <w:color w:val="000000"/>
                <w:sz w:val="32"/>
                <w:szCs w:val="32"/>
                <w:highlight w:val="none"/>
                <w:u w:val="single"/>
                <w:lang w:val="en-US" w:eastAsia="zh-CN"/>
              </w:rPr>
              <w:t xml:space="preserve">运行所需</w:t>
            </w:r>
            <w:r>
              <w:rPr>
                <w:rFonts w:hint="eastAsia" w:ascii="仿宋" w:hAnsi="仿宋" w:eastAsia="仿宋" w:cs="仿宋"/>
                <w:b/>
                <w:color w:val="000000"/>
                <w:sz w:val="32"/>
                <w:szCs w:val="32"/>
                <w:highlight w:val="none"/>
                <w:u w:val="single"/>
                <w:lang w:eastAsia="zh-CN"/>
              </w:rPr>
              <w:t xml:space="preserve">药剂采购</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JSZC-320400-SCJX-G2026-0015</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59"/>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259"/>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259"/>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59"/>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259"/>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262"/>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259"/>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59"/>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常州市排水管理处</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八、我单位不属于为本项目提供整体深化设计、规范编制或者项目管理、监理、检测等服务的供应商。</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345"/>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259"/>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b/>
          <w:bCs/>
          <w:color w:val="000000"/>
          <w:sz w:val="24"/>
          <w:szCs w:val="20"/>
          <w:highlight w:val="none"/>
          <w:lang w:val="en-US" w:eastAsia="zh-CN"/>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lang w:val="en-US" w:eastAsia="zh-CN"/>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w:t>
      </w:r>
      <w:r>
        <w:rPr>
          <w:rFonts w:hint="eastAsia" w:ascii="仿宋" w:hAnsi="仿宋" w:eastAsia="仿宋" w:cs="仿宋"/>
          <w:color w:val="000000"/>
          <w:szCs w:val="21"/>
          <w:highlight w:val="none"/>
          <w:lang w:eastAsia="zh-CN"/>
        </w:rPr>
        <w:t xml:space="preserve">项目名称</w:t>
      </w:r>
      <w:r>
        <w:rPr>
          <w:rFonts w:hint="eastAsia" w:ascii="仿宋" w:hAnsi="仿宋" w:eastAsia="仿宋" w:cs="仿宋"/>
          <w:color w:val="000000"/>
          <w:szCs w:val="21"/>
          <w:highlight w:val="none"/>
        </w:rPr>
        <w:t xml:space="preserve">”部分标明联合体中中小企业承担的具体内容或者中小企业的具体分包内容。</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339"/>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59"/>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259"/>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259"/>
        <w:ind w:firstLine="422"/>
        <w:spacing w:line="360" w:lineRule="auto"/>
        <w:tabs>
          <w:tab w:val="left" w:pos="5580" w:leader="none"/>
        </w:tabs>
        <w:rPr>
          <w:rStyle w:val="1489"/>
          <w:rFonts w:hint="eastAsia" w:ascii="仿宋" w:hAnsi="仿宋" w:eastAsia="仿宋" w:cs="仿宋"/>
          <w:b/>
          <w:bCs/>
          <w:color w:val="000000"/>
          <w:sz w:val="21"/>
          <w:szCs w:val="21"/>
          <w:highlight w:val="none"/>
        </w:rPr>
      </w:pPr>
      <w:r>
        <w:rPr>
          <w:rStyle w:val="1489"/>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89"/>
          <w:rFonts w:hint="eastAsia" w:ascii="仿宋" w:hAnsi="仿宋" w:eastAsia="仿宋" w:cs="仿宋"/>
          <w:b/>
          <w:bCs/>
          <w:color w:val="000000"/>
          <w:sz w:val="21"/>
          <w:szCs w:val="21"/>
          <w:highlight w:val="none"/>
        </w:rPr>
      </w:r>
      <w:r/>
    </w:p>
    <w:p>
      <w:pPr>
        <w:pStyle w:val="1259"/>
        <w:ind w:firstLine="422"/>
        <w:spacing w:line="360" w:lineRule="auto"/>
        <w:tabs>
          <w:tab w:val="left" w:pos="5580" w:leader="none"/>
        </w:tabs>
        <w:rPr>
          <w:rStyle w:val="1489"/>
          <w:rFonts w:hint="eastAsia" w:ascii="仿宋" w:hAnsi="仿宋" w:eastAsia="仿宋" w:cs="仿宋"/>
          <w:b/>
          <w:bCs/>
          <w:color w:val="000000"/>
          <w:sz w:val="21"/>
          <w:szCs w:val="21"/>
          <w:highlight w:val="none"/>
        </w:rPr>
      </w:pPr>
      <w:r>
        <w:rPr>
          <w:rStyle w:val="1489"/>
          <w:rFonts w:hint="eastAsia" w:ascii="仿宋" w:hAnsi="仿宋" w:eastAsia="仿宋" w:cs="仿宋"/>
          <w:b/>
          <w:bCs/>
          <w:color w:val="000000"/>
          <w:sz w:val="21"/>
          <w:szCs w:val="21"/>
          <w:highlight w:val="none"/>
        </w:rPr>
      </w:r>
      <w:r/>
    </w:p>
    <w:p>
      <w:pPr>
        <w:pStyle w:val="1262"/>
        <w:jc w:val="center"/>
        <w:spacing w:line="360" w:lineRule="auto"/>
        <w:shd w:val="clear" w:color="auto" w:fill="auto"/>
        <w:rPr>
          <w:rFonts w:hint="eastAsia" w:ascii="仿宋" w:hAnsi="仿宋" w:eastAsia="仿宋" w:cs="仿宋"/>
          <w:b w:val="0"/>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bCs w:val="0"/>
          <w:color w:val="000000"/>
          <w:sz w:val="36"/>
          <w:szCs w:val="36"/>
          <w:highlight w:val="none"/>
          <w:u w:val="none"/>
        </w:rPr>
        <w:t xml:space="preserve">中小企业声明函（货物）格式</w:t>
      </w:r>
      <w:r>
        <w:rPr>
          <w:rFonts w:hint="eastAsia" w:ascii="仿宋" w:hAnsi="仿宋" w:eastAsia="仿宋" w:cs="仿宋"/>
          <w:b w:val="0"/>
          <w:color w:val="000000"/>
          <w:sz w:val="36"/>
          <w:szCs w:val="36"/>
          <w:highlight w:val="none"/>
        </w:rPr>
      </w:r>
      <w:r/>
    </w:p>
    <w:p>
      <w:pPr>
        <w:pStyle w:val="1259"/>
        <w:ind w:left="220" w:right="415" w:firstLine="64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i/>
          <w:color w:val="000000"/>
          <w:sz w:val="24"/>
          <w:highlight w:val="none"/>
          <w:u w:val="single"/>
        </w:rPr>
        <w:t xml:space="preserve">（项目名称）</w:t>
      </w:r>
      <w:r>
        <w:rPr>
          <w:rFonts w:hint="eastAsia" w:ascii="仿宋" w:hAnsi="仿宋" w:eastAsia="仿宋" w:cs="仿宋"/>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highlight w:val="none"/>
        </w:rPr>
      </w:r>
      <w:r/>
    </w:p>
    <w:p>
      <w:pPr>
        <w:pStyle w:val="1259"/>
        <w:numPr>
          <w:ilvl w:val="0"/>
          <w:numId w:val="8"/>
        </w:numPr>
        <w:ind w:right="169" w:firstLine="646"/>
        <w:jc w:val="left"/>
        <w:spacing w:line="360" w:lineRule="auto"/>
        <w:shd w:val="clear" w:color="auto" w:fill="auto"/>
        <w:tabs>
          <w:tab w:val="left" w:pos="1183" w:leader="none"/>
          <w:tab w:val="left" w:pos="1484" w:leader="none"/>
          <w:tab w:val="left" w:pos="4662" w:leader="none"/>
          <w:tab w:val="left" w:pos="6903" w:leader="none"/>
        </w:tabs>
        <w:rPr>
          <w:rFonts w:hint="eastAsia" w:ascii="仿宋" w:hAnsi="仿宋" w:eastAsia="仿宋" w:cs="仿宋"/>
          <w:color w:val="000000"/>
          <w:sz w:val="24"/>
          <w:highlight w:val="none"/>
        </w:rPr>
      </w:pPr>
      <w:r>
        <w:rPr>
          <w:rFonts w:hint="eastAsia" w:ascii="仿宋" w:hAnsi="仿宋" w:eastAsia="仿宋" w:cs="仿宋"/>
          <w:b/>
          <w:bCs/>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color w:val="000000"/>
          <w:sz w:val="24"/>
          <w:highlight w:val="none"/>
        </w:rPr>
        <w:t xml:space="preserve">（</w:t>
      </w:r>
      <w:r>
        <w:rPr>
          <w:rFonts w:hint="eastAsia" w:ascii="仿宋" w:hAnsi="仿宋" w:eastAsia="仿宋" w:cs="仿宋"/>
          <w:b/>
          <w:bCs/>
          <w:i/>
          <w:color w:val="000000"/>
          <w:sz w:val="24"/>
          <w:highlight w:val="none"/>
          <w:u w:val="single"/>
        </w:rPr>
        <w:t xml:space="preserve">采购文件中明确的所属行业）</w:t>
      </w:r>
      <w:r>
        <w:rPr>
          <w:rFonts w:hint="eastAsia" w:ascii="仿宋" w:hAnsi="仿宋" w:eastAsia="仿宋" w:cs="仿宋"/>
          <w:i/>
          <w:color w:val="000000"/>
          <w:sz w:val="24"/>
          <w:highlight w:val="none"/>
          <w:u w:val="single"/>
        </w:rPr>
        <w:t xml:space="preserve">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"_bookmark0" </w:instrText>
      </w:r>
      <w:r>
        <w:rPr>
          <w:rFonts w:hint="eastAsia" w:ascii="仿宋" w:hAnsi="仿宋" w:eastAsia="仿宋" w:cs="仿宋"/>
          <w:color w:val="000000"/>
          <w:highlight w:val="none"/>
        </w:rPr>
        <w:fldChar w:fldCharType="separate"/>
      </w:r>
      <w:r>
        <w:rPr>
          <w:rFonts w:hint="eastAsia" w:ascii="仿宋" w:hAnsi="仿宋" w:eastAsia="仿宋" w:cs="仿宋"/>
          <w:color w:val="000000"/>
          <w:position w:val="16"/>
          <w:sz w:val="24"/>
          <w:highlight w:val="none"/>
        </w:rPr>
        <w:t xml:space="preserve">1</w:t>
      </w:r>
      <w:r>
        <w:rPr>
          <w:rFonts w:hint="eastAsia" w:ascii="仿宋" w:hAnsi="仿宋" w:eastAsia="仿宋" w:cs="仿宋"/>
          <w:color w:val="000000"/>
          <w:position w:val="16"/>
          <w:sz w:val="24"/>
          <w:highlight w:val="none"/>
        </w:rPr>
        <w:fldChar w:fldCharType="end"/>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numPr>
          <w:ilvl w:val="0"/>
          <w:numId w:val="8"/>
        </w:numPr>
        <w:ind w:right="169" w:firstLine="646"/>
        <w:jc w:val="left"/>
        <w:spacing w:line="360" w:lineRule="auto"/>
        <w:shd w:val="clear" w:color="auto" w:fill="auto"/>
        <w:tabs>
          <w:tab w:val="left" w:pos="1165" w:leader="none"/>
          <w:tab w:val="left" w:pos="1183" w:leader="none"/>
          <w:tab w:val="left" w:pos="4362" w:leader="none"/>
          <w:tab w:val="left" w:pos="6577" w:leader="none"/>
        </w:tabs>
        <w:rPr>
          <w:rFonts w:hint="eastAsia" w:ascii="仿宋" w:hAnsi="仿宋" w:eastAsia="仿宋" w:cs="仿宋"/>
          <w:color w:val="000000"/>
          <w:sz w:val="24"/>
          <w:highlight w:val="none"/>
        </w:rPr>
      </w:pPr>
      <w:r>
        <w:rPr>
          <w:rFonts w:hint="eastAsia" w:ascii="仿宋" w:hAnsi="仿宋" w:eastAsia="仿宋" w:cs="仿宋"/>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rPr>
        <w:t xml:space="preserve">（</w:t>
      </w:r>
      <w:r>
        <w:rPr>
          <w:rFonts w:hint="eastAsia" w:ascii="仿宋" w:hAnsi="仿宋" w:eastAsia="仿宋" w:cs="仿宋"/>
          <w:i/>
          <w:color w:val="000000"/>
          <w:sz w:val="24"/>
          <w:highlight w:val="none"/>
          <w:u w:val="single"/>
        </w:rPr>
        <w:t xml:space="preserve">采购文件中明确的所属行业）行业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left="86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left="220" w:right="417" w:firstLine="645"/>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1259"/>
        <w:ind w:left="220" w:right="372" w:firstLine="645"/>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r>
      <w:r/>
    </w:p>
    <w:p>
      <w:pPr>
        <w:pStyle w:val="1259"/>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企业名称（加盖公章）：________</w:t>
      </w:r>
      <w:r>
        <w:rPr>
          <w:rFonts w:hint="eastAsia" w:ascii="仿宋" w:hAnsi="仿宋" w:eastAsia="仿宋" w:cs="仿宋"/>
          <w:color w:val="000000"/>
          <w:sz w:val="24"/>
          <w:highlight w:val="none"/>
        </w:rPr>
      </w:r>
      <w:r/>
    </w:p>
    <w:p>
      <w:pPr>
        <w:pStyle w:val="1259"/>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期：________</w:t>
      </w:r>
      <w:r>
        <w:rPr>
          <w:rFonts w:hint="eastAsia" w:ascii="仿宋" w:hAnsi="仿宋" w:eastAsia="仿宋" w:cs="仿宋"/>
          <w:color w:val="000000"/>
          <w:sz w:val="24"/>
          <w:highlight w:val="none"/>
        </w:rPr>
      </w:r>
      <w:r/>
    </w:p>
    <w:p>
      <w:pPr>
        <w:pStyle w:val="1259"/>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59"/>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259"/>
        <w:ind w:firstLine="42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82"/>
        <w:jc w:val="left"/>
        <w:pageBreakBefore w:val="0"/>
        <w:spacing w:line="360" w:lineRule="auto"/>
        <w:shd w:val="clear" w:color="auto" w:fill="auto"/>
        <w:widowControl w:val="off"/>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t xml:space="preserve">特别提醒：</w:t>
      </w:r>
      <w:r>
        <w:rPr>
          <w:rFonts w:hint="eastAsia" w:ascii="仿宋" w:hAnsi="仿宋" w:eastAsia="仿宋" w:cs="仿宋"/>
          <w:b/>
          <w:bCs/>
          <w:color w:val="000000"/>
          <w:sz w:val="24"/>
          <w:szCs w:val="24"/>
          <w:highlight w:val="none"/>
          <w:lang w:val="en-US" w:eastAsia="zh-CN"/>
        </w:rPr>
      </w:r>
      <w:r/>
    </w:p>
    <w:p>
      <w:pPr>
        <w:pStyle w:val="1260"/>
        <w:ind w:firstLine="482"/>
        <w:jc w:val="left"/>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bookmarkStart w:id="794" w:name="_Toc15814"/>
      <w:r/>
      <w:bookmarkStart w:id="795" w:name="_Toc18045"/>
      <w:r>
        <w:rPr>
          <w:rFonts w:hint="eastAsia" w:ascii="仿宋" w:hAnsi="仿宋" w:eastAsia="仿宋" w:cs="仿宋"/>
          <w:color w:val="000000"/>
          <w:sz w:val="24"/>
          <w:szCs w:val="24"/>
          <w:highlight w:val="none"/>
          <w:lang w:val="en-US" w:eastAsia="zh-CN"/>
        </w:rPr>
        <w:t xml:space="preserve">如本采购包内所有设备（产品）均为中小企业生产或制造的，请逐一列出项目清单中所有货物的制造商、从业人员、营业收入、企业类型等信息。</w:t>
      </w:r>
      <w:bookmarkEnd w:id="794"/>
      <w:r/>
      <w:bookmarkEnd w:id="795"/>
      <w:r>
        <w:rPr>
          <w:rFonts w:hint="eastAsia" w:ascii="仿宋" w:hAnsi="仿宋" w:eastAsia="仿宋" w:cs="仿宋"/>
          <w:color w:val="000000"/>
          <w:sz w:val="24"/>
          <w:szCs w:val="24"/>
          <w:highlight w:val="none"/>
          <w:lang w:val="en-US" w:eastAsia="zh-CN"/>
        </w:rPr>
      </w:r>
      <w:r/>
    </w:p>
    <w:p>
      <w:pPr>
        <w:pStyle w:val="1259"/>
        <w:jc w:val="center"/>
        <w:spacing w:line="360" w:lineRule="auto"/>
        <w:rPr>
          <w:rFonts w:hint="eastAsia" w:ascii="仿宋" w:hAnsi="仿宋" w:eastAsia="仿宋" w:cs="仿宋"/>
          <w:b/>
          <w:color w:val="000000"/>
          <w:sz w:val="36"/>
          <w:szCs w:val="36"/>
          <w:highlight w:val="none"/>
        </w:rPr>
        <w:outlineLvl w:val="1"/>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259"/>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259"/>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259"/>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259"/>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259"/>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59"/>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259"/>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left"/>
        <w:spacing w:line="360" w:lineRule="auto"/>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关于符合本国产品标准的声明函</w:t>
      </w:r>
      <w:r>
        <w:rPr>
          <w:rFonts w:hint="eastAsia" w:ascii="仿宋" w:hAnsi="仿宋" w:eastAsia="仿宋" w:cs="仿宋"/>
          <w:color w:val="000000"/>
          <w:sz w:val="24"/>
          <w:szCs w:val="20"/>
          <w:highlight w:val="none"/>
          <w:lang w:val="en-US" w:eastAsia="zh-CN"/>
        </w:rPr>
      </w:r>
      <w:r/>
    </w:p>
    <w:p>
      <w:pPr>
        <w:pStyle w:val="1259"/>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259"/>
        <w:jc w:val="center"/>
        <w:spacing w:line="480" w:lineRule="auto"/>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关于符合本国产品标准的声明函（采购包号：**）</w:t>
      </w:r>
      <w:r>
        <w:rPr>
          <w:rFonts w:hint="eastAsia" w:ascii="仿宋" w:hAnsi="仿宋" w:eastAsia="仿宋" w:cs="仿宋"/>
          <w:color w:val="000000"/>
          <w:sz w:val="28"/>
          <w:szCs w:val="28"/>
          <w:highlight w:val="none"/>
        </w:rPr>
      </w:r>
      <w:r/>
    </w:p>
    <w:p>
      <w:pPr>
        <w:pStyle w:val="1320"/>
        <w:ind w:firstLine="420"/>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highlight w:val="none"/>
        </w:rPr>
      </w:r>
      <w:r/>
    </w:p>
    <w:p>
      <w:pPr>
        <w:pStyle w:val="1320"/>
        <w:ind w:firstLine="4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4852670</wp:posOffset>
                </wp:positionH>
                <wp:positionV relativeFrom="paragraph">
                  <wp:posOffset>67945</wp:posOffset>
                </wp:positionV>
                <wp:extent cx="683260" cy="11112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8326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1718310</wp:posOffset>
                </wp:positionH>
                <wp:positionV relativeFrom="paragraph">
                  <wp:posOffset>661035</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546735</wp:posOffset>
                </wp:positionH>
                <wp:positionV relativeFrom="paragraph">
                  <wp:posOffset>650240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4414520</wp:posOffset>
                </wp:positionH>
                <wp:positionV relativeFrom="paragraph">
                  <wp:posOffset>389255</wp:posOffset>
                </wp:positionV>
                <wp:extent cx="63627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36270"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3209290</wp:posOffset>
                </wp:positionH>
                <wp:positionV relativeFrom="paragraph">
                  <wp:posOffset>375920</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2087880</wp:posOffset>
                </wp:positionH>
                <wp:positionV relativeFrom="paragraph">
                  <wp:posOffset>391795</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shd w:val="clear" w:color="auto" w:fill="ffffff"/>
        </w:rPr>
        <w:t xml:space="preserve">1.</w:t>
      </w:r>
      <w:r>
        <w:rPr>
          <w:rStyle w:val="1334"/>
          <w:rFonts w:hint="eastAsia" w:ascii="仿宋" w:hAnsi="仿宋" w:eastAsia="仿宋" w:cs="仿宋"/>
          <w:i w:val="0"/>
          <w:color w:val="000000"/>
          <w:highlight w:val="none"/>
          <w:u w:val="single"/>
          <w:shd w:val="clear" w:color="auto" w:fill="ffffff"/>
        </w:rPr>
        <w:t xml:space="preserve">（产品名称1）</w:t>
      </w:r>
      <w:r>
        <w:rPr>
          <w:rStyle w:val="1334"/>
          <w:rFonts w:hint="eastAsia" w:ascii="仿宋" w:hAnsi="仿宋" w:eastAsia="仿宋" w:cs="仿宋"/>
          <w:i w:val="0"/>
          <w:color w:val="000000"/>
          <w:highlight w:val="none"/>
          <w:shd w:val="clear" w:color="auto" w:fill="ffffff"/>
          <w:vertAlign w:val="superscript"/>
        </w:rPr>
        <w:t xml:space="preserve">1</w:t>
      </w:r>
      <w:r>
        <w:rPr>
          <w:rFonts w:hint="eastAsia" w:ascii="仿宋" w:hAnsi="仿宋" w:eastAsia="仿宋" w:cs="仿宋"/>
          <w:color w:val="000000"/>
          <w:highlight w:val="none"/>
          <w:shd w:val="clear" w:color="auto" w:fill="ffffff"/>
        </w:rPr>
        <w:t xml:space="preserve">，生产厂为</w:t>
      </w:r>
      <w:r>
        <w:rPr>
          <w:rStyle w:val="1334"/>
          <w:rFonts w:hint="eastAsia" w:ascii="仿宋" w:hAnsi="仿宋" w:eastAsia="仿宋" w:cs="仿宋"/>
          <w:i w:val="0"/>
          <w:color w:val="000000"/>
          <w:highlight w:val="none"/>
          <w:u w:val="single"/>
          <w:shd w:val="clear" w:color="auto" w:fill="ffffff"/>
        </w:rPr>
        <w:t xml:space="preserve">（厂名）</w:t>
      </w:r>
      <w:r>
        <w:rPr>
          <w:rStyle w:val="1334"/>
          <w:rFonts w:hint="eastAsia" w:ascii="仿宋" w:hAnsi="仿宋" w:eastAsia="仿宋" w:cs="仿宋"/>
          <w:i w:val="0"/>
          <w:color w:val="000000"/>
          <w:highlight w:val="none"/>
          <w:shd w:val="clear" w:color="auto" w:fill="ffffff"/>
          <w:vertAlign w:val="superscript"/>
        </w:rPr>
        <w:t xml:space="preserve">2</w:t>
      </w:r>
      <w:r>
        <w:rPr>
          <w:rFonts w:hint="eastAsia" w:ascii="仿宋" w:hAnsi="仿宋" w:eastAsia="仿宋" w:cs="仿宋"/>
          <w:color w:val="000000"/>
          <w:highlight w:val="none"/>
          <w:shd w:val="clear" w:color="auto" w:fill="ffffff"/>
        </w:rPr>
        <w:t xml:space="preserve">，厂址为</w:t>
      </w:r>
      <w:r>
        <w:rPr>
          <w:rStyle w:val="1334"/>
          <w:rFonts w:hint="eastAsia" w:ascii="仿宋" w:hAnsi="仿宋" w:eastAsia="仿宋" w:cs="仿宋"/>
          <w:i w:val="0"/>
          <w:color w:val="000000"/>
          <w:highlight w:val="none"/>
          <w:u w:val="single"/>
          <w:shd w:val="clear" w:color="auto" w:fill="ffffff"/>
        </w:rPr>
        <w:t xml:space="preserve">（生产厂址）</w:t>
      </w:r>
      <w:r>
        <w:rPr>
          <w:rFonts w:hint="eastAsia"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u w:val="single"/>
          <w:shd w:val="clear" w:color="auto" w:fill="ffffff"/>
        </w:rPr>
        <w:t xml:space="preserve"> </w:t>
      </w:r>
      <w:r>
        <w:rPr>
          <w:rStyle w:val="1334"/>
          <w:rFonts w:hint="eastAsia" w:ascii="仿宋" w:hAnsi="仿宋" w:eastAsia="仿宋" w:cs="仿宋"/>
          <w:i w:val="0"/>
          <w:color w:val="000000"/>
          <w:highlight w:val="none"/>
          <w:u w:val="single"/>
          <w:shd w:val="clear" w:color="auto" w:fill="ffffff"/>
        </w:rPr>
        <w:t xml:space="preserve">（产品名称1） </w:t>
      </w:r>
      <w:r>
        <w:rPr>
          <w:rFonts w:hint="eastAsia" w:ascii="仿宋" w:hAnsi="仿宋" w:eastAsia="仿宋" w:cs="仿宋"/>
          <w:color w:val="000000"/>
          <w:highlight w:val="none"/>
          <w:shd w:val="clear" w:color="auto" w:fill="ffffff"/>
        </w:rPr>
        <w:t xml:space="preserve">的中国境内生产的组件成本占比≥</w:t>
      </w:r>
      <w:r>
        <w:rPr>
          <w:rStyle w:val="1334"/>
          <w:rFonts w:hint="eastAsia" w:ascii="仿宋" w:hAnsi="仿宋" w:eastAsia="仿宋" w:cs="仿宋"/>
          <w:i w:val="0"/>
          <w:color w:val="000000"/>
          <w:highlight w:val="none"/>
          <w:u w:val="single"/>
          <w:shd w:val="clear" w:color="auto" w:fill="ffffff"/>
        </w:rPr>
        <w:t xml:space="preserve">（规定比例）</w:t>
      </w:r>
      <w:r>
        <w:rPr>
          <w:rStyle w:val="1334"/>
          <w:rFonts w:hint="eastAsia" w:ascii="仿宋" w:hAnsi="仿宋" w:eastAsia="仿宋" w:cs="仿宋"/>
          <w:i w:val="0"/>
          <w:color w:val="000000"/>
          <w:highlight w:val="none"/>
          <w:shd w:val="clear" w:color="auto" w:fill="ffffff"/>
          <w:vertAlign w:val="superscript"/>
        </w:rPr>
        <w:t xml:space="preserve">3</w:t>
      </w:r>
      <w:r>
        <w:rPr>
          <w:rFonts w:hint="eastAsia" w:ascii="仿宋" w:hAnsi="仿宋" w:eastAsia="仿宋" w:cs="仿宋"/>
          <w:color w:val="000000"/>
          <w:highlight w:val="none"/>
          <w:shd w:val="clear" w:color="auto" w:fill="ffffff"/>
        </w:rPr>
        <w:t xml:space="preserve">。</w:t>
      </w:r>
      <w:r>
        <w:rPr>
          <w:rStyle w:val="1334"/>
          <w:rFonts w:hint="eastAsia" w:ascii="仿宋" w:hAnsi="仿宋" w:eastAsia="仿宋" w:cs="仿宋"/>
          <w:i w:val="0"/>
          <w:color w:val="000000"/>
          <w:highlight w:val="none"/>
          <w:u w:val="single"/>
          <w:shd w:val="clear" w:color="auto" w:fill="ffffff"/>
        </w:rPr>
        <w:t xml:space="preserve">（产品名称1）</w:t>
      </w:r>
      <w:r>
        <w:rPr>
          <w:rFonts w:hint="eastAsia" w:ascii="仿宋" w:hAnsi="仿宋" w:eastAsia="仿宋" w:cs="仿宋"/>
          <w:color w:val="000000"/>
          <w:highlight w:val="none"/>
          <w:shd w:val="clear" w:color="auto" w:fill="ffffff"/>
        </w:rPr>
        <w:t xml:space="preserve">的</w:t>
      </w:r>
      <w:r>
        <w:rPr>
          <w:rStyle w:val="1334"/>
          <w:rFonts w:hint="eastAsia" w:ascii="仿宋" w:hAnsi="仿宋" w:eastAsia="仿宋" w:cs="仿宋"/>
          <w:i w:val="0"/>
          <w:color w:val="000000"/>
          <w:highlight w:val="none"/>
          <w:u w:val="single"/>
          <w:shd w:val="clear" w:color="auto" w:fill="ffffff"/>
        </w:rPr>
        <w:t xml:space="preserve">（关键组件）</w:t>
      </w:r>
      <w:r>
        <w:rPr>
          <w:rStyle w:val="1334"/>
          <w:rFonts w:hint="eastAsia" w:ascii="仿宋" w:hAnsi="仿宋" w:eastAsia="仿宋" w:cs="仿宋"/>
          <w:i w:val="0"/>
          <w:color w:val="000000"/>
          <w:highlight w:val="none"/>
          <w:shd w:val="clear" w:color="auto" w:fill="ffffff"/>
          <w:vertAlign w:val="superscript"/>
        </w:rPr>
        <w:t xml:space="preserve">4</w:t>
      </w:r>
      <w:r>
        <w:rPr>
          <w:rFonts w:hint="eastAsia" w:ascii="仿宋" w:hAnsi="仿宋" w:eastAsia="仿宋" w:cs="仿宋"/>
          <w:color w:val="000000"/>
          <w:highlight w:val="none"/>
          <w:shd w:val="clear" w:color="auto" w:fill="ffffff"/>
        </w:rPr>
        <w:t xml:space="preserve">在中国境内生产。</w:t>
      </w:r>
      <w:r>
        <w:rPr>
          <w:rStyle w:val="1334"/>
          <w:rFonts w:hint="eastAsia" w:ascii="仿宋" w:hAnsi="仿宋" w:eastAsia="仿宋" w:cs="仿宋"/>
          <w:i w:val="0"/>
          <w:color w:val="000000"/>
          <w:highlight w:val="none"/>
          <w:u w:val="single"/>
          <w:shd w:val="clear" w:color="auto" w:fill="ffffff"/>
        </w:rPr>
        <w:t xml:space="preserve">（产品名称1）</w:t>
      </w:r>
      <w:r>
        <w:rPr>
          <w:rFonts w:hint="eastAsia" w:ascii="仿宋" w:hAnsi="仿宋" w:eastAsia="仿宋" w:cs="仿宋"/>
          <w:color w:val="000000"/>
          <w:highlight w:val="none"/>
          <w:shd w:val="clear" w:color="auto" w:fill="ffffff"/>
        </w:rPr>
        <w:t xml:space="preserve">的</w:t>
      </w:r>
      <w:r>
        <w:rPr>
          <w:rStyle w:val="1334"/>
          <w:rFonts w:hint="eastAsia" w:ascii="仿宋" w:hAnsi="仿宋" w:eastAsia="仿宋" w:cs="仿宋"/>
          <w:i w:val="0"/>
          <w:color w:val="000000"/>
          <w:highlight w:val="none"/>
          <w:u w:val="single"/>
          <w:shd w:val="clear" w:color="auto" w:fill="ffffff"/>
        </w:rPr>
        <w:t xml:space="preserve">（关键工序）</w:t>
      </w:r>
      <w:r>
        <w:rPr>
          <w:rStyle w:val="1334"/>
          <w:rFonts w:hint="eastAsia" w:ascii="仿宋" w:hAnsi="仿宋" w:eastAsia="仿宋" w:cs="仿宋"/>
          <w:i w:val="0"/>
          <w:color w:val="000000"/>
          <w:highlight w:val="none"/>
          <w:shd w:val="clear" w:color="auto" w:fill="ffffff"/>
          <w:vertAlign w:val="superscript"/>
        </w:rPr>
        <w:t xml:space="preserve">5</w:t>
      </w:r>
      <w:r>
        <w:rPr>
          <w:rFonts w:hint="eastAsia" w:ascii="仿宋" w:hAnsi="仿宋" w:eastAsia="仿宋" w:cs="仿宋"/>
          <w:color w:val="000000"/>
          <w:highlight w:val="none"/>
          <w:shd w:val="clear" w:color="auto" w:fill="ffffff"/>
        </w:rPr>
        <w:t xml:space="preserve">在中国境内完成。</w:t>
      </w:r>
      <w:r>
        <w:rPr>
          <w:rFonts w:hint="eastAsia" w:ascii="仿宋" w:hAnsi="仿宋" w:eastAsia="仿宋" w:cs="仿宋"/>
          <w:color w:val="000000"/>
          <w:highlight w:val="none"/>
        </w:rPr>
      </w:r>
      <w:r/>
    </w:p>
    <w:p>
      <w:pPr>
        <w:pStyle w:val="1320"/>
        <w:ind w:firstLine="4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1522730</wp:posOffset>
                </wp:positionH>
                <wp:positionV relativeFrom="paragraph">
                  <wp:posOffset>647065</wp:posOffset>
                </wp:positionV>
                <wp:extent cx="82169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371475</wp:posOffset>
                </wp:positionH>
                <wp:positionV relativeFrom="paragraph">
                  <wp:posOffset>611505</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4174490</wp:posOffset>
                </wp:positionH>
                <wp:positionV relativeFrom="paragraph">
                  <wp:posOffset>339090</wp:posOffset>
                </wp:positionV>
                <wp:extent cx="669290" cy="1155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69290" cy="1155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1;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3023235</wp:posOffset>
                </wp:positionH>
                <wp:positionV relativeFrom="paragraph">
                  <wp:posOffset>334645</wp:posOffset>
                </wp:positionV>
                <wp:extent cx="849630" cy="12001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4;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1911985</wp:posOffset>
                </wp:positionH>
                <wp:positionV relativeFrom="paragraph">
                  <wp:posOffset>328930</wp:posOffset>
                </wp:positionV>
                <wp:extent cx="843915" cy="1257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3" o:spid="_x0000_s23" style="position:absolute;z-index:251658243;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4625975</wp:posOffset>
                </wp:positionH>
                <wp:positionV relativeFrom="paragraph">
                  <wp:posOffset>38100</wp:posOffset>
                </wp:positionV>
                <wp:extent cx="718185" cy="977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0;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highlight w:val="none"/>
          <w:shd w:val="clear" w:color="auto" w:fill="ffffff"/>
        </w:rPr>
        <w:t xml:space="preserve">2.</w:t>
      </w:r>
      <w:r>
        <w:rPr>
          <w:rStyle w:val="1334"/>
          <w:rFonts w:hint="eastAsia" w:ascii="仿宋" w:hAnsi="仿宋" w:eastAsia="仿宋" w:cs="仿宋"/>
          <w:i w:val="0"/>
          <w:color w:val="000000"/>
          <w:highlight w:val="none"/>
          <w:u w:val="single"/>
          <w:shd w:val="clear" w:color="auto" w:fill="ffffff"/>
        </w:rPr>
        <w:t xml:space="preserve">（产品名称2）</w:t>
      </w:r>
      <w:r>
        <w:rPr>
          <w:rFonts w:hint="eastAsia" w:ascii="仿宋" w:hAnsi="仿宋" w:eastAsia="仿宋" w:cs="仿宋"/>
          <w:color w:val="000000"/>
          <w:highlight w:val="none"/>
          <w:shd w:val="clear" w:color="auto" w:fill="ffffff"/>
        </w:rPr>
        <w:t xml:space="preserve">，生产厂为</w:t>
      </w:r>
      <w:r>
        <w:rPr>
          <w:rStyle w:val="1334"/>
          <w:rFonts w:hint="eastAsia" w:ascii="仿宋" w:hAnsi="仿宋" w:eastAsia="仿宋" w:cs="仿宋"/>
          <w:i w:val="0"/>
          <w:color w:val="000000"/>
          <w:highlight w:val="none"/>
          <w:u w:val="single"/>
          <w:shd w:val="clear" w:color="auto" w:fill="ffffff"/>
        </w:rPr>
        <w:t xml:space="preserve">（厂名）</w:t>
      </w:r>
      <w:r>
        <w:rPr>
          <w:rFonts w:hint="eastAsia" w:ascii="仿宋" w:hAnsi="仿宋" w:eastAsia="仿宋" w:cs="仿宋"/>
          <w:color w:val="000000"/>
          <w:highlight w:val="none"/>
          <w:shd w:val="clear" w:color="auto" w:fill="ffffff"/>
        </w:rPr>
        <w:t xml:space="preserve">，厂址为</w:t>
      </w:r>
      <w:r>
        <w:rPr>
          <w:rStyle w:val="1334"/>
          <w:rFonts w:hint="eastAsia" w:ascii="仿宋" w:hAnsi="仿宋" w:eastAsia="仿宋" w:cs="仿宋"/>
          <w:i w:val="0"/>
          <w:color w:val="000000"/>
          <w:highlight w:val="none"/>
          <w:u w:val="single"/>
          <w:shd w:val="clear" w:color="auto" w:fill="ffffff"/>
        </w:rPr>
        <w:t xml:space="preserve">（生产厂址）</w:t>
      </w:r>
      <w:r>
        <w:rPr>
          <w:rFonts w:hint="eastAsia" w:ascii="仿宋" w:hAnsi="仿宋" w:eastAsia="仿宋" w:cs="仿宋"/>
          <w:color w:val="000000"/>
          <w:highlight w:val="none"/>
          <w:shd w:val="clear" w:color="auto" w:fill="ffffff"/>
        </w:rPr>
        <w:t xml:space="preserve">。</w:t>
      </w:r>
      <w:r>
        <w:rPr>
          <w:rStyle w:val="1334"/>
          <w:rFonts w:hint="eastAsia" w:ascii="仿宋" w:hAnsi="仿宋" w:eastAsia="仿宋" w:cs="仿宋"/>
          <w:i w:val="0"/>
          <w:color w:val="000000"/>
          <w:highlight w:val="none"/>
          <w:u w:val="single"/>
          <w:shd w:val="clear" w:color="auto" w:fill="ffffff"/>
        </w:rPr>
        <w:t xml:space="preserve">（产品名称2）</w:t>
      </w:r>
      <w:r>
        <w:rPr>
          <w:rFonts w:hint="eastAsia" w:ascii="仿宋" w:hAnsi="仿宋" w:eastAsia="仿宋" w:cs="仿宋"/>
          <w:color w:val="000000"/>
          <w:highlight w:val="none"/>
          <w:shd w:val="clear" w:color="auto" w:fill="ffffff"/>
        </w:rPr>
        <w:t xml:space="preserve">的中国境内生产的组件成本占比≥</w:t>
      </w:r>
      <w:r>
        <w:rPr>
          <w:rStyle w:val="1334"/>
          <w:rFonts w:hint="eastAsia" w:ascii="仿宋" w:hAnsi="仿宋" w:eastAsia="仿宋" w:cs="仿宋"/>
          <w:i w:val="0"/>
          <w:color w:val="000000"/>
          <w:highlight w:val="none"/>
          <w:u w:val="single"/>
          <w:shd w:val="clear" w:color="auto" w:fill="ffffff"/>
        </w:rPr>
        <w:t xml:space="preserve">（规定比例）</w:t>
      </w:r>
      <w:r>
        <w:rPr>
          <w:rFonts w:hint="eastAsia" w:ascii="仿宋" w:hAnsi="仿宋" w:eastAsia="仿宋" w:cs="仿宋"/>
          <w:color w:val="000000"/>
          <w:highlight w:val="none"/>
          <w:shd w:val="clear" w:color="auto" w:fill="ffffff"/>
        </w:rPr>
        <w:t xml:space="preserve">。</w:t>
      </w:r>
      <w:r>
        <w:rPr>
          <w:rStyle w:val="1334"/>
          <w:rFonts w:hint="eastAsia" w:ascii="仿宋" w:hAnsi="仿宋" w:eastAsia="仿宋" w:cs="仿宋"/>
          <w:i w:val="0"/>
          <w:color w:val="000000"/>
          <w:highlight w:val="none"/>
          <w:u w:val="single"/>
          <w:shd w:val="clear" w:color="auto" w:fill="ffffff"/>
        </w:rPr>
        <w:t xml:space="preserve">（产品名称2）</w:t>
      </w:r>
      <w:r>
        <w:rPr>
          <w:rFonts w:hint="eastAsia" w:ascii="仿宋" w:hAnsi="仿宋" w:eastAsia="仿宋" w:cs="仿宋"/>
          <w:color w:val="000000"/>
          <w:highlight w:val="none"/>
          <w:shd w:val="clear" w:color="auto" w:fill="ffffff"/>
        </w:rPr>
        <w:t xml:space="preserve">的</w:t>
      </w:r>
      <w:r>
        <w:rPr>
          <w:rStyle w:val="1334"/>
          <w:rFonts w:hint="eastAsia" w:ascii="仿宋" w:hAnsi="仿宋" w:eastAsia="仿宋" w:cs="仿宋"/>
          <w:i w:val="0"/>
          <w:color w:val="000000"/>
          <w:highlight w:val="none"/>
          <w:u w:val="single"/>
          <w:shd w:val="clear" w:color="auto" w:fill="ffffff"/>
        </w:rPr>
        <w:t xml:space="preserve">（关键组件）</w:t>
      </w:r>
      <w:r>
        <w:rPr>
          <w:rFonts w:hint="eastAsia" w:ascii="仿宋" w:hAnsi="仿宋" w:eastAsia="仿宋" w:cs="仿宋"/>
          <w:color w:val="000000"/>
          <w:highlight w:val="none"/>
          <w:shd w:val="clear" w:color="auto" w:fill="ffffff"/>
        </w:rPr>
        <w:t xml:space="preserve">在中国境内生产。</w:t>
      </w:r>
      <w:r>
        <w:rPr>
          <w:rStyle w:val="1334"/>
          <w:rFonts w:hint="eastAsia" w:ascii="仿宋" w:hAnsi="仿宋" w:eastAsia="仿宋" w:cs="仿宋"/>
          <w:i w:val="0"/>
          <w:color w:val="000000"/>
          <w:highlight w:val="none"/>
          <w:u w:val="single"/>
          <w:shd w:val="clear" w:color="auto" w:fill="ffffff"/>
        </w:rPr>
        <w:t xml:space="preserve">（产品名称1）</w:t>
      </w:r>
      <w:r>
        <w:rPr>
          <w:rFonts w:hint="eastAsia" w:ascii="仿宋" w:hAnsi="仿宋" w:eastAsia="仿宋" w:cs="仿宋"/>
          <w:color w:val="000000"/>
          <w:highlight w:val="none"/>
          <w:shd w:val="clear" w:color="auto" w:fill="ffffff"/>
        </w:rPr>
        <w:t xml:space="preserve">的</w:t>
      </w:r>
      <w:r>
        <w:rPr>
          <w:rStyle w:val="1334"/>
          <w:rFonts w:hint="eastAsia" w:ascii="仿宋" w:hAnsi="仿宋" w:eastAsia="仿宋" w:cs="仿宋"/>
          <w:i w:val="0"/>
          <w:color w:val="000000"/>
          <w:highlight w:val="none"/>
          <w:u w:val="single"/>
          <w:shd w:val="clear" w:color="auto" w:fill="ffffff"/>
        </w:rPr>
        <w:t xml:space="preserve">（关键工序）</w:t>
      </w:r>
      <w:r>
        <w:rPr>
          <w:rFonts w:hint="eastAsia" w:ascii="仿宋" w:hAnsi="仿宋" w:eastAsia="仿宋" w:cs="仿宋"/>
          <w:color w:val="000000"/>
          <w:highlight w:val="none"/>
          <w:shd w:val="clear" w:color="auto" w:fill="ffffff"/>
        </w:rPr>
        <w:t xml:space="preserve">在中国境内完成。</w:t>
      </w:r>
      <w:r>
        <w:rPr>
          <w:rFonts w:hint="eastAsia" w:ascii="仿宋" w:hAnsi="仿宋" w:eastAsia="仿宋" w:cs="仿宋"/>
          <w:color w:val="000000"/>
          <w:highlight w:val="none"/>
        </w:rPr>
      </w:r>
      <w:r/>
    </w:p>
    <w:p>
      <w:pPr>
        <w:pStyle w:val="1320"/>
        <w:ind w:firstLine="4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rPr>
      </w:r>
      <w:r/>
    </w:p>
    <w:p>
      <w:pPr>
        <w:pStyle w:val="1320"/>
        <w:ind w:firstLine="4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highlight w:val="none"/>
        </w:rPr>
      </w:r>
      <w:r/>
    </w:p>
    <w:p>
      <w:pPr>
        <w:pStyle w:val="13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20"/>
        <w:ind w:right="480" w:firstLine="468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公司（单位）名称（盖章）：　        </w:t>
      </w:r>
      <w:r>
        <w:rPr>
          <w:rFonts w:hint="eastAsia" w:ascii="仿宋" w:hAnsi="仿宋" w:eastAsia="仿宋" w:cs="仿宋"/>
          <w:color w:val="000000"/>
          <w:highlight w:val="none"/>
        </w:rPr>
      </w:r>
      <w:r/>
    </w:p>
    <w:p>
      <w:pPr>
        <w:pStyle w:val="1320"/>
        <w:jc w:val="center"/>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                                日期：　   年　  月　  日         </w:t>
      </w:r>
      <w:r>
        <w:rPr>
          <w:rFonts w:hint="eastAsia" w:ascii="仿宋" w:hAnsi="仿宋" w:eastAsia="仿宋" w:cs="仿宋"/>
          <w:color w:val="000000"/>
          <w:highlight w:val="none"/>
        </w:rPr>
      </w:r>
      <w:r/>
    </w:p>
    <w:p>
      <w:pPr>
        <w:pStyle w:val="1320"/>
        <w:spacing w:before="30" w:beforeAutospacing="0" w:after="3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__________________</w:t>
      </w:r>
      <w:r>
        <w:rPr>
          <w:rFonts w:hint="eastAsia" w:ascii="仿宋" w:hAnsi="仿宋" w:eastAsia="仿宋" w:cs="仿宋"/>
          <w:color w:val="000000"/>
          <w:highlight w:val="none"/>
        </w:rPr>
      </w:r>
      <w:r/>
    </w:p>
    <w:p>
      <w:pPr>
        <w:pStyle w:val="1320"/>
        <w:spacing w:before="30" w:beforeAutospacing="0" w:after="30" w:afterAutospacing="0" w:line="360"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shd w:val="clear" w:color="auto" w:fill="ffffff"/>
        </w:rPr>
        <w:t xml:space="preserve">1.产品如有型号，请在“产品名称”栏一并填写。</w:t>
      </w:r>
      <w:r>
        <w:rPr>
          <w:rFonts w:hint="eastAsia" w:ascii="仿宋" w:hAnsi="仿宋" w:eastAsia="仿宋" w:cs="仿宋"/>
          <w:color w:val="000000"/>
          <w:sz w:val="22"/>
          <w:highlight w:val="none"/>
        </w:rPr>
      </w:r>
      <w:r/>
    </w:p>
    <w:p>
      <w:pPr>
        <w:pStyle w:val="1320"/>
        <w:spacing w:before="30" w:beforeAutospacing="0" w:after="30" w:afterAutospacing="0" w:line="360"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shd w:val="clear" w:color="auto" w:fill="ffffff"/>
        </w:rPr>
        <w:t xml:space="preserve">2.生产厂名与厂址应与生产厂营业执照载明的相关信息保持一致。</w:t>
      </w:r>
      <w:r>
        <w:rPr>
          <w:rFonts w:hint="eastAsia" w:ascii="仿宋" w:hAnsi="仿宋" w:eastAsia="仿宋" w:cs="仿宋"/>
          <w:color w:val="000000"/>
          <w:sz w:val="22"/>
          <w:highlight w:val="none"/>
        </w:rPr>
      </w:r>
      <w:r/>
    </w:p>
    <w:p>
      <w:pPr>
        <w:pStyle w:val="1320"/>
        <w:spacing w:before="30" w:beforeAutospacing="0" w:after="30" w:afterAutospacing="0" w:line="360"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2"/>
          <w:highlight w:val="none"/>
        </w:rPr>
      </w:r>
      <w:r/>
    </w:p>
    <w:p>
      <w:pPr>
        <w:pStyle w:val="1320"/>
        <w:spacing w:before="30" w:beforeAutospacing="0" w:after="30" w:afterAutospacing="0" w:line="360"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shd w:val="clear" w:color="auto" w:fill="ffffff"/>
        </w:rPr>
        <w:t xml:space="preserve">4.该产品的关键组件要求实施前，“关键组件”栏可不填，下同。</w:t>
      </w:r>
      <w:r>
        <w:rPr>
          <w:rFonts w:hint="eastAsia" w:ascii="仿宋" w:hAnsi="仿宋" w:eastAsia="仿宋" w:cs="仿宋"/>
          <w:color w:val="000000"/>
          <w:sz w:val="22"/>
          <w:highlight w:val="none"/>
        </w:rPr>
      </w:r>
      <w:r/>
    </w:p>
    <w:p>
      <w:pPr>
        <w:pStyle w:val="1320"/>
        <w:spacing w:before="30" w:beforeAutospacing="0" w:after="30" w:afterAutospacing="0" w:line="360" w:lineRule="auto"/>
        <w:rPr>
          <w:rFonts w:hint="eastAsia" w:ascii="仿宋" w:hAnsi="仿宋" w:eastAsia="仿宋" w:cs="仿宋"/>
          <w:color w:val="000000"/>
          <w:sz w:val="22"/>
          <w:highlight w:val="none"/>
          <w:shd w:val="clear" w:color="auto" w:fill="ffffff"/>
        </w:rPr>
      </w:pPr>
      <w:r>
        <w:rPr>
          <w:rFonts w:hint="eastAsia" w:ascii="仿宋" w:hAnsi="仿宋" w:eastAsia="仿宋" w:cs="仿宋"/>
          <w:color w:val="000000"/>
          <w:sz w:val="22"/>
          <w:highlight w:val="none"/>
          <w:shd w:val="clear" w:color="auto" w:fill="ffffff"/>
        </w:rPr>
        <w:t xml:space="preserve">5.该产品的关键工序要求实施前，“关键工序”栏可不填，下同。</w:t>
      </w:r>
      <w:r>
        <w:rPr>
          <w:rFonts w:hint="eastAsia" w:ascii="仿宋" w:hAnsi="仿宋" w:eastAsia="仿宋" w:cs="仿宋"/>
          <w:color w:val="000000"/>
          <w:sz w:val="22"/>
          <w:highlight w:val="none"/>
          <w:shd w:val="clear" w:color="auto" w:fill="ffffff"/>
        </w:rPr>
      </w:r>
      <w:r/>
    </w:p>
    <w:p>
      <w:pPr>
        <w:pStyle w:val="1259"/>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shd w:val="clear" w:color="auto" w:fill="ffffff"/>
        </w:rPr>
        <w:t xml:space="preserve">6.用斜线划除的地方无需填写。</w:t>
      </w: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本项目的特定资格要求（如有）</w:t>
      </w: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796" w:name="_Toc195842921"/>
      <w:r/>
      <w:bookmarkStart w:id="797" w:name="_Toc480942349"/>
      <w:r/>
      <w:bookmarkStart w:id="798" w:name="_Ref467988698"/>
      <w:r/>
      <w:bookmarkStart w:id="799" w:name="_Toc142311058"/>
      <w:r/>
      <w:bookmarkStart w:id="800" w:name="_Toc150480794"/>
      <w:r/>
      <w:bookmarkStart w:id="801" w:name="_Toc226309800"/>
      <w:r/>
      <w:bookmarkStart w:id="802" w:name="_Toc226337252"/>
      <w:r/>
      <w:bookmarkStart w:id="803" w:name="_Toc520356217"/>
      <w:r/>
      <w:bookmarkStart w:id="804" w:name="_Toc127151556"/>
      <w:r/>
      <w:bookmarkStart w:id="805" w:name="_Toc226965746"/>
      <w:r/>
      <w:bookmarkStart w:id="806" w:name="_Toc150774761"/>
      <w:r/>
      <w:bookmarkStart w:id="807" w:name="_Toc226965829"/>
      <w:r>
        <w:rPr>
          <w:rFonts w:hint="eastAsia" w:ascii="仿宋" w:hAnsi="仿宋" w:eastAsia="仿宋" w:cs="仿宋"/>
          <w:b/>
          <w:color w:val="000000"/>
          <w:sz w:val="32"/>
          <w:szCs w:val="32"/>
          <w:highlight w:val="none"/>
        </w:rPr>
      </w:r>
      <w:r/>
    </w:p>
    <w:p>
      <w:pPr>
        <w:pStyle w:val="1259"/>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59"/>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259"/>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259"/>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常州市排水管理处</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259"/>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我方参加你方</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szCs w:val="20"/>
          <w:highlight w:val="none"/>
        </w:rPr>
        <w:t xml:space="preserve">组织的招标活动，并对此项目进行投标。</w:t>
      </w:r>
      <w:r>
        <w:rPr>
          <w:rFonts w:hint="eastAsia" w:ascii="仿宋" w:hAnsi="仿宋" w:eastAsia="仿宋" w:cs="仿宋"/>
          <w:color w:val="000000"/>
          <w:sz w:val="24"/>
          <w:szCs w:val="20"/>
          <w:highlight w:val="none"/>
        </w:rPr>
      </w:r>
      <w:r/>
    </w:p>
    <w:p>
      <w:pPr>
        <w:pStyle w:val="1259"/>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 我方</w:t>
      </w:r>
      <w:r>
        <w:rPr>
          <w:rFonts w:hint="eastAsia" w:ascii="仿宋" w:hAnsi="仿宋" w:eastAsia="仿宋" w:cs="仿宋"/>
          <w:color w:val="000000"/>
          <w:sz w:val="24"/>
          <w:highlight w:val="none"/>
        </w:rPr>
        <w:t xml:space="preserve">已详细审查全部招标文件</w:t>
      </w:r>
      <w:r>
        <w:rPr>
          <w:rFonts w:hint="eastAsia" w:ascii="仿宋" w:hAnsi="仿宋" w:eastAsia="仿宋" w:cs="仿宋"/>
          <w:color w:val="000000"/>
          <w:sz w:val="24"/>
          <w:szCs w:val="20"/>
          <w:highlight w:val="none"/>
        </w:rPr>
        <w:t xml:space="preserve">，自愿参与投标并承诺如下：</w:t>
      </w:r>
      <w:r>
        <w:rPr>
          <w:rFonts w:hint="eastAsia" w:ascii="仿宋" w:hAnsi="仿宋" w:eastAsia="仿宋" w:cs="仿宋"/>
          <w:color w:val="000000"/>
          <w:sz w:val="24"/>
          <w:szCs w:val="20"/>
          <w:highlight w:val="none"/>
        </w:rPr>
      </w:r>
      <w:r/>
    </w:p>
    <w:p>
      <w:pPr>
        <w:pStyle w:val="1259"/>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（1）本投标有效期为自提交投标文件的截止之日起</w:t>
      </w:r>
      <w:r>
        <w:rPr>
          <w:rFonts w:hint="eastAsia" w:ascii="仿宋" w:hAnsi="仿宋" w:eastAsia="仿宋" w:cs="仿宋"/>
          <w:color w:val="000000"/>
          <w:sz w:val="24"/>
          <w:highlight w:val="none"/>
        </w:rPr>
        <w:t xml:space="preserve">90</w:t>
      </w:r>
      <w:r>
        <w:rPr>
          <w:rFonts w:hint="eastAsia" w:ascii="仿宋" w:hAnsi="仿宋" w:eastAsia="仿宋" w:cs="仿宋"/>
          <w:color w:val="000000"/>
          <w:sz w:val="24"/>
          <w:szCs w:val="20"/>
          <w:highlight w:val="none"/>
        </w:rPr>
        <w:t xml:space="preserve">个日历天。</w:t>
      </w:r>
      <w:r>
        <w:rPr>
          <w:rFonts w:hint="eastAsia" w:ascii="仿宋" w:hAnsi="仿宋" w:eastAsia="仿宋" w:cs="仿宋"/>
          <w:color w:val="000000"/>
          <w:sz w:val="24"/>
          <w:szCs w:val="20"/>
          <w:highlight w:val="none"/>
        </w:rPr>
      </w:r>
      <w:r/>
    </w:p>
    <w:p>
      <w:pPr>
        <w:pStyle w:val="1259"/>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（2）除合同条款及采购需求偏离表列出的偏离外，我方响应招标文件的全部要求。</w:t>
      </w:r>
      <w:r>
        <w:rPr>
          <w:rFonts w:hint="eastAsia" w:ascii="仿宋" w:hAnsi="仿宋" w:eastAsia="仿宋" w:cs="仿宋"/>
          <w:color w:val="000000"/>
          <w:sz w:val="24"/>
          <w:szCs w:val="20"/>
          <w:highlight w:val="none"/>
        </w:rPr>
      </w:r>
      <w:r/>
    </w:p>
    <w:p>
      <w:pPr>
        <w:pStyle w:val="1259"/>
        <w:ind w:firstLine="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（3）我方已提供的全部文件资料是真实、准确的，并对此承担一切法律后果。</w:t>
      </w:r>
      <w:r>
        <w:rPr>
          <w:rFonts w:hint="eastAsia" w:ascii="仿宋" w:hAnsi="仿宋" w:eastAsia="仿宋" w:cs="仿宋"/>
          <w:color w:val="000000"/>
          <w:sz w:val="24"/>
          <w:szCs w:val="20"/>
          <w:highlight w:val="none"/>
        </w:rPr>
      </w:r>
      <w:r/>
    </w:p>
    <w:p>
      <w:pPr>
        <w:pStyle w:val="1259"/>
        <w:ind w:firstLine="42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4"/>
          <w:highlight w:val="none"/>
        </w:rPr>
      </w:r>
      <w:r/>
    </w:p>
    <w:p>
      <w:pPr>
        <w:pStyle w:val="1259"/>
        <w:ind w:lef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其他补充条款（如有）：</w:t>
      </w:r>
      <w:r>
        <w:rPr>
          <w:rFonts w:hint="eastAsia" w:ascii="仿宋" w:hAnsi="仿宋" w:eastAsia="仿宋" w:cs="仿宋"/>
          <w:color w:val="000000"/>
          <w:sz w:val="24"/>
          <w:szCs w:val="20"/>
          <w:highlight w:val="none"/>
        </w:rPr>
        <w:t xml:space="preserve">___________</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与本投标有关的一切正式往来信函请寄：</w:t>
      </w:r>
      <w:r>
        <w:rPr>
          <w:rFonts w:hint="eastAsia" w:ascii="仿宋" w:hAnsi="仿宋" w:eastAsia="仿宋" w:cs="仿宋"/>
          <w:color w:val="000000"/>
          <w:sz w:val="24"/>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259"/>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259"/>
        <w:jc w:val="left"/>
        <w:widowControl/>
        <w:rPr>
          <w:rFonts w:hint="eastAsia" w:ascii="仿宋" w:hAnsi="仿宋" w:eastAsia="仿宋" w:cs="仿宋"/>
          <w:color w:val="000000"/>
          <w:sz w:val="24"/>
          <w:highlight w:val="none"/>
        </w:rPr>
      </w:pPr>
      <w:r/>
      <w:bookmarkStart w:id="808" w:name="_Hlt520355938"/>
      <w:r/>
      <w:bookmarkEnd w:id="808"/>
      <w:r/>
      <w:bookmarkStart w:id="809" w:name="_Hlt520356243"/>
      <w:r/>
      <w:bookmarkEnd w:id="809"/>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259"/>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259"/>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59"/>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性别:       年龄:      职务:</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90"/>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810"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259"/>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59"/>
        <w:jc w:val="left"/>
        <w:widowControl/>
        <w:rPr>
          <w:rFonts w:hint="eastAsia" w:ascii="仿宋" w:hAnsi="仿宋" w:eastAsia="仿宋" w:cs="仿宋"/>
          <w:color w:val="000000"/>
          <w:sz w:val="24"/>
          <w:highlight w:val="none"/>
        </w:rPr>
      </w:pPr>
      <w:r/>
      <w:bookmarkEnd w:id="810"/>
      <w:r>
        <w:rPr>
          <w:rFonts w:hint="eastAsia" w:ascii="仿宋" w:hAnsi="仿宋" w:eastAsia="仿宋" w:cs="仿宋"/>
          <w:color w:val="000000"/>
          <w:sz w:val="24"/>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259"/>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259"/>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259"/>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59"/>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59"/>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259"/>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259"/>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259"/>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517"/>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59"/>
        <w:ind w:firstLine="4830"/>
        <w:spacing w:line="360" w:lineRule="auto"/>
        <w:rPr>
          <w:rFonts w:hint="eastAsia" w:ascii="仿宋" w:hAnsi="仿宋" w:eastAsia="仿宋" w:cs="仿宋"/>
          <w:color w:val="000000"/>
          <w:szCs w:val="21"/>
          <w:highlight w:val="none"/>
        </w:rPr>
      </w:pPr>
      <w:r/>
      <w:bookmarkStart w:id="811" w:name="_Hlt520274121"/>
      <w:r/>
      <w:bookmarkEnd w:id="811"/>
      <w:r/>
      <w:bookmarkStart w:id="812" w:name="_Hlt520350918"/>
      <w:r/>
      <w:bookmarkEnd w:id="812"/>
      <w:r/>
      <w:bookmarkStart w:id="813" w:name="_Hlt520273711"/>
      <w:r/>
      <w:bookmarkEnd w:id="813"/>
      <w:r/>
      <w:bookmarkStart w:id="814" w:name="_Hlt520274393"/>
      <w:r/>
      <w:bookmarkEnd w:id="814"/>
      <w:r/>
      <w:bookmarkStart w:id="815" w:name="_Hlt520274407"/>
      <w:r/>
      <w:bookmarkEnd w:id="815"/>
      <w:r/>
      <w:bookmarkStart w:id="816" w:name="_Hlt520343392"/>
      <w:r/>
      <w:bookmarkEnd w:id="816"/>
      <w:r/>
      <w:bookmarkStart w:id="817" w:name="_Hlt520274065"/>
      <w:r/>
      <w:bookmarkEnd w:id="817"/>
      <w:r/>
      <w:bookmarkStart w:id="818" w:name="_Hlt520343000"/>
      <w:r/>
      <w:bookmarkEnd w:id="818"/>
      <w:r/>
      <w:bookmarkStart w:id="819" w:name="_Hlt520271212"/>
      <w:r/>
      <w:bookmarkEnd w:id="819"/>
      <w:r/>
      <w:bookmarkStart w:id="820" w:name="_Hlt520355504"/>
      <w:r/>
      <w:bookmarkEnd w:id="820"/>
      <w:r/>
      <w:bookmarkStart w:id="821" w:name="_Hlk107701995"/>
      <w:r/>
      <w:bookmarkStart w:id="822" w:name="_Toc150774762"/>
      <w:r/>
      <w:bookmarkStart w:id="823" w:name="_Toc150480795"/>
      <w:r/>
      <w:bookmarkStart w:id="824" w:name="_Toc226337253"/>
      <w:r/>
      <w:bookmarkStart w:id="825" w:name="_Toc265228395"/>
      <w:r/>
      <w:bookmarkStart w:id="826" w:name="_Toc142311059"/>
      <w:r/>
      <w:bookmarkStart w:id="827" w:name="_Toc226965747"/>
      <w:r/>
      <w:bookmarkStart w:id="828" w:name="_Toc305158899"/>
      <w:r/>
      <w:bookmarkStart w:id="829" w:name="_Toc480942350"/>
      <w:r/>
      <w:bookmarkStart w:id="830" w:name="_Toc305158825"/>
      <w:r/>
      <w:bookmarkStart w:id="831" w:name="_Toc226965830"/>
      <w:r/>
      <w:bookmarkStart w:id="832" w:name="_Toc127151557"/>
      <w:r/>
      <w:bookmarkStart w:id="833" w:name="_Toc195842922"/>
      <w:r/>
      <w:bookmarkStart w:id="834" w:name="_Toc520356218"/>
      <w:r/>
      <w:bookmarkStart w:id="835" w:name="_Toc264969247"/>
      <w:r/>
      <w:bookmarkStart w:id="836" w:name="_Ref467988705"/>
      <w:r/>
      <w:bookmarkStart w:id="837" w:name="_Toc226309801"/>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59"/>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59"/>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821"/>
      <w:r>
        <w:rPr>
          <w:rFonts w:hint="eastAsia" w:ascii="仿宋" w:hAnsi="仿宋" w:eastAsia="仿宋" w:cs="仿宋"/>
          <w:color w:val="000000"/>
          <w:sz w:val="24"/>
          <w:szCs w:val="20"/>
          <w:highlight w:val="none"/>
        </w:rPr>
        <w:t xml:space="preserve">4  开标一览表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59"/>
        <w:jc w:val="center"/>
        <w:spacing w:line="360" w:lineRule="exact"/>
        <w:rPr>
          <w:rFonts w:hint="eastAsia" w:ascii="仿宋" w:hAnsi="仿宋" w:eastAsia="仿宋" w:cs="仿宋"/>
          <w:b/>
          <w:color w:val="000000"/>
          <w:sz w:val="36"/>
          <w:szCs w:val="36"/>
          <w:highlight w:val="none"/>
        </w:rPr>
      </w:pPr>
      <w:r/>
      <w:bookmarkStart w:id="838" w:name="_Toc264969248"/>
      <w:r/>
      <w:bookmarkStart w:id="839" w:name="_Toc195842923"/>
      <w:r/>
      <w:bookmarkStart w:id="840" w:name="_Toc226337254"/>
      <w:r/>
      <w:bookmarkStart w:id="841" w:name="_Toc164608672"/>
      <w:r/>
      <w:bookmarkStart w:id="842" w:name="_Toc164608827"/>
      <w:r/>
      <w:bookmarkStart w:id="843" w:name="_Toc226965831"/>
      <w:r/>
      <w:bookmarkStart w:id="844" w:name="_Toc305158900"/>
      <w:r/>
      <w:bookmarkStart w:id="845" w:name="_Toc265228396"/>
      <w:r/>
      <w:bookmarkStart w:id="846" w:name="_Toc226965748"/>
      <w:r/>
      <w:bookmarkStart w:id="847" w:name="_Toc226309802"/>
      <w:r/>
      <w:bookmarkStart w:id="848" w:name="_Toc305158826"/>
      <w:r>
        <w:rPr>
          <w:rFonts w:hint="eastAsia" w:ascii="仿宋" w:hAnsi="仿宋" w:eastAsia="仿宋" w:cs="仿宋"/>
          <w:b/>
          <w:color w:val="000000"/>
          <w:sz w:val="36"/>
          <w:szCs w:val="36"/>
          <w:highlight w:val="none"/>
        </w:rPr>
      </w:r>
      <w:r/>
    </w:p>
    <w:p>
      <w:pPr>
        <w:pStyle w:val="1259"/>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ascii="仿宋" w:hAnsi="仿宋" w:eastAsia="仿宋" w:cs="仿宋"/>
          <w:b/>
          <w:color w:val="000000"/>
          <w:sz w:val="36"/>
          <w:szCs w:val="36"/>
          <w:highlight w:val="none"/>
        </w:rPr>
      </w:r>
      <w:r/>
    </w:p>
    <w:p>
      <w:pPr>
        <w:pStyle w:val="1259"/>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b/>
          <w:bCs/>
          <w:color w:val="000000"/>
          <w:sz w:val="24"/>
          <w:highlight w:val="none"/>
          <w:u w:val="single"/>
          <w:lang w:eastAsia="zh-CN"/>
        </w:rPr>
      </w:r>
      <w:r/>
    </w:p>
    <w:p>
      <w:pPr>
        <w:pStyle w:val="1259"/>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b/>
          <w:bCs/>
          <w:color w:val="000000"/>
          <w:sz w:val="24"/>
          <w:highlight w:val="none"/>
          <w:u w:val="single"/>
          <w:lang w:eastAsia="zh-CN"/>
        </w:rPr>
      </w:r>
      <w:r/>
    </w:p>
    <w:tbl>
      <w:tblPr>
        <w:tblW w:w="453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8"/>
        <w:gridCol w:w="3246"/>
        <w:gridCol w:w="4728"/>
      </w:tblGrid>
      <w:tr>
        <w:trPr>
          <w:trHeight w:val="574"/>
        </w:trPr>
        <w:tc>
          <w:tcPr>
            <w:tcW w:w="491"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hint="eastAsia" w:ascii="仿宋" w:hAnsi="仿宋" w:eastAsia="仿宋" w:cs="仿宋"/>
                <w:b/>
                <w:color w:val="000000"/>
                <w:sz w:val="24"/>
                <w:highlight w:val="none"/>
              </w:rPr>
            </w:r>
            <w:r/>
          </w:p>
        </w:tc>
        <w:tc>
          <w:tcPr>
            <w:tcW w:w="1834"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报价内容</w:t>
            </w:r>
            <w:r>
              <w:rPr>
                <w:rFonts w:hint="eastAsia" w:ascii="仿宋" w:hAnsi="仿宋" w:eastAsia="仿宋" w:cs="仿宋"/>
                <w:b/>
                <w:color w:val="000000"/>
                <w:sz w:val="24"/>
                <w:highlight w:val="none"/>
              </w:rPr>
            </w:r>
            <w:r/>
          </w:p>
        </w:tc>
        <w:tc>
          <w:tcPr>
            <w:tcW w:w="2673"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w:t>
            </w:r>
            <w:r>
              <w:rPr>
                <w:rFonts w:hint="eastAsia" w:ascii="仿宋" w:hAnsi="仿宋" w:eastAsia="仿宋" w:cs="仿宋"/>
                <w:b/>
                <w:color w:val="000000"/>
                <w:sz w:val="24"/>
                <w:highlight w:val="none"/>
                <w:lang w:val="en-US" w:eastAsia="zh-CN"/>
              </w:rPr>
              <w:t xml:space="preserve">%</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rPr>
            </w:r>
            <w:r/>
          </w:p>
        </w:tc>
      </w:tr>
      <w:tr>
        <w:trPr>
          <w:trHeight w:val="672"/>
        </w:trPr>
        <w:tc>
          <w:tcPr>
            <w:tcW w:w="491"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834"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优惠率（%）</w:t>
            </w:r>
            <w:r>
              <w:rPr>
                <w:rFonts w:hint="eastAsia" w:ascii="仿宋" w:hAnsi="仿宋" w:eastAsia="仿宋" w:cs="仿宋"/>
                <w:color w:val="000000"/>
                <w:sz w:val="24"/>
                <w:highlight w:val="none"/>
                <w:lang w:val="en-US" w:eastAsia="zh-CN"/>
              </w:rPr>
            </w:r>
            <w:r/>
          </w:p>
        </w:tc>
        <w:tc>
          <w:tcPr>
            <w:tcW w:w="2673"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tc>
      </w:tr>
      <w:tr>
        <w:trPr>
          <w:trHeight w:val="976"/>
        </w:trPr>
        <w:tc>
          <w:tcPr>
            <w:gridSpan w:val="2"/>
            <w:tcW w:w="4114"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tc>
        <w:tc>
          <w:tcPr>
            <w:tcW w:w="2673"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76"/>
        </w:trPr>
        <w:tc>
          <w:tcPr>
            <w:gridSpan w:val="2"/>
            <w:tcW w:w="4114"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备注</w:t>
            </w:r>
            <w:r>
              <w:rPr>
                <w:rFonts w:hint="eastAsia" w:ascii="仿宋" w:hAnsi="仿宋" w:eastAsia="仿宋" w:cs="仿宋"/>
                <w:color w:val="000000"/>
                <w:sz w:val="24"/>
                <w:highlight w:val="none"/>
                <w:lang w:val="en-US" w:eastAsia="zh-CN"/>
              </w:rPr>
            </w:r>
            <w:r/>
          </w:p>
        </w:tc>
        <w:tc>
          <w:tcPr>
            <w:tcW w:w="2673" w:type="dxa"/>
            <w:vAlign w:val="center"/>
            <w:textDirection w:val="lrTb"/>
            <w:noWrap w:val="false"/>
          </w:tcPr>
          <w:p>
            <w:pPr>
              <w:pStyle w:val="1259"/>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90"/>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480"/>
        <w:jc w:val="left"/>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b/>
          <w:bCs/>
          <w:color w:val="000000"/>
          <w:sz w:val="24"/>
          <w:szCs w:val="24"/>
          <w:highlight w:val="none"/>
          <w:lang w:val="en-US" w:eastAsia="zh-CN"/>
        </w:rPr>
        <w:t xml:space="preserve">本项目采用优惠率报价方式，优惠率应＞0%，否则按无效投标处理。</w:t>
      </w:r>
      <w:r>
        <w:rPr>
          <w:rFonts w:hint="eastAsia" w:ascii="仿宋" w:hAnsi="仿宋" w:eastAsia="仿宋" w:cs="仿宋"/>
          <w:b/>
          <w:bCs/>
          <w:color w:val="000000"/>
          <w:sz w:val="24"/>
          <w:szCs w:val="24"/>
          <w:highlight w:val="none"/>
          <w:lang w:val="en-US" w:eastAsia="zh-CN"/>
        </w:rPr>
      </w:r>
      <w:r/>
    </w:p>
    <w:p>
      <w:pPr>
        <w:pStyle w:val="1259"/>
        <w:ind w:firstLine="482"/>
        <w:jc w:val="left"/>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供应商在“苏采云”系统中填报固定优惠率（优惠率应＞0%），则本项目结算（中标）费率为（1-优惠率），每项货物的结算单价=对应货物的最高限价单价*结算（中标）费率。</w:t>
      </w:r>
      <w:r>
        <w:rPr>
          <w:rFonts w:hint="eastAsia" w:ascii="仿宋" w:hAnsi="仿宋" w:eastAsia="仿宋" w:cs="仿宋"/>
          <w:b/>
          <w:bCs/>
          <w:color w:val="000000"/>
          <w:sz w:val="24"/>
          <w:szCs w:val="24"/>
          <w:highlight w:val="none"/>
          <w:lang w:val="en-US" w:eastAsia="zh-CN"/>
        </w:rPr>
      </w:r>
      <w:r/>
    </w:p>
    <w:p>
      <w:pPr>
        <w:pStyle w:val="1259"/>
        <w:ind w:firstLine="482"/>
        <w:keepLines w:val="0"/>
        <w:keepNext w:val="0"/>
        <w:pageBreakBefore w:val="0"/>
        <w:spacing w:line="360" w:lineRule="auto"/>
        <w:widowControl w:val="off"/>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例如：投标人所报优惠率为20%，则本项目结算（中标）费率为（1-20%）=80%，每项货物的结算单价=对应货物的最高限价单价×80%</w:t>
      </w:r>
      <w:r>
        <w:rPr>
          <w:rFonts w:hint="eastAsia" w:ascii="仿宋" w:hAnsi="仿宋" w:eastAsia="仿宋" w:cs="仿宋"/>
          <w:color w:val="000000"/>
          <w:sz w:val="24"/>
          <w:szCs w:val="24"/>
          <w:highlight w:val="none"/>
        </w:rPr>
      </w:r>
      <w:r/>
    </w:p>
    <w:p>
      <w:pPr>
        <w:pStyle w:val="1259"/>
        <w:jc w:val="left"/>
        <w:spacing w:line="480" w:lineRule="auto"/>
        <w:widowControl/>
        <w:rPr>
          <w:rFonts w:hint="eastAsia" w:ascii="仿宋" w:hAnsi="仿宋" w:eastAsia="仿宋" w:cs="仿宋"/>
          <w:color w:val="000000"/>
          <w:sz w:val="24"/>
          <w:highlight w:val="none"/>
        </w:rPr>
      </w:pPr>
      <w:r/>
      <w:bookmarkStart w:id="849" w:name="_Toc226965832"/>
      <w:r/>
      <w:bookmarkStart w:id="850" w:name="_Toc150480796"/>
      <w:r/>
      <w:bookmarkStart w:id="851" w:name="_Toc127151558"/>
      <w:r/>
      <w:bookmarkStart w:id="852" w:name="_Toc226309803"/>
      <w:r/>
      <w:bookmarkStart w:id="853" w:name="_Toc142311060"/>
      <w:r/>
      <w:bookmarkStart w:id="854" w:name="_Toc150774763"/>
      <w:r/>
      <w:bookmarkStart w:id="855" w:name="_Toc226965749"/>
      <w:r/>
      <w:bookmarkStart w:id="856" w:name="_Toc265228397"/>
      <w:r/>
      <w:bookmarkStart w:id="857" w:name="_Toc305158827"/>
      <w:r/>
      <w:bookmarkStart w:id="858" w:name="_Toc195842924"/>
      <w:r/>
      <w:bookmarkStart w:id="859" w:name="_Toc226337255"/>
      <w:r/>
      <w:bookmarkStart w:id="860" w:name="_Toc305158901"/>
      <w:r/>
      <w:bookmarkStart w:id="861" w:name="_Toc264969249"/>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59"/>
        <w:jc w:val="left"/>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lang w:val="en-US" w:eastAsia="zh-CN"/>
        </w:rPr>
        <w:t xml:space="preserve">分项报价表</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59"/>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ind w:firstLine="361"/>
        <w:jc w:val="center"/>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color w:val="000000"/>
          <w:sz w:val="36"/>
          <w:szCs w:val="36"/>
          <w:highlight w:val="none"/>
          <w:lang w:val="en-US" w:eastAsia="zh-CN"/>
        </w:rPr>
        <w:t xml:space="preserve">分项报价表</w:t>
      </w:r>
      <w:r>
        <w:rPr>
          <w:rFonts w:hint="eastAsia" w:ascii="仿宋" w:hAnsi="仿宋" w:eastAsia="仿宋" w:cs="仿宋"/>
          <w:color w:val="000000"/>
          <w:sz w:val="24"/>
          <w:highlight w:val="none"/>
          <w:lang w:eastAsia="zh-CN"/>
        </w:rPr>
      </w:r>
      <w:r/>
    </w:p>
    <w:p>
      <w:pPr>
        <w:pStyle w:val="1259"/>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b/>
          <w:bCs/>
          <w:color w:val="000000"/>
          <w:sz w:val="24"/>
          <w:highlight w:val="none"/>
          <w:u w:val="single"/>
          <w:lang w:eastAsia="zh-CN"/>
        </w:rPr>
      </w:r>
      <w:r/>
    </w:p>
    <w:p>
      <w:pPr>
        <w:pStyle w:val="1259"/>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b/>
          <w:bCs/>
          <w:color w:val="000000"/>
          <w:sz w:val="24"/>
          <w:highlight w:val="none"/>
          <w:u w:val="single"/>
          <w:lang w:eastAsia="zh-CN"/>
        </w:rPr>
      </w:r>
      <w:r/>
    </w:p>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tbl>
      <w:tblPr>
        <w:tblW w:w="102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
        <w:gridCol w:w="2319"/>
        <w:gridCol w:w="4374"/>
        <w:gridCol w:w="1236"/>
        <w:gridCol w:w="795"/>
        <w:gridCol w:w="1052"/>
      </w:tblGrid>
      <w:tr>
        <w:trPr>
          <w:tblHeader/>
        </w:trPr>
        <w:tc>
          <w:tcPr>
            <w:tcW w:w="558"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W w:w="2319"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货物名称</w:t>
            </w:r>
            <w:r>
              <w:rPr>
                <w:rFonts w:hint="eastAsia" w:ascii="仿宋" w:hAnsi="仿宋" w:eastAsia="仿宋" w:cs="仿宋"/>
                <w:b/>
                <w:bCs/>
                <w:color w:val="000000"/>
                <w:sz w:val="21"/>
                <w:szCs w:val="21"/>
                <w:highlight w:val="none"/>
              </w:rPr>
            </w:r>
            <w:r/>
          </w:p>
        </w:tc>
        <w:tc>
          <w:tcPr>
            <w:tcW w:w="4374"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规格型号</w:t>
            </w:r>
            <w:r>
              <w:rPr>
                <w:rFonts w:hint="eastAsia" w:ascii="仿宋" w:hAnsi="仿宋" w:eastAsia="仿宋" w:cs="仿宋"/>
                <w:b/>
                <w:bCs/>
                <w:color w:val="000000"/>
                <w:sz w:val="21"/>
                <w:szCs w:val="21"/>
                <w:highlight w:val="none"/>
              </w:rPr>
            </w:r>
            <w:r/>
          </w:p>
        </w:tc>
        <w:tc>
          <w:tcPr>
            <w:tcW w:w="1236"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投标单价</w:t>
            </w:r>
            <w:r>
              <w:rPr>
                <w:rFonts w:hint="eastAsia" w:ascii="仿宋" w:hAnsi="仿宋" w:eastAsia="仿宋" w:cs="仿宋"/>
                <w:b/>
                <w:bCs/>
                <w:color w:val="000000"/>
                <w:sz w:val="21"/>
                <w:szCs w:val="21"/>
                <w:highlight w:val="none"/>
                <w:lang w:val="en-US" w:eastAsia="zh-CN"/>
              </w:rPr>
            </w:r>
            <w:r/>
          </w:p>
          <w:p>
            <w:pPr>
              <w:pStyle w:val="1259"/>
              <w:ind w:left="0" w:right="0" w:firstLine="0"/>
              <w:jc w:val="center"/>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（元/吨）</w:t>
            </w:r>
            <w:r>
              <w:rPr>
                <w:rFonts w:hint="eastAsia" w:ascii="仿宋" w:hAnsi="仿宋" w:eastAsia="仿宋" w:cs="仿宋"/>
                <w:b/>
                <w:bCs/>
                <w:color w:val="000000"/>
                <w:sz w:val="21"/>
                <w:szCs w:val="21"/>
                <w:highlight w:val="none"/>
                <w:lang w:val="en-US" w:eastAsia="zh-CN"/>
              </w:rPr>
            </w:r>
            <w:r/>
          </w:p>
        </w:tc>
        <w:tc>
          <w:tcPr>
            <w:tcW w:w="795"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优惠率</w:t>
            </w:r>
            <w:r>
              <w:rPr>
                <w:rFonts w:hint="eastAsia" w:ascii="仿宋" w:hAnsi="仿宋" w:eastAsia="仿宋" w:cs="仿宋"/>
                <w:b/>
                <w:bCs/>
                <w:color w:val="000000"/>
                <w:sz w:val="21"/>
                <w:szCs w:val="21"/>
                <w:highlight w:val="none"/>
                <w:lang w:val="en-US" w:eastAsia="zh-CN"/>
              </w:rPr>
            </w:r>
            <w:r/>
          </w:p>
        </w:tc>
        <w:tc>
          <w:tcPr>
            <w:tcW w:w="1052" w:type="dxa"/>
            <w:vAlign w:val="center"/>
            <w:textDirection w:val="lrTb"/>
            <w:noWrap/>
          </w:tcPr>
          <w:p>
            <w:pPr>
              <w:pStyle w:val="1259"/>
              <w:ind w:left="0" w:right="0" w:firstLine="0"/>
              <w:jc w:val="center"/>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品牌/制造商</w:t>
            </w:r>
            <w:r>
              <w:rPr>
                <w:rFonts w:hint="eastAsia" w:ascii="仿宋" w:hAnsi="仿宋" w:eastAsia="仿宋" w:cs="仿宋"/>
                <w:b/>
                <w:bCs/>
                <w:color w:val="000000"/>
                <w:sz w:val="21"/>
                <w:szCs w:val="21"/>
                <w:highlight w:val="none"/>
                <w:lang w:val="en-US" w:eastAsia="zh-CN"/>
              </w:rPr>
            </w:r>
            <w:r/>
          </w:p>
        </w:tc>
      </w:tr>
      <w:tr>
        <w:trPr/>
        <w:tc>
          <w:tcPr>
            <w:tcW w:w="558"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1</w:t>
            </w:r>
            <w:r>
              <w:rPr>
                <w:rFonts w:hint="eastAsia" w:ascii="仿宋" w:hAnsi="仿宋" w:eastAsia="仿宋" w:cs="仿宋"/>
                <w:b w:val="0"/>
                <w:bCs/>
                <w:color w:val="000000"/>
                <w:sz w:val="21"/>
                <w:szCs w:val="21"/>
                <w:highlight w:val="none"/>
              </w:rPr>
            </w:r>
            <w:r/>
          </w:p>
        </w:tc>
        <w:tc>
          <w:tcPr>
            <w:tcW w:w="2319"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聚氯化铝（液体）</w:t>
            </w:r>
            <w:r>
              <w:rPr>
                <w:rFonts w:hint="eastAsia" w:ascii="仿宋" w:hAnsi="仿宋" w:eastAsia="仿宋" w:cs="仿宋"/>
                <w:b w:val="0"/>
                <w:bCs/>
                <w:color w:val="000000"/>
                <w:sz w:val="21"/>
                <w:szCs w:val="21"/>
                <w:highlight w:val="none"/>
              </w:rPr>
            </w:r>
            <w:r/>
          </w:p>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w:t>
            </w:r>
            <w:r>
              <w:rPr>
                <w:rFonts w:hint="eastAsia" w:ascii="仿宋" w:hAnsi="仿宋" w:eastAsia="仿宋" w:cs="仿宋"/>
                <w:b w:val="0"/>
                <w:bCs/>
                <w:color w:val="000000"/>
                <w:spacing w:val="-4"/>
                <w:sz w:val="21"/>
                <w:szCs w:val="21"/>
                <w:highlight w:val="none"/>
              </w:rPr>
              <w:t xml:space="preserve">核心产品】</w:t>
            </w:r>
            <w:r>
              <w:rPr>
                <w:rFonts w:hint="eastAsia" w:ascii="仿宋" w:hAnsi="仿宋" w:eastAsia="仿宋" w:cs="仿宋"/>
                <w:b w:val="0"/>
                <w:bCs/>
                <w:color w:val="000000"/>
                <w:sz w:val="21"/>
                <w:szCs w:val="21"/>
                <w:highlight w:val="none"/>
              </w:rPr>
            </w:r>
            <w:r/>
          </w:p>
        </w:tc>
        <w:tc>
          <w:tcPr>
            <w:tcW w:w="4374"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color w:val="000000"/>
                <w:sz w:val="21"/>
                <w:szCs w:val="21"/>
                <w:highlight w:val="none"/>
              </w:rPr>
              <w:t xml:space="preserve">符合《生活饮用水用聚氯化铝》（GB15892-2020）标准</w:t>
            </w:r>
            <w:r>
              <w:rPr>
                <w:rFonts w:hint="eastAsia" w:ascii="仿宋" w:hAnsi="仿宋" w:eastAsia="仿宋" w:cs="仿宋"/>
                <w:b w:val="0"/>
                <w:bCs/>
                <w:color w:val="000000"/>
                <w:sz w:val="21"/>
                <w:szCs w:val="21"/>
                <w:highlight w:val="none"/>
              </w:rPr>
            </w:r>
            <w:r/>
          </w:p>
        </w:tc>
        <w:tc>
          <w:tcPr>
            <w:tcW w:w="1236" w:type="dxa"/>
            <w:vAlign w:val="center"/>
            <w:textDirection w:val="lrTb"/>
            <w:noWrap/>
          </w:tcPr>
          <w:p>
            <w:pPr>
              <w:pStyle w:val="1259"/>
              <w:ind w:left="0" w:right="0" w:firstLine="0"/>
              <w:jc w:val="righ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795" w:type="dxa"/>
            <w:vAlign w:val="center"/>
            <w:vMerge w:val="restart"/>
            <w:textDirection w:val="lrTb"/>
            <w:noWrap/>
          </w:tcPr>
          <w:p>
            <w:pPr>
              <w:pStyle w:val="1259"/>
              <w:ind w:left="0" w:right="0" w:firstLine="0"/>
              <w:jc w:val="right"/>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052" w:type="dxa"/>
            <w:vAlign w:val="center"/>
            <w:textDirection w:val="lrTb"/>
            <w:noWrap/>
          </w:tcPr>
          <w:p>
            <w:pPr>
              <w:pStyle w:val="1259"/>
              <w:ind w:left="0" w:right="0" w:firstLine="0"/>
              <w:jc w:val="center"/>
              <w:tabs>
                <w:tab w:val="left" w:pos="312" w:leader="none"/>
              </w:tabs>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c>
          <w:tcPr>
            <w:tcW w:w="558"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2</w:t>
            </w:r>
            <w:r>
              <w:rPr>
                <w:rFonts w:hint="eastAsia" w:ascii="仿宋" w:hAnsi="仿宋" w:eastAsia="仿宋" w:cs="仿宋"/>
                <w:b w:val="0"/>
                <w:bCs/>
                <w:color w:val="000000"/>
                <w:sz w:val="21"/>
                <w:szCs w:val="21"/>
                <w:highlight w:val="none"/>
              </w:rPr>
            </w:r>
            <w:r/>
          </w:p>
        </w:tc>
        <w:tc>
          <w:tcPr>
            <w:tcW w:w="2319"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聚丙烯酰胺（阴离子）</w:t>
            </w:r>
            <w:r>
              <w:rPr>
                <w:rFonts w:hint="eastAsia" w:ascii="仿宋" w:hAnsi="仿宋" w:eastAsia="仿宋" w:cs="仿宋"/>
                <w:b w:val="0"/>
                <w:bCs/>
                <w:color w:val="000000"/>
                <w:sz w:val="21"/>
                <w:szCs w:val="21"/>
                <w:highlight w:val="none"/>
              </w:rPr>
            </w:r>
            <w:r/>
          </w:p>
        </w:tc>
        <w:tc>
          <w:tcPr>
            <w:tcW w:w="4374"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color w:val="000000"/>
                <w:sz w:val="21"/>
                <w:szCs w:val="21"/>
                <w:highlight w:val="none"/>
              </w:rPr>
              <w:t xml:space="preserve">符合《水处理剂 阴离子和非离子型聚丙烯酰胺》（GB/T 17514-2017）规定的一等品标准</w:t>
            </w:r>
            <w:r>
              <w:rPr>
                <w:rFonts w:hint="eastAsia" w:ascii="仿宋" w:hAnsi="仿宋" w:eastAsia="仿宋" w:cs="仿宋"/>
                <w:b w:val="0"/>
                <w:bCs/>
                <w:color w:val="000000"/>
                <w:sz w:val="21"/>
                <w:szCs w:val="21"/>
                <w:highlight w:val="none"/>
              </w:rPr>
            </w:r>
            <w:r/>
          </w:p>
        </w:tc>
        <w:tc>
          <w:tcPr>
            <w:tcW w:w="1236" w:type="dxa"/>
            <w:vAlign w:val="center"/>
            <w:textDirection w:val="lrTb"/>
            <w:noWrap/>
          </w:tcPr>
          <w:p>
            <w:pPr>
              <w:pStyle w:val="1259"/>
              <w:ind w:left="0" w:right="0" w:firstLine="0"/>
              <w:jc w:val="righ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795" w:type="dxa"/>
            <w:vAlign w:val="center"/>
            <w:vMerge w:val="continue"/>
            <w:textDirection w:val="lrTb"/>
            <w:noWrap/>
          </w:tcPr>
          <w:p>
            <w:pPr>
              <w:pStyle w:val="1259"/>
              <w:ind w:left="0" w:right="0" w:firstLine="0"/>
              <w:jc w:val="righ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05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r>
        <w:trPr>
          <w:trHeight w:val="560"/>
        </w:trPr>
        <w:tc>
          <w:tcPr>
            <w:tcW w:w="44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3</w:t>
            </w:r>
            <w:r>
              <w:rPr>
                <w:rFonts w:hint="eastAsia" w:ascii="仿宋" w:hAnsi="仿宋" w:eastAsia="仿宋" w:cs="仿宋"/>
                <w:b w:val="0"/>
                <w:bCs/>
                <w:color w:val="000000"/>
                <w:sz w:val="21"/>
                <w:szCs w:val="21"/>
                <w:highlight w:val="none"/>
              </w:rPr>
            </w:r>
            <w:r/>
          </w:p>
        </w:tc>
        <w:tc>
          <w:tcPr>
            <w:tcW w:w="2319"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磁种</w:t>
            </w:r>
            <w:r>
              <w:rPr>
                <w:rFonts w:hint="eastAsia" w:ascii="仿宋" w:hAnsi="仿宋" w:eastAsia="仿宋" w:cs="仿宋"/>
                <w:b w:val="0"/>
                <w:bCs/>
                <w:color w:val="000000"/>
                <w:sz w:val="21"/>
                <w:szCs w:val="21"/>
                <w:highlight w:val="none"/>
              </w:rPr>
            </w:r>
            <w:r/>
          </w:p>
        </w:tc>
        <w:tc>
          <w:tcPr>
            <w:tcW w:w="4374" w:type="dxa"/>
            <w:vAlign w:val="center"/>
            <w:textDirection w:val="lrTb"/>
            <w:noWrap/>
          </w:tcPr>
          <w:p>
            <w:pPr>
              <w:pStyle w:val="1259"/>
              <w:ind w:left="0" w:right="0" w:firstLine="0"/>
              <w:jc w:val="left"/>
              <w:rPr>
                <w:rFonts w:hint="eastAsia" w:ascii="仿宋" w:hAnsi="仿宋" w:eastAsia="仿宋" w:cs="仿宋"/>
                <w:b w:val="0"/>
                <w:bCs/>
                <w:color w:val="000000"/>
                <w:sz w:val="21"/>
                <w:szCs w:val="21"/>
                <w:highlight w:val="none"/>
              </w:rPr>
            </w:pPr>
            <w:r>
              <w:rPr>
                <w:rFonts w:hint="eastAsia" w:ascii="仿宋" w:hAnsi="仿宋" w:eastAsia="仿宋" w:cs="仿宋"/>
                <w:color w:val="000000"/>
                <w:sz w:val="21"/>
                <w:szCs w:val="21"/>
                <w:highlight w:val="none"/>
              </w:rPr>
              <w:t xml:space="preserve">325目，磁性物含量≥96.0%，水分含量 ≤8.0%</w:t>
            </w:r>
            <w:r>
              <w:rPr>
                <w:rFonts w:hint="eastAsia" w:ascii="仿宋" w:hAnsi="仿宋" w:eastAsia="仿宋" w:cs="仿宋"/>
                <w:b w:val="0"/>
                <w:bCs/>
                <w:color w:val="000000"/>
                <w:sz w:val="21"/>
                <w:szCs w:val="21"/>
                <w:highlight w:val="none"/>
              </w:rPr>
            </w:r>
            <w:r/>
          </w:p>
        </w:tc>
        <w:tc>
          <w:tcPr>
            <w:tcW w:w="1236" w:type="dxa"/>
            <w:vAlign w:val="center"/>
            <w:textDirection w:val="lrTb"/>
            <w:noWrap/>
          </w:tcPr>
          <w:p>
            <w:pPr>
              <w:pStyle w:val="1259"/>
              <w:ind w:left="0" w:right="0" w:firstLine="0"/>
              <w:jc w:val="righ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795" w:type="dxa"/>
            <w:vAlign w:val="center"/>
            <w:vMerge w:val="continue"/>
            <w:textDirection w:val="lrTb"/>
            <w:noWrap/>
          </w:tcPr>
          <w:p>
            <w:pPr>
              <w:pStyle w:val="1259"/>
              <w:ind w:left="0" w:right="0" w:firstLine="0"/>
              <w:jc w:val="right"/>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c>
          <w:tcPr>
            <w:tcW w:w="1052" w:type="dxa"/>
            <w:vAlign w:val="center"/>
            <w:textDirection w:val="lrTb"/>
            <w:noWrap/>
          </w:tcPr>
          <w:p>
            <w:pPr>
              <w:pStyle w:val="1259"/>
              <w:ind w:left="0" w:right="0" w:firstLine="0"/>
              <w:jc w:val="center"/>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tc>
      </w:tr>
    </w:tbl>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259"/>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59"/>
        <w:jc w:val="left"/>
        <w:spacing w:line="48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59"/>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rPr>
        <w:t xml:space="preserve">5</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Start w:id="862" w:name="_Toc127151562"/>
      <w:r/>
      <w:bookmarkStart w:id="863" w:name="_Toc305158904"/>
      <w:r/>
      <w:bookmarkStart w:id="864" w:name="_Toc226965835"/>
      <w:r/>
      <w:bookmarkStart w:id="865" w:name="_Toc265228400"/>
      <w:r/>
      <w:bookmarkStart w:id="866" w:name="_Toc150480798"/>
      <w:r/>
      <w:bookmarkStart w:id="867" w:name="_Toc226309806"/>
      <w:r/>
      <w:bookmarkStart w:id="868" w:name="_Toc142311062"/>
      <w:r/>
      <w:bookmarkStart w:id="869" w:name="_Toc195842927"/>
      <w:r/>
      <w:bookmarkStart w:id="870" w:name="_Toc226965752"/>
      <w:r/>
      <w:bookmarkStart w:id="871" w:name="_Toc264969252"/>
      <w:r/>
      <w:bookmarkStart w:id="872" w:name="_Toc226337258"/>
      <w:r/>
      <w:bookmarkStart w:id="873" w:name="_Toc150774765"/>
      <w:r/>
      <w:bookmarkStart w:id="874" w:name="_Toc305158830"/>
      <w:r/>
      <w:bookmarkStart w:id="875" w:name="_Toc226309805"/>
      <w:r/>
      <w:bookmarkStart w:id="876" w:name="_Toc305158829"/>
      <w:r/>
      <w:bookmarkStart w:id="877" w:name="_Toc127151561"/>
      <w:r/>
      <w:bookmarkStart w:id="878" w:name="_Toc150774764"/>
      <w:r/>
      <w:bookmarkStart w:id="879" w:name="_Toc226337257"/>
      <w:r/>
      <w:bookmarkStart w:id="880" w:name="_Toc226965834"/>
      <w:r/>
      <w:bookmarkStart w:id="881" w:name="_Toc142311061"/>
      <w:r/>
      <w:bookmarkStart w:id="882" w:name="_Toc264969251"/>
      <w:r/>
      <w:bookmarkStart w:id="883" w:name="_Toc226965751"/>
      <w:r/>
      <w:bookmarkStart w:id="884" w:name="_Toc150480797"/>
      <w:r/>
      <w:bookmarkStart w:id="885" w:name="_Toc265228399"/>
      <w:r/>
      <w:bookmarkStart w:id="886" w:name="_Toc305158903"/>
      <w:r/>
      <w:bookmarkStart w:id="887" w:name="_Toc195842926"/>
      <w:r>
        <w:rPr>
          <w:rFonts w:hint="eastAsia" w:ascii="仿宋" w:hAnsi="仿宋" w:eastAsia="仿宋" w:cs="仿宋"/>
          <w:color w:val="000000"/>
          <w:sz w:val="24"/>
          <w:szCs w:val="20"/>
          <w:highlight w:val="none"/>
        </w:rPr>
        <w:t xml:space="preserve">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lang w:eastAsia="zh-CN"/>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259"/>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259"/>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259"/>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59"/>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259"/>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259"/>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259"/>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6</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259"/>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lang w:eastAsia="zh-CN"/>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5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59"/>
        <w:ind w:firstLine="480"/>
        <w:spacing w:line="560" w:lineRule="exact"/>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7 </w:t>
      </w:r>
      <w:r>
        <w:rPr>
          <w:rFonts w:hint="eastAsia" w:ascii="仿宋" w:hAnsi="仿宋" w:eastAsia="仿宋" w:cs="仿宋"/>
          <w:color w:val="000000"/>
          <w:sz w:val="24"/>
          <w:szCs w:val="20"/>
          <w:highlight w:val="none"/>
        </w:rPr>
        <w:t xml:space="preserve">项目实施方案等，</w:t>
      </w:r>
      <w:r>
        <w:rPr>
          <w:rFonts w:hint="eastAsia" w:ascii="仿宋" w:hAnsi="仿宋" w:eastAsia="仿宋" w:cs="仿宋"/>
          <w:color w:val="000000"/>
          <w:sz w:val="24"/>
          <w:szCs w:val="20"/>
          <w:highlight w:val="none"/>
          <w:lang w:val="en-US" w:eastAsia="zh-CN"/>
        </w:rPr>
        <w:t xml:space="preserve">投标人自行提供</w:t>
      </w:r>
      <w:r>
        <w:rPr>
          <w:rFonts w:hint="eastAsia" w:ascii="仿宋" w:hAnsi="仿宋" w:eastAsia="仿宋" w:cs="仿宋"/>
          <w:color w:val="000000"/>
          <w:sz w:val="24"/>
          <w:szCs w:val="20"/>
          <w:highlight w:val="none"/>
          <w:lang w:val="en-US" w:eastAsia="zh-CN"/>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8参加本项目人员一览表</w:t>
      </w:r>
      <w:r>
        <w:rPr>
          <w:rFonts w:hint="eastAsia" w:ascii="仿宋" w:hAnsi="仿宋" w:eastAsia="仿宋" w:cs="仿宋"/>
          <w:color w:val="000000"/>
          <w:sz w:val="24"/>
          <w:szCs w:val="20"/>
          <w:highlight w:val="none"/>
        </w:rPr>
      </w:r>
      <w:r/>
    </w:p>
    <w:p>
      <w:pPr>
        <w:pStyle w:val="1259"/>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59"/>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lang w:eastAsia="zh-CN"/>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color w:val="000000"/>
          <w:sz w:val="24"/>
          <w:highlight w:val="none"/>
          <w:lang w:eastAsia="zh-CN"/>
        </w:rPr>
      </w:r>
      <w:r/>
    </w:p>
    <w:p>
      <w:pPr>
        <w:pStyle w:val="125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757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253"/>
        <w:gridCol w:w="945"/>
        <w:gridCol w:w="699"/>
        <w:gridCol w:w="1191"/>
        <w:gridCol w:w="945"/>
        <w:gridCol w:w="1901"/>
      </w:tblGrid>
      <w:tr>
        <w:trPr/>
        <w:tc>
          <w:tcPr>
            <w:tcW w:w="637"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253"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699"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1191"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1901" w:type="dxa"/>
            <w:vAlign w:val="center"/>
            <w:textDirection w:val="lrTb"/>
            <w:noWrap w:val="false"/>
          </w:tcPr>
          <w:p>
            <w:pPr>
              <w:pStyle w:val="1259"/>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项目经历或主要工作业绩</w:t>
            </w:r>
            <w:r>
              <w:rPr>
                <w:rFonts w:hint="eastAsia" w:ascii="仿宋" w:hAnsi="仿宋" w:eastAsia="仿宋" w:cs="仿宋"/>
                <w:color w:val="000000"/>
                <w:szCs w:val="21"/>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59"/>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1259"/>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259"/>
        <w:spacing w:line="360" w:lineRule="auto"/>
        <w:tabs>
          <w:tab w:val="left" w:pos="9765" w:leader="none"/>
        </w:tabs>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zh-CN"/>
        </w:rPr>
        <w:t xml:space="preserve">注：明确一名项目负责人</w:t>
      </w:r>
      <w:r>
        <w:rPr>
          <w:rFonts w:hint="eastAsia" w:ascii="仿宋" w:hAnsi="仿宋" w:eastAsia="仿宋" w:cs="仿宋"/>
          <w:b/>
          <w:color w:val="000000"/>
          <w:sz w:val="24"/>
          <w:highlight w:val="none"/>
          <w:lang w:val="en-US" w:eastAsia="zh-CN"/>
        </w:rPr>
        <w:t xml:space="preserve">专门</w:t>
      </w:r>
      <w:r>
        <w:rPr>
          <w:rFonts w:hint="eastAsia" w:ascii="仿宋" w:hAnsi="仿宋" w:eastAsia="仿宋" w:cs="仿宋"/>
          <w:b/>
          <w:color w:val="000000"/>
          <w:sz w:val="24"/>
          <w:highlight w:val="none"/>
          <w:lang w:val="zh-CN"/>
        </w:rPr>
        <w:t xml:space="preserve">联络配送事宜，</w:t>
      </w:r>
      <w:r>
        <w:rPr>
          <w:rFonts w:hint="eastAsia" w:ascii="仿宋" w:hAnsi="仿宋" w:eastAsia="仿宋" w:cs="仿宋"/>
          <w:b/>
          <w:color w:val="000000"/>
          <w:sz w:val="24"/>
          <w:highlight w:val="none"/>
          <w:lang w:val="en-US" w:eastAsia="zh-CN"/>
        </w:rPr>
        <w:t xml:space="preserve">应</w:t>
      </w:r>
      <w:r>
        <w:rPr>
          <w:rFonts w:hint="eastAsia" w:ascii="仿宋" w:hAnsi="仿宋" w:eastAsia="仿宋" w:cs="仿宋"/>
          <w:b/>
          <w:color w:val="000000"/>
          <w:sz w:val="24"/>
          <w:highlight w:val="none"/>
          <w:lang w:val="zh-CN"/>
        </w:rPr>
        <w:t xml:space="preserve">是</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lang w:val="zh-CN"/>
        </w:rPr>
        <w:t xml:space="preserve">正式职工，提供</w:t>
      </w:r>
      <w:r>
        <w:rPr>
          <w:rFonts w:hint="eastAsia" w:ascii="仿宋" w:hAnsi="仿宋" w:eastAsia="仿宋" w:cs="仿宋"/>
          <w:b/>
          <w:color w:val="000000"/>
          <w:sz w:val="24"/>
          <w:highlight w:val="none"/>
          <w:lang w:val="zh-CN" w:eastAsia="zh-CN"/>
        </w:rPr>
        <w:t xml:space="preserve">社保机构出具的供应商</w:t>
      </w:r>
      <w:r>
        <w:rPr>
          <w:rFonts w:hint="eastAsia" w:ascii="仿宋" w:hAnsi="仿宋" w:eastAsia="仿宋" w:cs="仿宋"/>
          <w:b/>
          <w:color w:val="000000"/>
          <w:sz w:val="24"/>
          <w:highlight w:val="none"/>
          <w:lang w:val="zh-CN"/>
        </w:rPr>
        <w:t xml:space="preserve">为</w:t>
      </w:r>
      <w:r>
        <w:rPr>
          <w:rFonts w:hint="eastAsia" w:ascii="仿宋" w:hAnsi="仿宋" w:eastAsia="仿宋" w:cs="仿宋"/>
          <w:b/>
          <w:color w:val="000000"/>
          <w:sz w:val="24"/>
          <w:highlight w:val="none"/>
          <w:lang w:val="en-US" w:eastAsia="zh-CN"/>
        </w:rPr>
        <w:t xml:space="preserve">其</w:t>
      </w:r>
      <w:r>
        <w:rPr>
          <w:rFonts w:hint="eastAsia" w:ascii="仿宋" w:hAnsi="仿宋" w:eastAsia="仿宋" w:cs="仿宋"/>
          <w:b/>
          <w:color w:val="000000"/>
          <w:sz w:val="24"/>
          <w:highlight w:val="none"/>
          <w:lang w:val="zh-CN"/>
        </w:rPr>
        <w:t xml:space="preserve">缴纳</w:t>
      </w:r>
      <w:r>
        <w:rPr>
          <w:rFonts w:hint="eastAsia" w:ascii="仿宋" w:hAnsi="仿宋" w:eastAsia="仿宋" w:cs="仿宋"/>
          <w:b/>
          <w:color w:val="000000"/>
          <w:sz w:val="24"/>
          <w:highlight w:val="none"/>
          <w:lang w:val="zh-CN" w:eastAsia="zh-CN"/>
        </w:rPr>
        <w:t xml:space="preserve">的202</w:t>
      </w:r>
      <w:r>
        <w:rPr>
          <w:rFonts w:hint="eastAsia" w:ascii="仿宋" w:hAnsi="仿宋" w:eastAsia="仿宋" w:cs="仿宋"/>
          <w:b/>
          <w:color w:val="000000"/>
          <w:sz w:val="24"/>
          <w:highlight w:val="none"/>
          <w:lang w:val="en-US" w:eastAsia="zh-CN"/>
        </w:rPr>
        <w:t xml:space="preserve">6</w:t>
      </w:r>
      <w:r>
        <w:rPr>
          <w:rFonts w:hint="eastAsia" w:ascii="仿宋" w:hAnsi="仿宋" w:eastAsia="仿宋" w:cs="仿宋"/>
          <w:b/>
          <w:color w:val="000000"/>
          <w:sz w:val="24"/>
          <w:highlight w:val="none"/>
          <w:lang w:val="zh-CN" w:eastAsia="zh-CN"/>
        </w:rPr>
        <w:t xml:space="preserve">年</w:t>
      </w:r>
      <w:r>
        <w:rPr>
          <w:rFonts w:hint="eastAsia" w:ascii="仿宋" w:hAnsi="仿宋" w:eastAsia="仿宋" w:cs="仿宋"/>
          <w:b/>
          <w:color w:val="000000"/>
          <w:sz w:val="24"/>
          <w:highlight w:val="none"/>
          <w:lang w:val="en-US" w:eastAsia="zh-CN"/>
        </w:rPr>
        <w:t xml:space="preserve">7</w:t>
      </w:r>
      <w:r>
        <w:rPr>
          <w:rFonts w:hint="eastAsia" w:ascii="仿宋" w:hAnsi="仿宋" w:eastAsia="仿宋" w:cs="仿宋"/>
          <w:b/>
          <w:color w:val="000000"/>
          <w:sz w:val="24"/>
          <w:highlight w:val="none"/>
          <w:lang w:val="zh-CN" w:eastAsia="zh-CN"/>
        </w:rPr>
        <w:t xml:space="preserve">-</w:t>
      </w:r>
      <w:r>
        <w:rPr>
          <w:rFonts w:hint="eastAsia" w:ascii="仿宋" w:hAnsi="仿宋" w:eastAsia="仿宋" w:cs="仿宋"/>
          <w:b/>
          <w:color w:val="000000"/>
          <w:sz w:val="24"/>
          <w:highlight w:val="none"/>
          <w:lang w:val="en-US" w:eastAsia="zh-CN"/>
        </w:rPr>
        <w:t xml:space="preserve">9</w:t>
      </w:r>
      <w:r>
        <w:rPr>
          <w:rFonts w:hint="eastAsia" w:ascii="仿宋" w:hAnsi="仿宋" w:eastAsia="仿宋" w:cs="仿宋"/>
          <w:b/>
          <w:color w:val="000000"/>
          <w:sz w:val="24"/>
          <w:highlight w:val="none"/>
          <w:lang w:val="zh-CN" w:eastAsia="zh-CN"/>
        </w:rPr>
        <w:t xml:space="preserve">月份</w:t>
      </w:r>
      <w:r>
        <w:rPr>
          <w:rFonts w:hint="eastAsia" w:ascii="仿宋" w:hAnsi="仿宋" w:eastAsia="仿宋" w:cs="仿宋"/>
          <w:b/>
          <w:color w:val="000000"/>
          <w:sz w:val="24"/>
          <w:highlight w:val="none"/>
          <w:lang w:val="en-US" w:eastAsia="zh-CN"/>
        </w:rPr>
        <w:t xml:space="preserve">中任意一个月</w:t>
      </w:r>
      <w:r>
        <w:rPr>
          <w:rFonts w:hint="eastAsia" w:ascii="仿宋" w:hAnsi="仿宋" w:eastAsia="仿宋" w:cs="仿宋"/>
          <w:b/>
          <w:color w:val="000000"/>
          <w:sz w:val="24"/>
          <w:highlight w:val="none"/>
          <w:lang w:val="zh-CN"/>
        </w:rPr>
        <w:t xml:space="preserve">社保证明材料复印件</w:t>
      </w:r>
      <w:r>
        <w:rPr>
          <w:rFonts w:hint="eastAsia" w:ascii="仿宋" w:hAnsi="仿宋" w:eastAsia="仿宋" w:cs="仿宋"/>
          <w:b/>
          <w:color w:val="000000"/>
          <w:sz w:val="24"/>
          <w:highlight w:val="none"/>
          <w:lang w:val="zh-CN" w:eastAsia="zh-CN"/>
        </w:rPr>
        <w:t xml:space="preserve">加盖供应商公章</w:t>
      </w:r>
      <w:r>
        <w:rPr>
          <w:rFonts w:hint="eastAsia" w:ascii="仿宋" w:hAnsi="仿宋" w:eastAsia="仿宋" w:cs="仿宋"/>
          <w:b/>
          <w:color w:val="000000"/>
          <w:sz w:val="24"/>
          <w:highlight w:val="none"/>
          <w:lang w:val="zh-CN"/>
        </w:rPr>
        <w:t xml:space="preserve">。</w:t>
      </w:r>
      <w:r>
        <w:rPr>
          <w:rFonts w:hint="eastAsia" w:ascii="仿宋" w:hAnsi="仿宋" w:eastAsia="仿宋" w:cs="仿宋"/>
          <w:b/>
          <w:color w:val="000000"/>
          <w:sz w:val="24"/>
          <w:highlight w:val="none"/>
          <w:lang w:val="en-US" w:eastAsia="zh-CN"/>
        </w:rPr>
        <w:t xml:space="preserve">依法不需要缴纳社保的，应提供身份证、劳动合同及退休证等证明材料。</w:t>
      </w:r>
      <w:r>
        <w:rPr>
          <w:rFonts w:hint="eastAsia" w:ascii="仿宋" w:hAnsi="仿宋" w:eastAsia="仿宋" w:cs="仿宋"/>
          <w:b/>
          <w:color w:val="000000"/>
          <w:sz w:val="24"/>
          <w:highlight w:val="none"/>
          <w:lang w:val="en-US" w:eastAsia="zh-CN"/>
        </w:rPr>
      </w:r>
      <w:r/>
    </w:p>
    <w:p>
      <w:pPr>
        <w:pStyle w:val="125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59"/>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888" w:name="_Toc288738397"/>
      <w:r/>
      <w:bookmarkStart w:id="889" w:name="_Toc288738839"/>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259"/>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59"/>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888"/>
      <w:r/>
      <w:bookmarkEnd w:id="889"/>
      <w:r>
        <w:rPr>
          <w:rFonts w:hint="eastAsia" w:ascii="仿宋" w:hAnsi="仿宋" w:eastAsia="仿宋" w:cs="仿宋"/>
          <w:b/>
          <w:color w:val="000000"/>
          <w:sz w:val="32"/>
          <w:szCs w:val="32"/>
          <w:highlight w:val="none"/>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JSZC-320400-SCJX-G2026-0015</w:t>
      </w:r>
      <w:r>
        <w:rPr>
          <w:rFonts w:hint="eastAsia" w:ascii="仿宋" w:hAnsi="仿宋" w:eastAsia="仿宋" w:cs="仿宋"/>
          <w:color w:val="000000"/>
          <w:sz w:val="24"/>
          <w:highlight w:val="none"/>
          <w:lang w:eastAsia="zh-CN"/>
        </w:rPr>
      </w:r>
      <w:r/>
    </w:p>
    <w:p>
      <w:pPr>
        <w:pStyle w:val="1259"/>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项目名称</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净水站</w:t>
      </w:r>
      <w:r>
        <w:rPr>
          <w:rFonts w:hint="eastAsia" w:ascii="仿宋" w:hAnsi="仿宋" w:eastAsia="仿宋" w:cs="仿宋"/>
          <w:b/>
          <w:bCs/>
          <w:color w:val="000000"/>
          <w:sz w:val="24"/>
          <w:highlight w:val="none"/>
          <w:u w:val="single"/>
          <w:lang w:val="en-US" w:eastAsia="zh-CN"/>
        </w:rPr>
        <w:t xml:space="preserve">运行所需</w:t>
      </w:r>
      <w:r>
        <w:rPr>
          <w:rFonts w:hint="eastAsia" w:ascii="仿宋" w:hAnsi="仿宋" w:eastAsia="仿宋" w:cs="仿宋"/>
          <w:b/>
          <w:bCs/>
          <w:color w:val="000000"/>
          <w:sz w:val="24"/>
          <w:highlight w:val="none"/>
          <w:u w:val="single"/>
          <w:lang w:eastAsia="zh-CN"/>
        </w:rPr>
        <w:t xml:space="preserve">药剂采购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9" w:type="pct"/>
        <w:jc w:val="center"/>
        <w:tblInd w:w="-97" w:type="dxa"/>
        <w:tblLayout w:type="autofit"/>
        <w:tblCellMar>
          <w:left w:w="108" w:type="dxa"/>
          <w:top w:w="0" w:type="dxa"/>
          <w:right w:w="108" w:type="dxa"/>
          <w:bottom w:w="0" w:type="dxa"/>
        </w:tblCellMar>
        <w:tblLook w:val="04A0" w:firstRow="1" w:lastRow="0" w:firstColumn="1" w:lastColumn="0" w:noHBand="0" w:noVBand="1"/>
      </w:tblPr>
      <w:tblGrid>
        <w:gridCol w:w="1773"/>
        <w:gridCol w:w="1723"/>
        <w:gridCol w:w="1448"/>
        <w:gridCol w:w="2453"/>
        <w:gridCol w:w="1633"/>
        <w:gridCol w:w="911"/>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lang w:val="en-US" w:eastAsia="zh-CN"/>
              </w:rPr>
              <w:t xml:space="preserve">元）或</w:t>
            </w:r>
            <w:r>
              <w:rPr>
                <w:rFonts w:hint="eastAsia" w:ascii="仿宋" w:hAnsi="仿宋" w:eastAsia="仿宋" w:cs="仿宋"/>
                <w:color w:val="000000"/>
                <w:sz w:val="24"/>
                <w:highlight w:val="none"/>
                <w:lang w:val="en-US" w:eastAsia="zh-CN"/>
              </w:rPr>
            </w:r>
            <w:r/>
          </w:p>
          <w:p>
            <w:pPr>
              <w:pStyle w:val="1259"/>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优惠率、折扣率（%）</w:t>
            </w:r>
            <w:r>
              <w:rPr>
                <w:rFonts w:hint="eastAsia" w:ascii="仿宋" w:hAnsi="仿宋" w:eastAsia="仿宋" w:cs="仿宋"/>
                <w:color w:val="000000"/>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zh-CN" w:eastAsia="zh-CN"/>
              </w:rPr>
            </w:pPr>
            <w:r>
              <w:rPr>
                <w:rFonts w:hint="eastAsia" w:ascii="仿宋" w:hAnsi="仿宋" w:eastAsia="仿宋" w:cs="仿宋"/>
                <w:color w:val="000000"/>
                <w:sz w:val="24"/>
                <w:highlight w:val="none"/>
                <w:lang w:val="en-US" w:eastAsia="zh-CN"/>
              </w:rPr>
              <w:t xml:space="preserve">联系人</w:t>
            </w:r>
            <w:r>
              <w:rPr>
                <w:rFonts w:hint="eastAsia" w:ascii="仿宋" w:hAnsi="仿宋" w:eastAsia="仿宋" w:cs="仿宋"/>
                <w:color w:val="000000"/>
                <w:sz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259"/>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259"/>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259"/>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59"/>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59"/>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25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59"/>
        <w:jc w:val="left"/>
        <w:spacing w:before="240" w:after="240"/>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10招标文件要求提供或供应商认为应附的其他材料</w:t>
      </w: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59"/>
        <w:spacing w:line="360" w:lineRule="auto"/>
        <w:rPr>
          <w:rFonts w:hint="eastAsia" w:ascii="仿宋" w:hAnsi="仿宋" w:eastAsia="仿宋" w:cs="仿宋"/>
          <w:color w:val="000000"/>
          <w:sz w:val="24"/>
          <w:szCs w:val="20"/>
          <w:highlight w:val="none"/>
          <w:lang w:val="en-US" w:eastAsia="zh-CN"/>
        </w:rPr>
        <w:outlineLvl w:val="2"/>
      </w:pPr>
      <w:r>
        <w:rPr>
          <w:rFonts w:hint="eastAsia" w:ascii="仿宋" w:hAnsi="仿宋" w:eastAsia="仿宋" w:cs="仿宋"/>
          <w:color w:val="000000"/>
          <w:sz w:val="24"/>
          <w:szCs w:val="20"/>
          <w:highlight w:val="none"/>
          <w:lang w:val="en-US" w:eastAsia="zh-CN"/>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327"/>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27"/>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59"/>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6"/>
      <w:headerReference w:type="even" r:id="rId17"/>
      <w:headerReference w:type="first" r:id="rId18"/>
      <w:footerReference w:type="default" r:id="rId28"/>
      <w:footerReference w:type="even" r:id="rId29"/>
      <w:footerReference w:type="first" r:id="rId3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tabs>
        <w:tab w:val="center" w:pos="4153" w:leader="none"/>
        <w:tab w:val="right" w:pos="8306" w:leader="none"/>
      </w:tabs>
      <w:rPr>
        <w:rStyle w:val="1332"/>
      </w:rPr>
    </w:pPr>
    <w:r>
      <w:rPr>
        <w:rStyle w:val="1332"/>
      </w:rPr>
    </w:r>
    <w:r/>
  </w:p>
  <w:p>
    <w:pPr>
      <w:pStyle w:val="130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rStyle w:val="1332"/>
      </w:rPr>
      <w:framePr w:wrap="around" w:vAnchor="text" w:hAnchor="margin" w:xAlign="center" w:y="1"/>
    </w:pPr>
    <w:r>
      <w:fldChar w:fldCharType="begin"/>
    </w:r>
    <w:r>
      <w:rPr>
        <w:rStyle w:val="1332"/>
      </w:rPr>
      <w:instrText xml:space="preserve">PAGE  </w:instrText>
    </w:r>
    <w:r>
      <w:fldChar w:fldCharType="end"/>
    </w:r>
    <w:r>
      <w:rPr>
        <w:rStyle w:val="1332"/>
      </w:rPr>
    </w:r>
    <w:r/>
  </w:p>
  <w:p>
    <w:pPr>
      <w:pStyle w:val="130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tabs>
        <w:tab w:val="center" w:pos="4153" w:leader="none"/>
        <w:tab w:val="right" w:pos="8306" w:leader="none"/>
      </w:tabs>
    </w:pPr>
    <w:r/>
    <w:r/>
  </w:p>
  <w:p>
    <w:pPr>
      <w:pStyle w:val="1307"/>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59"/>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5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5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5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rStyle w:val="1332"/>
      </w:rPr>
      <w:framePr w:wrap="around" w:vAnchor="text" w:hAnchor="margin" w:xAlign="right" w:y="1"/>
    </w:pPr>
    <w:r>
      <w:rPr>
        <w:rStyle w:val="1332"/>
      </w:rPr>
      <w:fldChar w:fldCharType="begin"/>
    </w:r>
    <w:r>
      <w:rPr>
        <w:rStyle w:val="1332"/>
      </w:rPr>
      <w:instrText xml:space="preserve">PAGE  </w:instrText>
    </w:r>
    <w:r>
      <w:rPr>
        <w:rStyle w:val="1332"/>
      </w:rPr>
      <w:fldChar w:fldCharType="end"/>
    </w:r>
    <w:r>
      <w:rPr>
        <w:rStyle w:val="1332"/>
      </w:rPr>
    </w:r>
    <w:r/>
  </w:p>
  <w:p>
    <w:pPr>
      <w:pStyle w:val="1307"/>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59"/>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5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rStyle w:val="1332"/>
      </w:rPr>
      <w:framePr w:wrap="around" w:vAnchor="text" w:hAnchor="margin" w:xAlign="right" w:y="1"/>
    </w:pPr>
    <w:r>
      <w:rPr>
        <w:rStyle w:val="1332"/>
      </w:rPr>
      <w:fldChar w:fldCharType="begin"/>
    </w:r>
    <w:r>
      <w:rPr>
        <w:rStyle w:val="1332"/>
      </w:rPr>
      <w:instrText xml:space="preserve">PAGE  </w:instrText>
    </w:r>
    <w:r>
      <w:rPr>
        <w:rStyle w:val="1332"/>
      </w:rPr>
      <w:fldChar w:fldCharType="end"/>
    </w:r>
    <w:r>
      <w:rPr>
        <w:rStyle w:val="1332"/>
      </w:rPr>
    </w:r>
    <w:r/>
  </w:p>
  <w:p>
    <w:pPr>
      <w:pStyle w:val="1307"/>
      <w:ind w:right="360"/>
      <w:tabs>
        <w:tab w:val="center" w:pos="4153" w:leader="none"/>
        <w:tab w:val="right" w:pos="8306" w:leader="none"/>
      </w:tabs>
    </w:pPr>
    <w:r/>
    <w:r/>
  </w:p>
  <w:p>
    <w:pPr>
      <w:pStyle w:val="1259"/>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lang w:val="en-US" w:eastAsia="zh-CN"/>
      </w:rPr>
      <w:t xml:space="preserve">           </w:t>
    </w:r>
    <w:r>
      <w:rPr>
        <w:rFonts w:hint="eastAsia" w:ascii="仿宋" w:hAnsi="仿宋" w:eastAsia="仿宋" w:cs="仿宋"/>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szCs w:val="21"/>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p>
    <w:pPr>
      <w:pStyle w:val="1259"/>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59"/>
        <w:ind w:left="205" w:hanging="322"/>
      </w:pPr>
      <w:rPr>
        <w:rFonts w:ascii="仿宋" w:hAnsi="仿宋" w:eastAsia="仿宋" w:cs="仿宋"/>
        <w:spacing w:val="-46"/>
        <w:sz w:val="24"/>
        <w:szCs w:val="24"/>
      </w:rPr>
    </w:lvl>
    <w:lvl w:ilvl="1">
      <w:start w:val="1"/>
      <w:numFmt w:val="lowerLetter"/>
      <w:isLgl w:val="false"/>
      <w:suff w:val="tab"/>
      <w:lvlText w:val="%2)"/>
      <w:lvlJc w:val="left"/>
      <w:pPr>
        <w:pStyle w:val="1259"/>
        <w:ind w:left="840" w:hanging="420"/>
      </w:pPr>
    </w:lvl>
    <w:lvl w:ilvl="2">
      <w:start w:val="1"/>
      <w:numFmt w:val="lowerRoman"/>
      <w:isLgl w:val="false"/>
      <w:suff w:val="tab"/>
      <w:lvlText w:val="%3."/>
      <w:lvlJc w:val="right"/>
      <w:pPr>
        <w:pStyle w:val="1259"/>
        <w:ind w:left="1260" w:hanging="420"/>
      </w:pPr>
    </w:lvl>
    <w:lvl w:ilvl="3">
      <w:start w:val="1"/>
      <w:numFmt w:val="decimal"/>
      <w:isLgl w:val="false"/>
      <w:suff w:val="tab"/>
      <w:lvlText w:val="%4."/>
      <w:lvlJc w:val="left"/>
      <w:pPr>
        <w:pStyle w:val="1259"/>
        <w:ind w:left="1680" w:hanging="420"/>
      </w:pPr>
    </w:lvl>
    <w:lvl w:ilvl="4">
      <w:start w:val="1"/>
      <w:numFmt w:val="lowerLetter"/>
      <w:isLgl w:val="false"/>
      <w:suff w:val="tab"/>
      <w:lvlText w:val="%5)"/>
      <w:lvlJc w:val="left"/>
      <w:pPr>
        <w:pStyle w:val="1259"/>
        <w:ind w:left="2100" w:hanging="420"/>
      </w:pPr>
    </w:lvl>
    <w:lvl w:ilvl="5">
      <w:start w:val="1"/>
      <w:numFmt w:val="lowerRoman"/>
      <w:isLgl w:val="false"/>
      <w:suff w:val="tab"/>
      <w:lvlText w:val="%6."/>
      <w:lvlJc w:val="right"/>
      <w:pPr>
        <w:pStyle w:val="1259"/>
        <w:ind w:left="2520" w:hanging="420"/>
      </w:pPr>
    </w:lvl>
    <w:lvl w:ilvl="6">
      <w:start w:val="1"/>
      <w:numFmt w:val="decimal"/>
      <w:isLgl w:val="false"/>
      <w:suff w:val="tab"/>
      <w:lvlText w:val="%7."/>
      <w:lvlJc w:val="left"/>
      <w:pPr>
        <w:pStyle w:val="1259"/>
        <w:ind w:left="2940" w:hanging="420"/>
      </w:pPr>
    </w:lvl>
    <w:lvl w:ilvl="7">
      <w:start w:val="1"/>
      <w:numFmt w:val="lowerLetter"/>
      <w:isLgl w:val="false"/>
      <w:suff w:val="tab"/>
      <w:lvlText w:val="%8)"/>
      <w:lvlJc w:val="left"/>
      <w:pPr>
        <w:pStyle w:val="1259"/>
        <w:ind w:left="3360" w:hanging="420"/>
      </w:pPr>
    </w:lvl>
    <w:lvl w:ilvl="8">
      <w:start w:val="1"/>
      <w:numFmt w:val="lowerRoman"/>
      <w:isLgl w:val="false"/>
      <w:suff w:val="tab"/>
      <w:lvlText w:val="%9."/>
      <w:lvlJc w:val="right"/>
      <w:pPr>
        <w:pStyle w:val="1259"/>
        <w:ind w:left="3780" w:hanging="420"/>
      </w:pPr>
    </w:lvl>
  </w:abstractNum>
  <w:abstractNum w:abstractNumId="1">
    <w:multiLevelType w:val="hybridMultilevel"/>
    <w:lvl w:ilvl="0">
      <w:start w:val="1"/>
      <w:numFmt w:val="decimal"/>
      <w:pStyle w:val="1378"/>
      <w:isLgl w:val="false"/>
      <w:suff w:val="tab"/>
      <w:lvlText w:val="%1."/>
      <w:lvlJc w:val="left"/>
      <w:pPr>
        <w:pStyle w:val="1259"/>
        <w:ind w:left="420" w:hanging="420"/>
      </w:pPr>
    </w:lvl>
    <w:lvl w:ilvl="1">
      <w:start w:val="1"/>
      <w:numFmt w:val="decimal"/>
      <w:isLgl w:val="false"/>
      <w:suff w:val="tab"/>
      <w:lvlText w:val="（%2）"/>
      <w:lvlJc w:val="left"/>
      <w:pPr>
        <w:pStyle w:val="1259"/>
        <w:ind w:left="1140" w:hanging="720"/>
        <w:tabs>
          <w:tab w:val="num" w:pos="1140" w:leader="none"/>
        </w:tabs>
      </w:pPr>
      <w:rPr>
        <w:rFonts w:hint="eastAsia"/>
      </w:rPr>
    </w:lvl>
    <w:lvl w:ilvl="2">
      <w:start w:val="1"/>
      <w:numFmt w:val="lowerRoman"/>
      <w:isLgl w:val="false"/>
      <w:suff w:val="tab"/>
      <w:lvlText w:val="%3."/>
      <w:lvlJc w:val="right"/>
      <w:pPr>
        <w:pStyle w:val="1259"/>
        <w:ind w:left="1260" w:hanging="420"/>
      </w:pPr>
    </w:lvl>
    <w:lvl w:ilvl="3">
      <w:start w:val="1"/>
      <w:numFmt w:val="decimal"/>
      <w:isLgl w:val="false"/>
      <w:suff w:val="tab"/>
      <w:lvlText w:val="%4."/>
      <w:lvlJc w:val="left"/>
      <w:pPr>
        <w:pStyle w:val="1259"/>
        <w:ind w:left="1680" w:hanging="420"/>
      </w:pPr>
    </w:lvl>
    <w:lvl w:ilvl="4">
      <w:start w:val="1"/>
      <w:numFmt w:val="lowerLetter"/>
      <w:isLgl w:val="false"/>
      <w:suff w:val="tab"/>
      <w:lvlText w:val="%5)"/>
      <w:lvlJc w:val="left"/>
      <w:pPr>
        <w:pStyle w:val="1259"/>
        <w:ind w:left="2100" w:hanging="420"/>
      </w:pPr>
    </w:lvl>
    <w:lvl w:ilvl="5">
      <w:start w:val="1"/>
      <w:numFmt w:val="lowerRoman"/>
      <w:isLgl w:val="false"/>
      <w:suff w:val="tab"/>
      <w:lvlText w:val="%6."/>
      <w:lvlJc w:val="right"/>
      <w:pPr>
        <w:pStyle w:val="1259"/>
        <w:ind w:left="2520" w:hanging="420"/>
      </w:pPr>
    </w:lvl>
    <w:lvl w:ilvl="6">
      <w:start w:val="1"/>
      <w:numFmt w:val="decimal"/>
      <w:isLgl w:val="false"/>
      <w:suff w:val="tab"/>
      <w:lvlText w:val="%7."/>
      <w:lvlJc w:val="left"/>
      <w:pPr>
        <w:pStyle w:val="1259"/>
        <w:ind w:left="2940" w:hanging="420"/>
      </w:pPr>
    </w:lvl>
    <w:lvl w:ilvl="7">
      <w:start w:val="1"/>
      <w:numFmt w:val="lowerLetter"/>
      <w:isLgl w:val="false"/>
      <w:suff w:val="tab"/>
      <w:lvlText w:val="%8)"/>
      <w:lvlJc w:val="left"/>
      <w:pPr>
        <w:pStyle w:val="1259"/>
        <w:ind w:left="3360" w:hanging="420"/>
      </w:pPr>
    </w:lvl>
    <w:lvl w:ilvl="8">
      <w:start w:val="1"/>
      <w:numFmt w:val="lowerRoman"/>
      <w:isLgl w:val="false"/>
      <w:suff w:val="tab"/>
      <w:lvlText w:val="%9."/>
      <w:lvlJc w:val="right"/>
      <w:pPr>
        <w:pStyle w:val="1259"/>
        <w:ind w:left="3780" w:hanging="420"/>
      </w:pPr>
    </w:lvl>
  </w:abstractNum>
  <w:abstractNum w:abstractNumId="2">
    <w:multiLevelType w:val="hybridMultilevel"/>
    <w:lvl w:ilvl="0">
      <w:start w:val="1"/>
      <w:numFmt w:val="lowerLetter"/>
      <w:pStyle w:val="1453"/>
      <w:isLgl w:val="false"/>
      <w:suff w:val="tab"/>
      <w:lvlText w:val="%1)"/>
      <w:lvlJc w:val="left"/>
      <w:pPr>
        <w:pStyle w:val="1259"/>
        <w:ind w:left="902" w:hanging="420"/>
      </w:pPr>
      <w:rPr>
        <w:color w:val="000000"/>
      </w:rPr>
    </w:lvl>
    <w:lvl w:ilvl="1">
      <w:start w:val="1"/>
      <w:numFmt w:val="lowerLetter"/>
      <w:isLgl w:val="false"/>
      <w:suff w:val="tab"/>
      <w:lvlText w:val="%2)"/>
      <w:lvlJc w:val="left"/>
      <w:pPr>
        <w:pStyle w:val="1259"/>
        <w:ind w:left="1322" w:hanging="420"/>
      </w:pPr>
    </w:lvl>
    <w:lvl w:ilvl="2">
      <w:start w:val="1"/>
      <w:numFmt w:val="lowerRoman"/>
      <w:isLgl w:val="false"/>
      <w:suff w:val="tab"/>
      <w:lvlText w:val="%3."/>
      <w:lvlJc w:val="right"/>
      <w:pPr>
        <w:pStyle w:val="1259"/>
        <w:ind w:left="1742" w:hanging="420"/>
      </w:pPr>
    </w:lvl>
    <w:lvl w:ilvl="3">
      <w:start w:val="1"/>
      <w:numFmt w:val="decimal"/>
      <w:isLgl w:val="false"/>
      <w:suff w:val="tab"/>
      <w:lvlText w:val="%4."/>
      <w:lvlJc w:val="left"/>
      <w:pPr>
        <w:pStyle w:val="1259"/>
        <w:ind w:left="2162" w:hanging="420"/>
      </w:pPr>
    </w:lvl>
    <w:lvl w:ilvl="4">
      <w:start w:val="1"/>
      <w:numFmt w:val="lowerLetter"/>
      <w:isLgl w:val="false"/>
      <w:suff w:val="tab"/>
      <w:lvlText w:val="%5)"/>
      <w:lvlJc w:val="left"/>
      <w:pPr>
        <w:pStyle w:val="1259"/>
        <w:ind w:left="2582" w:hanging="420"/>
      </w:pPr>
    </w:lvl>
    <w:lvl w:ilvl="5">
      <w:start w:val="1"/>
      <w:numFmt w:val="lowerRoman"/>
      <w:isLgl w:val="false"/>
      <w:suff w:val="tab"/>
      <w:lvlText w:val="%6."/>
      <w:lvlJc w:val="right"/>
      <w:pPr>
        <w:pStyle w:val="1259"/>
        <w:ind w:left="3002" w:hanging="420"/>
      </w:pPr>
    </w:lvl>
    <w:lvl w:ilvl="6">
      <w:start w:val="1"/>
      <w:numFmt w:val="decimal"/>
      <w:isLgl w:val="false"/>
      <w:suff w:val="tab"/>
      <w:lvlText w:val="%7."/>
      <w:lvlJc w:val="left"/>
      <w:pPr>
        <w:pStyle w:val="1259"/>
        <w:ind w:left="3422" w:hanging="420"/>
      </w:pPr>
    </w:lvl>
    <w:lvl w:ilvl="7">
      <w:start w:val="1"/>
      <w:numFmt w:val="lowerLetter"/>
      <w:isLgl w:val="false"/>
      <w:suff w:val="tab"/>
      <w:lvlText w:val="%8)"/>
      <w:lvlJc w:val="left"/>
      <w:pPr>
        <w:pStyle w:val="1259"/>
        <w:ind w:left="3842" w:hanging="420"/>
      </w:pPr>
    </w:lvl>
    <w:lvl w:ilvl="8">
      <w:start w:val="1"/>
      <w:numFmt w:val="lowerRoman"/>
      <w:isLgl w:val="false"/>
      <w:suff w:val="tab"/>
      <w:lvlText w:val="%9."/>
      <w:lvlJc w:val="right"/>
      <w:pPr>
        <w:pStyle w:val="1259"/>
        <w:ind w:left="4262" w:hanging="420"/>
      </w:pPr>
    </w:lvl>
  </w:abstractNum>
  <w:abstractNum w:abstractNumId="3">
    <w:multiLevelType w:val="hybridMultilevel"/>
    <w:lvl w:ilvl="0">
      <w:start w:val="1"/>
      <w:numFmt w:val="decimal"/>
      <w:pStyle w:val="1423"/>
      <w:isLgl w:val="false"/>
      <w:suff w:val="tab"/>
      <w:lvlText w:val="%1."/>
      <w:lvlJc w:val="left"/>
      <w:pPr>
        <w:pStyle w:val="12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72"/>
      <w:isLgl w:val="false"/>
      <w:suff w:val="nothing"/>
      <w:lvlText w:val="%1　"/>
      <w:lvlJc w:val="left"/>
      <w:pPr>
        <w:pStyle w:val="12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59"/>
        <w:ind w:left="-25" w:firstLine="0"/>
      </w:pPr>
      <w:rPr>
        <w:rFonts w:ascii="Times New Roman" w:hAnsi="Times New Roman" w:eastAsia="黑体"/>
        <w:b/>
        <w:i w:val="0"/>
        <w:sz w:val="28"/>
      </w:rPr>
    </w:lvl>
    <w:lvl w:ilvl="3">
      <w:start w:val="1"/>
      <w:numFmt w:val="decimal"/>
      <w:pStyle w:val="1408"/>
      <w:isLgl w:val="false"/>
      <w:suff w:val="nothing"/>
      <w:lvlText w:val="%1.%2.%3.%4　"/>
      <w:lvlJc w:val="left"/>
      <w:pPr>
        <w:pStyle w:val="12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59"/>
        <w:ind w:left="-25" w:firstLine="0"/>
      </w:pPr>
      <w:rPr>
        <w:rFonts w:ascii="Times New Roman" w:hAnsi="Times New Roman" w:eastAsia="宋体"/>
        <w:b/>
        <w:i w:val="0"/>
        <w:sz w:val="28"/>
      </w:rPr>
    </w:lvl>
    <w:lvl w:ilvl="6">
      <w:start w:val="1"/>
      <w:numFmt w:val="lowerLetter"/>
      <w:pStyle w:val="1429"/>
      <w:isLgl w:val="false"/>
      <w:suff w:val="tab"/>
      <w:lvlText w:val="%7) "/>
      <w:lvlJc w:val="left"/>
      <w:pPr>
        <w:pStyle w:val="1259"/>
        <w:ind w:left="-125" w:firstLine="400"/>
        <w:tabs>
          <w:tab w:val="num" w:pos="635" w:leader="none"/>
        </w:tabs>
      </w:pPr>
      <w:rPr>
        <w:rFonts w:ascii="Times New Roman" w:hAnsi="Times New Roman" w:eastAsia="宋体"/>
        <w:b/>
        <w:i w:val="0"/>
        <w:color w:val="000000"/>
        <w:sz w:val="28"/>
        <w:u w:val="none"/>
      </w:rPr>
    </w:lvl>
    <w:lvl w:ilvl="7">
      <w:start w:val="1"/>
      <w:numFmt w:val="decimal"/>
      <w:pStyle w:val="1392"/>
      <w:isLgl w:val="false"/>
      <w:suff w:val="tab"/>
      <w:lvlText w:val="%8) "/>
      <w:lvlJc w:val="left"/>
      <w:pPr>
        <w:pStyle w:val="12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5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259"/>
        <w:ind w:left="768" w:hanging="360"/>
        <w:tabs>
          <w:tab w:val="num" w:pos="768" w:leader="none"/>
        </w:tabs>
      </w:pPr>
      <w:rPr>
        <w:rFonts w:hint="eastAsia"/>
      </w:rPr>
    </w:lvl>
    <w:lvl w:ilvl="1">
      <w:start w:val="1"/>
      <w:numFmt w:val="decimal"/>
      <w:pStyle w:val="1410"/>
      <w:isLgl w:val="false"/>
      <w:suff w:val="tab"/>
      <w:lvlText w:val="%2、"/>
      <w:lvlJc w:val="left"/>
      <w:pPr>
        <w:pStyle w:val="1259"/>
        <w:ind w:left="1188" w:hanging="360"/>
        <w:tabs>
          <w:tab w:val="num" w:pos="1188" w:leader="none"/>
        </w:tabs>
      </w:pPr>
      <w:rPr>
        <w:rFonts w:hint="eastAsia"/>
      </w:rPr>
    </w:lvl>
    <w:lvl w:ilvl="2">
      <w:start w:val="1"/>
      <w:numFmt w:val="decimal"/>
      <w:isLgl w:val="false"/>
      <w:suff w:val="tab"/>
      <w:lvlText w:val="（%3）"/>
      <w:lvlJc w:val="left"/>
      <w:pPr>
        <w:pStyle w:val="1259"/>
        <w:ind w:left="1968" w:hanging="720"/>
        <w:tabs>
          <w:tab w:val="num" w:pos="1968" w:leader="none"/>
        </w:tabs>
      </w:pPr>
      <w:rPr>
        <w:rFonts w:hint="eastAsia"/>
        <w:u w:val="none"/>
      </w:rPr>
    </w:lvl>
    <w:lvl w:ilvl="3">
      <w:start w:val="1"/>
      <w:numFmt w:val="decimal"/>
      <w:isLgl w:val="false"/>
      <w:suff w:val="tab"/>
      <w:lvlText w:val="%4."/>
      <w:lvlJc w:val="left"/>
      <w:pPr>
        <w:pStyle w:val="1259"/>
        <w:ind w:left="2088" w:hanging="420"/>
        <w:tabs>
          <w:tab w:val="num" w:pos="2088" w:leader="none"/>
        </w:tabs>
      </w:pPr>
    </w:lvl>
    <w:lvl w:ilvl="4">
      <w:start w:val="1"/>
      <w:numFmt w:val="lowerLetter"/>
      <w:isLgl w:val="false"/>
      <w:suff w:val="tab"/>
      <w:lvlText w:val="%5)"/>
      <w:lvlJc w:val="left"/>
      <w:pPr>
        <w:pStyle w:val="1259"/>
        <w:ind w:left="2508" w:hanging="420"/>
        <w:tabs>
          <w:tab w:val="num" w:pos="2508" w:leader="none"/>
        </w:tabs>
      </w:pPr>
    </w:lvl>
    <w:lvl w:ilvl="5">
      <w:start w:val="1"/>
      <w:numFmt w:val="lowerRoman"/>
      <w:isLgl w:val="false"/>
      <w:suff w:val="tab"/>
      <w:lvlText w:val="%6."/>
      <w:lvlJc w:val="right"/>
      <w:pPr>
        <w:pStyle w:val="1259"/>
        <w:ind w:left="2928" w:hanging="420"/>
        <w:tabs>
          <w:tab w:val="num" w:pos="2928" w:leader="none"/>
        </w:tabs>
      </w:pPr>
    </w:lvl>
    <w:lvl w:ilvl="6">
      <w:start w:val="1"/>
      <w:numFmt w:val="decimal"/>
      <w:isLgl w:val="false"/>
      <w:suff w:val="tab"/>
      <w:lvlText w:val="%7."/>
      <w:lvlJc w:val="left"/>
      <w:pPr>
        <w:pStyle w:val="1259"/>
        <w:ind w:left="3348" w:hanging="420"/>
        <w:tabs>
          <w:tab w:val="num" w:pos="3348" w:leader="none"/>
        </w:tabs>
      </w:pPr>
    </w:lvl>
    <w:lvl w:ilvl="7">
      <w:start w:val="1"/>
      <w:numFmt w:val="lowerLetter"/>
      <w:isLgl w:val="false"/>
      <w:suff w:val="tab"/>
      <w:lvlText w:val="%8)"/>
      <w:lvlJc w:val="left"/>
      <w:pPr>
        <w:pStyle w:val="1259"/>
        <w:ind w:left="3768" w:hanging="420"/>
        <w:tabs>
          <w:tab w:val="num" w:pos="3768" w:leader="none"/>
        </w:tabs>
      </w:pPr>
    </w:lvl>
    <w:lvl w:ilvl="8">
      <w:start w:val="1"/>
      <w:numFmt w:val="lowerRoman"/>
      <w:isLgl w:val="false"/>
      <w:suff w:val="tab"/>
      <w:lvlText w:val="%9."/>
      <w:lvlJc w:val="right"/>
      <w:pPr>
        <w:pStyle w:val="1259"/>
        <w:ind w:left="4188" w:hanging="420"/>
        <w:tabs>
          <w:tab w:val="num" w:pos="4188" w:leader="none"/>
        </w:tabs>
      </w:pPr>
    </w:lvl>
  </w:abstractNum>
  <w:abstractNum w:abstractNumId="6">
    <w:multiLevelType w:val="hybridMultilevel"/>
    <w:lvl w:ilvl="0">
      <w:start w:val="1"/>
      <w:numFmt w:val="decimal"/>
      <w:pStyle w:val="1377"/>
      <w:isLgl w:val="false"/>
      <w:suff w:val="tab"/>
      <w:lvlText w:val="%1)"/>
      <w:lvlJc w:val="left"/>
      <w:pPr>
        <w:pStyle w:val="1259"/>
        <w:ind w:left="420" w:hanging="420"/>
      </w:pPr>
    </w:lvl>
    <w:lvl w:ilvl="1">
      <w:start w:val="1"/>
      <w:numFmt w:val="lowerLetter"/>
      <w:isLgl w:val="false"/>
      <w:suff w:val="tab"/>
      <w:lvlText w:val="%2)"/>
      <w:lvlJc w:val="left"/>
      <w:pPr>
        <w:pStyle w:val="1259"/>
        <w:ind w:left="840" w:hanging="420"/>
      </w:pPr>
    </w:lvl>
    <w:lvl w:ilvl="2">
      <w:start w:val="1"/>
      <w:numFmt w:val="lowerRoman"/>
      <w:isLgl w:val="false"/>
      <w:suff w:val="tab"/>
      <w:lvlText w:val="%3."/>
      <w:lvlJc w:val="right"/>
      <w:pPr>
        <w:pStyle w:val="1259"/>
        <w:ind w:left="1260" w:hanging="420"/>
      </w:pPr>
    </w:lvl>
    <w:lvl w:ilvl="3">
      <w:start w:val="1"/>
      <w:numFmt w:val="decimal"/>
      <w:isLgl w:val="false"/>
      <w:suff w:val="tab"/>
      <w:lvlText w:val="%4."/>
      <w:lvlJc w:val="left"/>
      <w:pPr>
        <w:pStyle w:val="1259"/>
        <w:ind w:left="1680" w:hanging="420"/>
      </w:pPr>
    </w:lvl>
    <w:lvl w:ilvl="4">
      <w:start w:val="1"/>
      <w:numFmt w:val="lowerLetter"/>
      <w:isLgl w:val="false"/>
      <w:suff w:val="tab"/>
      <w:lvlText w:val="%5)"/>
      <w:lvlJc w:val="left"/>
      <w:pPr>
        <w:pStyle w:val="1259"/>
        <w:ind w:left="2100" w:hanging="420"/>
      </w:pPr>
    </w:lvl>
    <w:lvl w:ilvl="5">
      <w:start w:val="1"/>
      <w:numFmt w:val="lowerRoman"/>
      <w:isLgl w:val="false"/>
      <w:suff w:val="tab"/>
      <w:lvlText w:val="%6."/>
      <w:lvlJc w:val="right"/>
      <w:pPr>
        <w:pStyle w:val="1259"/>
        <w:ind w:left="2520" w:hanging="420"/>
      </w:pPr>
    </w:lvl>
    <w:lvl w:ilvl="6">
      <w:start w:val="1"/>
      <w:numFmt w:val="decimal"/>
      <w:isLgl w:val="false"/>
      <w:suff w:val="tab"/>
      <w:lvlText w:val="%7."/>
      <w:lvlJc w:val="left"/>
      <w:pPr>
        <w:pStyle w:val="1259"/>
        <w:ind w:left="2940" w:hanging="420"/>
      </w:pPr>
    </w:lvl>
    <w:lvl w:ilvl="7">
      <w:start w:val="1"/>
      <w:numFmt w:val="lowerLetter"/>
      <w:isLgl w:val="false"/>
      <w:suff w:val="tab"/>
      <w:lvlText w:val="%8)"/>
      <w:lvlJc w:val="left"/>
      <w:pPr>
        <w:pStyle w:val="1259"/>
        <w:ind w:left="3360" w:hanging="420"/>
      </w:pPr>
    </w:lvl>
    <w:lvl w:ilvl="8">
      <w:start w:val="1"/>
      <w:numFmt w:val="lowerRoman"/>
      <w:isLgl w:val="false"/>
      <w:suff w:val="tab"/>
      <w:lvlText w:val="%9."/>
      <w:lvlJc w:val="right"/>
      <w:pPr>
        <w:pStyle w:val="1259"/>
        <w:ind w:left="3780" w:hanging="420"/>
      </w:pPr>
    </w:lvl>
  </w:abstractNum>
  <w:abstractNum w:abstractNumId="7">
    <w:multiLevelType w:val="hybridMultilevel"/>
    <w:lvl w:ilvl="0">
      <w:start w:val="1"/>
      <w:numFmt w:val="decimal"/>
      <w:pStyle w:val="1478"/>
      <w:isLgl w:val="false"/>
      <w:suff w:val="tab"/>
      <w:lvlText w:val="%1"/>
      <w:lvlJc w:val="left"/>
      <w:pPr>
        <w:pStyle w:val="1259"/>
        <w:ind w:left="680" w:hanging="680"/>
      </w:pPr>
      <w:rPr>
        <w:rFonts w:hint="eastAsia" w:ascii="宋体" w:hAnsi="宋体" w:eastAsia="宋体"/>
      </w:rPr>
    </w:lvl>
    <w:lvl w:ilvl="1">
      <w:start w:val="1"/>
      <w:numFmt w:val="decimal"/>
      <w:pStyle w:val="1479"/>
      <w:isLgl w:val="false"/>
      <w:suff w:val="tab"/>
      <w:lvlText w:val="%1.%2"/>
      <w:lvlJc w:val="left"/>
      <w:pPr>
        <w:pStyle w:val="1259"/>
        <w:ind w:left="851" w:hanging="851"/>
      </w:pPr>
      <w:rPr>
        <w:rFonts w:hint="eastAsia" w:ascii="宋体" w:hAnsi="宋体" w:eastAsia="宋体"/>
        <w:color w:val="000000"/>
      </w:rPr>
    </w:lvl>
    <w:lvl w:ilvl="2">
      <w:start w:val="1"/>
      <w:numFmt w:val="decimal"/>
      <w:pStyle w:val="1480"/>
      <w:isLgl w:val="false"/>
      <w:suff w:val="tab"/>
      <w:lvlText w:val="%1.%2.%3"/>
      <w:lvlJc w:val="left"/>
      <w:pPr>
        <w:pStyle w:val="1259"/>
        <w:ind w:left="851" w:hanging="851"/>
      </w:pPr>
      <w:rPr>
        <w:rFonts w:hint="eastAsia"/>
      </w:rPr>
    </w:lvl>
    <w:lvl w:ilvl="3">
      <w:start w:val="1"/>
      <w:numFmt w:val="decimal"/>
      <w:isLgl w:val="false"/>
      <w:suff w:val="tab"/>
      <w:lvlText w:val="%1.%2.%3.%4"/>
      <w:lvlJc w:val="left"/>
      <w:pPr>
        <w:pStyle w:val="1259"/>
        <w:ind w:left="680" w:hanging="680"/>
      </w:pPr>
      <w:rPr>
        <w:rFonts w:hint="eastAsia"/>
      </w:rPr>
    </w:lvl>
    <w:lvl w:ilvl="4">
      <w:start w:val="1"/>
      <w:numFmt w:val="decimal"/>
      <w:isLgl w:val="false"/>
      <w:suff w:val="tab"/>
      <w:lvlText w:val="%1.%2.%3.%4.%5"/>
      <w:lvlJc w:val="left"/>
      <w:pPr>
        <w:pStyle w:val="1259"/>
        <w:ind w:left="680" w:hanging="680"/>
      </w:pPr>
      <w:rPr>
        <w:rFonts w:hint="eastAsia"/>
      </w:rPr>
    </w:lvl>
    <w:lvl w:ilvl="5">
      <w:start w:val="1"/>
      <w:numFmt w:val="decimal"/>
      <w:isLgl w:val="false"/>
      <w:suff w:val="tab"/>
      <w:lvlText w:val="%1.%2.%3.%4.%5.%6"/>
      <w:lvlJc w:val="left"/>
      <w:pPr>
        <w:pStyle w:val="1259"/>
        <w:ind w:left="680" w:hanging="680"/>
      </w:pPr>
      <w:rPr>
        <w:rFonts w:hint="eastAsia"/>
      </w:rPr>
    </w:lvl>
    <w:lvl w:ilvl="6">
      <w:start w:val="1"/>
      <w:numFmt w:val="decimal"/>
      <w:isLgl w:val="false"/>
      <w:suff w:val="tab"/>
      <w:lvlText w:val="%1.%2.%3.%4.%5.%6.%7"/>
      <w:lvlJc w:val="left"/>
      <w:pPr>
        <w:pStyle w:val="1259"/>
        <w:ind w:left="680" w:hanging="680"/>
      </w:pPr>
      <w:rPr>
        <w:rFonts w:hint="eastAsia"/>
      </w:rPr>
    </w:lvl>
    <w:lvl w:ilvl="7">
      <w:start w:val="1"/>
      <w:numFmt w:val="decimal"/>
      <w:isLgl w:val="false"/>
      <w:suff w:val="tab"/>
      <w:lvlText w:val="%1.%2.%3.%4.%5.%6.%7.%8"/>
      <w:lvlJc w:val="left"/>
      <w:pPr>
        <w:pStyle w:val="1259"/>
        <w:ind w:left="680" w:hanging="680"/>
      </w:pPr>
      <w:rPr>
        <w:rFonts w:hint="eastAsia"/>
      </w:rPr>
    </w:lvl>
    <w:lvl w:ilvl="8">
      <w:start w:val="1"/>
      <w:numFmt w:val="decimal"/>
      <w:isLgl w:val="false"/>
      <w:suff w:val="tab"/>
      <w:lvlText w:val="%1.%2.%3.%4.%5.%6.%7.%8.%9"/>
      <w:lvlJc w:val="left"/>
      <w:pPr>
        <w:pStyle w:val="1259"/>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1">
    <w:name w:val="Heading 1"/>
    <w:basedOn w:val="1259"/>
    <w:next w:val="1259"/>
    <w:link w:val="1082"/>
    <w:uiPriority w:val="9"/>
    <w:qFormat/>
    <w:pPr>
      <w:keepLines/>
      <w:keepNext/>
      <w:spacing w:before="480" w:after="200"/>
      <w:outlineLvl w:val="0"/>
    </w:pPr>
    <w:rPr>
      <w:rFonts w:ascii="Arial" w:hAnsi="Arial" w:eastAsia="Arial" w:cs="Arial"/>
      <w:sz w:val="40"/>
      <w:szCs w:val="40"/>
    </w:rPr>
  </w:style>
  <w:style w:type="character" w:styleId="1082">
    <w:name w:val="Heading 1 Char"/>
    <w:link w:val="1081"/>
    <w:uiPriority w:val="9"/>
    <w:rPr>
      <w:rFonts w:ascii="Arial" w:hAnsi="Arial" w:eastAsia="Arial" w:cs="Arial"/>
      <w:sz w:val="40"/>
      <w:szCs w:val="40"/>
    </w:rPr>
  </w:style>
  <w:style w:type="paragraph" w:styleId="1083">
    <w:name w:val="Heading 2"/>
    <w:basedOn w:val="1259"/>
    <w:next w:val="1259"/>
    <w:link w:val="1084"/>
    <w:uiPriority w:val="9"/>
    <w:unhideWhenUsed/>
    <w:qFormat/>
    <w:pPr>
      <w:keepLines/>
      <w:keepNext/>
      <w:spacing w:before="360" w:after="200"/>
      <w:outlineLvl w:val="1"/>
    </w:pPr>
    <w:rPr>
      <w:rFonts w:ascii="Arial" w:hAnsi="Arial" w:eastAsia="Arial" w:cs="Arial"/>
      <w:sz w:val="34"/>
    </w:rPr>
  </w:style>
  <w:style w:type="character" w:styleId="1084">
    <w:name w:val="Heading 2 Char"/>
    <w:link w:val="1083"/>
    <w:uiPriority w:val="9"/>
    <w:rPr>
      <w:rFonts w:ascii="Arial" w:hAnsi="Arial" w:eastAsia="Arial" w:cs="Arial"/>
      <w:sz w:val="34"/>
    </w:rPr>
  </w:style>
  <w:style w:type="paragraph" w:styleId="1085">
    <w:name w:val="Heading 3"/>
    <w:basedOn w:val="1259"/>
    <w:next w:val="1259"/>
    <w:link w:val="1086"/>
    <w:uiPriority w:val="9"/>
    <w:unhideWhenUsed/>
    <w:qFormat/>
    <w:pPr>
      <w:keepLines/>
      <w:keepNext/>
      <w:spacing w:before="320" w:after="200"/>
      <w:outlineLvl w:val="2"/>
    </w:pPr>
    <w:rPr>
      <w:rFonts w:ascii="Arial" w:hAnsi="Arial" w:eastAsia="Arial" w:cs="Arial"/>
      <w:sz w:val="30"/>
      <w:szCs w:val="30"/>
    </w:rPr>
  </w:style>
  <w:style w:type="character" w:styleId="1086">
    <w:name w:val="Heading 3 Char"/>
    <w:link w:val="1085"/>
    <w:uiPriority w:val="9"/>
    <w:rPr>
      <w:rFonts w:ascii="Arial" w:hAnsi="Arial" w:eastAsia="Arial" w:cs="Arial"/>
      <w:sz w:val="30"/>
      <w:szCs w:val="30"/>
    </w:rPr>
  </w:style>
  <w:style w:type="paragraph" w:styleId="1087">
    <w:name w:val="Heading 4"/>
    <w:basedOn w:val="1259"/>
    <w:next w:val="1259"/>
    <w:link w:val="1088"/>
    <w:uiPriority w:val="9"/>
    <w:unhideWhenUsed/>
    <w:qFormat/>
    <w:pPr>
      <w:keepLines/>
      <w:keepNext/>
      <w:spacing w:before="320" w:after="200"/>
      <w:outlineLvl w:val="3"/>
    </w:pPr>
    <w:rPr>
      <w:rFonts w:ascii="Arial" w:hAnsi="Arial" w:eastAsia="Arial" w:cs="Arial"/>
      <w:b/>
      <w:bCs/>
      <w:sz w:val="26"/>
      <w:szCs w:val="26"/>
    </w:rPr>
  </w:style>
  <w:style w:type="character" w:styleId="1088">
    <w:name w:val="Heading 4 Char"/>
    <w:link w:val="1087"/>
    <w:uiPriority w:val="9"/>
    <w:rPr>
      <w:rFonts w:ascii="Arial" w:hAnsi="Arial" w:eastAsia="Arial" w:cs="Arial"/>
      <w:b/>
      <w:bCs/>
      <w:sz w:val="26"/>
      <w:szCs w:val="26"/>
    </w:rPr>
  </w:style>
  <w:style w:type="paragraph" w:styleId="1089">
    <w:name w:val="Heading 5"/>
    <w:basedOn w:val="1259"/>
    <w:next w:val="1259"/>
    <w:link w:val="1090"/>
    <w:uiPriority w:val="9"/>
    <w:unhideWhenUsed/>
    <w:qFormat/>
    <w:pPr>
      <w:keepLines/>
      <w:keepNext/>
      <w:spacing w:before="320" w:after="200"/>
      <w:outlineLvl w:val="4"/>
    </w:pPr>
    <w:rPr>
      <w:rFonts w:ascii="Arial" w:hAnsi="Arial" w:eastAsia="Arial" w:cs="Arial"/>
      <w:b/>
      <w:bCs/>
      <w:sz w:val="24"/>
      <w:szCs w:val="24"/>
    </w:rPr>
  </w:style>
  <w:style w:type="character" w:styleId="1090">
    <w:name w:val="Heading 5 Char"/>
    <w:link w:val="1089"/>
    <w:uiPriority w:val="9"/>
    <w:rPr>
      <w:rFonts w:ascii="Arial" w:hAnsi="Arial" w:eastAsia="Arial" w:cs="Arial"/>
      <w:b/>
      <w:bCs/>
      <w:sz w:val="24"/>
      <w:szCs w:val="24"/>
    </w:rPr>
  </w:style>
  <w:style w:type="paragraph" w:styleId="1091">
    <w:name w:val="Heading 6"/>
    <w:basedOn w:val="1259"/>
    <w:next w:val="1259"/>
    <w:link w:val="1092"/>
    <w:uiPriority w:val="9"/>
    <w:unhideWhenUsed/>
    <w:qFormat/>
    <w:pPr>
      <w:keepLines/>
      <w:keepNext/>
      <w:spacing w:before="320" w:after="200"/>
      <w:outlineLvl w:val="5"/>
    </w:pPr>
    <w:rPr>
      <w:rFonts w:ascii="Arial" w:hAnsi="Arial" w:eastAsia="Arial" w:cs="Arial"/>
      <w:b/>
      <w:bCs/>
      <w:sz w:val="22"/>
      <w:szCs w:val="22"/>
    </w:rPr>
  </w:style>
  <w:style w:type="character" w:styleId="1092">
    <w:name w:val="Heading 6 Char"/>
    <w:link w:val="1091"/>
    <w:uiPriority w:val="9"/>
    <w:rPr>
      <w:rFonts w:ascii="Arial" w:hAnsi="Arial" w:eastAsia="Arial" w:cs="Arial"/>
      <w:b/>
      <w:bCs/>
      <w:sz w:val="22"/>
      <w:szCs w:val="22"/>
    </w:rPr>
  </w:style>
  <w:style w:type="paragraph" w:styleId="1093">
    <w:name w:val="Heading 7"/>
    <w:basedOn w:val="1259"/>
    <w:next w:val="1259"/>
    <w:link w:val="1094"/>
    <w:uiPriority w:val="9"/>
    <w:unhideWhenUsed/>
    <w:qFormat/>
    <w:pPr>
      <w:keepLines/>
      <w:keepNext/>
      <w:spacing w:before="320" w:after="200"/>
      <w:outlineLvl w:val="6"/>
    </w:pPr>
    <w:rPr>
      <w:rFonts w:ascii="Arial" w:hAnsi="Arial" w:eastAsia="Arial" w:cs="Arial"/>
      <w:b/>
      <w:bCs/>
      <w:i/>
      <w:iCs/>
      <w:sz w:val="22"/>
      <w:szCs w:val="22"/>
    </w:rPr>
  </w:style>
  <w:style w:type="character" w:styleId="1094">
    <w:name w:val="Heading 7 Char"/>
    <w:link w:val="1093"/>
    <w:uiPriority w:val="9"/>
    <w:rPr>
      <w:rFonts w:ascii="Arial" w:hAnsi="Arial" w:eastAsia="Arial" w:cs="Arial"/>
      <w:b/>
      <w:bCs/>
      <w:i/>
      <w:iCs/>
      <w:sz w:val="22"/>
      <w:szCs w:val="22"/>
    </w:rPr>
  </w:style>
  <w:style w:type="paragraph" w:styleId="1095">
    <w:name w:val="Heading 8"/>
    <w:basedOn w:val="1259"/>
    <w:next w:val="1259"/>
    <w:link w:val="1096"/>
    <w:uiPriority w:val="9"/>
    <w:unhideWhenUsed/>
    <w:qFormat/>
    <w:pPr>
      <w:keepLines/>
      <w:keepNext/>
      <w:spacing w:before="320" w:after="200"/>
      <w:outlineLvl w:val="7"/>
    </w:pPr>
    <w:rPr>
      <w:rFonts w:ascii="Arial" w:hAnsi="Arial" w:eastAsia="Arial" w:cs="Arial"/>
      <w:i/>
      <w:iCs/>
      <w:sz w:val="22"/>
      <w:szCs w:val="22"/>
    </w:rPr>
  </w:style>
  <w:style w:type="character" w:styleId="1096">
    <w:name w:val="Heading 8 Char"/>
    <w:link w:val="1095"/>
    <w:uiPriority w:val="9"/>
    <w:rPr>
      <w:rFonts w:ascii="Arial" w:hAnsi="Arial" w:eastAsia="Arial" w:cs="Arial"/>
      <w:i/>
      <w:iCs/>
      <w:sz w:val="22"/>
      <w:szCs w:val="22"/>
    </w:rPr>
  </w:style>
  <w:style w:type="paragraph" w:styleId="1097">
    <w:name w:val="Heading 9"/>
    <w:basedOn w:val="1259"/>
    <w:next w:val="1259"/>
    <w:link w:val="1098"/>
    <w:uiPriority w:val="9"/>
    <w:unhideWhenUsed/>
    <w:qFormat/>
    <w:pPr>
      <w:keepLines/>
      <w:keepNext/>
      <w:spacing w:before="320" w:after="200"/>
      <w:outlineLvl w:val="8"/>
    </w:pPr>
    <w:rPr>
      <w:rFonts w:ascii="Arial" w:hAnsi="Arial" w:eastAsia="Arial" w:cs="Arial"/>
      <w:i/>
      <w:iCs/>
      <w:sz w:val="21"/>
      <w:szCs w:val="21"/>
    </w:rPr>
  </w:style>
  <w:style w:type="character" w:styleId="1098">
    <w:name w:val="Heading 9 Char"/>
    <w:link w:val="1097"/>
    <w:uiPriority w:val="9"/>
    <w:rPr>
      <w:rFonts w:ascii="Arial" w:hAnsi="Arial" w:eastAsia="Arial" w:cs="Arial"/>
      <w:i/>
      <w:iCs/>
      <w:sz w:val="21"/>
      <w:szCs w:val="21"/>
    </w:rPr>
  </w:style>
  <w:style w:type="paragraph" w:styleId="1099">
    <w:name w:val="List Paragraph"/>
    <w:basedOn w:val="1259"/>
    <w:uiPriority w:val="34"/>
    <w:qFormat/>
    <w:pPr>
      <w:contextualSpacing/>
      <w:ind w:left="720"/>
    </w:pPr>
  </w:style>
  <w:style w:type="paragraph" w:styleId="1100">
    <w:name w:val="No Spacing"/>
    <w:uiPriority w:val="1"/>
    <w:qFormat/>
    <w:pPr>
      <w:spacing w:before="0" w:after="0" w:line="240" w:lineRule="auto"/>
    </w:pPr>
  </w:style>
  <w:style w:type="paragraph" w:styleId="1101">
    <w:name w:val="Title"/>
    <w:basedOn w:val="1259"/>
    <w:next w:val="1259"/>
    <w:link w:val="1102"/>
    <w:uiPriority w:val="10"/>
    <w:qFormat/>
    <w:pPr>
      <w:contextualSpacing/>
      <w:spacing w:before="300" w:after="200"/>
    </w:pPr>
    <w:rPr>
      <w:sz w:val="48"/>
      <w:szCs w:val="48"/>
    </w:rPr>
  </w:style>
  <w:style w:type="character" w:styleId="1102">
    <w:name w:val="Title Char"/>
    <w:link w:val="1101"/>
    <w:uiPriority w:val="10"/>
    <w:rPr>
      <w:sz w:val="48"/>
      <w:szCs w:val="48"/>
    </w:rPr>
  </w:style>
  <w:style w:type="paragraph" w:styleId="1103">
    <w:name w:val="Subtitle"/>
    <w:basedOn w:val="1259"/>
    <w:next w:val="1259"/>
    <w:link w:val="1104"/>
    <w:uiPriority w:val="11"/>
    <w:qFormat/>
    <w:pPr>
      <w:spacing w:before="200" w:after="200"/>
    </w:pPr>
    <w:rPr>
      <w:sz w:val="24"/>
      <w:szCs w:val="24"/>
    </w:rPr>
  </w:style>
  <w:style w:type="character" w:styleId="1104">
    <w:name w:val="Subtitle Char"/>
    <w:link w:val="1103"/>
    <w:uiPriority w:val="11"/>
    <w:rPr>
      <w:sz w:val="24"/>
      <w:szCs w:val="24"/>
    </w:rPr>
  </w:style>
  <w:style w:type="paragraph" w:styleId="1105">
    <w:name w:val="Quote"/>
    <w:basedOn w:val="1259"/>
    <w:next w:val="1259"/>
    <w:link w:val="1106"/>
    <w:uiPriority w:val="29"/>
    <w:qFormat/>
    <w:pPr>
      <w:ind w:left="720" w:right="720"/>
    </w:pPr>
    <w:rPr>
      <w:i/>
    </w:rPr>
  </w:style>
  <w:style w:type="character" w:styleId="1106">
    <w:name w:val="Quote Char"/>
    <w:link w:val="1105"/>
    <w:uiPriority w:val="29"/>
    <w:rPr>
      <w:i/>
    </w:rPr>
  </w:style>
  <w:style w:type="paragraph" w:styleId="1107">
    <w:name w:val="Intense Quote"/>
    <w:basedOn w:val="1259"/>
    <w:next w:val="1259"/>
    <w:link w:val="11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8">
    <w:name w:val="Intense Quote Char"/>
    <w:link w:val="1107"/>
    <w:uiPriority w:val="30"/>
    <w:rPr>
      <w:i/>
    </w:rPr>
  </w:style>
  <w:style w:type="paragraph" w:styleId="1109">
    <w:name w:val="Header"/>
    <w:basedOn w:val="1259"/>
    <w:link w:val="1110"/>
    <w:uiPriority w:val="99"/>
    <w:unhideWhenUsed/>
    <w:pPr>
      <w:spacing w:after="0" w:line="240" w:lineRule="auto"/>
      <w:tabs>
        <w:tab w:val="center" w:pos="7143" w:leader="none"/>
        <w:tab w:val="right" w:pos="14287" w:leader="none"/>
      </w:tabs>
    </w:pPr>
  </w:style>
  <w:style w:type="character" w:styleId="1110">
    <w:name w:val="Header Char"/>
    <w:link w:val="1109"/>
    <w:uiPriority w:val="99"/>
  </w:style>
  <w:style w:type="paragraph" w:styleId="1111">
    <w:name w:val="Footer"/>
    <w:basedOn w:val="1259"/>
    <w:link w:val="1114"/>
    <w:uiPriority w:val="99"/>
    <w:unhideWhenUsed/>
    <w:pPr>
      <w:spacing w:after="0" w:line="240" w:lineRule="auto"/>
      <w:tabs>
        <w:tab w:val="center" w:pos="7143" w:leader="none"/>
        <w:tab w:val="right" w:pos="14287" w:leader="none"/>
      </w:tabs>
    </w:pPr>
  </w:style>
  <w:style w:type="character" w:styleId="1112">
    <w:name w:val="Footer Char"/>
    <w:link w:val="1111"/>
    <w:uiPriority w:val="99"/>
  </w:style>
  <w:style w:type="paragraph" w:styleId="1113">
    <w:name w:val="Caption"/>
    <w:basedOn w:val="1259"/>
    <w:next w:val="1259"/>
    <w:uiPriority w:val="35"/>
    <w:semiHidden/>
    <w:unhideWhenUsed/>
    <w:qFormat/>
    <w:pPr>
      <w:spacing w:line="276" w:lineRule="auto"/>
    </w:pPr>
    <w:rPr>
      <w:b/>
      <w:bCs/>
      <w:color w:val="4f81bd" w:themeColor="accent1"/>
      <w:sz w:val="18"/>
      <w:szCs w:val="18"/>
    </w:rPr>
  </w:style>
  <w:style w:type="character" w:styleId="1114">
    <w:name w:val="Caption Char"/>
    <w:basedOn w:val="1113"/>
    <w:link w:val="1111"/>
    <w:uiPriority w:val="99"/>
  </w:style>
  <w:style w:type="table" w:styleId="11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1">
    <w:name w:val="Hyperlink"/>
    <w:uiPriority w:val="99"/>
    <w:unhideWhenUsed/>
    <w:rPr>
      <w:color w:val="0000ff" w:themeColor="hyperlink"/>
      <w:u w:val="single"/>
    </w:rPr>
  </w:style>
  <w:style w:type="paragraph" w:styleId="1242">
    <w:name w:val="footnote text"/>
    <w:basedOn w:val="1259"/>
    <w:link w:val="1243"/>
    <w:uiPriority w:val="99"/>
    <w:semiHidden/>
    <w:unhideWhenUsed/>
    <w:pPr>
      <w:spacing w:after="40" w:line="240" w:lineRule="auto"/>
    </w:pPr>
    <w:rPr>
      <w:sz w:val="18"/>
    </w:rPr>
  </w:style>
  <w:style w:type="character" w:styleId="1243">
    <w:name w:val="Footnote Text Char"/>
    <w:link w:val="1242"/>
    <w:uiPriority w:val="99"/>
    <w:rPr>
      <w:sz w:val="18"/>
    </w:rPr>
  </w:style>
  <w:style w:type="character" w:styleId="1244">
    <w:name w:val="footnote reference"/>
    <w:uiPriority w:val="99"/>
    <w:unhideWhenUsed/>
    <w:rPr>
      <w:vertAlign w:val="superscript"/>
    </w:rPr>
  </w:style>
  <w:style w:type="paragraph" w:styleId="1245">
    <w:name w:val="endnote text"/>
    <w:basedOn w:val="1259"/>
    <w:link w:val="1246"/>
    <w:uiPriority w:val="99"/>
    <w:semiHidden/>
    <w:unhideWhenUsed/>
    <w:pPr>
      <w:spacing w:after="0" w:line="240" w:lineRule="auto"/>
    </w:pPr>
    <w:rPr>
      <w:sz w:val="20"/>
    </w:rPr>
  </w:style>
  <w:style w:type="character" w:styleId="1246">
    <w:name w:val="Endnote Text Char"/>
    <w:link w:val="1245"/>
    <w:uiPriority w:val="99"/>
    <w:rPr>
      <w:sz w:val="20"/>
    </w:rPr>
  </w:style>
  <w:style w:type="character" w:styleId="1247">
    <w:name w:val="endnote reference"/>
    <w:uiPriority w:val="99"/>
    <w:semiHidden/>
    <w:unhideWhenUsed/>
    <w:rPr>
      <w:vertAlign w:val="superscript"/>
    </w:rPr>
  </w:style>
  <w:style w:type="paragraph" w:styleId="1248">
    <w:name w:val="toc 1"/>
    <w:basedOn w:val="1259"/>
    <w:next w:val="1259"/>
    <w:uiPriority w:val="39"/>
    <w:unhideWhenUsed/>
    <w:pPr>
      <w:ind w:left="0" w:right="0" w:firstLine="0"/>
      <w:spacing w:after="57"/>
    </w:pPr>
  </w:style>
  <w:style w:type="paragraph" w:styleId="1249">
    <w:name w:val="toc 2"/>
    <w:basedOn w:val="1259"/>
    <w:next w:val="1259"/>
    <w:uiPriority w:val="39"/>
    <w:unhideWhenUsed/>
    <w:pPr>
      <w:ind w:left="283" w:right="0" w:firstLine="0"/>
      <w:spacing w:after="57"/>
    </w:pPr>
  </w:style>
  <w:style w:type="paragraph" w:styleId="1250">
    <w:name w:val="toc 3"/>
    <w:basedOn w:val="1259"/>
    <w:next w:val="1259"/>
    <w:uiPriority w:val="39"/>
    <w:unhideWhenUsed/>
    <w:pPr>
      <w:ind w:left="567" w:right="0" w:firstLine="0"/>
      <w:spacing w:after="57"/>
    </w:pPr>
  </w:style>
  <w:style w:type="paragraph" w:styleId="1251">
    <w:name w:val="toc 4"/>
    <w:basedOn w:val="1259"/>
    <w:next w:val="1259"/>
    <w:uiPriority w:val="39"/>
    <w:unhideWhenUsed/>
    <w:pPr>
      <w:ind w:left="850" w:right="0" w:firstLine="0"/>
      <w:spacing w:after="57"/>
    </w:pPr>
  </w:style>
  <w:style w:type="paragraph" w:styleId="1252">
    <w:name w:val="toc 5"/>
    <w:basedOn w:val="1259"/>
    <w:next w:val="1259"/>
    <w:uiPriority w:val="39"/>
    <w:unhideWhenUsed/>
    <w:pPr>
      <w:ind w:left="1134" w:right="0" w:firstLine="0"/>
      <w:spacing w:after="57"/>
    </w:pPr>
  </w:style>
  <w:style w:type="paragraph" w:styleId="1253">
    <w:name w:val="toc 6"/>
    <w:basedOn w:val="1259"/>
    <w:next w:val="1259"/>
    <w:uiPriority w:val="39"/>
    <w:unhideWhenUsed/>
    <w:pPr>
      <w:ind w:left="1417" w:right="0" w:firstLine="0"/>
      <w:spacing w:after="57"/>
    </w:pPr>
  </w:style>
  <w:style w:type="paragraph" w:styleId="1254">
    <w:name w:val="toc 7"/>
    <w:basedOn w:val="1259"/>
    <w:next w:val="1259"/>
    <w:uiPriority w:val="39"/>
    <w:unhideWhenUsed/>
    <w:pPr>
      <w:ind w:left="1701" w:right="0" w:firstLine="0"/>
      <w:spacing w:after="57"/>
    </w:pPr>
  </w:style>
  <w:style w:type="paragraph" w:styleId="1255">
    <w:name w:val="toc 8"/>
    <w:basedOn w:val="1259"/>
    <w:next w:val="1259"/>
    <w:uiPriority w:val="39"/>
    <w:unhideWhenUsed/>
    <w:pPr>
      <w:ind w:left="1984" w:right="0" w:firstLine="0"/>
      <w:spacing w:after="57"/>
    </w:pPr>
  </w:style>
  <w:style w:type="paragraph" w:styleId="1256">
    <w:name w:val="toc 9"/>
    <w:basedOn w:val="1259"/>
    <w:next w:val="1259"/>
    <w:uiPriority w:val="39"/>
    <w:unhideWhenUsed/>
    <w:pPr>
      <w:ind w:left="2268" w:right="0" w:firstLine="0"/>
      <w:spacing w:after="57"/>
    </w:pPr>
  </w:style>
  <w:style w:type="paragraph" w:styleId="1257">
    <w:name w:val="TOC Heading"/>
    <w:uiPriority w:val="39"/>
    <w:unhideWhenUsed/>
  </w:style>
  <w:style w:type="paragraph" w:styleId="1258">
    <w:name w:val="table of figures"/>
    <w:basedOn w:val="1259"/>
    <w:next w:val="1259"/>
    <w:uiPriority w:val="99"/>
    <w:unhideWhenUsed/>
    <w:pPr>
      <w:spacing w:after="0" w:afterAutospacing="0"/>
    </w:pPr>
  </w:style>
  <w:style w:type="paragraph" w:styleId="1259" w:default="1">
    <w:name w:val="Normal"/>
    <w:next w:val="1259"/>
    <w:link w:val="1259"/>
    <w:qFormat/>
    <w:pPr>
      <w:jc w:val="both"/>
      <w:widowControl w:val="off"/>
    </w:pPr>
    <w:rPr>
      <w:sz w:val="21"/>
      <w:szCs w:val="24"/>
      <w:lang w:val="en-US" w:eastAsia="zh-CN" w:bidi="ar-SA"/>
    </w:rPr>
  </w:style>
  <w:style w:type="paragraph" w:styleId="1260">
    <w:name w:val="标题 1"/>
    <w:basedOn w:val="1259"/>
    <w:next w:val="1259"/>
    <w:link w:val="1271"/>
    <w:qFormat/>
    <w:pPr>
      <w:jc w:val="center"/>
      <w:keepLines/>
      <w:keepNext/>
      <w:spacing w:before="240" w:after="120" w:line="300" w:lineRule="auto"/>
      <w:outlineLvl w:val="0"/>
    </w:pPr>
    <w:rPr>
      <w:rFonts w:ascii="宋体"/>
      <w:b/>
      <w:sz w:val="32"/>
      <w:szCs w:val="20"/>
    </w:rPr>
  </w:style>
  <w:style w:type="paragraph" w:styleId="1261">
    <w:name w:val="标题 2"/>
    <w:basedOn w:val="1259"/>
    <w:next w:val="1273"/>
    <w:link w:val="1272"/>
    <w:qFormat/>
    <w:pPr>
      <w:jc w:val="center"/>
      <w:keepLines/>
      <w:keepNext/>
      <w:spacing w:before="120" w:line="300" w:lineRule="auto"/>
      <w:outlineLvl w:val="1"/>
    </w:pPr>
    <w:rPr>
      <w:rFonts w:ascii="Arial" w:hAnsi="Arial" w:eastAsia="黑体"/>
      <w:b/>
      <w:sz w:val="30"/>
      <w:szCs w:val="20"/>
    </w:rPr>
  </w:style>
  <w:style w:type="paragraph" w:styleId="1262">
    <w:name w:val="标题 3"/>
    <w:basedOn w:val="1259"/>
    <w:next w:val="1259"/>
    <w:link w:val="1275"/>
    <w:qFormat/>
    <w:pPr>
      <w:jc w:val="left"/>
      <w:keepLines/>
      <w:keepNext/>
      <w:spacing w:before="360" w:after="120"/>
      <w:outlineLvl w:val="2"/>
    </w:pPr>
    <w:rPr>
      <w:rFonts w:ascii="宋体"/>
      <w:b/>
      <w:sz w:val="24"/>
      <w:szCs w:val="20"/>
      <w:u w:val="single"/>
    </w:rPr>
  </w:style>
  <w:style w:type="paragraph" w:styleId="1263">
    <w:name w:val="标题 4"/>
    <w:basedOn w:val="1259"/>
    <w:next w:val="1259"/>
    <w:link w:val="1276"/>
    <w:qFormat/>
    <w:pPr>
      <w:keepLines/>
      <w:keepNext/>
      <w:spacing w:before="280" w:after="290" w:line="376" w:lineRule="atLeast"/>
      <w:outlineLvl w:val="3"/>
    </w:pPr>
    <w:rPr>
      <w:rFonts w:ascii="Arial" w:hAnsi="Arial" w:eastAsia="黑体"/>
      <w:b/>
      <w:sz w:val="28"/>
      <w:szCs w:val="20"/>
    </w:rPr>
  </w:style>
  <w:style w:type="paragraph" w:styleId="1264">
    <w:name w:val="标题 5"/>
    <w:basedOn w:val="1259"/>
    <w:next w:val="1259"/>
    <w:link w:val="1277"/>
    <w:qFormat/>
    <w:pPr>
      <w:keepLines/>
      <w:keepNext/>
      <w:spacing w:before="280" w:after="290" w:line="376" w:lineRule="atLeast"/>
      <w:outlineLvl w:val="4"/>
    </w:pPr>
    <w:rPr>
      <w:b/>
      <w:sz w:val="28"/>
      <w:szCs w:val="20"/>
    </w:rPr>
  </w:style>
  <w:style w:type="paragraph" w:styleId="1265">
    <w:name w:val="标题 6"/>
    <w:basedOn w:val="1259"/>
    <w:next w:val="1259"/>
    <w:link w:val="1278"/>
    <w:qFormat/>
    <w:pPr>
      <w:keepLines/>
      <w:keepNext/>
      <w:spacing w:before="240" w:after="64" w:line="320" w:lineRule="atLeast"/>
      <w:outlineLvl w:val="5"/>
    </w:pPr>
    <w:rPr>
      <w:rFonts w:ascii="Arial" w:hAnsi="Arial" w:eastAsia="黑体"/>
      <w:b/>
      <w:sz w:val="24"/>
      <w:szCs w:val="20"/>
    </w:rPr>
  </w:style>
  <w:style w:type="paragraph" w:styleId="1266">
    <w:name w:val="标题 7"/>
    <w:basedOn w:val="1259"/>
    <w:next w:val="1259"/>
    <w:link w:val="1279"/>
    <w:qFormat/>
    <w:pPr>
      <w:keepLines/>
      <w:keepNext/>
      <w:spacing w:before="240" w:after="64" w:line="320" w:lineRule="atLeast"/>
      <w:outlineLvl w:val="6"/>
    </w:pPr>
    <w:rPr>
      <w:b/>
      <w:sz w:val="24"/>
      <w:szCs w:val="20"/>
    </w:rPr>
  </w:style>
  <w:style w:type="paragraph" w:styleId="1267">
    <w:name w:val="标题 8"/>
    <w:basedOn w:val="1259"/>
    <w:next w:val="1259"/>
    <w:link w:val="1280"/>
    <w:qFormat/>
    <w:pPr>
      <w:keepLines/>
      <w:keepNext/>
      <w:spacing w:before="240" w:after="64" w:line="320" w:lineRule="atLeast"/>
      <w:outlineLvl w:val="7"/>
    </w:pPr>
    <w:rPr>
      <w:rFonts w:ascii="Arial" w:hAnsi="Arial" w:eastAsia="黑体"/>
      <w:sz w:val="24"/>
      <w:szCs w:val="20"/>
    </w:rPr>
  </w:style>
  <w:style w:type="paragraph" w:styleId="1268">
    <w:name w:val="标题 9"/>
    <w:basedOn w:val="1259"/>
    <w:next w:val="1259"/>
    <w:link w:val="1281"/>
    <w:qFormat/>
    <w:pPr>
      <w:keepLines/>
      <w:keepNext/>
      <w:spacing w:before="240" w:after="64" w:line="320" w:lineRule="atLeast"/>
      <w:outlineLvl w:val="8"/>
    </w:pPr>
    <w:rPr>
      <w:rFonts w:ascii="Arial" w:hAnsi="Arial" w:eastAsia="黑体"/>
      <w:szCs w:val="20"/>
    </w:rPr>
  </w:style>
  <w:style w:type="character" w:styleId="1269">
    <w:name w:val="默认段落字体"/>
    <w:next w:val="1269"/>
    <w:link w:val="1259"/>
    <w:uiPriority w:val="1"/>
    <w:unhideWhenUsed/>
    <w:qFormat/>
  </w:style>
  <w:style w:type="table" w:styleId="1270">
    <w:name w:val="普通表格"/>
    <w:next w:val="1270"/>
    <w:link w:val="1259"/>
    <w:uiPriority w:val="99"/>
    <w:unhideWhenUsed/>
    <w:qFormat/>
    <w:tblPr/>
  </w:style>
  <w:style w:type="character" w:styleId="1271">
    <w:name w:val="标题 1 Char"/>
    <w:next w:val="1271"/>
    <w:link w:val="1260"/>
    <w:qFormat/>
    <w:rPr>
      <w:rFonts w:ascii="宋体"/>
      <w:b/>
      <w:sz w:val="32"/>
    </w:rPr>
  </w:style>
  <w:style w:type="character" w:styleId="1272">
    <w:name w:val="标题 2 Char1"/>
    <w:next w:val="1272"/>
    <w:link w:val="1261"/>
    <w:qFormat/>
    <w:rPr>
      <w:rFonts w:ascii="Arial" w:hAnsi="Arial" w:eastAsia="黑体"/>
      <w:b/>
      <w:sz w:val="30"/>
      <w:lang w:val="en-US" w:eastAsia="zh-CN" w:bidi="ar-SA"/>
    </w:rPr>
  </w:style>
  <w:style w:type="paragraph" w:styleId="1273">
    <w:name w:val="正文缩进"/>
    <w:basedOn w:val="1259"/>
    <w:next w:val="1259"/>
    <w:link w:val="1274"/>
    <w:qFormat/>
    <w:pPr>
      <w:ind w:firstLine="420"/>
      <w:jc w:val="left"/>
    </w:pPr>
    <w:rPr>
      <w:rFonts w:ascii="宋体"/>
      <w:sz w:val="24"/>
    </w:rPr>
  </w:style>
  <w:style w:type="character" w:styleId="1274">
    <w:name w:val="正文缩进 Char1"/>
    <w:next w:val="1274"/>
    <w:link w:val="1273"/>
    <w:qFormat/>
    <w:rPr>
      <w:rFonts w:ascii="宋体" w:eastAsia="宋体"/>
      <w:sz w:val="24"/>
      <w:szCs w:val="24"/>
      <w:lang w:val="en-US" w:eastAsia="zh-CN" w:bidi="ar-SA"/>
    </w:rPr>
  </w:style>
  <w:style w:type="character" w:styleId="1275">
    <w:name w:val="标题 3 Char1"/>
    <w:next w:val="1275"/>
    <w:link w:val="1262"/>
    <w:qFormat/>
    <w:rPr>
      <w:rFonts w:ascii="宋体" w:eastAsia="宋体"/>
      <w:b/>
      <w:sz w:val="24"/>
      <w:u w:val="single"/>
      <w:lang w:val="en-US" w:eastAsia="zh-CN" w:bidi="ar-SA"/>
    </w:rPr>
  </w:style>
  <w:style w:type="character" w:styleId="1276">
    <w:name w:val="标题 4 Char"/>
    <w:next w:val="1276"/>
    <w:link w:val="1263"/>
    <w:qFormat/>
    <w:rPr>
      <w:rFonts w:ascii="Arial" w:hAnsi="Arial" w:eastAsia="黑体"/>
      <w:b/>
      <w:sz w:val="28"/>
    </w:rPr>
  </w:style>
  <w:style w:type="character" w:styleId="1277">
    <w:name w:val="标题 5 Char"/>
    <w:next w:val="1277"/>
    <w:link w:val="1264"/>
    <w:qFormat/>
    <w:rPr>
      <w:b/>
      <w:sz w:val="28"/>
    </w:rPr>
  </w:style>
  <w:style w:type="character" w:styleId="1278">
    <w:name w:val="标题 6 Char"/>
    <w:next w:val="1278"/>
    <w:link w:val="1265"/>
    <w:qFormat/>
    <w:rPr>
      <w:rFonts w:ascii="Arial" w:hAnsi="Arial" w:eastAsia="黑体"/>
      <w:b/>
      <w:sz w:val="24"/>
    </w:rPr>
  </w:style>
  <w:style w:type="character" w:styleId="1279">
    <w:name w:val="标题 7 Char"/>
    <w:next w:val="1279"/>
    <w:link w:val="1266"/>
    <w:qFormat/>
    <w:rPr>
      <w:b/>
      <w:sz w:val="24"/>
    </w:rPr>
  </w:style>
  <w:style w:type="character" w:styleId="1280">
    <w:name w:val="标题 8 Char"/>
    <w:next w:val="1280"/>
    <w:link w:val="1267"/>
    <w:qFormat/>
    <w:rPr>
      <w:rFonts w:ascii="Arial" w:hAnsi="Arial" w:eastAsia="黑体"/>
      <w:sz w:val="24"/>
    </w:rPr>
  </w:style>
  <w:style w:type="character" w:styleId="1281">
    <w:name w:val="标题 9 Char"/>
    <w:next w:val="1281"/>
    <w:link w:val="1268"/>
    <w:qFormat/>
    <w:rPr>
      <w:rFonts w:ascii="Arial" w:hAnsi="Arial" w:eastAsia="黑体"/>
      <w:sz w:val="21"/>
    </w:rPr>
  </w:style>
  <w:style w:type="paragraph" w:styleId="1282">
    <w:name w:val="目录 7"/>
    <w:basedOn w:val="1259"/>
    <w:next w:val="1259"/>
    <w:link w:val="1259"/>
    <w:qFormat/>
    <w:pPr>
      <w:ind w:left="2520"/>
    </w:pPr>
  </w:style>
  <w:style w:type="paragraph" w:styleId="1283">
    <w:name w:val="题注"/>
    <w:basedOn w:val="1259"/>
    <w:next w:val="1259"/>
    <w:link w:val="1259"/>
    <w:qFormat/>
    <w:pPr>
      <w:spacing w:line="480" w:lineRule="auto"/>
    </w:pPr>
    <w:rPr>
      <w:rFonts w:ascii="华文中宋" w:hAnsi="华文中宋" w:eastAsia="华文中宋"/>
      <w:sz w:val="36"/>
      <w:szCs w:val="20"/>
    </w:rPr>
  </w:style>
  <w:style w:type="paragraph" w:styleId="1284">
    <w:name w:val="文档结构图"/>
    <w:basedOn w:val="1259"/>
    <w:next w:val="1284"/>
    <w:link w:val="1285"/>
    <w:qFormat/>
    <w:pPr>
      <w:shd w:val="clear" w:color="auto" w:fill="000080"/>
    </w:pPr>
  </w:style>
  <w:style w:type="character" w:styleId="1285">
    <w:name w:val="文档结构图 Char"/>
    <w:next w:val="1285"/>
    <w:link w:val="1284"/>
    <w:qFormat/>
    <w:rPr>
      <w:sz w:val="21"/>
      <w:szCs w:val="24"/>
      <w:shd w:val="clear" w:color="auto" w:fill="000080"/>
    </w:rPr>
  </w:style>
  <w:style w:type="paragraph" w:styleId="1286">
    <w:name w:val="批注文字"/>
    <w:basedOn w:val="1259"/>
    <w:next w:val="1286"/>
    <w:link w:val="1287"/>
    <w:qFormat/>
    <w:pPr>
      <w:jc w:val="left"/>
    </w:pPr>
  </w:style>
  <w:style w:type="character" w:styleId="1287">
    <w:name w:val="批注文字 Char1"/>
    <w:next w:val="1287"/>
    <w:link w:val="1286"/>
    <w:uiPriority w:val="99"/>
    <w:qFormat/>
    <w:rPr>
      <w:sz w:val="21"/>
      <w:szCs w:val="24"/>
    </w:rPr>
  </w:style>
  <w:style w:type="paragraph" w:styleId="1288">
    <w:name w:val="正文文本 3"/>
    <w:basedOn w:val="1259"/>
    <w:next w:val="1288"/>
    <w:link w:val="1289"/>
    <w:qFormat/>
    <w:pPr>
      <w:spacing w:after="120"/>
    </w:pPr>
    <w:rPr>
      <w:sz w:val="16"/>
      <w:szCs w:val="16"/>
    </w:rPr>
  </w:style>
  <w:style w:type="character" w:styleId="1289">
    <w:name w:val="正文文本 3 Char"/>
    <w:next w:val="1289"/>
    <w:link w:val="1288"/>
    <w:qFormat/>
    <w:rPr>
      <w:sz w:val="16"/>
      <w:szCs w:val="16"/>
    </w:rPr>
  </w:style>
  <w:style w:type="paragraph" w:styleId="1290">
    <w:name w:val="正文文本"/>
    <w:basedOn w:val="1259"/>
    <w:next w:val="1259"/>
    <w:link w:val="1291"/>
    <w:qFormat/>
    <w:pPr>
      <w:spacing w:before="120" w:line="22" w:lineRule="atLeast"/>
      <w:tabs>
        <w:tab w:val="left" w:pos="567" w:leader="none"/>
      </w:tabs>
    </w:pPr>
    <w:rPr>
      <w:rFonts w:ascii="宋体" w:hAnsi="宋体"/>
      <w:sz w:val="24"/>
    </w:rPr>
  </w:style>
  <w:style w:type="character" w:styleId="1291">
    <w:name w:val="正文文本 Char1"/>
    <w:next w:val="1291"/>
    <w:link w:val="1290"/>
    <w:qFormat/>
    <w:rPr>
      <w:rFonts w:ascii="宋体" w:hAnsi="宋体"/>
      <w:sz w:val="24"/>
      <w:szCs w:val="24"/>
    </w:rPr>
  </w:style>
  <w:style w:type="paragraph" w:styleId="1292">
    <w:name w:val="正文文本缩进"/>
    <w:basedOn w:val="1259"/>
    <w:next w:val="1292"/>
    <w:link w:val="1293"/>
    <w:uiPriority w:val="99"/>
    <w:qFormat/>
    <w:pPr>
      <w:ind w:firstLine="570"/>
      <w:spacing w:line="360" w:lineRule="auto"/>
    </w:pPr>
    <w:rPr>
      <w:sz w:val="24"/>
    </w:rPr>
  </w:style>
  <w:style w:type="character" w:styleId="1293">
    <w:name w:val="正文文本缩进 Char2"/>
    <w:next w:val="1293"/>
    <w:link w:val="1292"/>
    <w:uiPriority w:val="99"/>
    <w:qFormat/>
    <w:rPr>
      <w:rFonts w:eastAsia="宋体"/>
      <w:sz w:val="24"/>
      <w:szCs w:val="24"/>
      <w:lang w:val="en-US" w:eastAsia="zh-CN" w:bidi="ar-SA"/>
    </w:rPr>
  </w:style>
  <w:style w:type="paragraph" w:styleId="1294">
    <w:name w:val="列表 2"/>
    <w:basedOn w:val="1259"/>
    <w:next w:val="1294"/>
    <w:link w:val="1259"/>
    <w:qFormat/>
    <w:pPr>
      <w:ind w:left="100" w:hanging="200"/>
    </w:pPr>
  </w:style>
  <w:style w:type="paragraph" w:styleId="1295">
    <w:name w:val="文本块"/>
    <w:basedOn w:val="1259"/>
    <w:next w:val="1295"/>
    <w:link w:val="1259"/>
    <w:qFormat/>
    <w:pPr>
      <w:ind w:left="480" w:right="-341" w:firstLine="513"/>
      <w:widowControl/>
    </w:pPr>
    <w:rPr>
      <w:sz w:val="24"/>
      <w:szCs w:val="20"/>
    </w:rPr>
  </w:style>
  <w:style w:type="paragraph" w:styleId="1296">
    <w:name w:val="目录 5"/>
    <w:basedOn w:val="1259"/>
    <w:next w:val="1259"/>
    <w:link w:val="1259"/>
    <w:qFormat/>
    <w:pPr>
      <w:ind w:left="1680"/>
    </w:pPr>
  </w:style>
  <w:style w:type="paragraph" w:styleId="1297">
    <w:name w:val="目录 3"/>
    <w:basedOn w:val="1259"/>
    <w:next w:val="1259"/>
    <w:link w:val="1259"/>
    <w:uiPriority w:val="39"/>
    <w:qFormat/>
    <w:pPr>
      <w:ind w:left="840"/>
    </w:pPr>
  </w:style>
  <w:style w:type="paragraph" w:styleId="1298">
    <w:name w:val="纯文本"/>
    <w:basedOn w:val="1259"/>
    <w:next w:val="1298"/>
    <w:link w:val="1299"/>
    <w:uiPriority w:val="99"/>
    <w:qFormat/>
    <w:rPr>
      <w:rFonts w:hint="eastAsia" w:ascii="宋体" w:hAnsi="Courier New"/>
      <w:szCs w:val="20"/>
    </w:rPr>
  </w:style>
  <w:style w:type="character" w:styleId="1299">
    <w:name w:val="纯文本 Char"/>
    <w:next w:val="1299"/>
    <w:link w:val="1298"/>
    <w:qFormat/>
    <w:rPr>
      <w:rFonts w:hint="eastAsia" w:ascii="宋体" w:hAnsi="Courier New" w:eastAsia="宋体" w:cs="宋体"/>
      <w:sz w:val="21"/>
    </w:rPr>
  </w:style>
  <w:style w:type="paragraph" w:styleId="1300">
    <w:name w:val="目录 8"/>
    <w:basedOn w:val="1259"/>
    <w:next w:val="1259"/>
    <w:link w:val="1259"/>
    <w:qFormat/>
    <w:pPr>
      <w:ind w:left="2940"/>
    </w:pPr>
  </w:style>
  <w:style w:type="paragraph" w:styleId="1301">
    <w:name w:val="日期"/>
    <w:basedOn w:val="1259"/>
    <w:next w:val="1259"/>
    <w:link w:val="1302"/>
    <w:qFormat/>
    <w:pPr>
      <w:ind w:left="100"/>
    </w:pPr>
    <w:rPr>
      <w:rFonts w:ascii="仿宋_GB2312" w:hAnsi="宋体" w:eastAsia="仿宋_GB2312"/>
      <w:color w:val="000000"/>
      <w:sz w:val="24"/>
    </w:rPr>
  </w:style>
  <w:style w:type="character" w:styleId="1302">
    <w:name w:val="日期 Char"/>
    <w:next w:val="1302"/>
    <w:link w:val="1301"/>
    <w:qFormat/>
    <w:rPr>
      <w:rFonts w:ascii="仿宋_GB2312" w:hAnsi="宋体" w:eastAsia="仿宋_GB2312"/>
      <w:color w:val="000000"/>
      <w:sz w:val="24"/>
      <w:szCs w:val="24"/>
    </w:rPr>
  </w:style>
  <w:style w:type="paragraph" w:styleId="1303">
    <w:name w:val="正文文本缩进 2"/>
    <w:basedOn w:val="1259"/>
    <w:next w:val="1303"/>
    <w:link w:val="1304"/>
    <w:qFormat/>
    <w:pPr>
      <w:ind w:firstLine="480"/>
    </w:pPr>
    <w:rPr>
      <w:rFonts w:ascii="仿宋_GB2312" w:eastAsia="仿宋_GB2312"/>
      <w:sz w:val="24"/>
    </w:rPr>
  </w:style>
  <w:style w:type="character" w:styleId="1304">
    <w:name w:val="正文文本缩进 2 Char"/>
    <w:next w:val="1304"/>
    <w:link w:val="1303"/>
    <w:qFormat/>
    <w:rPr>
      <w:rFonts w:ascii="仿宋_GB2312" w:eastAsia="仿宋_GB2312"/>
      <w:sz w:val="24"/>
      <w:szCs w:val="24"/>
    </w:rPr>
  </w:style>
  <w:style w:type="paragraph" w:styleId="1305">
    <w:name w:val="批注框文本"/>
    <w:basedOn w:val="1259"/>
    <w:next w:val="1305"/>
    <w:link w:val="1306"/>
    <w:qFormat/>
    <w:rPr>
      <w:sz w:val="18"/>
      <w:szCs w:val="18"/>
    </w:rPr>
  </w:style>
  <w:style w:type="character" w:styleId="1306">
    <w:name w:val="批注框文本 Char"/>
    <w:next w:val="1306"/>
    <w:link w:val="1305"/>
    <w:qFormat/>
    <w:rPr>
      <w:sz w:val="18"/>
      <w:szCs w:val="18"/>
    </w:rPr>
  </w:style>
  <w:style w:type="paragraph" w:styleId="1307">
    <w:name w:val="页脚"/>
    <w:basedOn w:val="1259"/>
    <w:next w:val="1307"/>
    <w:link w:val="1308"/>
    <w:uiPriority w:val="99"/>
    <w:qFormat/>
    <w:pPr>
      <w:jc w:val="left"/>
      <w:tabs>
        <w:tab w:val="center" w:pos="4153" w:leader="none"/>
        <w:tab w:val="right" w:pos="8306" w:leader="none"/>
      </w:tabs>
    </w:pPr>
    <w:rPr>
      <w:rFonts w:ascii="宋体"/>
      <w:sz w:val="18"/>
      <w:szCs w:val="20"/>
    </w:rPr>
  </w:style>
  <w:style w:type="character" w:styleId="1308">
    <w:name w:val="页脚 Char2"/>
    <w:next w:val="1308"/>
    <w:link w:val="1307"/>
    <w:uiPriority w:val="99"/>
    <w:qFormat/>
    <w:rPr>
      <w:rFonts w:ascii="宋体" w:eastAsia="宋体"/>
      <w:sz w:val="18"/>
      <w:lang w:val="en-US" w:eastAsia="zh-CN" w:bidi="ar-SA"/>
    </w:rPr>
  </w:style>
  <w:style w:type="paragraph" w:styleId="1309">
    <w:name w:val="页眉"/>
    <w:basedOn w:val="1259"/>
    <w:next w:val="1309"/>
    <w:link w:val="1310"/>
    <w:qFormat/>
    <w:pPr>
      <w:jc w:val="center"/>
      <w:tabs>
        <w:tab w:val="center" w:pos="4153" w:leader="none"/>
        <w:tab w:val="right" w:pos="8306" w:leader="none"/>
      </w:tabs>
      <w:pBdr>
        <w:bottom w:val="single" w:color="000000" w:sz="6" w:space="1"/>
      </w:pBdr>
    </w:pPr>
    <w:rPr>
      <w:sz w:val="18"/>
      <w:szCs w:val="18"/>
    </w:rPr>
  </w:style>
  <w:style w:type="character" w:styleId="1310">
    <w:name w:val="页眉 Char2"/>
    <w:next w:val="1310"/>
    <w:link w:val="1309"/>
    <w:qFormat/>
    <w:rPr>
      <w:rFonts w:eastAsia="宋体"/>
      <w:sz w:val="18"/>
      <w:szCs w:val="18"/>
      <w:lang w:val="en-US" w:eastAsia="zh-CN" w:bidi="ar-SA"/>
    </w:rPr>
  </w:style>
  <w:style w:type="paragraph" w:styleId="1311">
    <w:name w:val="目录 1"/>
    <w:basedOn w:val="1259"/>
    <w:next w:val="1259"/>
    <w:link w:val="1259"/>
    <w:uiPriority w:val="39"/>
    <w:qFormat/>
    <w:pPr>
      <w:spacing w:line="300" w:lineRule="auto"/>
      <w:tabs>
        <w:tab w:val="left" w:pos="1050" w:leader="none"/>
        <w:tab w:val="right" w:pos="8937" w:leader="dot"/>
      </w:tabs>
    </w:pPr>
    <w:rPr>
      <w:rFonts w:ascii="宋体" w:hAnsi="宋体"/>
      <w:b/>
      <w:sz w:val="24"/>
    </w:rPr>
  </w:style>
  <w:style w:type="paragraph" w:styleId="1312">
    <w:name w:val="目录 4"/>
    <w:basedOn w:val="1259"/>
    <w:next w:val="1259"/>
    <w:link w:val="1259"/>
    <w:qFormat/>
    <w:pPr>
      <w:ind w:left="1260"/>
    </w:pPr>
  </w:style>
  <w:style w:type="paragraph" w:styleId="1313">
    <w:name w:val="目录 6"/>
    <w:basedOn w:val="1259"/>
    <w:next w:val="1259"/>
    <w:link w:val="1259"/>
    <w:qFormat/>
    <w:pPr>
      <w:ind w:left="2100"/>
    </w:pPr>
  </w:style>
  <w:style w:type="paragraph" w:styleId="1314">
    <w:name w:val="正文文本缩进 3"/>
    <w:basedOn w:val="1259"/>
    <w:next w:val="1314"/>
    <w:link w:val="1315"/>
    <w:qFormat/>
    <w:pPr>
      <w:ind w:left="720" w:firstLine="480"/>
      <w:jc w:val="left"/>
      <w:spacing w:before="120" w:line="22" w:lineRule="atLeast"/>
    </w:pPr>
    <w:rPr>
      <w:rFonts w:ascii="宋体"/>
      <w:sz w:val="24"/>
      <w:szCs w:val="20"/>
    </w:rPr>
  </w:style>
  <w:style w:type="character" w:styleId="1315">
    <w:name w:val="正文文本缩进 3 Char"/>
    <w:next w:val="1315"/>
    <w:link w:val="1314"/>
    <w:qFormat/>
    <w:rPr>
      <w:rFonts w:ascii="宋体"/>
      <w:sz w:val="24"/>
    </w:rPr>
  </w:style>
  <w:style w:type="paragraph" w:styleId="1316">
    <w:name w:val="目录 2"/>
    <w:basedOn w:val="1259"/>
    <w:next w:val="1259"/>
    <w:link w:val="1259"/>
    <w:uiPriority w:val="39"/>
    <w:qFormat/>
    <w:pPr>
      <w:ind w:left="420"/>
      <w:spacing w:line="312" w:lineRule="auto"/>
      <w:tabs>
        <w:tab w:val="right" w:pos="8937" w:leader="dot"/>
      </w:tabs>
    </w:pPr>
  </w:style>
  <w:style w:type="paragraph" w:styleId="1317">
    <w:name w:val="目录 9"/>
    <w:basedOn w:val="1259"/>
    <w:next w:val="1259"/>
    <w:link w:val="1259"/>
    <w:qFormat/>
    <w:pPr>
      <w:ind w:left="3360"/>
    </w:pPr>
  </w:style>
  <w:style w:type="paragraph" w:styleId="1318">
    <w:name w:val="HTML 预设格式"/>
    <w:basedOn w:val="1259"/>
    <w:next w:val="1318"/>
    <w:link w:val="13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19">
    <w:name w:val="HTML 预设格式 Char"/>
    <w:next w:val="1319"/>
    <w:link w:val="1318"/>
    <w:qFormat/>
    <w:rPr>
      <w:rFonts w:ascii="宋体" w:hAnsi="宋体" w:cs="宋体"/>
      <w:sz w:val="24"/>
      <w:szCs w:val="24"/>
    </w:rPr>
  </w:style>
  <w:style w:type="paragraph" w:styleId="1320">
    <w:name w:val="普通(网站)"/>
    <w:basedOn w:val="1259"/>
    <w:next w:val="1320"/>
    <w:link w:val="1321"/>
    <w:uiPriority w:val="99"/>
    <w:unhideWhenUsed/>
    <w:qFormat/>
    <w:pPr>
      <w:jc w:val="left"/>
      <w:spacing w:before="100" w:beforeAutospacing="1" w:after="100" w:afterAutospacing="1"/>
      <w:widowControl/>
    </w:pPr>
    <w:rPr>
      <w:rFonts w:ascii="宋体" w:hAnsi="宋体"/>
      <w:sz w:val="24"/>
    </w:rPr>
  </w:style>
  <w:style w:type="character" w:styleId="1321">
    <w:name w:val="普通(网站) Char"/>
    <w:next w:val="1321"/>
    <w:link w:val="1320"/>
    <w:uiPriority w:val="99"/>
    <w:qFormat/>
    <w:rPr>
      <w:rFonts w:ascii="宋体" w:hAnsi="宋体" w:cs="宋体"/>
      <w:sz w:val="24"/>
      <w:szCs w:val="24"/>
    </w:rPr>
  </w:style>
  <w:style w:type="paragraph" w:styleId="1322">
    <w:name w:val="索引 1"/>
    <w:basedOn w:val="1259"/>
    <w:next w:val="1259"/>
    <w:link w:val="1259"/>
    <w:qFormat/>
    <w:rPr>
      <w:szCs w:val="20"/>
    </w:rPr>
  </w:style>
  <w:style w:type="paragraph" w:styleId="1323">
    <w:name w:val="标题"/>
    <w:basedOn w:val="1259"/>
    <w:next w:val="1323"/>
    <w:link w:val="1324"/>
    <w:qFormat/>
    <w:pPr>
      <w:jc w:val="center"/>
      <w:outlineLvl w:val="0"/>
    </w:pPr>
    <w:rPr>
      <w:b/>
      <w:sz w:val="32"/>
      <w:szCs w:val="20"/>
    </w:rPr>
  </w:style>
  <w:style w:type="character" w:styleId="1324">
    <w:name w:val="标题 Char1"/>
    <w:next w:val="1324"/>
    <w:link w:val="1323"/>
    <w:qFormat/>
    <w:rPr>
      <w:b/>
      <w:sz w:val="32"/>
    </w:rPr>
  </w:style>
  <w:style w:type="paragraph" w:styleId="1325">
    <w:name w:val="批注主题"/>
    <w:basedOn w:val="1286"/>
    <w:next w:val="1286"/>
    <w:link w:val="1326"/>
    <w:qFormat/>
    <w:rPr>
      <w:b/>
      <w:bCs/>
      <w:lang w:val="en-US" w:eastAsia="zh-CN"/>
    </w:rPr>
  </w:style>
  <w:style w:type="character" w:styleId="1326">
    <w:name w:val="批注主题 Char"/>
    <w:next w:val="1326"/>
    <w:link w:val="1325"/>
    <w:qFormat/>
    <w:rPr>
      <w:rFonts w:ascii="Times New Roman" w:hAnsi="Times New Roman" w:eastAsia="宋体" w:cs="Times New Roman"/>
      <w:b/>
      <w:bCs/>
      <w:sz w:val="21"/>
      <w:szCs w:val="24"/>
      <w:lang w:val="en-US" w:eastAsia="zh-CN" w:bidi="ar-SA"/>
    </w:rPr>
  </w:style>
  <w:style w:type="paragraph" w:styleId="1327">
    <w:name w:val="正文首行缩进 2"/>
    <w:basedOn w:val="1292"/>
    <w:next w:val="1259"/>
    <w:link w:val="1328"/>
    <w:qFormat/>
    <w:pPr>
      <w:ind w:left="420" w:firstLine="420"/>
      <w:spacing w:after="120" w:line="480" w:lineRule="exact"/>
    </w:pPr>
  </w:style>
  <w:style w:type="character" w:styleId="1328">
    <w:name w:val="正文首行缩进 2 Char"/>
    <w:next w:val="1328"/>
    <w:link w:val="1327"/>
    <w:qFormat/>
    <w:rPr>
      <w:rFonts w:eastAsia="宋体"/>
      <w:sz w:val="24"/>
      <w:szCs w:val="24"/>
      <w:lang w:val="en-US" w:eastAsia="zh-CN" w:bidi="ar-SA"/>
    </w:rPr>
  </w:style>
  <w:style w:type="table" w:styleId="1329">
    <w:name w:val="网格型"/>
    <w:basedOn w:val="1270"/>
    <w:next w:val="1329"/>
    <w:link w:val="1259"/>
    <w:uiPriority w:val="39"/>
    <w:qFormat/>
    <w:tblPr/>
  </w:style>
  <w:style w:type="table" w:styleId="1330">
    <w:name w:val="中等深浅网格 1 - 强调文字颜色 2"/>
    <w:basedOn w:val="1270"/>
    <w:next w:val="1330"/>
    <w:link w:val="1259"/>
    <w:qFormat/>
    <w:rPr>
      <w:sz w:val="21"/>
      <w:szCs w:val="24"/>
    </w:rPr>
    <w:tblPr/>
  </w:style>
  <w:style w:type="character" w:styleId="1331">
    <w:name w:val="要点"/>
    <w:next w:val="1331"/>
    <w:link w:val="1259"/>
    <w:qFormat/>
    <w:rPr>
      <w:b/>
      <w:bCs/>
    </w:rPr>
  </w:style>
  <w:style w:type="character" w:styleId="1332">
    <w:name w:val="页码"/>
    <w:next w:val="1332"/>
    <w:link w:val="1259"/>
    <w:qFormat/>
  </w:style>
  <w:style w:type="character" w:styleId="1333">
    <w:name w:val="已访问的超链接"/>
    <w:next w:val="1333"/>
    <w:link w:val="1259"/>
    <w:qFormat/>
    <w:rPr>
      <w:color w:val="000000"/>
      <w:u w:val="none"/>
    </w:rPr>
  </w:style>
  <w:style w:type="character" w:styleId="1334">
    <w:name w:val="强调"/>
    <w:next w:val="1334"/>
    <w:link w:val="1259"/>
    <w:qFormat/>
    <w:rPr>
      <w:color w:val="cc0033"/>
    </w:rPr>
  </w:style>
  <w:style w:type="character" w:styleId="1335">
    <w:name w:val="HTML 定义"/>
    <w:next w:val="1335"/>
    <w:link w:val="1259"/>
    <w:rPr>
      <w:b w:val="0"/>
      <w:bCs w:val="0"/>
      <w:i w:val="0"/>
      <w:iCs w:val="0"/>
    </w:rPr>
  </w:style>
  <w:style w:type="character" w:styleId="1336">
    <w:name w:val="HTML 打字机"/>
    <w:next w:val="1336"/>
    <w:link w:val="1259"/>
    <w:rPr>
      <w:rFonts w:ascii="monospace" w:hAnsi="monospace" w:eastAsia="monospace" w:cs="monospace"/>
      <w:sz w:val="20"/>
    </w:rPr>
  </w:style>
  <w:style w:type="character" w:styleId="1337">
    <w:name w:val="HTML 缩写"/>
    <w:next w:val="1337"/>
    <w:link w:val="1259"/>
  </w:style>
  <w:style w:type="character" w:styleId="1338">
    <w:name w:val="HTML 变量"/>
    <w:next w:val="1338"/>
    <w:link w:val="1259"/>
    <w:rPr>
      <w:b w:val="0"/>
      <w:bCs w:val="0"/>
      <w:i w:val="0"/>
      <w:iCs w:val="0"/>
    </w:rPr>
  </w:style>
  <w:style w:type="character" w:styleId="1339">
    <w:name w:val="超链接"/>
    <w:next w:val="1339"/>
    <w:link w:val="1259"/>
    <w:uiPriority w:val="99"/>
    <w:qFormat/>
    <w:rPr>
      <w:color w:val="000000"/>
      <w:u w:val="none"/>
    </w:rPr>
  </w:style>
  <w:style w:type="character" w:styleId="1340">
    <w:name w:val="HTML 代码"/>
    <w:next w:val="1340"/>
    <w:link w:val="1259"/>
    <w:rPr>
      <w:rFonts w:ascii="monospace" w:hAnsi="monospace" w:eastAsia="monospace" w:cs="monospace"/>
      <w:b w:val="0"/>
      <w:bCs w:val="0"/>
      <w:i w:val="0"/>
      <w:iCs w:val="0"/>
      <w:sz w:val="20"/>
    </w:rPr>
  </w:style>
  <w:style w:type="character" w:styleId="1341">
    <w:name w:val="批注引用"/>
    <w:next w:val="1341"/>
    <w:link w:val="1259"/>
    <w:uiPriority w:val="99"/>
    <w:qFormat/>
    <w:rPr>
      <w:sz w:val="21"/>
      <w:szCs w:val="21"/>
    </w:rPr>
  </w:style>
  <w:style w:type="character" w:styleId="1342">
    <w:name w:val="HTML 引文"/>
    <w:next w:val="1342"/>
    <w:link w:val="1259"/>
    <w:qFormat/>
    <w:rPr>
      <w:i/>
      <w:iCs/>
    </w:rPr>
  </w:style>
  <w:style w:type="character" w:styleId="1343">
    <w:name w:val="HTML 键盘"/>
    <w:next w:val="1343"/>
    <w:link w:val="1259"/>
    <w:rPr>
      <w:rFonts w:ascii="monospace" w:hAnsi="monospace" w:eastAsia="monospace" w:cs="monospace"/>
      <w:sz w:val="20"/>
    </w:rPr>
  </w:style>
  <w:style w:type="character" w:styleId="1344">
    <w:name w:val="HTML 样本"/>
    <w:next w:val="1344"/>
    <w:link w:val="1259"/>
    <w:rPr>
      <w:rFonts w:ascii="monospace" w:hAnsi="monospace" w:eastAsia="monospace" w:cs="monospace"/>
    </w:rPr>
  </w:style>
  <w:style w:type="paragraph" w:styleId="1345">
    <w:name w:val="正文缩进1"/>
    <w:basedOn w:val="1259"/>
    <w:next w:val="1259"/>
    <w:link w:val="1346"/>
    <w:qFormat/>
    <w:pPr>
      <w:ind w:firstLine="567"/>
      <w:spacing w:line="480" w:lineRule="exact"/>
      <w:widowControl/>
    </w:pPr>
    <w:rPr>
      <w:rFonts w:ascii="宋体"/>
      <w:color w:val="000000"/>
      <w:sz w:val="28"/>
      <w:szCs w:val="20"/>
    </w:rPr>
  </w:style>
  <w:style w:type="character" w:styleId="1346">
    <w:name w:val="正文缩进 Char Char"/>
    <w:next w:val="1346"/>
    <w:link w:val="1345"/>
    <w:qFormat/>
    <w:rPr>
      <w:rFonts w:ascii="宋体" w:eastAsia="宋体"/>
      <w:color w:val="000000"/>
      <w:sz w:val="28"/>
      <w:lang w:bidi="ar-SA"/>
    </w:rPr>
  </w:style>
  <w:style w:type="paragraph" w:styleId="1347">
    <w:name w:val="正文首行缩进 21"/>
    <w:basedOn w:val="1348"/>
    <w:next w:val="1259"/>
    <w:link w:val="1259"/>
    <w:qFormat/>
    <w:pPr>
      <w:ind w:left="420" w:firstLine="420"/>
      <w:spacing w:after="120" w:line="480" w:lineRule="exact"/>
    </w:pPr>
    <w:rPr>
      <w:szCs w:val="20"/>
    </w:rPr>
  </w:style>
  <w:style w:type="paragraph" w:styleId="1348">
    <w:name w:val="正文文本缩进11"/>
    <w:basedOn w:val="1259"/>
    <w:next w:val="1259"/>
    <w:link w:val="1259"/>
    <w:qFormat/>
    <w:pPr>
      <w:ind w:firstLine="570"/>
      <w:spacing w:line="360" w:lineRule="auto"/>
    </w:pPr>
    <w:rPr>
      <w:sz w:val="24"/>
    </w:rPr>
  </w:style>
  <w:style w:type="character" w:styleId="1349">
    <w:name w:val="批注文字 字符"/>
    <w:next w:val="1349"/>
    <w:link w:val="1259"/>
    <w:qFormat/>
    <w:rPr>
      <w:rFonts w:ascii="Times New Roman" w:hAnsi="Times New Roman" w:eastAsia="宋体" w:cs="Times New Roman"/>
      <w:sz w:val="24"/>
      <w:lang w:val="en-US" w:eastAsia="zh-CN" w:bidi="ar-SA"/>
    </w:rPr>
  </w:style>
  <w:style w:type="character" w:styleId="1350">
    <w:name w:val="c21"/>
    <w:next w:val="1350"/>
    <w:link w:val="1259"/>
    <w:qFormat/>
    <w:rPr>
      <w:rFonts w:ascii="ˎ̥" w:hAnsi="ˎ̥"/>
      <w:color w:val="000000"/>
      <w:sz w:val="20"/>
      <w:szCs w:val="20"/>
      <w:u w:val="none"/>
    </w:rPr>
  </w:style>
  <w:style w:type="character" w:styleId="1351">
    <w:name w:val="title4"/>
    <w:next w:val="1351"/>
    <w:link w:val="1259"/>
    <w:qFormat/>
    <w:rPr>
      <w:b/>
      <w:bCs/>
      <w:color w:val="1d87b3"/>
      <w:sz w:val="15"/>
      <w:szCs w:val="15"/>
    </w:rPr>
  </w:style>
  <w:style w:type="character" w:styleId="1352">
    <w:name w:val="标题 2 Char Char"/>
    <w:next w:val="1352"/>
    <w:link w:val="1259"/>
    <w:qFormat/>
    <w:rPr>
      <w:rFonts w:ascii="Arial" w:hAnsi="Arial" w:eastAsia="黑体"/>
      <w:b/>
      <w:bCs/>
      <w:sz w:val="32"/>
      <w:szCs w:val="32"/>
      <w:lang w:val="en-US" w:eastAsia="zh-CN" w:bidi="ar-SA"/>
    </w:rPr>
  </w:style>
  <w:style w:type="character" w:styleId="1353">
    <w:name w:val="black1"/>
    <w:next w:val="1353"/>
    <w:link w:val="1259"/>
    <w:qFormat/>
    <w:rPr>
      <w:color w:val="000000"/>
    </w:rPr>
  </w:style>
  <w:style w:type="character" w:styleId="1354">
    <w:name w:val="street-address"/>
    <w:next w:val="1354"/>
    <w:link w:val="1259"/>
    <w:qFormat/>
  </w:style>
  <w:style w:type="character" w:styleId="1355">
    <w:name w:val="locality"/>
    <w:next w:val="1355"/>
    <w:link w:val="1259"/>
    <w:qFormat/>
  </w:style>
  <w:style w:type="character" w:styleId="1356">
    <w:name w:val="正文文本缩进 Char1"/>
    <w:next w:val="1356"/>
    <w:link w:val="1357"/>
    <w:qFormat/>
    <w:rPr>
      <w:rFonts w:ascii="宋体" w:hAnsi="宋体" w:eastAsia="宋体"/>
      <w:sz w:val="24"/>
      <w:szCs w:val="24"/>
      <w:lang w:bidi="ar-SA"/>
    </w:rPr>
  </w:style>
  <w:style w:type="paragraph" w:styleId="1357">
    <w:name w:val="正文文本缩进1"/>
    <w:basedOn w:val="1259"/>
    <w:next w:val="1357"/>
    <w:link w:val="1356"/>
    <w:qFormat/>
    <w:pPr>
      <w:ind w:firstLine="480"/>
      <w:spacing w:line="480" w:lineRule="exact"/>
    </w:pPr>
    <w:rPr>
      <w:rFonts w:ascii="宋体" w:hAnsi="宋体"/>
      <w:sz w:val="24"/>
    </w:rPr>
  </w:style>
  <w:style w:type="character" w:styleId="1358">
    <w:name w:val="Char Char11"/>
    <w:next w:val="1358"/>
    <w:link w:val="1259"/>
    <w:qFormat/>
    <w:rPr>
      <w:rFonts w:ascii="宋体" w:eastAsia="宋体"/>
      <w:b/>
      <w:sz w:val="24"/>
      <w:u w:val="single"/>
      <w:lang w:val="en-US" w:eastAsia="zh-CN" w:bidi="ar-SA"/>
    </w:rPr>
  </w:style>
  <w:style w:type="character" w:styleId="1359">
    <w:name w:val="txt"/>
    <w:next w:val="1359"/>
    <w:link w:val="1259"/>
    <w:qFormat/>
  </w:style>
  <w:style w:type="character" w:styleId="1360">
    <w:name w:val="普通文字1 Char1"/>
    <w:next w:val="1360"/>
    <w:link w:val="1259"/>
    <w:qFormat/>
    <w:rPr>
      <w:rFonts w:ascii="宋体" w:hAnsi="Courier New" w:eastAsia="宋体"/>
      <w:sz w:val="21"/>
      <w:lang w:val="en-US" w:eastAsia="zh-CN" w:bidi="ar-SA"/>
    </w:rPr>
  </w:style>
  <w:style w:type="character" w:styleId="1361">
    <w:name w:val="chanpin1"/>
    <w:next w:val="1361"/>
    <w:link w:val="1259"/>
    <w:qFormat/>
    <w:rPr>
      <w:rFonts w:ascii="ˎ̥" w:hAnsi="ˎ̥"/>
      <w:color w:val="000000"/>
      <w:sz w:val="20"/>
      <w:szCs w:val="20"/>
      <w:u w:val="none"/>
    </w:rPr>
  </w:style>
  <w:style w:type="character" w:styleId="1362">
    <w:name w:val="列出段落 Char1"/>
    <w:next w:val="1362"/>
    <w:link w:val="1363"/>
    <w:uiPriority w:val="34"/>
    <w:qFormat/>
    <w:rPr>
      <w:rFonts w:ascii="Calibri" w:hAnsi="Calibri" w:eastAsia="宋体"/>
      <w:sz w:val="21"/>
      <w:szCs w:val="22"/>
      <w:lang w:val="en-US" w:eastAsia="zh-CN" w:bidi="ar-SA"/>
    </w:rPr>
  </w:style>
  <w:style w:type="paragraph" w:styleId="1363">
    <w:name w:val="列出段落"/>
    <w:basedOn w:val="1259"/>
    <w:next w:val="1363"/>
    <w:link w:val="1362"/>
    <w:uiPriority w:val="34"/>
    <w:qFormat/>
    <w:pPr>
      <w:ind w:firstLine="420"/>
    </w:pPr>
    <w:rPr>
      <w:rFonts w:ascii="Calibri" w:hAnsi="Calibri"/>
      <w:szCs w:val="22"/>
    </w:rPr>
  </w:style>
  <w:style w:type="character" w:styleId="1364">
    <w:name w:val="标题 3 Char Char"/>
    <w:next w:val="1364"/>
    <w:link w:val="1259"/>
    <w:qFormat/>
    <w:rPr>
      <w:rFonts w:eastAsia="宋体"/>
      <w:b/>
      <w:bCs/>
      <w:sz w:val="32"/>
      <w:szCs w:val="32"/>
      <w:lang w:val="en-US" w:eastAsia="zh-CN" w:bidi="ar-SA"/>
    </w:rPr>
  </w:style>
  <w:style w:type="character" w:styleId="1365">
    <w:name w:val="段1 Char"/>
    <w:next w:val="1365"/>
    <w:link w:val="1259"/>
    <w:qFormat/>
    <w:rPr>
      <w:rFonts w:ascii="宋体" w:eastAsia="宋体"/>
      <w:sz w:val="24"/>
      <w:lang w:val="en-US" w:eastAsia="zh-CN" w:bidi="ar-SA"/>
    </w:rPr>
  </w:style>
  <w:style w:type="character" w:styleId="1366">
    <w:name w:val="chanpin拷贝"/>
    <w:next w:val="1366"/>
    <w:link w:val="1259"/>
    <w:qFormat/>
  </w:style>
  <w:style w:type="character" w:styleId="1367">
    <w:name w:val="纯文本 Char1"/>
    <w:next w:val="1367"/>
    <w:link w:val="1368"/>
    <w:qFormat/>
    <w:rPr>
      <w:rFonts w:ascii="宋体" w:hAnsi="Courier New" w:eastAsia="宋体"/>
      <w:sz w:val="21"/>
      <w:lang w:val="en-US" w:eastAsia="zh-CN" w:bidi="ar-SA"/>
    </w:rPr>
  </w:style>
  <w:style w:type="paragraph" w:styleId="1368">
    <w:name w:val="纯文本1"/>
    <w:basedOn w:val="1259"/>
    <w:next w:val="1368"/>
    <w:link w:val="1367"/>
    <w:qFormat/>
    <w:rPr>
      <w:rFonts w:ascii="宋体" w:hAnsi="Courier New"/>
      <w:szCs w:val="20"/>
    </w:rPr>
  </w:style>
  <w:style w:type="character" w:styleId="1369">
    <w:name w:val="apple-style-span"/>
    <w:next w:val="1369"/>
    <w:link w:val="1259"/>
    <w:qFormat/>
    <w:rPr>
      <w:rFonts w:cs="Times New Roman"/>
    </w:rPr>
  </w:style>
  <w:style w:type="paragraph" w:styleId="1370">
    <w:name w:val="二级条标题"/>
    <w:basedOn w:val="1371"/>
    <w:next w:val="1259"/>
    <w:link w:val="1259"/>
    <w:qFormat/>
    <w:pPr>
      <w:numPr>
        <w:ilvl w:val="0"/>
        <w:numId w:val="0"/>
      </w:numPr>
      <w:ind w:hanging="840"/>
      <w:tabs>
        <w:tab w:val="left" w:pos="360" w:leader="none"/>
        <w:tab w:val="left" w:pos="840" w:leader="none"/>
      </w:tabs>
      <w:outlineLvl w:val="2"/>
    </w:pPr>
    <w:rPr>
      <w:rFonts w:ascii="宋体" w:eastAsia="宋体"/>
      <w:b w:val="0"/>
    </w:rPr>
  </w:style>
  <w:style w:type="paragraph" w:styleId="1371">
    <w:name w:val="一级条标题"/>
    <w:basedOn w:val="1372"/>
    <w:next w:val="1259"/>
    <w:link w:val="1259"/>
    <w:qFormat/>
    <w:pPr>
      <w:numPr>
        <w:ilvl w:val="1"/>
      </w:numPr>
      <w:ind w:left="0" w:hanging="840"/>
      <w:tabs>
        <w:tab w:val="left" w:pos="360" w:leader="none"/>
        <w:tab w:val="left" w:pos="840" w:leader="none"/>
      </w:tabs>
      <w:outlineLvl w:val="1"/>
    </w:pPr>
  </w:style>
  <w:style w:type="paragraph" w:styleId="1372">
    <w:name w:val="章标题"/>
    <w:next w:val="1259"/>
    <w:link w:val="12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73">
    <w:name w:val="font7"/>
    <w:basedOn w:val="1259"/>
    <w:next w:val="1373"/>
    <w:link w:val="1259"/>
    <w:qFormat/>
    <w:pPr>
      <w:jc w:val="left"/>
      <w:spacing w:before="100" w:beforeAutospacing="1" w:after="100" w:afterAutospacing="1"/>
      <w:widowControl/>
    </w:pPr>
    <w:rPr>
      <w:rFonts w:eastAsia="Arial Unicode MS"/>
      <w:b/>
      <w:bCs/>
      <w:color w:val="000000"/>
      <w:sz w:val="20"/>
      <w:szCs w:val="20"/>
    </w:rPr>
  </w:style>
  <w:style w:type="paragraph" w:styleId="1374">
    <w:name w:val="字元 字元"/>
    <w:basedOn w:val="1259"/>
    <w:next w:val="1374"/>
    <w:link w:val="1259"/>
    <w:qFormat/>
    <w:rPr>
      <w:rFonts w:ascii="Tahoma" w:hAnsi="Tahoma"/>
      <w:sz w:val="24"/>
      <w:szCs w:val="20"/>
    </w:rPr>
  </w:style>
  <w:style w:type="paragraph" w:styleId="1375">
    <w:name w:val="Char3 Char Char Char"/>
    <w:basedOn w:val="1259"/>
    <w:next w:val="1375"/>
    <w:link w:val="1259"/>
    <w:qFormat/>
    <w:rPr>
      <w:rFonts w:ascii="Tahoma" w:hAnsi="Tahoma"/>
      <w:sz w:val="24"/>
      <w:szCs w:val="20"/>
    </w:rPr>
  </w:style>
  <w:style w:type="paragraph" w:styleId="1376">
    <w:name w:val="font6"/>
    <w:basedOn w:val="1259"/>
    <w:next w:val="1376"/>
    <w:link w:val="1259"/>
    <w:qFormat/>
    <w:pPr>
      <w:jc w:val="left"/>
      <w:spacing w:before="100" w:beforeAutospacing="1" w:after="100" w:afterAutospacing="1"/>
      <w:widowControl/>
    </w:pPr>
    <w:rPr>
      <w:rFonts w:ascii="宋体" w:hAnsi="宋体" w:cs="宋体"/>
      <w:sz w:val="20"/>
      <w:szCs w:val="20"/>
    </w:rPr>
  </w:style>
  <w:style w:type="paragraph" w:styleId="1377">
    <w:name w:val="项目编号2"/>
    <w:basedOn w:val="1378"/>
    <w:next w:val="1377"/>
    <w:link w:val="1259"/>
    <w:qFormat/>
    <w:pPr>
      <w:numPr>
        <w:numId w:val="3"/>
      </w:numPr>
    </w:pPr>
  </w:style>
  <w:style w:type="paragraph" w:styleId="1378">
    <w:name w:val="项目编号1"/>
    <w:basedOn w:val="1259"/>
    <w:next w:val="1378"/>
    <w:link w:val="1259"/>
    <w:qFormat/>
    <w:pPr>
      <w:numPr>
        <w:ilvl w:val="0"/>
        <w:numId w:val="2"/>
      </w:numPr>
      <w:spacing w:before="100" w:beforeAutospacing="1" w:after="100" w:afterAutospacing="1" w:line="360" w:lineRule="auto"/>
    </w:pPr>
    <w:rPr>
      <w:sz w:val="24"/>
    </w:rPr>
  </w:style>
  <w:style w:type="paragraph" w:styleId="1379">
    <w:name w:val="图中文字"/>
    <w:basedOn w:val="1259"/>
    <w:next w:val="1379"/>
    <w:link w:val="1259"/>
    <w:qFormat/>
    <w:pPr>
      <w:jc w:val="center"/>
      <w:spacing w:line="0" w:lineRule="atLeast"/>
    </w:pPr>
    <w:rPr>
      <w:sz w:val="24"/>
      <w:szCs w:val="20"/>
    </w:rPr>
  </w:style>
  <w:style w:type="paragraph" w:styleId="1380">
    <w:name w:val="xl46"/>
    <w:basedOn w:val="1259"/>
    <w:next w:val="1380"/>
    <w:link w:val="12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1">
    <w:name w:val="xl25"/>
    <w:basedOn w:val="1259"/>
    <w:next w:val="1381"/>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2">
    <w:name w:val="Char2"/>
    <w:basedOn w:val="1259"/>
    <w:next w:val="1382"/>
    <w:link w:val="1259"/>
    <w:qFormat/>
    <w:rPr>
      <w:rFonts w:ascii="Tahoma" w:hAnsi="Tahoma"/>
      <w:sz w:val="24"/>
      <w:szCs w:val="20"/>
    </w:rPr>
  </w:style>
  <w:style w:type="paragraph" w:styleId="1383">
    <w:name w:val="xl35"/>
    <w:basedOn w:val="1259"/>
    <w:next w:val="1383"/>
    <w:link w:val="12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4">
    <w:name w:val="xl40"/>
    <w:basedOn w:val="1259"/>
    <w:next w:val="1384"/>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name w:val="xl52"/>
    <w:basedOn w:val="1259"/>
    <w:next w:val="1385"/>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6">
    <w:name w:val="xl43"/>
    <w:basedOn w:val="1259"/>
    <w:next w:val="1386"/>
    <w:link w:val="12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7">
    <w:name w:val="background1"/>
    <w:basedOn w:val="1259"/>
    <w:next w:val="1387"/>
    <w:link w:val="1259"/>
    <w:qFormat/>
    <w:pPr>
      <w:jc w:val="left"/>
      <w:spacing w:before="100" w:beforeAutospacing="1" w:after="100" w:afterAutospacing="1"/>
      <w:widowControl/>
    </w:pPr>
    <w:rPr>
      <w:rFonts w:ascii="宋体" w:hAnsi="宋体" w:cs="宋体"/>
      <w:sz w:val="24"/>
    </w:rPr>
  </w:style>
  <w:style w:type="paragraph" w:styleId="1388">
    <w:name w:val="Char Char Char Char Char Char Char"/>
    <w:basedOn w:val="1259"/>
    <w:next w:val="1388"/>
    <w:link w:val="1259"/>
    <w:qFormat/>
    <w:pPr>
      <w:ind w:firstLine="200"/>
      <w:spacing w:line="360" w:lineRule="auto"/>
    </w:pPr>
    <w:rPr>
      <w:rFonts w:eastAsia="仿宋_GB2312"/>
      <w:sz w:val="24"/>
    </w:rPr>
  </w:style>
  <w:style w:type="paragraph" w:styleId="1389">
    <w:name w:val="xl38"/>
    <w:basedOn w:val="1259"/>
    <w:next w:val="1389"/>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0">
    <w:name w:val="xl36"/>
    <w:basedOn w:val="1259"/>
    <w:next w:val="1390"/>
    <w:link w:val="12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1">
    <w:name w:val="正文 + 宋体"/>
    <w:basedOn w:val="1259"/>
    <w:next w:val="1391"/>
    <w:link w:val="1259"/>
    <w:qFormat/>
    <w:pPr>
      <w:ind w:left="360" w:hanging="360"/>
      <w:jc w:val="left"/>
      <w:widowControl/>
    </w:pPr>
    <w:rPr>
      <w:rFonts w:ascii="宋体" w:hAnsi="宋体" w:cs="宋体"/>
      <w:b/>
      <w:bCs/>
      <w:color w:val="000000"/>
      <w:sz w:val="18"/>
      <w:szCs w:val="18"/>
    </w:rPr>
  </w:style>
  <w:style w:type="paragraph" w:styleId="1392">
    <w:name w:val="正文列项_数字"/>
    <w:basedOn w:val="1259"/>
    <w:next w:val="1392"/>
    <w:link w:val="1259"/>
    <w:qFormat/>
    <w:pPr>
      <w:numPr>
        <w:ilvl w:val="7"/>
        <w:numId w:val="1"/>
      </w:numPr>
      <w:ind w:left="680" w:hanging="150"/>
      <w:spacing w:line="460" w:lineRule="exact"/>
      <w:tabs>
        <w:tab w:val="clear" w:pos="860" w:leader="none"/>
      </w:tabs>
      <w:outlineLvl w:val="7"/>
    </w:pPr>
    <w:rPr>
      <w:rFonts w:ascii="宋体"/>
      <w:sz w:val="28"/>
      <w:szCs w:val="20"/>
    </w:rPr>
  </w:style>
  <w:style w:type="paragraph" w:styleId="1393">
    <w:name w:val="xl39"/>
    <w:basedOn w:val="1259"/>
    <w:next w:val="1393"/>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4">
    <w:name w:val="xl37"/>
    <w:basedOn w:val="1259"/>
    <w:next w:val="1394"/>
    <w:link w:val="12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5">
    <w:name w:val="xl32"/>
    <w:basedOn w:val="1259"/>
    <w:next w:val="1395"/>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6">
    <w:name w:val="font8"/>
    <w:basedOn w:val="1259"/>
    <w:next w:val="1396"/>
    <w:link w:val="1259"/>
    <w:qFormat/>
    <w:pPr>
      <w:jc w:val="left"/>
      <w:spacing w:before="100" w:beforeAutospacing="1" w:after="100" w:afterAutospacing="1"/>
      <w:widowControl/>
    </w:pPr>
    <w:rPr>
      <w:sz w:val="36"/>
      <w:szCs w:val="36"/>
    </w:rPr>
  </w:style>
  <w:style w:type="paragraph" w:styleId="1397">
    <w:name w:val="Char"/>
    <w:basedOn w:val="1259"/>
    <w:next w:val="1397"/>
    <w:link w:val="1259"/>
    <w:qFormat/>
    <w:pPr>
      <w:tabs>
        <w:tab w:val="left" w:pos="360" w:leader="none"/>
      </w:tabs>
    </w:pPr>
    <w:rPr>
      <w:sz w:val="24"/>
    </w:rPr>
  </w:style>
  <w:style w:type="paragraph" w:styleId="1398">
    <w:name w:val="Char Char Char Char Char Char Char Char Char Char Char Char Char Char Char Char"/>
    <w:basedOn w:val="1259"/>
    <w:next w:val="1398"/>
    <w:link w:val="1259"/>
    <w:qFormat/>
    <w:pPr>
      <w:jc w:val="center"/>
      <w:spacing w:after="160" w:line="240" w:lineRule="exact"/>
      <w:widowControl/>
    </w:pPr>
    <w:rPr>
      <w:rFonts w:ascii="宋体" w:hAnsi="宋体"/>
      <w:b/>
      <w:sz w:val="30"/>
      <w:szCs w:val="30"/>
      <w:lang w:eastAsia="en-US"/>
    </w:rPr>
  </w:style>
  <w:style w:type="paragraph" w:styleId="1399">
    <w:name w:val="xl45"/>
    <w:basedOn w:val="1259"/>
    <w:next w:val="1399"/>
    <w:link w:val="12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00">
    <w:name w:val="Char Char1 Char Char Char Char Char Char"/>
    <w:basedOn w:val="1259"/>
    <w:next w:val="1400"/>
    <w:link w:val="1259"/>
    <w:qFormat/>
    <w:pPr>
      <w:jc w:val="left"/>
      <w:spacing w:after="160" w:line="240" w:lineRule="exact"/>
      <w:widowControl/>
    </w:pPr>
    <w:rPr>
      <w:rFonts w:ascii="Verdana" w:hAnsi="Verdana" w:eastAsia="仿宋_GB2312"/>
      <w:sz w:val="24"/>
      <w:szCs w:val="20"/>
      <w:lang w:eastAsia="en-US"/>
    </w:rPr>
  </w:style>
  <w:style w:type="paragraph" w:styleId="1401">
    <w:name w:val="Char Char1"/>
    <w:basedOn w:val="1284"/>
    <w:next w:val="1401"/>
    <w:link w:val="1259"/>
    <w:qFormat/>
    <w:rPr>
      <w:rFonts w:ascii="Tahoma" w:hAnsi="Tahoma"/>
      <w:sz w:val="24"/>
    </w:rPr>
  </w:style>
  <w:style w:type="paragraph" w:styleId="1402">
    <w:name w:val="xl26"/>
    <w:basedOn w:val="1259"/>
    <w:next w:val="1402"/>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03">
    <w:name w:val="xl30"/>
    <w:basedOn w:val="1259"/>
    <w:next w:val="1403"/>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4">
    <w:name w:val="xl41"/>
    <w:basedOn w:val="1259"/>
    <w:next w:val="1404"/>
    <w:link w:val="12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05">
    <w:name w:val="样式 宋体 五号 行距: 单倍行距"/>
    <w:basedOn w:val="1259"/>
    <w:next w:val="1405"/>
    <w:link w:val="1259"/>
    <w:qFormat/>
    <w:pPr>
      <w:jc w:val="left"/>
    </w:pPr>
    <w:rPr>
      <w:rFonts w:ascii="宋体" w:hAnsi="宋体"/>
      <w:szCs w:val="20"/>
    </w:rPr>
  </w:style>
  <w:style w:type="paragraph" w:styleId="1406">
    <w:name w:val="Char1 Char Char Char1"/>
    <w:basedOn w:val="1259"/>
    <w:next w:val="1406"/>
    <w:link w:val="1259"/>
    <w:qFormat/>
    <w:rPr>
      <w:rFonts w:ascii="Tahoma" w:hAnsi="Tahoma" w:cs="仿宋_GB2312"/>
      <w:sz w:val="24"/>
      <w:szCs w:val="28"/>
    </w:rPr>
  </w:style>
  <w:style w:type="paragraph" w:styleId="1407">
    <w:name w:val="四级条标题"/>
    <w:basedOn w:val="1408"/>
    <w:next w:val="1259"/>
    <w:link w:val="1259"/>
    <w:qFormat/>
    <w:pPr>
      <w:numPr>
        <w:ilvl w:val="4"/>
      </w:numPr>
      <w:ind w:left="0" w:hanging="840"/>
      <w:tabs>
        <w:tab w:val="left" w:pos="360" w:leader="none"/>
        <w:tab w:val="left" w:pos="840" w:leader="none"/>
      </w:tabs>
      <w:outlineLvl w:val="4"/>
    </w:pPr>
  </w:style>
  <w:style w:type="paragraph" w:styleId="1408">
    <w:name w:val="三级条标题"/>
    <w:basedOn w:val="1370"/>
    <w:next w:val="1259"/>
    <w:link w:val="1259"/>
    <w:qFormat/>
    <w:pPr>
      <w:numPr>
        <w:ilvl w:val="3"/>
        <w:numId w:val="1"/>
      </w:numPr>
      <w:ind w:left="0" w:hanging="840"/>
      <w:tabs>
        <w:tab w:val="left" w:pos="360" w:leader="none"/>
        <w:tab w:val="left" w:pos="840" w:leader="none"/>
      </w:tabs>
      <w:outlineLvl w:val="3"/>
    </w:pPr>
  </w:style>
  <w:style w:type="paragraph" w:styleId="1409">
    <w:name w:val="??"/>
    <w:next w:val="1409"/>
    <w:link w:val="1259"/>
    <w:qFormat/>
    <w:pPr>
      <w:jc w:val="both"/>
      <w:widowControl w:val="off"/>
    </w:pPr>
    <w:rPr>
      <w:sz w:val="21"/>
      <w:lang w:val="en-US" w:eastAsia="en-US" w:bidi="ar-SA"/>
    </w:rPr>
  </w:style>
  <w:style w:type="paragraph" w:styleId="1410">
    <w:name w:val="样式 标题 2 + 宋体 五号 行距: 单倍行距"/>
    <w:basedOn w:val="1261"/>
    <w:next w:val="1410"/>
    <w:link w:val="12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11">
    <w:name w:val="List Paragraph1"/>
    <w:basedOn w:val="1259"/>
    <w:next w:val="1411"/>
    <w:link w:val="1259"/>
    <w:qFormat/>
    <w:pPr>
      <w:ind w:firstLine="420"/>
    </w:pPr>
    <w:rPr>
      <w:rFonts w:ascii="Calibri" w:hAnsi="Calibri"/>
      <w:szCs w:val="22"/>
    </w:rPr>
  </w:style>
  <w:style w:type="paragraph" w:styleId="1412">
    <w:name w:val="项目符号1"/>
    <w:basedOn w:val="1413"/>
    <w:next w:val="1412"/>
    <w:link w:val="1259"/>
    <w:qFormat/>
    <w:pPr>
      <w:ind w:left="-25" w:firstLine="0"/>
    </w:pPr>
  </w:style>
  <w:style w:type="paragraph" w:styleId="1413">
    <w:name w:val="正文文本样式"/>
    <w:basedOn w:val="1259"/>
    <w:next w:val="1413"/>
    <w:link w:val="1259"/>
    <w:qFormat/>
    <w:pPr>
      <w:ind w:firstLine="482"/>
      <w:spacing w:line="360" w:lineRule="auto"/>
    </w:pPr>
    <w:rPr>
      <w:rFonts w:cs="宋体"/>
      <w:sz w:val="24"/>
      <w:szCs w:val="20"/>
    </w:rPr>
  </w:style>
  <w:style w:type="paragraph" w:styleId="1414">
    <w:name w:val="xl27"/>
    <w:basedOn w:val="1259"/>
    <w:next w:val="1414"/>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5">
    <w:name w:val="font5"/>
    <w:basedOn w:val="1259"/>
    <w:next w:val="1415"/>
    <w:link w:val="1259"/>
    <w:qFormat/>
    <w:pPr>
      <w:jc w:val="left"/>
      <w:spacing w:before="100" w:beforeAutospacing="1" w:after="100" w:afterAutospacing="1"/>
      <w:widowControl/>
    </w:pPr>
    <w:rPr>
      <w:rFonts w:ascii="宋体" w:hAnsi="宋体" w:cs="宋体"/>
      <w:sz w:val="18"/>
      <w:szCs w:val="18"/>
    </w:rPr>
  </w:style>
  <w:style w:type="paragraph" w:styleId="1416">
    <w:name w:val="五级条标题"/>
    <w:basedOn w:val="1407"/>
    <w:next w:val="1259"/>
    <w:link w:val="1259"/>
    <w:qFormat/>
    <w:pPr>
      <w:numPr>
        <w:ilvl w:val="5"/>
      </w:numPr>
      <w:ind w:left="0" w:hanging="840"/>
      <w:tabs>
        <w:tab w:val="left" w:pos="360" w:leader="none"/>
        <w:tab w:val="left" w:pos="840" w:leader="none"/>
      </w:tabs>
      <w:outlineLvl w:val="5"/>
    </w:pPr>
  </w:style>
  <w:style w:type="paragraph" w:styleId="1417">
    <w:name w:val="xl49"/>
    <w:basedOn w:val="1259"/>
    <w:next w:val="1417"/>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18">
    <w:name w:val="文档正文"/>
    <w:basedOn w:val="1259"/>
    <w:next w:val="1418"/>
    <w:link w:val="1259"/>
    <w:qFormat/>
    <w:pPr>
      <w:spacing w:before="120" w:after="120" w:line="180" w:lineRule="auto"/>
    </w:pPr>
    <w:rPr>
      <w:rFonts w:ascii="Arial" w:hAnsi="Arial"/>
      <w:szCs w:val="20"/>
    </w:rPr>
  </w:style>
  <w:style w:type="paragraph" w:styleId="1419">
    <w:name w:val="xl33"/>
    <w:basedOn w:val="1259"/>
    <w:next w:val="1419"/>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0">
    <w:name w:val="xl42"/>
    <w:basedOn w:val="1259"/>
    <w:next w:val="1420"/>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21">
    <w:name w:val="Char Char Char1 Char"/>
    <w:basedOn w:val="1259"/>
    <w:next w:val="1421"/>
    <w:link w:val="1259"/>
    <w:qFormat/>
    <w:rPr>
      <w:rFonts w:ascii="Tahoma" w:hAnsi="Tahoma"/>
      <w:sz w:val="24"/>
      <w:szCs w:val="20"/>
    </w:rPr>
  </w:style>
  <w:style w:type="paragraph" w:styleId="1422">
    <w:name w:val="xl44"/>
    <w:basedOn w:val="1259"/>
    <w:next w:val="1422"/>
    <w:link w:val="12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23">
    <w:name w:val="1名"/>
    <w:basedOn w:val="1259"/>
    <w:next w:val="1423"/>
    <w:link w:val="1259"/>
    <w:qFormat/>
    <w:pPr>
      <w:numPr>
        <w:ilvl w:val="0"/>
        <w:numId w:val="5"/>
      </w:numPr>
      <w:spacing w:before="120"/>
      <w:tabs>
        <w:tab w:val="left" w:pos="360" w:leader="none"/>
      </w:tabs>
    </w:pPr>
    <w:rPr>
      <w:rFonts w:ascii="宋体"/>
      <w:sz w:val="28"/>
      <w:szCs w:val="20"/>
    </w:rPr>
  </w:style>
  <w:style w:type="paragraph" w:styleId="1424">
    <w:name w:val="font9"/>
    <w:basedOn w:val="1259"/>
    <w:next w:val="1424"/>
    <w:link w:val="1259"/>
    <w:qFormat/>
    <w:pPr>
      <w:jc w:val="left"/>
      <w:spacing w:before="100" w:beforeAutospacing="1" w:after="100" w:afterAutospacing="1"/>
      <w:widowControl/>
    </w:pPr>
    <w:rPr>
      <w:rFonts w:hint="eastAsia" w:ascii="宋体" w:hAnsi="宋体" w:cs="Arial Unicode MS"/>
      <w:color w:val="000000"/>
      <w:sz w:val="20"/>
      <w:szCs w:val="20"/>
    </w:rPr>
  </w:style>
  <w:style w:type="paragraph" w:styleId="1425">
    <w:name w:val="Char Char Char1 Char1"/>
    <w:basedOn w:val="1259"/>
    <w:next w:val="1425"/>
    <w:link w:val="1259"/>
    <w:qFormat/>
    <w:rPr>
      <w:rFonts w:ascii="Tahoma" w:hAnsi="Tahoma"/>
      <w:sz w:val="24"/>
      <w:szCs w:val="20"/>
    </w:rPr>
  </w:style>
  <w:style w:type="paragraph" w:styleId="1426">
    <w:name w:val="Char Char Char Char Char Char Char Char Char Char"/>
    <w:basedOn w:val="1259"/>
    <w:next w:val="1426"/>
    <w:link w:val="1259"/>
    <w:qFormat/>
  </w:style>
  <w:style w:type="paragraph" w:styleId="1427">
    <w:name w:val="Char Char1 Char Char Char Char Char Char Char Char"/>
    <w:basedOn w:val="1259"/>
    <w:next w:val="1427"/>
    <w:link w:val="1259"/>
    <w:qFormat/>
    <w:pPr>
      <w:jc w:val="left"/>
      <w:spacing w:after="160" w:line="240" w:lineRule="exact"/>
      <w:widowControl/>
    </w:pPr>
    <w:rPr>
      <w:rFonts w:ascii="Verdana" w:hAnsi="Verdana"/>
      <w:sz w:val="20"/>
      <w:szCs w:val="20"/>
      <w:lang w:eastAsia="en-US"/>
    </w:rPr>
  </w:style>
  <w:style w:type="paragraph" w:styleId="1428">
    <w:name w:val="Char1"/>
    <w:basedOn w:val="1259"/>
    <w:next w:val="1428"/>
    <w:link w:val="1259"/>
    <w:qFormat/>
    <w:pPr>
      <w:tabs>
        <w:tab w:val="left" w:pos="360" w:leader="none"/>
      </w:tabs>
    </w:pPr>
    <w:rPr>
      <w:sz w:val="24"/>
    </w:rPr>
  </w:style>
  <w:style w:type="paragraph" w:styleId="1429">
    <w:name w:val="正文列项_字母"/>
    <w:basedOn w:val="1259"/>
    <w:next w:val="1429"/>
    <w:link w:val="1259"/>
    <w:qFormat/>
    <w:pPr>
      <w:numPr>
        <w:ilvl w:val="6"/>
        <w:numId w:val="1"/>
      </w:numPr>
      <w:ind w:left="480" w:hanging="180"/>
      <w:spacing w:line="460" w:lineRule="exact"/>
      <w:tabs>
        <w:tab w:val="clear" w:pos="635" w:leader="none"/>
      </w:tabs>
      <w:outlineLvl w:val="6"/>
    </w:pPr>
    <w:rPr>
      <w:rFonts w:ascii="宋体"/>
      <w:sz w:val="28"/>
      <w:szCs w:val="20"/>
    </w:rPr>
  </w:style>
  <w:style w:type="paragraph" w:styleId="1430">
    <w:name w:val="xl28"/>
    <w:basedOn w:val="1259"/>
    <w:next w:val="1430"/>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1">
    <w:name w:val="xl47"/>
    <w:basedOn w:val="1259"/>
    <w:next w:val="1431"/>
    <w:link w:val="12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2">
    <w:name w:val="默认段落字体 Para Char Char Char Char"/>
    <w:basedOn w:val="1259"/>
    <w:next w:val="1432"/>
    <w:link w:val="1259"/>
    <w:qFormat/>
    <w:rPr>
      <w:rFonts w:ascii="Arial" w:hAnsi="Arial" w:cs="Arial"/>
      <w:szCs w:val="21"/>
    </w:rPr>
  </w:style>
  <w:style w:type="paragraph" w:styleId="1433">
    <w:name w:val="xl48"/>
    <w:basedOn w:val="1259"/>
    <w:next w:val="1433"/>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34">
    <w:name w:val="xl31"/>
    <w:basedOn w:val="1259"/>
    <w:next w:val="1434"/>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5">
    <w:name w:val="xl53"/>
    <w:basedOn w:val="1259"/>
    <w:next w:val="1435"/>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6">
    <w:name w:val="Char Char Char"/>
    <w:basedOn w:val="1259"/>
    <w:next w:val="1436"/>
    <w:link w:val="1259"/>
    <w:qFormat/>
    <w:rPr>
      <w:rFonts w:ascii="Tahoma" w:hAnsi="Tahoma"/>
      <w:sz w:val="24"/>
      <w:szCs w:val="20"/>
    </w:rPr>
  </w:style>
  <w:style w:type="paragraph" w:styleId="1437">
    <w:name w:val="xl50"/>
    <w:basedOn w:val="1259"/>
    <w:next w:val="1437"/>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38">
    <w:name w:val="缺省文本"/>
    <w:basedOn w:val="1259"/>
    <w:next w:val="1438"/>
    <w:link w:val="1259"/>
    <w:qFormat/>
    <w:pPr>
      <w:jc w:val="left"/>
    </w:pPr>
    <w:rPr>
      <w:sz w:val="24"/>
    </w:rPr>
  </w:style>
  <w:style w:type="paragraph" w:styleId="1439">
    <w:name w:val="Char Char Char1"/>
    <w:basedOn w:val="1259"/>
    <w:next w:val="1439"/>
    <w:link w:val="1259"/>
    <w:qFormat/>
    <w:rPr>
      <w:rFonts w:ascii="Tahoma" w:hAnsi="Tahoma"/>
      <w:sz w:val="24"/>
      <w:szCs w:val="20"/>
    </w:rPr>
  </w:style>
  <w:style w:type="paragraph" w:styleId="1440">
    <w:name w:val="Char Char Char Char Char Char Char1"/>
    <w:basedOn w:val="1259"/>
    <w:next w:val="1440"/>
    <w:link w:val="1259"/>
    <w:qFormat/>
    <w:pPr>
      <w:ind w:firstLine="200"/>
      <w:spacing w:line="360" w:lineRule="auto"/>
    </w:pPr>
    <w:rPr>
      <w:rFonts w:eastAsia="仿宋_GB2312"/>
      <w:sz w:val="24"/>
    </w:rPr>
  </w:style>
  <w:style w:type="paragraph" w:styleId="1441">
    <w:name w:val="xl51"/>
    <w:basedOn w:val="1259"/>
    <w:next w:val="1441"/>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2">
    <w:name w:val="样式2"/>
    <w:basedOn w:val="1322"/>
    <w:next w:val="1442"/>
    <w:link w:val="1259"/>
    <w:qFormat/>
    <w:pPr>
      <w:jc w:val="center"/>
      <w:spacing w:line="360" w:lineRule="auto"/>
    </w:pPr>
    <w:rPr>
      <w:sz w:val="24"/>
    </w:rPr>
  </w:style>
  <w:style w:type="paragraph" w:styleId="1443">
    <w:name w:val="xl24"/>
    <w:basedOn w:val="1259"/>
    <w:next w:val="1443"/>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4">
    <w:name w:val="xl29"/>
    <w:basedOn w:val="1259"/>
    <w:next w:val="1444"/>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5">
    <w:name w:val="正文 + 楷体_GB2312"/>
    <w:basedOn w:val="1259"/>
    <w:next w:val="1445"/>
    <w:link w:val="1259"/>
    <w:qFormat/>
    <w:pPr>
      <w:jc w:val="left"/>
      <w:widowControl/>
    </w:pPr>
    <w:rPr>
      <w:rFonts w:ascii="楷体_GB2312" w:eastAsia="楷体_GB2312" w:cs="Arial"/>
      <w:sz w:val="24"/>
    </w:rPr>
  </w:style>
  <w:style w:type="paragraph" w:styleId="1446">
    <w:name w:val="xl34"/>
    <w:basedOn w:val="1259"/>
    <w:next w:val="1446"/>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47">
    <w:name w:val="1 Char Char Char Char"/>
    <w:basedOn w:val="1259"/>
    <w:next w:val="1447"/>
    <w:link w:val="1259"/>
    <w:qFormat/>
    <w:rPr>
      <w:rFonts w:ascii="Tahoma" w:hAnsi="Tahoma"/>
      <w:sz w:val="24"/>
      <w:szCs w:val="20"/>
    </w:rPr>
  </w:style>
  <w:style w:type="paragraph" w:styleId="1448">
    <w:name w:val="Default"/>
    <w:next w:val="1448"/>
    <w:link w:val="1259"/>
    <w:qFormat/>
    <w:pPr>
      <w:widowControl w:val="off"/>
    </w:pPr>
    <w:rPr>
      <w:rFonts w:ascii="Symbol" w:hAnsi="Symbol" w:cs="Symbol"/>
      <w:color w:val="000000"/>
      <w:sz w:val="24"/>
      <w:szCs w:val="24"/>
      <w:lang w:val="en-US" w:eastAsia="zh-CN" w:bidi="ar-SA"/>
    </w:rPr>
  </w:style>
  <w:style w:type="paragraph" w:styleId="1449">
    <w:name w:val="列出段落1"/>
    <w:basedOn w:val="1259"/>
    <w:next w:val="1449"/>
    <w:link w:val="1259"/>
    <w:qFormat/>
    <w:pPr>
      <w:ind w:firstLine="420"/>
    </w:pPr>
    <w:rPr>
      <w:rFonts w:ascii="Calibri" w:hAnsi="Calibri"/>
      <w:szCs w:val="22"/>
    </w:rPr>
  </w:style>
  <w:style w:type="paragraph" w:styleId="1450">
    <w:name w:val="default"/>
    <w:basedOn w:val="1259"/>
    <w:next w:val="1450"/>
    <w:link w:val="1259"/>
    <w:qFormat/>
    <w:pPr>
      <w:jc w:val="left"/>
      <w:spacing w:before="100" w:beforeAutospacing="1" w:after="100" w:afterAutospacing="1"/>
      <w:widowControl/>
    </w:pPr>
    <w:rPr>
      <w:rFonts w:ascii="宋体" w:hAnsi="宋体" w:cs="宋体"/>
      <w:sz w:val="24"/>
    </w:rPr>
  </w:style>
  <w:style w:type="paragraph" w:styleId="1451">
    <w:name w:val="字元 字元1"/>
    <w:basedOn w:val="1259"/>
    <w:next w:val="1451"/>
    <w:link w:val="1259"/>
    <w:qFormat/>
    <w:rPr>
      <w:rFonts w:ascii="Tahoma" w:hAnsi="Tahoma"/>
      <w:sz w:val="24"/>
      <w:szCs w:val="20"/>
    </w:rPr>
  </w:style>
  <w:style w:type="paragraph" w:styleId="1452">
    <w:name w:val="_Style 160"/>
    <w:next w:val="1452"/>
    <w:link w:val="1259"/>
    <w:qFormat/>
    <w:rPr>
      <w:sz w:val="21"/>
      <w:szCs w:val="24"/>
      <w:lang w:val="en-US" w:eastAsia="zh-CN" w:bidi="ar-SA"/>
    </w:rPr>
  </w:style>
  <w:style w:type="paragraph" w:styleId="1453">
    <w:name w:val="项目编号3"/>
    <w:basedOn w:val="1413"/>
    <w:next w:val="1453"/>
    <w:link w:val="1259"/>
    <w:qFormat/>
    <w:pPr>
      <w:numPr>
        <w:ilvl w:val="0"/>
        <w:numId w:val="6"/>
      </w:numPr>
    </w:pPr>
  </w:style>
  <w:style w:type="paragraph" w:styleId="1454">
    <w:name w:val="Char21"/>
    <w:basedOn w:val="1259"/>
    <w:next w:val="1454"/>
    <w:link w:val="1259"/>
    <w:qFormat/>
    <w:rPr>
      <w:rFonts w:ascii="Tahoma" w:hAnsi="Tahoma"/>
      <w:sz w:val="24"/>
      <w:szCs w:val="20"/>
    </w:rPr>
  </w:style>
  <w:style w:type="paragraph" w:styleId="1455">
    <w:name w:val="表格文字"/>
    <w:basedOn w:val="1292"/>
    <w:next w:val="1455"/>
    <w:link w:val="1259"/>
    <w:qFormat/>
    <w:pPr>
      <w:ind w:firstLine="0"/>
      <w:spacing w:before="20" w:after="20" w:line="240" w:lineRule="auto"/>
    </w:pPr>
    <w:rPr>
      <w:rFonts w:ascii="Century Gothic" w:hAnsi="Century Gothic"/>
      <w:sz w:val="20"/>
      <w:szCs w:val="20"/>
    </w:rPr>
  </w:style>
  <w:style w:type="paragraph" w:styleId="1456">
    <w:name w:val="Char Char Char Char Char Char Char Char Char Char1"/>
    <w:basedOn w:val="1259"/>
    <w:next w:val="1456"/>
    <w:link w:val="1259"/>
    <w:qFormat/>
    <w:rPr>
      <w:rFonts w:ascii="宋体" w:hAnsi="宋体" w:cs="Courier New"/>
      <w:sz w:val="32"/>
      <w:szCs w:val="32"/>
    </w:rPr>
  </w:style>
  <w:style w:type="paragraph" w:styleId="1457">
    <w:name w:val="正文文本样式 加粗"/>
    <w:basedOn w:val="1413"/>
    <w:next w:val="1457"/>
    <w:link w:val="1259"/>
    <w:qFormat/>
    <w:rPr>
      <w:b/>
    </w:rPr>
  </w:style>
  <w:style w:type="paragraph" w:styleId="1458">
    <w:name w:val="Char2 Char Char Char Char Char Char"/>
    <w:basedOn w:val="1259"/>
    <w:next w:val="1458"/>
    <w:link w:val="1259"/>
    <w:qFormat/>
    <w:pPr>
      <w:jc w:val="center"/>
      <w:spacing w:line="400" w:lineRule="exact"/>
      <w:widowControl/>
    </w:pPr>
  </w:style>
  <w:style w:type="paragraph" w:styleId="1459">
    <w:name w:val="Char Char4"/>
    <w:basedOn w:val="1259"/>
    <w:next w:val="1459"/>
    <w:link w:val="1259"/>
    <w:qFormat/>
    <w:pPr>
      <w:jc w:val="center"/>
      <w:spacing w:line="400" w:lineRule="exact"/>
      <w:widowControl/>
    </w:pPr>
  </w:style>
  <w:style w:type="paragraph" w:styleId="1460">
    <w:name w:val="Char3 Char Char Char1"/>
    <w:basedOn w:val="1259"/>
    <w:next w:val="1460"/>
    <w:link w:val="1259"/>
    <w:qFormat/>
    <w:rPr>
      <w:rFonts w:ascii="Tahoma" w:hAnsi="Tahoma"/>
      <w:sz w:val="24"/>
      <w:szCs w:val="20"/>
    </w:rPr>
  </w:style>
  <w:style w:type="paragraph" w:styleId="1461">
    <w:name w:val="无间隔"/>
    <w:next w:val="1461"/>
    <w:link w:val="1259"/>
    <w:qFormat/>
    <w:pPr>
      <w:jc w:val="both"/>
      <w:widowControl w:val="off"/>
    </w:pPr>
    <w:rPr>
      <w:sz w:val="21"/>
      <w:szCs w:val="24"/>
      <w:lang w:val="en-US" w:eastAsia="zh-CN" w:bidi="ar-SA"/>
    </w:rPr>
  </w:style>
  <w:style w:type="paragraph" w:styleId="1462">
    <w:name w:val="22222222222222"/>
    <w:basedOn w:val="1259"/>
    <w:next w:val="1462"/>
    <w:link w:val="1259"/>
    <w:qFormat/>
    <w:pPr>
      <w:ind w:firstLine="480"/>
      <w:jc w:val="left"/>
      <w:spacing w:line="360" w:lineRule="auto"/>
      <w:widowControl/>
    </w:pPr>
    <w:rPr>
      <w:color w:val="ff0000"/>
      <w:sz w:val="24"/>
      <w:szCs w:val="20"/>
    </w:rPr>
  </w:style>
  <w:style w:type="character" w:styleId="1463">
    <w:name w:val="中等深浅网格 1 - 强调文字颜色 2 Char"/>
    <w:next w:val="1463"/>
    <w:link w:val="1464"/>
    <w:qFormat/>
    <w:rPr>
      <w:sz w:val="21"/>
      <w:szCs w:val="24"/>
      <w:lang w:val="zh-CN" w:eastAsia="zh-CN" w:bidi="ar-SA"/>
    </w:rPr>
  </w:style>
  <w:style w:type="paragraph" w:styleId="1464">
    <w:name w:val="1"/>
    <w:next w:val="1464"/>
    <w:link w:val="1463"/>
    <w:uiPriority w:val="34"/>
    <w:qFormat/>
    <w:rPr>
      <w:sz w:val="21"/>
      <w:szCs w:val="24"/>
      <w:lang w:val="zh-CN" w:eastAsia="zh-CN" w:bidi="ar-SA"/>
    </w:rPr>
  </w:style>
  <w:style w:type="paragraph" w:styleId="1465">
    <w:name w:val="图文"/>
    <w:basedOn w:val="1259"/>
    <w:next w:val="1465"/>
    <w:link w:val="1259"/>
    <w:qFormat/>
    <w:pPr>
      <w:spacing w:after="50" w:line="360" w:lineRule="auto"/>
    </w:pPr>
    <w:rPr>
      <w:sz w:val="24"/>
    </w:rPr>
  </w:style>
  <w:style w:type="paragraph" w:styleId="1466">
    <w:name w:val="xl23"/>
    <w:basedOn w:val="1259"/>
    <w:next w:val="1466"/>
    <w:link w:val="1259"/>
    <w:qFormat/>
    <w:pPr>
      <w:spacing w:before="100" w:beforeAutospacing="1" w:after="100" w:afterAutospacing="1" w:line="360" w:lineRule="auto"/>
      <w:widowControl/>
    </w:pPr>
    <w:rPr>
      <w:sz w:val="24"/>
      <w:szCs w:val="20"/>
    </w:rPr>
  </w:style>
  <w:style w:type="paragraph" w:styleId="1467">
    <w:name w:val="正文表格"/>
    <w:basedOn w:val="1259"/>
    <w:next w:val="1467"/>
    <w:link w:val="1468"/>
    <w:qFormat/>
    <w:pPr>
      <w:jc w:val="left"/>
    </w:pPr>
    <w:rPr>
      <w:rFonts w:ascii="宋体" w:hAnsi="宋体"/>
      <w:color w:val="000000"/>
      <w:szCs w:val="21"/>
    </w:rPr>
  </w:style>
  <w:style w:type="character" w:styleId="1468">
    <w:name w:val="正文表格 Char"/>
    <w:next w:val="1468"/>
    <w:link w:val="1467"/>
    <w:qFormat/>
    <w:rPr>
      <w:rFonts w:ascii="宋体" w:hAnsi="宋体"/>
      <w:color w:val="000000"/>
      <w:sz w:val="21"/>
      <w:szCs w:val="21"/>
    </w:rPr>
  </w:style>
  <w:style w:type="paragraph" w:styleId="1469">
    <w:name w:val="正文重点"/>
    <w:basedOn w:val="1259"/>
    <w:next w:val="1469"/>
    <w:link w:val="1470"/>
    <w:qFormat/>
    <w:pPr>
      <w:ind w:firstLine="482"/>
      <w:jc w:val="left"/>
      <w:spacing w:line="360" w:lineRule="auto"/>
    </w:pPr>
    <w:rPr>
      <w:b/>
      <w:sz w:val="24"/>
      <w:szCs w:val="20"/>
    </w:rPr>
  </w:style>
  <w:style w:type="character" w:styleId="1470">
    <w:name w:val="正文重点 Char"/>
    <w:next w:val="1470"/>
    <w:link w:val="1469"/>
    <w:qFormat/>
    <w:rPr>
      <w:b/>
      <w:sz w:val="24"/>
    </w:rPr>
  </w:style>
  <w:style w:type="paragraph" w:styleId="1471">
    <w:name w:val="标题1-附件"/>
    <w:basedOn w:val="1260"/>
    <w:next w:val="1471"/>
    <w:link w:val="1259"/>
    <w:qFormat/>
    <w:pPr>
      <w:jc w:val="left"/>
    </w:pPr>
    <w:rPr>
      <w:sz w:val="24"/>
      <w:szCs w:val="24"/>
    </w:rPr>
  </w:style>
  <w:style w:type="paragraph" w:styleId="1472">
    <w:name w:val="正文小标题"/>
    <w:basedOn w:val="1259"/>
    <w:next w:val="1273"/>
    <w:link w:val="1473"/>
    <w:qFormat/>
    <w:pPr>
      <w:ind w:firstLine="482"/>
      <w:jc w:val="left"/>
      <w:spacing w:before="312" w:after="312"/>
    </w:pPr>
    <w:rPr>
      <w:rFonts w:ascii="宋体" w:hAnsi="宋体"/>
      <w:b/>
      <w:i/>
      <w:color w:val="ff0000"/>
      <w:sz w:val="24"/>
      <w:szCs w:val="20"/>
    </w:rPr>
  </w:style>
  <w:style w:type="character" w:styleId="1473">
    <w:name w:val="正文小标题 Char"/>
    <w:next w:val="1473"/>
    <w:link w:val="1472"/>
    <w:qFormat/>
    <w:rPr>
      <w:rFonts w:ascii="宋体" w:hAnsi="宋体"/>
      <w:b/>
      <w:i/>
      <w:color w:val="ff0000"/>
      <w:sz w:val="24"/>
    </w:rPr>
  </w:style>
  <w:style w:type="paragraph" w:styleId="1474">
    <w:name w:val="正文大标题"/>
    <w:basedOn w:val="1472"/>
    <w:next w:val="1273"/>
    <w:link w:val="1475"/>
    <w:qFormat/>
    <w:pPr>
      <w:jc w:val="center"/>
    </w:pPr>
    <w:rPr>
      <w:i w:val="0"/>
      <w:color w:val="000000"/>
      <w:sz w:val="28"/>
      <w:szCs w:val="21"/>
    </w:rPr>
  </w:style>
  <w:style w:type="character" w:styleId="1475">
    <w:name w:val="正文大标题 Char"/>
    <w:next w:val="1475"/>
    <w:link w:val="1474"/>
    <w:qFormat/>
    <w:rPr>
      <w:rFonts w:ascii="宋体" w:hAnsi="宋体"/>
      <w:b/>
      <w:color w:val="000000"/>
      <w:sz w:val="28"/>
      <w:szCs w:val="21"/>
    </w:rPr>
  </w:style>
  <w:style w:type="paragraph" w:styleId="1476">
    <w:name w:val="注释"/>
    <w:basedOn w:val="1259"/>
    <w:next w:val="1476"/>
    <w:link w:val="1477"/>
    <w:qFormat/>
    <w:pPr>
      <w:ind w:left="420" w:hanging="420"/>
      <w:jc w:val="left"/>
    </w:pPr>
    <w:rPr>
      <w:rFonts w:ascii="宋体" w:hAnsi="宋体"/>
      <w:szCs w:val="21"/>
    </w:rPr>
  </w:style>
  <w:style w:type="character" w:styleId="1477">
    <w:name w:val="注释 Char"/>
    <w:next w:val="1477"/>
    <w:link w:val="1476"/>
    <w:qFormat/>
    <w:rPr>
      <w:rFonts w:ascii="宋体" w:hAnsi="宋体"/>
      <w:sz w:val="21"/>
      <w:szCs w:val="21"/>
    </w:rPr>
  </w:style>
  <w:style w:type="paragraph" w:styleId="1478">
    <w:name w:val="正文须知-1级"/>
    <w:basedOn w:val="1259"/>
    <w:next w:val="1259"/>
    <w:link w:val="1259"/>
    <w:qFormat/>
    <w:pPr>
      <w:numPr>
        <w:ilvl w:val="0"/>
        <w:numId w:val="7"/>
      </w:numPr>
      <w:spacing w:line="300" w:lineRule="auto"/>
    </w:pPr>
    <w:rPr>
      <w:rFonts w:ascii="宋体" w:hAnsi="Calibri"/>
      <w:sz w:val="24"/>
      <w:szCs w:val="21"/>
    </w:rPr>
  </w:style>
  <w:style w:type="paragraph" w:styleId="1479">
    <w:name w:val="正文须知-2级"/>
    <w:basedOn w:val="1259"/>
    <w:next w:val="1479"/>
    <w:link w:val="1259"/>
    <w:qFormat/>
    <w:pPr>
      <w:numPr>
        <w:ilvl w:val="1"/>
        <w:numId w:val="7"/>
      </w:numPr>
      <w:spacing w:line="300" w:lineRule="auto"/>
    </w:pPr>
    <w:rPr>
      <w:rFonts w:ascii="宋体" w:hAnsi="Calibri"/>
      <w:sz w:val="24"/>
      <w:szCs w:val="21"/>
    </w:rPr>
  </w:style>
  <w:style w:type="paragraph" w:styleId="1480">
    <w:name w:val="正文须知-3级"/>
    <w:basedOn w:val="1259"/>
    <w:next w:val="1480"/>
    <w:link w:val="1259"/>
    <w:qFormat/>
    <w:pPr>
      <w:numPr>
        <w:ilvl w:val="2"/>
        <w:numId w:val="7"/>
      </w:numPr>
      <w:ind w:hanging="355"/>
      <w:spacing w:line="300" w:lineRule="auto"/>
    </w:pPr>
    <w:rPr>
      <w:rFonts w:ascii="宋体" w:hAnsi="Calibri"/>
      <w:sz w:val="24"/>
      <w:szCs w:val="21"/>
    </w:rPr>
  </w:style>
  <w:style w:type="character" w:styleId="1481">
    <w:name w:val="纯文本 字符"/>
    <w:next w:val="1481"/>
    <w:link w:val="1259"/>
    <w:uiPriority w:val="99"/>
    <w:qFormat/>
    <w:rPr>
      <w:rFonts w:ascii="宋体" w:hAnsi="Courier New" w:eastAsia="宋体" w:cs="Times New Roman"/>
      <w:sz w:val="21"/>
      <w:szCs w:val="21"/>
      <w:lang w:val="en-US" w:eastAsia="zh-CN" w:bidi="ar-SA"/>
    </w:rPr>
  </w:style>
  <w:style w:type="paragraph" w:styleId="1482">
    <w:name w:val="表格1"/>
    <w:basedOn w:val="1259"/>
    <w:next w:val="1482"/>
    <w:link w:val="1259"/>
    <w:qFormat/>
    <w:pPr>
      <w:ind w:firstLine="480"/>
      <w:jc w:val="center"/>
    </w:pPr>
    <w:rPr>
      <w:sz w:val="24"/>
      <w:szCs w:val="20"/>
    </w:rPr>
  </w:style>
  <w:style w:type="character" w:styleId="1483">
    <w:name w:val="纯文本 字符1"/>
    <w:next w:val="1483"/>
    <w:link w:val="1259"/>
    <w:qFormat/>
    <w:rPr>
      <w:rFonts w:ascii="宋体" w:hAnsi="Courier New"/>
    </w:rPr>
  </w:style>
  <w:style w:type="character" w:styleId="1484">
    <w:name w:val="bjh-p"/>
    <w:next w:val="1484"/>
    <w:link w:val="1259"/>
    <w:qFormat/>
  </w:style>
  <w:style w:type="paragraph" w:styleId="1485">
    <w:name w:val="无标题条"/>
    <w:next w:val="1259"/>
    <w:link w:val="1259"/>
    <w:qFormat/>
    <w:pPr>
      <w:jc w:val="both"/>
    </w:pPr>
    <w:rPr>
      <w:sz w:val="21"/>
      <w:lang w:val="en-US" w:eastAsia="zh-CN" w:bidi="ar-SA"/>
    </w:rPr>
  </w:style>
  <w:style w:type="character" w:styleId="1486">
    <w:name w:val="正文格式 Char"/>
    <w:next w:val="1486"/>
    <w:link w:val="1487"/>
    <w:qFormat/>
    <w:rPr>
      <w:rFonts w:ascii="宋体" w:hAnsi="宋体"/>
      <w:sz w:val="24"/>
      <w:szCs w:val="24"/>
      <w:lang w:val="en-GB"/>
    </w:rPr>
  </w:style>
  <w:style w:type="paragraph" w:styleId="1487">
    <w:name w:val="正文格式"/>
    <w:basedOn w:val="1259"/>
    <w:next w:val="1487"/>
    <w:link w:val="1486"/>
    <w:qFormat/>
    <w:pPr>
      <w:ind w:firstLine="480"/>
      <w:spacing w:line="360" w:lineRule="auto"/>
    </w:pPr>
    <w:rPr>
      <w:rFonts w:ascii="宋体" w:hAnsi="宋体"/>
      <w:sz w:val="24"/>
      <w:lang w:val="en-GB"/>
    </w:rPr>
  </w:style>
  <w:style w:type="character" w:styleId="1488">
    <w:name w:val="标题 3 Char"/>
    <w:next w:val="1488"/>
    <w:link w:val="1259"/>
    <w:qFormat/>
    <w:rPr>
      <w:rFonts w:ascii="宋体" w:eastAsia="宋体"/>
      <w:b/>
      <w:sz w:val="24"/>
      <w:u w:val="single"/>
      <w:lang w:val="en-US" w:eastAsia="zh-CN" w:bidi="ar-SA"/>
    </w:rPr>
  </w:style>
  <w:style w:type="character" w:styleId="1489">
    <w:name w:val="正文缩进 Char"/>
    <w:next w:val="1489"/>
    <w:link w:val="1259"/>
    <w:qFormat/>
    <w:rPr>
      <w:rFonts w:ascii="宋体" w:eastAsia="宋体"/>
      <w:sz w:val="24"/>
      <w:szCs w:val="24"/>
      <w:lang w:val="en-US" w:eastAsia="zh-CN" w:bidi="ar-SA"/>
    </w:rPr>
  </w:style>
  <w:style w:type="character" w:styleId="1490">
    <w:name w:val="Char Char111"/>
    <w:next w:val="1490"/>
    <w:link w:val="1259"/>
    <w:qFormat/>
    <w:rPr>
      <w:rFonts w:ascii="宋体" w:eastAsia="宋体"/>
      <w:b/>
      <w:sz w:val="24"/>
      <w:u w:val="single"/>
      <w:lang w:val="en-US" w:eastAsia="zh-CN" w:bidi="ar-SA"/>
    </w:rPr>
  </w:style>
  <w:style w:type="character" w:styleId="1491">
    <w:name w:val="正文文本缩进 Char"/>
    <w:next w:val="1491"/>
    <w:link w:val="1259"/>
    <w:qFormat/>
    <w:rPr>
      <w:rFonts w:eastAsia="宋体"/>
      <w:sz w:val="24"/>
      <w:szCs w:val="24"/>
      <w:lang w:val="en-US" w:eastAsia="zh-CN" w:bidi="ar-SA"/>
    </w:rPr>
  </w:style>
  <w:style w:type="character" w:styleId="1492">
    <w:name w:val="列出段落 Char"/>
    <w:next w:val="1492"/>
    <w:link w:val="1259"/>
    <w:qFormat/>
    <w:rPr>
      <w:rFonts w:ascii="Calibri" w:hAnsi="Calibri" w:eastAsia="宋体"/>
      <w:sz w:val="21"/>
      <w:szCs w:val="22"/>
      <w:lang w:val="en-US" w:eastAsia="zh-CN" w:bidi="ar-SA"/>
    </w:rPr>
  </w:style>
  <w:style w:type="character" w:styleId="1493">
    <w:name w:val="页眉 Char"/>
    <w:next w:val="1493"/>
    <w:link w:val="1259"/>
    <w:qFormat/>
    <w:rPr>
      <w:rFonts w:eastAsia="宋体"/>
      <w:sz w:val="18"/>
      <w:szCs w:val="18"/>
      <w:lang w:val="en-US" w:eastAsia="zh-CN" w:bidi="ar-SA"/>
    </w:rPr>
  </w:style>
  <w:style w:type="character" w:styleId="1494">
    <w:name w:val="标题 2 Char"/>
    <w:next w:val="1494"/>
    <w:link w:val="1259"/>
    <w:qFormat/>
    <w:rPr>
      <w:rFonts w:ascii="Arial" w:hAnsi="Arial" w:eastAsia="黑体"/>
      <w:b/>
      <w:sz w:val="30"/>
      <w:lang w:val="en-US" w:eastAsia="zh-CN" w:bidi="ar-SA"/>
    </w:rPr>
  </w:style>
  <w:style w:type="paragraph" w:styleId="1495">
    <w:name w:val="字元 字元2"/>
    <w:basedOn w:val="1259"/>
    <w:next w:val="1495"/>
    <w:link w:val="1259"/>
    <w:qFormat/>
    <w:rPr>
      <w:rFonts w:ascii="Tahoma" w:hAnsi="Tahoma"/>
      <w:sz w:val="24"/>
      <w:szCs w:val="20"/>
    </w:rPr>
  </w:style>
  <w:style w:type="paragraph" w:styleId="1496">
    <w:name w:val="Char3 Char Char Char2"/>
    <w:basedOn w:val="1259"/>
    <w:next w:val="1496"/>
    <w:link w:val="1259"/>
    <w:qFormat/>
    <w:rPr>
      <w:rFonts w:ascii="Tahoma" w:hAnsi="Tahoma"/>
      <w:sz w:val="24"/>
      <w:szCs w:val="20"/>
    </w:rPr>
  </w:style>
  <w:style w:type="paragraph" w:styleId="1497">
    <w:name w:val="正文文本缩进2"/>
    <w:basedOn w:val="1259"/>
    <w:next w:val="1497"/>
    <w:link w:val="1259"/>
    <w:qFormat/>
    <w:pPr>
      <w:ind w:firstLine="480"/>
      <w:spacing w:line="480" w:lineRule="exact"/>
    </w:pPr>
    <w:rPr>
      <w:rFonts w:ascii="宋体" w:hAnsi="宋体"/>
      <w:sz w:val="24"/>
      <w:lang w:val="zh-CN" w:eastAsia="zh-CN"/>
    </w:rPr>
  </w:style>
  <w:style w:type="paragraph" w:styleId="1498">
    <w:name w:val="Char3"/>
    <w:basedOn w:val="1259"/>
    <w:next w:val="1498"/>
    <w:link w:val="1259"/>
    <w:qFormat/>
    <w:pPr>
      <w:tabs>
        <w:tab w:val="left" w:pos="360" w:leader="none"/>
      </w:tabs>
    </w:pPr>
    <w:rPr>
      <w:sz w:val="24"/>
    </w:rPr>
  </w:style>
  <w:style w:type="paragraph" w:styleId="1499">
    <w:name w:val="Char Char Char Char Char Char Char Char Char Char Char Char Char Char Char Char1"/>
    <w:basedOn w:val="1259"/>
    <w:next w:val="1499"/>
    <w:link w:val="1259"/>
    <w:qFormat/>
    <w:pPr>
      <w:jc w:val="center"/>
      <w:spacing w:after="160" w:line="240" w:lineRule="exact"/>
      <w:widowControl/>
    </w:pPr>
    <w:rPr>
      <w:rFonts w:ascii="宋体" w:hAnsi="宋体"/>
      <w:b/>
      <w:sz w:val="30"/>
      <w:szCs w:val="30"/>
      <w:lang w:eastAsia="en-US"/>
    </w:rPr>
  </w:style>
  <w:style w:type="paragraph" w:styleId="1500">
    <w:name w:val="Char Char1 Char Char Char Char Char Char1"/>
    <w:basedOn w:val="1259"/>
    <w:next w:val="1500"/>
    <w:link w:val="1259"/>
    <w:qFormat/>
    <w:pPr>
      <w:jc w:val="left"/>
      <w:spacing w:after="160" w:line="240" w:lineRule="exact"/>
      <w:widowControl/>
    </w:pPr>
    <w:rPr>
      <w:rFonts w:ascii="Verdana" w:hAnsi="Verdana" w:eastAsia="仿宋_GB2312"/>
      <w:sz w:val="24"/>
      <w:szCs w:val="20"/>
      <w:lang w:eastAsia="en-US"/>
    </w:rPr>
  </w:style>
  <w:style w:type="paragraph" w:styleId="1501">
    <w:name w:val="列出段落2"/>
    <w:basedOn w:val="1259"/>
    <w:next w:val="1501"/>
    <w:link w:val="1259"/>
    <w:qFormat/>
    <w:pPr>
      <w:ind w:firstLine="420"/>
    </w:pPr>
    <w:rPr>
      <w:rFonts w:ascii="Calibri" w:hAnsi="Calibri"/>
      <w:szCs w:val="22"/>
    </w:rPr>
  </w:style>
  <w:style w:type="paragraph" w:styleId="1502">
    <w:name w:val="Char Char Char1 Char2"/>
    <w:basedOn w:val="1259"/>
    <w:next w:val="1502"/>
    <w:link w:val="1259"/>
    <w:qFormat/>
    <w:rPr>
      <w:rFonts w:ascii="Tahoma" w:hAnsi="Tahoma"/>
      <w:sz w:val="24"/>
      <w:szCs w:val="20"/>
    </w:rPr>
  </w:style>
  <w:style w:type="paragraph" w:styleId="1503">
    <w:name w:val="Char Char Char2"/>
    <w:basedOn w:val="1259"/>
    <w:next w:val="1503"/>
    <w:link w:val="1259"/>
    <w:qFormat/>
    <w:rPr>
      <w:rFonts w:ascii="Tahoma" w:hAnsi="Tahoma"/>
      <w:sz w:val="24"/>
      <w:szCs w:val="20"/>
    </w:rPr>
  </w:style>
  <w:style w:type="paragraph" w:styleId="1504">
    <w:name w:val="Char Char Char Char Char Char Char2"/>
    <w:basedOn w:val="1259"/>
    <w:next w:val="1504"/>
    <w:link w:val="1259"/>
    <w:qFormat/>
    <w:pPr>
      <w:ind w:firstLine="200"/>
      <w:spacing w:line="360" w:lineRule="auto"/>
    </w:pPr>
    <w:rPr>
      <w:rFonts w:eastAsia="仿宋_GB2312"/>
      <w:sz w:val="24"/>
    </w:rPr>
  </w:style>
  <w:style w:type="paragraph" w:styleId="1505">
    <w:name w:val="正文缩进2"/>
    <w:basedOn w:val="1259"/>
    <w:next w:val="1505"/>
    <w:link w:val="1259"/>
    <w:qFormat/>
    <w:pPr>
      <w:ind w:firstLine="567"/>
      <w:spacing w:line="480" w:lineRule="exact"/>
      <w:widowControl/>
    </w:pPr>
    <w:rPr>
      <w:rFonts w:ascii="宋体"/>
      <w:color w:val="000000"/>
      <w:sz w:val="28"/>
      <w:szCs w:val="20"/>
      <w:lang w:val="zh-CN" w:eastAsia="zh-CN"/>
    </w:rPr>
  </w:style>
  <w:style w:type="paragraph" w:styleId="1506">
    <w:name w:val="Revision"/>
    <w:next w:val="1506"/>
    <w:link w:val="1259"/>
    <w:qFormat/>
    <w:rPr>
      <w:sz w:val="21"/>
      <w:szCs w:val="24"/>
      <w:lang w:val="en-US" w:eastAsia="zh-CN" w:bidi="ar-SA"/>
    </w:rPr>
  </w:style>
  <w:style w:type="paragraph" w:styleId="1507">
    <w:name w:val="Char22"/>
    <w:basedOn w:val="1259"/>
    <w:next w:val="1507"/>
    <w:link w:val="1259"/>
    <w:qFormat/>
    <w:rPr>
      <w:rFonts w:ascii="Tahoma" w:hAnsi="Tahoma"/>
      <w:sz w:val="24"/>
      <w:szCs w:val="20"/>
    </w:rPr>
  </w:style>
  <w:style w:type="paragraph" w:styleId="1508">
    <w:name w:val="Char Char Char Char Char Char Char Char Char Char2"/>
    <w:basedOn w:val="1259"/>
    <w:next w:val="1508"/>
    <w:link w:val="1259"/>
    <w:qFormat/>
    <w:rPr>
      <w:rFonts w:ascii="宋体" w:hAnsi="宋体" w:cs="Courier New"/>
      <w:sz w:val="32"/>
      <w:szCs w:val="32"/>
    </w:rPr>
  </w:style>
  <w:style w:type="paragraph" w:styleId="1509">
    <w:name w:val="Char2 Char Char Char Char Char Char1"/>
    <w:basedOn w:val="1259"/>
    <w:next w:val="1509"/>
    <w:link w:val="1259"/>
    <w:qFormat/>
    <w:pPr>
      <w:jc w:val="center"/>
      <w:spacing w:line="400" w:lineRule="exact"/>
      <w:widowControl/>
    </w:pPr>
  </w:style>
  <w:style w:type="character" w:styleId="1510">
    <w:name w:val="页脚 Char"/>
    <w:next w:val="1510"/>
    <w:link w:val="1259"/>
    <w:qFormat/>
    <w:rPr>
      <w:rFonts w:ascii="宋体" w:eastAsia="宋体"/>
      <w:sz w:val="18"/>
      <w:lang w:val="en-US" w:eastAsia="zh-CN" w:bidi="ar-SA"/>
    </w:rPr>
  </w:style>
  <w:style w:type="paragraph" w:styleId="1511">
    <w:name w:val="Char Char41"/>
    <w:basedOn w:val="1259"/>
    <w:next w:val="1511"/>
    <w:link w:val="1259"/>
    <w:qFormat/>
    <w:pPr>
      <w:jc w:val="center"/>
      <w:spacing w:line="400" w:lineRule="exact"/>
      <w:widowControl/>
    </w:pPr>
  </w:style>
  <w:style w:type="character" w:styleId="1512">
    <w:name w:val="批注文字 Char"/>
    <w:next w:val="1512"/>
    <w:link w:val="1259"/>
    <w:uiPriority w:val="99"/>
    <w:qFormat/>
    <w:rPr>
      <w:sz w:val="21"/>
      <w:szCs w:val="24"/>
    </w:rPr>
  </w:style>
  <w:style w:type="character" w:styleId="1513">
    <w:name w:val="标题 Char"/>
    <w:next w:val="1513"/>
    <w:link w:val="1259"/>
    <w:qFormat/>
    <w:rPr>
      <w:b/>
      <w:sz w:val="32"/>
    </w:rPr>
  </w:style>
  <w:style w:type="paragraph" w:styleId="1514">
    <w:name w:val="图例"/>
    <w:basedOn w:val="1259"/>
    <w:next w:val="1514"/>
    <w:link w:val="1259"/>
    <w:qFormat/>
    <w:pPr>
      <w:jc w:val="center"/>
      <w:spacing w:before="120" w:after="120" w:line="360" w:lineRule="auto"/>
    </w:pPr>
    <w:rPr>
      <w:rFonts w:eastAsia="仿宋_GB2312"/>
      <w:b/>
      <w:sz w:val="24"/>
      <w:szCs w:val="20"/>
    </w:rPr>
  </w:style>
  <w:style w:type="table" w:styleId="1515">
    <w:name w:val="Table Normal"/>
    <w:next w:val="1515"/>
    <w:link w:val="1259"/>
    <w:uiPriority w:val="2"/>
    <w:unhideWhenUsed/>
    <w:qFormat/>
    <w:pPr>
      <w:widowControl w:val="off"/>
    </w:pPr>
    <w:rPr>
      <w:rFonts w:ascii="Calibri" w:hAnsi="Calibri"/>
      <w:sz w:val="22"/>
      <w:szCs w:val="22"/>
      <w:lang w:val="en-US" w:eastAsia="en-US" w:bidi="ar-SA"/>
    </w:rPr>
    <w:tblPr/>
  </w:style>
  <w:style w:type="paragraph" w:styleId="1516">
    <w:name w:val="Table Paragraph"/>
    <w:basedOn w:val="1259"/>
    <w:next w:val="1516"/>
    <w:link w:val="1259"/>
    <w:uiPriority w:val="1"/>
    <w:qFormat/>
    <w:pPr>
      <w:jc w:val="left"/>
    </w:pPr>
    <w:rPr>
      <w:rFonts w:ascii="宋体" w:hAnsi="宋体" w:cs="宋体"/>
      <w:sz w:val="22"/>
      <w:szCs w:val="22"/>
      <w:lang w:eastAsia="en-US"/>
    </w:rPr>
  </w:style>
  <w:style w:type="paragraph" w:styleId="1517">
    <w:name w:val="成文日期"/>
    <w:basedOn w:val="1259"/>
    <w:next w:val="1517"/>
    <w:link w:val="1518"/>
    <w:qFormat/>
    <w:pPr>
      <w:ind w:right="400" w:firstLine="200"/>
      <w:jc w:val="right"/>
      <w:spacing w:line="570" w:lineRule="exact"/>
    </w:pPr>
    <w:rPr>
      <w:rFonts w:ascii="仿宋_GB2312" w:eastAsia="仿宋_GB2312"/>
      <w:sz w:val="32"/>
      <w:szCs w:val="20"/>
    </w:rPr>
  </w:style>
  <w:style w:type="character" w:styleId="1518">
    <w:name w:val="成文日期 Char"/>
    <w:next w:val="1518"/>
    <w:link w:val="1517"/>
    <w:rPr>
      <w:rFonts w:ascii="仿宋_GB2312" w:eastAsia="仿宋_GB2312"/>
      <w:sz w:val="32"/>
    </w:rPr>
  </w:style>
  <w:style w:type="paragraph" w:styleId="1519">
    <w:name w:val="修订"/>
    <w:next w:val="1519"/>
    <w:link w:val="1259"/>
    <w:uiPriority w:val="99"/>
    <w:unhideWhenUsed/>
    <w:rPr>
      <w:sz w:val="21"/>
      <w:szCs w:val="24"/>
      <w:lang w:val="en-US" w:eastAsia="zh-CN" w:bidi="ar-SA"/>
    </w:rPr>
  </w:style>
  <w:style w:type="character" w:styleId="1520">
    <w:name w:val="页脚 字符"/>
    <w:next w:val="1520"/>
    <w:link w:val="1259"/>
    <w:uiPriority w:val="99"/>
    <w:qFormat/>
  </w:style>
  <w:style w:type="character" w:styleId="1521">
    <w:name w:val="标题 2 字符1"/>
    <w:next w:val="1521"/>
    <w:link w:val="1259"/>
    <w:semiHidden/>
    <w:qFormat/>
    <w:rPr>
      <w:rFonts w:ascii="Arial" w:hAnsi="Arial" w:eastAsia="黑体" w:cs="Times New Roman"/>
      <w:b/>
      <w:sz w:val="30"/>
      <w:szCs w:val="20"/>
    </w:rPr>
  </w:style>
  <w:style w:type="paragraph" w:styleId="1522">
    <w:name w:val="列出段落11"/>
    <w:basedOn w:val="1259"/>
    <w:next w:val="1522"/>
    <w:link w:val="1259"/>
    <w:uiPriority w:val="34"/>
    <w:qFormat/>
    <w:pPr>
      <w:ind w:firstLine="420"/>
    </w:pPr>
    <w:rPr>
      <w:szCs w:val="20"/>
    </w:rPr>
  </w:style>
  <w:style w:type="paragraph" w:styleId="1523">
    <w:name w:val="列表段落1"/>
    <w:basedOn w:val="1259"/>
    <w:next w:val="1523"/>
    <w:link w:val="1259"/>
    <w:uiPriority w:val="34"/>
    <w:qFormat/>
    <w:pPr>
      <w:ind w:firstLine="420"/>
    </w:pPr>
    <w:rPr>
      <w:rFonts w:eastAsia="等线"/>
      <w:szCs w:val="22"/>
    </w:rPr>
  </w:style>
  <w:style w:type="character" w:styleId="1524">
    <w:name w:val="正文文本 Char"/>
    <w:next w:val="1524"/>
    <w:link w:val="1259"/>
    <w:qFormat/>
    <w:rPr>
      <w:rFonts w:ascii="宋体" w:hAnsi="宋体"/>
      <w:sz w:val="24"/>
      <w:szCs w:val="24"/>
    </w:rPr>
  </w:style>
  <w:style w:type="character" w:styleId="1525">
    <w:name w:val="页脚 Char1"/>
    <w:next w:val="1525"/>
    <w:link w:val="1259"/>
    <w:uiPriority w:val="99"/>
    <w:qFormat/>
    <w:rPr>
      <w:rFonts w:ascii="宋体" w:eastAsia="宋体"/>
      <w:sz w:val="18"/>
      <w:lang w:val="en-US" w:eastAsia="zh-CN" w:bidi="ar-SA"/>
    </w:rPr>
  </w:style>
  <w:style w:type="character" w:styleId="1526">
    <w:name w:val="页眉 Char1"/>
    <w:next w:val="1526"/>
    <w:link w:val="1259"/>
    <w:qFormat/>
    <w:rPr>
      <w:rFonts w:eastAsia="宋体"/>
      <w:sz w:val="18"/>
      <w:szCs w:val="18"/>
      <w:lang w:val="en-US" w:eastAsia="zh-CN" w:bidi="ar-SA"/>
    </w:rPr>
  </w:style>
  <w:style w:type="character" w:styleId="1527">
    <w:name w:val="NormalCharacter1"/>
    <w:next w:val="1527"/>
    <w:link w:val="1259"/>
    <w:semiHidden/>
    <w:qFormat/>
  </w:style>
  <w:style w:type="paragraph" w:styleId="1528">
    <w:name w:val="段"/>
    <w:next w:val="1259"/>
    <w:link w:val="1259"/>
    <w:qFormat/>
    <w:pPr>
      <w:ind w:firstLine="200"/>
      <w:jc w:val="both"/>
    </w:pPr>
    <w:rPr>
      <w:rFonts w:ascii="宋体" w:hAnsi="Calibri"/>
      <w:sz w:val="21"/>
      <w:lang w:val="en-US" w:eastAsia="zh-CN" w:bidi="ar-SA"/>
    </w:rPr>
  </w:style>
  <w:style w:type="character" w:styleId="1529">
    <w:name w:val="正文缩进 字符1"/>
    <w:next w:val="1529"/>
    <w:link w:val="1259"/>
    <w:qFormat/>
    <w:rPr>
      <w:rFonts w:ascii="宋体"/>
      <w:sz w:val="24"/>
      <w:szCs w:val="24"/>
    </w:rPr>
  </w:style>
  <w:style w:type="paragraph" w:styleId="1530">
    <w:name w:val="样式 正文缩进文2ALT+Z表正文正文非缩进特点段1标题4特点 Char Char特点 Char Char C..."/>
    <w:basedOn w:val="1273"/>
    <w:next w:val="1530"/>
    <w:link w:val="1259"/>
    <w:qFormat/>
    <w:pPr>
      <w:ind w:firstLine="480"/>
      <w:jc w:val="both"/>
      <w:spacing w:line="360" w:lineRule="auto"/>
    </w:pPr>
    <w:rPr>
      <w:rFonts w:ascii="Times New Roman" w:hAnsi="Calibri" w:eastAsia="仿宋_GB2312" w:cs="宋体"/>
      <w:szCs w:val="20"/>
    </w:rPr>
  </w:style>
  <w:style w:type="table" w:styleId="1531">
    <w:name w:val="网格型1"/>
    <w:basedOn w:val="1270"/>
    <w:next w:val="1531"/>
    <w:link w:val="1259"/>
    <w:pPr>
      <w:jc w:val="both"/>
      <w:widowControl w:val="off"/>
    </w:pPr>
    <w:tblPr/>
  </w:style>
  <w:style w:type="table" w:styleId="1532">
    <w:name w:val="网格型2"/>
    <w:basedOn w:val="1270"/>
    <w:next w:val="1532"/>
    <w:link w:val="1259"/>
    <w:pPr>
      <w:jc w:val="both"/>
      <w:widowControl w:val="off"/>
    </w:pPr>
    <w:tblPr/>
  </w:style>
  <w:style w:type="character" w:styleId="1533">
    <w:name w:val="标题 字符1"/>
    <w:next w:val="1533"/>
    <w:link w:val="1259"/>
    <w:qFormat/>
    <w:rPr>
      <w:rFonts w:ascii="Cambria" w:hAnsi="Cambria"/>
      <w:b/>
      <w:bCs/>
      <w:sz w:val="32"/>
      <w:szCs w:val="32"/>
    </w:rPr>
  </w:style>
  <w:style w:type="paragraph" w:styleId="1534">
    <w:name w:val="纯文本2"/>
    <w:next w:val="1312"/>
    <w:link w:val="1259"/>
    <w:qFormat/>
    <w:pPr>
      <w:jc w:val="both"/>
      <w:spacing w:line="360" w:lineRule="auto"/>
      <w:widowControl w:val="off"/>
    </w:pPr>
    <w:rPr>
      <w:rFonts w:ascii="宋体" w:hAnsi="宋体" w:eastAsia="仿宋"/>
      <w:sz w:val="26"/>
      <w:szCs w:val="21"/>
      <w:lang w:val="en-US" w:eastAsia="zh-CN" w:bidi="ar-SA"/>
    </w:rPr>
  </w:style>
  <w:style w:type="character" w:styleId="1535">
    <w:name w:val="正文文本_"/>
    <w:basedOn w:val="1269"/>
    <w:next w:val="1535"/>
    <w:link w:val="1536"/>
    <w:uiPriority w:val="99"/>
    <w:unhideWhenUsed/>
    <w:qFormat/>
    <w:rPr>
      <w:rFonts w:ascii="MingLiU" w:hAnsi="MingLiU" w:eastAsia="MingLiU"/>
      <w:spacing w:val="10"/>
      <w:sz w:val="23"/>
      <w:shd w:val="clear" w:color="auto" w:fill="ffffff"/>
    </w:rPr>
  </w:style>
  <w:style w:type="paragraph" w:styleId="1536">
    <w:name w:val="正文文本1"/>
    <w:basedOn w:val="1259"/>
    <w:next w:val="1536"/>
    <w:link w:val="1535"/>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537">
    <w:name w:val="font21"/>
    <w:next w:val="1537"/>
    <w:link w:val="1259"/>
    <w:qFormat/>
    <w:rPr>
      <w:rFonts w:hint="eastAsia" w:ascii="宋体" w:hAnsi="宋体" w:eastAsia="宋体" w:cs="宋体"/>
      <w:color w:val="000000"/>
      <w:sz w:val="21"/>
      <w:szCs w:val="21"/>
      <w:u w:val="none"/>
    </w:rPr>
  </w:style>
  <w:style w:type="character" w:styleId="1538">
    <w:name w:val="font01"/>
    <w:next w:val="1538"/>
    <w:link w:val="1259"/>
    <w:qFormat/>
    <w:rPr>
      <w:rFonts w:hint="eastAsia" w:ascii="宋体" w:hAnsi="宋体" w:eastAsia="宋体" w:cs="宋体"/>
      <w:b/>
      <w:color w:val="000000"/>
      <w:sz w:val="22"/>
      <w:szCs w:val="22"/>
      <w:u w:val="none"/>
    </w:rPr>
  </w:style>
  <w:style w:type="paragraph" w:styleId="1539">
    <w:name w:val="p0"/>
    <w:basedOn w:val="1259"/>
    <w:next w:val="1539"/>
    <w:link w:val="1259"/>
    <w:qFormat/>
    <w:pPr>
      <w:widowControl/>
    </w:pPr>
    <w:rPr>
      <w:rFonts w:ascii="Calibri" w:hAnsi="Calibri"/>
      <w:szCs w:val="21"/>
    </w:rPr>
  </w:style>
  <w:style w:type="paragraph" w:styleId="1540">
    <w:name w:val="be358f00-9758-446e-aec5-cde8345aeef3"/>
    <w:basedOn w:val="1290"/>
    <w:next w:val="1540"/>
    <w:link w:val="1541"/>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541">
    <w:name w:val="be358f00-9758-446e-aec5-cde8345aeef3 字符"/>
    <w:next w:val="1541"/>
    <w:link w:val="1540"/>
    <w:qFormat/>
    <w:rPr>
      <w:rFonts w:ascii="微软雅黑" w:hAnsi="微软雅黑" w:eastAsia="微软雅黑"/>
      <w:color w:val="000000"/>
      <w:sz w:val="22"/>
      <w:szCs w:val="24"/>
    </w:rPr>
  </w:style>
  <w:style w:type="character" w:styleId="1542">
    <w:name w:val="font61"/>
    <w:next w:val="1542"/>
    <w:link w:val="1259"/>
    <w:rPr>
      <w:rFonts w:hint="eastAsia" w:ascii="宋体" w:hAnsi="宋体" w:eastAsia="宋体" w:cs="宋体"/>
      <w:color w:val="000000"/>
      <w:sz w:val="21"/>
      <w:szCs w:val="21"/>
      <w:u w:val="none"/>
    </w:rPr>
  </w:style>
  <w:style w:type="character" w:styleId="1543">
    <w:name w:val="font71"/>
    <w:next w:val="1543"/>
    <w:link w:val="1259"/>
    <w:rPr>
      <w:rFonts w:hint="eastAsia" w:ascii="宋体" w:hAnsi="宋体" w:eastAsia="宋体" w:cs="宋体"/>
      <w:color w:val="000000"/>
      <w:sz w:val="22"/>
      <w:szCs w:val="22"/>
      <w:u w:val="none"/>
    </w:rPr>
  </w:style>
  <w:style w:type="character" w:styleId="1544">
    <w:name w:val="font31"/>
    <w:next w:val="1544"/>
    <w:link w:val="1259"/>
    <w:qFormat/>
    <w:rPr>
      <w:rFonts w:ascii="Arial Unicode MS" w:hAnsi="Arial Unicode MS" w:eastAsia="Arial Unicode MS" w:cs="Arial Unicode MS"/>
      <w:color w:val="000000"/>
      <w:sz w:val="22"/>
      <w:szCs w:val="22"/>
      <w:u w:val="none"/>
    </w:rPr>
  </w:style>
  <w:style w:type="character" w:styleId="1545">
    <w:name w:val="font41"/>
    <w:next w:val="1545"/>
    <w:link w:val="1259"/>
    <w:qFormat/>
    <w:rPr>
      <w:rFonts w:ascii="宋体" w:hAnsi="宋体" w:eastAsia="宋体" w:cs="宋体"/>
      <w:color w:val="000000"/>
      <w:sz w:val="22"/>
      <w:szCs w:val="22"/>
      <w:u w:val="none"/>
    </w:rPr>
  </w:style>
  <w:style w:type="character" w:styleId="1546">
    <w:name w:val="font11"/>
    <w:next w:val="1546"/>
    <w:link w:val="1259"/>
    <w:qFormat/>
    <w:rPr>
      <w:rFonts w:hint="eastAsia" w:ascii="宋体" w:hAnsi="宋体" w:eastAsia="宋体" w:cs="宋体"/>
      <w:b/>
      <w:bCs/>
      <w:color w:val="000000"/>
      <w:sz w:val="21"/>
      <w:szCs w:val="21"/>
      <w:u w:val="none"/>
    </w:rPr>
  </w:style>
  <w:style w:type="character" w:styleId="1547">
    <w:name w:val="font51"/>
    <w:next w:val="1547"/>
    <w:link w:val="1259"/>
    <w:qFormat/>
    <w:rPr>
      <w:rFonts w:ascii="Times New Roman" w:hAnsi="Times New Roman" w:cs="Times New Roman"/>
      <w:color w:val="000000"/>
      <w:sz w:val="21"/>
      <w:szCs w:val="21"/>
      <w:u w:val="none"/>
    </w:rPr>
  </w:style>
  <w:style w:type="character" w:styleId="1548">
    <w:name w:val="font81"/>
    <w:next w:val="1548"/>
    <w:link w:val="1259"/>
    <w:rPr>
      <w:rFonts w:ascii="Times New Roman" w:hAnsi="Times New Roman" w:cs="Times New Roman"/>
      <w:color w:val="000000"/>
      <w:sz w:val="21"/>
      <w:szCs w:val="21"/>
      <w:u w:val="none"/>
      <w:vertAlign w:val="superscript"/>
    </w:rPr>
  </w:style>
  <w:style w:type="paragraph" w:styleId="1549">
    <w:name w:val="正文缩进11"/>
    <w:basedOn w:val="1259"/>
    <w:next w:val="1549"/>
    <w:link w:val="1259"/>
    <w:qFormat/>
    <w:pPr>
      <w:ind w:firstLine="420"/>
      <w:jc w:val="left"/>
    </w:pPr>
    <w:rPr>
      <w:rFonts w:ascii="宋体"/>
      <w:sz w:val="24"/>
    </w:rPr>
  </w:style>
  <w:style w:type="paragraph" w:styleId="1550">
    <w:name w:val="一、"/>
    <w:basedOn w:val="1259"/>
    <w:next w:val="1550"/>
    <w:link w:val="1259"/>
    <w:qFormat/>
    <w:pPr>
      <w:ind w:firstLine="640"/>
    </w:pPr>
    <w:rPr>
      <w:rFonts w:eastAsia="黑体"/>
      <w:szCs w:val="32"/>
    </w:rPr>
  </w:style>
  <w:style w:type="paragraph" w:styleId="1551">
    <w:name w:val="附件标题"/>
    <w:next w:val="1551"/>
    <w:link w:val="1259"/>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52">
    <w:name w:val="第一章"/>
    <w:basedOn w:val="1550"/>
    <w:next w:val="1552"/>
    <w:link w:val="1259"/>
    <w:qFormat/>
    <w:pPr>
      <w:ind w:firstLine="0"/>
      <w:jc w:val="center"/>
    </w:pPr>
  </w:style>
  <w:style w:type="paragraph" w:styleId="1553">
    <w:name w:val="AONormal"/>
    <w:next w:val="1553"/>
    <w:link w:val="1259"/>
    <w:qFormat/>
    <w:pPr>
      <w:ind w:firstLine="440"/>
      <w:spacing w:line="400" w:lineRule="exact"/>
    </w:pPr>
    <w:rPr>
      <w:rFonts w:ascii="华文楷体" w:hAnsi="华文楷体" w:eastAsia="华文楷体" w:cs="华文楷体"/>
      <w:sz w:val="22"/>
      <w:szCs w:val="21"/>
      <w:lang w:val="en-US" w:eastAsia="zh-CN" w:bidi="ar-SA"/>
    </w:rPr>
  </w:style>
  <w:style w:type="paragraph" w:styleId="1554">
    <w:name w:val="正文文本11"/>
    <w:basedOn w:val="1259"/>
    <w:next w:val="1554"/>
    <w:link w:val="1259"/>
    <w:qFormat/>
    <w:pPr>
      <w:spacing w:before="120" w:line="22" w:lineRule="atLeast"/>
      <w:tabs>
        <w:tab w:val="left" w:pos="567" w:leader="none"/>
      </w:tabs>
    </w:pPr>
    <w:rPr>
      <w:rFonts w:ascii="宋体" w:hAnsi="宋体"/>
      <w:sz w:val="24"/>
    </w:rPr>
  </w:style>
  <w:style w:type="paragraph" w:styleId="1555">
    <w:name w:val="纯文本11"/>
    <w:basedOn w:val="1259"/>
    <w:next w:val="1555"/>
    <w:link w:val="1259"/>
    <w:qFormat/>
    <w:rPr>
      <w:rFonts w:hint="eastAsia" w:ascii="宋体" w:hAnsi="Courier New"/>
      <w:szCs w:val="20"/>
    </w:rPr>
  </w:style>
  <w:style w:type="character" w:styleId="1556" w:default="1">
    <w:name w:val="Default Paragraph Font"/>
    <w:uiPriority w:val="1"/>
    <w:semiHidden/>
    <w:unhideWhenUsed/>
  </w:style>
  <w:style w:type="numbering" w:styleId="1557" w:default="1">
    <w:name w:val="No List"/>
    <w:uiPriority w:val="99"/>
    <w:semiHidden/>
    <w:unhideWhenUsed/>
  </w:style>
  <w:style w:type="table" w:styleId="15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3</cp:revision>
  <dcterms:created xsi:type="dcterms:W3CDTF">2024-07-31T00:01:00Z</dcterms:created>
  <dcterms:modified xsi:type="dcterms:W3CDTF">2026-09-24T07:52:07Z</dcterms:modified>
</cp:coreProperties>
</file>