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jc w:val="center"/>
        <w:spacing w:before="120" w:after="120" w:line="400" w:lineRule="exact"/>
        <w:rPr>
          <w:rFonts w:hint="eastAsia" w:ascii="方正小标宋_GBK" w:hAnsi="方正小标宋_GBK" w:eastAsia="方正小标宋_GBK" w:cs="方正小标宋_GBK"/>
          <w:b/>
          <w:bCs/>
          <w:color w:val="000000"/>
          <w:sz w:val="40"/>
          <w:szCs w:val="40"/>
          <w:highlight w:val="none"/>
        </w:rPr>
      </w:pPr>
      <w:r>
        <w:rPr>
          <w:rFonts w:hint="eastAsia" w:ascii="方正小标宋_GBK" w:hAnsi="方正小标宋_GBK" w:eastAsia="方正小标宋_GBK" w:cs="方正小标宋_GBK"/>
          <w:b/>
          <w:bCs/>
          <w:color w:val="000000"/>
          <w:sz w:val="40"/>
          <w:szCs w:val="40"/>
          <w:highlight w:val="none"/>
        </w:rPr>
        <w:t xml:space="preserve">招　标　文　件</w:t>
      </w:r>
      <w:r/>
    </w:p>
    <w:p>
      <w:pPr>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项目名称：_南京中医药大学高性能GPU服务器购置_</w:t>
      </w:r>
      <w:r>
        <w:rPr>
          <w:rFonts w:hint="eastAsia" w:ascii="方正黑体_GBK" w:hAnsi="方正黑体_GBK" w:eastAsia="方正黑体_GBK" w:cs="方正黑体_GBK"/>
          <w:color w:val="000000"/>
          <w:sz w:val="28"/>
          <w:szCs w:val="28"/>
          <w:highlight w:val="none"/>
        </w:rPr>
        <w:t xml:space="preserve">（更正稿）</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hint="eastAsia" w:eastAsia="方正黑体_GBK"/>
          <w:color w:val="000000"/>
          <w:sz w:val="28"/>
          <w:szCs w:val="28"/>
          <w:highlight w:val="none"/>
        </w:rPr>
        <w:t xml:space="preserve">JSZC-320000-SCZX-G2026-0492</w:t>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_2026_年_10</w:t>
      </w:r>
      <w:r>
        <w:rPr>
          <w:rFonts w:hint="eastAsia" w:ascii="方正黑体_GBK" w:hAnsi="方正黑体_GBK" w:eastAsia="方正黑体_GBK" w:cs="方正黑体_GBK"/>
          <w:color w:val="000000"/>
          <w:sz w:val="28"/>
          <w:szCs w:val="28"/>
          <w:highlight w:val="none"/>
        </w:rPr>
        <w:t xml:space="preserve">_月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方正黑体_GBK" w:hAnsi="方正黑体_GBK" w:eastAsia="方正黑体_GBK" w:cs="方正黑体_GBK"/>
          <w:bCs/>
          <w:color w:val="000000"/>
          <w:sz w:val="28"/>
          <w:szCs w:val="28"/>
          <w:highlight w:val="none"/>
        </w:rPr>
        <w:t xml:space="preserve">总  目  录</w:t>
      </w:r>
      <w:r/>
    </w:p>
    <w:p>
      <w:pPr>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1020"/>
        <w:rPr>
          <w:rFonts w:hint="eastAsia" w:ascii="等线" w:hAnsi="等线" w:eastAsia="等线"/>
          <w:caps w:val="0"/>
          <w:color w:val="000000"/>
          <w:sz w:val="22"/>
          <w:highlight w:val="none"/>
        </w:rPr>
      </w:pPr>
      <w:r>
        <w:rPr>
          <w:b/>
          <w:bCs/>
          <w:color w:val="000000"/>
          <w:sz w:val="36"/>
          <w:szCs w:val="36"/>
          <w:highlight w:val="none"/>
        </w:rPr>
        <w:fldChar w:fldCharType="begin"/>
      </w:r>
      <w:r>
        <w:rPr>
          <w:b/>
          <w:bCs/>
          <w:color w:val="000000"/>
          <w:sz w:val="36"/>
          <w:szCs w:val="36"/>
          <w:highlight w:val="none"/>
        </w:rPr>
        <w:instrText xml:space="preserve"> TOC \o "1-1" \u </w:instrText>
      </w:r>
      <w:r>
        <w:rPr>
          <w:b/>
          <w:bCs/>
          <w:color w:val="000000"/>
          <w:sz w:val="36"/>
          <w:szCs w:val="36"/>
          <w:highlight w:val="none"/>
        </w:rPr>
        <w:fldChar w:fldCharType="separate"/>
      </w:r>
      <w:r>
        <w:rPr>
          <w:rFonts w:hint="eastAsia" w:ascii="方正黑体_GBK" w:hAnsi="方正黑体_GBK" w:eastAsia="方正黑体_GBK" w:cs="方正黑体_GBK"/>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三、获取招标文件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四、提交投标文件截止时间、开标时间和地点</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_Toc233969281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五、公告期限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_Toc233969282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六、其他补充事宜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七、本次招标联系方式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八、其他</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w:t>
      </w:r>
      <w:r>
        <w:rPr>
          <w:rFonts w:hint="eastAsia"/>
          <w:color w:val="000000"/>
          <w:highlight w:val="none"/>
        </w:rPr>
        <w:fldChar w:fldCharType="end"/>
      </w:r>
      <w:r/>
    </w:p>
    <w:p>
      <w:pPr>
        <w:pStyle w:val="1020"/>
        <w:rPr>
          <w:rFonts w:hint="default" w:ascii="方正黑体_GBK" w:hAnsi="方正黑体_GBK" w:eastAsia="宋体" w:cs="方正黑体_GBK"/>
          <w:color w:val="000000"/>
          <w:highlight w:val="none"/>
          <w:lang w:val="en-US" w:eastAsia="zh-CN"/>
        </w:rPr>
      </w:pPr>
      <w:r>
        <w:rPr>
          <w:rFonts w:hint="eastAsia" w:ascii="方正黑体_GBK" w:hAnsi="方正黑体_GBK" w:eastAsia="方正黑体_GBK" w:cs="方正黑体_GBK"/>
          <w:color w:val="000000"/>
          <w:highlight w:val="none"/>
        </w:rPr>
        <w:t xml:space="preserve">第三章  合同文本</w:t>
      </w:r>
      <w:r>
        <w:rPr>
          <w:rFonts w:hint="eastAsia"/>
          <w:color w:val="000000"/>
          <w:highlight w:val="none"/>
        </w:rPr>
        <w:tab/>
      </w:r>
      <w:r>
        <w:rPr>
          <w:rFonts w:hint="eastAsia"/>
          <w:color w:val="000000"/>
          <w:highlight w:val="none"/>
          <w:lang w:val="en-US" w:eastAsia="zh-CN"/>
        </w:rPr>
        <w:t xml:space="preserve">16</w:t>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第四章 采购需求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43</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第五章  评标方法与评标标准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49</w:t>
      </w:r>
      <w:r>
        <w:rPr>
          <w:rFonts w:hint="eastAsia"/>
          <w:color w:val="000000"/>
          <w:highlight w:val="none"/>
        </w:rPr>
        <w:fldChar w:fldCharType="end"/>
      </w:r>
      <w:r/>
    </w:p>
    <w:p>
      <w:pPr>
        <w:pStyle w:val="1020"/>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第六章  投标文件格式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_Toc233969290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53</w:t>
      </w:r>
      <w:r>
        <w:rPr>
          <w:rFonts w:hint="eastAsia"/>
          <w:color w:val="000000"/>
          <w:highlight w:val="none"/>
        </w:rPr>
        <w:fldChar w:fldCharType="end"/>
      </w:r>
      <w:r/>
    </w:p>
    <w:p>
      <w:pPr>
        <w:rPr>
          <w:rFonts w:hint="eastAsia"/>
          <w:color w:val="000000"/>
          <w:szCs w:val="21"/>
          <w:highlight w:val="none"/>
        </w:rPr>
      </w:pPr>
      <w:r>
        <w:rPr>
          <w:rFonts w:hAnsi="宋体"/>
          <w:bCs/>
          <w:color w:val="000000"/>
          <w:szCs w:val="36"/>
          <w:highlight w:val="none"/>
        </w:rPr>
        <w:fldChar w:fldCharType="end"/>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受〔南京中医药大学〕的委托，江苏省政府采购中心就〔南京中医药大学高性能GPU服务器购置〕(〔JSZC-320000-SCZX-G2026-0492〕)项目进行公开招标采购，欢迎符合条件的供应商投标。</w:t>
      </w: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南京中医药大学高性能GPU服务器购置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w:t>
      </w:r>
      <w:r>
        <w:rPr>
          <w:rFonts w:hint="eastAsia" w:ascii="方正仿宋_GBK" w:hAnsi="方正仿宋_GBK" w:eastAsia="方正仿宋_GBK" w:cs="方正仿宋_GBK"/>
          <w:bCs/>
          <w:color w:val="000000"/>
          <w:sz w:val="28"/>
          <w:szCs w:val="28"/>
          <w:highlight w:val="none"/>
          <w:lang w:val="en-US" w:eastAsia="zh-CN"/>
        </w:rPr>
        <w:t xml:space="preserve">11</w:t>
      </w:r>
      <w:r>
        <w:rPr>
          <w:rFonts w:hint="eastAsia"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6</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w:t>
      </w:r>
      <w:r>
        <w:rPr>
          <w:rFonts w:hint="eastAsia" w:ascii="方正仿宋_GBK" w:hAnsi="方正仿宋_GBK" w:eastAsia="方正仿宋_GBK" w:cs="方正仿宋_GBK"/>
          <w:bCs/>
          <w:color w:val="000000"/>
          <w:sz w:val="28"/>
          <w:szCs w:val="28"/>
          <w:highlight w:val="none"/>
        </w:rPr>
        <w:t xml:space="preserve">（北京时间）前递交投标文件</w:t>
      </w:r>
      <w:r>
        <w:rPr>
          <w:rFonts w:hint="eastAsia" w:ascii="方正仿宋_GBK" w:hAnsi="方正仿宋_GBK" w:eastAsia="方正仿宋_GBK" w:cs="方正仿宋_GBK"/>
          <w:color w:val="000000"/>
          <w:sz w:val="28"/>
          <w:szCs w:val="28"/>
          <w:highlight w:val="none"/>
        </w:rPr>
        <w:t xml:space="preserve">。</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spacing w:line="400" w:lineRule="exact"/>
        <w:rPr>
          <w:rFonts w:hint="default"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JSZC-320000-SCZX-G2026-0492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eastAsia="方正仿宋_GBK"/>
          <w:color w:val="000000"/>
          <w:sz w:val="28"/>
          <w:szCs w:val="28"/>
          <w:highlight w:val="none"/>
        </w:rPr>
        <w:t xml:space="preserve">南京中医药大学高性能GPU服务器购置</w:t>
      </w:r>
      <w:bookmarkEnd w:id="1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9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31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9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312" w:type="dxa"/>
            <w:textDirection w:val="lrTb"/>
            <w:noWrap w:val="false"/>
          </w:tcPr>
          <w:p>
            <w:pPr>
              <w:ind w:firstLine="1120"/>
              <w:spacing w:line="400" w:lineRule="exact"/>
              <w:rPr>
                <w:rFonts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167</w:t>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9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9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8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96" w:type="dxa"/>
            <w:textDirection w:val="lrTb"/>
            <w:noWrap w:val="false"/>
          </w:tcPr>
          <w:p>
            <w:pPr>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167</w:t>
            </w:r>
            <w:r/>
          </w:p>
        </w:tc>
      </w:tr>
    </w:tbl>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5.采购需求(简介)：（详细内容见本招标文件第四章）</w:t>
      </w:r>
      <w:r/>
    </w:p>
    <w:p>
      <w:pPr>
        <w:ind w:firstLine="560"/>
        <w:jc w:val="left"/>
        <w:spacing w:line="378"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6.合同履行期限：乙方应在本合同签订生效后30个日历日内向甲方交付合同条款１中所列的全部货物（具体时间以甲方通知为准）。</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28359003"/>
      <w:r/>
      <w:bookmarkStart w:id="13" w:name="_Toc38985264"/>
      <w:r/>
      <w:bookmarkStart w:id="14" w:name="_Toc35393791"/>
      <w:r/>
      <w:bookmarkStart w:id="15" w:name="_Toc28359080"/>
      <w:r/>
      <w:bookmarkStart w:id="16" w:name="_Toc35393622"/>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highlight w:val="none"/>
        </w:rPr>
      </w:pPr>
      <w:r/>
      <w:bookmarkStart w:id="17" w:name="_Toc35393792"/>
      <w:r/>
      <w:bookmarkStart w:id="18" w:name="_Toc35393623"/>
      <w:r/>
      <w:bookmarkStart w:id="19" w:name="_Toc28359081"/>
      <w:r/>
      <w:bookmarkStart w:id="20" w:name="_Toc38985265"/>
      <w:r/>
      <w:bookmarkStart w:id="21" w:name="_Toc28359004"/>
      <w:r>
        <w:rPr>
          <w:rFonts w:hint="eastAsia" w:ascii="方正楷体_GBK" w:hAnsi="方正楷体_GBK" w:eastAsia="方正楷体_GBK" w:cs="方正楷体_GBK"/>
          <w:color w:val="000000"/>
          <w:sz w:val="28"/>
          <w:szCs w:val="28"/>
          <w:highlight w:val="none"/>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p>
    <w:tbl>
      <w:tblPr>
        <w:tblStyle w:val="79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r>
    </w:tbl>
    <w:p>
      <w:pPr>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9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592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592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r>
    </w:tbl>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bookmarkEnd w:id="17"/>
      <w:r/>
      <w:bookmarkEnd w:id="18"/>
      <w:r/>
      <w:bookmarkEnd w:id="19"/>
      <w:r/>
      <w:bookmarkEnd w:id="20"/>
      <w:r/>
      <w:bookmarkEnd w:id="21"/>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年11</w:t>
      </w:r>
      <w:r>
        <w:rPr>
          <w:rFonts w:hint="eastAsia" w:ascii="方正仿宋_GBK" w:hAnsi="方正仿宋_GBK" w:eastAsia="方正仿宋_GBK" w:cs="方正仿宋_GBK"/>
          <w:bCs/>
          <w:color w:val="000000"/>
          <w:sz w:val="28"/>
          <w:szCs w:val="28"/>
          <w:highlight w:val="none"/>
        </w:rPr>
        <w:t xml:space="preserve">月6</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38985267"/>
      <w:r/>
      <w:bookmarkStart w:id="28" w:name="_Toc28359007"/>
      <w:r/>
      <w:bookmarkStart w:id="29" w:name="_Toc35393794"/>
      <w:r/>
      <w:bookmarkStart w:id="30" w:name="_Toc35393625"/>
      <w:r/>
      <w:bookmarkStart w:id="31" w:name="_Toc28359084"/>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5393627"/>
      <w:r/>
      <w:bookmarkStart w:id="37" w:name="_Toc28359008"/>
      <w:r/>
      <w:bookmarkStart w:id="38" w:name="_Toc38985269"/>
      <w:r/>
      <w:bookmarkStart w:id="39" w:name="_Toc28359085"/>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
    </w:p>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南京中医药大学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t xml:space="preserve">江苏省南京市</w:t>
      </w:r>
      <w:r>
        <w:rPr>
          <w:rFonts w:hint="eastAsia" w:ascii="宋体" w:hAnsi="宋体" w:cs="宋体"/>
          <w:color w:val="000000"/>
          <w:sz w:val="28"/>
          <w:szCs w:val="28"/>
          <w:highlight w:val="none"/>
          <w:u w:val="single"/>
        </w:rPr>
        <w:t xml:space="preserve">栖霞</w:t>
      </w:r>
      <w:r>
        <w:rPr>
          <w:rFonts w:hint="eastAsia" w:ascii="___WRD_EMBED_SUB_47" w:hAnsi="___WRD_EMBED_SUB_47" w:eastAsia="___WRD_EMBED_SUB_47" w:cs="___WRD_EMBED_SUB_47"/>
          <w:color w:val="000000"/>
          <w:sz w:val="28"/>
          <w:szCs w:val="28"/>
          <w:highlight w:val="none"/>
          <w:u w:val="single"/>
        </w:rPr>
        <w:t xml:space="preserve">区</w:t>
      </w:r>
      <w:r>
        <w:rPr>
          <w:rFonts w:hint="eastAsia" w:ascii="宋体" w:hAnsi="宋体" w:cs="宋体"/>
          <w:color w:val="000000"/>
          <w:sz w:val="28"/>
          <w:szCs w:val="28"/>
          <w:highlight w:val="none"/>
          <w:u w:val="single"/>
        </w:rPr>
        <w:t xml:space="preserve">仙</w:t>
      </w:r>
      <w:r>
        <w:rPr>
          <w:rFonts w:hint="eastAsia" w:ascii="___WRD_EMBED_SUB_47" w:hAnsi="___WRD_EMBED_SUB_47" w:eastAsia="___WRD_EMBED_SUB_47" w:cs="___WRD_EMBED_SUB_47"/>
          <w:color w:val="000000"/>
          <w:sz w:val="28"/>
          <w:szCs w:val="28"/>
          <w:highlight w:val="none"/>
          <w:u w:val="single"/>
        </w:rPr>
        <w:t xml:space="preserve">林大道</w:t>
      </w:r>
      <w:r>
        <w:rPr>
          <w:rFonts w:ascii="方正仿宋_GBK" w:hAnsi="方正仿宋_GBK" w:eastAsia="方正仿宋_GBK" w:cs="方正仿宋_GBK"/>
          <w:color w:val="000000"/>
          <w:sz w:val="28"/>
          <w:szCs w:val="28"/>
          <w:highlight w:val="none"/>
          <w:u w:val="single"/>
        </w:rPr>
        <w:t xml:space="preserve">138号 （邮编：210023</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梁老师，刘老师</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025-85811022，15702419863　　　 </w:t>
      </w:r>
      <w:bookmarkStart w:id="40" w:name="_Toc28359086"/>
      <w:r/>
      <w:bookmarkStart w:id="41" w:name="_Toc28359009"/>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highlight w:val="none"/>
          <w:u w:val="single"/>
        </w:rPr>
        <w:t xml:space="preserve">　025-83668517/83668519　　　　　　　　　　　</w:t>
      </w:r>
      <w:bookmarkEnd w:id="42"/>
      <w:r/>
      <w:bookmarkEnd w:id="43"/>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第二章  投标人须知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适用法律</w:t>
      </w:r>
      <w:r>
        <w:rPr>
          <w:rFonts w:hint="eastAsia" w:ascii="方正仿宋_GBK" w:hAnsi="方正仿宋_GBK" w:eastAsia="方正仿宋_GBK" w:cs="方正仿宋_GBK"/>
          <w:bCs/>
          <w:color w:val="000000"/>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投标文件的语言及度量衡单位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证明投标人及投标标的符合招标文件规定的文件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10.2招标文件对证明文件无明确形式要求的，证明文件可以以文字资料、图纸和数据等形式提交。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 投标人按照招标文件规定格式填报投标分项报价表。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 投标人需根据招标文件要求提供</w:t>
      </w:r>
      <w:r>
        <w:rPr>
          <w:rFonts w:hint="eastAsia" w:ascii="方正仿宋_GBK" w:hAnsi="方正仿宋_GBK" w:eastAsia="方正仿宋_GBK" w:cs="方正仿宋_GBK"/>
          <w:bCs/>
          <w:color w:val="000000"/>
          <w:sz w:val="28"/>
          <w:szCs w:val="28"/>
          <w:highlight w:val="none"/>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电子投标文件的递交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17.1投标人应当按照《操作手册》规定，在投标截止时间前制作并上传电子投标文件。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投标截止日期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投标文件的撤回和修改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开标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22.2 </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22.3</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评标过程的保密与公正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24.1评标期间，</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24.2需要供应商进行澄清、说明和补正的，</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24.3 接到</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对投标文件的初审</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25.1.2 符合性审查：依据招标文件的规定，由</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25.2在详细评标之前，</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25.3如果投标文件实质上没有响应招标文件的要求，</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将予以拒绝，投标人不得通过修改或撤销不</w:t>
      </w:r>
      <w:r>
        <w:rPr>
          <w:rFonts w:hint="eastAsia" w:ascii="方正仿宋_GBK" w:hAnsi="方正仿宋_GBK" w:eastAsia="方正仿宋_GBK" w:cs="方正仿宋_GBK"/>
          <w:bCs/>
          <w:color w:val="000000"/>
          <w:sz w:val="28"/>
          <w:szCs w:val="28"/>
          <w:highlight w:val="none"/>
          <w:lang w:eastAsia="zh-CN"/>
        </w:rPr>
        <w:t xml:space="preserve">符合</w:t>
      </w:r>
      <w:r>
        <w:rPr>
          <w:rFonts w:hint="eastAsia" w:ascii="方正仿宋_GBK" w:hAnsi="方正仿宋_GBK" w:eastAsia="方正仿宋_GBK" w:cs="方正仿宋_GBK"/>
          <w:bCs/>
          <w:color w:val="000000"/>
          <w:sz w:val="28"/>
          <w:szCs w:val="28"/>
          <w:highlight w:val="none"/>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25.4</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25.5</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000000"/>
          <w:sz w:val="28"/>
          <w:szCs w:val="28"/>
          <w:highlight w:val="none"/>
          <w:lang w:eastAsia="zh-CN"/>
        </w:rPr>
        <w:t xml:space="preserve">采取</w:t>
      </w:r>
      <w:r>
        <w:rPr>
          <w:rFonts w:hint="eastAsia" w:ascii="方正仿宋_GBK" w:hAnsi="方正仿宋_GBK" w:eastAsia="方正仿宋_GBK" w:cs="方正仿宋_GBK"/>
          <w:bCs/>
          <w:color w:val="000000"/>
          <w:sz w:val="28"/>
          <w:szCs w:val="28"/>
          <w:highlight w:val="none"/>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（1）投标报价低于全部通过符合性审查供应商投标报价平均值50%的，即投标报价&lt;全部通过符合性审查供应商投标报价平均值×50%；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（2）投标报价低于通过符合性审查的次低报价供应商投标报价50%的，即投标报价&lt;通过符合性审查的次低报价供应商投标报价×50%；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lang w:eastAsia="zh-CN"/>
        </w:rPr>
        <w:t xml:space="preserve">）投标报价低于采购项目最高限价45%的，即投标报价&lt;采购项目最高限价×45%；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eastAsia="zh-CN"/>
        </w:rPr>
        <w:t xml:space="preserve">评标</w:t>
      </w:r>
      <w:r>
        <w:rPr>
          <w:rFonts w:hint="eastAsia" w:ascii="方正仿宋_GBK" w:hAnsi="方正仿宋_GBK" w:eastAsia="方正仿宋_GBK" w:cs="方正仿宋_GBK"/>
          <w:bCs/>
          <w:color w:val="000000"/>
          <w:sz w:val="28"/>
          <w:szCs w:val="28"/>
          <w:highlight w:val="none"/>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25.8.2 </w:t>
      </w:r>
      <w:r>
        <w:rPr>
          <w:rFonts w:hint="eastAsia" w:ascii="方正仿宋_GBK" w:hAnsi="方正仿宋_GBK" w:eastAsia="方正仿宋_GBK" w:cs="方正仿宋_GBK"/>
          <w:bCs/>
          <w:color w:val="000000"/>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无效投标条款和废标条款</w:t>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 投标人在</w:t>
      </w:r>
      <w:r>
        <w:rPr>
          <w:rFonts w:hint="eastAsia" w:ascii="方正仿宋_GBK" w:hAnsi="方正仿宋_GBK" w:eastAsia="方正仿宋_GBK" w:cs="方正仿宋_GBK"/>
          <w:color w:val="000000"/>
          <w:sz w:val="28"/>
          <w:szCs w:val="28"/>
          <w:highlight w:val="none"/>
        </w:rPr>
        <w:t xml:space="preserve">苏采云系统</w:t>
      </w:r>
      <w:r>
        <w:rPr>
          <w:rFonts w:hint="eastAsia" w:ascii="方正仿宋_GBK" w:hAnsi="方正仿宋_GBK" w:eastAsia="方正仿宋_GBK" w:cs="方正仿宋_GBK"/>
          <w:bCs/>
          <w:color w:val="000000"/>
          <w:sz w:val="28"/>
          <w:szCs w:val="28"/>
          <w:highlight w:val="none"/>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26.1.2 投标人未按照招标文件要求上传电子投标文件的。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26.1.3 投标人同一采购包提交两个（含两个）以上不同的投标报价的。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26.1.7不符合招标文件中规定的实质性要求的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26.2废标条款</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26.2.5 因</w:t>
      </w:r>
      <w:r>
        <w:rPr>
          <w:rFonts w:hint="eastAsia" w:ascii="方正仿宋_GBK" w:hAnsi="方正仿宋_GBK" w:eastAsia="方正仿宋_GBK" w:cs="方正仿宋_GBK"/>
          <w:color w:val="000000"/>
          <w:sz w:val="28"/>
          <w:szCs w:val="28"/>
          <w:highlight w:val="none"/>
        </w:rPr>
        <w:t xml:space="preserve">苏采云</w:t>
      </w:r>
      <w:r>
        <w:rPr>
          <w:rFonts w:hint="eastAsia" w:ascii="方正仿宋_GBK" w:hAnsi="方正仿宋_GBK" w:eastAsia="方正仿宋_GBK" w:cs="方正仿宋_GBK"/>
          <w:bCs/>
          <w:color w:val="000000"/>
          <w:sz w:val="28"/>
          <w:szCs w:val="28"/>
          <w:highlight w:val="none"/>
        </w:rPr>
        <w:t xml:space="preserve">系统故障原因造成开标不成功的。</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 投标截止时间结束后参加投标的供应商不足三家的处理：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bookmarkEnd w:id="1"/>
      <w:r/>
      <w:bookmarkEnd w:id="2"/>
      <w:r/>
      <w:bookmarkEnd w:id="3"/>
      <w:r/>
      <w:bookmarkEnd w:id="4"/>
      <w:r/>
      <w:bookmarkEnd w:id="5"/>
      <w:r/>
      <w:r/>
    </w:p>
    <w:p>
      <w:pPr>
        <w:ind w:firstLine="420"/>
        <w:spacing w:line="400" w:lineRule="exact"/>
        <w:rPr>
          <w:rFonts w:hint="eastAsia"/>
          <w:color w:val="000000"/>
          <w:szCs w:val="21"/>
          <w:highlight w:val="none"/>
        </w:rPr>
      </w:pPr>
      <w:r/>
      <w:bookmarkStart w:id="44" w:name="_Toc120614221"/>
      <w:r/>
      <w:bookmarkStart w:id="45" w:name="_Toc479757207"/>
      <w:r/>
      <w:bookmarkStart w:id="46" w:name="_Toc16938558"/>
      <w:r/>
      <w:bookmarkStart w:id="47" w:name="_Toc513029242"/>
      <w:r/>
      <w:bookmarkStart w:id="48" w:name="_Toc20823314"/>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4"/>
      <w:r/>
      <w:bookmarkEnd w:id="45"/>
      <w:r/>
      <w:bookmarkEnd w:id="46"/>
      <w:r/>
      <w:bookmarkEnd w:id="47"/>
      <w:r/>
      <w:bookmarkEnd w:id="48"/>
      <w:r>
        <w:rPr>
          <w:rFonts w:hint="eastAsia" w:ascii="方正黑体_GBK" w:hAnsi="方正黑体_GBK" w:eastAsia="方正黑体_GBK" w:cs="方正黑体_GBK"/>
          <w:bCs/>
          <w:color w:val="000000"/>
          <w:sz w:val="28"/>
          <w:szCs w:val="28"/>
          <w:highlight w:val="none"/>
        </w:rPr>
        <w:t xml:space="preserve">文本</w:t>
      </w:r>
      <w:r/>
    </w:p>
    <w:p>
      <w:pPr>
        <w:spacing w:line="400" w:lineRule="exact"/>
        <w:rPr>
          <w:rFonts w:ascii="宋体" w:hAnsi="宋体"/>
          <w:bCs/>
          <w:color w:val="000000"/>
          <w:sz w:val="28"/>
          <w:szCs w:val="28"/>
          <w:highlight w:val="none"/>
        </w:rPr>
      </w:pPr>
      <w:r/>
      <w:bookmarkStart w:id="49" w:name="_Toc513029243"/>
      <w:r/>
      <w:bookmarkStart w:id="50" w:name="_Toc20823315"/>
      <w:r/>
      <w:bookmarkStart w:id="51" w:name="_Toc3995"/>
      <w:r/>
      <w:bookmarkStart w:id="52" w:name="_Toc16938559"/>
      <w:r/>
      <w:bookmarkStart w:id="53" w:name="_Hlt16619350"/>
      <w:r/>
      <w:bookmarkStart w:id="54" w:name="_Toc120614244"/>
      <w:r/>
      <w:bookmarkStart w:id="55" w:name="_Toc20823346"/>
      <w:r/>
      <w:bookmarkStart w:id="56" w:name="_Toc16938590"/>
      <w:r/>
      <w:bookmarkStart w:id="57" w:name="_Toc479757211"/>
      <w:r/>
      <w:bookmarkStart w:id="58" w:name="_Toc462564139"/>
      <w:r/>
      <w:bookmarkEnd w:id="49"/>
      <w:r/>
      <w:bookmarkEnd w:id="50"/>
      <w:r/>
      <w:bookmarkEnd w:id="51"/>
      <w:r/>
      <w:bookmarkEnd w:id="52"/>
      <w:r/>
      <w:r/>
    </w:p>
    <w:p>
      <w:pPr>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1000"/>
        <w:jc w:val="center"/>
        <w:rPr>
          <w:rFonts w:ascii="宋体" w:hAnsi="宋体" w:eastAsia="宋体" w:cs="宋体"/>
          <w:b/>
          <w:bCs/>
          <w:color w:val="000000"/>
          <w:spacing w:val="-20"/>
          <w:highlight w:val="none"/>
        </w:rPr>
      </w:pPr>
      <w:r>
        <w:rPr>
          <w:rFonts w:ascii="宋体" w:hAnsi="宋体" w:eastAsia="宋体" w:cs="宋体"/>
          <w:b/>
          <w:bCs/>
          <w:color w:val="000000"/>
          <w:spacing w:val="-20"/>
          <w:highlight w:val="none"/>
        </w:rPr>
      </w:r>
      <w:r/>
    </w:p>
    <w:p>
      <w:pPr>
        <w:pStyle w:val="1000"/>
        <w:jc w:val="center"/>
        <w:rPr>
          <w:rFonts w:ascii="宋体" w:hAnsi="宋体" w:eastAsia="宋体" w:cs="宋体"/>
          <w:color w:val="000000"/>
          <w:spacing w:val="-20"/>
          <w:highlight w:val="none"/>
        </w:rPr>
      </w:pPr>
      <w:r>
        <w:rPr>
          <w:rFonts w:ascii="宋体" w:hAnsi="宋体" w:eastAsia="宋体" w:cs="宋体"/>
          <w:color w:val="000000"/>
          <w:spacing w:val="-20"/>
          <w:highlight w:val="none"/>
        </w:rPr>
      </w:r>
      <w:r/>
    </w:p>
    <w:p>
      <w:pPr>
        <w:pStyle w:val="1000"/>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财政部 政府采购货物买卖合同（试行）</w:t>
      </w:r>
      <w:r/>
    </w:p>
    <w:p>
      <w:pPr>
        <w:pStyle w:val="1000"/>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范    本</w:t>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合同编号：</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甲    方：</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乙    方：</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签订时间：</w:t>
      </w:r>
      <w:r>
        <w:rPr>
          <w:rFonts w:hint="eastAsia" w:ascii="方正黑体_GBK" w:hAnsi="方正黑体_GBK" w:eastAsia="方正黑体_GBK" w:cs="方正黑体_GBK"/>
          <w:color w:val="000000"/>
          <w:sz w:val="28"/>
          <w:szCs w:val="28"/>
          <w:highlight w:val="none"/>
          <w:u w:val="single"/>
        </w:rPr>
        <w:t xml:space="preserve">                             </w:t>
      </w:r>
      <w:r/>
    </w:p>
    <w:p>
      <w:pPr>
        <w:rPr>
          <w:color w:val="000000"/>
          <w:sz w:val="28"/>
          <w:szCs w:val="28"/>
          <w:highlight w:val="none"/>
        </w:rPr>
      </w:pPr>
      <w:r>
        <w:rPr>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使 用 说 明</w:t>
      </w:r>
      <w:r/>
    </w:p>
    <w:p>
      <w:pPr>
        <w:ind w:firstLine="560"/>
        <w:spacing w:line="400" w:lineRule="exact"/>
        <w:rPr>
          <w:rFonts w:ascii="仿宋_GB2312" w:hAnsi="仿宋_GB2312" w:eastAsia="仿宋_GB2312" w:cs="仿宋_GB2312"/>
          <w:color w:val="000000"/>
          <w:sz w:val="28"/>
          <w:szCs w:val="28"/>
          <w:highlight w:val="none"/>
        </w:rPr>
      </w:pPr>
      <w:r>
        <w:rPr>
          <w:rFonts w:ascii="仿宋_GB2312" w:hAnsi="仿宋_GB2312" w:eastAsia="仿宋_GB2312" w:cs="仿宋_GB2312"/>
          <w:color w:val="000000"/>
          <w:sz w:val="28"/>
          <w:szCs w:val="28"/>
          <w:highlight w:val="none"/>
        </w:rPr>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eastAsia="黑体"/>
          <w:color w:val="000000"/>
          <w:sz w:val="28"/>
          <w:szCs w:val="28"/>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highlight w:val="none"/>
        </w:rPr>
      </w:r>
      <w:r/>
    </w:p>
    <w:p>
      <w:pPr>
        <w:pStyle w:val="971"/>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乙方1（全称）: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（供应商）</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乙方2（全称）: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乙方3（全称）: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p>
    <w:p>
      <w:pPr>
        <w:pStyle w:val="1002"/>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1.项目信息</w:t>
      </w:r>
      <w:r/>
    </w:p>
    <w:p>
      <w:pPr>
        <w:pStyle w:val="1002"/>
        <w:numPr>
          <w:ilvl w:val="0"/>
          <w:numId w:val="4"/>
        </w:numPr>
        <w:ind w:left="0" w:firstLine="560"/>
        <w:spacing w:after="0"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采购项目名称：</w:t>
      </w:r>
      <w:r>
        <w:rPr>
          <w:rFonts w:hint="eastAsia" w:ascii="方正仿宋_GBK" w:hAnsi="方正仿宋_GBK" w:eastAsia="方正仿宋_GBK" w:cs="方正仿宋_GBK"/>
          <w:color w:val="000000"/>
          <w:sz w:val="28"/>
          <w:szCs w:val="28"/>
          <w:highlight w:val="none"/>
          <w:u w:val="single"/>
        </w:rPr>
        <w:t xml:space="preserve">                                          </w:t>
      </w:r>
      <w:r/>
    </w:p>
    <w:p>
      <w:pPr>
        <w:pStyle w:val="1002"/>
        <w:ind w:left="0" w:firstLine="560"/>
        <w:spacing w:after="0" w:line="400" w:lineRule="exact"/>
        <w:tabs>
          <w:tab w:val="left" w:pos="999"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采购项目编号：</w:t>
      </w:r>
      <w:r>
        <w:rPr>
          <w:rFonts w:hint="eastAsia" w:ascii="方正仿宋_GBK" w:hAnsi="方正仿宋_GBK" w:eastAsia="方正仿宋_GBK" w:cs="方正仿宋_GBK"/>
          <w:color w:val="000000"/>
          <w:sz w:val="28"/>
          <w:szCs w:val="28"/>
          <w:highlight w:val="none"/>
          <w:u w:val="single"/>
        </w:rPr>
        <w:t xml:space="preserve">                                          </w:t>
      </w:r>
      <w:r/>
    </w:p>
    <w:p>
      <w:pPr>
        <w:pStyle w:val="1002"/>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（2）采购计划编号：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采购标的及数量（台/套/个/架/组等）：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规格型号：</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采购标的的技术要求、商务要求具体见附件。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②涉及车辆采购，请填写是否属于新能源汽车：</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数量：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（4）政府采购组织形式：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政府集中采购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部门集中采购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分散采购</w:t>
      </w:r>
      <w:r/>
    </w:p>
    <w:p>
      <w:pPr>
        <w:pStyle w:val="1082"/>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（5）政府采购方式：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公开招标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邀请招标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竞争性谈判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竞争性磋商</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询价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单一来源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框架协议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u w:val="single"/>
        </w:rPr>
        <w:t xml:space="preserve">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（注：在框架协议采购的第二阶段，可选择使用该合同文本）</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（6）中标（成交）采购标的制造商是否为中小企业：</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本合同是否为专门面向中小企业的采购合同（中小企业预留合同）：</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若本项目不专门面向中小企业采购，是否给予小微企业评审优惠：</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中标（成交）采购标的制造商是否为残疾人福利性单位：</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中标（成交）采购标的制造商是否为监狱企业：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（7）合同是否分包：</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分包主要内容：</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大型企业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中型企业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小微型企业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残疾人福利性单位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监狱企业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其他</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（8）中标（成交）供应商是否为外商投资企业：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pStyle w:val="1082"/>
        <w:ind w:firstLine="560"/>
        <w:tabs>
          <w:tab w:val="left" w:pos="134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外商投资企业类型：</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全部由外国投资者投资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部分由外国投资者投资</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（9）是否涉及进口产品：</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国别：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（10）是否涉及节能产品：</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是，《节能产品政府采购品目清单》的底级品目名称：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是，《环境标志产品政府采购品目清单》的底级品目名称：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是否涉及绿色产品： </w:t>
      </w:r>
      <w:r/>
    </w:p>
    <w:p>
      <w:pPr>
        <w:pStyle w:val="1082"/>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是，绿色产品政府采购相关政策确定的底级品目名称：</w:t>
      </w:r>
      <w:r>
        <w:rPr>
          <w:rFonts w:hint="eastAsia" w:ascii="方正仿宋_GBK" w:hAnsi="方正仿宋_GBK" w:eastAsia="方正仿宋_GBK" w:cs="方正仿宋_GBK"/>
          <w:color w:val="000000"/>
          <w:sz w:val="28"/>
          <w:szCs w:val="28"/>
          <w:highlight w:val="none"/>
          <w:u w:val="single"/>
        </w:rPr>
        <w:t xml:space="preserve">         </w:t>
      </w:r>
      <w:r/>
    </w:p>
    <w:p>
      <w:pPr>
        <w:pStyle w:val="1082"/>
        <w:ind w:firstLine="560"/>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pStyle w:val="1082"/>
        <w:ind w:firstLine="840"/>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不涉及</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2.合同金额</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（1）合同金额小写：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分包金额（如有）小写：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（注：固定单价合同应填写单价和最高限价）</w:t>
      </w:r>
      <w:r/>
    </w:p>
    <w:p>
      <w:pPr>
        <w:ind w:left="42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合同定价方式（采用组合定价方式的，可以勾选多项）：</w:t>
      </w:r>
      <w:r/>
    </w:p>
    <w:p>
      <w:pPr>
        <w:ind w:firstLine="560"/>
        <w:spacing w:line="400" w:lineRule="exact"/>
        <w:rPr>
          <w:rFonts w:hint="eastAsia"/>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固定总价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固定单价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固定费率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成本补偿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绩效激励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     </w:t>
      </w:r>
      <w:r>
        <w:rPr>
          <w:rFonts w:hint="eastAsia"/>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（3）付款方式（按项目实际勾选填写）：</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全额付款：</w:t>
      </w:r>
      <w:r>
        <w:rPr>
          <w:rFonts w:hint="eastAsia" w:ascii="方正仿宋_GBK" w:hAnsi="方正仿宋_GBK" w:eastAsia="方正仿宋_GBK" w:cs="方正仿宋_GBK"/>
          <w:color w:val="000000"/>
          <w:sz w:val="28"/>
          <w:szCs w:val="28"/>
          <w:highlight w:val="none"/>
          <w:u w:val="single"/>
        </w:rPr>
        <w:t xml:space="preserve">  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分期付款：</w:t>
      </w:r>
      <w:r>
        <w:rPr>
          <w:rFonts w:hint="eastAsia" w:ascii="方正仿宋_GBK" w:hAnsi="方正仿宋_GBK" w:eastAsia="方正仿宋_GBK" w:cs="方正仿宋_GBK"/>
          <w:color w:val="000000"/>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color w:val="000000"/>
          <w:sz w:val="28"/>
          <w:szCs w:val="28"/>
          <w:highlight w:val="none"/>
        </w:rPr>
        <w:t xml:space="preserve">，其中涉及预付款的：</w:t>
      </w:r>
      <w:r>
        <w:rPr>
          <w:rFonts w:hint="eastAsia" w:ascii="方正仿宋_GBK" w:hAnsi="方正仿宋_GBK" w:eastAsia="方正仿宋_GBK" w:cs="方正仿宋_GBK"/>
          <w:color w:val="000000"/>
          <w:sz w:val="28"/>
          <w:szCs w:val="28"/>
          <w:highlight w:val="none"/>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color w:val="000000"/>
          <w:sz w:val="28"/>
          <w:szCs w:val="28"/>
          <w:highlight w:val="none"/>
          <w:u w:val="single"/>
        </w:rPr>
      </w:pPr>
      <w:r>
        <w:rPr>
          <w:rFonts w:hint="eastAsia" w:ascii="方正仿宋_GBK" w:hAnsi="方正仿宋_GBK" w:eastAsia="方正仿宋_GBK" w:cs="方正仿宋_GBK"/>
          <w:b/>
          <w:color w:val="000000"/>
          <w:sz w:val="28"/>
          <w:szCs w:val="28"/>
          <w:highlight w:val="none"/>
        </w:rPr>
        <w:t xml:space="preserve">3.合同履行</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（1）起始日期：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日，完成日期：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（2）履约地点</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（3）履约担保：</w:t>
      </w:r>
      <w:r>
        <w:rPr>
          <w:rFonts w:hint="eastAsia" w:ascii="方正仿宋_GBK" w:hAnsi="方正仿宋_GBK" w:eastAsia="方正仿宋_GBK" w:cs="方正仿宋_GBK"/>
          <w:color w:val="000000"/>
          <w:sz w:val="28"/>
          <w:szCs w:val="28"/>
          <w:highlight w:val="none"/>
        </w:rPr>
        <w:t xml:space="preserve">是否收取履约保证金：</w:t>
      </w: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收取履约保证金形式：</w:t>
      </w:r>
      <w:r>
        <w:rPr>
          <w:rFonts w:hint="eastAsia" w:ascii="方正仿宋_GBK" w:hAnsi="方正仿宋_GBK" w:eastAsia="方正仿宋_GBK" w:cs="方正仿宋_GBK"/>
          <w:bCs/>
          <w:color w:val="000000"/>
          <w:sz w:val="28"/>
          <w:szCs w:val="28"/>
          <w:highlight w:val="none"/>
          <w:u w:val="single"/>
        </w:rPr>
        <w:t xml:space="preserve">银行汇款、现金形式，乙方需将合同总金额的10％作为履约保证金通过银行转账提交至南京中医药大学指定账户，账户名称：南京中医药大学，账号：4301010109001027264，开户行：工商银行汉中门支行，备注：项目名称+履约保证金。</w:t>
      </w:r>
      <w:r>
        <w:rPr>
          <w:rFonts w:ascii="方正仿宋_GBK" w:hAnsi="方正仿宋_GBK" w:eastAsia="方正仿宋_GBK" w:cs="方正仿宋_GBK"/>
          <w:bCs/>
          <w:color w:val="000000"/>
          <w:sz w:val="28"/>
          <w:szCs w:val="28"/>
          <w:highlight w:val="none"/>
          <w:u w:val="single"/>
        </w:rPr>
        <w:t xml:space="preserve">支持和鼓励中标供应商自愿使用履约保函（保险）代替缴纳履约保证金</w:t>
      </w:r>
      <w:r>
        <w:rPr>
          <w:rFonts w:hint="eastAsia" w:ascii="方正仿宋_GBK" w:hAnsi="方正仿宋_GBK" w:eastAsia="方正仿宋_GBK" w:cs="方正仿宋_GBK"/>
          <w:bCs/>
          <w:color w:val="000000"/>
          <w:sz w:val="28"/>
          <w:szCs w:val="28"/>
          <w:highlight w:val="none"/>
          <w:u w:val="single"/>
        </w:rPr>
        <w:t xml:space="preserve">。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收取履约保证金金额：</w:t>
      </w:r>
      <w:r>
        <w:rPr>
          <w:rFonts w:hint="eastAsia" w:ascii="方正仿宋_GBK" w:hAnsi="方正仿宋_GBK" w:eastAsia="方正仿宋_GBK" w:cs="方正仿宋_GBK"/>
          <w:bCs/>
          <w:color w:val="000000"/>
          <w:sz w:val="28"/>
          <w:szCs w:val="28"/>
          <w:highlight w:val="none"/>
          <w:u w:val="single"/>
        </w:rPr>
        <w:t xml:space="preserve">  合同金额的10%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方正仿宋_GBK" w:hAnsi="方正仿宋_GBK" w:eastAsia="方正仿宋_GBK" w:cs="方正仿宋_GBK"/>
          <w:bCs/>
          <w:color w:val="000000"/>
          <w:sz w:val="28"/>
          <w:szCs w:val="28"/>
          <w:highlight w:val="none"/>
        </w:rPr>
        <w:t xml:space="preserve"> 履约担保期限：</w:t>
      </w:r>
      <w:r>
        <w:rPr>
          <w:rFonts w:ascii="FangSong" w:hAnsi="FangSong" w:eastAsia="FangSong" w:cs="FangSong"/>
          <w:color w:val="000000"/>
          <w:sz w:val="28"/>
          <w:u w:val="single"/>
        </w:rPr>
        <w:t xml:space="preserve">自甲方最终书面确认验收合格之日，甲方确认无质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sz w:val="21"/>
        </w:rPr>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（4）分期履行要求：</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ascii="宋体" w:hAnsi="宋体" w:cs="宋体"/>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（5）风险处置措施和替代方案：</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4.合同验收</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（1）验收组织方式：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自行组织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委托第三方组织</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验收主体：</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是否邀请本项目的其他供应商参加验收：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是否邀请专家参加验收：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是否邀请服务对象参加验收：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是否邀请第三方检测机构参加验收：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是否进行抽查检测：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是，抽查比例：</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是否存在破坏性检测：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w:t>
      </w:r>
      <w:r>
        <w:rPr>
          <w:rFonts w:hint="eastAsia" w:ascii="方正仿宋_GBK" w:hAnsi="方正仿宋_GBK" w:eastAsia="方正仿宋_GBK" w:cs="方正仿宋_GBK"/>
          <w:bCs/>
          <w:color w:val="000000"/>
          <w:sz w:val="28"/>
          <w:szCs w:val="28"/>
          <w:highlight w:val="none"/>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验收组织的其他事项：</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（2）履约验收时间：</w:t>
      </w:r>
      <w:r>
        <w:rPr>
          <w:rFonts w:hint="eastAsia" w:ascii="方正仿宋_GBK" w:hAnsi="方正仿宋_GBK" w:eastAsia="方正仿宋_GBK" w:cs="方正仿宋_GBK"/>
          <w:bCs/>
          <w:color w:val="000000"/>
          <w:sz w:val="28"/>
          <w:szCs w:val="28"/>
          <w:highlight w:val="none"/>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（3）履约验收方式：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一次性验收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分期/分项验收：</w:t>
      </w:r>
      <w:r>
        <w:rPr>
          <w:rFonts w:hint="eastAsia" w:ascii="方正仿宋_GBK" w:hAnsi="方正仿宋_GBK" w:eastAsia="方正仿宋_GBK" w:cs="方正仿宋_GBK"/>
          <w:bCs/>
          <w:color w:val="000000"/>
          <w:sz w:val="28"/>
          <w:szCs w:val="28"/>
          <w:highlight w:val="none"/>
          <w:u w:val="single"/>
        </w:rPr>
        <w:t xml:space="preserve"> （应明确分期/分项验收的工作安排）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（4）履约验收程序：</w:t>
      </w:r>
      <w:r>
        <w:rPr>
          <w:rFonts w:hint="eastAsia" w:ascii="方正仿宋_GBK" w:hAnsi="方正仿宋_GBK" w:eastAsia="方正仿宋_GBK" w:cs="方正仿宋_GBK"/>
          <w:bCs/>
          <w:color w:val="000000"/>
          <w:sz w:val="28"/>
          <w:szCs w:val="28"/>
          <w:highlight w:val="none"/>
          <w:u w:val="single"/>
        </w:rPr>
        <w:t xml:space="preserve"> 详见招标文件第四章项目需求内容进行验收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（5）履约验收的内容：</w:t>
      </w:r>
      <w:r>
        <w:rPr>
          <w:rFonts w:hint="eastAsia" w:ascii="方正仿宋_GBK" w:hAnsi="方正仿宋_GBK" w:eastAsia="方正仿宋_GBK" w:cs="方正仿宋_GBK"/>
          <w:bCs/>
          <w:color w:val="000000"/>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（6）履约验收标准：</w:t>
      </w:r>
      <w:r>
        <w:rPr>
          <w:rFonts w:hint="eastAsia" w:ascii="方正仿宋_GBK" w:hAnsi="方正仿宋_GBK" w:eastAsia="方正仿宋_GBK" w:cs="方正仿宋_GBK"/>
          <w:bCs/>
          <w:color w:val="000000"/>
          <w:sz w:val="28"/>
          <w:szCs w:val="28"/>
          <w:highlight w:val="none"/>
          <w:u w:val="single"/>
        </w:rPr>
        <w:t xml:space="preserve"> （招投标文件技术标准）                </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（7）是否以采购活动中供应商提供的样品作为参考：</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（8）履约验收其他事项：</w:t>
      </w:r>
      <w:r>
        <w:rPr>
          <w:rFonts w:hint="eastAsia" w:ascii="方正仿宋_GBK" w:hAnsi="方正仿宋_GBK" w:eastAsia="方正仿宋_GBK" w:cs="方正仿宋_GBK"/>
          <w:bCs/>
          <w:color w:val="000000"/>
          <w:sz w:val="28"/>
          <w:szCs w:val="28"/>
          <w:highlight w:val="none"/>
          <w:u w:val="single"/>
        </w:rPr>
        <w:t xml:space="preserve">      （产权过户登记等）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5.组成合同的文件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（1）政府采购合同协议书及其变更、补充协议</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（2）政府采购合同专用条款</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（3）政府采购合同通用条款</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（4）中标（成交）通知书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（5）投标（响应）文件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（6）采购文件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（7）有关技术文件，图纸</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6.合同生效</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本合同自</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生效。</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7.合同份数</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本合同一式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份，甲方执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份，乙方执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份，均具有同等法律效力。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合同订立时间：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合同订立地点：</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附件：具体标的及其技术要求和商务要求、联合协议、分包意向协议等   </w:t>
      </w:r>
      <w:r/>
    </w:p>
    <w:tbl>
      <w:tblPr>
        <w:tblStyle w:val="79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甲方（采购人、受采购人委托签订合同的单位或采购文件约定的合同甲方）</w:t>
            </w:r>
            <w:r/>
          </w:p>
        </w:tc>
        <w:tc>
          <w:tcPr>
            <w:gridSpan w:val="2"/>
            <w:tcW w:w="39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乙方（供应商）</w:t>
            </w:r>
            <w:r/>
          </w:p>
        </w:tc>
      </w:tr>
      <w:tr>
        <w:trPr>
          <w:trHeight w:val="917"/>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1171"/>
        </w:trPr>
        <w:tc>
          <w:tcPr>
            <w:tcW w:w="1125" w:type="dxa"/>
            <w:vAlign w:val="center"/>
            <w:vMerge w:val="restart"/>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p>
          <w:p>
            <w:pPr>
              <w:ind w:firstLine="134"/>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p>
        </w:tc>
        <w:tc>
          <w:tcPr>
            <w:tcW w:w="1666" w:type="dxa"/>
            <w:vAlign w:val="center"/>
            <w:vMerge w:val="restart"/>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483"/>
        </w:trPr>
        <w:tc>
          <w:tcPr>
            <w:tcW w:w="1125" w:type="dxa"/>
            <w:vAlign w:val="center"/>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拥有者性别</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开户名称</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开户银行</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银行账号</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586"/>
        </w:trPr>
        <w:tc>
          <w:tcPr>
            <w:gridSpan w:val="4"/>
            <w:tcW w:w="8928" w:type="dxa"/>
            <w:vAlign w:val="center"/>
            <w:textDirection w:val="lrTb"/>
            <w:noWrap w:val="false"/>
          </w:tcPr>
          <w:p>
            <w:pPr>
              <w:pStyle w:val="1002"/>
              <w:ind w:left="0"/>
              <w:jc w:val="left"/>
              <w:spacing w:before="156" w:after="0"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z w:val="28"/>
                <w:szCs w:val="28"/>
                <w:highlight w:val="none"/>
              </w:rPr>
              <w:t xml:space="preserve">注：涉及联合体或其他合同主体的信息应按上表格式加列。</w:t>
            </w:r>
            <w:r/>
          </w:p>
        </w:tc>
      </w:tr>
    </w:tbl>
    <w:p>
      <w:pPr>
        <w:pStyle w:val="971"/>
        <w:spacing w:line="400" w:lineRule="exact"/>
        <w:rPr>
          <w:rFonts w:ascii="黑体" w:hAnsi="黑体" w:eastAsia="黑体"/>
          <w:color w:val="000000"/>
          <w:sz w:val="28"/>
          <w:szCs w:val="28"/>
          <w:highlight w:val="none"/>
        </w:rPr>
      </w:pPr>
      <w:r>
        <w:rPr>
          <w:rFonts w:ascii="宋体" w:hAnsi="宋体"/>
          <w:color w:val="000000"/>
          <w:sz w:val="28"/>
          <w:szCs w:val="28"/>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定义</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1.1合同当事人</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（1）采购人（以下称甲方）是指使用财政性资金，通过政府采购方式向供应商购买货物及其相关服务的国家机关、事业单位、团体组织。</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（2）供应商（以下称乙方）是指参加政府采购活动并且中标（成交），向采购人提供合同约定的货物及其相关服务的法人、非法人组织或者自然人。</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（3）其他合同主体是指除采购人和供应商以外，依法参与合同缔结或履行，享有权利、承担义务的合同当事人。</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1.2本合同下列术语应解释为：</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（2）“合同价款”系指根据本合同规定乙方在全面履行合同义务后甲方应支付给乙方的价款。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（3）“货物”系指乙方根据本合同规定须向甲方提供的各种形态和种类的物品，包括原材料、设备、产品（包括软件）及相关的备品备件、工具、手册及其他技术资料和材料等。</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（7）其他术语解释，见【政府采购合同专用条款】。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合同标的及金额</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合同标的及金额应与中标（成交）结果一致。乙方为履行本合同而发生的所有费用均应包含在合同价款中，甲方不再另行支付其他任何费用。</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履行合同的时间、地点和方式</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乙方应当在约定的时间、地点，按照约定方式履行合同。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甲方的权利和义务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 甲方有权要求乙方对缺陷部分予以修复，并按合同约定享有货物保修及其他合同约定的权利。</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4.5 甲方应当根据合同约定及时向乙方支付合同价款，不得以内部人员变更、履行内部付款流程等为由，拒绝或迟延支付。</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4.6 国家法律法规规定及【政府采购合同专用条款】约定应由甲方承担的其他义务和责任。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乙方的权利和义务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签署合同后，乙方应确定项目负责人（或项目联系人），负责与本合同有关的事务。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5.3乙方有权根据合同约定向甲方收取合同价款。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5.4国家法律法规规定及【政府采购合同专用条款】约定应由乙方承担的其他义务和责任。</w:t>
      </w:r>
      <w:r/>
    </w:p>
    <w:p>
      <w:pPr>
        <w:pStyle w:val="1082"/>
        <w:numPr>
          <w:ilvl w:val="0"/>
          <w:numId w:val="5"/>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合同履行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甲乙双方应当按照【政府采购合同专用条款】约定顺序履行合同义务；如果没有先后顺序的，应当同时履行。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 货物包装、运输、保险和交付要求</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货物保险要求按【政府采购合同专用条款】规定执行。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乙方在运输到达之前应提前通知甲方，并提示货物运输装卸的注意事项，甲方配合乙方做好货物的接收工作。</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 如因包装、运输问题导致货物损毁、丢失或者品质下降，甲方有权要求降价、换货、拒收部分或整批货物，由此产生的费用和损失，均由乙方承担。</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 质量标准和保证</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 质量标准</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（2）采用中华人民共和国法定计量单位。</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（3）乙方所提供的货物应符合国家有关安全、环保、卫生的规定。</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8.2 保证</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（2）在质量保证期内所发现的缺陷，甲方应尽快以书面形式通知乙方。</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（3）乙方收到通知后，应在【政府采购合同专用条款】规定的响应时间内以合理的速度免费维修或更换有缺陷的货物或部件。</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（5）乙方在约定的时间内未能弥补缺陷，甲方可采取必要的补救措施，但其风险和费用将由乙方承担，甲方根据合同约定对乙方行使的其他权利不受影响。</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 权利瑕疵担保</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 乙方保证对其出售的货物享有合法的权利。</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乙方保证在交付的货物上不存在抵押权等担保物权。</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9.3 如甲方使用上述货物构成对第三人侵权的，则由乙方承担全部责任。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 知识产权保护</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保密义务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合同价款支付</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合同价款支付按照国库集中支付制度及财政管理相关规定执行。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履约保证金</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 乙方应当以支票、汇票、本票或者金融机构、担保机构出具的保函等非现金形式提交。</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售后服务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除项目不涉及或采购活动中明确约定无须承担外，乙方还应提供下列服务：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（1）货物的现场移动、安装、调试、启动监督及技术支持；</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（2）提供货物组装和维修所需的专用工具和辅助材料；</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（3）在【政府采购合同专用条款】约定的期限内对所有的货物实施运行监督、维修，但前提条件是该服务并不能免除乙方在质量保证期内所承担的义务；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（4）在制造商所在地或指定现场就货物的安装、启动、运营、维护、废弃处置等对甲方操作人员进行培训；</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（6）【政府采购合同专用条款】规定由乙方提供的其他服务。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 乙方提供的售后服务的费用已包含在合同价款中，甲方不再另行支付。</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违约责任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15.1质量瑕疵的违约责任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15.2 迟延交货的违约责任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15.3 迟延支付的违约责任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甲方存在迟延支付乙方合同款项的，应当承担【政府采购合同专用条款】规定的逾期付款利息。</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15.4其他违约责任根据项目实际需要按【政府采购合同专用条款】规定执行。</w:t>
      </w:r>
      <w:r/>
    </w:p>
    <w:p>
      <w:pPr>
        <w:pStyle w:val="1082"/>
        <w:numPr>
          <w:ilvl w:val="0"/>
          <w:numId w:val="6"/>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合同变更、中止与终止</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16.1合同的变更</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16.2合同的中止</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（1）合同履行过程中因供应商就采购文件、采购过程或结果提起投诉的，甲方认为有必要的，可以中止合同的履行。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（4）甲方不得以行政区划调整、政府换届、机构或者职能调整以及相关责任人更替为由中止合同。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16.3合同的终止</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（1）合同因有效期限届满而终止；</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（2）乙方未按合同约定履行，构成根本性违约的，甲方有权终止合同，并追究乙方的违约责任。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16.4 涉及国家利益、社会公共利益的情形</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1082"/>
        <w:numPr>
          <w:ilvl w:val="0"/>
          <w:numId w:val="7"/>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合同分包</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 乙方不得将合同转包给其他供应商。涉及合同分包的，乙方应根据采购文件和投标（响应）文件规定进行合同分包。</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 乙方执行政府采购政策向中小企业依法分包的，乙方应当按采购文件和投标（响应）文件签订分包意向协议，分包意向协议属于本合同组成部分。</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 不可抗力</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 不可抗力是指合同双方不能预见、不能避免且不能克服的客观情况。</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18.2 任何一方对由于不可抗力造成的部分或全部不能履行合同不承担违约责任。但迟延履行后发生不可抗力的，不能免除责任。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 解决争议的方法</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 如甲乙双方有争议的事项不影响合同其他部分的履行，在争议解决期间，合同其他部分应当继续履行。</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 政府采购政策</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w:t>
      </w:r>
      <w:r>
        <w:rPr>
          <w:rFonts w:hint="eastAsia" w:ascii="方正仿宋_GBK" w:hAnsi="方正仿宋_GBK" w:eastAsia="方正仿宋_GBK" w:cs="方正仿宋_GBK"/>
          <w:color w:val="000000"/>
          <w:sz w:val="28"/>
          <w:szCs w:val="28"/>
          <w:highlight w:val="none"/>
          <w:lang w:val="en-GB"/>
        </w:rPr>
        <w:t xml:space="preserve">本合同应当按照规定执行政府采购政策。</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color w:val="000000"/>
          <w:sz w:val="28"/>
          <w:szCs w:val="28"/>
          <w:highlight w:val="none"/>
          <w:lang w:val="en-GB"/>
        </w:rPr>
        <w:t xml:space="preserve">未按规定要求执行政府采购政策造成损失的</w:t>
      </w:r>
      <w:r>
        <w:rPr>
          <w:rFonts w:hint="eastAsia" w:ascii="方正仿宋_GBK" w:hAnsi="方正仿宋_GBK" w:eastAsia="方正仿宋_GBK" w:cs="方正仿宋_GBK"/>
          <w:color w:val="000000"/>
          <w:sz w:val="28"/>
          <w:szCs w:val="28"/>
          <w:highlight w:val="none"/>
        </w:rPr>
        <w:t xml:space="preserve">，有过错的一方应当承担赔偿责任，双方都有过错的，各自承担相应的责任。</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法律适用</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本合同的订立、生效、解释、履行及与本合同有关的争议解决，均适用法律、行政法规。</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本合同条款与法律、行政法规的强制性规定不一致的，双方当事人应按照法律、行政法规的强制性规定修改本合同的相关条款。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 通知</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 一方当事人变更名称、住所、联系人、联系电话或电子邮箱等信息的，应当在变更后3日内及时书面通知对方，对方实际收到变更通知前的送达仍为有效送达。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22.3本合同一方给另一方的通知均应采用书面形式，传真或快递送到本合同中规定的对方的地址和办理签收手续。</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22.4通知以送达之日或通知书中规定的生效之日起生效，两者中以较迟之日为准。</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 合同未尽事项</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23.1合同未尽事项见【政府采购合同专用条款】。</w:t>
      </w:r>
      <w:r/>
    </w:p>
    <w:p>
      <w:pPr>
        <w:pStyle w:val="1082"/>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23.2合同附件与合同正文具有同等的法律效力。</w:t>
      </w:r>
      <w:r/>
    </w:p>
    <w:p>
      <w:pPr>
        <w:pStyle w:val="971"/>
        <w:spacing w:line="400" w:lineRule="exact"/>
        <w:rPr>
          <w:rFonts w:ascii="黑体" w:hAnsi="华文中宋" w:eastAsia="黑体"/>
          <w:b w:val="0"/>
          <w:bCs w:val="0"/>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黑体" w:eastAsia="黑体"/>
          <w:b w:val="0"/>
          <w:bCs w:val="0"/>
          <w:color w:val="000000"/>
          <w:sz w:val="28"/>
          <w:szCs w:val="28"/>
          <w:highlight w:val="none"/>
        </w:rPr>
        <w:t xml:space="preserve">第三节 政府采购合同专用条款</w:t>
      </w:r>
      <w:r/>
    </w:p>
    <w:tbl>
      <w:tblPr>
        <w:tblStyle w:val="799"/>
        <w:tblW w:w="862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3"/>
        <w:gridCol w:w="2686"/>
        <w:gridCol w:w="4318"/>
      </w:tblGrid>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第1.2（6）项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联合体具体要求</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r>
            <w:r/>
          </w:p>
        </w:tc>
      </w:tr>
      <w:tr>
        <w:trPr>
          <w:trHeight w:val="60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第1.2（7）项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其他术语解释</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第4.4款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履约验收中甲方提出异议或作出说明的期限</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自乙方交付之日起30天</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第4.6款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约定甲方承担的其他义务和责任</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为乙方履行合同提供必要且合理的配合和协助</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rFonts w:ascii="Calibri" w:hAnsi="Calibri"/>
                <w:color w:val="000000"/>
                <w:szCs w:val="21"/>
                <w:highlight w:val="none"/>
              </w:rPr>
            </w:pPr>
            <w:r>
              <w:rPr>
                <w:rFonts w:hint="eastAsia"/>
                <w:color w:val="000000"/>
                <w:szCs w:val="21"/>
                <w:highlight w:val="none"/>
              </w:rPr>
              <w:t xml:space="preserve">第5.4款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约定乙方承担的其他义务和责任</w:t>
            </w:r>
            <w:r/>
          </w:p>
        </w:tc>
        <w:tc>
          <w:tcPr>
            <w:tcW w:w="4318" w:type="dxa"/>
            <w:vAlign w:val="center"/>
            <w:textDirection w:val="lrTb"/>
            <w:noWrap w:val="false"/>
          </w:tcPr>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cs="宋体"/>
                <w:color w:val="000000"/>
                <w:szCs w:val="21"/>
                <w:highlight w:val="none"/>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color w:val="000000"/>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违约金。</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的违约金。若乙方支付的违约金不足以弥补甲方损失的，乙方还须继续承担损失赔偿责任。  </w:t>
            </w:r>
            <w:r/>
          </w:p>
          <w:p>
            <w:pPr>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以上条款中乙方的责任承担期限不受甲方已收货且出具验收确认书的限制。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第6.1款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履行合同义务的顺序</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乙方履行合同义务在先，甲方履行合同义务在后。</w:t>
            </w:r>
            <w:r/>
          </w:p>
        </w:tc>
      </w:tr>
      <w:tr>
        <w:trPr>
          <w:cantSplit/>
          <w:trHeight w:val="667"/>
        </w:trPr>
        <w:tc>
          <w:tcPr>
            <w:tcW w:w="1623" w:type="dxa"/>
            <w:vAlign w:val="center"/>
            <w:vMerge w:val="restart"/>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包装特殊要求</w:t>
            </w:r>
            <w:r/>
          </w:p>
        </w:tc>
        <w:tc>
          <w:tcPr>
            <w:tcW w:w="4318" w:type="dxa"/>
            <w:vAlign w:val="center"/>
            <w:textDirection w:val="lrTb"/>
            <w:noWrap w:val="false"/>
          </w:tcPr>
          <w:p>
            <w:pPr>
              <w:jc w:val="left"/>
              <w:widowControl/>
              <w:rPr>
                <w:rFonts w:ascii="Calibri" w:hAnsi="Calibri"/>
                <w:color w:val="000000"/>
                <w:szCs w:val="21"/>
                <w:highlight w:val="none"/>
              </w:rPr>
            </w:pPr>
            <w:r>
              <w:rPr>
                <w:rFonts w:ascii="Calibri" w:hAnsi="Calibri"/>
                <w:color w:val="000000"/>
                <w:szCs w:val="21"/>
                <w:highlight w:val="none"/>
              </w:rPr>
            </w:r>
            <w:r/>
          </w:p>
        </w:tc>
      </w:tr>
      <w:tr>
        <w:trPr>
          <w:cantSplit/>
          <w:trHeight w:val="667"/>
        </w:trPr>
        <w:tc>
          <w:tcPr>
            <w:tcW w:w="1623" w:type="dxa"/>
            <w:vAlign w:val="center"/>
            <w:vMerge w:val="continue"/>
            <w:textDirection w:val="lrTb"/>
            <w:noWrap w:val="false"/>
          </w:tcPr>
          <w:p>
            <w:pPr>
              <w:jc w:val="center"/>
              <w:widowControl/>
              <w:rPr>
                <w:color w:val="000000"/>
                <w:szCs w:val="21"/>
                <w:highlight w:val="none"/>
              </w:rPr>
            </w:pPr>
            <w:r>
              <w:rPr>
                <w:color w:val="000000"/>
                <w:szCs w:val="21"/>
                <w:highlight w:val="none"/>
              </w:rPr>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指定现场</w:t>
            </w:r>
            <w:r/>
          </w:p>
        </w:tc>
        <w:tc>
          <w:tcPr>
            <w:tcW w:w="4318" w:type="dxa"/>
            <w:vAlign w:val="center"/>
            <w:textDirection w:val="lrTb"/>
            <w:noWrap w:val="false"/>
          </w:tcPr>
          <w:p>
            <w:pPr>
              <w:jc w:val="left"/>
              <w:widowControl/>
              <w:rPr>
                <w:rFonts w:ascii="Calibri" w:hAnsi="Calibri"/>
                <w:color w:val="000000"/>
                <w:szCs w:val="21"/>
                <w:highlight w:val="none"/>
              </w:rPr>
            </w:pPr>
            <w:r>
              <w:rPr>
                <w:rFonts w:hint="eastAsia" w:ascii="Calibri" w:hAnsi="Calibri"/>
                <w:color w:val="000000"/>
                <w:szCs w:val="21"/>
                <w:highlight w:val="none"/>
              </w:rPr>
              <w:t xml:space="preserve">以甲方书面指定地点为准</w:t>
            </w:r>
            <w:r/>
          </w:p>
        </w:tc>
      </w:tr>
      <w:tr>
        <w:trPr>
          <w:trHeight w:val="772"/>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运输特殊要求</w:t>
            </w:r>
            <w:r/>
          </w:p>
        </w:tc>
        <w:tc>
          <w:tcPr>
            <w:tcW w:w="4318" w:type="dxa"/>
            <w:vAlign w:val="center"/>
            <w:textDirection w:val="lrTb"/>
            <w:noWrap w:val="false"/>
          </w:tcPr>
          <w:p>
            <w:pPr>
              <w:jc w:val="left"/>
              <w:widowControl/>
              <w:rPr>
                <w:rFonts w:ascii="Calibri" w:hAnsi="Calibri"/>
                <w:color w:val="000000"/>
                <w:szCs w:val="21"/>
                <w:highlight w:val="none"/>
              </w:rPr>
            </w:pPr>
            <w:r>
              <w:rPr>
                <w:rFonts w:ascii="Calibri" w:hAnsi="Calibri"/>
                <w:color w:val="000000"/>
                <w:szCs w:val="21"/>
                <w:highlight w:val="none"/>
              </w:rPr>
            </w:r>
            <w:r/>
          </w:p>
        </w:tc>
      </w:tr>
      <w:tr>
        <w:trPr>
          <w:trHeight w:val="66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保险要求</w:t>
            </w:r>
            <w:r/>
          </w:p>
        </w:tc>
        <w:tc>
          <w:tcPr>
            <w:tcW w:w="4318" w:type="dxa"/>
            <w:vAlign w:val="center"/>
            <w:textDirection w:val="lrTb"/>
            <w:noWrap w:val="false"/>
          </w:tcPr>
          <w:p>
            <w:pPr>
              <w:jc w:val="left"/>
              <w:widowControl/>
              <w:rPr>
                <w:rFonts w:ascii="Calibri" w:hAnsi="Calibri"/>
                <w:color w:val="000000"/>
                <w:szCs w:val="21"/>
                <w:highlight w:val="none"/>
              </w:rPr>
            </w:pPr>
            <w:r>
              <w:rPr>
                <w:rFonts w:hint="eastAsia"/>
                <w:color w:val="000000"/>
                <w:szCs w:val="21"/>
                <w:highlight w:val="none"/>
              </w:rPr>
              <w:t xml:space="preserve">由乙方自行承担，已包含在合同价款中，甲方不再另行支付。</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第8.2（1）项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质量保证期</w:t>
            </w:r>
            <w:r/>
          </w:p>
        </w:tc>
        <w:tc>
          <w:tcPr>
            <w:tcW w:w="4318" w:type="dxa"/>
            <w:vAlign w:val="center"/>
            <w:textDirection w:val="lrTb"/>
            <w:noWrap w:val="false"/>
          </w:tcPr>
          <w:p>
            <w:pPr>
              <w:jc w:val="left"/>
              <w:widowControl/>
              <w:rPr>
                <w:rFonts w:hint="eastAsia"/>
                <w:color w:val="000000"/>
                <w:szCs w:val="21"/>
                <w:highlight w:val="none"/>
              </w:rPr>
            </w:pPr>
            <w:r>
              <w:rPr>
                <w:rFonts w:ascii="宋体" w:hAnsi="宋体" w:cs="宋体"/>
                <w:color w:val="000000"/>
                <w:szCs w:val="21"/>
                <w:highlight w:val="none"/>
              </w:rPr>
              <w:t xml:space="preserve">自项目验收合格之日起，</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个月</w:t>
            </w:r>
            <w:r>
              <w:rPr>
                <w:rFonts w:hint="eastAsia" w:ascii="宋体" w:hAnsi="宋体" w:cs="宋体"/>
                <w:color w:val="000000"/>
                <w:szCs w:val="21"/>
                <w:highlight w:val="none"/>
              </w:rPr>
              <w:t xml:space="preserve">（招标要求不少于6</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个月）</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第8.2（3）项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货物质量缺陷</w:t>
            </w:r>
            <w:r/>
          </w:p>
          <w:p>
            <w:pPr>
              <w:jc w:val="left"/>
              <w:widowControl/>
              <w:rPr>
                <w:color w:val="000000"/>
                <w:szCs w:val="21"/>
                <w:highlight w:val="none"/>
              </w:rPr>
            </w:pPr>
            <w:r>
              <w:rPr>
                <w:rFonts w:hint="eastAsia"/>
                <w:color w:val="000000"/>
                <w:szCs w:val="21"/>
                <w:highlight w:val="none"/>
              </w:rPr>
              <w:t xml:space="preserve">响应时间</w:t>
            </w:r>
            <w:r/>
          </w:p>
        </w:tc>
        <w:tc>
          <w:tcPr>
            <w:tcW w:w="4318" w:type="dxa"/>
            <w:vAlign w:val="center"/>
            <w:textDirection w:val="lrTb"/>
            <w:noWrap w:val="false"/>
          </w:tcPr>
          <w:p>
            <w:pPr>
              <w:jc w:val="left"/>
              <w:widowControl/>
              <w:rPr>
                <w:rFonts w:hint="eastAsia"/>
                <w:color w:val="000000"/>
                <w:szCs w:val="21"/>
                <w:highlight w:val="none"/>
              </w:rPr>
            </w:pPr>
            <w:r>
              <w:rPr>
                <w:rFonts w:hint="eastAsia" w:ascii="宋体" w:hAnsi="宋体" w:cs="宋体"/>
                <w:color w:val="000000"/>
                <w:szCs w:val="21"/>
                <w:highlight w:val="none"/>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spacing w:line="400" w:lineRule="exact"/>
              <w:widowControl/>
              <w:rPr>
                <w:rFonts w:ascii="华文楷体" w:hAnsi="华文楷体" w:eastAsia="华文楷体" w:cs="华文楷体"/>
                <w:color w:val="000000"/>
                <w:sz w:val="22"/>
                <w:szCs w:val="21"/>
                <w:highlight w:val="none"/>
              </w:rPr>
            </w:pPr>
            <w:r>
              <w:rPr>
                <w:rFonts w:hint="eastAsia"/>
                <w:color w:val="000000"/>
                <w:sz w:val="22"/>
                <w:szCs w:val="21"/>
                <w:highlight w:val="none"/>
              </w:rPr>
              <w:t xml:space="preserve">第11.1款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其他应当保密的信息</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合同价款支付时间</w:t>
            </w:r>
            <w:r/>
          </w:p>
        </w:tc>
        <w:tc>
          <w:tcPr>
            <w:tcW w:w="4318" w:type="dxa"/>
            <w:vAlign w:val="center"/>
            <w:textDirection w:val="lrTb"/>
            <w:noWrap w:val="false"/>
          </w:tcPr>
          <w:p>
            <w:pPr>
              <w:jc w:val="left"/>
              <w:spacing w:line="378"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个工作日内向乙方付清应付款项。</w:t>
            </w:r>
            <w:r/>
          </w:p>
          <w:p>
            <w:pPr>
              <w:jc w:val="left"/>
              <w:widowControl/>
              <w:rPr>
                <w:color w:val="000000"/>
                <w:szCs w:val="21"/>
                <w:highlight w:val="none"/>
              </w:rPr>
            </w:pPr>
            <w:r>
              <w:rPr>
                <w:color w:val="000000"/>
                <w:szCs w:val="21"/>
                <w:highlight w:val="none"/>
              </w:rPr>
            </w:r>
            <w:r/>
          </w:p>
        </w:tc>
      </w:tr>
      <w:tr>
        <w:trPr>
          <w:trHeight w:val="69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第13.2款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履约保证金不予退还的情形</w:t>
            </w:r>
            <w:r/>
          </w:p>
        </w:tc>
        <w:tc>
          <w:tcPr>
            <w:tcW w:w="4318" w:type="dxa"/>
            <w:vAlign w:val="center"/>
            <w:textDirection w:val="lrTb"/>
            <w:noWrap w:val="false"/>
          </w:tcPr>
          <w:p>
            <w:pPr>
              <w:jc w:val="left"/>
              <w:widowControl/>
              <w:rPr>
                <w:rFonts w:hint="eastAsia"/>
                <w:color w:val="000000"/>
                <w:szCs w:val="21"/>
                <w:highlight w:val="none"/>
              </w:rPr>
            </w:pPr>
            <w:r>
              <w:rPr>
                <w:rFonts w:hint="eastAsia"/>
                <w:color w:val="000000"/>
                <w:szCs w:val="21"/>
                <w:highlight w:val="none"/>
              </w:rPr>
              <w:t xml:space="preserve">1.未经甲方书面认可，逾期交货；</w:t>
            </w:r>
            <w:r/>
          </w:p>
          <w:p>
            <w:pP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widowControl/>
              <w:rPr>
                <w:color w:val="000000"/>
                <w:szCs w:val="21"/>
                <w:highlight w:val="none"/>
              </w:rPr>
            </w:pPr>
            <w:r>
              <w:rPr>
                <w:rFonts w:hint="eastAsia"/>
                <w:color w:val="000000"/>
                <w:szCs w:val="21"/>
                <w:highlight w:val="none"/>
              </w:rPr>
              <w:t xml:space="preserve">3.乙方不参与验收、故意拖延验收，货物验收不合格。</w:t>
            </w:r>
            <w:r/>
          </w:p>
          <w:p>
            <w:pPr>
              <w:jc w:val="left"/>
              <w:widowControl/>
              <w:rPr>
                <w:color w:val="000000"/>
                <w:szCs w:val="21"/>
                <w:highlight w:val="none"/>
              </w:rPr>
            </w:pPr>
            <w:r>
              <w:rPr>
                <w:rFonts w:hint="eastAsia"/>
                <w:color w:val="000000"/>
                <w:szCs w:val="21"/>
                <w:highlight w:val="none"/>
              </w:rPr>
              <w:t xml:space="preserve">4.乙方未及时按招标文件、投标文件和合同约定提供货物质保服务。</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第13.3款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履约保证金退还时间及逾期退还的违约金</w:t>
            </w:r>
            <w:r/>
          </w:p>
        </w:tc>
        <w:tc>
          <w:tcPr>
            <w:tcW w:w="4318" w:type="dxa"/>
            <w:vAlign w:val="center"/>
            <w:textDirection w:val="lrTb"/>
            <w:noWrap w:val="false"/>
          </w:tcPr>
          <w:p>
            <w:pPr>
              <w:jc w:val="left"/>
              <w:widowControl/>
              <w:rPr>
                <w:rFonts w:hint="eastAsia"/>
                <w:color w:val="000000"/>
                <w:szCs w:val="21"/>
                <w:highlight w:val="none"/>
              </w:rPr>
            </w:pPr>
            <w:r>
              <w:rPr>
                <w:rFonts w:ascii="SimSun" w:hAnsi="SimSun" w:eastAsia="SimSun" w:cs="SimSun"/>
                <w:color w:val="000000"/>
                <w:sz w:val="21"/>
              </w:rPr>
              <w:t xml:space="preserve">自甲方最终书面确认验收合格，且乙方向甲方提出退还履约保证金书面申请之日起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个工作日内退还乙方履约保证金，乙方若有违约情形或产品存在质量问题的，乙方应向甲方承担违约金或质量赔偿金。</w:t>
            </w:r>
            <w:r>
              <w:rPr>
                <w:rFonts w:hint="eastAsia"/>
                <w:color w:val="000000"/>
                <w:szCs w:val="21"/>
                <w:highlight w:val="none"/>
              </w:rPr>
            </w:r>
            <w:r/>
          </w:p>
        </w:tc>
      </w:tr>
      <w:tr>
        <w:trPr>
          <w:trHeight w:val="78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第14.1（3）项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运行监督、维修期限</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按招标文件的要求和乙方投标响应执行，具体如下：</w:t>
            </w:r>
            <w:r/>
          </w:p>
          <w:p>
            <w:pPr>
              <w:jc w:val="left"/>
              <w:widowControl/>
              <w:rPr>
                <w:color w:val="000000"/>
                <w:szCs w:val="21"/>
                <w:highlight w:val="none"/>
              </w:rPr>
            </w:pPr>
            <w:r>
              <w:rPr>
                <w:rFonts w:hint="eastAsia"/>
                <w:color w:val="000000"/>
                <w:szCs w:val="21"/>
                <w:highlight w:val="none"/>
              </w:rPr>
              <w:t xml:space="preserve">【     】</w:t>
            </w:r>
            <w:r/>
          </w:p>
        </w:tc>
      </w:tr>
      <w:tr>
        <w:trPr>
          <w:trHeight w:val="78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第14.1（5）项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货物回收的约定</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按相关法律法规执行。</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第14.1（6）项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乙方提供的其他服务</w:t>
            </w:r>
            <w:r/>
          </w:p>
        </w:tc>
        <w:tc>
          <w:tcPr>
            <w:tcW w:w="431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2.质保和售后服务：乙方保证按本合同约定以及投标响应文件的服务承诺履行质保和售后服务义务，其中免费质保期为【  5 】年，自甲方最终书面确认验收合</w:t>
            </w:r>
            <w:r>
              <w:rPr>
                <w:rFonts w:hint="eastAsia" w:ascii="宋体" w:hAnsi="宋体" w:cs="宋体"/>
                <w:color w:val="000000"/>
                <w:szCs w:val="21"/>
                <w:highlight w:val="none"/>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color w:val="000000"/>
                <w:szCs w:val="21"/>
                <w:highlight w:val="none"/>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jc w:val="left"/>
              <w:spacing w:line="360" w:lineRule="auto"/>
              <w:rPr>
                <w:rFonts w:hint="eastAsia" w:ascii="宋体" w:hAnsi="宋体" w:cs="宋体"/>
                <w:color w:val="000000"/>
                <w:szCs w:val="21"/>
                <w:highlight w:val="none"/>
              </w:rPr>
            </w:pPr>
            <w:r>
              <w:rPr>
                <w:rFonts w:hint="eastAsia"/>
                <w:b/>
                <w:bCs/>
                <w:color w:val="000000"/>
                <w:szCs w:val="21"/>
                <w:highlight w:val="none"/>
              </w:rPr>
              <w:t xml:space="preserve">4.乙方应按投标响应文件的售后服务响应和承诺提供售后服务、维修保养服务等。</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修理、重作、更换相关具体规定</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更换：由乙方承担所发生的全部费用。</w:t>
            </w:r>
            <w:r/>
          </w:p>
          <w:p>
            <w:pPr>
              <w:jc w:val="left"/>
              <w:widowControl/>
              <w:rPr>
                <w:color w:val="000000"/>
                <w:szCs w:val="21"/>
                <w:highlight w:val="none"/>
              </w:rPr>
            </w:pPr>
            <w:r>
              <w:rPr>
                <w:rFonts w:hint="eastAsia"/>
                <w:color w:val="000000"/>
                <w:szCs w:val="21"/>
                <w:highlight w:val="none"/>
              </w:rPr>
              <w:t xml:space="preserve">（2）</w:t>
            </w:r>
            <w:r>
              <w:rPr>
                <w:color w:val="000000"/>
                <w:szCs w:val="21"/>
                <w:highlight w:val="none"/>
              </w:rPr>
              <w:t xml:space="preserve">贬值处理：由甲乙双方合议定价。</w:t>
            </w:r>
            <w:r/>
          </w:p>
          <w:p>
            <w:pPr>
              <w:jc w:val="left"/>
              <w:widowControl/>
              <w:rPr>
                <w:color w:val="000000"/>
                <w:szCs w:val="21"/>
                <w:highlight w:val="none"/>
              </w:rPr>
            </w:pPr>
            <w:r>
              <w:rPr>
                <w:rFonts w:hint="eastAsia"/>
                <w:color w:val="000000"/>
                <w:szCs w:val="21"/>
                <w:highlight w:val="none"/>
              </w:rPr>
              <w:t xml:space="preserve">（3）</w:t>
            </w:r>
            <w:r>
              <w:rPr>
                <w:color w:val="000000"/>
                <w:szCs w:val="21"/>
                <w:highlight w:val="none"/>
              </w:rPr>
              <w:t xml:space="preserve">退货处理：乙方应退还甲方支付的合同款，同时应承担该货物的直接费用（运输、保险、检验、货款利息及银行手续费等）。</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第15.2（2）项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迟延交货赔偿费</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p>
          <w:p>
            <w:pPr>
              <w:jc w:val="left"/>
              <w:widowControl/>
              <w:rPr>
                <w:color w:val="000000"/>
                <w:szCs w:val="21"/>
                <w:highlight w:val="none"/>
                <w:u w:val="single"/>
              </w:rPr>
            </w:pPr>
            <w:r>
              <w:rPr>
                <w:rFonts w:hint="eastAsia"/>
                <w:color w:val="000000"/>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逾期付款利息</w:t>
            </w:r>
            <w:r/>
          </w:p>
        </w:tc>
        <w:tc>
          <w:tcPr>
            <w:tcW w:w="4318" w:type="dxa"/>
            <w:vAlign w:val="center"/>
            <w:textDirection w:val="lrTb"/>
            <w:noWrap w:val="false"/>
          </w:tcPr>
          <w:p>
            <w:pPr>
              <w:jc w:val="left"/>
              <w:widowControl/>
              <w:rPr>
                <w:color w:val="000000"/>
                <w:szCs w:val="21"/>
                <w:highlight w:val="none"/>
                <w:u w:val="single"/>
              </w:rPr>
            </w:pPr>
            <w:r>
              <w:rPr>
                <w:rFonts w:hint="eastAsia"/>
                <w:color w:val="000000"/>
                <w:szCs w:val="21"/>
                <w:highlight w:val="none"/>
              </w:rPr>
            </w:r>
            <w:r>
              <w:rPr>
                <w:rFonts w:ascii="SimSun" w:hAnsi="SimSun" w:eastAsia="SimSun" w:cs="SimSun"/>
                <w:color w:val="000000"/>
                <w:sz w:val="21"/>
              </w:rPr>
              <w:t xml:space="preserve">乙方理解甲方高校财务制度的特殊性，如付款期遇甲方寒暑假财务封账，则付款期限顺延，乙方予以理解并自愿放弃向甲方主张逾期付款利息。</w:t>
            </w:r>
            <w:r>
              <w:rPr>
                <w:rFonts w:hint="eastAsia"/>
                <w:color w:val="000000"/>
                <w:szCs w:val="21"/>
                <w:highlight w:val="none"/>
              </w:rPr>
            </w:r>
            <w:r/>
          </w:p>
        </w:tc>
      </w:tr>
      <w:tr>
        <w:trPr>
          <w:trHeight w:val="87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其他违约责任</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乙方如有转包或未经甲方同意的分包行为</w:t>
            </w:r>
            <w:r>
              <w:rPr>
                <w:rFonts w:hint="eastAsia"/>
                <w:color w:val="000000"/>
                <w:szCs w:val="21"/>
                <w:highlight w:val="none"/>
              </w:rPr>
              <w:t xml:space="preserve">，则构成乙方违约，甲方有权单方解除合同，并没收乙方履约保证金。</w:t>
            </w:r>
            <w:r/>
          </w:p>
          <w:p>
            <w:pPr>
              <w:jc w:val="left"/>
              <w:widowControl/>
              <w:rPr>
                <w:color w:val="000000"/>
                <w:szCs w:val="21"/>
                <w:highlight w:val="none"/>
              </w:rPr>
            </w:pPr>
            <w:r>
              <w:rPr>
                <w:rFonts w:hint="eastAsia"/>
                <w:color w:val="000000"/>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widowControl/>
              <w:rPr>
                <w:color w:val="000000"/>
                <w:szCs w:val="21"/>
                <w:highlight w:val="none"/>
              </w:rPr>
            </w:pPr>
            <w:r>
              <w:rPr>
                <w:rFonts w:hint="eastAsia"/>
                <w:color w:val="000000"/>
                <w:szCs w:val="21"/>
                <w:highlight w:val="none"/>
              </w:rPr>
              <w:t xml:space="preserve">（3）产品因质量问题、产品故障或可归责于乙方的其他原因给甲方的使用造成不便的或任何不足的，</w:t>
            </w:r>
            <w:r>
              <w:rPr>
                <w:rFonts w:ascii="SimSun" w:hAnsi="SimSun" w:eastAsia="SimSun" w:cs="SimSun"/>
                <w:color w:val="000000"/>
                <w:sz w:val="21"/>
              </w:rPr>
              <w:t xml:space="preserve">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元违约金，甲方有权从履约保证金中扣除前述违约金，履约保证金不足扣除或已退还乙方的，甲方有权要求乙方继续支付。</w:t>
            </w:r>
            <w:r>
              <w:rPr>
                <w:rFonts w:hint="eastAsia"/>
                <w:color w:val="000000"/>
                <w:szCs w:val="21"/>
                <w:highlight w:val="none"/>
              </w:rPr>
            </w:r>
            <w:r/>
          </w:p>
          <w:p>
            <w:pPr>
              <w:jc w:val="left"/>
              <w:widowControl/>
              <w:rPr>
                <w:color w:val="000000"/>
                <w:szCs w:val="21"/>
                <w:highlight w:val="none"/>
              </w:rPr>
            </w:pPr>
            <w:r>
              <w:rPr>
                <w:rFonts w:hint="eastAsia"/>
                <w:color w:val="000000"/>
                <w:szCs w:val="21"/>
                <w:highlight w:val="none"/>
              </w:rPr>
              <w:t xml:space="preserve">（4）如因产品质量问题，致使设备不能有效使用运转时长超过48小时，则构成乙方违约，乙方自自设备不能有效使用运转之日起，乙方应按每日2000.00元向甲方支付违约金，直至设备恢复正常使用之日。</w:t>
            </w:r>
            <w:r/>
          </w:p>
          <w:p>
            <w:pPr>
              <w:jc w:val="left"/>
              <w:widowControl/>
              <w:rPr>
                <w:color w:val="000000"/>
                <w:szCs w:val="21"/>
                <w:highlight w:val="none"/>
                <w:u w:val="single"/>
              </w:rPr>
            </w:pPr>
            <w:r>
              <w:rPr>
                <w:rFonts w:hint="eastAsia"/>
                <w:color w:val="000000"/>
                <w:szCs w:val="21"/>
                <w:highlight w:val="none"/>
              </w:rPr>
              <w:t xml:space="preserve">（5）乙方未能按照本合同要求提供相应质保服务的，甲方有权将乙方列入采购黑名单，以后将不予合作。</w:t>
            </w:r>
            <w:r/>
          </w:p>
        </w:tc>
      </w:tr>
      <w:tr>
        <w:trPr>
          <w:trHeight w:val="90"/>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第19.2款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解决争议的方法</w:t>
            </w:r>
            <w:r/>
          </w:p>
        </w:tc>
        <w:tc>
          <w:tcPr>
            <w:tcW w:w="4318" w:type="dxa"/>
            <w:vAlign w:val="center"/>
            <w:textDirection w:val="lrTb"/>
            <w:noWrap w:val="false"/>
          </w:tcPr>
          <w:p>
            <w:pPr>
              <w:jc w:val="left"/>
              <w:spacing w:line="400" w:lineRule="exact"/>
              <w:widowControl/>
              <w:rPr>
                <w:iCs/>
                <w:color w:val="000000"/>
                <w:szCs w:val="21"/>
                <w:highlight w:val="none"/>
              </w:rPr>
            </w:pPr>
            <w:r>
              <w:rPr>
                <w:rFonts w:hint="eastAsia"/>
                <w:iCs/>
                <w:color w:val="000000"/>
                <w:szCs w:val="21"/>
                <w:highlight w:val="none"/>
              </w:rPr>
              <w:t xml:space="preserve">因本合同及合同有关事项发生的争议，按下列第</w:t>
            </w:r>
            <w:r>
              <w:rPr>
                <w:rFonts w:hint="eastAsia"/>
                <w:iCs/>
                <w:color w:val="000000"/>
                <w:szCs w:val="21"/>
                <w:highlight w:val="none"/>
                <w:u w:val="single"/>
              </w:rPr>
              <w:t xml:space="preserve"> （2） </w:t>
            </w:r>
            <w:r>
              <w:rPr>
                <w:rFonts w:hint="eastAsia"/>
                <w:iCs/>
                <w:color w:val="000000"/>
                <w:szCs w:val="21"/>
                <w:highlight w:val="none"/>
              </w:rPr>
              <w:t xml:space="preserve">种方式解决：</w:t>
            </w:r>
            <w:r/>
          </w:p>
          <w:p>
            <w:pPr>
              <w:jc w:val="left"/>
              <w:spacing w:line="400" w:lineRule="exact"/>
              <w:widowControl/>
              <w:rPr>
                <w:iCs/>
                <w:color w:val="000000"/>
                <w:szCs w:val="21"/>
                <w:highlight w:val="none"/>
              </w:rPr>
            </w:pPr>
            <w:r>
              <w:rPr>
                <w:rFonts w:hint="eastAsia"/>
                <w:iCs/>
                <w:color w:val="000000"/>
                <w:szCs w:val="21"/>
                <w:highlight w:val="none"/>
              </w:rPr>
              <w:t xml:space="preserve">（1）向仲裁委员会申请仲裁，仲裁地点为</w:t>
            </w:r>
            <w:r>
              <w:rPr>
                <w:rFonts w:hint="eastAsia"/>
                <w:iCs/>
                <w:color w:val="000000"/>
                <w:szCs w:val="21"/>
                <w:highlight w:val="none"/>
                <w:u w:val="single"/>
              </w:rPr>
              <w:t xml:space="preserve"> </w:t>
            </w:r>
            <w:r>
              <w:rPr>
                <w:rFonts w:hint="eastAsia"/>
                <w:iCs/>
                <w:color w:val="000000"/>
                <w:szCs w:val="21"/>
                <w:highlight w:val="none"/>
              </w:rPr>
              <w:t xml:space="preserve">；</w:t>
            </w:r>
            <w:r/>
          </w:p>
          <w:p>
            <w:pPr>
              <w:jc w:val="left"/>
              <w:widowControl/>
              <w:rPr>
                <w:color w:val="000000"/>
                <w:szCs w:val="21"/>
                <w:highlight w:val="none"/>
                <w:u w:val="single"/>
              </w:rPr>
            </w:pPr>
            <w:r>
              <w:rPr>
                <w:rFonts w:hint="eastAsia"/>
                <w:iCs/>
                <w:color w:val="000000"/>
                <w:szCs w:val="21"/>
                <w:highlight w:val="none"/>
              </w:rPr>
              <w:t xml:space="preserve">（2）向</w:t>
            </w:r>
            <w:r>
              <w:rPr>
                <w:rFonts w:hint="eastAsia"/>
                <w:iCs/>
                <w:color w:val="000000"/>
                <w:szCs w:val="21"/>
                <w:highlight w:val="none"/>
                <w:u w:val="single"/>
              </w:rPr>
              <w:t xml:space="preserve">甲方所在地</w:t>
            </w:r>
            <w:r>
              <w:rPr>
                <w:rFonts w:hint="eastAsia"/>
                <w:iCs/>
                <w:color w:val="000000"/>
                <w:szCs w:val="21"/>
                <w:highlight w:val="none"/>
              </w:rPr>
              <w:t xml:space="preserve">人民法院起诉。</w:t>
            </w:r>
            <w:r/>
          </w:p>
        </w:tc>
      </w:tr>
      <w:tr>
        <w:trPr>
          <w:trHeight w:val="770"/>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第23.1款</w:t>
            </w:r>
            <w:r/>
          </w:p>
        </w:tc>
        <w:tc>
          <w:tcPr>
            <w:tcW w:w="2686" w:type="dxa"/>
            <w:vAlign w:val="center"/>
            <w:textDirection w:val="lrTb"/>
            <w:noWrap w:val="false"/>
          </w:tcPr>
          <w:p>
            <w:pPr>
              <w:jc w:val="left"/>
              <w:widowControl/>
              <w:rPr>
                <w:color w:val="000000"/>
                <w:szCs w:val="21"/>
                <w:highlight w:val="none"/>
              </w:rPr>
            </w:pPr>
            <w:r>
              <w:rPr>
                <w:rFonts w:hint="eastAsia"/>
                <w:bCs/>
                <w:color w:val="000000"/>
                <w:szCs w:val="21"/>
                <w:highlight w:val="none"/>
              </w:rPr>
              <w:t xml:space="preserve">其他专用条款</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rFonts w:hint="eastAsia"/>
                <w:b/>
                <w:bCs/>
                <w:color w:val="000000"/>
                <w:szCs w:val="21"/>
                <w:highlight w:val="none"/>
              </w:rPr>
              <w:t xml:space="preserve">.</w:t>
            </w:r>
            <w:r>
              <w:rPr>
                <w:rFonts w:hint="eastAsia"/>
                <w:color w:val="000000"/>
                <w:szCs w:val="21"/>
                <w:highlight w:val="none"/>
              </w:rPr>
              <w:t xml:space="preserve">乙方应于签订合同之日起【  】个日历天内完成供货、安装、调试、交付甲方。</w:t>
            </w:r>
            <w:r/>
          </w:p>
          <w:p>
            <w:pPr>
              <w:jc w:val="left"/>
              <w:spacing w:line="378" w:lineRule="exact"/>
              <w:widowControl/>
              <w:rPr>
                <w:color w:val="000000"/>
                <w:szCs w:val="21"/>
                <w:highlight w:val="none"/>
              </w:rPr>
            </w:pPr>
            <w:r>
              <w:rPr>
                <w:rFonts w:hint="eastAsia" w:ascii="宋体" w:hAnsi="宋体" w:cs="宋体"/>
                <w:color w:val="000000"/>
                <w:szCs w:val="21"/>
                <w:highlight w:val="none"/>
              </w:rPr>
              <w:t xml:space="preserve">2.【         】</w:t>
            </w:r>
            <w:r>
              <w:rPr>
                <w:rFonts w:ascii="宋体" w:hAnsi="宋体" w:cs="宋体"/>
                <w:color w:val="000000"/>
                <w:szCs w:val="21"/>
                <w:highlight w:val="none"/>
              </w:rPr>
              <w:t xml:space="preserve">。</w:t>
            </w:r>
            <w:r/>
          </w:p>
          <w:p>
            <w:pPr>
              <w:jc w:val="left"/>
              <w:widowControl/>
              <w:rPr>
                <w:color w:val="000000"/>
                <w:szCs w:val="21"/>
                <w:highlight w:val="none"/>
              </w:rPr>
            </w:pPr>
            <w:r>
              <w:rPr>
                <w:color w:val="000000"/>
                <w:szCs w:val="21"/>
                <w:highlight w:val="none"/>
              </w:rPr>
            </w:r>
            <w:r/>
          </w:p>
        </w:tc>
      </w:tr>
    </w:tbl>
    <w:p>
      <w:pPr>
        <w:pStyle w:val="971"/>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w:t>
      </w:r>
      <w:bookmarkEnd w:id="53"/>
      <w:r>
        <w:rPr>
          <w:rFonts w:hint="eastAsia" w:ascii="黑体" w:hAnsi="黑体" w:eastAsia="黑体"/>
          <w:b w:val="0"/>
          <w:bCs w:val="0"/>
          <w:color w:val="000000"/>
          <w:sz w:val="28"/>
          <w:szCs w:val="28"/>
          <w:highlight w:val="none"/>
        </w:rPr>
        <w:t xml:space="preserve">四章 采购需求</w:t>
      </w:r>
      <w:bookmarkEnd w:id="54"/>
      <w:r/>
      <w:bookmarkEnd w:id="55"/>
      <w:r/>
      <w:bookmarkEnd w:id="56"/>
      <w:r/>
      <w:r/>
    </w:p>
    <w:p>
      <w:pPr>
        <w:pStyle w:val="971"/>
        <w:jc w:val="left"/>
        <w:spacing w:line="400" w:lineRule="exact"/>
        <w:rPr>
          <w:rFonts w:hint="eastAsia" w:ascii="黑体" w:hAnsi="黑体" w:eastAsia="黑体"/>
          <w:b w:val="0"/>
          <w:bCs w:val="0"/>
          <w:color w:val="000000"/>
          <w:sz w:val="28"/>
          <w:szCs w:val="28"/>
          <w:highlight w:val="none"/>
        </w:rPr>
      </w:pPr>
      <w:r/>
      <w:bookmarkStart w:id="59" w:name="_Toc26554093"/>
      <w:r/>
      <w:bookmarkStart w:id="60" w:name="_Toc49090575"/>
      <w:r>
        <w:rPr>
          <w:rFonts w:hint="eastAsia" w:ascii="黑体" w:hAnsi="黑体" w:eastAsia="黑体"/>
          <w:b w:val="0"/>
          <w:bCs w:val="0"/>
          <w:color w:val="000000"/>
          <w:sz w:val="28"/>
          <w:szCs w:val="28"/>
          <w:highlight w:val="none"/>
        </w:rPr>
        <w:t xml:space="preserve">一、采购标的清单</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p>
        </w:tc>
        <w:tc>
          <w:tcPr>
            <w:tcW w:w="267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XX</w:t>
            </w:r>
            <w:r/>
          </w:p>
        </w:tc>
        <w:tc>
          <w:tcPr>
            <w:tcW w:w="132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92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高性能GPU服务器</w:t>
            </w:r>
            <w:r/>
          </w:p>
        </w:tc>
        <w:tc>
          <w:tcPr>
            <w:tcW w:w="2677" w:type="dxa"/>
            <w:textDirection w:val="lrTb"/>
            <w:noWrap w:val="false"/>
          </w:tcPr>
          <w:p>
            <w:pPr>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工业</w:t>
            </w:r>
            <w:r/>
          </w:p>
        </w:tc>
      </w:tr>
    </w:tbl>
    <w:p>
      <w:pPr>
        <w:pStyle w:val="971"/>
        <w:jc w:val="left"/>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二、政府采购中实施本国产品标准及相关政策</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1"/>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三、技术要求</w:t>
      </w: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为实质性要求。</w:t>
      </w:r>
      <w:r/>
    </w:p>
    <w:p>
      <w:pPr>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包括但不限于：主要用途、技术方案（配置）、工艺要求、技术指标、技术规格以及相关图纸等。</w:t>
      </w:r>
      <w:r/>
    </w:p>
    <w:p>
      <w:pPr>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（一）硬件配置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1、机架式GPU服务器，采用单路X86服务器处理器与多GPU异构计算架构。配置不少于</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颗X86系列服务器CPU，单颗核心数不低于48核，主频不低于2.1GHz；支持DDR5 ECC REG RDIMM内存，内存插槽不少于</w:t>
      </w:r>
      <w:r>
        <w:rPr>
          <w:rFonts w:hint="eastAsia" w:ascii="方正仿宋_GBK" w:hAnsi="方正仿宋_GBK" w:eastAsia="方正仿宋_GBK" w:cs="方正仿宋_GBK"/>
          <w:color w:val="000000"/>
          <w:sz w:val="28"/>
          <w:szCs w:val="28"/>
          <w:highlight w:val="none"/>
          <w:lang w:val="en-US" w:eastAsia="zh-CN"/>
        </w:rPr>
        <w:t xml:space="preserve">8</w:t>
      </w:r>
      <w:r>
        <w:rPr>
          <w:rFonts w:hint="eastAsia" w:ascii="方正仿宋_GBK" w:hAnsi="方正仿宋_GBK" w:eastAsia="方正仿宋_GBK" w:cs="方正仿宋_GBK"/>
          <w:color w:val="000000"/>
          <w:sz w:val="28"/>
          <w:szCs w:val="28"/>
          <w:highlight w:val="none"/>
        </w:rPr>
        <w:t xml:space="preserve">个，实配内存容量不低于</w:t>
      </w:r>
      <w:r>
        <w:rPr>
          <w:rFonts w:hint="eastAsia" w:ascii="方正仿宋_GBK" w:hAnsi="方正仿宋_GBK" w:eastAsia="方正仿宋_GBK" w:cs="方正仿宋_GBK"/>
          <w:color w:val="000000"/>
          <w:sz w:val="28"/>
          <w:szCs w:val="28"/>
          <w:highlight w:val="none"/>
          <w:lang w:val="en-US" w:eastAsia="zh-CN"/>
        </w:rPr>
        <w:t xml:space="preserve">512GB</w:t>
      </w:r>
      <w:r>
        <w:rPr>
          <w:rFonts w:hint="eastAsia" w:ascii="方正仿宋_GBK" w:hAnsi="方正仿宋_GBK" w:eastAsia="方正仿宋_GBK" w:cs="方正仿宋_GBK"/>
          <w:color w:val="000000"/>
          <w:sz w:val="28"/>
          <w:szCs w:val="28"/>
          <w:highlight w:val="none"/>
        </w:rPr>
        <w:t xml:space="preserve">。整机支持不少于</w:t>
      </w:r>
      <w:r>
        <w:rPr>
          <w:rFonts w:hint="eastAsia" w:ascii="方正仿宋_GBK" w:hAnsi="方正仿宋_GBK" w:eastAsia="方正仿宋_GBK" w:cs="方正仿宋_GBK"/>
          <w:b w:val="0"/>
          <w:bCs w:val="0"/>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张双宽高性能GPU，支持PCIe 5.0高速扩展，满足8卡GPU满载稳定运行要求。支持不少于8个2.5英寸硬盘位或U.2 NVMe SSD硬盘位，实配不少于2块7.68TB企业级U.2 NVMe SSD。配置独立IPMI/BMC管理接口，支持远程管理、硬件状态监控及故障告警；配置不少于1块高速以太网卡。整机配置冗余高效电源，无光驱，含导轨，电源功率、散热设计及机箱空间应满足本项目所配置GPU、CPU、内存、存储及扩展部件长期稳定运行要求；</w:t>
      </w:r>
      <w:r/>
    </w:p>
    <w:p>
      <w:pPr>
        <w:ind w:left="0" w:right="0" w:firstLine="560"/>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sz w:val="28"/>
          <w:highlight w:val="none"/>
          <w:u w:val="single"/>
        </w:rPr>
        <w:t xml:space="preserve">2、GPU模组①：高性能GPU服务器采购，用于多agent体系training与inference，GPU单卡峰值算力FP16/BF16不低于0.9 PFLOPS，FP8不低于1.8 PFLOPS、FP4不低于3.2PFLOPS、FP32不低于110 TFLOPS；核心/计算单元不低于24,000个，单卡显存不低于96GB GDDR7，显存带宽不低于1500 GB/s 带宽；实配</w:t>
      </w:r>
      <w:r>
        <w:rPr>
          <w:rFonts w:ascii="仿宋" w:hAnsi="仿宋" w:eastAsia="仿宋" w:cs="仿宋"/>
          <w:b/>
          <w:i/>
          <w:color w:val="000000"/>
          <w:sz w:val="32"/>
          <w:highlight w:val="none"/>
          <w:u w:val="single"/>
        </w:rPr>
        <w:t xml:space="preserve">数量为上述算力型号不少于</w:t>
      </w:r>
      <w:r>
        <w:rPr>
          <w:rFonts w:hint="eastAsia" w:ascii="仿宋" w:hAnsi="仿宋" w:eastAsia="仿宋" w:cs="仿宋"/>
          <w:b/>
          <w:i/>
          <w:color w:val="000000"/>
          <w:sz w:val="32"/>
          <w:highlight w:val="none"/>
          <w:u w:val="single"/>
          <w:lang w:val="en-US" w:eastAsia="zh-CN"/>
        </w:rPr>
        <w:t xml:space="preserve">4</w:t>
      </w:r>
      <w:r>
        <w:rPr>
          <w:rFonts w:ascii="仿宋" w:hAnsi="仿宋" w:eastAsia="仿宋" w:cs="仿宋"/>
          <w:b/>
          <w:i/>
          <w:color w:val="000000"/>
          <w:sz w:val="32"/>
          <w:highlight w:val="none"/>
          <w:u w:val="single"/>
        </w:rPr>
        <w:t xml:space="preserve">张。</w:t>
      </w:r>
      <w:r>
        <w:rPr>
          <w:rFonts w:ascii="仿宋" w:hAnsi="仿宋" w:eastAsia="仿宋" w:cs="仿宋"/>
          <w:b/>
          <w:i/>
          <w:color w:val="000000"/>
          <w:sz w:val="28"/>
          <w:highlight w:val="none"/>
          <w:u w:val="single"/>
        </w:rPr>
        <w:t xml:space="preserve">整机平台须支持不少于8张同规格双宽GPU扩展，且主板PCIe槽位、GPU安装空间、供电接口、电源容量、散热风道、风扇配置、机箱结构及相关线缆应按8卡满配条件配置或预留。后续扩展至8张同型号GPU时，不得更换服务器机箱、主板、电源、散热系统等核心部件。</w:t>
      </w:r>
      <w:r/>
    </w:p>
    <w:p>
      <w:pPr>
        <w:ind w:left="0" w:right="0" w:firstLine="560"/>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sz w:val="28"/>
          <w:highlight w:val="none"/>
          <w:u w:val="single"/>
        </w:rPr>
        <w:t xml:space="preserve">3、CPU：配置≥</w:t>
      </w:r>
      <w:r>
        <w:rPr>
          <w:rFonts w:hint="eastAsia" w:ascii="仿宋" w:hAnsi="仿宋" w:eastAsia="仿宋" w:cs="仿宋"/>
          <w:b/>
          <w:i/>
          <w:color w:val="000000"/>
          <w:sz w:val="28"/>
          <w:highlight w:val="none"/>
          <w:u w:val="single"/>
          <w:lang w:val="en-US" w:eastAsia="zh-CN"/>
        </w:rPr>
        <w:t xml:space="preserve">2</w:t>
      </w:r>
      <w:r>
        <w:rPr>
          <w:rFonts w:ascii="仿宋" w:hAnsi="仿宋" w:eastAsia="仿宋" w:cs="仿宋"/>
          <w:b/>
          <w:i/>
          <w:color w:val="000000"/>
          <w:sz w:val="28"/>
          <w:highlight w:val="none"/>
          <w:u w:val="single"/>
        </w:rPr>
        <w:t xml:space="preserve">颗，单颗核心数≥48核，主频≥2.1Ghz</w:t>
      </w:r>
      <w:r>
        <w:rPr>
          <w:rFonts w:ascii="仿宋" w:hAnsi="仿宋" w:eastAsia="仿宋" w:cs="仿宋"/>
          <w:b/>
          <w:i/>
          <w:color w:val="000000"/>
          <w:sz w:val="28"/>
          <w:highlight w:val="none"/>
          <w:u w:val="single"/>
        </w:rPr>
        <w:t xml:space="preserve"> X86系列处理器；</w:t>
      </w:r>
      <w:r/>
    </w:p>
    <w:p>
      <w:pPr>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4、内存：配置不少于</w:t>
      </w:r>
      <w:r>
        <w:rPr>
          <w:rFonts w:hint="eastAsia" w:ascii="方正仿宋_GBK" w:hAnsi="方正仿宋_GBK" w:eastAsia="方正仿宋_GBK" w:cs="方正仿宋_GBK"/>
          <w:b/>
          <w:bCs/>
          <w:i/>
          <w:iCs/>
          <w:color w:val="000000"/>
          <w:sz w:val="28"/>
          <w:szCs w:val="28"/>
          <w:highlight w:val="none"/>
          <w:u w:val="single"/>
          <w:lang w:val="en-US" w:eastAsia="zh-CN"/>
        </w:rPr>
        <w:t xml:space="preserve">8</w:t>
      </w:r>
      <w:r>
        <w:rPr>
          <w:rFonts w:hint="eastAsia" w:ascii="方正仿宋_GBK" w:hAnsi="方正仿宋_GBK" w:eastAsia="方正仿宋_GBK" w:cs="方正仿宋_GBK"/>
          <w:b/>
          <w:bCs/>
          <w:i/>
          <w:iCs/>
          <w:color w:val="000000"/>
          <w:sz w:val="28"/>
          <w:szCs w:val="28"/>
          <w:highlight w:val="none"/>
          <w:u w:val="single"/>
        </w:rPr>
        <w:t xml:space="preserve">块64GB DDR5 ECC REG RDIMM，总容量不少于</w:t>
      </w:r>
      <w:r>
        <w:rPr>
          <w:rFonts w:hint="eastAsia" w:ascii="方正仿宋_GBK" w:hAnsi="方正仿宋_GBK" w:eastAsia="方正仿宋_GBK" w:cs="方正仿宋_GBK"/>
          <w:b/>
          <w:bCs/>
          <w:i/>
          <w:iCs/>
          <w:color w:val="000000"/>
          <w:sz w:val="28"/>
          <w:szCs w:val="28"/>
          <w:highlight w:val="none"/>
          <w:u w:val="single"/>
          <w:lang w:val="en-US" w:eastAsia="zh-CN"/>
        </w:rPr>
        <w:t xml:space="preserve">512G</w:t>
      </w:r>
      <w:r>
        <w:rPr>
          <w:rFonts w:hint="eastAsia" w:ascii="方正仿宋_GBK" w:hAnsi="方正仿宋_GBK" w:eastAsia="方正仿宋_GBK" w:cs="方正仿宋_GBK"/>
          <w:b/>
          <w:bCs/>
          <w:i/>
          <w:iCs/>
          <w:color w:val="000000"/>
          <w:sz w:val="28"/>
          <w:szCs w:val="28"/>
          <w:highlight w:val="none"/>
          <w:u w:val="single"/>
        </w:rPr>
        <w:t xml:space="preserve">B；服务器应支持扩展至32个内存插槽，后续可扩展至2TB或以上。</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5、NVMe SSD硬盘</w:t>
      </w:r>
      <w:r>
        <w:rPr>
          <w:rFonts w:hint="eastAsia" w:ascii="方正仿宋_GBK" w:hAnsi="方正仿宋_GBK" w:eastAsia="方正仿宋_GBK" w:cs="方正仿宋_GBK"/>
          <w:color w:val="000000"/>
          <w:sz w:val="28"/>
          <w:szCs w:val="28"/>
          <w:highlight w:val="none"/>
        </w:rPr>
        <w:tab/>
      </w:r>
      <w:r>
        <w:rPr>
          <w:rFonts w:ascii="宋体" w:hAnsi="宋体" w:eastAsia="宋体" w:cs="宋体"/>
          <w:sz w:val="24"/>
          <w:szCs w:val="24"/>
          <w:highlight w:val="none"/>
        </w:rPr>
        <w:t xml:space="preserve">配置不少于2块7.68TB U.2 NVMe Gen4企业级读密集型SSD；支持不少于8个2.5英寸硬盘位或U.2 NVMe硬盘位；支持后续扩展。</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6、2.5寸 SSD硬盘：配置≥2块2.5" 960G  SATA 读取密集 SSD</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7、网卡：</w:t>
      </w:r>
      <w:r>
        <w:rPr>
          <w:rFonts w:ascii="宋体" w:hAnsi="宋体" w:eastAsia="宋体" w:cs="宋体"/>
          <w:sz w:val="24"/>
          <w:szCs w:val="24"/>
          <w:highlight w:val="none"/>
        </w:rPr>
        <w:t xml:space="preserve">配置不少于1块25G双口以太网卡或更高规格高速网卡，含相应光模块；配置独立IPMI/BMC管理接口。</w:t>
      </w:r>
      <w:r/>
    </w:p>
    <w:p>
      <w:pPr>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（二）软件配置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1、操作系统：ubuntu</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2、推理引擎：vLLm</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3、开源模型：DeepSeek系列模型： V3 671B、R1 671B 、R1-70B、R1-32B、R1-14B、R1-8B、R1-7B；Qwen：70B；llama 405B</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4、数据集管理：平台支持从文件管理选取文件作为数据集进行统一管理，支持用户在基础数据集或者其他数据集版本的基础上创建自定义的数据集版本，支持从数据集导入数据到数据标注工具。</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、开发环境：平台支持快速构建交互式 AI 开发环境，支持使用 Jupyter Notebook、WebShell 等在线交互式开发工具。支持在 0 卡（仅使用 CPU）、单卡、多卡，以及单机/多机等多种算力资源配置下灵活创建开发环境。</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、分布式任务：支持AI模型的多机分布式训练，可提交Tensorflow、Caffe、pytorch、PaddlePaddle框架的分布式训练作业，并支持MPI、PS/Worker、Master/Worker等分布式类型；</w:t>
      </w:r>
      <w:r/>
    </w:p>
    <w:p>
      <w:pPr>
        <w:pStyle w:val="971"/>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四、商务要求</w:t>
      </w: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为保障项目采购的 GPU 算力设备顺利部署并投入实际使用，供应商应提供与设备配套的咨询、安装、调试、培训和维保等服务。</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（一）实施要求</w:t>
      </w:r>
      <w:r/>
    </w:p>
    <w:p>
      <w:pPr>
        <w:ind w:firstLine="560"/>
        <w:spacing w:line="46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1、项目实施方案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现场勘察与计划：合同生效后7个工作日内，乙方应完成机房承重、电力、制冷、网络、存储、机柜空间和信息安全条件核查，向甲方提交实施进度表、设备上架及布线方案、网络与管理地址规划、停机影响控制方案和联系人清单，经甲方确认后实施。</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团队：乙方应配置不少于1名项目经理和2名技术工程师，负责设备到货、上架、连线、加电、操作系统与驱动部署、GPU运行环境配置、AI训练与推理框架安装、模型及数据工具部署和多卡联调。项目经理和技术工程师名单、职责及联系方式应在进场前书面报甲方。</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（3）进度与交付：乙方应在合同生效后30个日历日内完成全部设备到货、安装和基础环境部署；试运行及最终验收按照本章相关要求执行。</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质量与安全：乙方应制定到货核验、安装质量检查、配置复核、数据与账号安全、现场施工安全、故障回退和应急处置措施。实施不得影响甲方正常教学、科研和办公秩序；如需中断网络或停机，应事先取得甲方书面同意。</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（5）实施交付物：至少包括实施方案、设备及序列号清单、网络拓扑图、软硬件配置清单、账号权限交接表、安装部署文档、测试方案与测试记录、问题闭环清单、培训材料和售后服务信息。</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用于评分的可量化优于项：①合同生效后5个工作日内完成现场勘察并提交实施方案；②合同生效后25个日历日内完成全部设备到货、安装和基础环境部署；③现场实施团队不少于1名项目经理和3名技术工程师。</w:t>
      </w:r>
      <w:r/>
    </w:p>
    <w:p>
      <w:pPr>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2、售后服务方案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（1）服务范围：乙方应提供不少于60个月的原厂质保服务，并承担质保期内硬件故障诊断、维修、更换、系统恢复、驱动及配套软件适配和技术支持所需的全部费用；人为不当操作或不可抗力造成的损坏除外。</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响应要求：乙方接到故障通知后12小时内作出有效响应；需要现场处理的，技术人员应在24小时内到达现场；一般故障应在2日内完成修复；重大故障应在7日内解决或提交经甲方认可的明确解决方案。设备连续48小时无法恢复正常运行的，乙方应免费提供性能不低于原设备的备用部件或临时替代设备。</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（3）服务保障：乙方应明确项目售后负责人、技术支持渠道、故障分级和升级机制，提供备品备件保障；质保期内每年至少开展1次设备健康检查，提交检查记录和整改建议。</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（4）用于评分的可量化优于项：①故障通知后6小时内有效响应；②需要现场处理的，12小时内到达现场；③一般故障24小时内完成修复或提供性能不低于原设备的替代设备。</w:t>
      </w:r>
      <w:r/>
    </w:p>
    <w:p>
      <w:pPr>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3、培训方案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培训对象与内容：分别面向平台管理人员和科研使用人员开展培训，内容应覆盖服务器与BMC管理、GPU与驱动环境、开发与推理平台使用、资源调度、模型部署、日常巡检、日志分析、数据与账号安全以及常见故障处理。</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（2）最低培训要求：培训总时长不少于1个工作日、现场培训不少于2场次；乙方应提供中文培训课件、操作手册和常见问题清单，组织实机操作并进行培训效果确认。培训时间和参加人员由甲方确定。</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（3）用于评分的可量化优于项：①培训总时长不少于2个工作日；②现场培训不少于4场次；③项目验收后6个月内再提供不少于2次远程或现场专项培训。</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（二）试运行要求</w:t>
      </w:r>
      <w:r/>
    </w:p>
    <w:p>
      <w:pPr>
        <w:ind w:firstLine="560"/>
        <w:spacing w:line="460" w:lineRule="exact"/>
        <w:rPr>
          <w:rFonts w:hint="eastAsia"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合同签订后，乙方</w:t>
      </w:r>
      <w:r>
        <w:rPr>
          <w:rFonts w:hint="eastAsia" w:ascii="方正仿宋_GBK" w:hAnsi="方正仿宋_GBK" w:eastAsia="方正仿宋_GBK"/>
          <w:color w:val="000000"/>
          <w:sz w:val="28"/>
          <w:highlight w:val="none"/>
          <w:lang w:val="en-US" w:eastAsia="zh-CN"/>
        </w:rPr>
        <w:t xml:space="preserve">应尽快</w:t>
      </w:r>
      <w:r>
        <w:rPr>
          <w:rFonts w:ascii="方正仿宋_GBK" w:hAnsi="方正仿宋_GBK" w:eastAsia="方正仿宋_GBK"/>
          <w:color w:val="000000"/>
          <w:sz w:val="28"/>
          <w:highlight w:val="none"/>
        </w:rPr>
        <w:t xml:space="preserve">完成整机全配置交付，并配合甲方开展硬件一致性核验、系统功能测试、GPU单卡和多卡性能测试、指定模型或任务运行验证以及不少于14×24小时的整机满载稳定性测试。发现问题时，乙方应完成整改并重新测试，直至连续测试达到要求。乙方应提交测试方案、测试脚本及参数、原始日志、测试报告和问题闭环记录</w:t>
      </w:r>
      <w:r>
        <w:rPr>
          <w:rFonts w:hint="eastAsia" w:ascii="方正仿宋_GBK" w:hAnsi="方正仿宋_GBK" w:eastAsia="方正仿宋_GBK"/>
          <w:color w:val="000000"/>
          <w:sz w:val="28"/>
          <w:highlight w:val="none"/>
        </w:rPr>
        <w:t xml:space="preserve">。</w:t>
      </w:r>
      <w:r/>
    </w:p>
    <w:p>
      <w:pPr>
        <w:ind w:firstLine="560"/>
        <w:spacing w:line="460" w:lineRule="exact"/>
        <w:rPr>
          <w:rFonts w:hint="eastAsia" w:ascii="方正仿宋_GBK" w:hAnsi="方正仿宋_GBK" w:eastAsia="方正仿宋_GBK"/>
          <w:color w:val="000000"/>
          <w:sz w:val="28"/>
          <w:highlight w:val="none"/>
        </w:rPr>
      </w:pPr>
      <w:r>
        <w:rPr>
          <w:rFonts w:hint="eastAsia" w:ascii="方正仿宋_GBK" w:hAnsi="方正仿宋_GBK" w:eastAsia="方正仿宋_GBK"/>
          <w:color w:val="000000"/>
          <w:sz w:val="28"/>
          <w:highlight w:val="none"/>
        </w:rPr>
        <w:t xml:space="preserve">用于评分的可量化优于项：①在试运行开始前不少于3个工作日，提交专项试运行及验收计划，明确测试项目、测试方法、进度安排、责任人员及验收材料清单；②在不少于14×24小时的连续试运行期间，每24小时提交不少于1份运行状态汇总报告，至少包括设备运行状态、测试进度、异常情况及处理进展；③对试运行或验收过程中发现的问题，自发现之日起1个工作日内提交书面问题分析及整改计划，明确整改措施、责任人员、预计完成时间和复测安排。</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（三）培训要求：</w:t>
      </w:r>
      <w:r>
        <w:rPr>
          <w:rFonts w:ascii="方正仿宋_GBK" w:hAnsi="方正仿宋_GBK" w:eastAsia="方正仿宋_GBK"/>
          <w:color w:val="000000"/>
          <w:sz w:val="28"/>
          <w:highlight w:val="none"/>
        </w:rPr>
        <w:t xml:space="preserve">培训应符合本章“（一）实施要求”第3项约定。培训完成后，乙方应提交签到记录、培训材料、实机操作记录和培训效果确认材料，作为履约验收内容。</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（四）质保要求：</w:t>
      </w:r>
      <w:r>
        <w:rPr>
          <w:rFonts w:hint="eastAsia" w:ascii="方正仿宋_GBK" w:hAnsi="方正仿宋_GBK" w:eastAsia="方正仿宋_GBK" w:cs="方正仿宋_GBK"/>
          <w:bCs/>
          <w:color w:val="000000"/>
          <w:sz w:val="28"/>
          <w:szCs w:val="28"/>
          <w:highlight w:val="none"/>
        </w:rPr>
        <w:t xml:space="preserve">供应商须提供不少于</w:t>
      </w:r>
      <w:r>
        <w:rPr>
          <w:rFonts w:hint="default" w:ascii="方正仿宋_GBK" w:hAnsi="方正仿宋_GBK" w:eastAsia="方正仿宋_GBK" w:cs="方正仿宋_GBK"/>
          <w:bCs/>
          <w:color w:val="000000"/>
          <w:sz w:val="28"/>
          <w:szCs w:val="28"/>
          <w:highlight w:val="none"/>
          <w:lang w:val="en-US"/>
        </w:rPr>
        <w:t xml:space="preserve">5</w:t>
      </w:r>
      <w:r>
        <w:rPr>
          <w:rFonts w:hint="eastAsia" w:ascii="方正仿宋_GBK" w:hAnsi="方正仿宋_GBK" w:eastAsia="方正仿宋_GBK" w:cs="方正仿宋_GBK"/>
          <w:bCs/>
          <w:color w:val="000000"/>
          <w:sz w:val="28"/>
          <w:szCs w:val="28"/>
          <w:highlight w:val="none"/>
        </w:rPr>
        <w:t xml:space="preserve">年原厂质保服务，保障设备故障处理、维修更换和技术支持。项目交付应以设备能够支撑采购方指定训练、推理或科研任务正常运行作为标准，不得仅以设备到货或开机作为交付完成依据。</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（五）验收标准</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硬件一致性验收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供货方交付的GPU服务器品</w:t>
      </w:r>
      <w:r>
        <w:rPr>
          <w:rFonts w:hint="eastAsia" w:ascii="方正仿宋_GBK" w:hAnsi="方正仿宋_GBK" w:eastAsia="方正仿宋_GBK" w:cs="方正仿宋_GBK"/>
          <w:bCs/>
          <w:color w:val="000000"/>
          <w:sz w:val="28"/>
          <w:szCs w:val="28"/>
          <w:highlight w:val="none"/>
        </w:rPr>
        <w:t xml:space="preserve">牌、型号、CPU、内存、硬盘、GPU型号、GPU数量、显存容量、网卡、电源、导轨及配件应与合同、技术规格书及投标响应文件完全一致。投标人须提供服务器平台支持8张同型号GPU满配运行的产品规格说明、供电与散热能力说明或原厂证明材料。验收时应检查整机GPU安装位、PCIe槽位/转接板、GPU供电线缆、电源容量、风扇模组及散热风道是否已按8卡扩展条件配置或预留。若后续扩展至8张GPU需更换机箱、主板、电源、散热系统或主要结构件，则视为不满足本项技术要求。若存在型号不一致、配置缩水、翻新件或二手件，采购方有权拒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 基础功能验收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服务器应能够正常开机、进入操作系统，所有CPU、内存、硬盘、网卡、GPU均能被系统正确识别。BMC远程管理功能、系统日志、硬件监控、风扇、电源冗余、温度传感器应运行正常。</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 GPU性能验收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每张GPU应通过单卡计算测试、显存测试、显存带宽测试、多卡通信测试及压力测试。GPU理论算力、显存容量、互联能力应不低于合同约定。实测性能应达到双方确认基准值的合理比例，一般建议不低于参考基准的95％。</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 稳定性验收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整机应在所有GPU满载状态下连续稳定运行不少于14x24小时，运行期间不得出现宕机、重启、GPU掉卡、程序因GPU卡自身问题崩溃、驱动崩溃、不可纠正ECC错误、严重温度告警或电源异常。</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 AI框架验收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供货方应完成指定AI框架和运行环境部署，包括但不限于PyTorch、TensorFlow、CUDA/cuDNN/TensorRT或国产卡对应的CANN、MACA、NeuWare、MUSA等。应至少完成一个指定大模型或深度学习模型的推理、训练样例运行。</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 文档与服务验收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供货方应提交完整的设备清单、安装部署文档、测试报告、网络拓扑图、账号密码交接文件、保修承诺及售后服务联系人。未提交完整文档的，视为交付不完整。</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上述验收必须全部通过才能视为验收完成。</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（六）质保期及履约保证金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1、免费质保期</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自项目验收合格之日起，不少于60个月。(无质保要求的“/”表示)</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乙方于本合同签订前向甲方交纳人民币</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元（合同价的10%）作为本合同的履约保证金。</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自甲方最终书面确认验收合格，且乙方向甲方提出退还履约保证金书面申请之日起</w:t>
      </w:r>
      <w:r>
        <w:rPr>
          <w:rFonts w:ascii="Times New Roman" w:hAnsi="Times New Roman" w:eastAsia="Times New Roman" w:cs="Times New Roman"/>
          <w:color w:val="000000"/>
          <w:sz w:val="32"/>
        </w:rPr>
        <w:t xml:space="preserve">30</w:t>
      </w:r>
      <w:r>
        <w:rPr>
          <w:rFonts w:ascii="FangSong" w:hAnsi="FangSong" w:eastAsia="FangSong" w:cs="FangSong"/>
          <w:color w:val="000000"/>
          <w:sz w:val="32"/>
        </w:rPr>
        <w:t xml:space="preserve">个工作日内退还乙方履约保证金，乙方若有违约情形或产品存在质量问题的，乙方应向甲方承担违约金或质量赔偿金</w:t>
      </w:r>
      <w:r>
        <w:t xml:space="preserve">。</w:t>
      </w:r>
      <w:r>
        <w:rPr>
          <w:sz w:val="21"/>
        </w:rPr>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（七）付款方式</w:t>
      </w:r>
      <w:r/>
    </w:p>
    <w:p>
      <w:pPr>
        <w:ind w:firstLine="560"/>
        <w:spacing w:line="460" w:lineRule="exact"/>
        <w:rPr>
          <w:rFonts w:hint="eastAsia" w:ascii="方正仿宋_GBK" w:hAnsi="方正仿宋_GBK" w:eastAsia="方正仿宋_GBK" w:cs="方正仿宋_GBK"/>
          <w:bCs/>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p>
    <w:p>
      <w:pPr>
        <w:ind w:firstLine="560"/>
        <w:spacing w:line="460" w:lineRule="exact"/>
        <w:rPr>
          <w:rFonts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八</w:t>
      </w: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业绩</w:t>
      </w:r>
      <w:r/>
    </w:p>
    <w:p>
      <w:pPr>
        <w:ind w:firstLine="560"/>
        <w:spacing w:line="460" w:lineRule="exact"/>
        <w:rPr>
          <w:rFonts w:hint="eastAsia" w:ascii="方正仿宋_GBK" w:hAnsi="方正仿宋_GBK" w:eastAsia="方正仿宋_GBK" w:cs="方正仿宋_GBK"/>
          <w:bCs/>
          <w:color w:val="000000"/>
          <w:sz w:val="28"/>
          <w:szCs w:val="28"/>
          <w:highlight w:val="none"/>
          <w:lang w:eastAsia="zh-CN"/>
        </w:rPr>
      </w:pPr>
      <w:r>
        <w:rPr>
          <w:rFonts w:ascii="方正仿宋_GBK" w:hAnsi="方正仿宋_GBK" w:eastAsia="方正仿宋_GBK"/>
          <w:color w:val="000000"/>
          <w:sz w:val="28"/>
          <w:highlight w:val="none"/>
        </w:rPr>
        <w:t xml:space="preserve">投标人</w:t>
      </w:r>
      <w:r>
        <w:rPr>
          <w:rFonts w:hint="eastAsia" w:ascii="方正仿宋_GBK" w:hAnsi="方正仿宋_GBK" w:eastAsia="方正仿宋_GBK"/>
          <w:color w:val="000000"/>
          <w:sz w:val="28"/>
          <w:highlight w:val="none"/>
          <w:lang w:val="en-US" w:eastAsia="zh-CN"/>
        </w:rPr>
        <w:t xml:space="preserve">承担过</w:t>
      </w:r>
      <w:r>
        <w:rPr>
          <w:rFonts w:ascii="方正仿宋_GBK" w:hAnsi="方正仿宋_GBK" w:eastAsia="方正仿宋_GBK"/>
          <w:color w:val="000000"/>
          <w:sz w:val="28"/>
          <w:highlight w:val="none"/>
        </w:rPr>
        <w:t xml:space="preserve">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hint="eastAsia" w:ascii="方正仿宋_GBK" w:hAnsi="方正仿宋_GBK" w:eastAsia="方正仿宋_GBK"/>
          <w:color w:val="000000"/>
          <w:sz w:val="28"/>
          <w:highlight w:val="none"/>
          <w:lang w:eastAsia="zh-CN"/>
        </w:rPr>
        <w:t xml:space="preserve">。</w:t>
      </w:r>
      <w:r/>
    </w:p>
    <w:p>
      <w:pPr>
        <w:pStyle w:val="971"/>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五、其他要求</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1.项目属性:货物类项目。</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2.核心产品</w:t>
      </w:r>
      <w:r/>
    </w:p>
    <w:tbl>
      <w:tblPr>
        <w:tblStyle w:val="79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p>
        </w:tc>
        <w:tc>
          <w:tcPr>
            <w:tcW w:w="336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w:t>
            </w:r>
            <w:r/>
          </w:p>
        </w:tc>
      </w:tr>
      <w:tr>
        <w:trPr/>
        <w:tc>
          <w:tcPr>
            <w:tcW w:w="168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369" w:type="dxa"/>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服务器</w:t>
            </w:r>
            <w:r/>
          </w:p>
        </w:tc>
      </w:tr>
    </w:tbl>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3.进口产品投标</w:t>
      </w:r>
      <w:r/>
    </w:p>
    <w:tbl>
      <w:tblPr>
        <w:tblStyle w:val="79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76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是否接受进口产品投标</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w:t>
            </w:r>
            <w:r/>
          </w:p>
        </w:tc>
      </w:tr>
      <w:tr>
        <w:trPr/>
        <w:tc>
          <w:tcPr>
            <w:tcW w:w="130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76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w:t>
            </w:r>
            <w:r/>
          </w:p>
        </w:tc>
      </w:tr>
    </w:tbl>
    <w:p>
      <w:pPr>
        <w:spacing w:line="400" w:lineRule="exact"/>
        <w:rPr>
          <w:rFonts w:hint="eastAsia" w:ascii="宋体" w:hAnsi="宋体"/>
          <w:color w:val="000000"/>
          <w:sz w:val="24"/>
          <w:szCs w:val="24"/>
          <w:highlight w:val="none"/>
        </w:rPr>
      </w:pPr>
      <w:r/>
      <w:bookmarkStart w:id="61" w:name="_Toc120614281"/>
      <w:r/>
      <w:r/>
    </w:p>
    <w:p>
      <w:pPr>
        <w:spacing w:line="400" w:lineRule="exact"/>
        <w:rPr>
          <w:color w:val="000000"/>
          <w:highlight w:val="none"/>
        </w:rPr>
      </w:pPr>
      <w:r>
        <w:rPr>
          <w:color w:val="000000"/>
          <w:highlight w:val="none"/>
        </w:rPr>
      </w:r>
      <w:r/>
    </w:p>
    <w:p>
      <w:pPr>
        <w:spacing w:line="400" w:lineRule="exact"/>
        <w:rPr>
          <w:color w:val="000000"/>
          <w:highlight w:val="none"/>
        </w:rPr>
      </w:pPr>
      <w:r>
        <w:rPr>
          <w:color w:val="000000"/>
          <w:highlight w:val="none"/>
        </w:rPr>
      </w:r>
      <w:r/>
    </w:p>
    <w:p>
      <w:pPr>
        <w:pStyle w:val="971"/>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第五章  评标方法与评标标准</w:t>
      </w:r>
      <w:r/>
    </w:p>
    <w:p>
      <w:pPr>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p>
    <w:tbl>
      <w:tblPr>
        <w:tblStyle w:val="799"/>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p>
        </w:tc>
        <w:tc>
          <w:tcPr>
            <w:tcW w:w="218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p>
        </w:tc>
        <w:tc>
          <w:tcPr>
            <w:tcW w:w="5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p>
        </w:tc>
      </w:tr>
      <w:tr>
        <w:trPr/>
        <w:tc>
          <w:tcPr>
            <w:tcW w:w="167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18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5063" w:type="dxa"/>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p>
        </w:tc>
      </w:tr>
    </w:tbl>
    <w:p>
      <w:pPr>
        <w:ind w:firstLine="560"/>
        <w:jc w:val="left"/>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p>
    <w:p>
      <w:pPr>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p>
    <w:p>
      <w:pPr>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p>
    <w:tbl>
      <w:tblPr>
        <w:tblStyle w:val="799"/>
        <w:tblW w:w="9408" w:type="dxa"/>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979"/>
        <w:gridCol w:w="1334"/>
        <w:gridCol w:w="886"/>
        <w:gridCol w:w="62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b/>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评分标准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投标最低报价为评标基准价</w:t>
            </w:r>
            <w:r>
              <w:rPr>
                <w:rFonts w:hint="eastAsia" w:ascii="方正仿宋_GBK" w:hAnsi="方正仿宋_GBK" w:eastAsia="方正仿宋_GBK" w:cs="方正仿宋_GBK"/>
                <w:color w:val="000000"/>
                <w:sz w:val="28"/>
                <w:szCs w:val="32"/>
                <w:highlight w:val="none"/>
              </w:rPr>
              <w:t xml:space="preserve">：满足招标文件要求且投标价格最低的投标报价为评标基准价，其价格分为满分。其他投标人的价格分统一按照下列公式计算：投标报价得分=(评标基准价/投标报价)×60。</w:t>
            </w:r>
            <w:r/>
          </w:p>
        </w:tc>
      </w:tr>
      <w:tr>
        <w:trPr>
          <w:jc w:val="center"/>
          <w:trHeight w:val="378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rPr>
              <w:t xml:space="preserve">2.1</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20分</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根据“第四章 采购需求 三、技术要求”中未加斜体下划线部分的技术参数要求进行打分</w:t>
            </w:r>
            <w:r>
              <w:rPr>
                <w:rFonts w:hint="eastAsia" w:ascii="方正仿宋_GBK" w:hAnsi="方正仿宋_GBK" w:eastAsia="方正仿宋_GBK" w:cs="方正仿宋_GBK"/>
                <w:color w:val="000000"/>
                <w:sz w:val="28"/>
                <w:szCs w:val="32"/>
                <w:highlight w:val="none"/>
              </w:rPr>
              <w:t xml:space="preserve">，</w:t>
            </w:r>
            <w:r>
              <w:rPr>
                <w:rFonts w:hint="eastAsia" w:ascii="方正仿宋_GBK" w:hAnsi="方正仿宋_GBK" w:eastAsia="方正仿宋_GBK" w:cs="方正仿宋_GBK"/>
                <w:color w:val="000000"/>
                <w:sz w:val="28"/>
                <w:szCs w:val="32"/>
                <w:highlight w:val="none"/>
                <w:u w:val="single"/>
              </w:rPr>
              <w:t xml:space="preserve">共</w:t>
            </w:r>
            <w:r>
              <w:rPr>
                <w:rFonts w:hint="eastAsia" w:ascii="方正仿宋_GBK" w:hAnsi="方正仿宋_GBK" w:eastAsia="方正仿宋_GBK" w:cs="方正仿宋_GBK"/>
                <w:color w:val="000000"/>
                <w:sz w:val="28"/>
                <w:szCs w:val="32"/>
                <w:highlight w:val="none"/>
                <w:u w:val="single"/>
                <w:lang w:val="en-US" w:eastAsia="zh-CN"/>
              </w:rPr>
              <w:t xml:space="preserve">1</w:t>
            </w:r>
            <w:r>
              <w:rPr>
                <w:rFonts w:hint="eastAsia" w:ascii="方正仿宋_GBK" w:hAnsi="方正仿宋_GBK" w:eastAsia="方正仿宋_GBK" w:cs="方正仿宋_GBK"/>
                <w:color w:val="000000"/>
                <w:sz w:val="28"/>
                <w:szCs w:val="32"/>
                <w:highlight w:val="none"/>
                <w:u w:val="single"/>
              </w:rPr>
              <w:t xml:space="preserve">0项</w:t>
            </w:r>
            <w:r>
              <w:rPr>
                <w:rFonts w:hint="eastAsia" w:ascii="方正仿宋_GBK" w:hAnsi="方正仿宋_GBK" w:eastAsia="方正仿宋_GBK" w:cs="方正仿宋_GBK"/>
                <w:color w:val="000000"/>
                <w:sz w:val="28"/>
                <w:szCs w:val="32"/>
                <w:highlight w:val="none"/>
                <w:lang w:eastAsia="zh-CN"/>
              </w:rPr>
              <w:t xml:space="preserve">（</w:t>
            </w:r>
            <w:r>
              <w:rPr>
                <w:rFonts w:ascii="方正仿宋_GBK" w:hAnsi="方正仿宋_GBK" w:eastAsia="方正仿宋_GBK"/>
                <w:color w:val="000000"/>
                <w:sz w:val="28"/>
                <w:highlight w:val="none"/>
              </w:rPr>
              <w:t xml:space="preserve">硬件配置第1、5、6、7项，软件配置第1至</w:t>
            </w:r>
            <w:r>
              <w:rPr>
                <w:rFonts w:hint="eastAsia" w:ascii="方正仿宋_GBK" w:hAnsi="方正仿宋_GBK" w:eastAsia="方正仿宋_GBK"/>
                <w:color w:val="000000"/>
                <w:sz w:val="28"/>
                <w:highlight w:val="none"/>
              </w:rPr>
              <w:t xml:space="preserve">6</w:t>
            </w:r>
            <w:r>
              <w:rPr>
                <w:rFonts w:ascii="方正仿宋_GBK" w:hAnsi="方正仿宋_GBK" w:eastAsia="方正仿宋_GBK"/>
                <w:color w:val="000000"/>
                <w:sz w:val="28"/>
                <w:highlight w:val="none"/>
              </w:rPr>
              <w:t xml:space="preserve">项</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rPr>
              <w:t xml:space="preserve">每一条不满足或负偏离的扣</w:t>
            </w:r>
            <w:r>
              <w:rPr>
                <w:rFonts w:hint="eastAsia" w:ascii="方正仿宋_GBK" w:hAnsi="方正仿宋_GBK" w:eastAsia="方正仿宋_GBK" w:cs="方正仿宋_GBK"/>
                <w:color w:val="000000"/>
                <w:sz w:val="28"/>
                <w:szCs w:val="32"/>
                <w:highlight w:val="none"/>
                <w:lang w:val="en-US" w:eastAsia="zh-CN"/>
              </w:rPr>
              <w:t xml:space="preserve">2</w:t>
            </w:r>
            <w:r>
              <w:rPr>
                <w:rFonts w:hint="eastAsia" w:ascii="方正仿宋_GBK" w:hAnsi="方正仿宋_GBK" w:eastAsia="方正仿宋_GBK" w:cs="方正仿宋_GBK"/>
                <w:color w:val="000000"/>
                <w:sz w:val="28"/>
                <w:szCs w:val="32"/>
                <w:highlight w:val="none"/>
              </w:rPr>
              <w:t xml:space="preserve">分，满分20分，扣完为止</w:t>
            </w:r>
            <w:r>
              <w:rPr>
                <w:rFonts w:hint="eastAsia" w:ascii="方正仿宋_GBK" w:hAnsi="方正仿宋_GBK" w:eastAsia="方正仿宋_GBK" w:cs="方正仿宋_GBK"/>
                <w:color w:val="000000"/>
                <w:sz w:val="28"/>
                <w:szCs w:val="32"/>
                <w:highlight w:val="none"/>
                <w:lang w:eastAsia="zh-CN"/>
              </w:rPr>
              <w:t xml:space="preserve">。</w:t>
            </w:r>
            <w:r/>
          </w:p>
          <w:p>
            <w:pPr>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lang w:val="en-US" w:eastAsia="zh-CN"/>
              </w:rPr>
              <w:t xml:space="preserve">注：</w:t>
            </w:r>
            <w:r>
              <w:rPr>
                <w:rFonts w:hint="eastAsia" w:ascii="方正仿宋_GBK" w:hAnsi="方正仿宋_GBK" w:eastAsia="方正仿宋_GBK" w:cs="方正仿宋_GBK"/>
                <w:color w:val="000000"/>
                <w:sz w:val="28"/>
                <w:szCs w:val="32"/>
                <w:highlight w:val="none"/>
              </w:rPr>
              <w:t xml:space="preserve">投标人应在《技术要求响应及偏离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有资质的第三方出具的检验报告等材料为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3.1项目实施方案（4分） </w:t>
            </w:r>
            <w:r/>
          </w:p>
          <w:p>
            <w:pPr>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投标人应根据招标文件的采购内容，提供具体、可行的项目实施方案。</w:t>
            </w:r>
            <w:r>
              <w:rPr>
                <w:rFonts w:ascii="方正仿宋_GBK" w:hAnsi="方正仿宋_GBK" w:eastAsia="方正仿宋_GBK"/>
                <w:color w:val="000000"/>
                <w:sz w:val="28"/>
                <w:highlight w:val="none"/>
              </w:rPr>
              <w:t xml:space="preserve">评委根据投标文件对第四章“采购需求”中“项目实施方案”的响应情况进行评审。</w:t>
            </w:r>
            <w:r/>
          </w:p>
          <w:p>
            <w:pPr>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（1）经评委认定，投标文件对“项目实施方案”中以下三项响应全部</w:t>
            </w:r>
            <w:r>
              <w:rPr>
                <w:rFonts w:hint="eastAsia" w:ascii="方正仿宋_GBK" w:hAnsi="方正仿宋_GBK" w:eastAsia="方正仿宋_GBK"/>
                <w:color w:val="000000"/>
                <w:sz w:val="28"/>
                <w:highlight w:val="none"/>
                <w:lang w:val="en-US" w:eastAsia="zh-CN"/>
              </w:rPr>
              <w:t xml:space="preserve">优于招标文件要求</w:t>
            </w:r>
            <w:r>
              <w:rPr>
                <w:rFonts w:ascii="方正仿宋_GBK" w:hAnsi="方正仿宋_GBK" w:eastAsia="方正仿宋_GBK"/>
                <w:color w:val="000000"/>
                <w:sz w:val="28"/>
                <w:highlight w:val="none"/>
              </w:rPr>
              <w:t xml:space="preserve">，且其他要求全部符合的，得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s="Times New Roman"/>
                <w:color w:val="000000"/>
                <w:sz w:val="28"/>
                <w:highlight w:val="none"/>
              </w:rPr>
              <w:t xml:space="preserve">分：①合同生效后</w:t>
            </w:r>
            <w:r>
              <w:rPr>
                <w:rFonts w:hint="eastAsia" w:ascii="方正仿宋_GBK" w:hAnsi="方正仿宋_GBK" w:eastAsia="方正仿宋_GBK" w:cs="Times New Roman"/>
                <w:color w:val="000000"/>
                <w:sz w:val="28"/>
                <w:highlight w:val="none"/>
                <w:lang w:val="en-US" w:eastAsia="zh-CN"/>
              </w:rPr>
              <w:t xml:space="preserve">5</w:t>
            </w:r>
            <w:r>
              <w:rPr>
                <w:rFonts w:ascii="方正仿宋_GBK" w:hAnsi="方正仿宋_GBK" w:eastAsia="方正仿宋_GBK" w:cs="Times New Roman"/>
                <w:color w:val="000000"/>
                <w:sz w:val="28"/>
                <w:highlight w:val="none"/>
              </w:rPr>
              <w:t xml:space="preserve">个工作日内完成现场勘察</w:t>
            </w:r>
            <w:r>
              <w:rPr>
                <w:rFonts w:hint="default" w:ascii="方正仿宋_GBK" w:hAnsi="方正仿宋_GBK" w:eastAsia="方正仿宋_GBK" w:cs="Times New Roman"/>
                <w:color w:val="000000"/>
                <w:sz w:val="28"/>
                <w:highlight w:val="none"/>
              </w:rPr>
              <w:t xml:space="preserve">并提交实施方案</w:t>
            </w:r>
            <w:r>
              <w:rPr>
                <w:rFonts w:hint="eastAsia" w:ascii="方正仿宋_GBK" w:hAnsi="方正仿宋_GBK" w:eastAsia="方正仿宋_GBK" w:cs="Times New Roman"/>
                <w:color w:val="000000"/>
                <w:sz w:val="28"/>
                <w:highlight w:val="none"/>
              </w:rPr>
              <w:t xml:space="preserve">；</w:t>
            </w:r>
            <w:r>
              <w:rPr>
                <w:rFonts w:ascii="方正仿宋_GBK" w:hAnsi="方正仿宋_GBK" w:eastAsia="方正仿宋_GBK" w:cs="Times New Roman"/>
                <w:color w:val="000000"/>
                <w:sz w:val="28"/>
                <w:highlight w:val="none"/>
              </w:rPr>
              <w:t xml:space="preserve">②合同生效后25个日历日内完成全部设备到货、安装和基础环境部署；③现场实施团队</w:t>
            </w:r>
            <w:r>
              <w:rPr>
                <w:rFonts w:hint="default" w:ascii="方正仿宋_GBK" w:hAnsi="方正仿宋_GBK" w:eastAsia="方正仿宋_GBK" w:cs="Times New Roman"/>
                <w:color w:val="000000"/>
                <w:sz w:val="28"/>
                <w:highlight w:val="none"/>
              </w:rPr>
              <w:t xml:space="preserve">不少于</w:t>
            </w:r>
            <w:r>
              <w:rPr>
                <w:rFonts w:ascii="方正仿宋_GBK" w:hAnsi="方正仿宋_GBK" w:eastAsia="方正仿宋_GBK" w:cs="Times New Roman"/>
                <w:color w:val="000000"/>
                <w:sz w:val="28"/>
                <w:highlight w:val="none"/>
              </w:rPr>
              <w:t xml:space="preserve">1名项目经理和3名技术工程师。</w:t>
            </w:r>
            <w:r/>
          </w:p>
          <w:p>
            <w:pPr>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（2）投标文件符合“项目实施方案”全部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s="Times New Roman"/>
                <w:color w:val="000000"/>
                <w:sz w:val="28"/>
                <w:highlight w:val="none"/>
              </w:rPr>
              <w:t xml:space="preserve">要求的</w:t>
            </w:r>
            <w:r>
              <w:rPr>
                <w:rFonts w:hint="eastAsia" w:ascii="方正仿宋_GBK" w:hAnsi="方正仿宋_GBK" w:eastAsia="方正仿宋_GBK" w:cs="Times New Roman"/>
                <w:color w:val="000000"/>
                <w:sz w:val="28"/>
                <w:highlight w:val="none"/>
                <w:lang w:val="en-US" w:eastAsia="zh-CN"/>
              </w:rPr>
              <w:t xml:space="preserve">，</w:t>
            </w:r>
            <w:r>
              <w:rPr>
                <w:rFonts w:hint="eastAsia" w:ascii="方正仿宋_GBK" w:hAnsi="方正仿宋_GBK" w:eastAsia="方正仿宋_GBK" w:cs="Times New Roman"/>
                <w:color w:val="000000"/>
                <w:sz w:val="28"/>
                <w:highlight w:val="none"/>
              </w:rPr>
              <w:t xml:space="preserve">视为符合招标文件，本项得3分。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color w:val="000000"/>
                <w:highlight w:val="none"/>
              </w:rPr>
              <w:t xml:space="preserve">，</w:t>
            </w:r>
            <w:r>
              <w:rPr>
                <w:rFonts w:hint="eastAsia" w:ascii="方正仿宋_GBK" w:hAnsi="方正仿宋_GBK" w:eastAsia="方正仿宋_GBK" w:cs="Times New Roman"/>
                <w:color w:val="000000"/>
                <w:sz w:val="28"/>
                <w:highlight w:val="none"/>
              </w:rPr>
              <w:t xml:space="preserve">视为不符合招标文件，本项得0分。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售后服务及培训方案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4.1售后服务方案（3分） </w:t>
            </w:r>
            <w:r/>
          </w:p>
          <w:p>
            <w:pPr>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投标人应根据本项目特点，提供完整、可操作的售后服务及培训方案。</w:t>
            </w:r>
            <w:r>
              <w:rPr>
                <w:rFonts w:ascii="方正仿宋_GBK" w:hAnsi="方正仿宋_GBK" w:eastAsia="方正仿宋_GBK"/>
                <w:color w:val="000000"/>
                <w:sz w:val="28"/>
                <w:highlight w:val="none"/>
              </w:rPr>
              <w:t xml:space="preserve">评委根据投标文件对第四章“采购需求”中“售后服务方案”的响应情况进行评审。</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w:t>
            </w:r>
            <w:r>
              <w:rPr>
                <w:rFonts w:hint="eastAsia" w:ascii="方正仿宋_GBK" w:hAnsi="方正仿宋_GBK" w:eastAsia="方正仿宋_GBK"/>
                <w:color w:val="000000"/>
                <w:sz w:val="28"/>
                <w:highlight w:val="none"/>
                <w:lang w:val="en-US" w:eastAsia="zh-CN"/>
              </w:rPr>
              <w:t xml:space="preserve">优于招标文件要求</w:t>
            </w:r>
            <w:r>
              <w:rPr>
                <w:rFonts w:ascii="方正仿宋_GBK" w:hAnsi="方正仿宋_GBK" w:eastAsia="方正仿宋_GBK"/>
                <w:color w:val="000000"/>
                <w:sz w:val="28"/>
                <w:highlight w:val="none"/>
              </w:rPr>
              <w:t xml:space="preserve">，且售后服务方案其他要求全部符合的，得3分：①故障通知后</w:t>
            </w:r>
            <w:r>
              <w:rPr>
                <w:rFonts w:hint="default" w:ascii="方正仿宋_GBK" w:hAnsi="方正仿宋_GBK" w:eastAsia="方正仿宋_GBK"/>
                <w:color w:val="000000"/>
                <w:sz w:val="28"/>
                <w:highlight w:val="none"/>
              </w:rPr>
              <w:t xml:space="preserve">6小时内</w:t>
            </w:r>
            <w:r>
              <w:rPr>
                <w:rFonts w:ascii="方正仿宋_GBK" w:hAnsi="方正仿宋_GBK" w:eastAsia="方正仿宋_GBK"/>
                <w:color w:val="000000"/>
                <w:sz w:val="28"/>
                <w:highlight w:val="none"/>
              </w:rPr>
              <w:t xml:space="preserve">有效响应；②需要现场处理的，</w:t>
            </w:r>
            <w:r>
              <w:rPr>
                <w:rFonts w:hint="default" w:ascii="方正仿宋_GBK" w:hAnsi="方正仿宋_GBK" w:eastAsia="方正仿宋_GBK"/>
                <w:color w:val="000000"/>
                <w:sz w:val="28"/>
                <w:highlight w:val="none"/>
              </w:rPr>
              <w:t xml:space="preserve">12小时内</w:t>
            </w:r>
            <w:r>
              <w:rPr>
                <w:rFonts w:ascii="方正仿宋_GBK" w:hAnsi="方正仿宋_GBK" w:eastAsia="方正仿宋_GBK"/>
                <w:color w:val="000000"/>
                <w:sz w:val="28"/>
                <w:highlight w:val="none"/>
              </w:rPr>
              <w:t xml:space="preserve">到达现场；③一般故障24小时内完成修复或提供性能不低于原设备的替代设备。</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p>
            <w:pPr>
              <w:jc w:val="left"/>
              <w:keepLines w:val="0"/>
              <w:keepNext w:val="0"/>
              <w:pageBreakBefore w:val="0"/>
              <w:spacing w:line="360" w:lineRule="exact"/>
              <w:widowControl w:val="off"/>
              <w:rPr>
                <w:rFonts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4.2培训方案（3分）</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p>
          <w:p>
            <w:pPr>
              <w:numPr>
                <w:ilvl w:val="-1"/>
                <w:numId w:val="0"/>
              </w:numPr>
              <w:jc w:val="left"/>
              <w:keepLines w:val="0"/>
              <w:keepNext w:val="0"/>
              <w:pageBreakBefore w:val="0"/>
              <w:spacing w:line="360" w:lineRule="exact"/>
              <w:widowControl w:val="off"/>
              <w:rPr>
                <w:color w:val="000000"/>
                <w:highlight w:val="none"/>
              </w:rPr>
            </w:pPr>
            <w:r>
              <w:rPr>
                <w:rFonts w:hint="default" w:ascii="方正仿宋_GBK" w:hAnsi="方正仿宋_GBK" w:eastAsia="方正仿宋_GBK"/>
                <w:color w:val="000000"/>
                <w:sz w:val="28"/>
                <w:highlight w:val="none"/>
                <w:lang w:val="en-US" w:eastAsia="zh-CN"/>
              </w:rPr>
              <w:t xml:space="preserve">（1）</w:t>
            </w:r>
            <w:r>
              <w:rPr>
                <w:rFonts w:ascii="方正仿宋_GBK" w:hAnsi="方正仿宋_GBK" w:eastAsia="方正仿宋_GBK"/>
                <w:color w:val="000000"/>
                <w:sz w:val="28"/>
                <w:highlight w:val="none"/>
              </w:rPr>
              <w:t xml:space="preserve">经评委认定，投标文件对以下三项响应全部</w:t>
            </w:r>
            <w:r>
              <w:rPr>
                <w:rFonts w:hint="eastAsia" w:ascii="方正仿宋_GBK" w:hAnsi="方正仿宋_GBK" w:eastAsia="方正仿宋_GBK"/>
                <w:color w:val="000000"/>
                <w:sz w:val="28"/>
                <w:highlight w:val="none"/>
                <w:lang w:val="en-US" w:eastAsia="zh-CN"/>
              </w:rPr>
              <w:t xml:space="preserve">优于招标文件要求</w:t>
            </w:r>
            <w:r>
              <w:rPr>
                <w:rFonts w:ascii="方正仿宋_GBK" w:hAnsi="方正仿宋_GBK" w:eastAsia="方正仿宋_GBK"/>
                <w:color w:val="000000"/>
                <w:sz w:val="28"/>
                <w:highlight w:val="none"/>
              </w:rPr>
              <w:t xml:space="preserve">，且培训方案其他要求全部符合的，得3分：①培训总时长不少于2个工作日；②现场培训不少于4场次；③项目验收后6个月内再提供不少于2次远程或现场专项培训。</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试运行及验收保障方案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eastAsia="zh-CN"/>
              </w:rPr>
            </w:pPr>
            <w:r>
              <w:rPr>
                <w:rFonts w:hint="eastAsia" w:ascii="方正仿宋_GBK" w:hAnsi="方正仿宋_GBK" w:eastAsia="方正仿宋_GBK"/>
                <w:color w:val="000000"/>
                <w:sz w:val="28"/>
                <w:highlight w:val="none"/>
                <w:lang w:val="en-US" w:eastAsia="zh-CN"/>
              </w:rPr>
              <w:t xml:space="preserve">5.1</w:t>
            </w: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4分</w:t>
            </w:r>
            <w:r>
              <w:rPr>
                <w:rFonts w:hint="eastAsia" w:ascii="方正仿宋_GBK" w:hAnsi="方正仿宋_GBK" w:eastAsia="方正仿宋_GBK"/>
                <w:color w:val="000000"/>
                <w:sz w:val="28"/>
                <w:highlight w:val="none"/>
                <w:lang w:eastAsia="zh-CN"/>
              </w:rPr>
              <w:t xml:space="preserve">）</w:t>
            </w:r>
            <w:r/>
          </w:p>
          <w:p>
            <w:pPr>
              <w:jc w:val="left"/>
              <w:keepLines w:val="0"/>
              <w:keepNext w:val="0"/>
              <w:pageBreakBefore w:val="0"/>
              <w:spacing w:line="360" w:lineRule="exact"/>
              <w:widowControl w:val="off"/>
              <w:rPr>
                <w:rFonts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评委根据投标文件对第四章“采购需求”中“（二）试运行要求”和“（五）验收标准”的响应情况进行评审。</w:t>
            </w:r>
            <w:r/>
          </w:p>
          <w:p>
            <w:pPr>
              <w:jc w:val="left"/>
              <w:keepLines w:val="0"/>
              <w:keepNext w:val="0"/>
              <w:pageBreakBefore w:val="0"/>
              <w:spacing w:line="360" w:lineRule="exact"/>
              <w:widowControl w:val="off"/>
              <w:rPr>
                <w:rFonts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（1）经评委认定，投标文件（二）试运行要求”和“（五）验收标准”</w:t>
            </w:r>
            <w:r>
              <w:rPr>
                <w:rFonts w:hint="eastAsia" w:ascii="方正仿宋_GBK" w:hAnsi="方正仿宋_GBK" w:eastAsia="方正仿宋_GBK"/>
                <w:color w:val="000000"/>
                <w:sz w:val="28"/>
                <w:highlight w:val="none"/>
                <w:lang w:val="en-US" w:eastAsia="zh-CN"/>
              </w:rPr>
              <w:t xml:space="preserve">中的以下</w:t>
            </w:r>
            <w:r>
              <w:rPr>
                <w:rFonts w:ascii="方正仿宋_GBK" w:hAnsi="方正仿宋_GBK" w:eastAsia="方正仿宋_GBK"/>
                <w:color w:val="000000"/>
                <w:sz w:val="28"/>
                <w:highlight w:val="none"/>
              </w:rPr>
              <w:t xml:space="preserve">三项</w:t>
            </w:r>
            <w:r>
              <w:rPr>
                <w:rFonts w:hint="eastAsia" w:ascii="方正仿宋_GBK" w:hAnsi="方正仿宋_GBK" w:eastAsia="方正仿宋_GBK"/>
                <w:color w:val="000000"/>
                <w:sz w:val="28"/>
                <w:highlight w:val="none"/>
                <w:lang w:val="en-US" w:eastAsia="zh-CN"/>
              </w:rPr>
              <w:t xml:space="preserve">全部</w:t>
            </w:r>
            <w:r>
              <w:rPr>
                <w:rFonts w:ascii="方正仿宋_GBK" w:hAnsi="方正仿宋_GBK" w:eastAsia="方正仿宋_GBK"/>
                <w:color w:val="000000"/>
                <w:sz w:val="28"/>
                <w:highlight w:val="none"/>
              </w:rPr>
              <w:t xml:space="preserve">优于</w:t>
            </w:r>
            <w:r>
              <w:rPr>
                <w:rFonts w:hint="eastAsia" w:ascii="方正仿宋_GBK" w:hAnsi="方正仿宋_GBK" w:eastAsia="方正仿宋_GBK"/>
                <w:color w:val="000000"/>
                <w:sz w:val="28"/>
                <w:highlight w:val="none"/>
                <w:lang w:val="en-US" w:eastAsia="zh-CN"/>
              </w:rPr>
              <w:t xml:space="preserve">招标文件要求，</w:t>
            </w:r>
            <w:r>
              <w:rPr>
                <w:rFonts w:ascii="方正仿宋_GBK" w:hAnsi="方正仿宋_GBK" w:eastAsia="方正仿宋_GBK" w:cs="Times New Roman"/>
                <w:color w:val="000000"/>
                <w:sz w:val="28"/>
                <w:szCs w:val="22"/>
                <w:highlight w:val="none"/>
                <w:lang w:val="en-US" w:eastAsia="zh-CN" w:bidi="ar-SA"/>
              </w:rPr>
              <w:t xml:space="preserve">且</w:t>
            </w:r>
            <w:r>
              <w:rPr>
                <w:rFonts w:hint="eastAsia" w:ascii="方正仿宋_GBK" w:hAnsi="方正仿宋_GBK" w:eastAsia="方正仿宋_GBK" w:cs="Times New Roman"/>
                <w:color w:val="000000"/>
                <w:sz w:val="28"/>
                <w:szCs w:val="22"/>
                <w:highlight w:val="none"/>
                <w:lang w:val="en-US" w:eastAsia="zh-CN" w:bidi="ar-SA"/>
              </w:rPr>
              <w:t xml:space="preserve">“</w:t>
            </w:r>
            <w:r>
              <w:rPr>
                <w:rFonts w:ascii="方正仿宋_GBK" w:hAnsi="方正仿宋_GBK" w:eastAsia="方正仿宋_GBK"/>
                <w:color w:val="000000"/>
                <w:sz w:val="28"/>
                <w:highlight w:val="none"/>
              </w:rPr>
              <w:t xml:space="preserve">（二）试运行要求”和“（五）验收标准”</w:t>
            </w:r>
            <w:r>
              <w:rPr>
                <w:rFonts w:ascii="方正仿宋_GBK" w:hAnsi="方正仿宋_GBK" w:eastAsia="方正仿宋_GBK" w:cs="Times New Roman"/>
                <w:color w:val="000000"/>
                <w:sz w:val="28"/>
                <w:szCs w:val="22"/>
                <w:highlight w:val="none"/>
                <w:lang w:val="en-US" w:eastAsia="zh-CN" w:bidi="ar-SA"/>
              </w:rPr>
              <w:t xml:space="preserve">其他要求全部符合的</w:t>
            </w:r>
            <w:r>
              <w:rPr>
                <w:rFonts w:ascii="方正仿宋_GBK" w:hAnsi="方正仿宋_GBK" w:eastAsia="方正仿宋_GBK"/>
                <w:color w:val="000000"/>
                <w:sz w:val="28"/>
                <w:highlight w:val="none"/>
              </w:rPr>
              <w:t xml:space="preserve">，得4分：①在试运行开始前不少于3个工作日，提交专项试运行及验收计划，明确测试项目、测试方法、进度安排、责任人员及验收材料清单；②在不少于14×24小时的连续试运行期间，每24小时提交不少于1份运行状态汇总报告，至少包括设备运行状态、测试进度、异常情况及处理进展；③对试运行或验收过程中发现的问题，自发现之日起1个工作日内提交书面问题分析及整改计划，明确整改措施、责任人员、预计完成时间和复测安排。</w:t>
            </w:r>
            <w:r/>
          </w:p>
          <w:p>
            <w:pPr>
              <w:jc w:val="left"/>
              <w:keepLines w:val="0"/>
              <w:keepNext w:val="0"/>
              <w:pageBreakBefore w:val="0"/>
              <w:spacing w:line="360" w:lineRule="exact"/>
              <w:widowControl w:val="off"/>
              <w:rPr>
                <w:rFonts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（2）投标文件符合上述试运行及验收的全部</w:t>
            </w:r>
            <w:r>
              <w:rPr>
                <w:rFonts w:hint="eastAsia" w:ascii="方正仿宋_GBK" w:hAnsi="方正仿宋_GBK" w:eastAsia="方正仿宋_GBK"/>
                <w:color w:val="000000"/>
                <w:sz w:val="28"/>
                <w:highlight w:val="none"/>
                <w:lang w:val="en-US" w:eastAsia="zh-CN"/>
              </w:rPr>
              <w:t xml:space="preserve">符合招标文件要求</w:t>
            </w:r>
            <w:r>
              <w:rPr>
                <w:rFonts w:ascii="方正仿宋_GBK" w:hAnsi="方正仿宋_GBK" w:eastAsia="方正仿宋_GBK"/>
                <w:color w:val="000000"/>
                <w:sz w:val="28"/>
                <w:highlight w:val="none"/>
              </w:rPr>
              <w:t xml:space="preserve">的，得2分。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（3）投标文件未符合上述试运行及验收的全部基本要求的，本项得0分。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类似项目</w:t>
            </w:r>
            <w:r>
              <w:rPr>
                <w:rFonts w:hint="eastAsia" w:ascii="方正仿宋_GBK" w:hAnsi="方正仿宋_GBK" w:eastAsia="方正仿宋_GBK" w:cs="方正仿宋_GBK"/>
                <w:color w:val="000000"/>
                <w:sz w:val="28"/>
                <w:szCs w:val="32"/>
                <w:highlight w:val="none"/>
              </w:rPr>
              <w:t xml:space="preserve">业绩</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val="en-US" w:eastAsia="zh-CN"/>
              </w:rPr>
            </w:pPr>
            <w:r>
              <w:rPr>
                <w:rFonts w:hint="eastAsia" w:ascii="方正仿宋_GBK" w:hAnsi="方正仿宋_GBK" w:eastAsia="方正仿宋_GBK"/>
                <w:color w:val="000000"/>
                <w:sz w:val="28"/>
                <w:highlight w:val="none"/>
                <w:lang w:val="en-US" w:eastAsia="zh-CN"/>
              </w:rPr>
              <w:t xml:space="preserve">6.1业绩（4分）</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投标人自2023年1月1日以来（以合同签订时间为准）承担过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ascii="方正仿宋_GBK" w:hAnsi="方正仿宋_GBK" w:eastAsia="方正仿宋_GBK"/>
                <w:color w:val="000000"/>
                <w:sz w:val="28"/>
                <w:highlight w:val="none"/>
              </w:rPr>
              <w:t xml:space="preserve">，每提供1份有效业绩得</w:t>
            </w:r>
            <w:r>
              <w:rPr>
                <w:rFonts w:hint="eastAsia" w:ascii="方正仿宋_GBK" w:hAnsi="方正仿宋_GBK" w:eastAsia="方正仿宋_GBK"/>
                <w:color w:val="000000"/>
                <w:sz w:val="28"/>
                <w:highlight w:val="none"/>
              </w:rPr>
              <w:t xml:space="preserve">1</w:t>
            </w:r>
            <w:r>
              <w:rPr>
                <w:rFonts w:ascii="方正仿宋_GBK" w:hAnsi="方正仿宋_GBK" w:eastAsia="方正仿宋_GBK"/>
                <w:color w:val="000000"/>
                <w:sz w:val="28"/>
                <w:highlight w:val="none"/>
              </w:rPr>
              <w:t xml:space="preserve">分，最高得4分。</w:t>
            </w:r>
            <w:r/>
          </w:p>
          <w:p>
            <w:pPr>
              <w:jc w:val="left"/>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证明材料：提供合同关键页复印件或扫描件并加盖投标人公章，至少应能反映合同双方、项目名称或标的内容、合同金额、签订日期及签章页；材料无法反映评审要素的不得分。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28"/>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val="en-US" w:eastAsia="zh-CN"/>
              </w:rPr>
            </w:pPr>
            <w:r>
              <w:rPr>
                <w:rFonts w:hint="eastAsia" w:ascii="方正仿宋_GBK" w:hAnsi="方正仿宋_GBK" w:eastAsia="方正仿宋_GBK" w:cs="方正仿宋_GBK"/>
                <w:color w:val="000000"/>
                <w:sz w:val="28"/>
                <w:szCs w:val="3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eastAsia="方正仿宋_GBK"/>
                <w:color w:val="000000"/>
                <w:highlight w:val="none"/>
                <w:lang w:eastAsia="zh-CN"/>
              </w:rPr>
            </w:pPr>
            <w:r>
              <w:rPr>
                <w:rFonts w:hint="eastAsia" w:ascii="方正仿宋_GBK" w:hAnsi="方正仿宋_GBK" w:eastAsia="方正仿宋_GBK"/>
                <w:color w:val="000000"/>
                <w:sz w:val="28"/>
                <w:highlight w:val="none"/>
              </w:rPr>
              <w:t xml:space="preserve">7.1</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投标产品属于财政部、国家发展改革委公布的《节能产品政府采购品目清单》范围，且投标人提供国家确定的认证机构出具的有效节能产品认证证书的，每提供1项得0.5分，最高得1分</w:t>
            </w:r>
            <w:r>
              <w:rPr>
                <w:rFonts w:hint="eastAsia" w:ascii="方正仿宋_GBK" w:hAnsi="方正仿宋_GBK" w:eastAsia="方正仿宋_GBK"/>
                <w:color w:val="000000"/>
                <w:sz w:val="28"/>
                <w:highlight w:val="none"/>
                <w:lang w:eastAsia="zh-CN"/>
              </w:rPr>
              <w:t xml:space="preserve">。</w:t>
            </w: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olor w:val="000000"/>
                <w:sz w:val="28"/>
                <w:highlight w:val="none"/>
              </w:rPr>
              <w:t xml:space="preserve">7.2</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投标产品属于财政部、生态环境部公布的《环境标志产品政府采购品目清单》范围，且投标人提供国家确定的认证机构出具的有效环境标志产品认证证书的，每提供1项得0.5分，最高得1分。</w:t>
            </w:r>
            <w:r/>
          </w:p>
        </w:tc>
      </w:tr>
    </w:tbl>
    <w:p>
      <w:pPr>
        <w:pStyle w:val="971"/>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第六章  投标</w:t>
      </w:r>
      <w:bookmarkEnd w:id="59"/>
      <w:r/>
      <w:bookmarkEnd w:id="60"/>
      <w:r/>
      <w:bookmarkEnd w:id="61"/>
      <w:r>
        <w:rPr>
          <w:rFonts w:hint="eastAsia" w:ascii="黑体" w:hAnsi="黑体" w:eastAsia="黑体"/>
          <w:b w:val="0"/>
          <w:bCs w:val="0"/>
          <w:color w:val="000000"/>
          <w:sz w:val="28"/>
          <w:szCs w:val="28"/>
          <w:highlight w:val="none"/>
        </w:rPr>
        <w:t xml:space="preserve">文件格式</w:t>
      </w:r>
      <w:r/>
    </w:p>
    <w:p>
      <w:pPr>
        <w:jc w:val="center"/>
        <w:spacing w:line="400" w:lineRule="exact"/>
        <w:rPr>
          <w:rFonts w:hint="eastAsia" w:ascii="宋体" w:hAnsi="宋体"/>
          <w:b/>
          <w:color w:val="000000"/>
          <w:sz w:val="28"/>
          <w:szCs w:val="28"/>
          <w:highlight w:val="none"/>
        </w:rPr>
      </w:pPr>
      <w:r/>
      <w:bookmarkStart w:id="62" w:name="_Hlt26671244"/>
      <w:r/>
      <w:bookmarkEnd w:id="62"/>
      <w:r/>
      <w:bookmarkStart w:id="63" w:name="_Hlt26955039"/>
      <w:r/>
      <w:bookmarkEnd w:id="63"/>
      <w:r/>
      <w:bookmarkStart w:id="64" w:name="_Toc26554094"/>
      <w:r/>
      <w:bookmarkStart w:id="65" w:name="_Toc49090576"/>
      <w:r/>
      <w:bookmarkStart w:id="66" w:name="_Toc120614282"/>
      <w:r/>
      <w:r/>
    </w:p>
    <w:p>
      <w:pPr>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      项 目 名 称：</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采 购 编 号：</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p>
    <w:p>
      <w:pPr>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的实质性要求逐条做出响应，并按照招标文件要求提供证明材料，否则作无效投标处理。（格式见附件11）</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3.关于符合本国产品标准的声明函（格式见附件12）</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 开标一览表</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p>
    <w:tbl>
      <w:tblPr>
        <w:tblStyle w:val="7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投标分项报价表（采购包号：XX）</w:t>
      </w:r>
      <w:r/>
    </w:p>
    <w:tbl>
      <w:tblPr>
        <w:tblStyle w:val="799"/>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产品</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p>
        </w:tc>
      </w:tr>
      <w:tr>
        <w:trPr>
          <w:cantSplit/>
          <w:trHeight w:val="767"/>
        </w:trPr>
        <w:tc>
          <w:tcPr>
            <w:gridSpan w:val="10"/>
            <w:tcW w:w="9514" w:type="dxa"/>
            <w:textDirection w:val="lrTb"/>
            <w:noWrap w:val="false"/>
          </w:tcPr>
          <w:p>
            <w:pPr>
              <w:pStyle w:val="1031"/>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5.项目经办人可以根据项目实际需要对表格结构进行调整。</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482"/>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4"/>
      <w:r/>
      <w:bookmarkEnd w:id="65"/>
      <w:r/>
      <w:bookmarkEnd w:id="66"/>
      <w:r/>
      <w:bookmarkStart w:id="67" w:name="_Toc120614284"/>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68" w:name="_Hlt26955070"/>
      <w:r/>
      <w:bookmarkEnd w:id="68"/>
      <w:r/>
      <w:bookmarkStart w:id="69" w:name="_格式3__银行出具的资信证明"/>
      <w:r/>
      <w:bookmarkEnd w:id="69"/>
      <w:r/>
      <w:bookmarkStart w:id="70" w:name="_Hlt26671380"/>
      <w:r/>
      <w:bookmarkEnd w:id="70"/>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420"/>
        <w:spacing w:line="400" w:lineRule="exact"/>
        <w:rPr>
          <w:color w:val="000000"/>
          <w:sz w:val="28"/>
          <w:szCs w:val="28"/>
          <w:highlight w:val="none"/>
        </w:rPr>
      </w:pPr>
      <w:r>
        <w:rPr>
          <w:color w:val="000000"/>
          <w:sz w:val="28"/>
          <w:szCs w:val="28"/>
          <w:highlight w:val="none"/>
        </w:rPr>
      </w:r>
      <w:r/>
    </w:p>
    <w:p>
      <w:pP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附件8                    投标函</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p>
    <w:p>
      <w:pPr>
        <w:ind w:left="420" w:firstLine="560"/>
        <w:jc w:val="left"/>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附件9  中小微企业声明函（货物类项目）（采购包号：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企业名称（加盖CA电子公章）：</w:t>
      </w:r>
      <w:r/>
    </w:p>
    <w:p>
      <w:pPr>
        <w:ind w:right="480" w:firstLine="364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highlight w:val="none"/>
        </w:rPr>
        <w:t xml:space="preserve">        </w:t>
      </w:r>
      <w:r/>
    </w:p>
    <w:p>
      <w:pPr>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jc w:val="left"/>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附件10残疾人福利性单位声明函（货物类项目）（采购包号：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u w:val="single"/>
        </w:rPr>
        <w:t xml:space="preserve">      </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p>
    <w:p>
      <w:pPr>
        <w:ind w:firstLine="584"/>
        <w:spacing w:line="400"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ind w:right="180" w:firstLine="584"/>
        <w:jc w:val="right"/>
        <w:spacing w:line="400" w:lineRule="exact"/>
        <w:rPr>
          <w:rFonts w:hint="eastAsia" w:ascii="方正仿宋_GBK" w:hAnsi="方正仿宋_GBK" w:eastAsia="方正仿宋_GBK" w:cs="方正仿宋_GBK"/>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p>
    <w:p>
      <w:pPr>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期：___年____月____日 </w:t>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附件11实质性要求响应及偏离表（采购包号：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-1 证明材料1，证明材料2，……</w:t>
      </w:r>
      <w:r/>
    </w:p>
    <w:p>
      <w:pPr>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附件12  关于符合本国产品标准的声明函（采购包号：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pStyle w:val="1031"/>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1043"/>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1043"/>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p>
    <w:p>
      <w:pPr>
        <w:pStyle w:val="103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p>
    <w:p>
      <w:pPr>
        <w:pStyle w:val="103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p>
    <w:p>
      <w:pPr>
        <w:pStyle w:val="1031"/>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p>
    <w:p>
      <w:pPr>
        <w:pStyle w:val="1031"/>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rPr>
      </w:r>
      <w:r/>
    </w:p>
    <w:p>
      <w:pPr>
        <w:pStyle w:val="1031"/>
        <w:ind w:firstLine="560"/>
        <w:jc w:val="right"/>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日期：___年____月____日   </w:t>
      </w:r>
      <w:r>
        <w:rPr>
          <w:rFonts w:hint="eastAsia"/>
          <w:color w:val="000000"/>
          <w:sz w:val="28"/>
          <w:szCs w:val="28"/>
          <w:highlight w:val="none"/>
          <w:shd w:val="clear" w:color="auto" w:fill="ffffff"/>
        </w:rPr>
        <w:t xml:space="preserve">     </w:t>
      </w:r>
      <w:r/>
    </w:p>
    <w:p>
      <w:pPr>
        <w:pStyle w:val="1031"/>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1031"/>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p>
    <w:p>
      <w:pPr>
        <w:pStyle w:val="1031"/>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p>
    <w:p>
      <w:pPr>
        <w:pStyle w:val="1031"/>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p>
    <w:p>
      <w:pPr>
        <w:pStyle w:val="1031"/>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p>
    <w:p>
      <w:pPr>
        <w:pStyle w:val="1031"/>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p>
    <w:p>
      <w:pPr>
        <w:pStyle w:val="1031"/>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43"/>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bookmarkEnd w:id="57"/>
      <w:r/>
      <w:bookmarkEnd w:id="58"/>
      <w:r/>
      <w:bookmarkEnd w:id="67"/>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质疑函范本</w:t>
      </w:r>
      <w:r/>
    </w:p>
    <w:p>
      <w:pPr>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FangSong">
    <w:panose1 w:val="02010609060101010101"/>
  </w:font>
  <w:font w:name="___WRD_EMBED_SUB_47">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3048635</wp:posOffset>
              </wp:positionH>
              <wp:positionV relativeFrom="paragraph">
                <wp:posOffset>-21590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799" cy="1828800"/>
                      </a:xfrm>
                      <a:prstGeom prst="rect">
                        <a:avLst/>
                      </a:prstGeom>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argin-left:240.0pt;mso-position-horizontal:absolute;mso-position-vertical-relative:text;margin-top:-1.7pt;mso-position-vertical:absolute;width:144.0pt;height:144.0pt;mso-wrap-distance-left:0.0pt;mso-wrap-distance-top:0.0pt;mso-wrap-distance-right:0.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2351405</wp:posOffset>
              </wp:positionH>
              <wp:positionV relativeFrom="paragraph">
                <wp:posOffset>-186690</wp:posOffset>
              </wp:positionV>
              <wp:extent cx="733425" cy="379095"/>
              <wp:effectExtent l="6350" t="6350" r="6350" b="6350"/>
              <wp:wrapNone/>
              <wp:docPr id="2" name="文本框 2"/>
              <wp:cNvGraphicFramePr/>
              <a:graphic xmlns:a="http://schemas.openxmlformats.org/drawingml/2006/main">
                <a:graphicData uri="http://schemas.microsoft.com/office/word/2010/wordprocessingShape">
                  <wps:wsp>
                    <wps:cNvPr id="0" name=""/>
                    <wps:cNvSpPr/>
                    <wps:spPr bwMode="auto">
                      <a:xfrm>
                        <a:off x="0" y="0"/>
                        <a:ext cx="733424" cy="379095"/>
                      </a:xfrm>
                      <a:prstGeom prst="rect">
                        <a:avLst/>
                      </a:prstGeom>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square" lIns="0" tIns="0" rIns="0" bIns="0" upright="1">
                      <a:noAutofit/>
                    </wps:bodyPr>
                  </wps:wsp>
                </a:graphicData>
              </a:graphic>
            </wp:anchor>
          </w:drawing>
        </mc:Choice>
        <mc:Fallback>
          <w:pict>
            <v:shape id="shape 1" o:spid="_x0000_s1" o:spt="1" type="#_x0000_t1" style="position:absolute;z-index:251659264;o:allowoverlap:true;o:allowincell:true;mso-position-horizontal-relative:margin;margin-left:185.1pt;mso-position-horizontal:absolute;mso-position-vertical-relative:text;margin-top:-14.7pt;mso-position-vertical:absolute;width:57.8pt;height:29.8pt;mso-wrap-distance-left:0.0pt;mso-wrap-distance-top:0.0pt;mso-wrap-distance-right:0.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798"/>
    <w:link w:val="789"/>
    <w:uiPriority w:val="9"/>
    <w:rPr>
      <w:rFonts w:ascii="Arial" w:hAnsi="Arial" w:eastAsia="Arial" w:cs="Arial"/>
      <w:sz w:val="40"/>
      <w:szCs w:val="40"/>
    </w:rPr>
  </w:style>
  <w:style w:type="character" w:styleId="774">
    <w:name w:val="Heading 2 Char"/>
    <w:basedOn w:val="798"/>
    <w:link w:val="790"/>
    <w:uiPriority w:val="9"/>
    <w:rPr>
      <w:rFonts w:ascii="Arial" w:hAnsi="Arial" w:eastAsia="Arial" w:cs="Arial"/>
      <w:sz w:val="34"/>
    </w:rPr>
  </w:style>
  <w:style w:type="character" w:styleId="775">
    <w:name w:val="Heading 3 Char"/>
    <w:basedOn w:val="798"/>
    <w:link w:val="791"/>
    <w:uiPriority w:val="9"/>
    <w:rPr>
      <w:rFonts w:ascii="Arial" w:hAnsi="Arial" w:eastAsia="Arial" w:cs="Arial"/>
      <w:sz w:val="30"/>
      <w:szCs w:val="30"/>
    </w:rPr>
  </w:style>
  <w:style w:type="character" w:styleId="776">
    <w:name w:val="Heading 4 Char"/>
    <w:basedOn w:val="798"/>
    <w:link w:val="792"/>
    <w:uiPriority w:val="9"/>
    <w:rPr>
      <w:rFonts w:ascii="Arial" w:hAnsi="Arial" w:eastAsia="Arial" w:cs="Arial"/>
      <w:b/>
      <w:bCs/>
      <w:sz w:val="26"/>
      <w:szCs w:val="26"/>
    </w:rPr>
  </w:style>
  <w:style w:type="character" w:styleId="777">
    <w:name w:val="Heading 5 Char"/>
    <w:basedOn w:val="798"/>
    <w:link w:val="793"/>
    <w:uiPriority w:val="9"/>
    <w:rPr>
      <w:rFonts w:ascii="Arial" w:hAnsi="Arial" w:eastAsia="Arial" w:cs="Arial"/>
      <w:b/>
      <w:bCs/>
      <w:sz w:val="24"/>
      <w:szCs w:val="24"/>
    </w:rPr>
  </w:style>
  <w:style w:type="character" w:styleId="778">
    <w:name w:val="Heading 6 Char"/>
    <w:basedOn w:val="798"/>
    <w:link w:val="794"/>
    <w:uiPriority w:val="9"/>
    <w:rPr>
      <w:rFonts w:ascii="Arial" w:hAnsi="Arial" w:eastAsia="Arial" w:cs="Arial"/>
      <w:b/>
      <w:bCs/>
      <w:sz w:val="22"/>
      <w:szCs w:val="22"/>
    </w:rPr>
  </w:style>
  <w:style w:type="character" w:styleId="779">
    <w:name w:val="Heading 7 Char"/>
    <w:basedOn w:val="798"/>
    <w:link w:val="795"/>
    <w:uiPriority w:val="9"/>
    <w:rPr>
      <w:rFonts w:ascii="Arial" w:hAnsi="Arial" w:eastAsia="Arial" w:cs="Arial"/>
      <w:b/>
      <w:bCs/>
      <w:i/>
      <w:iCs/>
      <w:sz w:val="22"/>
      <w:szCs w:val="22"/>
    </w:rPr>
  </w:style>
  <w:style w:type="character" w:styleId="780">
    <w:name w:val="Heading 8 Char"/>
    <w:basedOn w:val="798"/>
    <w:link w:val="796"/>
    <w:uiPriority w:val="9"/>
    <w:rPr>
      <w:rFonts w:ascii="Arial" w:hAnsi="Arial" w:eastAsia="Arial" w:cs="Arial"/>
      <w:i/>
      <w:iCs/>
      <w:sz w:val="22"/>
      <w:szCs w:val="22"/>
    </w:rPr>
  </w:style>
  <w:style w:type="character" w:styleId="781">
    <w:name w:val="Heading 9 Char"/>
    <w:basedOn w:val="798"/>
    <w:link w:val="797"/>
    <w:uiPriority w:val="9"/>
    <w:rPr>
      <w:rFonts w:ascii="Arial" w:hAnsi="Arial" w:eastAsia="Arial" w:cs="Arial"/>
      <w:i/>
      <w:iCs/>
      <w:sz w:val="21"/>
      <w:szCs w:val="21"/>
    </w:rPr>
  </w:style>
  <w:style w:type="character" w:styleId="782">
    <w:name w:val="Title Char"/>
    <w:basedOn w:val="798"/>
    <w:link w:val="817"/>
    <w:uiPriority w:val="10"/>
    <w:rPr>
      <w:sz w:val="48"/>
      <w:szCs w:val="48"/>
    </w:rPr>
  </w:style>
  <w:style w:type="character" w:styleId="783">
    <w:name w:val="Quote Char"/>
    <w:link w:val="835"/>
    <w:uiPriority w:val="29"/>
    <w:rPr>
      <w:i/>
    </w:rPr>
  </w:style>
  <w:style w:type="character" w:styleId="784">
    <w:name w:val="Intense Quote Char"/>
    <w:link w:val="837"/>
    <w:uiPriority w:val="30"/>
    <w:rPr>
      <w:i/>
    </w:rPr>
  </w:style>
  <w:style w:type="character" w:styleId="785">
    <w:name w:val="Header Char"/>
    <w:basedOn w:val="798"/>
    <w:link w:val="807"/>
    <w:uiPriority w:val="99"/>
  </w:style>
  <w:style w:type="character" w:styleId="786">
    <w:name w:val="Footer Char"/>
    <w:basedOn w:val="798"/>
    <w:link w:val="806"/>
    <w:uiPriority w:val="99"/>
  </w:style>
  <w:style w:type="paragraph" w:styleId="787">
    <w:name w:val="TOC Heading"/>
    <w:uiPriority w:val="39"/>
    <w:unhideWhenUsed/>
  </w:style>
  <w:style w:type="paragraph" w:styleId="78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9">
    <w:name w:val="Heading 1"/>
    <w:basedOn w:val="788"/>
    <w:next w:val="788"/>
    <w:link w:val="822"/>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23"/>
    <w:uiPriority w:val="9"/>
    <w:qFormat/>
    <w:pPr>
      <w:keepLines/>
      <w:keepNext/>
      <w:spacing w:before="360" w:after="200"/>
      <w:outlineLvl w:val="1"/>
    </w:pPr>
    <w:rPr>
      <w:rFonts w:ascii="Arial" w:hAnsi="Arial" w:eastAsia="Arial" w:cs="Arial"/>
      <w:sz w:val="34"/>
    </w:rPr>
  </w:style>
  <w:style w:type="paragraph" w:styleId="791">
    <w:name w:val="Heading 3"/>
    <w:basedOn w:val="788"/>
    <w:next w:val="788"/>
    <w:link w:val="824"/>
    <w:uiPriority w:val="9"/>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25"/>
    <w:uiPriority w:val="9"/>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26"/>
    <w:uiPriority w:val="9"/>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27"/>
    <w:uiPriority w:val="9"/>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28"/>
    <w:uiPriority w:val="9"/>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29"/>
    <w:uiPriority w:val="9"/>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30"/>
    <w:uiPriority w:val="9"/>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qFormat/>
  </w:style>
  <w:style w:type="table" w:styleId="799" w:default="1">
    <w:name w:val="Normal Table"/>
    <w:uiPriority w:val="99"/>
    <w:qFormat/>
    <w:tblPr>
      <w:tblCellMar>
        <w:left w:w="108" w:type="dxa"/>
        <w:top w:w="0" w:type="dxa"/>
        <w:right w:w="108" w:type="dxa"/>
        <w:bottom w:w="0" w:type="dxa"/>
      </w:tblCellMar>
    </w:tblPr>
  </w:style>
  <w:style w:type="paragraph" w:styleId="800">
    <w:name w:val="toc 7"/>
    <w:basedOn w:val="788"/>
    <w:next w:val="788"/>
    <w:uiPriority w:val="39"/>
    <w:qFormat/>
    <w:pPr>
      <w:ind w:left="1701" w:right="0" w:firstLine="0"/>
      <w:spacing w:after="57"/>
    </w:pPr>
  </w:style>
  <w:style w:type="paragraph" w:styleId="801">
    <w:name w:val="Caption"/>
    <w:basedOn w:val="788"/>
    <w:next w:val="788"/>
    <w:uiPriority w:val="35"/>
    <w:qFormat/>
    <w:pPr>
      <w:spacing w:line="276" w:lineRule="auto"/>
    </w:pPr>
    <w:rPr>
      <w:b/>
      <w:bCs/>
      <w:color w:val="4f81bd"/>
      <w:sz w:val="18"/>
      <w:szCs w:val="18"/>
    </w:rPr>
  </w:style>
  <w:style w:type="paragraph" w:styleId="802">
    <w:name w:val="toc 5"/>
    <w:basedOn w:val="788"/>
    <w:next w:val="788"/>
    <w:uiPriority w:val="39"/>
    <w:qFormat/>
    <w:pPr>
      <w:ind w:left="1134" w:right="0" w:firstLine="0"/>
      <w:spacing w:after="57"/>
    </w:pPr>
  </w:style>
  <w:style w:type="paragraph" w:styleId="803">
    <w:name w:val="toc 3"/>
    <w:basedOn w:val="788"/>
    <w:next w:val="788"/>
    <w:uiPriority w:val="39"/>
    <w:qFormat/>
    <w:pPr>
      <w:ind w:left="567" w:right="0" w:firstLine="0"/>
      <w:spacing w:after="57"/>
    </w:pPr>
  </w:style>
  <w:style w:type="paragraph" w:styleId="804">
    <w:name w:val="toc 8"/>
    <w:basedOn w:val="788"/>
    <w:next w:val="788"/>
    <w:uiPriority w:val="39"/>
    <w:qFormat/>
    <w:pPr>
      <w:ind w:left="1984" w:right="0" w:firstLine="0"/>
      <w:spacing w:after="57"/>
    </w:pPr>
  </w:style>
  <w:style w:type="paragraph" w:styleId="805">
    <w:name w:val="endnote text"/>
    <w:basedOn w:val="788"/>
    <w:link w:val="968"/>
    <w:uiPriority w:val="99"/>
    <w:qFormat/>
    <w:pPr>
      <w:spacing w:after="0" w:line="240" w:lineRule="auto"/>
    </w:pPr>
    <w:rPr>
      <w:sz w:val="20"/>
    </w:rPr>
  </w:style>
  <w:style w:type="paragraph" w:styleId="806">
    <w:name w:val="Footer"/>
    <w:basedOn w:val="788"/>
    <w:link w:val="841"/>
    <w:uiPriority w:val="99"/>
    <w:qFormat/>
    <w:pPr>
      <w:spacing w:after="0" w:line="240" w:lineRule="auto"/>
      <w:tabs>
        <w:tab w:val="center" w:pos="7143" w:leader="none"/>
        <w:tab w:val="right" w:pos="14287" w:leader="none"/>
      </w:tabs>
    </w:pPr>
  </w:style>
  <w:style w:type="paragraph" w:styleId="807">
    <w:name w:val="Header"/>
    <w:basedOn w:val="788"/>
    <w:link w:val="839"/>
    <w:uiPriority w:val="99"/>
    <w:qFormat/>
    <w:pPr>
      <w:spacing w:after="0" w:line="240" w:lineRule="auto"/>
      <w:tabs>
        <w:tab w:val="center" w:pos="7143" w:leader="none"/>
        <w:tab w:val="right" w:pos="14287" w:leader="none"/>
      </w:tabs>
    </w:pPr>
  </w:style>
  <w:style w:type="paragraph" w:styleId="808">
    <w:name w:val="toc 1"/>
    <w:basedOn w:val="788"/>
    <w:next w:val="788"/>
    <w:uiPriority w:val="39"/>
    <w:qFormat/>
    <w:pPr>
      <w:ind w:left="0" w:right="0" w:firstLine="0"/>
      <w:spacing w:after="57"/>
    </w:pPr>
  </w:style>
  <w:style w:type="paragraph" w:styleId="809">
    <w:name w:val="toc 4"/>
    <w:basedOn w:val="788"/>
    <w:next w:val="788"/>
    <w:uiPriority w:val="39"/>
    <w:qFormat/>
    <w:pPr>
      <w:ind w:left="850" w:right="0" w:firstLine="0"/>
      <w:spacing w:after="57"/>
    </w:pPr>
  </w:style>
  <w:style w:type="paragraph" w:styleId="810">
    <w:name w:val="Subtitle"/>
    <w:basedOn w:val="788"/>
    <w:next w:val="788"/>
    <w:link w:val="834"/>
    <w:uiPriority w:val="11"/>
    <w:qFormat/>
    <w:pPr>
      <w:spacing w:before="200" w:after="200"/>
    </w:pPr>
    <w:rPr>
      <w:sz w:val="24"/>
      <w:szCs w:val="24"/>
    </w:rPr>
  </w:style>
  <w:style w:type="paragraph" w:styleId="811">
    <w:name w:val="footnote text"/>
    <w:basedOn w:val="788"/>
    <w:link w:val="967"/>
    <w:uiPriority w:val="99"/>
    <w:qFormat/>
    <w:pPr>
      <w:spacing w:after="40" w:line="240" w:lineRule="auto"/>
    </w:pPr>
    <w:rPr>
      <w:sz w:val="18"/>
    </w:rPr>
  </w:style>
  <w:style w:type="paragraph" w:styleId="812">
    <w:name w:val="toc 6"/>
    <w:basedOn w:val="788"/>
    <w:next w:val="788"/>
    <w:uiPriority w:val="39"/>
    <w:qFormat/>
    <w:pPr>
      <w:ind w:left="1417" w:right="0" w:firstLine="0"/>
      <w:spacing w:after="57"/>
    </w:pPr>
  </w:style>
  <w:style w:type="paragraph" w:styleId="813">
    <w:name w:val="table of figures"/>
    <w:basedOn w:val="788"/>
    <w:next w:val="788"/>
    <w:uiPriority w:val="99"/>
    <w:qFormat/>
    <w:pPr>
      <w:spacing w:after="0" w:afterAutospacing="0"/>
    </w:pPr>
  </w:style>
  <w:style w:type="paragraph" w:styleId="814">
    <w:name w:val="toc 2"/>
    <w:basedOn w:val="788"/>
    <w:next w:val="788"/>
    <w:uiPriority w:val="39"/>
    <w:qFormat/>
    <w:pPr>
      <w:ind w:left="283" w:right="0" w:firstLine="0"/>
      <w:spacing w:after="57"/>
    </w:pPr>
  </w:style>
  <w:style w:type="paragraph" w:styleId="815">
    <w:name w:val="toc 9"/>
    <w:basedOn w:val="788"/>
    <w:next w:val="788"/>
    <w:uiPriority w:val="39"/>
    <w:qFormat/>
    <w:pPr>
      <w:ind w:left="2268" w:right="0" w:firstLine="0"/>
      <w:spacing w:after="57"/>
    </w:pPr>
  </w:style>
  <w:style w:type="paragraph" w:styleId="816">
    <w:name w:val="Normal (Web)"/>
    <w:basedOn w:val="788"/>
    <w:uiPriority w:val="99"/>
    <w:qFormat/>
    <w:pPr>
      <w:ind w:left="0" w:right="0"/>
      <w:jc w:val="left"/>
      <w:spacing w:before="0" w:beforeAutospacing="1" w:after="0" w:afterAutospacing="1"/>
    </w:pPr>
    <w:rPr>
      <w:sz w:val="24"/>
      <w:lang w:val="en-US" w:eastAsia="zh-CN"/>
    </w:rPr>
  </w:style>
  <w:style w:type="paragraph" w:styleId="817">
    <w:name w:val="Title"/>
    <w:basedOn w:val="788"/>
    <w:next w:val="788"/>
    <w:link w:val="833"/>
    <w:uiPriority w:val="10"/>
    <w:qFormat/>
    <w:pPr>
      <w:contextualSpacing/>
      <w:spacing w:before="300" w:after="200"/>
    </w:pPr>
    <w:rPr>
      <w:sz w:val="48"/>
      <w:szCs w:val="48"/>
    </w:rPr>
  </w:style>
  <w:style w:type="table" w:styleId="8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qFormat/>
    <w:rPr>
      <w:vertAlign w:val="superscript"/>
    </w:rPr>
  </w:style>
  <w:style w:type="character" w:styleId="820">
    <w:name w:val="Hyperlink"/>
    <w:uiPriority w:val="99"/>
    <w:qFormat/>
    <w:rPr>
      <w:color w:val="0000ff"/>
      <w:u w:val="single"/>
    </w:rPr>
  </w:style>
  <w:style w:type="character" w:styleId="821">
    <w:name w:val="footnote reference"/>
    <w:uiPriority w:val="99"/>
    <w:qFormat/>
    <w:rPr>
      <w:vertAlign w:val="superscript"/>
    </w:rPr>
  </w:style>
  <w:style w:type="character" w:styleId="822" w:customStyle="1">
    <w:name w:val="Heading 1 Char_d5b835b6-98c5-46f5-ad5f-85804710238f"/>
    <w:link w:val="789"/>
    <w:uiPriority w:val="9"/>
    <w:qFormat/>
    <w:rPr>
      <w:rFonts w:ascii="Arial" w:hAnsi="Arial" w:eastAsia="Arial" w:cs="Arial"/>
      <w:sz w:val="40"/>
      <w:szCs w:val="40"/>
    </w:rPr>
  </w:style>
  <w:style w:type="character" w:styleId="823" w:customStyle="1">
    <w:name w:val="Heading 2 Char_99763d3d-e9be-4641-80d8-18819fbbf44c"/>
    <w:link w:val="790"/>
    <w:uiPriority w:val="9"/>
    <w:qFormat/>
    <w:rPr>
      <w:rFonts w:ascii="Arial" w:hAnsi="Arial" w:eastAsia="Arial" w:cs="Arial"/>
      <w:sz w:val="34"/>
    </w:rPr>
  </w:style>
  <w:style w:type="character" w:styleId="824" w:customStyle="1">
    <w:name w:val="Heading 3 Char_4d9a7706-ac14-4dae-a56a-8cd0d583ba13"/>
    <w:link w:val="791"/>
    <w:uiPriority w:val="9"/>
    <w:qFormat/>
    <w:rPr>
      <w:rFonts w:ascii="Arial" w:hAnsi="Arial" w:eastAsia="Arial" w:cs="Arial"/>
      <w:sz w:val="30"/>
      <w:szCs w:val="30"/>
    </w:rPr>
  </w:style>
  <w:style w:type="character" w:styleId="825" w:customStyle="1">
    <w:name w:val="Heading 4 Char_58e1d890-b28b-40eb-a7b5-eb2394b9cd5a"/>
    <w:link w:val="792"/>
    <w:uiPriority w:val="9"/>
    <w:qFormat/>
    <w:rPr>
      <w:rFonts w:ascii="Arial" w:hAnsi="Arial" w:eastAsia="Arial" w:cs="Arial"/>
      <w:b/>
      <w:bCs/>
      <w:sz w:val="26"/>
      <w:szCs w:val="26"/>
    </w:rPr>
  </w:style>
  <w:style w:type="character" w:styleId="826" w:customStyle="1">
    <w:name w:val="Heading 5 Char_0bfe616e-77a4-4000-b7f8-fab495af6c08"/>
    <w:link w:val="793"/>
    <w:uiPriority w:val="9"/>
    <w:qFormat/>
    <w:rPr>
      <w:rFonts w:ascii="Arial" w:hAnsi="Arial" w:eastAsia="Arial" w:cs="Arial"/>
      <w:b/>
      <w:bCs/>
      <w:sz w:val="24"/>
      <w:szCs w:val="24"/>
    </w:rPr>
  </w:style>
  <w:style w:type="character" w:styleId="827" w:customStyle="1">
    <w:name w:val="Heading 6 Char_2d78a6af-00da-4955-8591-5f627db5fee7"/>
    <w:link w:val="794"/>
    <w:uiPriority w:val="9"/>
    <w:qFormat/>
    <w:rPr>
      <w:rFonts w:ascii="Arial" w:hAnsi="Arial" w:eastAsia="Arial" w:cs="Arial"/>
      <w:b/>
      <w:bCs/>
      <w:sz w:val="22"/>
      <w:szCs w:val="22"/>
    </w:rPr>
  </w:style>
  <w:style w:type="character" w:styleId="828" w:customStyle="1">
    <w:name w:val="Heading 7 Char_81e61fd0-5086-48dc-ae96-33c0e83feec9"/>
    <w:link w:val="795"/>
    <w:uiPriority w:val="9"/>
    <w:qFormat/>
    <w:rPr>
      <w:rFonts w:ascii="Arial" w:hAnsi="Arial" w:eastAsia="Arial" w:cs="Arial"/>
      <w:b/>
      <w:bCs/>
      <w:i/>
      <w:iCs/>
      <w:sz w:val="22"/>
      <w:szCs w:val="22"/>
    </w:rPr>
  </w:style>
  <w:style w:type="character" w:styleId="829" w:customStyle="1">
    <w:name w:val="Heading 8 Char_fb8aa71f-4748-4148-af63-ab6deab648d4"/>
    <w:link w:val="796"/>
    <w:uiPriority w:val="9"/>
    <w:qFormat/>
    <w:rPr>
      <w:rFonts w:ascii="Arial" w:hAnsi="Arial" w:eastAsia="Arial" w:cs="Arial"/>
      <w:i/>
      <w:iCs/>
      <w:sz w:val="22"/>
      <w:szCs w:val="22"/>
    </w:rPr>
  </w:style>
  <w:style w:type="character" w:styleId="830" w:customStyle="1">
    <w:name w:val="Heading 9 Char_b0cc6617-e4c5-4f48-846e-a2dff3299fd8"/>
    <w:link w:val="797"/>
    <w:uiPriority w:val="9"/>
    <w:qFormat/>
    <w:rPr>
      <w:rFonts w:ascii="Arial" w:hAnsi="Arial" w:eastAsia="Arial" w:cs="Arial"/>
      <w:i/>
      <w:iCs/>
      <w:sz w:val="21"/>
      <w:szCs w:val="21"/>
    </w:rPr>
  </w:style>
  <w:style w:type="paragraph" w:styleId="831">
    <w:name w:val="List Paragraph"/>
    <w:basedOn w:val="788"/>
    <w:uiPriority w:val="34"/>
    <w:qFormat/>
    <w:pPr>
      <w:contextualSpacing/>
      <w:ind w:left="720"/>
    </w:p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_c3dfa150-cc73-4740-b3c7-8ec0e389265f"/>
    <w:link w:val="817"/>
    <w:uiPriority w:val="10"/>
    <w:qFormat/>
    <w:rPr>
      <w:sz w:val="48"/>
      <w:szCs w:val="48"/>
    </w:rPr>
  </w:style>
  <w:style w:type="character" w:styleId="834" w:customStyle="1">
    <w:name w:val="Subtitle Char"/>
    <w:link w:val="810"/>
    <w:uiPriority w:val="11"/>
    <w:qFormat/>
    <w:rPr>
      <w:sz w:val="24"/>
      <w:szCs w:val="24"/>
    </w:rPr>
  </w:style>
  <w:style w:type="paragraph" w:styleId="835">
    <w:name w:val="Quote"/>
    <w:basedOn w:val="788"/>
    <w:next w:val="788"/>
    <w:link w:val="836"/>
    <w:uiPriority w:val="29"/>
    <w:qFormat/>
    <w:pPr>
      <w:ind w:left="720" w:right="720"/>
    </w:pPr>
    <w:rPr>
      <w:i/>
    </w:rPr>
  </w:style>
  <w:style w:type="character" w:styleId="836" w:customStyle="1">
    <w:name w:val="Quote Char_5e140876-ae33-4e57-9d68-637f8c06245e"/>
    <w:link w:val="835"/>
    <w:uiPriority w:val="29"/>
    <w:qFormat/>
    <w:rPr>
      <w:i/>
    </w:rPr>
  </w:style>
  <w:style w:type="paragraph" w:styleId="837">
    <w:name w:val="Intense Quote"/>
    <w:basedOn w:val="788"/>
    <w:next w:val="788"/>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_be63a31a-dae7-4a12-af98-6f843d5d763c"/>
    <w:link w:val="837"/>
    <w:uiPriority w:val="30"/>
    <w:qFormat/>
    <w:rPr>
      <w:i/>
    </w:rPr>
  </w:style>
  <w:style w:type="character" w:styleId="839" w:customStyle="1">
    <w:name w:val="Header Char_ca4a457c-5f5d-4aea-a417-9ad63e265caa"/>
    <w:link w:val="807"/>
    <w:uiPriority w:val="99"/>
    <w:qFormat/>
  </w:style>
  <w:style w:type="character" w:styleId="840" w:customStyle="1">
    <w:name w:val="Footer Char_0260b1c2-2f5c-4f4a-a45a-03107d8de359"/>
    <w:link w:val="806"/>
    <w:uiPriority w:val="99"/>
    <w:qFormat/>
  </w:style>
  <w:style w:type="character" w:styleId="841" w:customStyle="1">
    <w:name w:val="Caption Char"/>
    <w:link w:val="806"/>
    <w:uiPriority w:val="99"/>
    <w:qFormat/>
  </w:style>
  <w:style w:type="table" w:styleId="842"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3"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5"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2"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0"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71"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72"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73"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4"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5"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6"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7"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8"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9"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0"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1"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2"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3"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84"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5"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6"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7"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8"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9"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90"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7"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4"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5"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6"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7"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8"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9"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0"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1"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2"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14"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5"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6"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7"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8"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9"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1"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3"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4"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5"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6"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8"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9"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33"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34"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5"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6"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7"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8"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9"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4"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5"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6"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7"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1"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63"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64"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Footnote Text Char"/>
    <w:link w:val="811"/>
    <w:uiPriority w:val="99"/>
    <w:qFormat/>
    <w:rPr>
      <w:sz w:val="18"/>
    </w:rPr>
  </w:style>
  <w:style w:type="character" w:styleId="968" w:customStyle="1">
    <w:name w:val="Endnote Text Char"/>
    <w:link w:val="805"/>
    <w:uiPriority w:val="99"/>
    <w:qFormat/>
    <w:rPr>
      <w:sz w:val="20"/>
    </w:rPr>
  </w:style>
  <w:style w:type="paragraph" w:styleId="969" w:customStyle="1">
    <w:name w:val="TOC Heading_ab7588a6-ce6b-4215-ad8c-99df0ee2314d"/>
    <w:uiPriority w:val="39"/>
    <w:qFormat/>
    <w:rPr>
      <w:rFonts w:hint="default" w:ascii="Times New Roman" w:hAnsi="Times New Roman" w:eastAsia="宋体" w:cs="Times New Roman"/>
    </w:rPr>
  </w:style>
  <w:style w:type="paragraph" w:styleId="970" w:customStyle="1">
    <w:name w:val="标题 11"/>
    <w:basedOn w:val="788"/>
    <w:next w:val="788"/>
    <w:link w:val="982"/>
    <w:uiPriority w:val="0"/>
    <w:qFormat/>
    <w:pPr>
      <w:jc w:val="center"/>
      <w:keepNext/>
      <w:outlineLvl w:val="0"/>
    </w:pPr>
    <w:rPr>
      <w:rFonts w:ascii="楷体_GB2312" w:hAnsi="Times New Roman" w:eastAsia="楷体_GB2312" w:cs="Times New Roman"/>
      <w:sz w:val="28"/>
      <w:szCs w:val="28"/>
    </w:rPr>
  </w:style>
  <w:style w:type="paragraph" w:styleId="971" w:customStyle="1">
    <w:name w:val="标题 21"/>
    <w:basedOn w:val="788"/>
    <w:next w:val="972"/>
    <w:link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正文缩进1"/>
    <w:basedOn w:val="788"/>
    <w:link w:val="984"/>
    <w:uiPriority w:val="0"/>
    <w:qFormat/>
    <w:pPr>
      <w:ind w:firstLine="420"/>
    </w:pPr>
    <w:rPr>
      <w:szCs w:val="21"/>
    </w:rPr>
  </w:style>
  <w:style w:type="paragraph" w:styleId="973" w:customStyle="1">
    <w:name w:val="标题 31"/>
    <w:basedOn w:val="788"/>
    <w:next w:val="972"/>
    <w:link w:val="98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4" w:customStyle="1">
    <w:name w:val="标题 41"/>
    <w:basedOn w:val="788"/>
    <w:next w:val="972"/>
    <w:link w:val="986"/>
    <w:uiPriority w:val="0"/>
    <w:qFormat/>
    <w:pPr>
      <w:keepLines/>
      <w:keepNext/>
      <w:spacing w:before="280" w:after="290" w:line="376" w:lineRule="auto"/>
      <w:outlineLvl w:val="3"/>
    </w:pPr>
    <w:rPr>
      <w:rFonts w:ascii="Arial" w:hAnsi="Arial" w:eastAsia="黑体" w:cs="Arial"/>
      <w:b/>
      <w:bCs/>
      <w:sz w:val="28"/>
      <w:szCs w:val="28"/>
    </w:rPr>
  </w:style>
  <w:style w:type="paragraph" w:styleId="975" w:customStyle="1">
    <w:name w:val="标题 51"/>
    <w:basedOn w:val="788"/>
    <w:next w:val="972"/>
    <w:link w:val="987"/>
    <w:uiPriority w:val="0"/>
    <w:qFormat/>
    <w:pPr>
      <w:keepNext/>
      <w:outlineLvl w:val="4"/>
    </w:pPr>
    <w:rPr>
      <w:rFonts w:ascii="宋体" w:hAnsi="Times New Roman" w:eastAsia="宋体" w:cs="Times New Roman"/>
      <w:color w:val="000000"/>
      <w:sz w:val="28"/>
      <w:szCs w:val="28"/>
    </w:rPr>
  </w:style>
  <w:style w:type="paragraph" w:styleId="976" w:customStyle="1">
    <w:name w:val="标题 61"/>
    <w:basedOn w:val="788"/>
    <w:next w:val="788"/>
    <w:link w:val="98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7" w:customStyle="1">
    <w:name w:val="标题 71"/>
    <w:basedOn w:val="788"/>
    <w:next w:val="788"/>
    <w:link w:val="98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8" w:customStyle="1">
    <w:name w:val="标题 81"/>
    <w:basedOn w:val="788"/>
    <w:next w:val="788"/>
    <w:link w:val="99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9" w:customStyle="1">
    <w:name w:val="标题 91"/>
    <w:basedOn w:val="788"/>
    <w:next w:val="788"/>
    <w:link w:val="99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80" w:customStyle="1">
    <w:name w:val="默认段落字体1"/>
    <w:uiPriority w:val="1"/>
    <w:qFormat/>
  </w:style>
  <w:style w:type="table" w:styleId="981" w:customStyle="1">
    <w:name w:val="普通表格1"/>
    <w:uiPriority w:val="99"/>
    <w:qFormat/>
    <w:tblPr/>
  </w:style>
  <w:style w:type="character" w:styleId="982" w:customStyle="1">
    <w:name w:val="标题 1 字符"/>
    <w:link w:val="970"/>
    <w:uiPriority w:val="0"/>
    <w:qFormat/>
    <w:rPr>
      <w:rFonts w:ascii="楷体_GB2312" w:hAnsi="Times New Roman" w:eastAsia="楷体_GB2312" w:cs="Times New Roman"/>
      <w:sz w:val="28"/>
      <w:szCs w:val="28"/>
    </w:rPr>
  </w:style>
  <w:style w:type="character" w:styleId="983" w:customStyle="1">
    <w:name w:val="标题 2 字符"/>
    <w:link w:val="971"/>
    <w:uiPriority w:val="0"/>
    <w:qFormat/>
    <w:rPr>
      <w:rFonts w:ascii="Arial" w:hAnsi="Arial" w:eastAsia="幼圆" w:cs="Arial"/>
      <w:b/>
      <w:bCs/>
      <w:sz w:val="44"/>
      <w:szCs w:val="44"/>
    </w:rPr>
  </w:style>
  <w:style w:type="character" w:styleId="984" w:customStyle="1">
    <w:name w:val="正文缩进 字符"/>
    <w:link w:val="972"/>
    <w:uiPriority w:val="0"/>
    <w:qFormat/>
    <w:rPr>
      <w:szCs w:val="21"/>
    </w:rPr>
  </w:style>
  <w:style w:type="character" w:styleId="985" w:customStyle="1">
    <w:name w:val="标题 3 字符"/>
    <w:link w:val="973"/>
    <w:uiPriority w:val="0"/>
    <w:qFormat/>
    <w:rPr>
      <w:rFonts w:ascii="Times New Roman" w:hAnsi="Times New Roman" w:eastAsia="宋体" w:cs="Times New Roman"/>
      <w:b/>
      <w:bCs/>
      <w:sz w:val="32"/>
      <w:szCs w:val="32"/>
    </w:rPr>
  </w:style>
  <w:style w:type="character" w:styleId="986" w:customStyle="1">
    <w:name w:val="标题 4 字符"/>
    <w:link w:val="974"/>
    <w:uiPriority w:val="0"/>
    <w:qFormat/>
    <w:rPr>
      <w:rFonts w:ascii="Arial" w:hAnsi="Arial" w:eastAsia="黑体" w:cs="Arial"/>
      <w:b/>
      <w:bCs/>
      <w:sz w:val="28"/>
      <w:szCs w:val="28"/>
    </w:rPr>
  </w:style>
  <w:style w:type="character" w:styleId="987" w:customStyle="1">
    <w:name w:val="标题 5 字符"/>
    <w:link w:val="975"/>
    <w:uiPriority w:val="0"/>
    <w:qFormat/>
    <w:rPr>
      <w:rFonts w:ascii="宋体" w:hAnsi="Times New Roman" w:eastAsia="宋体" w:cs="Times New Roman"/>
      <w:color w:val="000000"/>
      <w:sz w:val="28"/>
      <w:szCs w:val="28"/>
    </w:rPr>
  </w:style>
  <w:style w:type="character" w:styleId="988" w:customStyle="1">
    <w:name w:val="标题 6 字符"/>
    <w:link w:val="976"/>
    <w:uiPriority w:val="0"/>
    <w:qFormat/>
    <w:rPr>
      <w:rFonts w:ascii="Arial" w:hAnsi="Arial" w:eastAsia="黑体" w:cs="Times New Roman"/>
      <w:b/>
      <w:bCs/>
      <w:sz w:val="24"/>
      <w:szCs w:val="24"/>
    </w:rPr>
  </w:style>
  <w:style w:type="character" w:styleId="989" w:customStyle="1">
    <w:name w:val="标题 7 字符"/>
    <w:link w:val="977"/>
    <w:uiPriority w:val="0"/>
    <w:qFormat/>
    <w:rPr>
      <w:rFonts w:ascii="Times New Roman" w:hAnsi="Times New Roman" w:eastAsia="宋体" w:cs="Times New Roman"/>
      <w:b/>
      <w:bCs/>
      <w:sz w:val="24"/>
      <w:szCs w:val="24"/>
    </w:rPr>
  </w:style>
  <w:style w:type="character" w:styleId="990" w:customStyle="1">
    <w:name w:val="标题 8 字符"/>
    <w:link w:val="978"/>
    <w:uiPriority w:val="0"/>
    <w:qFormat/>
    <w:rPr>
      <w:rFonts w:ascii="Arial" w:hAnsi="Arial" w:eastAsia="黑体" w:cs="Times New Roman"/>
      <w:sz w:val="24"/>
      <w:szCs w:val="24"/>
    </w:rPr>
  </w:style>
  <w:style w:type="character" w:styleId="991" w:customStyle="1">
    <w:name w:val="标题 9 字符"/>
    <w:link w:val="979"/>
    <w:uiPriority w:val="0"/>
    <w:qFormat/>
    <w:rPr>
      <w:rFonts w:ascii="Arial" w:hAnsi="Arial" w:eastAsia="黑体" w:cs="Times New Roman"/>
      <w:szCs w:val="21"/>
    </w:rPr>
  </w:style>
  <w:style w:type="paragraph" w:styleId="992" w:customStyle="1">
    <w:name w:val="列表 31"/>
    <w:basedOn w:val="788"/>
    <w:uiPriority w:val="0"/>
    <w:qFormat/>
    <w:pPr>
      <w:ind w:left="100" w:hanging="200"/>
    </w:pPr>
    <w:rPr>
      <w:rFonts w:ascii="Times New Roman" w:hAnsi="Times New Roman" w:eastAsia="宋体" w:cs="Times New Roman"/>
      <w:szCs w:val="21"/>
    </w:rPr>
  </w:style>
  <w:style w:type="paragraph" w:styleId="993" w:customStyle="1">
    <w:name w:val="目录 71"/>
    <w:basedOn w:val="788"/>
    <w:next w:val="788"/>
    <w:uiPriority w:val="0"/>
    <w:qFormat/>
    <w:pPr>
      <w:ind w:left="1260"/>
      <w:jc w:val="left"/>
    </w:pPr>
    <w:rPr>
      <w:rFonts w:ascii="Times New Roman" w:hAnsi="Times New Roman" w:eastAsia="宋体" w:cs="Times New Roman"/>
      <w:szCs w:val="21"/>
    </w:rPr>
  </w:style>
  <w:style w:type="paragraph" w:styleId="994" w:customStyle="1">
    <w:name w:val="文档结构图1"/>
    <w:basedOn w:val="788"/>
    <w:link w:val="995"/>
    <w:uiPriority w:val="0"/>
    <w:qFormat/>
    <w:pPr>
      <w:shd w:val="clear" w:color="auto" w:fill="000080"/>
    </w:pPr>
    <w:rPr>
      <w:rFonts w:ascii="Times New Roman" w:hAnsi="Times New Roman" w:eastAsia="宋体" w:cs="Times New Roman"/>
      <w:szCs w:val="21"/>
    </w:rPr>
  </w:style>
  <w:style w:type="character" w:styleId="995" w:customStyle="1">
    <w:name w:val="文档结构图 字符"/>
    <w:link w:val="994"/>
    <w:uiPriority w:val="0"/>
    <w:qFormat/>
    <w:rPr>
      <w:rFonts w:ascii="Times New Roman" w:hAnsi="Times New Roman" w:eastAsia="宋体" w:cs="Times New Roman"/>
      <w:szCs w:val="21"/>
      <w:shd w:val="clear" w:color="auto" w:fill="000080"/>
    </w:rPr>
  </w:style>
  <w:style w:type="paragraph" w:styleId="996" w:customStyle="1">
    <w:name w:val="批注文字1"/>
    <w:basedOn w:val="788"/>
    <w:link w:val="997"/>
    <w:uiPriority w:val="0"/>
    <w:qFormat/>
    <w:pPr>
      <w:jc w:val="left"/>
    </w:pPr>
  </w:style>
  <w:style w:type="character" w:styleId="997" w:customStyle="1">
    <w:name w:val="批注文字 字符"/>
    <w:link w:val="996"/>
    <w:uiPriority w:val="99"/>
    <w:qFormat/>
  </w:style>
  <w:style w:type="paragraph" w:styleId="998" w:customStyle="1">
    <w:name w:val="正文文本 31"/>
    <w:basedOn w:val="788"/>
    <w:link w:val="999"/>
    <w:uiPriority w:val="0"/>
    <w:qFormat/>
    <w:rPr>
      <w:rFonts w:ascii="仿宋_GB2312" w:hAnsi="Arial" w:eastAsia="仿宋_GB2312" w:cs="Times New Roman"/>
      <w:sz w:val="32"/>
      <w:szCs w:val="32"/>
    </w:rPr>
  </w:style>
  <w:style w:type="character" w:styleId="999" w:customStyle="1">
    <w:name w:val="正文文本 3 字符"/>
    <w:link w:val="998"/>
    <w:uiPriority w:val="0"/>
    <w:qFormat/>
    <w:rPr>
      <w:rFonts w:ascii="仿宋_GB2312" w:hAnsi="Arial" w:eastAsia="仿宋_GB2312" w:cs="Times New Roman"/>
      <w:sz w:val="32"/>
      <w:szCs w:val="32"/>
    </w:rPr>
  </w:style>
  <w:style w:type="paragraph" w:styleId="1000" w:customStyle="1">
    <w:name w:val="正文文本1"/>
    <w:basedOn w:val="788"/>
    <w:link w:val="1001"/>
    <w:uiPriority w:val="0"/>
    <w:qFormat/>
    <w:rPr>
      <w:rFonts w:ascii="楷体_GB2312" w:hAnsi="Arial" w:eastAsia="楷体_GB2312" w:cs="Times New Roman"/>
      <w:sz w:val="28"/>
      <w:szCs w:val="28"/>
    </w:rPr>
  </w:style>
  <w:style w:type="character" w:styleId="1001" w:customStyle="1">
    <w:name w:val="正文文本 字符"/>
    <w:link w:val="1000"/>
    <w:uiPriority w:val="0"/>
    <w:qFormat/>
    <w:rPr>
      <w:rFonts w:ascii="楷体_GB2312" w:hAnsi="Arial" w:eastAsia="楷体_GB2312" w:cs="Times New Roman"/>
      <w:sz w:val="28"/>
      <w:szCs w:val="28"/>
    </w:rPr>
  </w:style>
  <w:style w:type="paragraph" w:styleId="1002" w:customStyle="1">
    <w:name w:val="正文文本缩进1"/>
    <w:basedOn w:val="788"/>
    <w:link w:val="1003"/>
    <w:uiPriority w:val="0"/>
    <w:qFormat/>
    <w:pPr>
      <w:ind w:left="420"/>
      <w:spacing w:after="120"/>
    </w:pPr>
  </w:style>
  <w:style w:type="character" w:styleId="1003" w:customStyle="1">
    <w:name w:val="正文文本缩进 字符"/>
    <w:link w:val="1002"/>
    <w:uiPriority w:val="99"/>
    <w:qFormat/>
  </w:style>
  <w:style w:type="paragraph" w:styleId="1004" w:customStyle="1">
    <w:name w:val="列表 21"/>
    <w:basedOn w:val="788"/>
    <w:uiPriority w:val="0"/>
    <w:qFormat/>
    <w:pPr>
      <w:ind w:left="100" w:hanging="200"/>
    </w:pPr>
    <w:rPr>
      <w:rFonts w:ascii="Times New Roman" w:hAnsi="Times New Roman" w:eastAsia="宋体" w:cs="Times New Roman"/>
      <w:szCs w:val="21"/>
    </w:rPr>
  </w:style>
  <w:style w:type="paragraph" w:styleId="1005" w:customStyle="1">
    <w:name w:val="目录 51"/>
    <w:basedOn w:val="788"/>
    <w:next w:val="788"/>
    <w:uiPriority w:val="0"/>
    <w:qFormat/>
    <w:pPr>
      <w:ind w:left="840"/>
      <w:jc w:val="left"/>
    </w:pPr>
    <w:rPr>
      <w:rFonts w:ascii="Times New Roman" w:hAnsi="Times New Roman" w:eastAsia="宋体" w:cs="Times New Roman"/>
      <w:szCs w:val="21"/>
    </w:rPr>
  </w:style>
  <w:style w:type="paragraph" w:styleId="1006" w:customStyle="1">
    <w:name w:val="目录 31"/>
    <w:basedOn w:val="788"/>
    <w:next w:val="788"/>
    <w:uiPriority w:val="0"/>
    <w:qFormat/>
    <w:pPr>
      <w:ind w:left="420"/>
      <w:jc w:val="left"/>
    </w:pPr>
    <w:rPr>
      <w:rFonts w:ascii="Times New Roman" w:hAnsi="Times New Roman" w:eastAsia="宋体" w:cs="Times New Roman"/>
      <w:i/>
      <w:iCs/>
      <w:szCs w:val="24"/>
    </w:rPr>
  </w:style>
  <w:style w:type="paragraph" w:styleId="1007" w:customStyle="1">
    <w:name w:val="纯文本1"/>
    <w:basedOn w:val="788"/>
    <w:link w:val="1008"/>
    <w:uiPriority w:val="0"/>
    <w:qFormat/>
    <w:rPr>
      <w:rFonts w:ascii="宋体" w:hAnsi="Courier New" w:eastAsia="宋体" w:cs="Courier New"/>
      <w:szCs w:val="21"/>
    </w:rPr>
  </w:style>
  <w:style w:type="character" w:styleId="1008" w:customStyle="1">
    <w:name w:val="纯文本 字符"/>
    <w:link w:val="1007"/>
    <w:uiPriority w:val="0"/>
    <w:qFormat/>
    <w:rPr>
      <w:rFonts w:ascii="宋体" w:hAnsi="Courier New" w:eastAsia="宋体" w:cs="Courier New"/>
      <w:szCs w:val="21"/>
    </w:rPr>
  </w:style>
  <w:style w:type="paragraph" w:styleId="1009" w:customStyle="1">
    <w:name w:val="目录 81"/>
    <w:basedOn w:val="788"/>
    <w:next w:val="788"/>
    <w:uiPriority w:val="0"/>
    <w:qFormat/>
    <w:pPr>
      <w:ind w:left="1470"/>
      <w:jc w:val="left"/>
    </w:pPr>
    <w:rPr>
      <w:rFonts w:ascii="Times New Roman" w:hAnsi="Times New Roman" w:eastAsia="宋体" w:cs="Times New Roman"/>
      <w:szCs w:val="21"/>
    </w:rPr>
  </w:style>
  <w:style w:type="paragraph" w:styleId="1010" w:customStyle="1">
    <w:name w:val="日期1"/>
    <w:basedOn w:val="788"/>
    <w:next w:val="788"/>
    <w:link w:val="1011"/>
    <w:uiPriority w:val="0"/>
    <w:qFormat/>
    <w:rPr>
      <w:rFonts w:ascii="Times New Roman" w:hAnsi="Times New Roman" w:eastAsia="宋体" w:cs="Times New Roman"/>
      <w:sz w:val="24"/>
      <w:szCs w:val="24"/>
    </w:rPr>
  </w:style>
  <w:style w:type="character" w:styleId="1011" w:customStyle="1">
    <w:name w:val="日期 字符"/>
    <w:link w:val="1010"/>
    <w:uiPriority w:val="0"/>
    <w:qFormat/>
    <w:rPr>
      <w:rFonts w:ascii="Times New Roman" w:hAnsi="Times New Roman" w:eastAsia="宋体" w:cs="Times New Roman"/>
      <w:sz w:val="24"/>
      <w:szCs w:val="24"/>
    </w:rPr>
  </w:style>
  <w:style w:type="paragraph" w:styleId="1012" w:customStyle="1">
    <w:name w:val="正文文本缩进 21"/>
    <w:basedOn w:val="788"/>
    <w:link w:val="1013"/>
    <w:uiPriority w:val="0"/>
    <w:qFormat/>
    <w:pPr>
      <w:ind w:left="630" w:firstLine="645"/>
    </w:pPr>
    <w:rPr>
      <w:rFonts w:ascii="Arial" w:hAnsi="Arial" w:eastAsia="仿宋_GB2312" w:cs="Arial"/>
      <w:sz w:val="32"/>
      <w:szCs w:val="32"/>
    </w:rPr>
  </w:style>
  <w:style w:type="character" w:styleId="1013" w:customStyle="1">
    <w:name w:val="正文文本缩进 2 字符"/>
    <w:link w:val="1012"/>
    <w:uiPriority w:val="0"/>
    <w:qFormat/>
    <w:rPr>
      <w:rFonts w:ascii="Arial" w:hAnsi="Arial" w:eastAsia="仿宋_GB2312" w:cs="Arial"/>
      <w:sz w:val="32"/>
      <w:szCs w:val="32"/>
    </w:rPr>
  </w:style>
  <w:style w:type="paragraph" w:styleId="1014" w:customStyle="1">
    <w:name w:val="批注框文本1"/>
    <w:basedOn w:val="788"/>
    <w:link w:val="1015"/>
    <w:uiPriority w:val="0"/>
    <w:qFormat/>
    <w:rPr>
      <w:rFonts w:ascii="Times New Roman" w:hAnsi="Times New Roman" w:eastAsia="宋体" w:cs="Times New Roman"/>
      <w:sz w:val="18"/>
      <w:szCs w:val="18"/>
    </w:rPr>
  </w:style>
  <w:style w:type="character" w:styleId="1015" w:customStyle="1">
    <w:name w:val="批注框文本 字符"/>
    <w:link w:val="1014"/>
    <w:uiPriority w:val="0"/>
    <w:qFormat/>
    <w:rPr>
      <w:rFonts w:ascii="Times New Roman" w:hAnsi="Times New Roman" w:eastAsia="宋体" w:cs="Times New Roman"/>
      <w:sz w:val="18"/>
      <w:szCs w:val="18"/>
    </w:rPr>
  </w:style>
  <w:style w:type="paragraph" w:styleId="1016" w:customStyle="1">
    <w:name w:val="页脚1"/>
    <w:basedOn w:val="788"/>
    <w:link w:val="101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17" w:customStyle="1">
    <w:name w:val="页脚 字符"/>
    <w:link w:val="1016"/>
    <w:uiPriority w:val="99"/>
    <w:qFormat/>
    <w:rPr>
      <w:rFonts w:ascii="Times New Roman" w:hAnsi="Times New Roman" w:eastAsia="宋体" w:cs="Times New Roman"/>
      <w:sz w:val="18"/>
      <w:szCs w:val="18"/>
    </w:rPr>
  </w:style>
  <w:style w:type="paragraph" w:styleId="1018" w:customStyle="1">
    <w:name w:val="页眉1"/>
    <w:basedOn w:val="788"/>
    <w:link w:val="101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9" w:customStyle="1">
    <w:name w:val="页眉 字符"/>
    <w:link w:val="1018"/>
    <w:uiPriority w:val="0"/>
    <w:qFormat/>
    <w:rPr>
      <w:rFonts w:ascii="Times New Roman" w:hAnsi="Times New Roman" w:eastAsia="宋体" w:cs="Times New Roman"/>
      <w:sz w:val="18"/>
      <w:szCs w:val="18"/>
    </w:rPr>
  </w:style>
  <w:style w:type="paragraph" w:styleId="1020" w:customStyle="1">
    <w:name w:val="目录 11"/>
    <w:basedOn w:val="788"/>
    <w:next w:val="788"/>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21" w:customStyle="1">
    <w:name w:val="目录 41"/>
    <w:basedOn w:val="788"/>
    <w:next w:val="788"/>
    <w:uiPriority w:val="0"/>
    <w:qFormat/>
    <w:pPr>
      <w:ind w:left="630"/>
      <w:jc w:val="left"/>
    </w:pPr>
    <w:rPr>
      <w:rFonts w:ascii="Times New Roman" w:hAnsi="Times New Roman" w:eastAsia="宋体" w:cs="Times New Roman"/>
      <w:szCs w:val="21"/>
    </w:rPr>
  </w:style>
  <w:style w:type="paragraph" w:styleId="1022" w:customStyle="1">
    <w:name w:val="列表1"/>
    <w:basedOn w:val="788"/>
    <w:uiPriority w:val="0"/>
    <w:qFormat/>
    <w:pPr>
      <w:ind w:left="200" w:hanging="200"/>
    </w:pPr>
    <w:rPr>
      <w:rFonts w:ascii="Times New Roman" w:hAnsi="Times New Roman" w:eastAsia="宋体" w:cs="Times New Roman"/>
      <w:szCs w:val="21"/>
    </w:rPr>
  </w:style>
  <w:style w:type="paragraph" w:styleId="1023" w:customStyle="1">
    <w:name w:val="目录 61"/>
    <w:basedOn w:val="788"/>
    <w:next w:val="788"/>
    <w:uiPriority w:val="0"/>
    <w:qFormat/>
    <w:pPr>
      <w:ind w:left="1050"/>
      <w:jc w:val="left"/>
    </w:pPr>
    <w:rPr>
      <w:rFonts w:ascii="Times New Roman" w:hAnsi="Times New Roman" w:eastAsia="宋体" w:cs="Times New Roman"/>
      <w:szCs w:val="21"/>
    </w:rPr>
  </w:style>
  <w:style w:type="paragraph" w:styleId="1024" w:customStyle="1">
    <w:name w:val="正文文本缩进 31"/>
    <w:basedOn w:val="788"/>
    <w:link w:val="1025"/>
    <w:uiPriority w:val="0"/>
    <w:qFormat/>
    <w:pPr>
      <w:ind w:left="645" w:firstLine="645"/>
    </w:pPr>
    <w:rPr>
      <w:rFonts w:ascii="Arial" w:hAnsi="Arial" w:eastAsia="仿宋_GB2312" w:cs="Arial"/>
      <w:color w:val="ffff00"/>
      <w:sz w:val="32"/>
      <w:szCs w:val="32"/>
    </w:rPr>
  </w:style>
  <w:style w:type="character" w:styleId="1025" w:customStyle="1">
    <w:name w:val="正文文本缩进 3 字符"/>
    <w:link w:val="1024"/>
    <w:uiPriority w:val="0"/>
    <w:qFormat/>
    <w:rPr>
      <w:rFonts w:ascii="Arial" w:hAnsi="Arial" w:eastAsia="仿宋_GB2312" w:cs="Arial"/>
      <w:color w:val="ffff00"/>
      <w:sz w:val="32"/>
      <w:szCs w:val="32"/>
    </w:rPr>
  </w:style>
  <w:style w:type="paragraph" w:styleId="1026" w:customStyle="1">
    <w:name w:val="图表目录1"/>
    <w:basedOn w:val="788"/>
    <w:next w:val="788"/>
    <w:uiPriority w:val="0"/>
    <w:qFormat/>
    <w:pPr>
      <w:ind w:left="840" w:hanging="420"/>
    </w:pPr>
    <w:rPr>
      <w:rFonts w:ascii="Times New Roman" w:hAnsi="Times New Roman" w:eastAsia="宋体" w:cs="Times New Roman"/>
      <w:szCs w:val="21"/>
    </w:rPr>
  </w:style>
  <w:style w:type="paragraph" w:styleId="1027" w:customStyle="1">
    <w:name w:val="目录 21"/>
    <w:basedOn w:val="788"/>
    <w:next w:val="788"/>
    <w:uiPriority w:val="0"/>
    <w:qFormat/>
    <w:pPr>
      <w:ind w:left="210"/>
      <w:jc w:val="left"/>
    </w:pPr>
    <w:rPr>
      <w:rFonts w:ascii="Times New Roman" w:hAnsi="Times New Roman" w:eastAsia="宋体" w:cs="Times New Roman"/>
      <w:smallCaps/>
      <w:szCs w:val="24"/>
    </w:rPr>
  </w:style>
  <w:style w:type="paragraph" w:styleId="1028" w:customStyle="1">
    <w:name w:val="目录 91"/>
    <w:basedOn w:val="788"/>
    <w:next w:val="788"/>
    <w:uiPriority w:val="0"/>
    <w:qFormat/>
    <w:pPr>
      <w:ind w:left="1680"/>
      <w:jc w:val="left"/>
    </w:pPr>
    <w:rPr>
      <w:rFonts w:ascii="Times New Roman" w:hAnsi="Times New Roman" w:eastAsia="宋体" w:cs="Times New Roman"/>
      <w:szCs w:val="21"/>
    </w:rPr>
  </w:style>
  <w:style w:type="paragraph" w:styleId="1029" w:customStyle="1">
    <w:name w:val="正文文本 21"/>
    <w:basedOn w:val="788"/>
    <w:link w:val="1030"/>
    <w:uiPriority w:val="0"/>
    <w:qFormat/>
    <w:pPr>
      <w:jc w:val="center"/>
      <w:widowControl/>
    </w:pPr>
    <w:rPr>
      <w:rFonts w:ascii="楷体_GB2312" w:hAnsi="Times New Roman" w:eastAsia="楷体_GB2312" w:cs="Times New Roman"/>
      <w:sz w:val="28"/>
      <w:szCs w:val="28"/>
    </w:rPr>
  </w:style>
  <w:style w:type="character" w:styleId="1030" w:customStyle="1">
    <w:name w:val="正文文本 2 字符"/>
    <w:link w:val="1029"/>
    <w:uiPriority w:val="0"/>
    <w:qFormat/>
    <w:rPr>
      <w:rFonts w:ascii="楷体_GB2312" w:hAnsi="Times New Roman" w:eastAsia="楷体_GB2312" w:cs="Times New Roman"/>
      <w:sz w:val="28"/>
      <w:szCs w:val="28"/>
    </w:rPr>
  </w:style>
  <w:style w:type="paragraph" w:styleId="1031" w:customStyle="1">
    <w:name w:val="普通(网站)1"/>
    <w:basedOn w:val="788"/>
    <w:uiPriority w:val="99"/>
    <w:qFormat/>
    <w:pPr>
      <w:jc w:val="left"/>
      <w:spacing w:before="100" w:beforeAutospacing="1" w:after="100" w:afterAutospacing="1"/>
      <w:widowControl/>
    </w:pPr>
    <w:rPr>
      <w:rFonts w:ascii="宋体" w:hAnsi="宋体" w:eastAsia="宋体" w:cs="宋体"/>
      <w:sz w:val="24"/>
      <w:szCs w:val="24"/>
    </w:rPr>
  </w:style>
  <w:style w:type="paragraph" w:styleId="1032" w:customStyle="1">
    <w:name w:val="索引 11"/>
    <w:basedOn w:val="788"/>
    <w:next w:val="788"/>
    <w:uiPriority w:val="0"/>
    <w:qFormat/>
    <w:pPr>
      <w:spacing w:line="240" w:lineRule="atLeast"/>
    </w:pPr>
    <w:rPr>
      <w:rFonts w:ascii="Times New Roman" w:hAnsi="Times New Roman" w:eastAsia="宋体" w:cs="Times New Roman"/>
      <w:b/>
      <w:bCs/>
      <w:szCs w:val="21"/>
    </w:rPr>
  </w:style>
  <w:style w:type="paragraph" w:styleId="1033" w:customStyle="1">
    <w:name w:val="批注主题1"/>
    <w:basedOn w:val="996"/>
    <w:next w:val="996"/>
    <w:link w:val="1034"/>
    <w:uiPriority w:val="0"/>
    <w:qFormat/>
    <w:rPr>
      <w:rFonts w:ascii="Times New Roman" w:hAnsi="Times New Roman" w:eastAsia="宋体" w:cs="Times New Roman"/>
      <w:b/>
      <w:bCs/>
      <w:szCs w:val="21"/>
    </w:rPr>
  </w:style>
  <w:style w:type="character" w:styleId="1034" w:customStyle="1">
    <w:name w:val="批注主题 字符"/>
    <w:link w:val="1033"/>
    <w:uiPriority w:val="0"/>
    <w:qFormat/>
    <w:rPr>
      <w:rFonts w:ascii="Times New Roman" w:hAnsi="Times New Roman" w:eastAsia="宋体" w:cs="Times New Roman"/>
      <w:b/>
      <w:bCs/>
      <w:szCs w:val="21"/>
    </w:rPr>
  </w:style>
  <w:style w:type="paragraph" w:styleId="1035" w:customStyle="1">
    <w:name w:val="正文首行缩进1"/>
    <w:basedOn w:val="788"/>
    <w:link w:val="1036"/>
    <w:uiPriority w:val="0"/>
    <w:qFormat/>
    <w:pPr>
      <w:ind w:firstLine="200"/>
      <w:spacing w:line="360" w:lineRule="auto"/>
    </w:pPr>
    <w:rPr>
      <w:rFonts w:ascii="仿宋_GB2312" w:hAnsi="Times New Roman" w:eastAsia="仿宋_GB2312" w:cs="Times New Roman"/>
      <w:sz w:val="30"/>
      <w:szCs w:val="30"/>
    </w:rPr>
  </w:style>
  <w:style w:type="character" w:styleId="1036" w:customStyle="1">
    <w:name w:val="正文文本首行缩进 字符"/>
    <w:link w:val="1035"/>
    <w:uiPriority w:val="0"/>
    <w:qFormat/>
    <w:rPr>
      <w:rFonts w:ascii="仿宋_GB2312" w:hAnsi="Times New Roman" w:eastAsia="仿宋_GB2312" w:cs="Times New Roman"/>
      <w:sz w:val="30"/>
      <w:szCs w:val="30"/>
    </w:rPr>
  </w:style>
  <w:style w:type="paragraph" w:styleId="1037" w:customStyle="1">
    <w:name w:val="正文首行缩进 21"/>
    <w:basedOn w:val="1002"/>
    <w:link w:val="1038"/>
    <w:uiPriority w:val="0"/>
    <w:qFormat/>
    <w:pPr>
      <w:ind w:left="0" w:firstLine="420"/>
      <w:spacing w:after="0" w:line="360" w:lineRule="auto"/>
    </w:pPr>
    <w:rPr>
      <w:rFonts w:ascii="宋体" w:hAnsi="宋体" w:eastAsia="宋体" w:cs="Times New Roman"/>
      <w:szCs w:val="20"/>
    </w:rPr>
  </w:style>
  <w:style w:type="character" w:styleId="1038" w:customStyle="1">
    <w:name w:val="正文文本首行缩进 2 字符"/>
    <w:link w:val="1037"/>
    <w:uiPriority w:val="0"/>
    <w:qFormat/>
    <w:rPr>
      <w:rFonts w:ascii="宋体" w:hAnsi="宋体" w:eastAsia="宋体" w:cs="Times New Roman"/>
      <w:szCs w:val="20"/>
    </w:rPr>
  </w:style>
  <w:style w:type="table" w:styleId="1039" w:customStyle="1">
    <w:name w:val="网格型1"/>
    <w:basedOn w:val="981"/>
    <w:uiPriority w:val="0"/>
    <w:qFormat/>
    <w:pPr>
      <w:jc w:val="both"/>
      <w:widowControl w:val="off"/>
    </w:pPr>
    <w:rPr>
      <w:rFonts w:ascii="Times New Roman" w:hAnsi="Times New Roman" w:eastAsia="宋体" w:cs="Times New Roman"/>
      <w:sz w:val="20"/>
      <w:szCs w:val="20"/>
    </w:rPr>
    <w:tblPr/>
  </w:style>
  <w:style w:type="character" w:styleId="1040" w:customStyle="1">
    <w:name w:val="要点1"/>
    <w:uiPriority w:val="0"/>
    <w:qFormat/>
    <w:rPr>
      <w:b/>
      <w:bCs/>
    </w:rPr>
  </w:style>
  <w:style w:type="character" w:styleId="1041" w:customStyle="1">
    <w:name w:val="页码1"/>
    <w:uiPriority w:val="0"/>
    <w:qFormat/>
  </w:style>
  <w:style w:type="character" w:styleId="1042" w:customStyle="1">
    <w:name w:val="已访问的超链接1"/>
    <w:uiPriority w:val="0"/>
    <w:qFormat/>
    <w:rPr>
      <w:color w:val="800080"/>
      <w:u w:val="single"/>
    </w:rPr>
  </w:style>
  <w:style w:type="character" w:styleId="1043" w:customStyle="1">
    <w:name w:val="强调1"/>
    <w:uiPriority w:val="0"/>
    <w:qFormat/>
    <w:rPr>
      <w:i/>
    </w:rPr>
  </w:style>
  <w:style w:type="character" w:styleId="1044" w:customStyle="1">
    <w:name w:val="超链接1"/>
    <w:uiPriority w:val="0"/>
    <w:qFormat/>
    <w:rPr>
      <w:color w:val="0000ff"/>
      <w:u w:val="single"/>
    </w:rPr>
  </w:style>
  <w:style w:type="character" w:styleId="1045" w:customStyle="1">
    <w:name w:val="批注引用1"/>
    <w:uiPriority w:val="0"/>
    <w:qFormat/>
    <w:rPr>
      <w:sz w:val="21"/>
      <w:szCs w:val="21"/>
    </w:rPr>
  </w:style>
  <w:style w:type="character" w:styleId="1046" w:customStyle="1">
    <w:name w:val="font5 Char"/>
    <w:uiPriority w:val="0"/>
    <w:qFormat/>
    <w:rPr>
      <w:rFonts w:ascii="宋体" w:hAnsi="宋体" w:eastAsia="宋体"/>
      <w:sz w:val="28"/>
      <w:szCs w:val="28"/>
      <w:lang w:val="en-US" w:eastAsia="zh-CN" w:bidi="ar-SA"/>
    </w:rPr>
  </w:style>
  <w:style w:type="character" w:styleId="1047" w:customStyle="1">
    <w:name w:val="二级目录 Char"/>
    <w:link w:val="1048"/>
    <w:uiPriority w:val="0"/>
    <w:qFormat/>
    <w:rPr>
      <w:b/>
      <w:sz w:val="30"/>
      <w:szCs w:val="28"/>
    </w:rPr>
  </w:style>
  <w:style w:type="paragraph" w:styleId="1048" w:customStyle="1">
    <w:name w:val="二级目录"/>
    <w:next w:val="788"/>
    <w:link w:val="104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9" w:customStyle="1">
    <w:name w:val="列出段落 Char"/>
    <w:link w:val="1050"/>
    <w:uiPriority w:val="0"/>
    <w:qFormat/>
    <w:rPr>
      <w:rFonts w:ascii="Calibri" w:hAnsi="Calibri"/>
      <w:sz w:val="24"/>
      <w:szCs w:val="24"/>
      <w:lang w:eastAsia="en-US" w:bidi="en-US"/>
    </w:rPr>
  </w:style>
  <w:style w:type="paragraph" w:styleId="1050" w:customStyle="1">
    <w:name w:val="列出段落1"/>
    <w:basedOn w:val="788"/>
    <w:link w:val="1049"/>
    <w:uiPriority w:val="0"/>
    <w:qFormat/>
    <w:pPr>
      <w:contextualSpacing/>
      <w:ind w:left="720"/>
      <w:jc w:val="left"/>
      <w:widowControl/>
    </w:pPr>
    <w:rPr>
      <w:rFonts w:ascii="Calibri" w:hAnsi="Calibri"/>
      <w:sz w:val="24"/>
      <w:szCs w:val="24"/>
      <w:lang w:eastAsia="en-US" w:bidi="en-US"/>
    </w:rPr>
  </w:style>
  <w:style w:type="paragraph" w:styleId="1051" w:customStyle="1">
    <w:name w:val="Body Text(ch)"/>
    <w:basedOn w:val="788"/>
    <w:next w:val="1000"/>
    <w:uiPriority w:val="0"/>
    <w:qFormat/>
    <w:pPr>
      <w:spacing w:after="120"/>
    </w:pPr>
    <w:rPr>
      <w:rFonts w:ascii="宋体" w:hAnsi="Arial" w:eastAsia="宋体" w:cs="Times New Roman"/>
      <w:bCs/>
      <w:iCs/>
      <w:szCs w:val="24"/>
    </w:rPr>
  </w:style>
  <w:style w:type="paragraph" w:styleId="1052" w:customStyle="1">
    <w:name w:val="xl27"/>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3" w:customStyle="1">
    <w:name w:val="xl26"/>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4" w:customStyle="1">
    <w:name w:val="Char"/>
    <w:basedOn w:val="788"/>
    <w:uiPriority w:val="0"/>
    <w:qFormat/>
    <w:pPr>
      <w:ind w:firstLine="200"/>
      <w:tabs>
        <w:tab w:val="left" w:pos="360" w:leader="none"/>
      </w:tabs>
    </w:pPr>
    <w:rPr>
      <w:rFonts w:ascii="Times New Roman" w:hAnsi="Times New Roman" w:eastAsia="宋体" w:cs="Times New Roman"/>
      <w:sz w:val="28"/>
      <w:szCs w:val="30"/>
    </w:rPr>
  </w:style>
  <w:style w:type="paragraph" w:styleId="1055" w:customStyle="1">
    <w:name w:val=" Char"/>
    <w:basedOn w:val="994"/>
    <w:uiPriority w:val="0"/>
    <w:qFormat/>
    <w:rPr>
      <w:rFonts w:ascii="Tahoma" w:hAnsi="Tahoma"/>
      <w:sz w:val="24"/>
      <w:szCs w:val="24"/>
    </w:rPr>
  </w:style>
  <w:style w:type="paragraph" w:styleId="1056" w:customStyle="1">
    <w:name w:val="普通正文"/>
    <w:basedOn w:val="788"/>
    <w:uiPriority w:val="0"/>
    <w:qFormat/>
    <w:pPr>
      <w:ind w:firstLine="480"/>
      <w:jc w:val="left"/>
      <w:spacing w:before="120" w:after="120" w:line="360" w:lineRule="auto"/>
    </w:pPr>
    <w:rPr>
      <w:rFonts w:ascii="Arial" w:hAnsi="Arial" w:eastAsia="宋体" w:cs="Times New Roman"/>
      <w:sz w:val="24"/>
      <w:szCs w:val="24"/>
    </w:rPr>
  </w:style>
  <w:style w:type="paragraph" w:styleId="1057" w:customStyle="1">
    <w:name w:val="table_lines"/>
    <w:basedOn w:val="788"/>
    <w:uiPriority w:val="0"/>
    <w:qFormat/>
    <w:pPr>
      <w:jc w:val="left"/>
      <w:widowControl/>
    </w:pPr>
    <w:rPr>
      <w:rFonts w:ascii="Times New Roman" w:hAnsi="Times New Roman" w:eastAsia="宋体" w:cs="Times New Roman"/>
      <w:sz w:val="20"/>
      <w:szCs w:val="20"/>
      <w:lang w:val="de-DE" w:eastAsia="de-DE"/>
    </w:rPr>
  </w:style>
  <w:style w:type="paragraph" w:styleId="105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9" w:customStyle="1">
    <w:name w:val="font7"/>
    <w:basedOn w:val="7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60" w:customStyle="1">
    <w:name w:val=" Char Char Char Char"/>
    <w:basedOn w:val="994"/>
    <w:uiPriority w:val="0"/>
    <w:qFormat/>
    <w:pPr>
      <w:spacing w:line="360" w:lineRule="auto"/>
    </w:pPr>
    <w:rPr>
      <w:rFonts w:ascii="Tahoma" w:hAnsi="Tahoma"/>
      <w:sz w:val="24"/>
      <w:szCs w:val="24"/>
    </w:rPr>
  </w:style>
  <w:style w:type="paragraph" w:styleId="1061" w:customStyle="1">
    <w:name w:val="列表段落"/>
    <w:basedOn w:val="788"/>
    <w:uiPriority w:val="0"/>
    <w:qFormat/>
    <w:pPr>
      <w:contextualSpacing/>
      <w:ind w:left="720"/>
      <w:jc w:val="left"/>
      <w:widowControl/>
    </w:pPr>
    <w:rPr>
      <w:rFonts w:ascii="Calibri" w:hAnsi="Calibri" w:eastAsia="宋体" w:cs="Times New Roman"/>
      <w:sz w:val="24"/>
      <w:szCs w:val="24"/>
      <w:lang w:eastAsia="en-US" w:bidi="en-US"/>
    </w:rPr>
  </w:style>
  <w:style w:type="paragraph" w:styleId="1062" w:customStyle="1">
    <w:name w:val="4"/>
    <w:basedOn w:val="788"/>
    <w:next w:val="1024"/>
    <w:uiPriority w:val="0"/>
    <w:qFormat/>
    <w:pPr>
      <w:ind w:firstLine="420"/>
      <w:spacing w:line="360" w:lineRule="auto"/>
    </w:pPr>
    <w:rPr>
      <w:rFonts w:ascii="Times New Roman" w:hAnsi="Times New Roman" w:eastAsia="宋体" w:cs="Times New Roman"/>
      <w:color w:val="ff0000"/>
      <w:sz w:val="24"/>
      <w:szCs w:val="24"/>
    </w:rPr>
  </w:style>
  <w:style w:type="paragraph" w:styleId="1063" w:customStyle="1">
    <w:name w:val="普通 (Web)"/>
    <w:basedOn w:val="788"/>
    <w:uiPriority w:val="0"/>
    <w:qFormat/>
    <w:pPr>
      <w:jc w:val="left"/>
      <w:spacing w:before="100" w:beforeAutospacing="1" w:after="100" w:afterAutospacing="1"/>
      <w:widowControl/>
    </w:pPr>
    <w:rPr>
      <w:rFonts w:ascii="宋体" w:hAnsi="宋体" w:eastAsia="宋体" w:cs="Times New Roman"/>
      <w:sz w:val="24"/>
      <w:szCs w:val="24"/>
    </w:rPr>
  </w:style>
  <w:style w:type="paragraph" w:styleId="1064" w:customStyle="1">
    <w:name w:val=" Char Char Char Char Char Char Char Char Char Char"/>
    <w:basedOn w:val="788"/>
    <w:uiPriority w:val="0"/>
    <w:qFormat/>
    <w:pPr>
      <w:spacing w:line="360" w:lineRule="auto"/>
    </w:pPr>
    <w:rPr>
      <w:rFonts w:ascii="Times New Roman" w:hAnsi="Times New Roman" w:eastAsia="宋体" w:cs="Times New Roman"/>
      <w:sz w:val="24"/>
      <w:szCs w:val="20"/>
    </w:rPr>
  </w:style>
  <w:style w:type="paragraph" w:styleId="1065" w:customStyle="1">
    <w:name w:val="样式1"/>
    <w:basedOn w:val="788"/>
    <w:uiPriority w:val="0"/>
    <w:qFormat/>
    <w:pPr>
      <w:numPr>
        <w:ilvl w:val="0"/>
        <w:numId w:val="3"/>
      </w:numPr>
    </w:pPr>
    <w:rPr>
      <w:rFonts w:ascii="宋体" w:hAnsi="宋体" w:eastAsia="宋体" w:cs="Times New Roman"/>
      <w:szCs w:val="21"/>
    </w:rPr>
  </w:style>
  <w:style w:type="paragraph" w:styleId="1066" w:customStyle="1">
    <w:name w:val="font6"/>
    <w:basedOn w:val="7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67"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9" w:customStyle="1">
    <w:name w:val="标题3"/>
    <w:basedOn w:val="788"/>
    <w:next w:val="788"/>
    <w:uiPriority w:val="0"/>
    <w:qFormat/>
    <w:pPr>
      <w:ind w:firstLine="624"/>
      <w:spacing w:line="590" w:lineRule="atLeast"/>
    </w:pPr>
    <w:rPr>
      <w:rFonts w:ascii="方正黑体_GBK" w:hAnsi="Times New Roman" w:eastAsia="方正黑体_GBK" w:cs="Times New Roman"/>
      <w:sz w:val="32"/>
      <w:szCs w:val="32"/>
    </w:rPr>
  </w:style>
  <w:style w:type="paragraph" w:styleId="1070" w:customStyle="1">
    <w:name w:val="xl24"/>
    <w:basedOn w:val="7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customStyle="1">
    <w:name w:val="xl29"/>
    <w:basedOn w:val="7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2" w:customStyle="1">
    <w:name w:val="Char Char Char Char Char Char Char Char"/>
    <w:basedOn w:val="788"/>
    <w:uiPriority w:val="0"/>
    <w:qFormat/>
    <w:pPr>
      <w:jc w:val="left"/>
      <w:spacing w:after="160" w:line="240" w:lineRule="exact"/>
      <w:widowControl/>
    </w:pPr>
    <w:rPr>
      <w:rFonts w:ascii="Verdana" w:hAnsi="Verdana" w:eastAsia="宋体" w:cs="Times New Roman"/>
      <w:sz w:val="20"/>
      <w:szCs w:val="20"/>
      <w:lang w:eastAsia="en-US"/>
    </w:rPr>
  </w:style>
  <w:style w:type="paragraph" w:styleId="1073" w:customStyle="1">
    <w:name w:val="xl28"/>
    <w:basedOn w:val="7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4" w:customStyle="1">
    <w:name w:val=" Char Char Char Char Char Char Char Char"/>
    <w:basedOn w:val="788"/>
    <w:uiPriority w:val="0"/>
    <w:qFormat/>
    <w:pPr>
      <w:jc w:val="left"/>
      <w:spacing w:after="160" w:line="240" w:lineRule="exact"/>
      <w:widowControl/>
    </w:pPr>
    <w:rPr>
      <w:rFonts w:ascii="Verdana" w:hAnsi="Verdana" w:eastAsia="宋体" w:cs="Times New Roman"/>
      <w:sz w:val="20"/>
      <w:szCs w:val="20"/>
      <w:lang w:eastAsia="en-US"/>
    </w:rPr>
  </w:style>
  <w:style w:type="paragraph" w:styleId="1075" w:customStyle="1">
    <w:name w:val="xl30"/>
    <w:basedOn w:val="7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6" w:customStyle="1">
    <w:name w:val="Char Char Char Char"/>
    <w:basedOn w:val="994"/>
    <w:uiPriority w:val="0"/>
    <w:qFormat/>
    <w:pPr>
      <w:spacing w:line="360" w:lineRule="auto"/>
    </w:pPr>
    <w:rPr>
      <w:rFonts w:ascii="Tahoma" w:hAnsi="Tahoma"/>
      <w:sz w:val="24"/>
      <w:szCs w:val="24"/>
    </w:rPr>
  </w:style>
  <w:style w:type="paragraph" w:styleId="1077" w:customStyle="1">
    <w:name w:val="table_1stline"/>
    <w:basedOn w:val="78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78" w:customStyle="1">
    <w:name w:val="font5"/>
    <w:basedOn w:val="7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79"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0" w:customStyle="1">
    <w:name w:val="修订"/>
    <w:uiPriority w:val="99"/>
    <w:qFormat/>
    <w:rPr>
      <w:rFonts w:hint="default" w:ascii="Times New Roman" w:hAnsi="Times New Roman" w:eastAsia="宋体" w:cs="Times New Roman"/>
      <w:sz w:val="21"/>
      <w:szCs w:val="21"/>
      <w:lang w:val="en-US" w:eastAsia="zh-CN" w:bidi="ar-SA"/>
    </w:rPr>
  </w:style>
  <w:style w:type="paragraph" w:styleId="10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14</cp:revision>
  <dcterms:created xsi:type="dcterms:W3CDTF">2023-03-16T02:13:00Z</dcterms:created>
  <dcterms:modified xsi:type="dcterms:W3CDTF">2026-10-20T08:52:31Z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eyJoZGlkIjoiMDM0Y2M0ZTczYmFlYjhlN2YxMzFiYTVmZWUyZjdiYzAiLCJ1c2VySWQiOiIxNTU2NjUzNzUzIn0=</vt:lpwstr>
  </property>
  <property fmtid="{D5CDD505-2E9C-101B-9397-08002B2CF9AE}" pid="3" name="KSOProductBuildVer">
    <vt:lpwstr>2052-12.1.0.28505</vt:lpwstr>
  </property>
  <property fmtid="{D5CDD505-2E9C-101B-9397-08002B2CF9AE}" pid="4" name="ICV">
    <vt:lpwstr>43D35E7F1B8B48AABD31BC185209CF1D_13</vt:lpwstr>
  </property>
</Properties>
</file>